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003" w:rsidRPr="00E205A7" w:rsidRDefault="00553003" w:rsidP="00553003">
      <w:pPr>
        <w:ind w:right="1416"/>
        <w:jc w:val="right"/>
        <w:rPr>
          <w:b/>
          <w:noProof/>
          <w:szCs w:val="24"/>
          <w:lang w:eastAsia="lt-LT"/>
        </w:rPr>
      </w:pPr>
      <w:r w:rsidRPr="00E205A7">
        <w:rPr>
          <w:b/>
          <w:noProof/>
          <w:szCs w:val="24"/>
          <w:lang w:eastAsia="lt-LT"/>
        </w:rPr>
        <w:t>Projekto</w:t>
      </w:r>
    </w:p>
    <w:p w:rsidR="00553003" w:rsidRPr="00E205A7" w:rsidRDefault="00553003" w:rsidP="00553003">
      <w:pPr>
        <w:tabs>
          <w:tab w:val="left" w:pos="7292"/>
          <w:tab w:val="right" w:pos="9638"/>
        </w:tabs>
        <w:rPr>
          <w:b/>
          <w:noProof/>
          <w:szCs w:val="24"/>
          <w:lang w:eastAsia="lt-LT"/>
        </w:rPr>
      </w:pPr>
      <w:r w:rsidRPr="00E205A7">
        <w:rPr>
          <w:b/>
          <w:noProof/>
          <w:szCs w:val="24"/>
          <w:lang w:eastAsia="lt-LT"/>
        </w:rPr>
        <w:tab/>
        <w:t xml:space="preserve"> lyginamasis variantas</w:t>
      </w:r>
    </w:p>
    <w:p w:rsidR="00A04672" w:rsidRPr="00E205A7" w:rsidRDefault="00A04672" w:rsidP="00B67712">
      <w:pPr>
        <w:tabs>
          <w:tab w:val="left" w:pos="709"/>
        </w:tabs>
        <w:rPr>
          <w:b/>
          <w:szCs w:val="24"/>
        </w:rPr>
      </w:pPr>
    </w:p>
    <w:p w:rsidR="00A04672" w:rsidRPr="00E205A7" w:rsidRDefault="00192A94">
      <w:pPr>
        <w:tabs>
          <w:tab w:val="left" w:pos="709"/>
        </w:tabs>
        <w:jc w:val="center"/>
        <w:rPr>
          <w:b/>
          <w:caps/>
          <w:szCs w:val="24"/>
        </w:rPr>
      </w:pPr>
      <w:r w:rsidRPr="00E205A7">
        <w:rPr>
          <w:b/>
          <w:caps/>
          <w:szCs w:val="24"/>
        </w:rPr>
        <w:t xml:space="preserve">LIETUVOS RESPUBLIKOS </w:t>
      </w:r>
      <w:r w:rsidR="008F2E8A" w:rsidRPr="00E205A7">
        <w:rPr>
          <w:b/>
          <w:caps/>
          <w:szCs w:val="24"/>
        </w:rPr>
        <w:t xml:space="preserve">EKONOMIKOS IR INOVACIJŲ </w:t>
      </w:r>
      <w:r w:rsidRPr="00E205A7">
        <w:rPr>
          <w:b/>
          <w:caps/>
          <w:szCs w:val="24"/>
        </w:rPr>
        <w:t>MINISTRAS</w:t>
      </w:r>
    </w:p>
    <w:p w:rsidR="00A04672" w:rsidRPr="00E205A7" w:rsidRDefault="00A04672">
      <w:pPr>
        <w:ind w:firstLine="851"/>
        <w:jc w:val="center"/>
        <w:rPr>
          <w:b/>
          <w:caps/>
          <w:szCs w:val="24"/>
        </w:rPr>
      </w:pPr>
    </w:p>
    <w:p w:rsidR="00A04672" w:rsidRPr="00E205A7" w:rsidRDefault="00192A94">
      <w:pPr>
        <w:jc w:val="center"/>
        <w:rPr>
          <w:b/>
          <w:szCs w:val="24"/>
          <w:lang w:eastAsia="lt-LT"/>
        </w:rPr>
      </w:pPr>
      <w:r w:rsidRPr="00E205A7">
        <w:rPr>
          <w:b/>
          <w:szCs w:val="24"/>
          <w:lang w:eastAsia="lt-LT"/>
        </w:rPr>
        <w:t>ĮSAKYMAS</w:t>
      </w:r>
    </w:p>
    <w:p w:rsidR="00A04672" w:rsidRPr="00E205A7" w:rsidRDefault="00192A94">
      <w:pPr>
        <w:jc w:val="center"/>
        <w:rPr>
          <w:b/>
          <w:bCs/>
          <w:caps/>
          <w:szCs w:val="24"/>
        </w:rPr>
      </w:pPr>
      <w:r w:rsidRPr="00E205A7">
        <w:rPr>
          <w:b/>
          <w:bCs/>
          <w:caps/>
          <w:szCs w:val="24"/>
        </w:rPr>
        <w:t xml:space="preserve">DĖL LIETUVOS RESPUBLIKOS </w:t>
      </w:r>
      <w:r w:rsidR="00520B20" w:rsidRPr="00E205A7">
        <w:rPr>
          <w:b/>
          <w:bCs/>
          <w:caps/>
          <w:szCs w:val="24"/>
        </w:rPr>
        <w:t xml:space="preserve">ekonomikos ir inovacijų </w:t>
      </w:r>
      <w:r w:rsidRPr="00E205A7">
        <w:rPr>
          <w:b/>
          <w:bCs/>
          <w:caps/>
          <w:szCs w:val="24"/>
        </w:rPr>
        <w:t>MINISTRO 201</w:t>
      </w:r>
      <w:r w:rsidR="00571146" w:rsidRPr="00E205A7">
        <w:rPr>
          <w:b/>
          <w:bCs/>
          <w:caps/>
          <w:szCs w:val="24"/>
        </w:rPr>
        <w:t>7</w:t>
      </w:r>
      <w:r w:rsidRPr="00E205A7">
        <w:rPr>
          <w:b/>
          <w:bCs/>
          <w:caps/>
          <w:szCs w:val="24"/>
        </w:rPr>
        <w:t xml:space="preserve"> M. </w:t>
      </w:r>
      <w:r w:rsidR="00571146" w:rsidRPr="00E205A7">
        <w:rPr>
          <w:b/>
          <w:bCs/>
          <w:caps/>
          <w:szCs w:val="24"/>
        </w:rPr>
        <w:t>kovo</w:t>
      </w:r>
      <w:r w:rsidRPr="00E205A7">
        <w:rPr>
          <w:b/>
          <w:bCs/>
          <w:caps/>
          <w:szCs w:val="24"/>
        </w:rPr>
        <w:t xml:space="preserve"> </w:t>
      </w:r>
      <w:r w:rsidR="00571146" w:rsidRPr="00E205A7">
        <w:rPr>
          <w:b/>
          <w:bCs/>
          <w:caps/>
          <w:szCs w:val="24"/>
        </w:rPr>
        <w:t>6</w:t>
      </w:r>
      <w:r w:rsidRPr="00E205A7">
        <w:rPr>
          <w:b/>
          <w:bCs/>
          <w:caps/>
          <w:szCs w:val="24"/>
        </w:rPr>
        <w:t xml:space="preserve"> D. ĮSAKYMO NR. 4-</w:t>
      </w:r>
      <w:r w:rsidR="00571146" w:rsidRPr="00E205A7">
        <w:rPr>
          <w:b/>
          <w:bCs/>
          <w:caps/>
          <w:szCs w:val="24"/>
        </w:rPr>
        <w:t>128</w:t>
      </w:r>
      <w:r w:rsidRPr="00E205A7">
        <w:rPr>
          <w:b/>
          <w:bCs/>
          <w:caps/>
          <w:szCs w:val="24"/>
        </w:rPr>
        <w:t xml:space="preserve"> „dėl 2014–2020 metų europos sąjungos fondų investicijų veiksmų programos 1 prioriteto „mokslinių tyrimų, eksperimentinės plėtros ir inovacijų skatinimas“ priemonės Nr. </w:t>
      </w:r>
      <w:r w:rsidRPr="00E205A7">
        <w:rPr>
          <w:b/>
          <w:bCs/>
          <w:caps/>
          <w:szCs w:val="24"/>
          <w:lang w:eastAsia="lt-LT"/>
        </w:rPr>
        <w:t>01.2.1-</w:t>
      </w:r>
      <w:r w:rsidR="00E54F29" w:rsidRPr="00E205A7">
        <w:rPr>
          <w:b/>
          <w:bCs/>
          <w:caps/>
          <w:szCs w:val="24"/>
          <w:lang w:eastAsia="lt-LT"/>
        </w:rPr>
        <w:t>LVPA</w:t>
      </w:r>
      <w:r w:rsidRPr="00E205A7">
        <w:rPr>
          <w:b/>
          <w:bCs/>
          <w:caps/>
          <w:szCs w:val="24"/>
          <w:lang w:eastAsia="lt-LT"/>
        </w:rPr>
        <w:t>-T-8</w:t>
      </w:r>
      <w:r w:rsidR="00571146" w:rsidRPr="00E205A7">
        <w:rPr>
          <w:b/>
          <w:bCs/>
          <w:caps/>
          <w:szCs w:val="24"/>
          <w:lang w:eastAsia="lt-LT"/>
        </w:rPr>
        <w:t>44</w:t>
      </w:r>
      <w:r w:rsidRPr="00E205A7">
        <w:rPr>
          <w:b/>
          <w:bCs/>
          <w:caps/>
          <w:szCs w:val="24"/>
          <w:lang w:eastAsia="lt-LT"/>
        </w:rPr>
        <w:t xml:space="preserve"> </w:t>
      </w:r>
      <w:r w:rsidRPr="00E205A7">
        <w:rPr>
          <w:rFonts w:eastAsia="Calibri"/>
          <w:b/>
          <w:bCs/>
          <w:caps/>
          <w:szCs w:val="24"/>
          <w:lang w:eastAsia="lt-LT"/>
        </w:rPr>
        <w:t>„INO</w:t>
      </w:r>
      <w:r w:rsidR="00571146" w:rsidRPr="00E205A7">
        <w:rPr>
          <w:rFonts w:eastAsia="Calibri"/>
          <w:b/>
          <w:bCs/>
          <w:caps/>
          <w:szCs w:val="24"/>
          <w:lang w:eastAsia="lt-LT"/>
        </w:rPr>
        <w:t>connect</w:t>
      </w:r>
      <w:r w:rsidRPr="00E205A7">
        <w:rPr>
          <w:rFonts w:eastAsia="Calibri"/>
          <w:b/>
          <w:bCs/>
          <w:caps/>
          <w:szCs w:val="24"/>
          <w:lang w:eastAsia="lt-LT"/>
        </w:rPr>
        <w:t>“</w:t>
      </w:r>
      <w:r w:rsidRPr="00E205A7">
        <w:rPr>
          <w:b/>
          <w:bCs/>
          <w:caps/>
          <w:szCs w:val="24"/>
          <w:lang w:eastAsia="lt-LT"/>
        </w:rPr>
        <w:t xml:space="preserve"> </w:t>
      </w:r>
      <w:r w:rsidRPr="00E205A7">
        <w:rPr>
          <w:b/>
          <w:bCs/>
          <w:caps/>
          <w:szCs w:val="24"/>
        </w:rPr>
        <w:t>projektų finansavimo sąlygų aprašo patvirtinimo“ PAKEITIMO</w:t>
      </w:r>
    </w:p>
    <w:p w:rsidR="00A04672" w:rsidRPr="00E205A7" w:rsidRDefault="00A04672">
      <w:pPr>
        <w:rPr>
          <w:szCs w:val="24"/>
        </w:rPr>
      </w:pPr>
    </w:p>
    <w:p w:rsidR="00A04672" w:rsidRPr="00E205A7" w:rsidRDefault="006B2242" w:rsidP="00C7320D">
      <w:pPr>
        <w:ind w:firstLine="851"/>
        <w:jc w:val="center"/>
        <w:rPr>
          <w:szCs w:val="24"/>
        </w:rPr>
      </w:pPr>
      <w:r w:rsidRPr="00E205A7">
        <w:rPr>
          <w:szCs w:val="24"/>
        </w:rPr>
        <w:t>20</w:t>
      </w:r>
      <w:r w:rsidR="000F4CA0" w:rsidRPr="00E205A7">
        <w:rPr>
          <w:szCs w:val="24"/>
        </w:rPr>
        <w:t>2</w:t>
      </w:r>
      <w:r w:rsidR="00E17018">
        <w:rPr>
          <w:szCs w:val="24"/>
          <w:lang w:val="en-GB"/>
        </w:rPr>
        <w:t>1</w:t>
      </w:r>
      <w:r w:rsidRPr="00E205A7">
        <w:rPr>
          <w:szCs w:val="24"/>
        </w:rPr>
        <w:t xml:space="preserve"> m. </w:t>
      </w:r>
      <w:r w:rsidR="00F946E2">
        <w:rPr>
          <w:szCs w:val="24"/>
        </w:rPr>
        <w:t>kovo</w:t>
      </w:r>
      <w:r w:rsidR="00AE5EF5" w:rsidRPr="00E205A7">
        <w:rPr>
          <w:szCs w:val="24"/>
        </w:rPr>
        <w:t xml:space="preserve">   d. Nr. </w:t>
      </w:r>
    </w:p>
    <w:p w:rsidR="00A04672" w:rsidRPr="00E205A7" w:rsidRDefault="00192A94">
      <w:pPr>
        <w:ind w:firstLine="851"/>
        <w:jc w:val="center"/>
        <w:rPr>
          <w:szCs w:val="24"/>
        </w:rPr>
      </w:pPr>
      <w:r w:rsidRPr="00E205A7">
        <w:rPr>
          <w:szCs w:val="24"/>
        </w:rPr>
        <w:t>Vilnius</w:t>
      </w:r>
    </w:p>
    <w:p w:rsidR="00A04672" w:rsidRPr="00E205A7" w:rsidRDefault="00A04672">
      <w:pPr>
        <w:ind w:firstLine="851"/>
        <w:jc w:val="center"/>
        <w:rPr>
          <w:szCs w:val="24"/>
        </w:rPr>
      </w:pPr>
    </w:p>
    <w:p w:rsidR="00290FA4" w:rsidRDefault="3FF1CA72" w:rsidP="00290FA4">
      <w:pPr>
        <w:ind w:firstLine="851"/>
        <w:jc w:val="both"/>
      </w:pPr>
      <w:r>
        <w:t>Atsižvelgdama į tai, kad Lietuvos Respublikos Vyriausybės 2020 m. vasario 26 d. nutarimu Nr. 152 „Dėl valstybės lygio ekstremaliosios situacijos paskelbimo“ paskelbta valstybės lygio ekstremalioji situacija visoje šalyje dėl COVID-19 ligos (koronaviruso infekcijos) plitimo grėsmės, ir į Projektų administravimo ir finansavimo taisyklių, patvirtintų Lietuvos Respublikos finansų ministro 2014 m. spalio 8 d. įsakymu Nr. 1K-316 „Dėl Projektų administravimo ir finansavimo taisyklių patvirtinimo“ 8</w:t>
      </w:r>
      <w:r w:rsidRPr="3FF1CA72">
        <w:rPr>
          <w:lang w:val="en-US"/>
        </w:rPr>
        <w:t xml:space="preserve">9 </w:t>
      </w:r>
      <w:r>
        <w:t xml:space="preserve">ir 520 punktus, p a k e i č i u 2014–2020 metų Europos Sąjungos fondų investicijų veiksmų programos 1 prioriteto „Mokslinių tyrimų, eksperimentinės plėtros ir inovacijų skatinimas“ priemonės Nr. 01.2.1-LVPA-T-844 „InoConnect“ projektų finansavimo sąlygų aprašą, patvirtintą Lietuvos Respublikos ekonomikos ir inovacijų ministro 2017 m. kovo 6 d. įsakymu Nr. 4-128 „Dėl 2014–2020 metų Europos Sąjungos fondų investicijų veiksmų programos 1 prioriteto „Mokslinių tyrimų, eksperimentinės plėtros ir inovacijų skatinimas“ priemonės Nr. 01.2.1-LVPA-T-844 </w:t>
      </w:r>
      <w:r w:rsidRPr="3FF1CA72">
        <w:rPr>
          <w:rFonts w:eastAsia="Calibri"/>
          <w:lang w:eastAsia="lt-LT"/>
        </w:rPr>
        <w:t>„InoConnect“</w:t>
      </w:r>
      <w:r w:rsidRPr="3FF1CA72">
        <w:rPr>
          <w:lang w:eastAsia="lt-LT"/>
        </w:rPr>
        <w:t xml:space="preserve"> projektų finansavimo sąlygų aprašo patvirtinimo“:</w:t>
      </w:r>
    </w:p>
    <w:p w:rsidR="00E205A7" w:rsidRDefault="00E205A7" w:rsidP="00E205A7">
      <w:pPr>
        <w:tabs>
          <w:tab w:val="left" w:pos="567"/>
        </w:tabs>
        <w:ind w:firstLine="709"/>
        <w:rPr>
          <w:rFonts w:eastAsia="Calibri"/>
          <w:szCs w:val="24"/>
        </w:rPr>
      </w:pPr>
      <w:r>
        <w:rPr>
          <w:szCs w:val="24"/>
        </w:rPr>
        <w:t>1. Pakeičiu tvirtinimo žymą ir ją išdėstau taip:</w:t>
      </w:r>
    </w:p>
    <w:p w:rsidR="00E205A7" w:rsidRDefault="00E205A7" w:rsidP="00E205A7">
      <w:pPr>
        <w:tabs>
          <w:tab w:val="left" w:pos="567"/>
        </w:tabs>
        <w:ind w:left="567" w:firstLine="142"/>
        <w:rPr>
          <w:bCs/>
          <w:szCs w:val="24"/>
        </w:rPr>
      </w:pPr>
      <w:r>
        <w:rPr>
          <w:bCs/>
          <w:szCs w:val="24"/>
        </w:rPr>
        <w:t>„PATVIRTINTA</w:t>
      </w:r>
    </w:p>
    <w:p w:rsidR="00E205A7" w:rsidRDefault="00E205A7" w:rsidP="00E205A7">
      <w:pPr>
        <w:tabs>
          <w:tab w:val="left" w:pos="567"/>
        </w:tabs>
        <w:ind w:left="567" w:firstLine="142"/>
        <w:rPr>
          <w:bCs/>
          <w:szCs w:val="24"/>
        </w:rPr>
      </w:pPr>
      <w:r>
        <w:rPr>
          <w:bCs/>
          <w:szCs w:val="24"/>
        </w:rPr>
        <w:t xml:space="preserve">Lietuvos Respublikos ekonomikos ir inovacijų ministro </w:t>
      </w:r>
    </w:p>
    <w:p w:rsidR="00E205A7" w:rsidRPr="00E205A7" w:rsidRDefault="00E205A7" w:rsidP="00E17018">
      <w:pPr>
        <w:tabs>
          <w:tab w:val="left" w:pos="567"/>
        </w:tabs>
        <w:ind w:left="567" w:firstLine="142"/>
        <w:rPr>
          <w:bCs/>
          <w:szCs w:val="24"/>
        </w:rPr>
      </w:pPr>
      <w:r>
        <w:rPr>
          <w:bCs/>
          <w:szCs w:val="24"/>
        </w:rPr>
        <w:t xml:space="preserve">2017 m. </w:t>
      </w:r>
      <w:r>
        <w:rPr>
          <w:rFonts w:eastAsia="Calibri"/>
          <w:szCs w:val="24"/>
        </w:rPr>
        <w:t xml:space="preserve">kovo 6 </w:t>
      </w:r>
      <w:r>
        <w:rPr>
          <w:bCs/>
          <w:szCs w:val="24"/>
        </w:rPr>
        <w:t>d. įsakymu Nr. </w:t>
      </w:r>
      <w:r>
        <w:rPr>
          <w:rFonts w:eastAsia="Calibri"/>
          <w:szCs w:val="24"/>
        </w:rPr>
        <w:t>4-128“;</w:t>
      </w:r>
      <w:r w:rsidRPr="00E205A7">
        <w:rPr>
          <w:bCs/>
          <w:szCs w:val="24"/>
        </w:rPr>
        <w:t xml:space="preserve"> </w:t>
      </w:r>
    </w:p>
    <w:p w:rsidR="00051A53" w:rsidRPr="00E205A7" w:rsidRDefault="00E205A7" w:rsidP="00290FA4">
      <w:pPr>
        <w:ind w:firstLine="709"/>
        <w:jc w:val="both"/>
        <w:rPr>
          <w:bCs/>
          <w:szCs w:val="24"/>
        </w:rPr>
      </w:pPr>
      <w:r>
        <w:rPr>
          <w:bCs/>
          <w:szCs w:val="24"/>
        </w:rPr>
        <w:t>2</w:t>
      </w:r>
      <w:r w:rsidR="00206631" w:rsidRPr="00E205A7">
        <w:rPr>
          <w:bCs/>
          <w:szCs w:val="24"/>
        </w:rPr>
        <w:t xml:space="preserve">. </w:t>
      </w:r>
      <w:r w:rsidR="00051A53" w:rsidRPr="00E205A7">
        <w:rPr>
          <w:bCs/>
          <w:szCs w:val="24"/>
        </w:rPr>
        <w:t>Pakeičiu 19 punktą ir jį išdėstau taip:</w:t>
      </w:r>
    </w:p>
    <w:p w:rsidR="00051A53" w:rsidRPr="00E205A7" w:rsidRDefault="00051A53" w:rsidP="00290FA4">
      <w:pPr>
        <w:ind w:firstLine="709"/>
        <w:jc w:val="both"/>
        <w:rPr>
          <w:bCs/>
          <w:szCs w:val="24"/>
        </w:rPr>
      </w:pPr>
      <w:r w:rsidRPr="00E205A7">
        <w:rPr>
          <w:color w:val="000000"/>
          <w:szCs w:val="24"/>
        </w:rPr>
        <w:t>„19. Teikiamų pagal Aprašą projektų veiklų įgyvendinimo trukmė turi būti ne ilgesnė kaip 18 mėnesių nuo iš Europos Sąjungos struktūrinių fondų lėšų bendrai finansuojamo projekto sutarties (toliau – projekto sutartis) pasirašymo dienos.</w:t>
      </w:r>
      <w:r w:rsidR="00D60A9F" w:rsidRPr="00E205A7">
        <w:rPr>
          <w:color w:val="000000"/>
          <w:szCs w:val="24"/>
        </w:rPr>
        <w:t xml:space="preserve"> </w:t>
      </w:r>
      <w:r w:rsidR="00D60A9F" w:rsidRPr="00E205A7">
        <w:rPr>
          <w:b/>
          <w:color w:val="000000"/>
          <w:szCs w:val="24"/>
        </w:rPr>
        <w:t xml:space="preserve">Projekto veiklos turi būti pradėtos vykdyti per 4 mėnesius nuo </w:t>
      </w:r>
      <w:r w:rsidR="006513DB" w:rsidRPr="00E205A7">
        <w:rPr>
          <w:b/>
          <w:color w:val="000000"/>
          <w:szCs w:val="24"/>
        </w:rPr>
        <w:t xml:space="preserve">projekto </w:t>
      </w:r>
      <w:r w:rsidR="00D60A9F" w:rsidRPr="00E205A7">
        <w:rPr>
          <w:b/>
          <w:color w:val="000000"/>
          <w:szCs w:val="24"/>
        </w:rPr>
        <w:t>sutarties pasirašymo.</w:t>
      </w:r>
      <w:r w:rsidRPr="00E205A7">
        <w:rPr>
          <w:color w:val="000000"/>
          <w:szCs w:val="24"/>
        </w:rPr>
        <w:t>“</w:t>
      </w:r>
    </w:p>
    <w:p w:rsidR="00BE4B5C" w:rsidRPr="00E205A7" w:rsidRDefault="00E205A7" w:rsidP="00290FA4">
      <w:pPr>
        <w:ind w:firstLine="709"/>
        <w:jc w:val="both"/>
        <w:rPr>
          <w:bCs/>
          <w:szCs w:val="24"/>
        </w:rPr>
      </w:pPr>
      <w:bookmarkStart w:id="0" w:name="_Hlk56151757"/>
      <w:r>
        <w:rPr>
          <w:bCs/>
          <w:szCs w:val="24"/>
        </w:rPr>
        <w:t>3</w:t>
      </w:r>
      <w:r w:rsidR="00051A53" w:rsidRPr="00E205A7">
        <w:rPr>
          <w:bCs/>
          <w:szCs w:val="24"/>
        </w:rPr>
        <w:t xml:space="preserve">. </w:t>
      </w:r>
      <w:r w:rsidR="00BE4B5C" w:rsidRPr="00E205A7">
        <w:rPr>
          <w:bCs/>
          <w:szCs w:val="24"/>
        </w:rPr>
        <w:t xml:space="preserve">Pakeičiu </w:t>
      </w:r>
      <w:r w:rsidR="00D258C0" w:rsidRPr="00E205A7">
        <w:rPr>
          <w:bCs/>
          <w:szCs w:val="24"/>
        </w:rPr>
        <w:t>35</w:t>
      </w:r>
      <w:r w:rsidR="00BE4B5C" w:rsidRPr="00E205A7">
        <w:rPr>
          <w:bCs/>
          <w:szCs w:val="24"/>
        </w:rPr>
        <w:t xml:space="preserve"> punktą ir jį išdėstau taip:</w:t>
      </w:r>
    </w:p>
    <w:p w:rsidR="00807E3A" w:rsidRPr="00E205A7" w:rsidRDefault="00BE4B5C" w:rsidP="00807E3A">
      <w:pPr>
        <w:ind w:firstLine="709"/>
        <w:jc w:val="both"/>
        <w:rPr>
          <w:color w:val="000000"/>
          <w:szCs w:val="24"/>
          <w:lang w:eastAsia="lt-LT"/>
        </w:rPr>
      </w:pPr>
      <w:r w:rsidRPr="00E205A7">
        <w:rPr>
          <w:rFonts w:eastAsia="Calibri"/>
          <w:szCs w:val="24"/>
        </w:rPr>
        <w:t>„</w:t>
      </w:r>
      <w:r w:rsidR="00807E3A" w:rsidRPr="00E205A7">
        <w:rPr>
          <w:color w:val="000000"/>
          <w:szCs w:val="24"/>
          <w:lang w:eastAsia="lt-LT"/>
        </w:rPr>
        <w:t>35. Pagal Aprašą tinkamų arba netinkamų finansuoti išlaidų kategorijos yra nustatytos Aprašo lentelėje.</w:t>
      </w:r>
    </w:p>
    <w:p w:rsidR="00807E3A" w:rsidRPr="00E205A7" w:rsidRDefault="00807E3A" w:rsidP="00807E3A">
      <w:pPr>
        <w:ind w:firstLine="709"/>
        <w:jc w:val="both"/>
        <w:rPr>
          <w:color w:val="000000"/>
          <w:szCs w:val="24"/>
          <w:lang w:eastAsia="lt-LT"/>
        </w:rPr>
      </w:pPr>
      <w:r w:rsidRPr="00E205A7">
        <w:rPr>
          <w:color w:val="000000"/>
          <w:szCs w:val="24"/>
          <w:lang w:eastAsia="lt-LT"/>
        </w:rPr>
        <w:t> </w:t>
      </w:r>
    </w:p>
    <w:p w:rsidR="00807E3A" w:rsidRPr="00E205A7" w:rsidRDefault="00807E3A" w:rsidP="00807E3A">
      <w:pPr>
        <w:ind w:firstLine="709"/>
        <w:jc w:val="both"/>
        <w:rPr>
          <w:color w:val="000000"/>
          <w:szCs w:val="24"/>
          <w:lang w:eastAsia="lt-LT"/>
        </w:rPr>
      </w:pPr>
      <w:r w:rsidRPr="00E205A7">
        <w:rPr>
          <w:color w:val="000000"/>
          <w:szCs w:val="24"/>
          <w:lang w:eastAsia="lt-LT"/>
        </w:rPr>
        <w:t>Lentelė. Tinkamų arba netinkamų finansuoti išlaidų kategorijos.</w:t>
      </w:r>
    </w:p>
    <w:tbl>
      <w:tblPr>
        <w:tblW w:w="9525" w:type="dxa"/>
        <w:tblInd w:w="108" w:type="dxa"/>
        <w:shd w:val="clear" w:color="auto" w:fill="FFFFFF"/>
        <w:tblCellMar>
          <w:left w:w="0" w:type="dxa"/>
          <w:right w:w="0" w:type="dxa"/>
        </w:tblCellMar>
        <w:tblLook w:val="04A0" w:firstRow="1" w:lastRow="0" w:firstColumn="1" w:lastColumn="0" w:noHBand="0" w:noVBand="1"/>
      </w:tblPr>
      <w:tblGrid>
        <w:gridCol w:w="950"/>
        <w:gridCol w:w="1966"/>
        <w:gridCol w:w="6609"/>
      </w:tblGrid>
      <w:tr w:rsidR="00807E3A" w:rsidRPr="00E205A7" w:rsidTr="3FF1CA72">
        <w:tc>
          <w:tcPr>
            <w:tcW w:w="1021"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right="-57" w:firstLine="34"/>
              <w:jc w:val="center"/>
              <w:rPr>
                <w:szCs w:val="24"/>
                <w:lang w:eastAsia="lt-LT"/>
              </w:rPr>
            </w:pPr>
            <w:r w:rsidRPr="00E205A7">
              <w:rPr>
                <w:szCs w:val="24"/>
                <w:lang w:eastAsia="lt-LT"/>
              </w:rPr>
              <w:t>Išlaidų katego-rijos Nr.</w:t>
            </w:r>
          </w:p>
        </w:tc>
        <w:tc>
          <w:tcPr>
            <w:tcW w:w="3119"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right="-57" w:firstLine="34"/>
              <w:jc w:val="center"/>
              <w:rPr>
                <w:szCs w:val="24"/>
                <w:lang w:eastAsia="lt-LT"/>
              </w:rPr>
            </w:pPr>
            <w:r w:rsidRPr="00E205A7">
              <w:rPr>
                <w:szCs w:val="24"/>
                <w:lang w:eastAsia="lt-LT"/>
              </w:rPr>
              <w:t>Išlaidų kategorijos pavadinimas</w:t>
            </w:r>
          </w:p>
        </w:tc>
        <w:tc>
          <w:tcPr>
            <w:tcW w:w="5386"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right="-57" w:firstLine="34"/>
              <w:jc w:val="center"/>
              <w:rPr>
                <w:szCs w:val="24"/>
                <w:lang w:eastAsia="lt-LT"/>
              </w:rPr>
            </w:pPr>
            <w:r w:rsidRPr="00E205A7">
              <w:rPr>
                <w:szCs w:val="24"/>
                <w:lang w:eastAsia="lt-LT"/>
              </w:rPr>
              <w:t>Reikalavimai ir paaiškinimai</w:t>
            </w:r>
          </w:p>
        </w:tc>
      </w:tr>
      <w:tr w:rsidR="00807E3A" w:rsidRPr="00E205A7" w:rsidTr="3FF1CA72">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1.</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Žemė</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firstLine="34"/>
              <w:jc w:val="both"/>
              <w:rPr>
                <w:szCs w:val="24"/>
                <w:lang w:eastAsia="lt-LT"/>
              </w:rPr>
            </w:pPr>
            <w:r w:rsidRPr="00E205A7">
              <w:rPr>
                <w:szCs w:val="24"/>
                <w:lang w:eastAsia="lt-LT"/>
              </w:rPr>
              <w:t>Netinkama finansuoti.</w:t>
            </w:r>
          </w:p>
        </w:tc>
      </w:tr>
      <w:tr w:rsidR="00807E3A" w:rsidRPr="00E205A7" w:rsidTr="3FF1CA72">
        <w:tc>
          <w:tcPr>
            <w:tcW w:w="102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2.</w:t>
            </w:r>
          </w:p>
        </w:tc>
        <w:tc>
          <w:tcPr>
            <w:tcW w:w="311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Nekilnojamasis turtas</w:t>
            </w:r>
          </w:p>
        </w:tc>
        <w:tc>
          <w:tcPr>
            <w:tcW w:w="5386" w:type="dxa"/>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firstLine="34"/>
              <w:jc w:val="both"/>
              <w:rPr>
                <w:szCs w:val="24"/>
                <w:lang w:eastAsia="lt-LT"/>
              </w:rPr>
            </w:pPr>
            <w:r w:rsidRPr="00E205A7">
              <w:rPr>
                <w:szCs w:val="24"/>
                <w:lang w:eastAsia="lt-LT"/>
              </w:rPr>
              <w:t>Netinkama finansuoti.</w:t>
            </w:r>
          </w:p>
        </w:tc>
      </w:tr>
      <w:tr w:rsidR="00807E3A" w:rsidRPr="00E205A7" w:rsidTr="3FF1CA72">
        <w:tc>
          <w:tcPr>
            <w:tcW w:w="102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ind w:right="-57"/>
              <w:rPr>
                <w:szCs w:val="24"/>
                <w:lang w:eastAsia="lt-LT"/>
              </w:rPr>
            </w:pPr>
            <w:r w:rsidRPr="00E205A7">
              <w:rPr>
                <w:szCs w:val="24"/>
                <w:lang w:eastAsia="lt-LT"/>
              </w:rPr>
              <w:t>3.</w:t>
            </w:r>
          </w:p>
        </w:tc>
        <w:tc>
          <w:tcPr>
            <w:tcW w:w="3119"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807E3A" w:rsidRPr="00E205A7" w:rsidRDefault="00807E3A" w:rsidP="00807E3A">
            <w:pPr>
              <w:ind w:right="-57"/>
              <w:rPr>
                <w:szCs w:val="24"/>
                <w:lang w:eastAsia="lt-LT"/>
              </w:rPr>
            </w:pPr>
            <w:r w:rsidRPr="00E205A7">
              <w:rPr>
                <w:szCs w:val="24"/>
                <w:lang w:eastAsia="lt-LT"/>
              </w:rPr>
              <w:t>Statyba, rekonstravimas, remontas ir kiti darbai</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hideMark/>
          </w:tcPr>
          <w:p w:rsidR="00807E3A" w:rsidRDefault="00807E3A" w:rsidP="00E17018">
            <w:pPr>
              <w:ind w:firstLine="34"/>
              <w:rPr>
                <w:szCs w:val="24"/>
                <w:lang w:eastAsia="lt-LT"/>
              </w:rPr>
            </w:pPr>
            <w:r w:rsidRPr="00E205A7">
              <w:rPr>
                <w:szCs w:val="24"/>
                <w:lang w:eastAsia="lt-LT"/>
              </w:rPr>
              <w:t>Netinkama finansuoti.</w:t>
            </w:r>
          </w:p>
          <w:p w:rsidR="005152CF" w:rsidRPr="00E205A7" w:rsidRDefault="005152CF" w:rsidP="00E17018">
            <w:pPr>
              <w:rPr>
                <w:szCs w:val="24"/>
                <w:lang w:eastAsia="lt-LT"/>
              </w:rPr>
            </w:pPr>
          </w:p>
        </w:tc>
      </w:tr>
      <w:tr w:rsidR="00807E3A" w:rsidRPr="00E205A7" w:rsidTr="3FF1CA72">
        <w:tc>
          <w:tcPr>
            <w:tcW w:w="1021"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4.</w:t>
            </w:r>
          </w:p>
        </w:tc>
        <w:tc>
          <w:tcPr>
            <w:tcW w:w="311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Įranga, įrenginiai ir kitas turtas</w:t>
            </w:r>
          </w:p>
        </w:tc>
        <w:tc>
          <w:tcPr>
            <w:tcW w:w="5386"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ind w:firstLine="34"/>
              <w:jc w:val="both"/>
              <w:rPr>
                <w:szCs w:val="24"/>
                <w:lang w:eastAsia="lt-LT"/>
              </w:rPr>
            </w:pPr>
            <w:r w:rsidRPr="00E205A7">
              <w:rPr>
                <w:szCs w:val="24"/>
                <w:lang w:eastAsia="lt-LT"/>
              </w:rPr>
              <w:t>Netinkama finansuoti.</w:t>
            </w:r>
          </w:p>
        </w:tc>
      </w:tr>
      <w:tr w:rsidR="00807E3A" w:rsidRPr="00E205A7" w:rsidTr="3FF1CA72">
        <w:tc>
          <w:tcPr>
            <w:tcW w:w="10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bookmarkStart w:id="1" w:name="_Hlk55374907"/>
            <w:r w:rsidRPr="00E205A7">
              <w:rPr>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Projekto vykdymas</w:t>
            </w:r>
          </w:p>
        </w:tc>
        <w:tc>
          <w:tcPr>
            <w:tcW w:w="5386" w:type="dxa"/>
            <w:tcBorders>
              <w:top w:val="single" w:sz="8" w:space="0" w:color="auto"/>
              <w:left w:val="single" w:sz="4" w:space="0" w:color="auto"/>
              <w:bottom w:val="single" w:sz="4"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807E3A">
            <w:pPr>
              <w:jc w:val="both"/>
              <w:rPr>
                <w:color w:val="000000"/>
                <w:szCs w:val="24"/>
                <w:lang w:eastAsia="lt-LT"/>
              </w:rPr>
            </w:pPr>
            <w:r w:rsidRPr="00E205A7">
              <w:rPr>
                <w:color w:val="000000"/>
                <w:szCs w:val="24"/>
                <w:lang w:eastAsia="lt-LT"/>
              </w:rPr>
              <w:t>Tinkamomis finansuoti išlaidomis yra laikomos</w:t>
            </w:r>
            <w:r w:rsidR="00644160">
              <w:rPr>
                <w:color w:val="000000"/>
                <w:szCs w:val="24"/>
                <w:lang w:eastAsia="lt-LT"/>
              </w:rPr>
              <w:t xml:space="preserve"> </w:t>
            </w:r>
            <w:r w:rsidR="00644160" w:rsidRPr="00E205A7">
              <w:rPr>
                <w:b/>
                <w:bCs/>
                <w:szCs w:val="24"/>
                <w:lang w:eastAsia="lt-LT"/>
              </w:rPr>
              <w:t xml:space="preserve">išlaidos, susijusios su dalyvavimu </w:t>
            </w:r>
            <w:r w:rsidR="00644160" w:rsidRPr="00E205A7">
              <w:rPr>
                <w:b/>
                <w:bCs/>
                <w:color w:val="000000" w:themeColor="text1"/>
                <w:szCs w:val="24"/>
              </w:rPr>
              <w:t>tarptautinių MTEPI veiklos iniciatyvų, apie kurias informaciją teikia EĮT organizacijos, renginiuose</w:t>
            </w:r>
            <w:r w:rsidRPr="00E205A7">
              <w:rPr>
                <w:color w:val="000000"/>
                <w:szCs w:val="24"/>
                <w:lang w:eastAsia="lt-LT"/>
              </w:rPr>
              <w:t>:</w:t>
            </w:r>
          </w:p>
          <w:p w:rsidR="00644160" w:rsidRDefault="00807E3A" w:rsidP="00807E3A">
            <w:pPr>
              <w:jc w:val="both"/>
              <w:rPr>
                <w:color w:val="000000"/>
                <w:szCs w:val="24"/>
                <w:lang w:eastAsia="lt-LT"/>
              </w:rPr>
            </w:pPr>
            <w:r w:rsidRPr="00E205A7">
              <w:rPr>
                <w:b/>
                <w:color w:val="000000"/>
                <w:szCs w:val="24"/>
                <w:lang w:eastAsia="lt-LT"/>
              </w:rPr>
              <w:t>5.1.</w:t>
            </w:r>
            <w:r w:rsidRPr="00E205A7">
              <w:rPr>
                <w:color w:val="000000"/>
                <w:szCs w:val="24"/>
                <w:lang w:eastAsia="lt-LT"/>
              </w:rPr>
              <w:t xml:space="preserve"> </w:t>
            </w:r>
            <w:r w:rsidR="00644160" w:rsidRPr="00F946E2">
              <w:rPr>
                <w:b/>
                <w:color w:val="000000"/>
                <w:szCs w:val="24"/>
                <w:lang w:eastAsia="lt-LT"/>
              </w:rPr>
              <w:t>Renginių vykstančių</w:t>
            </w:r>
            <w:r w:rsidR="00B30BE1" w:rsidRPr="00F946E2">
              <w:rPr>
                <w:b/>
                <w:color w:val="000000"/>
                <w:szCs w:val="24"/>
                <w:lang w:eastAsia="lt-LT"/>
              </w:rPr>
              <w:t xml:space="preserve"> ne nuotoliniu būdu</w:t>
            </w:r>
            <w:r w:rsidR="00644160" w:rsidRPr="00F946E2">
              <w:rPr>
                <w:b/>
                <w:color w:val="000000"/>
                <w:szCs w:val="24"/>
                <w:lang w:eastAsia="lt-LT"/>
              </w:rPr>
              <w:t xml:space="preserve"> išlaidos:</w:t>
            </w:r>
          </w:p>
          <w:p w:rsidR="00644160" w:rsidRDefault="3FF1CA72" w:rsidP="3FF1CA72">
            <w:pPr>
              <w:jc w:val="both"/>
              <w:rPr>
                <w:color w:val="000000"/>
                <w:lang w:eastAsia="lt-LT"/>
              </w:rPr>
            </w:pPr>
            <w:r w:rsidRPr="00F946E2">
              <w:rPr>
                <w:b/>
                <w:color w:val="000000" w:themeColor="text1"/>
                <w:lang w:eastAsia="lt-LT"/>
              </w:rPr>
              <w:t>5.1.1</w:t>
            </w:r>
            <w:r w:rsidRPr="3FF1CA72">
              <w:rPr>
                <w:color w:val="000000" w:themeColor="text1"/>
                <w:lang w:eastAsia="lt-LT"/>
              </w:rPr>
              <w:t xml:space="preserve"> projektą vykdančio personalo (įmonių darbuotojų) darbo užmokesčio, komandiruočių (kelionės, apgyvendinimo ir dienpinigių) išlaidos. Darbo užmokestis apmokamas vadovaujantis Privačių juridinių asmenų projektų vykdančiojo personalo bei dalyvių darbo užmokesčio fiksuotųjų įkainių nustatymo tyrimo ataskaita (joje nurodytais skaičiavimais), paskelbta ES struktūrinių fondų  svetainėje </w:t>
            </w:r>
            <w:hyperlink r:id="rId8" w:history="1">
              <w:r w:rsidRPr="3FF1CA72">
                <w:rPr>
                  <w:rStyle w:val="Hyperlink"/>
                  <w:lang w:eastAsia="lt-LT"/>
                </w:rPr>
                <w:t>https://www.esinvesticijos.lt/lt/dokumentai//privaciu-juridiniu-asmenu-projektu-dalyviu-darbo-uzmokescio-fiksuotuju-ikainiu-nustatymo-tyrimo-ataskaita</w:t>
              </w:r>
            </w:hyperlink>
            <w:r w:rsidRPr="3FF1CA72">
              <w:rPr>
                <w:color w:val="000000" w:themeColor="text1"/>
                <w:lang w:eastAsia="lt-LT"/>
              </w:rPr>
              <w:t>. </w:t>
            </w:r>
          </w:p>
          <w:p w:rsidR="00807E3A" w:rsidRPr="00E205A7" w:rsidRDefault="00644160" w:rsidP="00807E3A">
            <w:pPr>
              <w:jc w:val="both"/>
              <w:rPr>
                <w:b/>
                <w:szCs w:val="24"/>
                <w:lang w:eastAsia="lt-LT"/>
              </w:rPr>
            </w:pPr>
            <w:r w:rsidRPr="00F946E2">
              <w:rPr>
                <w:b/>
                <w:color w:val="000000"/>
                <w:szCs w:val="24"/>
                <w:lang w:eastAsia="lt-LT"/>
              </w:rPr>
              <w:t>5.1.2</w:t>
            </w:r>
            <w:r>
              <w:rPr>
                <w:color w:val="000000"/>
                <w:szCs w:val="24"/>
                <w:lang w:eastAsia="lt-LT"/>
              </w:rPr>
              <w:t xml:space="preserve"> k</w:t>
            </w:r>
            <w:r w:rsidR="00807E3A" w:rsidRPr="00E205A7">
              <w:rPr>
                <w:color w:val="000000"/>
                <w:szCs w:val="24"/>
                <w:lang w:eastAsia="lt-LT"/>
              </w:rPr>
              <w:t>omandiruočių (kelionės, apgyvendinimo ir dienpinigių) išlaidos apmokamos vadovaujantis  Mokslinių išvykų išlaidų fiksuotųjų įkainių apskaičiavimo tyrimo ataskaita (joje nurodytais skaičiavimais), paskelbta ES struktūrinių fondų svetainėje </w:t>
            </w:r>
            <w:r w:rsidR="00807E3A" w:rsidRPr="00E205A7">
              <w:rPr>
                <w:szCs w:val="24"/>
                <w:lang w:eastAsia="lt-LT"/>
              </w:rPr>
              <w:t>https://www.esinvesticijos.lt/lt//dokumentai//moksliniu-isvyku-islaidu-fiksuotuju-ikainiu-apskaiciavimo-ataskaita.</w:t>
            </w:r>
          </w:p>
          <w:p w:rsidR="00644160" w:rsidRDefault="7752E475" w:rsidP="00E17018">
            <w:pPr>
              <w:jc w:val="both"/>
              <w:rPr>
                <w:b/>
                <w:bCs/>
                <w:szCs w:val="24"/>
                <w:lang w:eastAsia="lt-LT"/>
              </w:rPr>
            </w:pPr>
            <w:r w:rsidRPr="00E205A7">
              <w:rPr>
                <w:b/>
                <w:bCs/>
                <w:szCs w:val="24"/>
                <w:lang w:eastAsia="lt-LT"/>
              </w:rPr>
              <w:t xml:space="preserve">5.2. </w:t>
            </w:r>
            <w:r w:rsidR="00644160">
              <w:rPr>
                <w:b/>
                <w:bCs/>
                <w:szCs w:val="24"/>
                <w:lang w:eastAsia="lt-LT"/>
              </w:rPr>
              <w:t>Nuotolinių renginių išlaidos:</w:t>
            </w:r>
          </w:p>
          <w:p w:rsidR="00644160" w:rsidRPr="00F946E2" w:rsidRDefault="00644160">
            <w:pPr>
              <w:jc w:val="both"/>
              <w:rPr>
                <w:b/>
                <w:color w:val="000000"/>
                <w:lang w:eastAsia="lt-LT"/>
              </w:rPr>
            </w:pPr>
            <w:r>
              <w:rPr>
                <w:b/>
                <w:bCs/>
                <w:szCs w:val="24"/>
                <w:lang w:eastAsia="lt-LT"/>
              </w:rPr>
              <w:t xml:space="preserve">5.2.1 </w:t>
            </w:r>
            <w:r w:rsidR="7752E475" w:rsidRPr="00E205A7">
              <w:rPr>
                <w:b/>
                <w:bCs/>
                <w:color w:val="000000" w:themeColor="text1"/>
                <w:szCs w:val="24"/>
              </w:rPr>
              <w:t>projektą vykdančio personalo (įmonių darbuotojų) darbo užmokesčio išlaidos.</w:t>
            </w:r>
            <w:r w:rsidR="00477C7B">
              <w:rPr>
                <w:b/>
                <w:bCs/>
                <w:color w:val="000000" w:themeColor="text1"/>
                <w:szCs w:val="24"/>
              </w:rPr>
              <w:t xml:space="preserve"> </w:t>
            </w:r>
            <w:r w:rsidR="00E17018">
              <w:rPr>
                <w:b/>
                <w:bCs/>
                <w:color w:val="000000" w:themeColor="text1"/>
                <w:szCs w:val="24"/>
              </w:rPr>
              <w:t>Šios</w:t>
            </w:r>
            <w:r w:rsidR="00225F6B" w:rsidRPr="00E205A7">
              <w:rPr>
                <w:b/>
                <w:bCs/>
                <w:color w:val="000000" w:themeColor="text1"/>
                <w:szCs w:val="24"/>
              </w:rPr>
              <w:t xml:space="preserve"> </w:t>
            </w:r>
            <w:r w:rsidR="00884DD9" w:rsidRPr="00E205A7">
              <w:rPr>
                <w:b/>
                <w:bCs/>
                <w:color w:val="000000" w:themeColor="text1"/>
                <w:szCs w:val="24"/>
              </w:rPr>
              <w:t>išlaidos</w:t>
            </w:r>
            <w:r w:rsidR="00225F6B" w:rsidRPr="00E205A7">
              <w:rPr>
                <w:b/>
                <w:bCs/>
                <w:color w:val="000000" w:themeColor="text1"/>
                <w:szCs w:val="24"/>
              </w:rPr>
              <w:t xml:space="preserve"> </w:t>
            </w:r>
            <w:r w:rsidR="000F46BF">
              <w:rPr>
                <w:b/>
                <w:bCs/>
                <w:color w:val="000000" w:themeColor="text1"/>
                <w:szCs w:val="24"/>
              </w:rPr>
              <w:t xml:space="preserve">yra </w:t>
            </w:r>
            <w:r w:rsidR="00884DD9" w:rsidRPr="00E205A7">
              <w:rPr>
                <w:b/>
                <w:bCs/>
                <w:color w:val="000000" w:themeColor="text1"/>
                <w:szCs w:val="24"/>
              </w:rPr>
              <w:t>tinkamos finansuoti</w:t>
            </w:r>
            <w:r w:rsidR="0021614B" w:rsidRPr="00E205A7">
              <w:rPr>
                <w:b/>
                <w:bCs/>
                <w:color w:val="000000" w:themeColor="text1"/>
                <w:szCs w:val="24"/>
              </w:rPr>
              <w:t xml:space="preserve"> </w:t>
            </w:r>
            <w:r w:rsidR="0021614B" w:rsidRPr="00E205A7">
              <w:rPr>
                <w:b/>
                <w:color w:val="000000"/>
                <w:szCs w:val="24"/>
                <w:lang w:eastAsia="lt-LT"/>
              </w:rPr>
              <w:t>ir jau įgyvendinamiems projektams</w:t>
            </w:r>
            <w:r w:rsidR="00A64AD3" w:rsidRPr="00E205A7">
              <w:rPr>
                <w:b/>
                <w:bCs/>
                <w:color w:val="000000" w:themeColor="text1"/>
                <w:szCs w:val="24"/>
              </w:rPr>
              <w:t>,</w:t>
            </w:r>
            <w:r w:rsidR="00884DD9" w:rsidRPr="00E205A7">
              <w:rPr>
                <w:b/>
                <w:bCs/>
                <w:color w:val="000000" w:themeColor="text1"/>
                <w:szCs w:val="24"/>
              </w:rPr>
              <w:t xml:space="preserve"> </w:t>
            </w:r>
            <w:r w:rsidR="00E17575" w:rsidRPr="00E205A7">
              <w:rPr>
                <w:b/>
                <w:bCs/>
                <w:color w:val="000000" w:themeColor="text1"/>
                <w:szCs w:val="24"/>
              </w:rPr>
              <w:t xml:space="preserve">jei jos patirtos ne anksčiau kaip </w:t>
            </w:r>
            <w:r w:rsidR="00884DD9" w:rsidRPr="00E205A7">
              <w:rPr>
                <w:b/>
                <w:bCs/>
                <w:color w:val="000000" w:themeColor="text1"/>
                <w:szCs w:val="24"/>
              </w:rPr>
              <w:t xml:space="preserve">2020 m. </w:t>
            </w:r>
            <w:r w:rsidR="00AA64FA" w:rsidRPr="00E205A7">
              <w:rPr>
                <w:b/>
                <w:bCs/>
                <w:color w:val="000000" w:themeColor="text1"/>
                <w:szCs w:val="24"/>
              </w:rPr>
              <w:t xml:space="preserve">vasario 26 d. (nuo </w:t>
            </w:r>
            <w:r w:rsidR="00AA64FA" w:rsidRPr="00E205A7">
              <w:rPr>
                <w:b/>
                <w:bCs/>
                <w:color w:val="000000"/>
                <w:szCs w:val="24"/>
              </w:rPr>
              <w:t>valstybės lygio ekstremaliosios situacijos paskelbimo</w:t>
            </w:r>
            <w:r w:rsidR="0079736A">
              <w:rPr>
                <w:b/>
                <w:bCs/>
                <w:color w:val="000000"/>
                <w:szCs w:val="24"/>
              </w:rPr>
              <w:t>)</w:t>
            </w:r>
            <w:r w:rsidR="009B2466">
              <w:rPr>
                <w:b/>
                <w:bCs/>
                <w:color w:val="000000"/>
                <w:szCs w:val="24"/>
              </w:rPr>
              <w:t>.</w:t>
            </w:r>
            <w:r w:rsidR="00634D5B" w:rsidRPr="00C72629">
              <w:rPr>
                <w:color w:val="000000"/>
                <w:lang w:eastAsia="lt-LT"/>
              </w:rPr>
              <w:t xml:space="preserve"> </w:t>
            </w:r>
            <w:bookmarkStart w:id="2" w:name="_GoBack"/>
            <w:bookmarkEnd w:id="2"/>
            <w:r w:rsidR="00133E56" w:rsidRPr="00F946E2">
              <w:rPr>
                <w:b/>
                <w:color w:val="000000"/>
                <w:szCs w:val="24"/>
                <w:lang w:eastAsia="lt-LT"/>
              </w:rPr>
              <w:t xml:space="preserve">Darbo užmokestis apmokamas vadovaujantis Privačių juridinių asmenų projektų vykdančiojo personalo bei dalyvių darbo užmokesčio fiksuotųjų įkainių nustatymo tyrimo ataskaita (joje nurodytais skaičiavimais), paskelbta ES struktūrinių fondų  svetainėje </w:t>
            </w:r>
            <w:hyperlink r:id="rId9" w:history="1">
              <w:r w:rsidR="00133E56" w:rsidRPr="00F946E2">
                <w:rPr>
                  <w:rStyle w:val="Hyperlink"/>
                  <w:b/>
                  <w:szCs w:val="24"/>
                  <w:lang w:eastAsia="lt-LT"/>
                </w:rPr>
                <w:t>https://www.esinvesticijos.lt/lt/dokumentai//privaciu-juridiniu-asmenu-projektu-dalyviu-darbo-uzmokescio-fiksuotuju-ikainiu-nustatymo-tyrimo-ataskaita</w:t>
              </w:r>
            </w:hyperlink>
            <w:r w:rsidR="00681B0D">
              <w:rPr>
                <w:b/>
                <w:color w:val="000000"/>
                <w:szCs w:val="24"/>
                <w:lang w:eastAsia="lt-LT"/>
              </w:rPr>
              <w:t>.</w:t>
            </w:r>
          </w:p>
          <w:p w:rsidR="00644160" w:rsidRPr="00F946E2" w:rsidRDefault="00C02B13">
            <w:pPr>
              <w:jc w:val="both"/>
              <w:rPr>
                <w:color w:val="000000"/>
                <w:lang w:eastAsia="lt-LT"/>
              </w:rPr>
            </w:pPr>
            <w:r w:rsidRPr="00F946E2">
              <w:rPr>
                <w:b/>
                <w:color w:val="000000"/>
                <w:lang w:eastAsia="lt-LT"/>
              </w:rPr>
              <w:t>Dalyvaujant n</w:t>
            </w:r>
            <w:r w:rsidR="00644160" w:rsidRPr="00F946E2">
              <w:rPr>
                <w:b/>
                <w:color w:val="000000"/>
                <w:lang w:eastAsia="lt-LT"/>
              </w:rPr>
              <w:t>uotolini</w:t>
            </w:r>
            <w:r w:rsidRPr="00F946E2">
              <w:rPr>
                <w:b/>
                <w:color w:val="000000"/>
                <w:lang w:eastAsia="lt-LT"/>
              </w:rPr>
              <w:t>uose</w:t>
            </w:r>
            <w:r w:rsidR="00644160" w:rsidRPr="00F946E2">
              <w:rPr>
                <w:b/>
                <w:color w:val="000000"/>
                <w:lang w:eastAsia="lt-LT"/>
              </w:rPr>
              <w:t xml:space="preserve"> rengini</w:t>
            </w:r>
            <w:r w:rsidRPr="00F946E2">
              <w:rPr>
                <w:b/>
                <w:color w:val="000000"/>
                <w:lang w:eastAsia="lt-LT"/>
              </w:rPr>
              <w:t>uose,</w:t>
            </w:r>
            <w:r w:rsidR="00644160" w:rsidRPr="00F946E2">
              <w:rPr>
                <w:b/>
                <w:color w:val="000000"/>
                <w:lang w:eastAsia="lt-LT"/>
              </w:rPr>
              <w:t xml:space="preserve"> </w:t>
            </w:r>
            <w:r w:rsidR="00644160" w:rsidRPr="00F946E2">
              <w:rPr>
                <w:b/>
                <w:color w:val="000000"/>
                <w:szCs w:val="24"/>
                <w:lang w:eastAsia="lt-LT"/>
              </w:rPr>
              <w:t>komandiruočių (kelionės, apgyvendinimo ir dienpinigių) išlaidos nėra tinkamos finansuoti.</w:t>
            </w:r>
          </w:p>
        </w:tc>
      </w:tr>
      <w:tr w:rsidR="00807E3A" w:rsidRPr="00E205A7" w:rsidTr="3FF1CA72">
        <w:tc>
          <w:tcPr>
            <w:tcW w:w="1021"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6.</w:t>
            </w:r>
          </w:p>
        </w:tc>
        <w:tc>
          <w:tcPr>
            <w:tcW w:w="311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Informavimas apie projektą</w:t>
            </w:r>
          </w:p>
        </w:tc>
        <w:tc>
          <w:tcPr>
            <w:tcW w:w="5386" w:type="dxa"/>
            <w:tcBorders>
              <w:top w:val="single" w:sz="4"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E17018">
            <w:pPr>
              <w:ind w:firstLine="33"/>
              <w:rPr>
                <w:szCs w:val="24"/>
                <w:lang w:eastAsia="lt-LT"/>
              </w:rPr>
            </w:pPr>
            <w:r w:rsidRPr="00E205A7">
              <w:rPr>
                <w:szCs w:val="24"/>
                <w:lang w:eastAsia="lt-LT"/>
              </w:rPr>
              <w:t>Netinkama finansuoti.</w:t>
            </w:r>
          </w:p>
        </w:tc>
      </w:tr>
      <w:tr w:rsidR="00807E3A" w:rsidRPr="00E205A7" w:rsidTr="3FF1CA72">
        <w:trPr>
          <w:trHeight w:val="698"/>
        </w:trPr>
        <w:tc>
          <w:tcPr>
            <w:tcW w:w="102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7.</w:t>
            </w:r>
          </w:p>
        </w:tc>
        <w:tc>
          <w:tcPr>
            <w:tcW w:w="311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07E3A" w:rsidRPr="00E205A7" w:rsidRDefault="00807E3A" w:rsidP="00807E3A">
            <w:pPr>
              <w:rPr>
                <w:szCs w:val="24"/>
                <w:lang w:eastAsia="lt-LT"/>
              </w:rPr>
            </w:pPr>
            <w:r w:rsidRPr="00E205A7">
              <w:rPr>
                <w:szCs w:val="24"/>
                <w:lang w:eastAsia="lt-LT"/>
              </w:rPr>
              <w:t>Netiesioginės išlaidos ir kitos išlaidos pagal fiksuotąją projekto išlaidų normą</w:t>
            </w:r>
          </w:p>
        </w:tc>
        <w:tc>
          <w:tcPr>
            <w:tcW w:w="538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807E3A" w:rsidRPr="00E205A7" w:rsidRDefault="00807E3A" w:rsidP="00E17018">
            <w:pPr>
              <w:rPr>
                <w:szCs w:val="24"/>
                <w:lang w:eastAsia="lt-LT"/>
              </w:rPr>
            </w:pPr>
            <w:r w:rsidRPr="00E205A7">
              <w:rPr>
                <w:szCs w:val="24"/>
                <w:lang w:eastAsia="lt-LT"/>
              </w:rPr>
              <w:t>Netinkama finansuoti.</w:t>
            </w:r>
          </w:p>
        </w:tc>
      </w:tr>
    </w:tbl>
    <w:p w:rsidR="00FD1376" w:rsidRPr="00E205A7" w:rsidRDefault="00FD1376" w:rsidP="00FD1376">
      <w:pPr>
        <w:ind w:firstLine="709"/>
        <w:jc w:val="both"/>
        <w:rPr>
          <w:szCs w:val="24"/>
          <w:lang w:eastAsia="lt-LT"/>
        </w:rPr>
      </w:pPr>
    </w:p>
    <w:p w:rsidR="00F52922" w:rsidRPr="00E205A7" w:rsidRDefault="009B2466" w:rsidP="00F52922">
      <w:pPr>
        <w:ind w:firstLine="567"/>
        <w:jc w:val="both"/>
        <w:rPr>
          <w:bCs/>
          <w:szCs w:val="24"/>
        </w:rPr>
      </w:pPr>
      <w:bookmarkStart w:id="3" w:name="part_8bea063872aa486581ef47fae0d3291e"/>
      <w:bookmarkStart w:id="4" w:name="part_3af5febb2df348d6baf5b7186e6c0ff5"/>
      <w:bookmarkStart w:id="5" w:name="part_26782dac595041f0ba728111fca83d1b"/>
      <w:bookmarkStart w:id="6" w:name="part_907c3b09c0d146c990d1134251c77dab"/>
      <w:bookmarkEnd w:id="0"/>
      <w:bookmarkEnd w:id="1"/>
      <w:bookmarkEnd w:id="3"/>
      <w:bookmarkEnd w:id="4"/>
      <w:bookmarkEnd w:id="5"/>
      <w:bookmarkEnd w:id="6"/>
      <w:r>
        <w:rPr>
          <w:bCs/>
          <w:szCs w:val="24"/>
        </w:rPr>
        <w:t>4</w:t>
      </w:r>
      <w:r w:rsidR="00F52922" w:rsidRPr="00E205A7">
        <w:rPr>
          <w:bCs/>
          <w:szCs w:val="24"/>
        </w:rPr>
        <w:t>. Pakeičiu 62 punktą ir jį išdėstau taip:</w:t>
      </w:r>
    </w:p>
    <w:p w:rsidR="00F52922" w:rsidRPr="00E205A7" w:rsidRDefault="00F52922" w:rsidP="00F52922">
      <w:pPr>
        <w:ind w:firstLine="567"/>
        <w:jc w:val="both"/>
        <w:rPr>
          <w:color w:val="000000"/>
          <w:szCs w:val="24"/>
        </w:rPr>
      </w:pPr>
      <w:r w:rsidRPr="00E205A7">
        <w:rPr>
          <w:color w:val="000000"/>
          <w:szCs w:val="24"/>
        </w:rPr>
        <w:t xml:space="preserve">„62.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w:t>
      </w:r>
      <w:r w:rsidRPr="00E205A7">
        <w:rPr>
          <w:b/>
          <w:color w:val="000000"/>
          <w:szCs w:val="24"/>
        </w:rPr>
        <w:t>kuris negali būti vėlesnis negu 2021 m. birželio 30 d</w:t>
      </w:r>
      <w:r w:rsidRPr="00E205A7">
        <w:rPr>
          <w:color w:val="000000"/>
          <w:szCs w:val="24"/>
        </w:rPr>
        <w:t>.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r w:rsidR="00A80396" w:rsidRPr="00E205A7">
        <w:rPr>
          <w:color w:val="000000"/>
          <w:szCs w:val="24"/>
        </w:rPr>
        <w:t xml:space="preserve">, </w:t>
      </w:r>
      <w:r w:rsidR="00A80396" w:rsidRPr="00E205A7">
        <w:rPr>
          <w:b/>
          <w:color w:val="000000"/>
          <w:szCs w:val="24"/>
        </w:rPr>
        <w:t>kuris negali būti vėlesnis negu 2021 m. birželio 30 d</w:t>
      </w:r>
      <w:r w:rsidR="00A80396" w:rsidRPr="00E205A7">
        <w:rPr>
          <w:color w:val="000000"/>
          <w:szCs w:val="24"/>
        </w:rPr>
        <w:t>.</w:t>
      </w:r>
      <w:r w:rsidRPr="00E205A7">
        <w:rPr>
          <w:color w:val="000000"/>
          <w:szCs w:val="24"/>
        </w:rPr>
        <w:t xml:space="preserve"> Jeigu pareiškėjas atsisako pasirašyti projekto sutartį ar per nustatytą terminą jos nepasirašo, įgyvendinančioji institucija informuoja Ministeriją ir pareiškėją Projektų taisyklių 168 punkte nustatyta tvarka.</w:t>
      </w:r>
      <w:r w:rsidR="00A80396" w:rsidRPr="00E205A7">
        <w:rPr>
          <w:color w:val="000000"/>
          <w:szCs w:val="24"/>
        </w:rPr>
        <w:t>“</w:t>
      </w:r>
    </w:p>
    <w:p w:rsidR="00051A53" w:rsidRPr="00E205A7" w:rsidRDefault="00051A53" w:rsidP="00051A53">
      <w:pPr>
        <w:jc w:val="both"/>
        <w:rPr>
          <w:color w:val="000000"/>
          <w:szCs w:val="24"/>
          <w:lang w:eastAsia="lt-LT"/>
        </w:rPr>
      </w:pPr>
    </w:p>
    <w:p w:rsidR="00084AEB" w:rsidRPr="00E205A7" w:rsidRDefault="00084AEB" w:rsidP="008D2876">
      <w:pPr>
        <w:jc w:val="both"/>
        <w:rPr>
          <w:szCs w:val="24"/>
          <w:lang w:eastAsia="lt-LT"/>
        </w:rPr>
      </w:pPr>
    </w:p>
    <w:tbl>
      <w:tblPr>
        <w:tblW w:w="0" w:type="auto"/>
        <w:tblLook w:val="01E0" w:firstRow="1" w:lastRow="1" w:firstColumn="1" w:lastColumn="1" w:noHBand="0" w:noVBand="0"/>
      </w:tblPr>
      <w:tblGrid>
        <w:gridCol w:w="4835"/>
        <w:gridCol w:w="4803"/>
      </w:tblGrid>
      <w:tr w:rsidR="00A04672" w:rsidRPr="00E205A7" w:rsidTr="001C753E">
        <w:tc>
          <w:tcPr>
            <w:tcW w:w="4835" w:type="dxa"/>
          </w:tcPr>
          <w:p w:rsidR="00A04672" w:rsidRPr="00E205A7" w:rsidRDefault="00672FFE" w:rsidP="008D2876">
            <w:pPr>
              <w:ind w:left="-105"/>
              <w:jc w:val="both"/>
              <w:rPr>
                <w:szCs w:val="24"/>
              </w:rPr>
            </w:pPr>
            <w:r w:rsidRPr="00E205A7">
              <w:rPr>
                <w:szCs w:val="24"/>
              </w:rPr>
              <w:t xml:space="preserve">Ekonomikos ir inovacijų </w:t>
            </w:r>
            <w:r w:rsidR="00192A94" w:rsidRPr="00E205A7">
              <w:rPr>
                <w:szCs w:val="24"/>
              </w:rPr>
              <w:t>ministras</w:t>
            </w:r>
          </w:p>
        </w:tc>
        <w:tc>
          <w:tcPr>
            <w:tcW w:w="4803" w:type="dxa"/>
          </w:tcPr>
          <w:p w:rsidR="00A04672" w:rsidRPr="00E205A7" w:rsidRDefault="00A04672">
            <w:pPr>
              <w:ind w:firstLine="851"/>
              <w:jc w:val="right"/>
              <w:rPr>
                <w:szCs w:val="24"/>
              </w:rPr>
            </w:pPr>
          </w:p>
        </w:tc>
      </w:tr>
    </w:tbl>
    <w:p w:rsidR="00084AEB" w:rsidRPr="008D2876" w:rsidRDefault="00084AEB">
      <w:pPr>
        <w:tabs>
          <w:tab w:val="center" w:pos="4819"/>
          <w:tab w:val="right" w:pos="9638"/>
        </w:tabs>
        <w:jc w:val="both"/>
        <w:rPr>
          <w:szCs w:val="24"/>
          <w:lang w:val="en-GB"/>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Default="009B2466">
      <w:pPr>
        <w:tabs>
          <w:tab w:val="center" w:pos="4819"/>
          <w:tab w:val="right" w:pos="9638"/>
        </w:tabs>
        <w:jc w:val="both"/>
        <w:rPr>
          <w:szCs w:val="24"/>
        </w:rPr>
      </w:pPr>
    </w:p>
    <w:p w:rsidR="009B2466" w:rsidRPr="00E205A7" w:rsidRDefault="009B2466">
      <w:pPr>
        <w:tabs>
          <w:tab w:val="center" w:pos="4819"/>
          <w:tab w:val="right" w:pos="9638"/>
        </w:tabs>
        <w:jc w:val="both"/>
        <w:rPr>
          <w:szCs w:val="24"/>
        </w:rPr>
      </w:pPr>
    </w:p>
    <w:p w:rsidR="00A04672" w:rsidRPr="00E205A7" w:rsidRDefault="00FA5AC2">
      <w:pPr>
        <w:tabs>
          <w:tab w:val="center" w:pos="4819"/>
          <w:tab w:val="right" w:pos="9638"/>
        </w:tabs>
        <w:jc w:val="both"/>
        <w:rPr>
          <w:szCs w:val="24"/>
        </w:rPr>
      </w:pPr>
      <w:r w:rsidRPr="00E205A7">
        <w:rPr>
          <w:szCs w:val="24"/>
        </w:rPr>
        <w:t>P</w:t>
      </w:r>
      <w:r w:rsidR="00192A94" w:rsidRPr="00E205A7">
        <w:rPr>
          <w:szCs w:val="24"/>
        </w:rPr>
        <w:t xml:space="preserve">arengė </w:t>
      </w:r>
    </w:p>
    <w:p w:rsidR="00A04672" w:rsidRPr="00E205A7" w:rsidRDefault="008F2E8A">
      <w:pPr>
        <w:tabs>
          <w:tab w:val="center" w:pos="4819"/>
          <w:tab w:val="right" w:pos="9638"/>
        </w:tabs>
        <w:jc w:val="both"/>
        <w:rPr>
          <w:szCs w:val="24"/>
        </w:rPr>
      </w:pPr>
      <w:r w:rsidRPr="00E205A7">
        <w:rPr>
          <w:szCs w:val="24"/>
        </w:rPr>
        <w:t xml:space="preserve">Ekonomikos ir inovacijų </w:t>
      </w:r>
      <w:r w:rsidR="00192A94" w:rsidRPr="00E205A7">
        <w:rPr>
          <w:szCs w:val="24"/>
        </w:rPr>
        <w:t xml:space="preserve">ministerijos Europos Sąjungos </w:t>
      </w:r>
      <w:r w:rsidRPr="00E205A7">
        <w:rPr>
          <w:szCs w:val="24"/>
        </w:rPr>
        <w:t xml:space="preserve">investicijų </w:t>
      </w:r>
    </w:p>
    <w:p w:rsidR="00A04672" w:rsidRPr="00E205A7" w:rsidRDefault="00192A94">
      <w:pPr>
        <w:tabs>
          <w:tab w:val="center" w:pos="4819"/>
          <w:tab w:val="right" w:pos="9638"/>
        </w:tabs>
        <w:jc w:val="both"/>
        <w:rPr>
          <w:szCs w:val="24"/>
        </w:rPr>
      </w:pPr>
      <w:r w:rsidRPr="00E205A7">
        <w:rPr>
          <w:szCs w:val="24"/>
        </w:rPr>
        <w:t>koordinavimo departamento</w:t>
      </w:r>
    </w:p>
    <w:p w:rsidR="00672FFE" w:rsidRPr="000F46BF" w:rsidRDefault="008F2E8A">
      <w:pPr>
        <w:tabs>
          <w:tab w:val="center" w:pos="4819"/>
          <w:tab w:val="right" w:pos="9638"/>
        </w:tabs>
        <w:jc w:val="both"/>
        <w:rPr>
          <w:szCs w:val="24"/>
        </w:rPr>
      </w:pPr>
      <w:r w:rsidRPr="000F46BF">
        <w:rPr>
          <w:szCs w:val="24"/>
        </w:rPr>
        <w:t>Europos Sąjungos investicijų planavimo</w:t>
      </w:r>
    </w:p>
    <w:p w:rsidR="00A04672" w:rsidRPr="000F46BF" w:rsidRDefault="00192A94">
      <w:pPr>
        <w:tabs>
          <w:tab w:val="center" w:pos="4819"/>
          <w:tab w:val="right" w:pos="9638"/>
        </w:tabs>
        <w:jc w:val="both"/>
        <w:rPr>
          <w:szCs w:val="24"/>
        </w:rPr>
      </w:pPr>
      <w:r w:rsidRPr="000F46BF">
        <w:rPr>
          <w:szCs w:val="24"/>
        </w:rPr>
        <w:t>skyriaus vyriausioji specialistė</w:t>
      </w:r>
    </w:p>
    <w:p w:rsidR="00297CB0" w:rsidRPr="000F46BF" w:rsidRDefault="00297CB0">
      <w:pPr>
        <w:tabs>
          <w:tab w:val="center" w:pos="4819"/>
          <w:tab w:val="right" w:pos="9638"/>
        </w:tabs>
        <w:jc w:val="both"/>
        <w:rPr>
          <w:szCs w:val="24"/>
        </w:rPr>
      </w:pPr>
    </w:p>
    <w:p w:rsidR="004A09B0" w:rsidRPr="00E205A7" w:rsidRDefault="00084AEB" w:rsidP="00D67C9C">
      <w:pPr>
        <w:tabs>
          <w:tab w:val="left" w:pos="5955"/>
        </w:tabs>
        <w:jc w:val="both"/>
        <w:rPr>
          <w:szCs w:val="24"/>
        </w:rPr>
      </w:pPr>
      <w:r w:rsidRPr="000F46BF">
        <w:rPr>
          <w:szCs w:val="24"/>
        </w:rPr>
        <w:t>Edita Rudakaitė-Šaukštel</w:t>
      </w:r>
      <w:r w:rsidR="00D67C9C" w:rsidRPr="005252EE">
        <w:rPr>
          <w:szCs w:val="24"/>
        </w:rPr>
        <w:tab/>
      </w:r>
    </w:p>
    <w:sectPr w:rsidR="004A09B0" w:rsidRPr="00E205A7" w:rsidSect="00BA109A">
      <w:headerReference w:type="even" r:id="rId10"/>
      <w:headerReference w:type="default" r:id="rId11"/>
      <w:footerReference w:type="even" r:id="rId12"/>
      <w:footerReference w:type="default" r:id="rId13"/>
      <w:headerReference w:type="first" r:id="rId14"/>
      <w:pgSz w:w="11906" w:h="16838"/>
      <w:pgMar w:top="1134" w:right="567" w:bottom="1560" w:left="1701"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6A8D18" w16cex:dateUtc="2020-09-25T11:07:02.172Z"/>
  <w16cex:commentExtensible w16cex:durableId="526B6B02" w16cex:dateUtc="2021-03-01T16:23:58.468Z"/>
</w16cex:commentsExtensible>
</file>

<file path=word/commentsIds.xml><?xml version="1.0" encoding="utf-8"?>
<w16cid:commentsIds xmlns:mc="http://schemas.openxmlformats.org/markup-compatibility/2006" xmlns:w16cid="http://schemas.microsoft.com/office/word/2016/wordml/cid" mc:Ignorable="w16cid">
  <w16cid:commentId w16cid:paraId="1D3D2B28" w16cid:durableId="2358CBBA"/>
  <w16cid:commentId w16cid:paraId="3CD5F77F" w16cid:durableId="2358CBD2"/>
  <w16cid:commentId w16cid:paraId="2BDB6352" w16cid:durableId="2358ECC3"/>
  <w16cid:commentId w16cid:paraId="51C22E8A" w16cid:durableId="234CEC0D"/>
  <w16cid:commentId w16cid:paraId="09286CAA" w16cid:durableId="234CEC9A"/>
  <w16cid:commentId w16cid:paraId="6F3ECED7" w16cid:durableId="234CF3BB"/>
  <w16cid:commentId w16cid:paraId="6A11E7DB" w16cid:durableId="2358CB35"/>
  <w16cid:commentId w16cid:paraId="0445D556" w16cid:durableId="2358CC81"/>
  <w16cid:commentId w16cid:paraId="34D210A1" w16cid:durableId="234CEE15"/>
  <w16cid:commentId w16cid:paraId="0D6CC863" w16cid:durableId="234CEEB8"/>
  <w16cid:commentId w16cid:paraId="43E306A7" w16cid:durableId="2358CC9C"/>
  <w16cid:commentId w16cid:paraId="3CFF3350" w16cid:durableId="234CEBC0"/>
  <w16cid:commentId w16cid:paraId="4B659CEC" w16cid:durableId="2358CCF2"/>
  <w16cid:commentId w16cid:paraId="2B6E12C8" w16cid:durableId="234CFE2F"/>
  <w16cid:commentId w16cid:paraId="0B6E8378" w16cid:durableId="2358CB3A"/>
  <w16cid:commentId w16cid:paraId="2D73C22D" w16cid:durableId="2358D139"/>
  <w16cid:commentId w16cid:paraId="6F84DAC9" w16cid:durableId="234CFDE8"/>
  <w16cid:commentId w16cid:paraId="25670A75" w16cid:durableId="2358CB3C"/>
  <w16cid:commentId w16cid:paraId="1A43595C" w16cid:durableId="2358D18C"/>
  <w16cid:commentId w16cid:paraId="46BC871A" w16cid:durableId="2358D5A5"/>
  <w16cid:commentId w16cid:paraId="629D17AA" w16cid:durableId="234CFF7B"/>
  <w16cid:commentId w16cid:paraId="15527621" w16cid:durableId="234D049A"/>
  <w16cid:commentId w16cid:paraId="44611DC8" w16cid:durableId="2358CB3F"/>
  <w16cid:commentId w16cid:paraId="585165B0" w16cid:durableId="2358CD4A"/>
  <w16cid:commentId w16cid:paraId="3C3A177C" w16cid:durableId="2358CB40"/>
  <w16cid:commentId w16cid:paraId="477D505B" w16cid:durableId="2358D8E9"/>
  <w16cid:commentId w16cid:paraId="1843484C" w16cid:durableId="1EBAE5F0"/>
  <w16cid:commentId w16cid:paraId="249AC5DE" w16cid:durableId="2C318A3E"/>
  <w16cid:commentId w16cid:paraId="024990FE" w16cid:durableId="1B77B998"/>
  <w16cid:commentId w16cid:paraId="2FCCF178" w16cid:durableId="2DB5E2B9"/>
  <w16cid:commentId w16cid:paraId="63C9F806" w16cid:durableId="22EB5F2F"/>
  <w16cid:commentId w16cid:paraId="24F25FA0" w16cid:durableId="707E1BFE"/>
  <w16cid:commentId w16cid:paraId="04588716" w16cid:durableId="526B6B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62" w:rsidRDefault="00356F62">
      <w:pPr>
        <w:ind w:firstLine="851"/>
        <w:jc w:val="both"/>
        <w:rPr>
          <w:szCs w:val="24"/>
        </w:rPr>
      </w:pPr>
      <w:r>
        <w:rPr>
          <w:szCs w:val="24"/>
        </w:rPr>
        <w:separator/>
      </w:r>
    </w:p>
    <w:p w:rsidR="00356F62" w:rsidRDefault="00356F62"/>
    <w:p w:rsidR="00356F62" w:rsidRDefault="00356F62">
      <w:pPr>
        <w:ind w:firstLine="851"/>
        <w:jc w:val="both"/>
        <w:rPr>
          <w:szCs w:val="24"/>
        </w:rPr>
      </w:pPr>
    </w:p>
  </w:endnote>
  <w:endnote w:type="continuationSeparator" w:id="0">
    <w:p w:rsidR="00356F62" w:rsidRDefault="00356F62">
      <w:pPr>
        <w:ind w:firstLine="851"/>
        <w:jc w:val="both"/>
        <w:rPr>
          <w:szCs w:val="24"/>
        </w:rPr>
      </w:pPr>
      <w:r>
        <w:rPr>
          <w:szCs w:val="24"/>
        </w:rPr>
        <w:continuationSeparator/>
      </w:r>
    </w:p>
    <w:p w:rsidR="00356F62" w:rsidRDefault="00356F62"/>
    <w:p w:rsidR="00356F62" w:rsidRDefault="00356F62">
      <w:pPr>
        <w:ind w:firstLine="851"/>
        <w:jc w:val="both"/>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62" w:rsidRDefault="00356F62">
      <w:pPr>
        <w:ind w:firstLine="851"/>
        <w:jc w:val="both"/>
        <w:rPr>
          <w:szCs w:val="24"/>
        </w:rPr>
      </w:pPr>
      <w:r>
        <w:rPr>
          <w:szCs w:val="24"/>
        </w:rPr>
        <w:separator/>
      </w:r>
    </w:p>
    <w:p w:rsidR="00356F62" w:rsidRDefault="00356F62"/>
    <w:p w:rsidR="00356F62" w:rsidRDefault="00356F62">
      <w:pPr>
        <w:ind w:firstLine="851"/>
        <w:jc w:val="both"/>
        <w:rPr>
          <w:szCs w:val="24"/>
        </w:rPr>
      </w:pPr>
    </w:p>
  </w:footnote>
  <w:footnote w:type="continuationSeparator" w:id="0">
    <w:p w:rsidR="00356F62" w:rsidRDefault="00356F62">
      <w:pPr>
        <w:ind w:firstLine="851"/>
        <w:jc w:val="both"/>
        <w:rPr>
          <w:szCs w:val="24"/>
        </w:rPr>
      </w:pPr>
      <w:r>
        <w:rPr>
          <w:szCs w:val="24"/>
        </w:rPr>
        <w:continuationSeparator/>
      </w:r>
    </w:p>
    <w:p w:rsidR="00356F62" w:rsidRDefault="00356F62"/>
    <w:p w:rsidR="00356F62" w:rsidRDefault="00356F62">
      <w:pPr>
        <w:ind w:firstLine="851"/>
        <w:jc w:val="both"/>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306" w:rsidRDefault="00ED0306">
    <w:pPr>
      <w:tabs>
        <w:tab w:val="center" w:pos="4819"/>
        <w:tab w:val="right" w:pos="9638"/>
      </w:tabs>
      <w:ind w:firstLine="851"/>
      <w:jc w:val="both"/>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531811"/>
      <w:docPartObj>
        <w:docPartGallery w:val="Page Numbers (Top of Page)"/>
        <w:docPartUnique/>
      </w:docPartObj>
    </w:sdtPr>
    <w:sdtEndPr/>
    <w:sdtContent>
      <w:p w:rsidR="000950F9" w:rsidRDefault="000950F9">
        <w:pPr>
          <w:pStyle w:val="Header"/>
          <w:jc w:val="center"/>
        </w:pPr>
        <w:r>
          <w:fldChar w:fldCharType="begin"/>
        </w:r>
        <w:r>
          <w:instrText>PAGE   \* MERGEFORMAT</w:instrText>
        </w:r>
        <w:r>
          <w:fldChar w:fldCharType="separate"/>
        </w:r>
        <w:r w:rsidR="008D7509">
          <w:rPr>
            <w:noProof/>
          </w:rPr>
          <w:t>2</w:t>
        </w:r>
        <w:r>
          <w:fldChar w:fldCharType="end"/>
        </w:r>
      </w:p>
    </w:sdtContent>
  </w:sdt>
  <w:p w:rsidR="00ED0306" w:rsidRDefault="00ED0306" w:rsidP="005B4933">
    <w:pPr>
      <w:tabs>
        <w:tab w:val="center" w:pos="4819"/>
        <w:tab w:val="right" w:pos="9638"/>
      </w:tabs>
      <w:ind w:firstLine="851"/>
      <w:jc w:val="center"/>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6A8" w:rsidRDefault="008A26A8">
    <w:pPr>
      <w:pStyle w:val="Header"/>
      <w:jc w:val="center"/>
    </w:pPr>
  </w:p>
  <w:p w:rsidR="00ED0306" w:rsidRDefault="00ED0306">
    <w:pPr>
      <w:tabs>
        <w:tab w:val="center" w:pos="4819"/>
        <w:tab w:val="right" w:pos="9638"/>
      </w:tabs>
      <w:ind w:firstLine="851"/>
      <w:jc w:val="both"/>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1" w15:restartNumberingAfterBreak="0">
    <w:nsid w:val="1EE26BDC"/>
    <w:multiLevelType w:val="multilevel"/>
    <w:tmpl w:val="31760666"/>
    <w:lvl w:ilvl="0">
      <w:start w:val="1"/>
      <w:numFmt w:val="decimal"/>
      <w:lvlText w:val="%1."/>
      <w:lvlJc w:val="left"/>
      <w:pPr>
        <w:ind w:left="1551" w:hanging="1125"/>
      </w:pPr>
      <w:rPr>
        <w:b/>
      </w:rPr>
    </w:lvl>
    <w:lvl w:ilvl="1">
      <w:start w:val="1"/>
      <w:numFmt w:val="decimal"/>
      <w:lvlText w:val="%1.%2."/>
      <w:lvlJc w:val="left"/>
      <w:pPr>
        <w:ind w:left="1693" w:hanging="1125"/>
      </w:pPr>
      <w:rPr>
        <w:b w:val="0"/>
        <w:i w:val="0"/>
      </w:rPr>
    </w:lvl>
    <w:lvl w:ilvl="2">
      <w:start w:val="1"/>
      <w:numFmt w:val="decimal"/>
      <w:lvlText w:val="%1.%2.%3."/>
      <w:lvlJc w:val="left"/>
      <w:pPr>
        <w:ind w:left="2118" w:hanging="1125"/>
      </w:pPr>
    </w:lvl>
    <w:lvl w:ilvl="3">
      <w:start w:val="1"/>
      <w:numFmt w:val="decimal"/>
      <w:lvlText w:val="%1.%2.%3.%4."/>
      <w:lvlJc w:val="left"/>
      <w:pPr>
        <w:ind w:left="3285" w:hanging="1125"/>
      </w:pPr>
    </w:lvl>
    <w:lvl w:ilvl="4">
      <w:start w:val="1"/>
      <w:numFmt w:val="decimal"/>
      <w:lvlText w:val="%1.%2.%3.%4.%5."/>
      <w:lvlJc w:val="left"/>
      <w:pPr>
        <w:ind w:left="4005" w:hanging="1125"/>
      </w:pPr>
    </w:lvl>
    <w:lvl w:ilvl="5">
      <w:start w:val="1"/>
      <w:numFmt w:val="decimal"/>
      <w:lvlText w:val="%1.%2.%3.%4.%5.%6."/>
      <w:lvlJc w:val="left"/>
      <w:pPr>
        <w:ind w:left="4725" w:hanging="1125"/>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37D935F3"/>
    <w:multiLevelType w:val="hybridMultilevel"/>
    <w:tmpl w:val="FD902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trackRevisions/>
  <w:defaultTabStop w:val="567"/>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4B0"/>
    <w:rsid w:val="00011EDC"/>
    <w:rsid w:val="00012A6B"/>
    <w:rsid w:val="00014F92"/>
    <w:rsid w:val="00024A2C"/>
    <w:rsid w:val="0003288A"/>
    <w:rsid w:val="00036181"/>
    <w:rsid w:val="00036743"/>
    <w:rsid w:val="00041455"/>
    <w:rsid w:val="0004321C"/>
    <w:rsid w:val="000519B2"/>
    <w:rsid w:val="00051A53"/>
    <w:rsid w:val="00052996"/>
    <w:rsid w:val="00054806"/>
    <w:rsid w:val="00060B71"/>
    <w:rsid w:val="00062609"/>
    <w:rsid w:val="0006528C"/>
    <w:rsid w:val="000826F7"/>
    <w:rsid w:val="00084AEB"/>
    <w:rsid w:val="000941B4"/>
    <w:rsid w:val="00094513"/>
    <w:rsid w:val="000950F9"/>
    <w:rsid w:val="000964AD"/>
    <w:rsid w:val="000A1209"/>
    <w:rsid w:val="000A397A"/>
    <w:rsid w:val="000A41DC"/>
    <w:rsid w:val="000A7486"/>
    <w:rsid w:val="000B164D"/>
    <w:rsid w:val="000B2419"/>
    <w:rsid w:val="000B3A9F"/>
    <w:rsid w:val="000C64EC"/>
    <w:rsid w:val="000C7B3B"/>
    <w:rsid w:val="000E2E31"/>
    <w:rsid w:val="000F46BF"/>
    <w:rsid w:val="000F4CA0"/>
    <w:rsid w:val="000F5031"/>
    <w:rsid w:val="0010161C"/>
    <w:rsid w:val="00125D1B"/>
    <w:rsid w:val="001323B5"/>
    <w:rsid w:val="00133E56"/>
    <w:rsid w:val="00136AE9"/>
    <w:rsid w:val="001437CF"/>
    <w:rsid w:val="00143CBF"/>
    <w:rsid w:val="001453C8"/>
    <w:rsid w:val="00147642"/>
    <w:rsid w:val="001623ED"/>
    <w:rsid w:val="00167024"/>
    <w:rsid w:val="00180C00"/>
    <w:rsid w:val="00192A94"/>
    <w:rsid w:val="001A5DE9"/>
    <w:rsid w:val="001A6605"/>
    <w:rsid w:val="001A7D52"/>
    <w:rsid w:val="001B5B75"/>
    <w:rsid w:val="001B65DC"/>
    <w:rsid w:val="001C1FF6"/>
    <w:rsid w:val="001C5FAA"/>
    <w:rsid w:val="001C753E"/>
    <w:rsid w:val="001D0369"/>
    <w:rsid w:val="001D59BB"/>
    <w:rsid w:val="001D6C71"/>
    <w:rsid w:val="001D7294"/>
    <w:rsid w:val="001F15F0"/>
    <w:rsid w:val="002012A8"/>
    <w:rsid w:val="00205CF0"/>
    <w:rsid w:val="00206631"/>
    <w:rsid w:val="0021614B"/>
    <w:rsid w:val="00217528"/>
    <w:rsid w:val="00225F6B"/>
    <w:rsid w:val="00226FBC"/>
    <w:rsid w:val="002317A7"/>
    <w:rsid w:val="002441DA"/>
    <w:rsid w:val="00247B77"/>
    <w:rsid w:val="00250639"/>
    <w:rsid w:val="002611C6"/>
    <w:rsid w:val="00264C39"/>
    <w:rsid w:val="00271D7F"/>
    <w:rsid w:val="00282ECF"/>
    <w:rsid w:val="0028671C"/>
    <w:rsid w:val="00290FA4"/>
    <w:rsid w:val="00294CA9"/>
    <w:rsid w:val="00297CB0"/>
    <w:rsid w:val="002B0548"/>
    <w:rsid w:val="002D1BE8"/>
    <w:rsid w:val="002D6B5A"/>
    <w:rsid w:val="002D7E40"/>
    <w:rsid w:val="002E2CAE"/>
    <w:rsid w:val="002E3D20"/>
    <w:rsid w:val="002E42A9"/>
    <w:rsid w:val="002F21AE"/>
    <w:rsid w:val="002F2BFB"/>
    <w:rsid w:val="002F3244"/>
    <w:rsid w:val="002F46CE"/>
    <w:rsid w:val="003059DA"/>
    <w:rsid w:val="00306F9C"/>
    <w:rsid w:val="00307560"/>
    <w:rsid w:val="00320E5A"/>
    <w:rsid w:val="00320F26"/>
    <w:rsid w:val="00326198"/>
    <w:rsid w:val="00327323"/>
    <w:rsid w:val="00327F2D"/>
    <w:rsid w:val="00330D6C"/>
    <w:rsid w:val="00332931"/>
    <w:rsid w:val="00334DBD"/>
    <w:rsid w:val="00351303"/>
    <w:rsid w:val="003525DC"/>
    <w:rsid w:val="0035386F"/>
    <w:rsid w:val="00356F62"/>
    <w:rsid w:val="003606B2"/>
    <w:rsid w:val="00367189"/>
    <w:rsid w:val="00372345"/>
    <w:rsid w:val="003747FD"/>
    <w:rsid w:val="0038578B"/>
    <w:rsid w:val="003A3AED"/>
    <w:rsid w:val="003C50EC"/>
    <w:rsid w:val="003D342B"/>
    <w:rsid w:val="003D3D85"/>
    <w:rsid w:val="003E11D3"/>
    <w:rsid w:val="003E30B8"/>
    <w:rsid w:val="003E730D"/>
    <w:rsid w:val="0040053F"/>
    <w:rsid w:val="0040522B"/>
    <w:rsid w:val="004064F7"/>
    <w:rsid w:val="00410375"/>
    <w:rsid w:val="00411A4D"/>
    <w:rsid w:val="00424EBF"/>
    <w:rsid w:val="0043507D"/>
    <w:rsid w:val="004368C9"/>
    <w:rsid w:val="00440523"/>
    <w:rsid w:val="00443263"/>
    <w:rsid w:val="00450AF7"/>
    <w:rsid w:val="004513E1"/>
    <w:rsid w:val="00451D8E"/>
    <w:rsid w:val="00456B4C"/>
    <w:rsid w:val="00467870"/>
    <w:rsid w:val="00471613"/>
    <w:rsid w:val="00477C7B"/>
    <w:rsid w:val="00481541"/>
    <w:rsid w:val="00481894"/>
    <w:rsid w:val="0048442A"/>
    <w:rsid w:val="004845F2"/>
    <w:rsid w:val="00486157"/>
    <w:rsid w:val="0049316B"/>
    <w:rsid w:val="00495894"/>
    <w:rsid w:val="0049644D"/>
    <w:rsid w:val="004A077C"/>
    <w:rsid w:val="004A09B0"/>
    <w:rsid w:val="004A13A8"/>
    <w:rsid w:val="004B02AE"/>
    <w:rsid w:val="004B1408"/>
    <w:rsid w:val="004C01F0"/>
    <w:rsid w:val="004F1692"/>
    <w:rsid w:val="004F192B"/>
    <w:rsid w:val="004F302A"/>
    <w:rsid w:val="004F3A3B"/>
    <w:rsid w:val="00506607"/>
    <w:rsid w:val="00507E31"/>
    <w:rsid w:val="005152CF"/>
    <w:rsid w:val="005202FC"/>
    <w:rsid w:val="00520B20"/>
    <w:rsid w:val="00520EE7"/>
    <w:rsid w:val="005251DE"/>
    <w:rsid w:val="005252EE"/>
    <w:rsid w:val="005257F6"/>
    <w:rsid w:val="00535362"/>
    <w:rsid w:val="005413BD"/>
    <w:rsid w:val="005430E4"/>
    <w:rsid w:val="00546485"/>
    <w:rsid w:val="005503B8"/>
    <w:rsid w:val="00551687"/>
    <w:rsid w:val="00553003"/>
    <w:rsid w:val="00554958"/>
    <w:rsid w:val="005553EF"/>
    <w:rsid w:val="0056042B"/>
    <w:rsid w:val="005610F4"/>
    <w:rsid w:val="00571146"/>
    <w:rsid w:val="005754CF"/>
    <w:rsid w:val="00584567"/>
    <w:rsid w:val="00587F64"/>
    <w:rsid w:val="00590709"/>
    <w:rsid w:val="005918CD"/>
    <w:rsid w:val="0059704A"/>
    <w:rsid w:val="005A2A7D"/>
    <w:rsid w:val="005A337E"/>
    <w:rsid w:val="005B4933"/>
    <w:rsid w:val="005D0CD3"/>
    <w:rsid w:val="005E3EA8"/>
    <w:rsid w:val="005F58F1"/>
    <w:rsid w:val="005F6494"/>
    <w:rsid w:val="005F6F1F"/>
    <w:rsid w:val="00621EE1"/>
    <w:rsid w:val="00622E59"/>
    <w:rsid w:val="006325C8"/>
    <w:rsid w:val="00632709"/>
    <w:rsid w:val="006349D7"/>
    <w:rsid w:val="00634D5B"/>
    <w:rsid w:val="006365C4"/>
    <w:rsid w:val="006438DB"/>
    <w:rsid w:val="00644160"/>
    <w:rsid w:val="006513DB"/>
    <w:rsid w:val="00661CC3"/>
    <w:rsid w:val="00672FFE"/>
    <w:rsid w:val="0068017C"/>
    <w:rsid w:val="00681B0D"/>
    <w:rsid w:val="00683CF8"/>
    <w:rsid w:val="006870A4"/>
    <w:rsid w:val="00692432"/>
    <w:rsid w:val="006A2D0B"/>
    <w:rsid w:val="006A2DED"/>
    <w:rsid w:val="006A55F7"/>
    <w:rsid w:val="006A7852"/>
    <w:rsid w:val="006B2242"/>
    <w:rsid w:val="006B4752"/>
    <w:rsid w:val="006E36D9"/>
    <w:rsid w:val="006E5F6F"/>
    <w:rsid w:val="006F0563"/>
    <w:rsid w:val="006F103E"/>
    <w:rsid w:val="006F5D90"/>
    <w:rsid w:val="007039F3"/>
    <w:rsid w:val="00715B6B"/>
    <w:rsid w:val="007201E8"/>
    <w:rsid w:val="0072238D"/>
    <w:rsid w:val="00727321"/>
    <w:rsid w:val="00730864"/>
    <w:rsid w:val="00733A10"/>
    <w:rsid w:val="00734A0F"/>
    <w:rsid w:val="00735F7E"/>
    <w:rsid w:val="00742560"/>
    <w:rsid w:val="00745BC3"/>
    <w:rsid w:val="007518EC"/>
    <w:rsid w:val="00753C86"/>
    <w:rsid w:val="00754EFE"/>
    <w:rsid w:val="007601B4"/>
    <w:rsid w:val="00762B52"/>
    <w:rsid w:val="00763436"/>
    <w:rsid w:val="007754DA"/>
    <w:rsid w:val="00780885"/>
    <w:rsid w:val="00785490"/>
    <w:rsid w:val="00791C53"/>
    <w:rsid w:val="00794F9D"/>
    <w:rsid w:val="0079736A"/>
    <w:rsid w:val="007A1AC4"/>
    <w:rsid w:val="007A237B"/>
    <w:rsid w:val="007B336E"/>
    <w:rsid w:val="007B5401"/>
    <w:rsid w:val="007B6BE9"/>
    <w:rsid w:val="007C2214"/>
    <w:rsid w:val="007C7C8A"/>
    <w:rsid w:val="007D2C3F"/>
    <w:rsid w:val="007D7EEB"/>
    <w:rsid w:val="007E4B14"/>
    <w:rsid w:val="007E4B76"/>
    <w:rsid w:val="007E7BF2"/>
    <w:rsid w:val="007F2C8F"/>
    <w:rsid w:val="008012F9"/>
    <w:rsid w:val="008054D0"/>
    <w:rsid w:val="00807E3A"/>
    <w:rsid w:val="00812642"/>
    <w:rsid w:val="00821363"/>
    <w:rsid w:val="00833114"/>
    <w:rsid w:val="0084402C"/>
    <w:rsid w:val="00870B97"/>
    <w:rsid w:val="00880B9A"/>
    <w:rsid w:val="00884DD9"/>
    <w:rsid w:val="00886AC8"/>
    <w:rsid w:val="00887530"/>
    <w:rsid w:val="008948A8"/>
    <w:rsid w:val="008A26A8"/>
    <w:rsid w:val="008B1499"/>
    <w:rsid w:val="008C0105"/>
    <w:rsid w:val="008D2876"/>
    <w:rsid w:val="008D32A6"/>
    <w:rsid w:val="008D405F"/>
    <w:rsid w:val="008D46BC"/>
    <w:rsid w:val="008D7509"/>
    <w:rsid w:val="008E050B"/>
    <w:rsid w:val="008F2E8A"/>
    <w:rsid w:val="008F6844"/>
    <w:rsid w:val="00914F13"/>
    <w:rsid w:val="009221C8"/>
    <w:rsid w:val="0092292A"/>
    <w:rsid w:val="00932C5D"/>
    <w:rsid w:val="00936A30"/>
    <w:rsid w:val="00937D43"/>
    <w:rsid w:val="00943160"/>
    <w:rsid w:val="00971098"/>
    <w:rsid w:val="0097531B"/>
    <w:rsid w:val="00993965"/>
    <w:rsid w:val="009A4674"/>
    <w:rsid w:val="009B0B39"/>
    <w:rsid w:val="009B1856"/>
    <w:rsid w:val="009B2466"/>
    <w:rsid w:val="009C2166"/>
    <w:rsid w:val="009C601E"/>
    <w:rsid w:val="009D5AD4"/>
    <w:rsid w:val="009E2C97"/>
    <w:rsid w:val="009F3772"/>
    <w:rsid w:val="00A04672"/>
    <w:rsid w:val="00A05666"/>
    <w:rsid w:val="00A13C8B"/>
    <w:rsid w:val="00A25E52"/>
    <w:rsid w:val="00A26E6A"/>
    <w:rsid w:val="00A30B3C"/>
    <w:rsid w:val="00A30E10"/>
    <w:rsid w:val="00A35A38"/>
    <w:rsid w:val="00A3609F"/>
    <w:rsid w:val="00A361D2"/>
    <w:rsid w:val="00A4680A"/>
    <w:rsid w:val="00A602AB"/>
    <w:rsid w:val="00A602BA"/>
    <w:rsid w:val="00A608E8"/>
    <w:rsid w:val="00A609F8"/>
    <w:rsid w:val="00A64AD3"/>
    <w:rsid w:val="00A70387"/>
    <w:rsid w:val="00A80396"/>
    <w:rsid w:val="00A85952"/>
    <w:rsid w:val="00A86BEE"/>
    <w:rsid w:val="00AA09AF"/>
    <w:rsid w:val="00AA2EA6"/>
    <w:rsid w:val="00AA64FA"/>
    <w:rsid w:val="00AB3E2C"/>
    <w:rsid w:val="00AB569C"/>
    <w:rsid w:val="00AC247D"/>
    <w:rsid w:val="00AD104B"/>
    <w:rsid w:val="00AD166C"/>
    <w:rsid w:val="00AD5B39"/>
    <w:rsid w:val="00AE5EF5"/>
    <w:rsid w:val="00AF02ED"/>
    <w:rsid w:val="00AF6D15"/>
    <w:rsid w:val="00AF77F6"/>
    <w:rsid w:val="00B025D9"/>
    <w:rsid w:val="00B03728"/>
    <w:rsid w:val="00B141EF"/>
    <w:rsid w:val="00B30BE1"/>
    <w:rsid w:val="00B33E53"/>
    <w:rsid w:val="00B341AF"/>
    <w:rsid w:val="00B41D4A"/>
    <w:rsid w:val="00B6416D"/>
    <w:rsid w:val="00B657A3"/>
    <w:rsid w:val="00B67712"/>
    <w:rsid w:val="00B77043"/>
    <w:rsid w:val="00B77167"/>
    <w:rsid w:val="00B80187"/>
    <w:rsid w:val="00B84C11"/>
    <w:rsid w:val="00B931BB"/>
    <w:rsid w:val="00B96A7B"/>
    <w:rsid w:val="00BA109A"/>
    <w:rsid w:val="00BA2517"/>
    <w:rsid w:val="00BA6109"/>
    <w:rsid w:val="00BC401C"/>
    <w:rsid w:val="00BD64EB"/>
    <w:rsid w:val="00BE012E"/>
    <w:rsid w:val="00BE2280"/>
    <w:rsid w:val="00BE4B5C"/>
    <w:rsid w:val="00BF7EF5"/>
    <w:rsid w:val="00C02B13"/>
    <w:rsid w:val="00C0424D"/>
    <w:rsid w:val="00C05A93"/>
    <w:rsid w:val="00C07976"/>
    <w:rsid w:val="00C236FC"/>
    <w:rsid w:val="00C255DC"/>
    <w:rsid w:val="00C2787F"/>
    <w:rsid w:val="00C648E6"/>
    <w:rsid w:val="00C66DA0"/>
    <w:rsid w:val="00C67EA9"/>
    <w:rsid w:val="00C7295D"/>
    <w:rsid w:val="00C7320D"/>
    <w:rsid w:val="00C77699"/>
    <w:rsid w:val="00C86DE3"/>
    <w:rsid w:val="00C90C92"/>
    <w:rsid w:val="00C91B9F"/>
    <w:rsid w:val="00C920FA"/>
    <w:rsid w:val="00C94462"/>
    <w:rsid w:val="00C9524D"/>
    <w:rsid w:val="00CC7A2E"/>
    <w:rsid w:val="00CE2E61"/>
    <w:rsid w:val="00CF17CA"/>
    <w:rsid w:val="00CF46C0"/>
    <w:rsid w:val="00D0355E"/>
    <w:rsid w:val="00D20BCF"/>
    <w:rsid w:val="00D21E82"/>
    <w:rsid w:val="00D231DD"/>
    <w:rsid w:val="00D258C0"/>
    <w:rsid w:val="00D358DE"/>
    <w:rsid w:val="00D35D9B"/>
    <w:rsid w:val="00D46D4E"/>
    <w:rsid w:val="00D47D10"/>
    <w:rsid w:val="00D52595"/>
    <w:rsid w:val="00D60A9F"/>
    <w:rsid w:val="00D63B2C"/>
    <w:rsid w:val="00D67C9C"/>
    <w:rsid w:val="00D84E74"/>
    <w:rsid w:val="00D85FA1"/>
    <w:rsid w:val="00D937D3"/>
    <w:rsid w:val="00DA7EB0"/>
    <w:rsid w:val="00DB00BE"/>
    <w:rsid w:val="00DB2C61"/>
    <w:rsid w:val="00DC59AC"/>
    <w:rsid w:val="00DC6F70"/>
    <w:rsid w:val="00DC70D4"/>
    <w:rsid w:val="00DC74C6"/>
    <w:rsid w:val="00DF017C"/>
    <w:rsid w:val="00E11CFE"/>
    <w:rsid w:val="00E17018"/>
    <w:rsid w:val="00E17575"/>
    <w:rsid w:val="00E205A7"/>
    <w:rsid w:val="00E223EA"/>
    <w:rsid w:val="00E30C96"/>
    <w:rsid w:val="00E36DFA"/>
    <w:rsid w:val="00E4336E"/>
    <w:rsid w:val="00E45449"/>
    <w:rsid w:val="00E46CF8"/>
    <w:rsid w:val="00E475A2"/>
    <w:rsid w:val="00E54F29"/>
    <w:rsid w:val="00E6098F"/>
    <w:rsid w:val="00E63FE0"/>
    <w:rsid w:val="00E6709D"/>
    <w:rsid w:val="00E67CB0"/>
    <w:rsid w:val="00E721C7"/>
    <w:rsid w:val="00E83014"/>
    <w:rsid w:val="00E84EC9"/>
    <w:rsid w:val="00E87F70"/>
    <w:rsid w:val="00EA2FE1"/>
    <w:rsid w:val="00EA4CD2"/>
    <w:rsid w:val="00EB1D18"/>
    <w:rsid w:val="00EB3210"/>
    <w:rsid w:val="00EB4186"/>
    <w:rsid w:val="00EC2A42"/>
    <w:rsid w:val="00ED0306"/>
    <w:rsid w:val="00ED095B"/>
    <w:rsid w:val="00EF205E"/>
    <w:rsid w:val="00EF45D4"/>
    <w:rsid w:val="00F0261F"/>
    <w:rsid w:val="00F03EBE"/>
    <w:rsid w:val="00F04E38"/>
    <w:rsid w:val="00F07618"/>
    <w:rsid w:val="00F07FC9"/>
    <w:rsid w:val="00F115D6"/>
    <w:rsid w:val="00F11B09"/>
    <w:rsid w:val="00F13948"/>
    <w:rsid w:val="00F1689C"/>
    <w:rsid w:val="00F23CE1"/>
    <w:rsid w:val="00F27477"/>
    <w:rsid w:val="00F32FD8"/>
    <w:rsid w:val="00F40A37"/>
    <w:rsid w:val="00F52244"/>
    <w:rsid w:val="00F52922"/>
    <w:rsid w:val="00F643A3"/>
    <w:rsid w:val="00F649AB"/>
    <w:rsid w:val="00F72E3C"/>
    <w:rsid w:val="00F740A5"/>
    <w:rsid w:val="00F86078"/>
    <w:rsid w:val="00F946E2"/>
    <w:rsid w:val="00FA5AC2"/>
    <w:rsid w:val="00FA6D08"/>
    <w:rsid w:val="00FC01EF"/>
    <w:rsid w:val="00FC12DE"/>
    <w:rsid w:val="00FC67EF"/>
    <w:rsid w:val="00FD1376"/>
    <w:rsid w:val="00FD38B7"/>
    <w:rsid w:val="00FD7AD1"/>
    <w:rsid w:val="00FF0E71"/>
    <w:rsid w:val="00FF3071"/>
    <w:rsid w:val="00FF786A"/>
    <w:rsid w:val="3FF1CA72"/>
    <w:rsid w:val="7752E4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609A8"/>
  <w15:docId w15:val="{0DAE2FBA-775B-4228-A36D-D5A304D6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67712"/>
    <w:rPr>
      <w:rFonts w:ascii="Segoe UI" w:hAnsi="Segoe UI" w:cs="Segoe UI"/>
      <w:sz w:val="18"/>
      <w:szCs w:val="18"/>
    </w:rPr>
  </w:style>
  <w:style w:type="character" w:customStyle="1" w:styleId="BalloonTextChar">
    <w:name w:val="Balloon Text Char"/>
    <w:basedOn w:val="DefaultParagraphFont"/>
    <w:link w:val="BalloonText"/>
    <w:semiHidden/>
    <w:rsid w:val="00B67712"/>
    <w:rPr>
      <w:rFonts w:ascii="Segoe UI" w:hAnsi="Segoe UI" w:cs="Segoe UI"/>
      <w:sz w:val="18"/>
      <w:szCs w:val="18"/>
    </w:rPr>
  </w:style>
  <w:style w:type="paragraph" w:styleId="ListParagraph">
    <w:name w:val="List Paragraph"/>
    <w:aliases w:val="Table of contents numbered"/>
    <w:basedOn w:val="Normal"/>
    <w:link w:val="ListParagraphChar"/>
    <w:uiPriority w:val="34"/>
    <w:qFormat/>
    <w:rsid w:val="005430E4"/>
    <w:pPr>
      <w:ind w:left="720" w:firstLine="851"/>
      <w:contextualSpacing/>
      <w:jc w:val="both"/>
    </w:pPr>
    <w:rPr>
      <w:rFonts w:eastAsiaTheme="minorHAnsi"/>
      <w:szCs w:val="24"/>
    </w:rPr>
  </w:style>
  <w:style w:type="character" w:customStyle="1" w:styleId="ListParagraphChar">
    <w:name w:val="List Paragraph Char"/>
    <w:aliases w:val="Table of contents numbered Char"/>
    <w:basedOn w:val="DefaultParagraphFont"/>
    <w:link w:val="ListParagraph"/>
    <w:uiPriority w:val="34"/>
    <w:locked/>
    <w:rsid w:val="005430E4"/>
    <w:rPr>
      <w:rFonts w:eastAsiaTheme="minorHAnsi"/>
      <w:szCs w:val="24"/>
    </w:rPr>
  </w:style>
  <w:style w:type="paragraph" w:styleId="Header">
    <w:name w:val="header"/>
    <w:basedOn w:val="Normal"/>
    <w:link w:val="HeaderChar"/>
    <w:uiPriority w:val="99"/>
    <w:unhideWhenUsed/>
    <w:rsid w:val="005430E4"/>
    <w:pPr>
      <w:tabs>
        <w:tab w:val="center" w:pos="4819"/>
        <w:tab w:val="right" w:pos="9638"/>
      </w:tabs>
      <w:ind w:firstLine="851"/>
      <w:jc w:val="both"/>
    </w:pPr>
    <w:rPr>
      <w:rFonts w:eastAsiaTheme="minorHAnsi"/>
      <w:szCs w:val="24"/>
    </w:rPr>
  </w:style>
  <w:style w:type="character" w:customStyle="1" w:styleId="HeaderChar">
    <w:name w:val="Header Char"/>
    <w:basedOn w:val="DefaultParagraphFont"/>
    <w:link w:val="Header"/>
    <w:uiPriority w:val="99"/>
    <w:rsid w:val="005430E4"/>
    <w:rPr>
      <w:rFonts w:eastAsiaTheme="minorHAnsi"/>
      <w:szCs w:val="24"/>
    </w:rPr>
  </w:style>
  <w:style w:type="paragraph" w:styleId="Footer">
    <w:name w:val="footer"/>
    <w:basedOn w:val="Normal"/>
    <w:link w:val="FooterChar"/>
    <w:uiPriority w:val="99"/>
    <w:unhideWhenUsed/>
    <w:rsid w:val="005430E4"/>
    <w:pPr>
      <w:tabs>
        <w:tab w:val="center" w:pos="4819"/>
        <w:tab w:val="right" w:pos="9638"/>
      </w:tabs>
      <w:ind w:firstLine="851"/>
      <w:jc w:val="both"/>
    </w:pPr>
    <w:rPr>
      <w:rFonts w:eastAsiaTheme="minorHAnsi"/>
      <w:szCs w:val="24"/>
    </w:rPr>
  </w:style>
  <w:style w:type="character" w:customStyle="1" w:styleId="FooterChar">
    <w:name w:val="Footer Char"/>
    <w:basedOn w:val="DefaultParagraphFont"/>
    <w:link w:val="Footer"/>
    <w:uiPriority w:val="99"/>
    <w:rsid w:val="005430E4"/>
    <w:rPr>
      <w:rFonts w:eastAsiaTheme="minorHAnsi"/>
      <w:szCs w:val="24"/>
    </w:rPr>
  </w:style>
  <w:style w:type="paragraph" w:customStyle="1" w:styleId="Text1">
    <w:name w:val="Text 1"/>
    <w:basedOn w:val="Normal"/>
    <w:rsid w:val="005430E4"/>
    <w:pPr>
      <w:spacing w:after="240"/>
      <w:ind w:left="482"/>
      <w:jc w:val="both"/>
    </w:pPr>
    <w:rPr>
      <w:lang w:val="en-GB"/>
    </w:rPr>
  </w:style>
  <w:style w:type="character" w:styleId="CommentReference">
    <w:name w:val="annotation reference"/>
    <w:basedOn w:val="DefaultParagraphFont"/>
    <w:semiHidden/>
    <w:unhideWhenUsed/>
    <w:rsid w:val="00411A4D"/>
    <w:rPr>
      <w:sz w:val="16"/>
      <w:szCs w:val="16"/>
    </w:rPr>
  </w:style>
  <w:style w:type="paragraph" w:styleId="CommentText">
    <w:name w:val="annotation text"/>
    <w:aliases w:val=" Char,Char"/>
    <w:basedOn w:val="Normal"/>
    <w:link w:val="CommentTextChar"/>
    <w:unhideWhenUsed/>
    <w:rsid w:val="00411A4D"/>
    <w:rPr>
      <w:sz w:val="20"/>
    </w:rPr>
  </w:style>
  <w:style w:type="character" w:customStyle="1" w:styleId="CommentTextChar">
    <w:name w:val="Comment Text Char"/>
    <w:aliases w:val=" Char Char,Char Char"/>
    <w:basedOn w:val="DefaultParagraphFont"/>
    <w:link w:val="CommentText"/>
    <w:rsid w:val="00411A4D"/>
    <w:rPr>
      <w:sz w:val="20"/>
    </w:rPr>
  </w:style>
  <w:style w:type="paragraph" w:styleId="CommentSubject">
    <w:name w:val="annotation subject"/>
    <w:basedOn w:val="CommentText"/>
    <w:next w:val="CommentText"/>
    <w:link w:val="CommentSubjectChar"/>
    <w:semiHidden/>
    <w:unhideWhenUsed/>
    <w:rsid w:val="00411A4D"/>
    <w:rPr>
      <w:b/>
      <w:bCs/>
    </w:rPr>
  </w:style>
  <w:style w:type="character" w:customStyle="1" w:styleId="CommentSubjectChar">
    <w:name w:val="Comment Subject Char"/>
    <w:basedOn w:val="CommentTextChar"/>
    <w:link w:val="CommentSubject"/>
    <w:semiHidden/>
    <w:rsid w:val="00411A4D"/>
    <w:rPr>
      <w:b/>
      <w:bCs/>
      <w:sz w:val="20"/>
    </w:rPr>
  </w:style>
  <w:style w:type="paragraph" w:styleId="Revision">
    <w:name w:val="Revision"/>
    <w:hidden/>
    <w:semiHidden/>
    <w:rsid w:val="00F32FD8"/>
  </w:style>
  <w:style w:type="character" w:styleId="Hyperlink">
    <w:name w:val="Hyperlink"/>
    <w:basedOn w:val="DefaultParagraphFont"/>
    <w:unhideWhenUsed/>
    <w:rsid w:val="00DC6F70"/>
    <w:rPr>
      <w:color w:val="0000FF" w:themeColor="hyperlink"/>
      <w:u w:val="single"/>
    </w:rPr>
  </w:style>
  <w:style w:type="paragraph" w:customStyle="1" w:styleId="Default">
    <w:name w:val="Default"/>
    <w:rsid w:val="00D258C0"/>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2538">
      <w:bodyDiv w:val="1"/>
      <w:marLeft w:val="0"/>
      <w:marRight w:val="0"/>
      <w:marTop w:val="0"/>
      <w:marBottom w:val="0"/>
      <w:divBdr>
        <w:top w:val="none" w:sz="0" w:space="0" w:color="auto"/>
        <w:left w:val="none" w:sz="0" w:space="0" w:color="auto"/>
        <w:bottom w:val="none" w:sz="0" w:space="0" w:color="auto"/>
        <w:right w:val="none" w:sz="0" w:space="0" w:color="auto"/>
      </w:divBdr>
      <w:divsChild>
        <w:div w:id="320542311">
          <w:marLeft w:val="0"/>
          <w:marRight w:val="0"/>
          <w:marTop w:val="0"/>
          <w:marBottom w:val="0"/>
          <w:divBdr>
            <w:top w:val="none" w:sz="0" w:space="0" w:color="auto"/>
            <w:left w:val="none" w:sz="0" w:space="0" w:color="auto"/>
            <w:bottom w:val="none" w:sz="0" w:space="0" w:color="auto"/>
            <w:right w:val="none" w:sz="0" w:space="0" w:color="auto"/>
          </w:divBdr>
        </w:div>
        <w:div w:id="1915889951">
          <w:marLeft w:val="0"/>
          <w:marRight w:val="0"/>
          <w:marTop w:val="0"/>
          <w:marBottom w:val="0"/>
          <w:divBdr>
            <w:top w:val="none" w:sz="0" w:space="0" w:color="auto"/>
            <w:left w:val="none" w:sz="0" w:space="0" w:color="auto"/>
            <w:bottom w:val="none" w:sz="0" w:space="0" w:color="auto"/>
            <w:right w:val="none" w:sz="0" w:space="0" w:color="auto"/>
          </w:divBdr>
        </w:div>
        <w:div w:id="486169785">
          <w:marLeft w:val="0"/>
          <w:marRight w:val="0"/>
          <w:marTop w:val="0"/>
          <w:marBottom w:val="0"/>
          <w:divBdr>
            <w:top w:val="none" w:sz="0" w:space="0" w:color="auto"/>
            <w:left w:val="none" w:sz="0" w:space="0" w:color="auto"/>
            <w:bottom w:val="none" w:sz="0" w:space="0" w:color="auto"/>
            <w:right w:val="none" w:sz="0" w:space="0" w:color="auto"/>
          </w:divBdr>
        </w:div>
        <w:div w:id="1399017538">
          <w:marLeft w:val="0"/>
          <w:marRight w:val="0"/>
          <w:marTop w:val="0"/>
          <w:marBottom w:val="0"/>
          <w:divBdr>
            <w:top w:val="none" w:sz="0" w:space="0" w:color="auto"/>
            <w:left w:val="none" w:sz="0" w:space="0" w:color="auto"/>
            <w:bottom w:val="none" w:sz="0" w:space="0" w:color="auto"/>
            <w:right w:val="none" w:sz="0" w:space="0" w:color="auto"/>
          </w:divBdr>
        </w:div>
      </w:divsChild>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2982414">
      <w:bodyDiv w:val="1"/>
      <w:marLeft w:val="0"/>
      <w:marRight w:val="0"/>
      <w:marTop w:val="0"/>
      <w:marBottom w:val="0"/>
      <w:divBdr>
        <w:top w:val="none" w:sz="0" w:space="0" w:color="auto"/>
        <w:left w:val="none" w:sz="0" w:space="0" w:color="auto"/>
        <w:bottom w:val="none" w:sz="0" w:space="0" w:color="auto"/>
        <w:right w:val="none" w:sz="0" w:space="0" w:color="auto"/>
      </w:divBdr>
      <w:divsChild>
        <w:div w:id="1196306879">
          <w:marLeft w:val="0"/>
          <w:marRight w:val="0"/>
          <w:marTop w:val="0"/>
          <w:marBottom w:val="0"/>
          <w:divBdr>
            <w:top w:val="none" w:sz="0" w:space="0" w:color="auto"/>
            <w:left w:val="none" w:sz="0" w:space="0" w:color="auto"/>
            <w:bottom w:val="none" w:sz="0" w:space="0" w:color="auto"/>
            <w:right w:val="none" w:sz="0" w:space="0" w:color="auto"/>
          </w:divBdr>
          <w:divsChild>
            <w:div w:id="995692260">
              <w:marLeft w:val="0"/>
              <w:marRight w:val="0"/>
              <w:marTop w:val="0"/>
              <w:marBottom w:val="0"/>
              <w:divBdr>
                <w:top w:val="none" w:sz="0" w:space="0" w:color="auto"/>
                <w:left w:val="none" w:sz="0" w:space="0" w:color="auto"/>
                <w:bottom w:val="none" w:sz="0" w:space="0" w:color="auto"/>
                <w:right w:val="none" w:sz="0" w:space="0" w:color="auto"/>
              </w:divBdr>
              <w:divsChild>
                <w:div w:id="271012818">
                  <w:marLeft w:val="0"/>
                  <w:marRight w:val="0"/>
                  <w:marTop w:val="0"/>
                  <w:marBottom w:val="0"/>
                  <w:divBdr>
                    <w:top w:val="none" w:sz="0" w:space="0" w:color="auto"/>
                    <w:left w:val="none" w:sz="0" w:space="0" w:color="auto"/>
                    <w:bottom w:val="none" w:sz="0" w:space="0" w:color="auto"/>
                    <w:right w:val="none" w:sz="0" w:space="0" w:color="auto"/>
                  </w:divBdr>
                  <w:divsChild>
                    <w:div w:id="846015958">
                      <w:marLeft w:val="0"/>
                      <w:marRight w:val="0"/>
                      <w:marTop w:val="0"/>
                      <w:marBottom w:val="0"/>
                      <w:divBdr>
                        <w:top w:val="none" w:sz="0" w:space="0" w:color="auto"/>
                        <w:left w:val="none" w:sz="0" w:space="0" w:color="auto"/>
                        <w:bottom w:val="none" w:sz="0" w:space="0" w:color="auto"/>
                        <w:right w:val="none" w:sz="0" w:space="0" w:color="auto"/>
                      </w:divBdr>
                      <w:divsChild>
                        <w:div w:id="120483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837906">
      <w:bodyDiv w:val="1"/>
      <w:marLeft w:val="0"/>
      <w:marRight w:val="0"/>
      <w:marTop w:val="0"/>
      <w:marBottom w:val="0"/>
      <w:divBdr>
        <w:top w:val="none" w:sz="0" w:space="0" w:color="auto"/>
        <w:left w:val="none" w:sz="0" w:space="0" w:color="auto"/>
        <w:bottom w:val="none" w:sz="0" w:space="0" w:color="auto"/>
        <w:right w:val="none" w:sz="0" w:space="0" w:color="auto"/>
      </w:divBdr>
    </w:div>
    <w:div w:id="371729554">
      <w:bodyDiv w:val="1"/>
      <w:marLeft w:val="0"/>
      <w:marRight w:val="0"/>
      <w:marTop w:val="0"/>
      <w:marBottom w:val="0"/>
      <w:divBdr>
        <w:top w:val="none" w:sz="0" w:space="0" w:color="auto"/>
        <w:left w:val="none" w:sz="0" w:space="0" w:color="auto"/>
        <w:bottom w:val="none" w:sz="0" w:space="0" w:color="auto"/>
        <w:right w:val="none" w:sz="0" w:space="0" w:color="auto"/>
      </w:divBdr>
      <w:divsChild>
        <w:div w:id="1551107857">
          <w:marLeft w:val="0"/>
          <w:marRight w:val="0"/>
          <w:marTop w:val="0"/>
          <w:marBottom w:val="0"/>
          <w:divBdr>
            <w:top w:val="none" w:sz="0" w:space="0" w:color="auto"/>
            <w:left w:val="none" w:sz="0" w:space="0" w:color="auto"/>
            <w:bottom w:val="none" w:sz="0" w:space="0" w:color="auto"/>
            <w:right w:val="none" w:sz="0" w:space="0" w:color="auto"/>
          </w:divBdr>
          <w:divsChild>
            <w:div w:id="1484542594">
              <w:marLeft w:val="0"/>
              <w:marRight w:val="0"/>
              <w:marTop w:val="0"/>
              <w:marBottom w:val="0"/>
              <w:divBdr>
                <w:top w:val="none" w:sz="0" w:space="0" w:color="auto"/>
                <w:left w:val="none" w:sz="0" w:space="0" w:color="auto"/>
                <w:bottom w:val="none" w:sz="0" w:space="0" w:color="auto"/>
                <w:right w:val="none" w:sz="0" w:space="0" w:color="auto"/>
              </w:divBdr>
              <w:divsChild>
                <w:div w:id="541215081">
                  <w:marLeft w:val="0"/>
                  <w:marRight w:val="0"/>
                  <w:marTop w:val="0"/>
                  <w:marBottom w:val="0"/>
                  <w:divBdr>
                    <w:top w:val="none" w:sz="0" w:space="0" w:color="auto"/>
                    <w:left w:val="none" w:sz="0" w:space="0" w:color="auto"/>
                    <w:bottom w:val="none" w:sz="0" w:space="0" w:color="auto"/>
                    <w:right w:val="none" w:sz="0" w:space="0" w:color="auto"/>
                  </w:divBdr>
                  <w:divsChild>
                    <w:div w:id="341325138">
                      <w:marLeft w:val="0"/>
                      <w:marRight w:val="0"/>
                      <w:marTop w:val="0"/>
                      <w:marBottom w:val="0"/>
                      <w:divBdr>
                        <w:top w:val="none" w:sz="0" w:space="0" w:color="auto"/>
                        <w:left w:val="none" w:sz="0" w:space="0" w:color="auto"/>
                        <w:bottom w:val="none" w:sz="0" w:space="0" w:color="auto"/>
                        <w:right w:val="none" w:sz="0" w:space="0" w:color="auto"/>
                      </w:divBdr>
                      <w:divsChild>
                        <w:div w:id="105605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29322">
      <w:bodyDiv w:val="1"/>
      <w:marLeft w:val="0"/>
      <w:marRight w:val="0"/>
      <w:marTop w:val="0"/>
      <w:marBottom w:val="0"/>
      <w:divBdr>
        <w:top w:val="none" w:sz="0" w:space="0" w:color="auto"/>
        <w:left w:val="none" w:sz="0" w:space="0" w:color="auto"/>
        <w:bottom w:val="none" w:sz="0" w:space="0" w:color="auto"/>
        <w:right w:val="none" w:sz="0" w:space="0" w:color="auto"/>
      </w:divBdr>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13543292">
      <w:bodyDiv w:val="1"/>
      <w:marLeft w:val="0"/>
      <w:marRight w:val="0"/>
      <w:marTop w:val="0"/>
      <w:marBottom w:val="0"/>
      <w:divBdr>
        <w:top w:val="none" w:sz="0" w:space="0" w:color="auto"/>
        <w:left w:val="none" w:sz="0" w:space="0" w:color="auto"/>
        <w:bottom w:val="none" w:sz="0" w:space="0" w:color="auto"/>
        <w:right w:val="none" w:sz="0" w:space="0" w:color="auto"/>
      </w:divBdr>
      <w:divsChild>
        <w:div w:id="638342474">
          <w:marLeft w:val="0"/>
          <w:marRight w:val="0"/>
          <w:marTop w:val="0"/>
          <w:marBottom w:val="0"/>
          <w:divBdr>
            <w:top w:val="none" w:sz="0" w:space="0" w:color="auto"/>
            <w:left w:val="none" w:sz="0" w:space="0" w:color="auto"/>
            <w:bottom w:val="none" w:sz="0" w:space="0" w:color="auto"/>
            <w:right w:val="none" w:sz="0" w:space="0" w:color="auto"/>
          </w:divBdr>
          <w:divsChild>
            <w:div w:id="426118393">
              <w:marLeft w:val="0"/>
              <w:marRight w:val="0"/>
              <w:marTop w:val="0"/>
              <w:marBottom w:val="0"/>
              <w:divBdr>
                <w:top w:val="none" w:sz="0" w:space="0" w:color="auto"/>
                <w:left w:val="none" w:sz="0" w:space="0" w:color="auto"/>
                <w:bottom w:val="none" w:sz="0" w:space="0" w:color="auto"/>
                <w:right w:val="none" w:sz="0" w:space="0" w:color="auto"/>
              </w:divBdr>
              <w:divsChild>
                <w:div w:id="285043360">
                  <w:marLeft w:val="0"/>
                  <w:marRight w:val="0"/>
                  <w:marTop w:val="0"/>
                  <w:marBottom w:val="0"/>
                  <w:divBdr>
                    <w:top w:val="none" w:sz="0" w:space="0" w:color="auto"/>
                    <w:left w:val="none" w:sz="0" w:space="0" w:color="auto"/>
                    <w:bottom w:val="none" w:sz="0" w:space="0" w:color="auto"/>
                    <w:right w:val="none" w:sz="0" w:space="0" w:color="auto"/>
                  </w:divBdr>
                  <w:divsChild>
                    <w:div w:id="1421945092">
                      <w:marLeft w:val="0"/>
                      <w:marRight w:val="0"/>
                      <w:marTop w:val="0"/>
                      <w:marBottom w:val="0"/>
                      <w:divBdr>
                        <w:top w:val="none" w:sz="0" w:space="0" w:color="auto"/>
                        <w:left w:val="none" w:sz="0" w:space="0" w:color="auto"/>
                        <w:bottom w:val="none" w:sz="0" w:space="0" w:color="auto"/>
                        <w:right w:val="none" w:sz="0" w:space="0" w:color="auto"/>
                      </w:divBdr>
                      <w:divsChild>
                        <w:div w:id="21332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794831126">
      <w:bodyDiv w:val="1"/>
      <w:marLeft w:val="0"/>
      <w:marRight w:val="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21043605">
      <w:bodyDiv w:val="1"/>
      <w:marLeft w:val="0"/>
      <w:marRight w:val="0"/>
      <w:marTop w:val="0"/>
      <w:marBottom w:val="0"/>
      <w:divBdr>
        <w:top w:val="none" w:sz="0" w:space="0" w:color="auto"/>
        <w:left w:val="none" w:sz="0" w:space="0" w:color="auto"/>
        <w:bottom w:val="none" w:sz="0" w:space="0" w:color="auto"/>
        <w:right w:val="none" w:sz="0" w:space="0" w:color="auto"/>
      </w:divBdr>
    </w:div>
    <w:div w:id="855196732">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2590839">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259171372">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94383305">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 w:id="1925651170">
      <w:bodyDiv w:val="1"/>
      <w:marLeft w:val="0"/>
      <w:marRight w:val="0"/>
      <w:marTop w:val="0"/>
      <w:marBottom w:val="0"/>
      <w:divBdr>
        <w:top w:val="none" w:sz="0" w:space="0" w:color="auto"/>
        <w:left w:val="none" w:sz="0" w:space="0" w:color="auto"/>
        <w:bottom w:val="none" w:sz="0" w:space="0" w:color="auto"/>
        <w:right w:val="none" w:sz="0" w:space="0" w:color="auto"/>
      </w:divBdr>
    </w:div>
    <w:div w:id="210221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investicijos.lt/lt/dokumentai//privaciu-juridiniu-asmenu-projektu-dalyviu-darbo-uzmokescio-fiksuotuju-ikainiu-nustatymo-tyrimo-ataskaita"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940b3aec4e9443be"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investicijos.lt/lt/dokumentai//privaciu-juridiniu-asmenu-projektu-dalyviu-darbo-uzmokescio-fiksuotuju-ikainiu-nustatymo-tyrimo-ataskaita"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characterSpacingControl w:val="doNotCompress"/>
  <w:compat>
    <w:useFELayout/>
    <w:compatSetting w:name="compatibilityMode" w:uri="http://schemas.microsoft.com/office/word" w:val="12"/>
  </w:compat>
  <w:rsids>
    <w:rsidRoot w:val="00ED5138"/>
    <w:rsid w:val="00164D35"/>
    <w:rsid w:val="00ED5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F0632-7722-472E-9CEF-D2854741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4145</Words>
  <Characters>2363</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LR finansų ministerija</Company>
  <LinksUpToDate>false</LinksUpToDate>
  <CharactersWithSpaces>6496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Rudakaite-Saukstel Edita</cp:lastModifiedBy>
  <cp:revision>2</cp:revision>
  <cp:lastPrinted>2019-11-07T06:42:00Z</cp:lastPrinted>
  <dcterms:created xsi:type="dcterms:W3CDTF">2021-03-04T06:16:00Z</dcterms:created>
  <dcterms:modified xsi:type="dcterms:W3CDTF">2021-03-04T06:16:00Z</dcterms:modified>
</cp:coreProperties>
</file>