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590D5" w14:textId="77777777" w:rsidR="0099696B" w:rsidRPr="001C5EA1" w:rsidRDefault="0099696B" w:rsidP="0099696B">
      <w:pPr>
        <w:pStyle w:val="Antrats"/>
        <w:jc w:val="center"/>
      </w:pPr>
    </w:p>
    <w:p w14:paraId="0F9CA33B" w14:textId="7A2486D3" w:rsidR="009E1070" w:rsidRDefault="009E1070" w:rsidP="009E1070">
      <w:pPr>
        <w:tabs>
          <w:tab w:val="center" w:pos="4153"/>
          <w:tab w:val="right" w:pos="8306"/>
        </w:tabs>
        <w:jc w:val="center"/>
      </w:pPr>
    </w:p>
    <w:p w14:paraId="072ED71E" w14:textId="799998B3" w:rsidR="009E1070" w:rsidRDefault="009E1070" w:rsidP="009E1070">
      <w:pPr>
        <w:tabs>
          <w:tab w:val="center" w:pos="4153"/>
          <w:tab w:val="right" w:pos="8306"/>
        </w:tabs>
        <w:jc w:val="center"/>
        <w:rPr>
          <w:b/>
          <w:bCs/>
        </w:rPr>
      </w:pPr>
    </w:p>
    <w:p w14:paraId="2AFF54B8" w14:textId="2531B054" w:rsidR="009E1070" w:rsidRDefault="009E1070" w:rsidP="009E1070">
      <w:pPr>
        <w:tabs>
          <w:tab w:val="center" w:pos="4153"/>
          <w:tab w:val="right" w:pos="8306"/>
        </w:tabs>
        <w:jc w:val="center"/>
        <w:rPr>
          <w:b/>
          <w:bCs/>
        </w:rPr>
      </w:pPr>
      <w:r>
        <w:rPr>
          <w:b/>
          <w:bCs/>
        </w:rPr>
        <w:t>LIETUVOS RESPUBLIKOS SVEIKATOS APSAUGOS MINISTRAS</w:t>
      </w:r>
    </w:p>
    <w:p w14:paraId="2061E0E0" w14:textId="77777777" w:rsidR="0099696B" w:rsidRPr="001C5EA1" w:rsidRDefault="0099696B" w:rsidP="0099696B">
      <w:pPr>
        <w:pStyle w:val="Antrats"/>
        <w:jc w:val="center"/>
        <w:rPr>
          <w:b/>
          <w:bCs/>
        </w:rPr>
      </w:pPr>
    </w:p>
    <w:p w14:paraId="65FCB688" w14:textId="77777777" w:rsidR="0099696B" w:rsidRPr="001C5EA1" w:rsidRDefault="0099696B" w:rsidP="00B236E6">
      <w:pPr>
        <w:pStyle w:val="Antrats"/>
        <w:jc w:val="center"/>
        <w:rPr>
          <w:b/>
          <w:bCs/>
        </w:rPr>
      </w:pPr>
      <w:r w:rsidRPr="001C5EA1">
        <w:rPr>
          <w:b/>
          <w:bCs/>
        </w:rPr>
        <w:t>ĮSAKYMAS</w:t>
      </w:r>
    </w:p>
    <w:p w14:paraId="2AF37259" w14:textId="77777777" w:rsidR="00340ADA" w:rsidRPr="001C5EA1" w:rsidRDefault="00256C35" w:rsidP="00CC523F">
      <w:pPr>
        <w:jc w:val="center"/>
        <w:rPr>
          <w:color w:val="000000" w:themeColor="text1"/>
          <w:sz w:val="2"/>
          <w:szCs w:val="2"/>
        </w:rPr>
      </w:pPr>
      <w:r>
        <w:rPr>
          <w:b/>
          <w:bCs/>
          <w:color w:val="000000" w:themeColor="text1"/>
        </w:rPr>
        <w:t>DĖL LIETUVOS RESPUBLIKOS SVEIKATOS APSAUGOS MINIST</w:t>
      </w:r>
      <w:r w:rsidR="00CC523F">
        <w:rPr>
          <w:b/>
          <w:bCs/>
          <w:color w:val="000000" w:themeColor="text1"/>
        </w:rPr>
        <w:t>RO</w:t>
      </w:r>
      <w:r>
        <w:rPr>
          <w:b/>
          <w:bCs/>
          <w:color w:val="000000" w:themeColor="text1"/>
        </w:rPr>
        <w:t xml:space="preserve"> 2020 M. SAUSIO 13 D. ĮSAKYMO NR. V-45 „</w:t>
      </w:r>
      <w:r w:rsidR="00340ADA" w:rsidRPr="001C5EA1">
        <w:rPr>
          <w:b/>
          <w:bCs/>
          <w:color w:val="000000" w:themeColor="text1"/>
        </w:rPr>
        <w:t>DĖL 2014</w:t>
      </w:r>
      <w:r w:rsidR="00520BED" w:rsidRPr="00520BED">
        <w:rPr>
          <w:b/>
          <w:bCs/>
          <w:color w:val="000000" w:themeColor="text1"/>
        </w:rPr>
        <w:t>–2020 METŲ EUROPOS SĄJUNGOS FONDŲ INVESTICIJŲ VEIKSMŲ PROGRAMOS 8 PRIORITETO ,,SOCIALINĖS ĮTRAUKTIES DIDINIMAS IR KOVA SU SKURDU</w:t>
      </w:r>
      <w:r w:rsidR="00520BED" w:rsidRPr="00520BED">
        <w:rPr>
          <w:b/>
          <w:lang w:eastAsia="lt-LT"/>
        </w:rPr>
        <w:t>“</w:t>
      </w:r>
      <w:r w:rsidR="00520BED" w:rsidRPr="00520BED">
        <w:rPr>
          <w:b/>
          <w:bCs/>
          <w:color w:val="000000" w:themeColor="text1"/>
        </w:rPr>
        <w:t xml:space="preserve"> ĮGYVENDINIMO PRIEMONĖS </w:t>
      </w:r>
      <w:r w:rsidR="00520BED" w:rsidRPr="00520BED">
        <w:rPr>
          <w:b/>
          <w:bCs/>
          <w:lang w:eastAsia="lt-LT"/>
        </w:rPr>
        <w:t>NR. 08.4.2-ESFA-K-616 ,,SVEIKATOS PRIEŽIŪROS KOKYBĖS IR PRIEINAMUMO GERINIMAS TIKSLINĖMS GYVENTOJŲ GRUPĖMS ĮGYVENDINANT INOVATYVIUS IR EFEKTYVIUS SVEIKATOS PRIEŽIŪROS MODELIUS“</w:t>
      </w:r>
      <w:r w:rsidR="00520BED" w:rsidRPr="00520BED">
        <w:rPr>
          <w:b/>
          <w:bCs/>
          <w:color w:val="000000" w:themeColor="text1"/>
        </w:rPr>
        <w:t xml:space="preserve"> PROJEKTŲ FINANSAVIMO SĄLYGŲ APRAŠO NR. 1 PATVIRTINIMO</w:t>
      </w:r>
      <w:r>
        <w:rPr>
          <w:b/>
          <w:bCs/>
          <w:color w:val="000000" w:themeColor="text1"/>
        </w:rPr>
        <w:t>“ PAKEITIMO</w:t>
      </w:r>
    </w:p>
    <w:p w14:paraId="58768C3C" w14:textId="77777777" w:rsidR="00340ADA" w:rsidRPr="001C5EA1" w:rsidRDefault="00340ADA" w:rsidP="00340ADA">
      <w:pPr>
        <w:jc w:val="center"/>
        <w:rPr>
          <w:color w:val="000000" w:themeColor="text1"/>
        </w:rPr>
      </w:pPr>
    </w:p>
    <w:p w14:paraId="56EEB3B6" w14:textId="50E94DD1" w:rsidR="00340ADA" w:rsidRPr="001C5EA1" w:rsidRDefault="00340ADA" w:rsidP="00340ADA">
      <w:pPr>
        <w:jc w:val="center"/>
        <w:rPr>
          <w:color w:val="000000" w:themeColor="text1"/>
        </w:rPr>
      </w:pPr>
      <w:r w:rsidRPr="001C5EA1">
        <w:rPr>
          <w:color w:val="000000" w:themeColor="text1"/>
        </w:rPr>
        <w:t>20</w:t>
      </w:r>
      <w:r w:rsidR="00E903E6">
        <w:rPr>
          <w:color w:val="000000" w:themeColor="text1"/>
        </w:rPr>
        <w:t>2</w:t>
      </w:r>
      <w:r w:rsidR="00E23E23">
        <w:rPr>
          <w:color w:val="000000" w:themeColor="text1"/>
        </w:rPr>
        <w:t>1</w:t>
      </w:r>
      <w:r w:rsidRPr="001C5EA1">
        <w:rPr>
          <w:color w:val="000000" w:themeColor="text1"/>
        </w:rPr>
        <w:t xml:space="preserve"> m. </w:t>
      </w:r>
      <w:r w:rsidR="00E17217">
        <w:rPr>
          <w:color w:val="000000" w:themeColor="text1"/>
        </w:rPr>
        <w:t xml:space="preserve">                    </w:t>
      </w:r>
      <w:r w:rsidRPr="001C5EA1">
        <w:rPr>
          <w:color w:val="000000" w:themeColor="text1"/>
        </w:rPr>
        <w:t>d. Nr. V</w:t>
      </w:r>
      <w:r w:rsidR="00A20272">
        <w:rPr>
          <w:color w:val="000000" w:themeColor="text1"/>
        </w:rPr>
        <w:t>-</w:t>
      </w:r>
    </w:p>
    <w:p w14:paraId="1E7125C2" w14:textId="77777777" w:rsidR="00340ADA" w:rsidRPr="001C5EA1" w:rsidRDefault="00340ADA" w:rsidP="00340ADA">
      <w:pPr>
        <w:jc w:val="center"/>
        <w:rPr>
          <w:color w:val="000000" w:themeColor="text1"/>
        </w:rPr>
      </w:pPr>
      <w:r w:rsidRPr="001C5EA1">
        <w:rPr>
          <w:color w:val="000000" w:themeColor="text1"/>
        </w:rPr>
        <w:t>Vilnius</w:t>
      </w:r>
    </w:p>
    <w:p w14:paraId="75C258BE" w14:textId="77777777" w:rsidR="00340ADA" w:rsidRPr="001C5EA1" w:rsidRDefault="00340ADA" w:rsidP="00340ADA">
      <w:pPr>
        <w:jc w:val="center"/>
        <w:rPr>
          <w:color w:val="000000" w:themeColor="text1"/>
        </w:rPr>
      </w:pPr>
    </w:p>
    <w:p w14:paraId="3BD365FD" w14:textId="77777777" w:rsidR="00CC523F" w:rsidRPr="00CC523F" w:rsidRDefault="00CC523F" w:rsidP="00CC523F">
      <w:pPr>
        <w:ind w:firstLine="851"/>
        <w:jc w:val="both"/>
        <w:rPr>
          <w:color w:val="000000"/>
          <w:lang w:eastAsia="lt-LT"/>
        </w:rPr>
      </w:pPr>
      <w:r w:rsidRPr="00CC523F">
        <w:rPr>
          <w:color w:val="000000"/>
          <w:lang w:eastAsia="lt-LT"/>
        </w:rPr>
        <w:t xml:space="preserve">P a k e i č i u 2014–2020 metų Europos Sąjungos fondų investicijų veiksmų programos 8 prioriteto „Socialinės įtraukties didinimas ir kova su skurdu“ </w:t>
      </w:r>
      <w:r>
        <w:rPr>
          <w:color w:val="000000"/>
          <w:lang w:eastAsia="lt-LT"/>
        </w:rPr>
        <w:t xml:space="preserve">įgyvendinimo </w:t>
      </w:r>
      <w:r w:rsidRPr="00CC523F">
        <w:rPr>
          <w:color w:val="000000"/>
          <w:lang w:eastAsia="lt-LT"/>
        </w:rPr>
        <w:t xml:space="preserve">priemonės </w:t>
      </w:r>
      <w:r w:rsidRPr="000F047E">
        <w:t xml:space="preserve">Nr. </w:t>
      </w:r>
      <w:r w:rsidRPr="000F047E">
        <w:rPr>
          <w:bCs/>
        </w:rPr>
        <w:t>08.4.2-ESFA-K-616</w:t>
      </w:r>
      <w:r w:rsidRPr="000F047E">
        <w:t xml:space="preserve"> „Sveikatos priežiūros kokybės ir prieinamumo gerinimas tikslinėms gyventojų grupėms įgyvendinant inovatyvius ir efektyvius sveikatos priežiūros modelius“</w:t>
      </w:r>
      <w:r w:rsidRPr="00CC523F">
        <w:rPr>
          <w:color w:val="000000"/>
          <w:lang w:eastAsia="lt-LT"/>
        </w:rPr>
        <w:t xml:space="preserve"> projektų finansavimo sąlygų aprašą Nr. 1, patvirtintą Lietuvos Respublikos sveikatos apsaugos ministro 20</w:t>
      </w:r>
      <w:r>
        <w:rPr>
          <w:color w:val="000000"/>
          <w:lang w:eastAsia="lt-LT"/>
        </w:rPr>
        <w:t>20</w:t>
      </w:r>
      <w:r w:rsidRPr="00CC523F">
        <w:rPr>
          <w:color w:val="000000"/>
          <w:lang w:eastAsia="lt-LT"/>
        </w:rPr>
        <w:t xml:space="preserve"> m. </w:t>
      </w:r>
      <w:r>
        <w:rPr>
          <w:color w:val="000000"/>
          <w:lang w:eastAsia="lt-LT"/>
        </w:rPr>
        <w:t>sausio</w:t>
      </w:r>
      <w:r w:rsidRPr="00CC523F">
        <w:rPr>
          <w:color w:val="000000"/>
          <w:lang w:eastAsia="lt-LT"/>
        </w:rPr>
        <w:t xml:space="preserve"> </w:t>
      </w:r>
      <w:r>
        <w:rPr>
          <w:color w:val="000000"/>
          <w:lang w:eastAsia="lt-LT"/>
        </w:rPr>
        <w:t>13</w:t>
      </w:r>
      <w:r w:rsidRPr="00CC523F">
        <w:rPr>
          <w:color w:val="000000"/>
          <w:lang w:eastAsia="lt-LT"/>
        </w:rPr>
        <w:t xml:space="preserve"> d. įsakymu Nr. V-</w:t>
      </w:r>
      <w:r>
        <w:rPr>
          <w:color w:val="000000"/>
          <w:lang w:eastAsia="lt-LT"/>
        </w:rPr>
        <w:t>45</w:t>
      </w:r>
      <w:r w:rsidRPr="00CC523F">
        <w:rPr>
          <w:color w:val="000000"/>
          <w:lang w:eastAsia="lt-LT"/>
        </w:rPr>
        <w:t xml:space="preserve"> „Dėl 2014–2020 metų Europos Sąjungos fondų investicijų veiksmų programos 8 prioriteto „Socialinės įtraukties didinimas ir kova su skurdu“ </w:t>
      </w:r>
      <w:r>
        <w:rPr>
          <w:color w:val="000000"/>
          <w:lang w:eastAsia="lt-LT"/>
        </w:rPr>
        <w:t xml:space="preserve">įgyvendinimo </w:t>
      </w:r>
      <w:r w:rsidRPr="00CC523F">
        <w:rPr>
          <w:color w:val="000000"/>
          <w:lang w:eastAsia="lt-LT"/>
        </w:rPr>
        <w:t xml:space="preserve">priemonės </w:t>
      </w:r>
      <w:r w:rsidRPr="000F047E">
        <w:t xml:space="preserve">Nr. </w:t>
      </w:r>
      <w:r w:rsidRPr="000F047E">
        <w:rPr>
          <w:bCs/>
        </w:rPr>
        <w:t>08.4.2-ESFA-K-616</w:t>
      </w:r>
      <w:r w:rsidRPr="000F047E">
        <w:t xml:space="preserve"> „Sveikatos priežiūros kokybės ir prieinamumo gerinimas tikslinėms gyventojų grupėms įgyvendinant inovatyvius ir efektyvius sveikatos priežiūros modelius“</w:t>
      </w:r>
      <w:r w:rsidRPr="00CC523F">
        <w:rPr>
          <w:color w:val="000000"/>
          <w:lang w:eastAsia="lt-LT"/>
        </w:rPr>
        <w:t xml:space="preserve"> projektų finansavimo sąlygų aprašo Nr. 1 patvirtinimo“:</w:t>
      </w:r>
    </w:p>
    <w:p w14:paraId="37FC6337" w14:textId="77777777" w:rsidR="00CC523F" w:rsidRPr="00E17217" w:rsidRDefault="00CC523F" w:rsidP="00E17217">
      <w:pPr>
        <w:pStyle w:val="Sraopastraipa"/>
        <w:numPr>
          <w:ilvl w:val="0"/>
          <w:numId w:val="1"/>
        </w:numPr>
        <w:jc w:val="both"/>
        <w:rPr>
          <w:color w:val="000000"/>
          <w:lang w:eastAsia="lt-LT"/>
        </w:rPr>
      </w:pPr>
      <w:bookmarkStart w:id="0" w:name="part_dd8bb291eed749e9abfc332143663425"/>
      <w:bookmarkEnd w:id="0"/>
      <w:r w:rsidRPr="00E17217">
        <w:rPr>
          <w:color w:val="000000"/>
          <w:lang w:eastAsia="lt-LT"/>
        </w:rPr>
        <w:t xml:space="preserve">Pakeičiu </w:t>
      </w:r>
      <w:r w:rsidR="00732B47">
        <w:t xml:space="preserve">48.8.3 </w:t>
      </w:r>
      <w:r w:rsidR="00732B47">
        <w:rPr>
          <w:color w:val="000000"/>
          <w:lang w:eastAsia="lt-LT"/>
        </w:rPr>
        <w:t>papunktį</w:t>
      </w:r>
      <w:r w:rsidRPr="00E17217">
        <w:rPr>
          <w:color w:val="000000"/>
          <w:lang w:eastAsia="lt-LT"/>
        </w:rPr>
        <w:t xml:space="preserve"> ir jį išdėstau taip:</w:t>
      </w:r>
    </w:p>
    <w:p w14:paraId="687719AF" w14:textId="77777777" w:rsidR="00142853" w:rsidRDefault="00E17217" w:rsidP="00142853">
      <w:pPr>
        <w:tabs>
          <w:tab w:val="left" w:pos="1134"/>
        </w:tabs>
        <w:ind w:firstLine="851"/>
        <w:jc w:val="both"/>
        <w:rPr>
          <w:lang w:eastAsia="lt-LT"/>
        </w:rPr>
      </w:pPr>
      <w:bookmarkStart w:id="1" w:name="_Hlk19800554"/>
      <w:r>
        <w:rPr>
          <w:bCs/>
          <w:lang w:eastAsia="lt-LT"/>
        </w:rPr>
        <w:t>„</w:t>
      </w:r>
      <w:r w:rsidR="00142853">
        <w:rPr>
          <w:lang w:eastAsia="lt-LT"/>
        </w:rPr>
        <w:t>40. Pagal Aprašą tinkamų arba netinkamų finansuoti išlaidų kategorijos yra šios:</w:t>
      </w:r>
    </w:p>
    <w:tbl>
      <w:tblPr>
        <w:tblW w:w="90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723"/>
        <w:gridCol w:w="6375"/>
      </w:tblGrid>
      <w:tr w:rsidR="00142853" w14:paraId="04D7E2A7"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12D36" w14:textId="77777777" w:rsidR="00142853" w:rsidRDefault="00142853" w:rsidP="009531A2">
            <w:pPr>
              <w:ind w:left="-57" w:right="-57"/>
              <w:jc w:val="center"/>
              <w:rPr>
                <w:b/>
                <w:bCs/>
                <w:lang w:eastAsia="lt-LT"/>
              </w:rPr>
            </w:pPr>
            <w:r>
              <w:rPr>
                <w:b/>
                <w:bCs/>
                <w:lang w:eastAsia="lt-LT"/>
              </w:rPr>
              <w:t>Išlaidų kategorijos Nr.</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D033E7" w14:textId="77777777" w:rsidR="00142853" w:rsidRDefault="00142853" w:rsidP="009531A2">
            <w:pPr>
              <w:ind w:left="-57" w:right="-57"/>
              <w:jc w:val="center"/>
              <w:rPr>
                <w:b/>
                <w:bCs/>
                <w:lang w:eastAsia="lt-LT"/>
              </w:rPr>
            </w:pPr>
            <w:r>
              <w:rPr>
                <w:b/>
                <w:bCs/>
                <w:lang w:eastAsia="lt-LT"/>
              </w:rPr>
              <w:t>Išlaidų kategorijos pavadinimas</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4031A" w14:textId="77777777" w:rsidR="00142853" w:rsidRDefault="00142853" w:rsidP="009531A2">
            <w:pPr>
              <w:ind w:left="-57" w:right="-57"/>
              <w:jc w:val="center"/>
              <w:rPr>
                <w:b/>
                <w:bCs/>
                <w:lang w:eastAsia="lt-LT"/>
              </w:rPr>
            </w:pPr>
            <w:r>
              <w:rPr>
                <w:b/>
                <w:bCs/>
                <w:lang w:eastAsia="lt-LT"/>
              </w:rPr>
              <w:t>Reikalavimai ir paaiškinimai</w:t>
            </w:r>
          </w:p>
        </w:tc>
      </w:tr>
      <w:tr w:rsidR="00142853" w14:paraId="770C6F2D"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ECADA" w14:textId="77777777" w:rsidR="00142853" w:rsidRDefault="00142853" w:rsidP="009531A2">
            <w:pPr>
              <w:rPr>
                <w:bCs/>
                <w:lang w:eastAsia="lt-LT"/>
              </w:rPr>
            </w:pPr>
            <w:r>
              <w:rPr>
                <w:bCs/>
                <w:lang w:eastAsia="lt-LT"/>
              </w:rPr>
              <w:t>1.</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58F126" w14:textId="77777777" w:rsidR="00142853" w:rsidRDefault="00142853" w:rsidP="009531A2">
            <w:pPr>
              <w:rPr>
                <w:bCs/>
                <w:lang w:eastAsia="lt-LT"/>
              </w:rPr>
            </w:pPr>
            <w:r>
              <w:rPr>
                <w:bCs/>
                <w:lang w:eastAsia="lt-LT"/>
              </w:rPr>
              <w:t>Žemė</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8247C" w14:textId="77777777" w:rsidR="00142853" w:rsidRDefault="00142853" w:rsidP="009531A2">
            <w:pPr>
              <w:jc w:val="center"/>
              <w:rPr>
                <w:lang w:eastAsia="lt-LT"/>
              </w:rPr>
            </w:pPr>
            <w:r>
              <w:rPr>
                <w:lang w:eastAsia="lt-LT"/>
              </w:rPr>
              <w:t>Netinkama finansuoti.</w:t>
            </w:r>
          </w:p>
        </w:tc>
      </w:tr>
      <w:tr w:rsidR="00142853" w14:paraId="0F1DA6DF"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121227" w14:textId="77777777" w:rsidR="00142853" w:rsidRDefault="00142853" w:rsidP="009531A2">
            <w:pPr>
              <w:rPr>
                <w:bCs/>
                <w:lang w:eastAsia="lt-LT"/>
              </w:rPr>
            </w:pPr>
            <w:r>
              <w:rPr>
                <w:bCs/>
                <w:lang w:eastAsia="lt-LT"/>
              </w:rPr>
              <w:t>2.</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4F1EEF" w14:textId="77777777" w:rsidR="00142853" w:rsidRDefault="00142853" w:rsidP="009531A2">
            <w:pPr>
              <w:rPr>
                <w:bCs/>
                <w:lang w:eastAsia="lt-LT"/>
              </w:rPr>
            </w:pPr>
            <w:r>
              <w:rPr>
                <w:bCs/>
                <w:lang w:eastAsia="lt-LT"/>
              </w:rPr>
              <w:t>Nekilnojamasis turtas</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29C94" w14:textId="77777777" w:rsidR="00142853" w:rsidRDefault="00142853" w:rsidP="009531A2">
            <w:pPr>
              <w:jc w:val="center"/>
              <w:rPr>
                <w:lang w:eastAsia="lt-LT"/>
              </w:rPr>
            </w:pPr>
            <w:r>
              <w:rPr>
                <w:lang w:eastAsia="lt-LT"/>
              </w:rPr>
              <w:t>Netinkama finansuoti.</w:t>
            </w:r>
          </w:p>
        </w:tc>
      </w:tr>
      <w:tr w:rsidR="00142853" w14:paraId="4CEB2875"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768F6" w14:textId="77777777" w:rsidR="00142853" w:rsidRDefault="00142853" w:rsidP="009531A2">
            <w:pPr>
              <w:rPr>
                <w:bCs/>
                <w:lang w:eastAsia="lt-LT"/>
              </w:rPr>
            </w:pPr>
            <w:r>
              <w:rPr>
                <w:bCs/>
                <w:lang w:eastAsia="lt-LT"/>
              </w:rPr>
              <w:t>3.</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2AF28" w14:textId="77777777" w:rsidR="00142853" w:rsidRDefault="00142853" w:rsidP="009531A2">
            <w:pPr>
              <w:ind w:right="-57"/>
              <w:rPr>
                <w:bCs/>
                <w:lang w:eastAsia="lt-LT"/>
              </w:rPr>
            </w:pPr>
            <w:r>
              <w:rPr>
                <w:bCs/>
                <w:lang w:eastAsia="lt-LT"/>
              </w:rPr>
              <w:t>Statyba, rekonstravimas, remontas ir kiti darbai</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26933B" w14:textId="77777777" w:rsidR="00142853" w:rsidRDefault="00142853" w:rsidP="009531A2">
            <w:pPr>
              <w:jc w:val="center"/>
              <w:rPr>
                <w:lang w:eastAsia="lt-LT"/>
              </w:rPr>
            </w:pPr>
            <w:r>
              <w:rPr>
                <w:lang w:eastAsia="lt-LT"/>
              </w:rPr>
              <w:t>Netinkama finansuoti.</w:t>
            </w:r>
          </w:p>
        </w:tc>
      </w:tr>
      <w:tr w:rsidR="00142853" w14:paraId="482D476C"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BEB3D" w14:textId="77777777" w:rsidR="00142853" w:rsidRDefault="00142853" w:rsidP="009531A2">
            <w:pPr>
              <w:rPr>
                <w:bCs/>
                <w:lang w:eastAsia="lt-LT"/>
              </w:rPr>
            </w:pPr>
            <w:r>
              <w:rPr>
                <w:bCs/>
                <w:lang w:eastAsia="lt-LT"/>
              </w:rPr>
              <w:t>4.</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C8217" w14:textId="77777777" w:rsidR="00142853" w:rsidRDefault="00142853" w:rsidP="009531A2">
            <w:pPr>
              <w:rPr>
                <w:bCs/>
                <w:lang w:eastAsia="lt-LT"/>
              </w:rPr>
            </w:pPr>
            <w:r>
              <w:rPr>
                <w:bCs/>
                <w:lang w:eastAsia="lt-LT"/>
              </w:rPr>
              <w:t>Įranga, įrenginiai ir kitas turtas</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177ACF" w14:textId="77777777" w:rsidR="00142853" w:rsidRDefault="00142853" w:rsidP="009531A2">
            <w:pPr>
              <w:rPr>
                <w:lang w:eastAsia="lt-LT"/>
              </w:rPr>
            </w:pPr>
            <w:r>
              <w:rPr>
                <w:lang w:eastAsia="lt-LT"/>
              </w:rPr>
              <w:t>Tinkama finansuoti.</w:t>
            </w:r>
          </w:p>
          <w:p w14:paraId="59CF117E" w14:textId="77777777" w:rsidR="00142853" w:rsidRDefault="00142853" w:rsidP="009531A2">
            <w:pPr>
              <w:rPr>
                <w:bCs/>
              </w:rPr>
            </w:pPr>
          </w:p>
          <w:p w14:paraId="77DEF4C0" w14:textId="77777777" w:rsidR="00142853" w:rsidRDefault="00142853" w:rsidP="009531A2">
            <w:pPr>
              <w:jc w:val="both"/>
              <w:rPr>
                <w:bCs/>
              </w:rPr>
            </w:pPr>
            <w:r>
              <w:t xml:space="preserve">4.1. Projekto veiklai vykdyti reikalingi </w:t>
            </w:r>
            <w:r>
              <w:rPr>
                <w:bCs/>
              </w:rPr>
              <w:t>prietaisai, skirti pacientų sveikatos būklei ambulatoriškai ir nuotoliniu būdu stebėti ir vertinti (nešiojamasis kompiuteris, planšetinis kompiuteris ir kt.).</w:t>
            </w:r>
          </w:p>
          <w:p w14:paraId="3F6062C2" w14:textId="77777777" w:rsidR="00142853" w:rsidRDefault="00142853" w:rsidP="009531A2">
            <w:pPr>
              <w:jc w:val="both"/>
              <w:rPr>
                <w:bCs/>
              </w:rPr>
            </w:pPr>
          </w:p>
          <w:p w14:paraId="6FB993CD" w14:textId="77777777" w:rsidR="00142853" w:rsidRDefault="00142853" w:rsidP="009531A2">
            <w:pPr>
              <w:jc w:val="both"/>
              <w:rPr>
                <w:bCs/>
              </w:rPr>
            </w:pPr>
            <w:r>
              <w:t xml:space="preserve">Projekto veiklai vykdyti reikalingos įsigyti, adaptuoti ir įdiegti mobiliajame telefone ir planšetiniame kompiuteryje programėlės, įgalinančios stebėti pacientų sveikatos būklę ir pateikti rekomendacijas. Šios išlaidos tinkamos finansuoti tik </w:t>
            </w:r>
            <w:r>
              <w:lastRenderedPageBreak/>
              <w:t>tokiu atveju, jei projekte numatyta vykdyti Aprašo 2 priede nurodytą 14 komponentę (Technologijų, leidžiančių pacientams nuotoliniu būdu pateikti savo sveikatos duomenis / informaciją sveikatos priežiūros specialistams, naudojimas).</w:t>
            </w:r>
            <w:r>
              <w:rPr>
                <w:bCs/>
              </w:rPr>
              <w:t xml:space="preserve"> Jeigu įsigyjama jau sukurta programėlė, ji privalo būti adaptyvi (</w:t>
            </w:r>
            <w:r>
              <w:t xml:space="preserve">privalo veikti </w:t>
            </w:r>
            <w:r>
              <w:rPr>
                <w:i/>
                <w:iCs/>
              </w:rPr>
              <w:t>Android</w:t>
            </w:r>
            <w:r>
              <w:t xml:space="preserve">, </w:t>
            </w:r>
            <w:r>
              <w:rPr>
                <w:i/>
                <w:iCs/>
              </w:rPr>
              <w:t>Apple</w:t>
            </w:r>
            <w:r>
              <w:t xml:space="preserve"> ir </w:t>
            </w:r>
            <w:r>
              <w:rPr>
                <w:i/>
                <w:iCs/>
              </w:rPr>
              <w:t>Windows</w:t>
            </w:r>
            <w:r>
              <w:t xml:space="preserve"> įrenginiuose: planšetėse, kompiuteriuose bei mobiliuose telefonuose)</w:t>
            </w:r>
            <w:r>
              <w:rPr>
                <w:bCs/>
              </w:rPr>
              <w:t>.</w:t>
            </w:r>
          </w:p>
          <w:p w14:paraId="3D680BD2" w14:textId="77777777" w:rsidR="00142853" w:rsidRDefault="00142853" w:rsidP="009531A2">
            <w:pPr>
              <w:jc w:val="both"/>
              <w:rPr>
                <w:bCs/>
              </w:rPr>
            </w:pPr>
          </w:p>
          <w:p w14:paraId="5B9A43F0" w14:textId="77777777" w:rsidR="00142853" w:rsidRDefault="00142853" w:rsidP="009531A2">
            <w:pPr>
              <w:jc w:val="both"/>
              <w:rPr>
                <w:bCs/>
              </w:rPr>
            </w:pPr>
            <w:r>
              <w:t xml:space="preserve">4.3. </w:t>
            </w:r>
            <w:r>
              <w:rPr>
                <w:lang w:eastAsia="lt-LT"/>
              </w:rPr>
              <w:t xml:space="preserve">Išlaidų suma </w:t>
            </w:r>
            <w:r>
              <w:t>ilgalaikiam materialiajam ar nematerialiajam turtui įsigyti, išskyrus (atėmus) šioms išlaidoms tenkantį pirkimo ir (arba) importo pridėtinės vertės mokestį (toliau – PVM) ir išlaidas, kurios apmokamos supaprastintai pagal iš anksto nustatytus dydžius (fiksuotuosius įkainius, fiksuotąsias sumas arba fiksuotąsias normas), negali</w:t>
            </w:r>
            <w:r>
              <w:rPr>
                <w:lang w:eastAsia="lt-LT"/>
              </w:rPr>
              <w:t xml:space="preserve"> sudaryti daugiau kaip 300 000 Eur (trys šimtai tūkstančių eurų) nuo tiesioginių projekto išlaidų. Ši suma nustatoma atliekant projekto tinkamumo finansuoti vertinimą arba keičiant projekto sutartį.</w:t>
            </w:r>
          </w:p>
        </w:tc>
      </w:tr>
      <w:tr w:rsidR="00142853" w14:paraId="5E8E2957"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19D008" w14:textId="77777777" w:rsidR="00142853" w:rsidRDefault="00142853" w:rsidP="009531A2">
            <w:pPr>
              <w:rPr>
                <w:bCs/>
                <w:lang w:eastAsia="lt-LT"/>
              </w:rPr>
            </w:pPr>
            <w:r>
              <w:rPr>
                <w:bCs/>
                <w:lang w:eastAsia="lt-LT"/>
              </w:rPr>
              <w:lastRenderedPageBreak/>
              <w:t>5.</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E758F" w14:textId="77777777" w:rsidR="00142853" w:rsidRDefault="00142853" w:rsidP="009531A2">
            <w:pPr>
              <w:rPr>
                <w:bCs/>
                <w:lang w:eastAsia="lt-LT"/>
              </w:rPr>
            </w:pPr>
            <w:r>
              <w:rPr>
                <w:bCs/>
                <w:lang w:eastAsia="lt-LT"/>
              </w:rPr>
              <w:t>Projekto vykdymas</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00C0B2" w14:textId="77777777" w:rsidR="00142853" w:rsidRDefault="00142853" w:rsidP="009531A2">
            <w:pPr>
              <w:jc w:val="both"/>
              <w:textAlignment w:val="baseline"/>
              <w:rPr>
                <w:color w:val="000000"/>
                <w:lang w:eastAsia="lt-LT"/>
              </w:rPr>
            </w:pPr>
            <w:r>
              <w:rPr>
                <w:color w:val="000000"/>
                <w:lang w:eastAsia="lt-LT"/>
              </w:rPr>
              <w:t>Tinkama finansuoti.</w:t>
            </w:r>
          </w:p>
          <w:p w14:paraId="3DED4D06" w14:textId="77777777" w:rsidR="00142853" w:rsidRDefault="00142853" w:rsidP="009531A2">
            <w:pPr>
              <w:textAlignment w:val="baseline"/>
              <w:rPr>
                <w:color w:val="000000"/>
                <w:lang w:eastAsia="lt-LT"/>
              </w:rPr>
            </w:pPr>
          </w:p>
          <w:p w14:paraId="53B0A948" w14:textId="77777777" w:rsidR="00142853" w:rsidRDefault="00142853" w:rsidP="009531A2">
            <w:pPr>
              <w:jc w:val="both"/>
              <w:textAlignment w:val="baseline"/>
              <w:rPr>
                <w:color w:val="000000"/>
                <w:lang w:eastAsia="lt-LT"/>
              </w:rPr>
            </w:pPr>
            <w:r>
              <w:rPr>
                <w:color w:val="000000"/>
                <w:lang w:eastAsia="lt-LT"/>
              </w:rPr>
              <w:t>Vykdant Aprašo 9 punkte nurodytą remiamą veiklą tinkamos yra šios išlaidos:</w:t>
            </w:r>
          </w:p>
          <w:p w14:paraId="3B5B21A6" w14:textId="77777777" w:rsidR="00142853" w:rsidRDefault="00142853" w:rsidP="009531A2">
            <w:pPr>
              <w:jc w:val="both"/>
              <w:textAlignment w:val="baseline"/>
              <w:rPr>
                <w:color w:val="000000"/>
                <w:lang w:eastAsia="lt-LT"/>
              </w:rPr>
            </w:pPr>
          </w:p>
          <w:p w14:paraId="3226A5C3" w14:textId="77777777" w:rsidR="00142853" w:rsidRDefault="00142853" w:rsidP="009531A2">
            <w:pPr>
              <w:jc w:val="both"/>
              <w:textAlignment w:val="baseline"/>
              <w:rPr>
                <w:color w:val="000000"/>
                <w:lang w:eastAsia="lt-LT"/>
              </w:rPr>
            </w:pPr>
            <w:r>
              <w:t xml:space="preserve">5.1. Projekto veiklai vykdyti reikalingos </w:t>
            </w:r>
            <w:r>
              <w:rPr>
                <w:bCs/>
              </w:rPr>
              <w:t>medicininės priemonės (prietaisai), skirtos pacientų sveikatos būklei ambulatoriškai ir nuotoliniu būdu stebėti ir vertinti (pvz.: prietaisas kraujo spaudimui matuoti, prietaisas gliukozės kiekiui kraujyje matuoti, prietaisas kraujo įsisotinimui deguonimi matuoti, žingsniamatis ir kt.);</w:t>
            </w:r>
          </w:p>
          <w:p w14:paraId="0FB1F61F" w14:textId="77777777" w:rsidR="00142853" w:rsidRDefault="00142853" w:rsidP="009531A2">
            <w:pPr>
              <w:jc w:val="both"/>
              <w:textAlignment w:val="baseline"/>
              <w:rPr>
                <w:color w:val="000000"/>
                <w:lang w:eastAsia="lt-LT"/>
              </w:rPr>
            </w:pPr>
          </w:p>
          <w:p w14:paraId="393BB34B" w14:textId="77777777" w:rsidR="00142853" w:rsidRDefault="00142853" w:rsidP="009531A2">
            <w:pPr>
              <w:jc w:val="both"/>
              <w:textAlignment w:val="baseline"/>
              <w:rPr>
                <w:color w:val="000000"/>
                <w:u w:val="single"/>
                <w:lang w:eastAsia="lt-LT"/>
              </w:rPr>
            </w:pPr>
            <w:r>
              <w:rPr>
                <w:color w:val="000000"/>
                <w:lang w:eastAsia="lt-LT"/>
              </w:rPr>
              <w:t>5.2. Projekto veikloms vykdyti (vykdančiojo personalo komandiruotės, dalyvių kelionės ir komandiruotės) reikalingos transporto (toliau – transportas) Lietuvoje išlaidos apmokamos taikant Kuro ir viešojo transporto išlaidų fiksuotųjų įkainių nustatymo tyrimo ataskaitą;</w:t>
            </w:r>
          </w:p>
          <w:p w14:paraId="425A0848" w14:textId="77777777" w:rsidR="00142853" w:rsidRDefault="00142853" w:rsidP="009531A2">
            <w:pPr>
              <w:jc w:val="both"/>
              <w:textAlignment w:val="baseline"/>
              <w:rPr>
                <w:color w:val="000000"/>
                <w:lang w:eastAsia="lt-LT"/>
              </w:rPr>
            </w:pPr>
          </w:p>
          <w:p w14:paraId="12FC894D" w14:textId="77777777" w:rsidR="00142853" w:rsidRDefault="00142853" w:rsidP="009531A2">
            <w:pPr>
              <w:jc w:val="both"/>
              <w:textAlignment w:val="baseline"/>
              <w:rPr>
                <w:color w:val="000000"/>
                <w:lang w:eastAsia="lt-LT"/>
              </w:rPr>
            </w:pPr>
            <w:r>
              <w:rPr>
                <w:color w:val="000000"/>
                <w:lang w:eastAsia="lt-LT"/>
              </w:rPr>
              <w:t xml:space="preserve">5.3. 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 </w:t>
            </w:r>
            <w:r w:rsidRPr="003042E7">
              <w:rPr>
                <w:b/>
                <w:bCs/>
                <w:color w:val="000000"/>
                <w:lang w:eastAsia="lt-LT"/>
              </w:rPr>
              <w:t>Fiksuotoji norma taikoma tik tais atvejais, kai projekto vykdančiojo personalo darbo užmokesčio išlaidos apmokamos pagal faktiškai patirtas išlaidas</w:t>
            </w:r>
            <w:r>
              <w:rPr>
                <w:color w:val="000000"/>
                <w:lang w:eastAsia="lt-LT"/>
              </w:rPr>
              <w:t>;</w:t>
            </w:r>
          </w:p>
          <w:p w14:paraId="7D2C0BF6" w14:textId="77777777" w:rsidR="00142853" w:rsidRDefault="00142853" w:rsidP="009531A2">
            <w:pPr>
              <w:jc w:val="both"/>
              <w:textAlignment w:val="baseline"/>
              <w:rPr>
                <w:color w:val="000000"/>
                <w:lang w:eastAsia="lt-LT"/>
              </w:rPr>
            </w:pPr>
          </w:p>
          <w:p w14:paraId="1DD3D707" w14:textId="77777777" w:rsidR="00142853" w:rsidRDefault="00142853" w:rsidP="009531A2">
            <w:pPr>
              <w:jc w:val="both"/>
              <w:textAlignment w:val="baseline"/>
              <w:rPr>
                <w:color w:val="000000"/>
                <w:lang w:eastAsia="lt-LT"/>
              </w:rPr>
            </w:pPr>
            <w:r>
              <w:rPr>
                <w:color w:val="000000"/>
                <w:lang w:eastAsia="lt-LT"/>
              </w:rPr>
              <w:t>5.4. Projekto veikloms vykdyti reikalingos renginio organizavimo išlaidos apmokamos taikant Renginio organizavimo fiksuotojo įkainio nustatymo tyrimo ataskaitą;</w:t>
            </w:r>
          </w:p>
          <w:p w14:paraId="62ECE85B" w14:textId="77777777" w:rsidR="00142853" w:rsidRDefault="00142853" w:rsidP="009531A2">
            <w:pPr>
              <w:jc w:val="both"/>
              <w:textAlignment w:val="baseline"/>
              <w:rPr>
                <w:color w:val="000000"/>
                <w:lang w:eastAsia="lt-LT"/>
              </w:rPr>
            </w:pPr>
          </w:p>
          <w:p w14:paraId="359AC978" w14:textId="77777777" w:rsidR="00142853" w:rsidRDefault="00142853" w:rsidP="009531A2">
            <w:pPr>
              <w:jc w:val="both"/>
              <w:textAlignment w:val="baseline"/>
              <w:rPr>
                <w:color w:val="000000"/>
                <w:lang w:eastAsia="lt-LT"/>
              </w:rPr>
            </w:pPr>
            <w:r>
              <w:rPr>
                <w:color w:val="000000"/>
                <w:lang w:eastAsia="lt-LT"/>
              </w:rPr>
              <w:t>5.5. Projekto veikloms vykdyti reikalingos apgyvendinimo Lietuvoje išlaidos apmokamos taikant Apgyvendinimo Lietuvoje išlaidų fiksuotųjų įkainių nustatymo tyrimo ataskaitą;</w:t>
            </w:r>
          </w:p>
          <w:p w14:paraId="0E2FD557" w14:textId="77777777" w:rsidR="00142853" w:rsidRDefault="00142853" w:rsidP="009531A2">
            <w:pPr>
              <w:jc w:val="both"/>
              <w:textAlignment w:val="baseline"/>
              <w:rPr>
                <w:color w:val="000000"/>
                <w:lang w:eastAsia="lt-LT"/>
              </w:rPr>
            </w:pPr>
          </w:p>
          <w:p w14:paraId="5C182ECA" w14:textId="77777777" w:rsidR="00142853" w:rsidRDefault="00142853" w:rsidP="009531A2">
            <w:pPr>
              <w:jc w:val="both"/>
              <w:textAlignment w:val="baseline"/>
              <w:rPr>
                <w:color w:val="000000"/>
                <w:lang w:eastAsia="lt-LT"/>
              </w:rPr>
            </w:pPr>
            <w:r>
              <w:rPr>
                <w:color w:val="000000"/>
                <w:lang w:eastAsia="lt-LT"/>
              </w:rPr>
              <w:t>5.6. Viešojo valdymo institucijų projektų dalyvių darbo užmokesčio išlaidos apskaičiuojamos taikant Viešojo valdymo institucijų projektų dalyvių darbo užmokesčio fiksuotųjų įkainių nustatymo tyrimo ataskaitą;</w:t>
            </w:r>
          </w:p>
          <w:p w14:paraId="26C7E077" w14:textId="77777777" w:rsidR="00142853" w:rsidRDefault="00142853" w:rsidP="009531A2">
            <w:pPr>
              <w:jc w:val="both"/>
              <w:textAlignment w:val="baseline"/>
              <w:rPr>
                <w:color w:val="000000"/>
                <w:lang w:eastAsia="lt-LT"/>
              </w:rPr>
            </w:pPr>
          </w:p>
          <w:p w14:paraId="5CFAE9FB" w14:textId="77777777" w:rsidR="00142853" w:rsidRDefault="00142853" w:rsidP="009531A2">
            <w:pPr>
              <w:jc w:val="both"/>
              <w:textAlignment w:val="baseline"/>
              <w:rPr>
                <w:color w:val="000000"/>
                <w:lang w:eastAsia="lt-LT"/>
              </w:rPr>
            </w:pPr>
            <w:r>
              <w:rPr>
                <w:color w:val="000000"/>
                <w:lang w:eastAsia="lt-LT"/>
              </w:rPr>
              <w:t>5.7. Projekto veikloms vykdyti reikalingos privačių juridinių asmenų projektų dalyvių darbo užmokesčio išlaidos apskaičiuojamos taikant Privačių juridinių asmenų projektų dalyvių darbo užmokesčio fiksuotųjų įkainių nustatymo tyrimo ataskaitą;</w:t>
            </w:r>
          </w:p>
          <w:p w14:paraId="20EF173B" w14:textId="77777777" w:rsidR="00142853" w:rsidRDefault="00142853" w:rsidP="009531A2">
            <w:pPr>
              <w:jc w:val="both"/>
              <w:textAlignment w:val="baseline"/>
              <w:rPr>
                <w:color w:val="000000"/>
                <w:lang w:eastAsia="lt-LT"/>
              </w:rPr>
            </w:pPr>
          </w:p>
          <w:p w14:paraId="0F5AEC22" w14:textId="4991A1B3" w:rsidR="00142853" w:rsidRDefault="00142853" w:rsidP="009531A2">
            <w:pPr>
              <w:jc w:val="both"/>
              <w:textAlignment w:val="baseline"/>
            </w:pPr>
            <w:r>
              <w:t xml:space="preserve">5.8. Projekto veikloms vykdyti reikalingos projektą vykdančių darbuotojų darbo užmokesčio išlaidos apmokamos taikant Valandinio projekto vykdančiojo personalo fiksuotojo įkainio nustatymo, naudojant 1 720 valandų standartinį metinį darbo laiką, metodiką </w:t>
            </w:r>
            <w:r w:rsidRPr="003042E7">
              <w:rPr>
                <w:b/>
                <w:bCs/>
              </w:rPr>
              <w:t>(toliau – Metodika)</w:t>
            </w:r>
            <w:r>
              <w:t xml:space="preserve">. Atsižvelgiant į tai, kad į įkainį, apskaičiuotą pagal metodiką, įeina kasmetinės atostogos, kitų teisės aktais numatytų laisvų dienų laikas, 5.3 papunktyje numatytas tyrimas papildomai netaikomas apskaičiuojant darbo užmokesčio išlaidas. </w:t>
            </w:r>
            <w:bookmarkStart w:id="2" w:name="_GoBack"/>
            <w:r w:rsidRPr="003042E7">
              <w:rPr>
                <w:b/>
                <w:bCs/>
              </w:rPr>
              <w:t>Tais atvejais, kai valandinis projekto vykdančiojo personalo fiksuotasis įkainis negali būti nustatytas</w:t>
            </w:r>
            <w:r w:rsidR="00D518E1" w:rsidRPr="003042E7">
              <w:rPr>
                <w:b/>
                <w:bCs/>
              </w:rPr>
              <w:t xml:space="preserve"> vadovaujantis Metodika</w:t>
            </w:r>
            <w:r w:rsidRPr="003042E7">
              <w:rPr>
                <w:b/>
                <w:bCs/>
              </w:rPr>
              <w:t>, darbo užmokesčio išlaidos apmokamos pagal faktiškai patirtas išlaidas</w:t>
            </w:r>
            <w:bookmarkEnd w:id="2"/>
            <w:r>
              <w:t>;</w:t>
            </w:r>
          </w:p>
          <w:p w14:paraId="2E218295" w14:textId="77777777" w:rsidR="00142853" w:rsidRDefault="00142853" w:rsidP="009531A2">
            <w:pPr>
              <w:jc w:val="both"/>
              <w:textAlignment w:val="baseline"/>
            </w:pPr>
          </w:p>
          <w:p w14:paraId="569B6ABD" w14:textId="77777777" w:rsidR="00142853" w:rsidRDefault="00142853" w:rsidP="009531A2">
            <w:pPr>
              <w:jc w:val="both"/>
              <w:textAlignment w:val="baseline"/>
            </w:pPr>
            <w:r>
              <w:t>5.9. Projekto veikloms vykdyti reikalingos dirbančiųjų mokymo išlaidos apskaičiuojamos taikant Dirbančiųjų mokymo valandos fiksuotąjį įkainį, patvirtintą 2018 m. gruodžio 19 d. Europos Komisijos deleguotuoju reglamentu (ES) Nr. 2019/379, kuriuo iš dalies keičiamas Europos Komisijos deleguotasis reglamentas (ES) Nr. 2015/2195 (XIV priedas);</w:t>
            </w:r>
          </w:p>
          <w:p w14:paraId="235AC1FC" w14:textId="77777777" w:rsidR="00142853" w:rsidRDefault="00142853" w:rsidP="009531A2">
            <w:pPr>
              <w:jc w:val="both"/>
              <w:textAlignment w:val="baseline"/>
            </w:pPr>
          </w:p>
          <w:p w14:paraId="6BD0948B" w14:textId="77777777" w:rsidR="00142853" w:rsidRDefault="00142853" w:rsidP="009531A2">
            <w:pPr>
              <w:jc w:val="both"/>
              <w:textAlignment w:val="baseline"/>
            </w:pPr>
            <w:r>
              <w:t>5.10. Kitos projekto įgyvendinimui reikalingos išlaidos.</w:t>
            </w:r>
          </w:p>
          <w:p w14:paraId="3BDF9AF2" w14:textId="77777777" w:rsidR="00142853" w:rsidRDefault="00142853" w:rsidP="009531A2">
            <w:pPr>
              <w:jc w:val="both"/>
              <w:textAlignment w:val="baseline"/>
              <w:rPr>
                <w:color w:val="000000"/>
                <w:lang w:eastAsia="lt-LT"/>
              </w:rPr>
            </w:pPr>
          </w:p>
          <w:p w14:paraId="0C4818E6" w14:textId="77777777" w:rsidR="00142853" w:rsidRDefault="00142853" w:rsidP="009531A2">
            <w:pPr>
              <w:jc w:val="both"/>
              <w:textAlignment w:val="baseline"/>
              <w:rPr>
                <w:color w:val="000000"/>
                <w:lang w:eastAsia="lt-LT"/>
              </w:rPr>
            </w:pPr>
            <w:r>
              <w:rPr>
                <w:color w:val="000000"/>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w:t>
            </w:r>
            <w:proofErr w:type="spellStart"/>
            <w:r>
              <w:rPr>
                <w:color w:val="000000"/>
                <w:lang w:eastAsia="lt-LT"/>
              </w:rPr>
              <w:t>ių</w:t>
            </w:r>
            <w:proofErr w:type="spellEnd"/>
            <w:r>
              <w:rPr>
                <w:color w:val="000000"/>
                <w:lang w:eastAsia="lt-LT"/>
              </w:rPr>
              <w:t>) nuosavas įnašas.</w:t>
            </w:r>
          </w:p>
          <w:p w14:paraId="44EFE102" w14:textId="77777777" w:rsidR="00142853" w:rsidRDefault="00142853" w:rsidP="009531A2">
            <w:pPr>
              <w:jc w:val="both"/>
              <w:textAlignment w:val="baseline"/>
              <w:rPr>
                <w:color w:val="000000"/>
                <w:lang w:eastAsia="lt-LT"/>
              </w:rPr>
            </w:pPr>
          </w:p>
          <w:p w14:paraId="4197DF12" w14:textId="77777777" w:rsidR="00142853" w:rsidRDefault="00142853" w:rsidP="009531A2">
            <w:pPr>
              <w:jc w:val="both"/>
              <w:textAlignment w:val="baseline"/>
              <w:rPr>
                <w:color w:val="000000"/>
                <w:lang w:eastAsia="lt-LT"/>
              </w:rPr>
            </w:pPr>
            <w:r>
              <w:rPr>
                <w:color w:val="000000"/>
                <w:lang w:eastAsia="lt-LT"/>
              </w:rPr>
              <w:t>Paraiškos parengimo išlaidos yra netinkamos finansuoti.</w:t>
            </w:r>
          </w:p>
          <w:p w14:paraId="7A558B1B" w14:textId="77777777" w:rsidR="00142853" w:rsidRDefault="00142853" w:rsidP="009531A2">
            <w:pPr>
              <w:jc w:val="both"/>
            </w:pPr>
          </w:p>
          <w:p w14:paraId="3EC67548" w14:textId="77777777" w:rsidR="00142853" w:rsidRDefault="00142853" w:rsidP="009531A2">
            <w:pPr>
              <w:rPr>
                <w:color w:val="0563C1"/>
                <w:u w:val="single"/>
              </w:rPr>
            </w:pPr>
            <w:r>
              <w:t xml:space="preserve">Šiame punkte nurodytos ataskaitos skelbiamos ES struktūrinių fondų interneto svetainėje: </w:t>
            </w:r>
            <w:r>
              <w:rPr>
                <w:color w:val="0563C1"/>
                <w:u w:val="single"/>
              </w:rPr>
              <w:t>http://www.esinvesticijos.lt/lt/dokumentai/supaprastinto-islaidu-apmokejimo-tyrimai</w:t>
            </w:r>
          </w:p>
        </w:tc>
      </w:tr>
      <w:tr w:rsidR="00142853" w14:paraId="0B13E749" w14:textId="77777777" w:rsidTr="009531A2">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4D4D0" w14:textId="77777777" w:rsidR="00142853" w:rsidRDefault="00142853" w:rsidP="009531A2">
            <w:pPr>
              <w:rPr>
                <w:bCs/>
                <w:lang w:eastAsia="lt-LT"/>
              </w:rPr>
            </w:pPr>
            <w:r>
              <w:rPr>
                <w:bCs/>
                <w:lang w:eastAsia="lt-LT"/>
              </w:rPr>
              <w:lastRenderedPageBreak/>
              <w:t>6.</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4D9C0" w14:textId="77777777" w:rsidR="00142853" w:rsidRDefault="00142853" w:rsidP="009531A2">
            <w:pPr>
              <w:rPr>
                <w:bCs/>
                <w:lang w:eastAsia="lt-LT"/>
              </w:rPr>
            </w:pPr>
            <w:r>
              <w:rPr>
                <w:bCs/>
                <w:lang w:eastAsia="lt-LT"/>
              </w:rPr>
              <w:t xml:space="preserve">Informavimas apie projektą </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25857" w14:textId="77777777" w:rsidR="00142853" w:rsidRDefault="00142853" w:rsidP="009531A2">
            <w:pPr>
              <w:jc w:val="both"/>
            </w:pPr>
            <w:r>
              <w:t>Tinkamomis finansuoti yra tik privalomos informavimo apie projektą priemonės pagal Projekto taisyklių 450.1, 450.2, 450.6 papunkčius. Viešinimo išlaidos negali viršyti 500 Eur.</w:t>
            </w:r>
          </w:p>
        </w:tc>
      </w:tr>
      <w:tr w:rsidR="00142853" w14:paraId="7C7EF1B0" w14:textId="77777777" w:rsidTr="009531A2">
        <w:trPr>
          <w:trHeight w:val="689"/>
        </w:trPr>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CA1BB" w14:textId="77777777" w:rsidR="00142853" w:rsidRDefault="00142853" w:rsidP="009531A2">
            <w:pPr>
              <w:rPr>
                <w:bCs/>
                <w:lang w:eastAsia="lt-LT"/>
              </w:rPr>
            </w:pPr>
            <w:r>
              <w:rPr>
                <w:bCs/>
                <w:lang w:eastAsia="lt-LT"/>
              </w:rPr>
              <w:t>7.</w:t>
            </w:r>
          </w:p>
        </w:tc>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53DFA" w14:textId="77777777" w:rsidR="00142853" w:rsidRDefault="00142853" w:rsidP="009531A2">
            <w:pPr>
              <w:rPr>
                <w:bCs/>
                <w:lang w:eastAsia="lt-LT"/>
              </w:rPr>
            </w:pPr>
            <w:r>
              <w:rPr>
                <w:bCs/>
                <w:lang w:eastAsia="lt-LT"/>
              </w:rPr>
              <w:t>Netiesioginės išlaidos ir kitos išlaidos pagal fiksuotąją projekto išlaidų normą</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577EC1" w14:textId="77777777" w:rsidR="00142853" w:rsidRDefault="00142853" w:rsidP="009531A2">
            <w:pPr>
              <w:rPr>
                <w:bCs/>
                <w:lang w:eastAsia="lt-LT"/>
              </w:rPr>
            </w:pPr>
            <w:r>
              <w:rPr>
                <w:bCs/>
                <w:lang w:eastAsia="lt-LT"/>
              </w:rPr>
              <w:t xml:space="preserve">Tinkama finansuoti. </w:t>
            </w:r>
          </w:p>
          <w:p w14:paraId="1AA69146" w14:textId="77777777" w:rsidR="00142853" w:rsidRDefault="00142853" w:rsidP="009531A2">
            <w:pPr>
              <w:rPr>
                <w:bCs/>
                <w:lang w:eastAsia="lt-LT"/>
              </w:rPr>
            </w:pPr>
          </w:p>
          <w:p w14:paraId="031FF822" w14:textId="77777777" w:rsidR="00142853" w:rsidRDefault="00142853" w:rsidP="009531A2">
            <w:pPr>
              <w:jc w:val="both"/>
              <w:rPr>
                <w:lang w:eastAsia="lt-LT"/>
              </w:rPr>
            </w:pPr>
            <w:r>
              <w:rPr>
                <w:color w:val="000000"/>
                <w:shd w:val="clear" w:color="auto" w:fill="FFFFFF"/>
              </w:rPr>
              <w:t>Vykdant Aprašo 9 punkte nurodytą remiamą veiklą, netiesioginėms projekto išlaidoms apmokėti taikoma fiksuotoji projekto išlaidų norma apskaičiuojama pagal Projektų taisyklių 10 priedą.</w:t>
            </w:r>
          </w:p>
        </w:tc>
      </w:tr>
    </w:tbl>
    <w:p w14:paraId="2D0AD5C4" w14:textId="76707315" w:rsidR="00E17217" w:rsidRDefault="00142853" w:rsidP="00E17217">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rPr>
      </w:pPr>
      <w:r>
        <w:rPr>
          <w:i/>
        </w:rPr>
        <w:t>Pastaba. Paraiškos formos projekto biudžeto lentelė pildoma vadovaujantis Projekto biudžeto formos pildymo instrukcija, pateikta Rekomendacijose dėl projektų išlaidų atitikties Europos Sąjungos struktūrinių fondų reikalavimams.</w:t>
      </w:r>
      <w:r w:rsidR="00E17217">
        <w:rPr>
          <w:bCs/>
        </w:rPr>
        <w:t>“</w:t>
      </w:r>
    </w:p>
    <w:bookmarkEnd w:id="1"/>
    <w:p w14:paraId="13B78F1B" w14:textId="77777777" w:rsidR="00E17217" w:rsidRPr="00E17217" w:rsidRDefault="00E17217" w:rsidP="00E17217">
      <w:pPr>
        <w:jc w:val="both"/>
        <w:rPr>
          <w:color w:val="000000"/>
          <w:lang w:eastAsia="lt-LT"/>
        </w:rPr>
      </w:pPr>
    </w:p>
    <w:p w14:paraId="03F9BC8E" w14:textId="77777777" w:rsidR="00340ADA" w:rsidRPr="001C5EA1" w:rsidRDefault="00340ADA" w:rsidP="00340ADA">
      <w:pPr>
        <w:ind w:firstLine="851"/>
        <w:jc w:val="both"/>
        <w:rPr>
          <w:color w:val="000000" w:themeColor="text1"/>
        </w:rPr>
      </w:pPr>
      <w:bookmarkStart w:id="3" w:name="part_c34c5baca66245109d2341c3870e3159"/>
      <w:bookmarkStart w:id="4" w:name="part_8c2727a86abe4aef9afa43e7886133ac"/>
      <w:bookmarkEnd w:id="3"/>
      <w:bookmarkEnd w:id="4"/>
    </w:p>
    <w:p w14:paraId="1EC33A7A" w14:textId="05ACCFDA" w:rsidR="00340ADA" w:rsidRPr="001C5EA1" w:rsidRDefault="00A20272" w:rsidP="00A20272">
      <w:pPr>
        <w:widowControl w:val="0"/>
        <w:ind w:right="57"/>
      </w:pPr>
      <w:r>
        <w:t>S</w:t>
      </w:r>
      <w:r w:rsidR="00B30541">
        <w:t>veikatos apsaugos ministr</w:t>
      </w:r>
      <w:r>
        <w:t>as</w:t>
      </w:r>
      <w:r w:rsidR="00B30541">
        <w:t xml:space="preserve">      </w:t>
      </w:r>
      <w:r w:rsidR="006A41F7">
        <w:tab/>
      </w:r>
      <w:r w:rsidR="006A41F7">
        <w:tab/>
      </w:r>
      <w:r w:rsidR="006A41F7">
        <w:tab/>
      </w:r>
      <w:r w:rsidR="006A41F7">
        <w:tab/>
      </w:r>
      <w:r w:rsidR="00B30541">
        <w:t xml:space="preserve">                                                </w:t>
      </w:r>
      <w:r w:rsidR="00340ADA" w:rsidRPr="001C5EA1">
        <w:t xml:space="preserve">                                                                                    </w:t>
      </w:r>
    </w:p>
    <w:p w14:paraId="42A71836" w14:textId="77777777" w:rsidR="00340ADA" w:rsidRPr="001C5EA1" w:rsidRDefault="00340ADA" w:rsidP="00340ADA"/>
    <w:p w14:paraId="1F58AACF" w14:textId="77777777" w:rsidR="00340ADA" w:rsidRPr="001C5EA1" w:rsidRDefault="00340ADA" w:rsidP="00340ADA"/>
    <w:p w14:paraId="279D7CDA" w14:textId="77777777" w:rsidR="00340ADA" w:rsidRPr="001C5EA1" w:rsidRDefault="00340ADA" w:rsidP="00340ADA"/>
    <w:p w14:paraId="5FCB6CC4" w14:textId="77777777" w:rsidR="004B488B" w:rsidRPr="001C5EA1" w:rsidRDefault="004B488B" w:rsidP="00340ADA"/>
    <w:p w14:paraId="1A18968A" w14:textId="77777777" w:rsidR="00340ADA" w:rsidRPr="001C5EA1" w:rsidRDefault="00340ADA" w:rsidP="00340ADA"/>
    <w:p w14:paraId="3C53DEDC" w14:textId="77777777" w:rsidR="00142853" w:rsidRDefault="00142853" w:rsidP="00142853">
      <w:pPr>
        <w:pStyle w:val="Porat"/>
        <w:rPr>
          <w:sz w:val="22"/>
          <w:szCs w:val="22"/>
        </w:rPr>
      </w:pPr>
    </w:p>
    <w:p w14:paraId="789976A2" w14:textId="77777777" w:rsidR="00142853" w:rsidRDefault="00142853" w:rsidP="00142853">
      <w:pPr>
        <w:pStyle w:val="Porat"/>
        <w:rPr>
          <w:sz w:val="22"/>
          <w:szCs w:val="22"/>
        </w:rPr>
      </w:pPr>
    </w:p>
    <w:p w14:paraId="32692774" w14:textId="77777777" w:rsidR="00142853" w:rsidRDefault="00142853" w:rsidP="00142853">
      <w:pPr>
        <w:pStyle w:val="Porat"/>
        <w:rPr>
          <w:sz w:val="22"/>
          <w:szCs w:val="22"/>
        </w:rPr>
      </w:pPr>
    </w:p>
    <w:p w14:paraId="071B57B3" w14:textId="77777777" w:rsidR="00142853" w:rsidRDefault="00142853" w:rsidP="00142853">
      <w:pPr>
        <w:pStyle w:val="Porat"/>
        <w:rPr>
          <w:sz w:val="22"/>
          <w:szCs w:val="22"/>
        </w:rPr>
      </w:pPr>
    </w:p>
    <w:p w14:paraId="3F00173D" w14:textId="77777777" w:rsidR="00142853" w:rsidRDefault="00142853" w:rsidP="00142853">
      <w:pPr>
        <w:pStyle w:val="Porat"/>
        <w:rPr>
          <w:sz w:val="22"/>
          <w:szCs w:val="22"/>
        </w:rPr>
      </w:pPr>
    </w:p>
    <w:p w14:paraId="01885542" w14:textId="77777777" w:rsidR="00142853" w:rsidRDefault="00142853" w:rsidP="00142853">
      <w:pPr>
        <w:pStyle w:val="Porat"/>
        <w:rPr>
          <w:sz w:val="22"/>
          <w:szCs w:val="22"/>
        </w:rPr>
      </w:pPr>
    </w:p>
    <w:p w14:paraId="663B6D23" w14:textId="77777777" w:rsidR="00142853" w:rsidRDefault="00142853" w:rsidP="00142853">
      <w:pPr>
        <w:pStyle w:val="Porat"/>
        <w:rPr>
          <w:sz w:val="22"/>
          <w:szCs w:val="22"/>
        </w:rPr>
      </w:pPr>
    </w:p>
    <w:p w14:paraId="10D6BF58" w14:textId="77777777" w:rsidR="00142853" w:rsidRDefault="00142853" w:rsidP="00142853">
      <w:pPr>
        <w:pStyle w:val="Porat"/>
        <w:rPr>
          <w:sz w:val="22"/>
          <w:szCs w:val="22"/>
        </w:rPr>
      </w:pPr>
    </w:p>
    <w:p w14:paraId="197759EE" w14:textId="77777777" w:rsidR="00142853" w:rsidRDefault="00142853" w:rsidP="00142853">
      <w:pPr>
        <w:pStyle w:val="Porat"/>
        <w:rPr>
          <w:sz w:val="22"/>
          <w:szCs w:val="22"/>
        </w:rPr>
      </w:pPr>
    </w:p>
    <w:p w14:paraId="12C1B377" w14:textId="77777777" w:rsidR="00142853" w:rsidRDefault="00142853" w:rsidP="00142853">
      <w:pPr>
        <w:pStyle w:val="Porat"/>
        <w:rPr>
          <w:sz w:val="22"/>
          <w:szCs w:val="22"/>
        </w:rPr>
      </w:pPr>
    </w:p>
    <w:p w14:paraId="2C0E91F5" w14:textId="77777777" w:rsidR="00142853" w:rsidRDefault="00142853" w:rsidP="00142853">
      <w:pPr>
        <w:pStyle w:val="Porat"/>
        <w:rPr>
          <w:sz w:val="22"/>
          <w:szCs w:val="22"/>
        </w:rPr>
      </w:pPr>
    </w:p>
    <w:p w14:paraId="4602208C" w14:textId="77777777" w:rsidR="00142853" w:rsidRDefault="00142853" w:rsidP="00142853">
      <w:pPr>
        <w:pStyle w:val="Porat"/>
        <w:rPr>
          <w:sz w:val="22"/>
          <w:szCs w:val="22"/>
        </w:rPr>
      </w:pPr>
    </w:p>
    <w:p w14:paraId="5AA76BB5" w14:textId="77777777" w:rsidR="00142853" w:rsidRDefault="00142853" w:rsidP="00142853">
      <w:pPr>
        <w:pStyle w:val="Porat"/>
        <w:rPr>
          <w:sz w:val="22"/>
          <w:szCs w:val="22"/>
        </w:rPr>
      </w:pPr>
    </w:p>
    <w:p w14:paraId="63DBD837" w14:textId="77777777" w:rsidR="00142853" w:rsidRDefault="00142853" w:rsidP="00142853">
      <w:pPr>
        <w:pStyle w:val="Porat"/>
        <w:rPr>
          <w:sz w:val="22"/>
          <w:szCs w:val="22"/>
        </w:rPr>
      </w:pPr>
    </w:p>
    <w:p w14:paraId="0402B18B" w14:textId="77777777" w:rsidR="00142853" w:rsidRDefault="00142853" w:rsidP="00142853">
      <w:pPr>
        <w:pStyle w:val="Porat"/>
        <w:rPr>
          <w:sz w:val="22"/>
          <w:szCs w:val="22"/>
        </w:rPr>
      </w:pPr>
    </w:p>
    <w:p w14:paraId="7661C2C3" w14:textId="77777777" w:rsidR="00142853" w:rsidRDefault="00142853" w:rsidP="00142853">
      <w:pPr>
        <w:pStyle w:val="Porat"/>
        <w:rPr>
          <w:sz w:val="22"/>
          <w:szCs w:val="22"/>
        </w:rPr>
      </w:pPr>
    </w:p>
    <w:p w14:paraId="1F79A58F" w14:textId="77777777" w:rsidR="00142853" w:rsidRDefault="00142853" w:rsidP="00142853">
      <w:pPr>
        <w:pStyle w:val="Porat"/>
        <w:rPr>
          <w:sz w:val="22"/>
          <w:szCs w:val="22"/>
        </w:rPr>
      </w:pPr>
    </w:p>
    <w:p w14:paraId="18D11606" w14:textId="77777777" w:rsidR="00142853" w:rsidRDefault="00142853" w:rsidP="00142853">
      <w:pPr>
        <w:pStyle w:val="Porat"/>
        <w:rPr>
          <w:sz w:val="22"/>
          <w:szCs w:val="22"/>
        </w:rPr>
      </w:pPr>
    </w:p>
    <w:p w14:paraId="2846AB10" w14:textId="77777777" w:rsidR="00142853" w:rsidRDefault="00142853" w:rsidP="00142853">
      <w:pPr>
        <w:pStyle w:val="Porat"/>
        <w:rPr>
          <w:sz w:val="22"/>
          <w:szCs w:val="22"/>
        </w:rPr>
      </w:pPr>
    </w:p>
    <w:p w14:paraId="3A1D5835" w14:textId="77777777" w:rsidR="00142853" w:rsidRDefault="00142853" w:rsidP="00142853">
      <w:pPr>
        <w:pStyle w:val="Porat"/>
        <w:rPr>
          <w:sz w:val="22"/>
          <w:szCs w:val="22"/>
        </w:rPr>
      </w:pPr>
    </w:p>
    <w:p w14:paraId="12CDC977" w14:textId="77777777" w:rsidR="00142853" w:rsidRDefault="00142853" w:rsidP="00142853">
      <w:pPr>
        <w:pStyle w:val="Porat"/>
        <w:rPr>
          <w:sz w:val="22"/>
          <w:szCs w:val="22"/>
        </w:rPr>
      </w:pPr>
    </w:p>
    <w:p w14:paraId="7BB69665" w14:textId="77777777" w:rsidR="00142853" w:rsidRDefault="00142853" w:rsidP="00142853">
      <w:pPr>
        <w:pStyle w:val="Porat"/>
        <w:rPr>
          <w:sz w:val="22"/>
          <w:szCs w:val="22"/>
        </w:rPr>
      </w:pPr>
    </w:p>
    <w:p w14:paraId="26B49B6D" w14:textId="77777777" w:rsidR="00142853" w:rsidRDefault="00142853" w:rsidP="00142853">
      <w:pPr>
        <w:pStyle w:val="Porat"/>
        <w:rPr>
          <w:sz w:val="22"/>
          <w:szCs w:val="22"/>
        </w:rPr>
      </w:pPr>
    </w:p>
    <w:p w14:paraId="79BB6C73" w14:textId="77777777" w:rsidR="00142853" w:rsidRDefault="00142853" w:rsidP="00142853">
      <w:pPr>
        <w:pStyle w:val="Porat"/>
        <w:rPr>
          <w:sz w:val="22"/>
          <w:szCs w:val="22"/>
        </w:rPr>
      </w:pPr>
    </w:p>
    <w:p w14:paraId="263C7F66" w14:textId="77777777" w:rsidR="00142853" w:rsidRDefault="00142853" w:rsidP="00142853">
      <w:pPr>
        <w:pStyle w:val="Porat"/>
        <w:rPr>
          <w:sz w:val="22"/>
          <w:szCs w:val="22"/>
        </w:rPr>
      </w:pPr>
    </w:p>
    <w:p w14:paraId="79F03D33" w14:textId="77777777" w:rsidR="00142853" w:rsidRDefault="00142853" w:rsidP="00142853">
      <w:pPr>
        <w:pStyle w:val="Porat"/>
        <w:rPr>
          <w:sz w:val="22"/>
          <w:szCs w:val="22"/>
        </w:rPr>
      </w:pPr>
    </w:p>
    <w:p w14:paraId="1068C2DE" w14:textId="77777777" w:rsidR="00142853" w:rsidRDefault="00142853" w:rsidP="00142853">
      <w:pPr>
        <w:pStyle w:val="Porat"/>
        <w:rPr>
          <w:sz w:val="22"/>
          <w:szCs w:val="22"/>
        </w:rPr>
      </w:pPr>
    </w:p>
    <w:sectPr w:rsidR="00142853" w:rsidSect="00D81AD5">
      <w:headerReference w:type="default" r:id="rId8"/>
      <w:headerReference w:type="first" r:id="rId9"/>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28965" w14:textId="77777777" w:rsidR="00040435" w:rsidRDefault="00040435" w:rsidP="00340ADA">
      <w:r>
        <w:separator/>
      </w:r>
    </w:p>
  </w:endnote>
  <w:endnote w:type="continuationSeparator" w:id="0">
    <w:p w14:paraId="4D9C9259" w14:textId="77777777" w:rsidR="00040435" w:rsidRDefault="00040435" w:rsidP="0034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90963" w14:textId="77777777" w:rsidR="00040435" w:rsidRDefault="00040435" w:rsidP="00340ADA">
      <w:r>
        <w:separator/>
      </w:r>
    </w:p>
  </w:footnote>
  <w:footnote w:type="continuationSeparator" w:id="0">
    <w:p w14:paraId="23022E0F" w14:textId="77777777" w:rsidR="00040435" w:rsidRDefault="00040435" w:rsidP="0034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22555"/>
      <w:docPartObj>
        <w:docPartGallery w:val="Page Numbers (Top of Page)"/>
        <w:docPartUnique/>
      </w:docPartObj>
    </w:sdtPr>
    <w:sdtEndPr/>
    <w:sdtContent>
      <w:p w14:paraId="3DC9F2CA" w14:textId="0A5058D9" w:rsidR="009C1E55" w:rsidRDefault="009C1E55">
        <w:pPr>
          <w:pStyle w:val="Antrats"/>
          <w:jc w:val="center"/>
        </w:pPr>
        <w:r>
          <w:fldChar w:fldCharType="begin"/>
        </w:r>
        <w:r>
          <w:instrText>PAGE   \* MERGEFORMAT</w:instrText>
        </w:r>
        <w:r>
          <w:fldChar w:fldCharType="separate"/>
        </w:r>
        <w:r>
          <w:t>2</w:t>
        </w:r>
        <w:r>
          <w:fldChar w:fldCharType="end"/>
        </w:r>
      </w:p>
    </w:sdtContent>
  </w:sdt>
  <w:p w14:paraId="43271A1D" w14:textId="77777777" w:rsidR="009C1E55" w:rsidRDefault="009C1E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886F" w14:textId="7463CC45" w:rsidR="00BC4B77" w:rsidRPr="00791110" w:rsidRDefault="00791110" w:rsidP="00791110">
    <w:pPr>
      <w:pStyle w:val="Antrats"/>
    </w:pPr>
    <w:r>
      <w:rPr>
        <w:b/>
      </w:rPr>
      <w:tab/>
    </w:r>
    <w:r>
      <w:rPr>
        <w:b/>
      </w:rPr>
      <w:tab/>
    </w:r>
    <w:r>
      <w:rPr>
        <w:b/>
      </w:rPr>
      <w:t>P</w:t>
    </w:r>
    <w:r w:rsidRPr="00782D59">
      <w:rPr>
        <w:b/>
      </w:rPr>
      <w:t>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A7857"/>
    <w:multiLevelType w:val="hybridMultilevel"/>
    <w:tmpl w:val="6A642106"/>
    <w:lvl w:ilvl="0" w:tplc="7D4C3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DA"/>
    <w:rsid w:val="00030AEA"/>
    <w:rsid w:val="00040435"/>
    <w:rsid w:val="0007769A"/>
    <w:rsid w:val="000C7505"/>
    <w:rsid w:val="000E1947"/>
    <w:rsid w:val="00134771"/>
    <w:rsid w:val="00142853"/>
    <w:rsid w:val="00153617"/>
    <w:rsid w:val="001C5EA1"/>
    <w:rsid w:val="00236F1F"/>
    <w:rsid w:val="00256C35"/>
    <w:rsid w:val="00261163"/>
    <w:rsid w:val="002864D3"/>
    <w:rsid w:val="00290783"/>
    <w:rsid w:val="00293B84"/>
    <w:rsid w:val="003042E7"/>
    <w:rsid w:val="0030565C"/>
    <w:rsid w:val="00336A8D"/>
    <w:rsid w:val="00340ADA"/>
    <w:rsid w:val="0037586C"/>
    <w:rsid w:val="003D2274"/>
    <w:rsid w:val="003E392F"/>
    <w:rsid w:val="003F307B"/>
    <w:rsid w:val="00435899"/>
    <w:rsid w:val="00442693"/>
    <w:rsid w:val="00461B57"/>
    <w:rsid w:val="00470549"/>
    <w:rsid w:val="004B488B"/>
    <w:rsid w:val="004C6F8D"/>
    <w:rsid w:val="004D1E32"/>
    <w:rsid w:val="00520BED"/>
    <w:rsid w:val="0053190E"/>
    <w:rsid w:val="00552BD9"/>
    <w:rsid w:val="006A41F7"/>
    <w:rsid w:val="00701D6B"/>
    <w:rsid w:val="0070387A"/>
    <w:rsid w:val="00722ECA"/>
    <w:rsid w:val="00732B47"/>
    <w:rsid w:val="00740900"/>
    <w:rsid w:val="00745CA6"/>
    <w:rsid w:val="00763E44"/>
    <w:rsid w:val="00783E0D"/>
    <w:rsid w:val="00791110"/>
    <w:rsid w:val="007C6C0D"/>
    <w:rsid w:val="008244FA"/>
    <w:rsid w:val="00872A9A"/>
    <w:rsid w:val="008745C1"/>
    <w:rsid w:val="008955C7"/>
    <w:rsid w:val="008C2D1E"/>
    <w:rsid w:val="009458DF"/>
    <w:rsid w:val="0096479B"/>
    <w:rsid w:val="0099696B"/>
    <w:rsid w:val="009C1E55"/>
    <w:rsid w:val="009E1070"/>
    <w:rsid w:val="00A20272"/>
    <w:rsid w:val="00A2447D"/>
    <w:rsid w:val="00A731C0"/>
    <w:rsid w:val="00A85B7C"/>
    <w:rsid w:val="00A870FB"/>
    <w:rsid w:val="00B1115B"/>
    <w:rsid w:val="00B236E6"/>
    <w:rsid w:val="00B26122"/>
    <w:rsid w:val="00B30541"/>
    <w:rsid w:val="00B30906"/>
    <w:rsid w:val="00B33B47"/>
    <w:rsid w:val="00B44A40"/>
    <w:rsid w:val="00B601DA"/>
    <w:rsid w:val="00BA31AF"/>
    <w:rsid w:val="00BC4B77"/>
    <w:rsid w:val="00C30503"/>
    <w:rsid w:val="00CA1B3E"/>
    <w:rsid w:val="00CB52F5"/>
    <w:rsid w:val="00CC523F"/>
    <w:rsid w:val="00D518E1"/>
    <w:rsid w:val="00D8061C"/>
    <w:rsid w:val="00D81AD5"/>
    <w:rsid w:val="00D8749D"/>
    <w:rsid w:val="00DB7DE4"/>
    <w:rsid w:val="00E17217"/>
    <w:rsid w:val="00E20D66"/>
    <w:rsid w:val="00E23E23"/>
    <w:rsid w:val="00E77A55"/>
    <w:rsid w:val="00E903E6"/>
    <w:rsid w:val="00EE0037"/>
    <w:rsid w:val="00F25248"/>
    <w:rsid w:val="00F40099"/>
    <w:rsid w:val="00F4792C"/>
    <w:rsid w:val="00F65DD0"/>
    <w:rsid w:val="00F7599A"/>
    <w:rsid w:val="00F84DBE"/>
    <w:rsid w:val="00F86537"/>
    <w:rsid w:val="00FA2990"/>
    <w:rsid w:val="00FE7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86FA6"/>
  <w15:chartTrackingRefBased/>
  <w15:docId w15:val="{61B9902E-A053-4459-BD4E-B2C12AF6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AD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uiPriority w:val="99"/>
    <w:rsid w:val="00340ADA"/>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styleId="Antrats">
    <w:name w:val="header"/>
    <w:aliases w:val="Char,Diagrama"/>
    <w:basedOn w:val="prastasis"/>
    <w:link w:val="AntratsDiagrama"/>
    <w:uiPriority w:val="99"/>
    <w:unhideWhenUsed/>
    <w:rsid w:val="00340ADA"/>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40A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40ADA"/>
    <w:pPr>
      <w:tabs>
        <w:tab w:val="center" w:pos="4819"/>
        <w:tab w:val="right" w:pos="9638"/>
      </w:tabs>
    </w:pPr>
  </w:style>
  <w:style w:type="character" w:customStyle="1" w:styleId="PoratDiagrama">
    <w:name w:val="Poraštė Diagrama"/>
    <w:basedOn w:val="Numatytasispastraiposriftas"/>
    <w:link w:val="Porat"/>
    <w:uiPriority w:val="99"/>
    <w:rsid w:val="00340ADA"/>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F7599A"/>
    <w:rPr>
      <w:color w:val="0563C1" w:themeColor="hyperlink"/>
      <w:u w:val="single"/>
    </w:rPr>
  </w:style>
  <w:style w:type="character" w:styleId="Neapdorotaspaminjimas">
    <w:name w:val="Unresolved Mention"/>
    <w:basedOn w:val="Numatytasispastraiposriftas"/>
    <w:uiPriority w:val="99"/>
    <w:semiHidden/>
    <w:unhideWhenUsed/>
    <w:rsid w:val="00F7599A"/>
    <w:rPr>
      <w:color w:val="605E5C"/>
      <w:shd w:val="clear" w:color="auto" w:fill="E1DFDD"/>
    </w:rPr>
  </w:style>
  <w:style w:type="paragraph" w:styleId="Sraopastraipa">
    <w:name w:val="List Paragraph"/>
    <w:basedOn w:val="prastasis"/>
    <w:uiPriority w:val="34"/>
    <w:qFormat/>
    <w:rsid w:val="00E17217"/>
    <w:pPr>
      <w:ind w:left="720"/>
      <w:contextualSpacing/>
    </w:pPr>
  </w:style>
  <w:style w:type="paragraph" w:styleId="Debesliotekstas">
    <w:name w:val="Balloon Text"/>
    <w:basedOn w:val="prastasis"/>
    <w:link w:val="DebesliotekstasDiagrama"/>
    <w:uiPriority w:val="99"/>
    <w:semiHidden/>
    <w:unhideWhenUsed/>
    <w:rsid w:val="00D81A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1A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640450">
      <w:bodyDiv w:val="1"/>
      <w:marLeft w:val="0"/>
      <w:marRight w:val="0"/>
      <w:marTop w:val="0"/>
      <w:marBottom w:val="0"/>
      <w:divBdr>
        <w:top w:val="none" w:sz="0" w:space="0" w:color="auto"/>
        <w:left w:val="none" w:sz="0" w:space="0" w:color="auto"/>
        <w:bottom w:val="none" w:sz="0" w:space="0" w:color="auto"/>
        <w:right w:val="none" w:sz="0" w:space="0" w:color="auto"/>
      </w:divBdr>
      <w:divsChild>
        <w:div w:id="1891727632">
          <w:marLeft w:val="0"/>
          <w:marRight w:val="0"/>
          <w:marTop w:val="0"/>
          <w:marBottom w:val="0"/>
          <w:divBdr>
            <w:top w:val="none" w:sz="0" w:space="0" w:color="auto"/>
            <w:left w:val="none" w:sz="0" w:space="0" w:color="auto"/>
            <w:bottom w:val="none" w:sz="0" w:space="0" w:color="auto"/>
            <w:right w:val="none" w:sz="0" w:space="0" w:color="auto"/>
          </w:divBdr>
        </w:div>
        <w:div w:id="651983121">
          <w:marLeft w:val="0"/>
          <w:marRight w:val="0"/>
          <w:marTop w:val="0"/>
          <w:marBottom w:val="0"/>
          <w:divBdr>
            <w:top w:val="none" w:sz="0" w:space="0" w:color="auto"/>
            <w:left w:val="none" w:sz="0" w:space="0" w:color="auto"/>
            <w:bottom w:val="none" w:sz="0" w:space="0" w:color="auto"/>
            <w:right w:val="none" w:sz="0" w:space="0" w:color="auto"/>
          </w:divBdr>
          <w:divsChild>
            <w:div w:id="737820691">
              <w:marLeft w:val="0"/>
              <w:marRight w:val="0"/>
              <w:marTop w:val="0"/>
              <w:marBottom w:val="0"/>
              <w:divBdr>
                <w:top w:val="none" w:sz="0" w:space="0" w:color="auto"/>
                <w:left w:val="none" w:sz="0" w:space="0" w:color="auto"/>
                <w:bottom w:val="none" w:sz="0" w:space="0" w:color="auto"/>
                <w:right w:val="none" w:sz="0" w:space="0" w:color="auto"/>
              </w:divBdr>
              <w:divsChild>
                <w:div w:id="1374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89F5-B802-4BC6-9F06-F858DF8B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5118</Words>
  <Characters>2918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Paulius Raugalas</cp:lastModifiedBy>
  <cp:revision>4</cp:revision>
  <cp:lastPrinted>2019-03-21T13:38:00Z</cp:lastPrinted>
  <dcterms:created xsi:type="dcterms:W3CDTF">2021-03-12T09:52:00Z</dcterms:created>
  <dcterms:modified xsi:type="dcterms:W3CDTF">2021-03-12T09:54:00Z</dcterms:modified>
</cp:coreProperties>
</file>