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E4" w:rsidRPr="006C3157" w:rsidRDefault="00D04AE4" w:rsidP="00D04AE4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6C3157">
        <w:rPr>
          <w:rFonts w:ascii="Times New Roman" w:hAnsi="Times New Roman" w:cs="Times New Roman"/>
          <w:sz w:val="24"/>
          <w:szCs w:val="24"/>
          <w:lang w:val="lt-LT"/>
        </w:rPr>
        <w:t xml:space="preserve">2014–2020 metų Europos Sąjungos fondų investicijų veiksmų programos 14 prioriteto „Veiksmų, skirtų COVID-19 pandemijos sukeltai krizei įveikti, skatinimas, siekiant didinti užimtumą ir socialinę įtrauktį“ įgyvendinimo priemonės </w:t>
      </w:r>
      <w:r w:rsidRPr="006C3157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Nr. 14.1.1-ESFA-V-xxx</w:t>
      </w:r>
      <w:r w:rsidRPr="006C3157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Pr="006C3157">
        <w:rPr>
          <w:rFonts w:ascii="Times New Roman" w:hAnsi="Times New Roman" w:cs="Times New Roman"/>
          <w:iCs/>
          <w:sz w:val="24"/>
          <w:szCs w:val="24"/>
          <w:lang w:val="lt-LT"/>
        </w:rPr>
        <w:t>Aktyvios darbo rinkos politikos priemonių įgyvendinimas, mažinant pandemijos</w:t>
      </w:r>
      <w:r w:rsidRPr="006C315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C3157">
        <w:rPr>
          <w:rFonts w:ascii="Times New Roman" w:hAnsi="Times New Roman" w:cs="Times New Roman"/>
          <w:iCs/>
          <w:sz w:val="24"/>
          <w:szCs w:val="24"/>
          <w:lang w:val="lt-LT"/>
        </w:rPr>
        <w:t>poveikį užimtumui</w:t>
      </w:r>
      <w:r w:rsidRPr="006C3157">
        <w:rPr>
          <w:rFonts w:ascii="Times New Roman" w:hAnsi="Times New Roman" w:cs="Times New Roman"/>
          <w:sz w:val="24"/>
          <w:szCs w:val="24"/>
          <w:lang w:val="lt-LT"/>
        </w:rPr>
        <w:t>“ projektų finansavimo sąlygų aprašo</w:t>
      </w:r>
    </w:p>
    <w:p w:rsidR="00124E1A" w:rsidRPr="006C3157" w:rsidRDefault="00981EE5" w:rsidP="00124E1A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3157">
        <w:rPr>
          <w:rFonts w:ascii="Times New Roman" w:hAnsi="Times New Roman" w:cs="Times New Roman"/>
          <w:sz w:val="24"/>
          <w:szCs w:val="24"/>
          <w:lang w:val="lt-LT"/>
        </w:rPr>
        <w:t xml:space="preserve">2 </w:t>
      </w:r>
      <w:r w:rsidR="00124E1A" w:rsidRPr="006C3157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:rsidR="002920C0" w:rsidRDefault="002920C0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:rsidR="00465DB9" w:rsidRPr="0075354E" w:rsidRDefault="00465DB9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75354E">
        <w:rPr>
          <w:rFonts w:ascii="Times New Roman" w:eastAsia="Times New Roman" w:hAnsi="Times New Roman" w:cs="Times New Roman"/>
          <w:b/>
          <w:lang w:eastAsia="lt-LT"/>
        </w:rPr>
        <w:t>(</w:t>
      </w:r>
      <w:r w:rsidR="00BE73B7">
        <w:rPr>
          <w:rFonts w:ascii="Times New Roman" w:eastAsia="Times New Roman" w:hAnsi="Times New Roman" w:cs="Times New Roman"/>
          <w:b/>
          <w:lang w:eastAsia="lt-LT"/>
        </w:rPr>
        <w:t xml:space="preserve">Subsidijos </w:t>
      </w:r>
      <w:r w:rsidR="00D04AE4">
        <w:rPr>
          <w:rFonts w:ascii="Times New Roman" w:eastAsia="Times New Roman" w:hAnsi="Times New Roman" w:cs="Times New Roman"/>
          <w:b/>
          <w:lang w:eastAsia="lt-LT"/>
        </w:rPr>
        <w:t>darbo vietai steigti</w:t>
      </w:r>
      <w:r w:rsidR="00BE73B7">
        <w:rPr>
          <w:rFonts w:ascii="Times New Roman" w:eastAsia="Times New Roman" w:hAnsi="Times New Roman" w:cs="Times New Roman"/>
          <w:b/>
          <w:lang w:eastAsia="lt-LT"/>
        </w:rPr>
        <w:t xml:space="preserve"> gavėjo</w:t>
      </w:r>
      <w:r w:rsidRPr="0075354E">
        <w:rPr>
          <w:rFonts w:ascii="Times New Roman" w:eastAsia="Times New Roman" w:hAnsi="Times New Roman" w:cs="Times New Roman"/>
          <w:b/>
          <w:lang w:eastAsia="lt-LT"/>
        </w:rPr>
        <w:t xml:space="preserve"> atitikties </w:t>
      </w:r>
      <w:r w:rsidRPr="0075354E">
        <w:rPr>
          <w:rFonts w:ascii="Times New Roman" w:eastAsia="Times New Roman" w:hAnsi="Times New Roman" w:cs="Times New Roman"/>
          <w:b/>
          <w:i/>
          <w:lang w:eastAsia="lt-LT"/>
        </w:rPr>
        <w:t>de minimis</w:t>
      </w:r>
      <w:r w:rsidRPr="0075354E">
        <w:rPr>
          <w:rFonts w:ascii="Times New Roman" w:eastAsia="Times New Roman" w:hAnsi="Times New Roman" w:cs="Times New Roman"/>
          <w:b/>
          <w:lang w:eastAsia="lt-LT"/>
        </w:rPr>
        <w:t xml:space="preserve"> pagalbos taisyklėms patikros lapo forma)</w:t>
      </w:r>
    </w:p>
    <w:p w:rsidR="00F42236" w:rsidRPr="0075354E" w:rsidRDefault="00F42236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45911" w:rsidRDefault="00BE73B7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sUBSIDIJOS </w:t>
      </w:r>
      <w:r w:rsidR="00D04AE4">
        <w:rPr>
          <w:rFonts w:ascii="Times New Roman" w:hAnsi="Times New Roman" w:cs="Times New Roman"/>
          <w:b/>
          <w:bCs/>
          <w:caps/>
        </w:rPr>
        <w:t>darbo vietai steigti</w:t>
      </w:r>
      <w:r>
        <w:rPr>
          <w:rFonts w:ascii="Times New Roman" w:hAnsi="Times New Roman" w:cs="Times New Roman"/>
          <w:b/>
          <w:bCs/>
          <w:caps/>
        </w:rPr>
        <w:t xml:space="preserve"> GAVĖJO </w:t>
      </w:r>
      <w:r w:rsidR="00CE363D" w:rsidRPr="0075354E">
        <w:rPr>
          <w:rFonts w:ascii="Times New Roman" w:hAnsi="Times New Roman" w:cs="Times New Roman"/>
          <w:b/>
          <w:bCs/>
          <w:caps/>
        </w:rPr>
        <w:t xml:space="preserve">ATITIKTIES </w:t>
      </w:r>
      <w:r w:rsidR="00F55FA6" w:rsidRPr="0075354E">
        <w:rPr>
          <w:rFonts w:ascii="Times New Roman" w:hAnsi="Times New Roman" w:cs="Times New Roman"/>
          <w:b/>
          <w:bCs/>
          <w:i/>
          <w:caps/>
        </w:rPr>
        <w:t>de minimis</w:t>
      </w:r>
      <w:r w:rsidR="00CE363D" w:rsidRPr="0075354E">
        <w:rPr>
          <w:rFonts w:ascii="Times New Roman" w:hAnsi="Times New Roman" w:cs="Times New Roman"/>
          <w:b/>
          <w:bCs/>
          <w:i/>
          <w:caps/>
        </w:rPr>
        <w:t xml:space="preserve"> </w:t>
      </w:r>
      <w:r w:rsidR="00CE363D" w:rsidRPr="0075354E">
        <w:rPr>
          <w:rFonts w:ascii="Times New Roman" w:hAnsi="Times New Roman" w:cs="Times New Roman"/>
          <w:b/>
          <w:bCs/>
          <w:caps/>
        </w:rPr>
        <w:t xml:space="preserve">PAGALBOS TAISYKLĖMS </w:t>
      </w:r>
    </w:p>
    <w:p w:rsidR="00CE363D" w:rsidRDefault="00CE363D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75354E">
        <w:rPr>
          <w:rFonts w:ascii="Times New Roman" w:hAnsi="Times New Roman" w:cs="Times New Roman"/>
          <w:b/>
          <w:bCs/>
          <w:caps/>
        </w:rPr>
        <w:t>Patikros lapas</w:t>
      </w:r>
    </w:p>
    <w:p w:rsidR="00F42236" w:rsidRDefault="00F42236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5F7F32" w:rsidRPr="006C3157" w:rsidRDefault="006C3157" w:rsidP="005F7F32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C3157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2014–2020 METŲ EUROPOS SĄJUNGOS FONDŲ INVESTICIJŲ VEIKSMŲ PROGRAMOS 14 PRIORITETO </w:t>
      </w:r>
      <w:r w:rsidRPr="006C3157">
        <w:rPr>
          <w:rFonts w:ascii="Times New Roman" w:hAnsi="Times New Roman" w:cs="Times New Roman"/>
          <w:b/>
          <w:sz w:val="24"/>
          <w:szCs w:val="24"/>
          <w:lang w:val="lt-LT"/>
        </w:rPr>
        <w:t>„VEIKSMŲ, SKIRTŲ COVID-19 PANDEMIJOS SUKELTAI KRIZEI ĮVEIKTI, SKATINIMAS, SIEKIANT DIDINTI UŽIMTUMĄ IR SOCIALINĘ ĮTRAUKTĮ “</w:t>
      </w:r>
      <w:r w:rsidRPr="006C3157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ĮGYVENDINIMO PRIEMONĖ NR. </w:t>
      </w:r>
      <w:r w:rsidRPr="006C3157">
        <w:rPr>
          <w:rFonts w:ascii="Times New Roman" w:hAnsi="Times New Roman" w:cs="Times New Roman"/>
          <w:b/>
          <w:sz w:val="24"/>
          <w:szCs w:val="24"/>
          <w:highlight w:val="yellow"/>
          <w:lang w:val="lt-LT"/>
        </w:rPr>
        <w:t>14.1.1-ESFA-V-XXX</w:t>
      </w:r>
      <w:r w:rsidRPr="006C3157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6C3157">
        <w:rPr>
          <w:rFonts w:ascii="Times New Roman" w:hAnsi="Times New Roman" w:cs="Times New Roman"/>
          <w:b/>
          <w:sz w:val="24"/>
          <w:szCs w:val="24"/>
          <w:lang w:val="lt-LT"/>
        </w:rPr>
        <w:t>„</w:t>
      </w:r>
      <w:r w:rsidRPr="006C3157">
        <w:rPr>
          <w:rFonts w:ascii="Times New Roman" w:hAnsi="Times New Roman" w:cs="Times New Roman"/>
          <w:b/>
          <w:iCs/>
          <w:sz w:val="24"/>
          <w:szCs w:val="24"/>
          <w:lang w:val="lt-LT"/>
        </w:rPr>
        <w:t>AKTYVIOS DARBO RINKOS POLITIKOS PRIEMONIŲ ĮGYVENDINIMAS, MAŽINANT PANDEMIJOS</w:t>
      </w:r>
      <w:r w:rsidRPr="006C315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6C3157">
        <w:rPr>
          <w:rFonts w:ascii="Times New Roman" w:hAnsi="Times New Roman" w:cs="Times New Roman"/>
          <w:b/>
          <w:iCs/>
          <w:sz w:val="24"/>
          <w:szCs w:val="24"/>
          <w:lang w:val="lt-LT"/>
        </w:rPr>
        <w:t>POVEIKĮ UŽIMTUMUI</w:t>
      </w:r>
      <w:r w:rsidRPr="006C315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“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4"/>
      </w:tblGrid>
      <w:tr w:rsidR="00F26DAB" w:rsidRPr="0075354E" w:rsidTr="001274F7">
        <w:tc>
          <w:tcPr>
            <w:tcW w:w="15134" w:type="dxa"/>
            <w:shd w:val="clear" w:color="auto" w:fill="BFBFBF"/>
          </w:tcPr>
          <w:p w:rsidR="00F26DAB" w:rsidRPr="0075354E" w:rsidRDefault="00F26DA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I. </w:t>
            </w:r>
            <w:r w:rsidR="006608B7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teisinis pagrindas</w:t>
            </w:r>
          </w:p>
        </w:tc>
      </w:tr>
      <w:tr w:rsidR="00F26DAB" w:rsidRPr="0075354E" w:rsidTr="001274F7">
        <w:tc>
          <w:tcPr>
            <w:tcW w:w="15134" w:type="dxa"/>
            <w:shd w:val="clear" w:color="auto" w:fill="auto"/>
          </w:tcPr>
          <w:p w:rsidR="00B76D2C" w:rsidRPr="00D04AE4" w:rsidRDefault="00255A79" w:rsidP="00D04AE4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</w:pPr>
            <w:r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 xml:space="preserve">2013 m. gruodžio 18 d. </w:t>
            </w:r>
            <w:r w:rsidR="00CF71C5"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 xml:space="preserve">Komisijos reglamentas (ES) Nr. 1407/2013 dėl Sutarties dėl Europos Sąjungos veikimo 107 ir 108 straipsnių taikymo </w:t>
            </w:r>
            <w:r w:rsidR="00CF71C5" w:rsidRPr="00D04AE4">
              <w:rPr>
                <w:rFonts w:ascii="Times New Roman" w:eastAsia="Times New Roman" w:hAnsi="Times New Roman" w:cs="Times New Roman"/>
                <w:bCs/>
                <w:i/>
                <w:color w:val="auto"/>
                <w:lang w:eastAsia="lt-LT"/>
              </w:rPr>
              <w:t>de minimis</w:t>
            </w:r>
            <w:r w:rsidR="00CF71C5"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 xml:space="preserve"> pagalbai </w:t>
            </w:r>
            <w:r w:rsidR="004664ED"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 xml:space="preserve">(OL 2013 L 352, p. 1) </w:t>
            </w:r>
            <w:r w:rsidR="00CF71C5"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 xml:space="preserve">(toliau – </w:t>
            </w:r>
            <w:r w:rsidR="00CF71C5" w:rsidRPr="00D04AE4">
              <w:rPr>
                <w:rFonts w:ascii="Times New Roman" w:eastAsia="Times New Roman" w:hAnsi="Times New Roman" w:cs="Times New Roman"/>
                <w:bCs/>
                <w:i/>
                <w:color w:val="auto"/>
                <w:lang w:eastAsia="lt-LT"/>
              </w:rPr>
              <w:t>de minimis</w:t>
            </w:r>
            <w:r w:rsidR="00CF71C5"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 xml:space="preserve"> reglamentas)</w:t>
            </w:r>
            <w:r w:rsidR="00D04AE4" w:rsidRPr="00D04AE4">
              <w:rPr>
                <w:rFonts w:ascii="Times New Roman" w:eastAsia="Times New Roman" w:hAnsi="Times New Roman" w:cs="Times New Roman"/>
                <w:bCs/>
                <w:color w:val="auto"/>
                <w:lang w:eastAsia="lt-LT"/>
              </w:rPr>
              <w:t>;</w:t>
            </w:r>
          </w:p>
          <w:p w:rsidR="00D04AE4" w:rsidRPr="00D04AE4" w:rsidRDefault="00D04AE4" w:rsidP="00D04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2020 m. liepos 2 d. Komisijos reglamentas (ES) 2020/972, kuriuo iš dalies keičiant Reglamentą (ES) Nr. 1407/2013 pratęsiamas jo galiojimas ir iš dalies keičiant Reglamentą (ES) Nr. 651/2014 pratęsiamas jo galiojimas ir įtraukiami patikslinimai.</w:t>
            </w:r>
          </w:p>
        </w:tc>
      </w:tr>
    </w:tbl>
    <w:p w:rsidR="00CE363D" w:rsidRDefault="00CE363D" w:rsidP="005F5B52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930"/>
      </w:tblGrid>
      <w:tr w:rsidR="00CE363D" w:rsidRPr="0075354E" w:rsidTr="001274F7">
        <w:tc>
          <w:tcPr>
            <w:tcW w:w="15134" w:type="dxa"/>
            <w:gridSpan w:val="2"/>
            <w:shd w:val="clear" w:color="auto" w:fill="BFBFBF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Duomenys apie projektą </w:t>
            </w:r>
          </w:p>
        </w:tc>
      </w:tr>
      <w:tr w:rsidR="00CE363D" w:rsidRPr="0075354E" w:rsidTr="001274F7">
        <w:tc>
          <w:tcPr>
            <w:tcW w:w="6204" w:type="dxa"/>
            <w:shd w:val="clear" w:color="auto" w:fill="auto"/>
          </w:tcPr>
          <w:p w:rsidR="00CE363D" w:rsidRPr="0075354E" w:rsidRDefault="001E1524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rojekto numeris </w:t>
            </w:r>
          </w:p>
        </w:tc>
        <w:tc>
          <w:tcPr>
            <w:tcW w:w="8930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75354E" w:rsidTr="001274F7">
        <w:tc>
          <w:tcPr>
            <w:tcW w:w="6204" w:type="dxa"/>
            <w:shd w:val="clear" w:color="auto" w:fill="auto"/>
          </w:tcPr>
          <w:p w:rsidR="00CE363D" w:rsidRPr="0075354E" w:rsidRDefault="001E1524" w:rsidP="005F5B52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 vykdytojo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CE363D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pavadinimas </w:t>
            </w:r>
          </w:p>
        </w:tc>
        <w:tc>
          <w:tcPr>
            <w:tcW w:w="8930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75354E" w:rsidTr="001274F7">
        <w:tc>
          <w:tcPr>
            <w:tcW w:w="6204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Projekto pavadinimas </w:t>
            </w:r>
          </w:p>
        </w:tc>
        <w:tc>
          <w:tcPr>
            <w:tcW w:w="8930" w:type="dxa"/>
            <w:shd w:val="clear" w:color="auto" w:fill="auto"/>
          </w:tcPr>
          <w:p w:rsidR="00CE363D" w:rsidRPr="0075354E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8F0BBC" w:rsidRDefault="008F0BB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930"/>
      </w:tblGrid>
      <w:tr w:rsidR="00952B06" w:rsidRPr="0075354E" w:rsidTr="001274F7">
        <w:tc>
          <w:tcPr>
            <w:tcW w:w="15134" w:type="dxa"/>
            <w:gridSpan w:val="2"/>
            <w:shd w:val="clear" w:color="auto" w:fill="BFBFBF"/>
          </w:tcPr>
          <w:p w:rsidR="00952B06" w:rsidRPr="0075354E" w:rsidRDefault="00245911" w:rsidP="006C3157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952B06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II. Duomenys apie </w:t>
            </w:r>
            <w:r w:rsidR="00952B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subsidijos </w:t>
            </w:r>
            <w:r w:rsidR="006C315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darbo vietai steigti</w:t>
            </w:r>
            <w:r w:rsidR="00952B06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952B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(toliau – </w:t>
            </w:r>
            <w:r w:rsidR="006C315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SDVS</w:t>
            </w:r>
            <w:r w:rsidR="00952B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  <w:r w:rsidR="006C315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gavėją</w:t>
            </w:r>
          </w:p>
        </w:tc>
      </w:tr>
      <w:tr w:rsidR="00952B06" w:rsidRPr="0075354E" w:rsidTr="001274F7">
        <w:tc>
          <w:tcPr>
            <w:tcW w:w="6204" w:type="dxa"/>
            <w:shd w:val="clear" w:color="auto" w:fill="auto"/>
          </w:tcPr>
          <w:p w:rsidR="00952B06" w:rsidRPr="0075354E" w:rsidRDefault="006C3157" w:rsidP="00952B0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SDVS</w:t>
            </w:r>
            <w:r w:rsidR="00952B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gavėjo pavadinimas </w:t>
            </w:r>
          </w:p>
        </w:tc>
        <w:tc>
          <w:tcPr>
            <w:tcW w:w="8930" w:type="dxa"/>
            <w:shd w:val="clear" w:color="auto" w:fill="auto"/>
          </w:tcPr>
          <w:p w:rsidR="00952B06" w:rsidRPr="0075354E" w:rsidRDefault="00952B06" w:rsidP="006F502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52B06" w:rsidRPr="0075354E" w:rsidTr="001274F7">
        <w:tc>
          <w:tcPr>
            <w:tcW w:w="6204" w:type="dxa"/>
            <w:shd w:val="clear" w:color="auto" w:fill="auto"/>
          </w:tcPr>
          <w:p w:rsidR="00952B06" w:rsidRPr="0075354E" w:rsidRDefault="00952B06" w:rsidP="00D04AE4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D04AE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DVS</w:t>
            </w:r>
            <w:r w:rsidR="009419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gavėjo juridinio asmens kodas</w:t>
            </w:r>
          </w:p>
        </w:tc>
        <w:tc>
          <w:tcPr>
            <w:tcW w:w="8930" w:type="dxa"/>
            <w:shd w:val="clear" w:color="auto" w:fill="auto"/>
          </w:tcPr>
          <w:p w:rsidR="00952B06" w:rsidRPr="0075354E" w:rsidRDefault="00952B06" w:rsidP="006F502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52B06" w:rsidRPr="0075354E" w:rsidTr="001274F7">
        <w:tc>
          <w:tcPr>
            <w:tcW w:w="6204" w:type="dxa"/>
            <w:shd w:val="clear" w:color="auto" w:fill="auto"/>
          </w:tcPr>
          <w:p w:rsidR="00952B06" w:rsidRPr="0075354E" w:rsidRDefault="00952B06" w:rsidP="00D04AE4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araiškos dėl </w:t>
            </w:r>
            <w:r w:rsidR="00D04AE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projekt</w:t>
            </w:r>
            <w:r w:rsidR="00467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</w:t>
            </w:r>
            <w:r w:rsidR="0024591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teikėjo vardas ir pavardė,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data ir numeris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:rsidR="00952B06" w:rsidRPr="0075354E" w:rsidRDefault="00952B06" w:rsidP="006F502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BE73B7" w:rsidRDefault="00BE73B7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851"/>
        <w:gridCol w:w="850"/>
        <w:gridCol w:w="1418"/>
        <w:gridCol w:w="3260"/>
      </w:tblGrid>
      <w:tr w:rsidR="00F26DAB" w:rsidRPr="0075354E" w:rsidTr="001274F7">
        <w:tc>
          <w:tcPr>
            <w:tcW w:w="15134" w:type="dxa"/>
            <w:gridSpan w:val="6"/>
            <w:shd w:val="clear" w:color="auto" w:fill="BFBFBF"/>
          </w:tcPr>
          <w:p w:rsidR="00F26DAB" w:rsidRPr="0075354E" w:rsidRDefault="008957A0" w:rsidP="00245911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BE73B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</w:t>
            </w:r>
            <w:r w:rsidR="00D04AE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</w:t>
            </w:r>
            <w:r w:rsidR="006608B7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veiklų</w:t>
            </w:r>
            <w:r w:rsidR="00F26DAB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CF71C5" w:rsidRPr="00A01FB5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CF71C5" w:rsidRPr="00A01F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</w:t>
            </w:r>
            <w:r w:rsidR="0075354E"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patikra</w:t>
            </w:r>
          </w:p>
        </w:tc>
      </w:tr>
      <w:tr w:rsidR="00F55FA6" w:rsidRPr="0075354E" w:rsidTr="001274F7">
        <w:trPr>
          <w:trHeight w:val="284"/>
        </w:trPr>
        <w:tc>
          <w:tcPr>
            <w:tcW w:w="534" w:type="dxa"/>
            <w:vMerge w:val="restart"/>
            <w:shd w:val="clear" w:color="auto" w:fill="auto"/>
          </w:tcPr>
          <w:p w:rsidR="00F55FA6" w:rsidRPr="0075354E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 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Klausimai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55FA6" w:rsidRPr="0075354E" w:rsidRDefault="00F55FA6" w:rsidP="001274F7">
            <w:pPr>
              <w:pStyle w:val="Default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Rezultatas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F55FA6" w:rsidRPr="0075354E" w:rsidTr="001274F7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55FA6" w:rsidRPr="0075354E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221" w:type="dxa"/>
            <w:vMerge/>
            <w:shd w:val="clear" w:color="auto" w:fill="auto"/>
          </w:tcPr>
          <w:p w:rsidR="00F55FA6" w:rsidRPr="0075354E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Taip</w:t>
            </w:r>
          </w:p>
        </w:tc>
        <w:tc>
          <w:tcPr>
            <w:tcW w:w="850" w:type="dxa"/>
            <w:shd w:val="clear" w:color="auto" w:fill="auto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:rsidR="00F55FA6" w:rsidRPr="0075354E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Netaikoma</w:t>
            </w:r>
          </w:p>
        </w:tc>
        <w:tc>
          <w:tcPr>
            <w:tcW w:w="3260" w:type="dxa"/>
            <w:vMerge/>
            <w:shd w:val="clear" w:color="auto" w:fill="auto"/>
          </w:tcPr>
          <w:p w:rsidR="00F55FA6" w:rsidRPr="0075354E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420B" w:rsidRPr="0075354E" w:rsidTr="001274F7">
        <w:trPr>
          <w:trHeight w:val="218"/>
        </w:trPr>
        <w:tc>
          <w:tcPr>
            <w:tcW w:w="534" w:type="dxa"/>
            <w:shd w:val="clear" w:color="auto" w:fill="auto"/>
          </w:tcPr>
          <w:p w:rsidR="00C1420B" w:rsidRPr="0075354E" w:rsidRDefault="00F55FA6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:rsidR="00C1420B" w:rsidRPr="0075354E" w:rsidRDefault="00C1420B" w:rsidP="0024591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vykdo veiklą žuvininkystės ir akvakultūros sektoriuje, kuriam taikomas Tarybos reglamentas (EB) Nr. 104/2000</w:t>
            </w:r>
            <w:r w:rsidRPr="0075354E">
              <w:rPr>
                <w:rStyle w:val="Puslapioinaosnuoroda"/>
                <w:rFonts w:ascii="Times New Roman" w:eastAsia="Times New Roman" w:hAnsi="Times New Roman" w:cs="Times New Roman"/>
                <w:bCs/>
                <w:lang w:eastAsia="lt-LT"/>
              </w:rPr>
              <w:footnoteReference w:id="1"/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420B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2"/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  <w:bookmarkEnd w:id="1"/>
          </w:p>
        </w:tc>
        <w:tc>
          <w:tcPr>
            <w:tcW w:w="850" w:type="dxa"/>
            <w:shd w:val="clear" w:color="auto" w:fill="auto"/>
            <w:vAlign w:val="center"/>
          </w:tcPr>
          <w:p w:rsidR="00C1420B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420B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C1420B" w:rsidRPr="0075354E" w:rsidRDefault="00C1420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138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C71A2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vykdo pirminės žemės ūkio produktų gamybos veiklą?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138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24591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pagalbos dydis nustatomas pagal iš pirminių gamintojų įsigytų arba atitinkamų įmonių rinkai pateiktų produktų kainą arba kiekį?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802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C71A2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pagalba priklauso nuo to, ar bus iš dalies arba visa perduota pirminiams gamintojams?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275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C71A2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245911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vykdo su eksportu susijusią veiklą trečiosiose šalyse arba </w:t>
            </w:r>
            <w:r w:rsidR="00655D8D">
              <w:rPr>
                <w:rFonts w:ascii="Times New Roman" w:eastAsia="Times New Roman" w:hAnsi="Times New Roman" w:cs="Times New Roman"/>
                <w:bCs/>
                <w:lang w:eastAsia="lt-LT"/>
              </w:rPr>
              <w:t>E</w:t>
            </w:r>
            <w:r w:rsidR="001D1F1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uropos </w:t>
            </w:r>
            <w:r w:rsidR="00655D8D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="001D1F1E">
              <w:rPr>
                <w:rFonts w:ascii="Times New Roman" w:eastAsia="Times New Roman" w:hAnsi="Times New Roman" w:cs="Times New Roman"/>
                <w:bCs/>
                <w:lang w:eastAsia="lt-LT"/>
              </w:rPr>
              <w:t>ąjungos</w:t>
            </w:r>
            <w:r w:rsidR="00655D8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valstybėse narėse (t.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y. veikla tiesiogiai susijusi su eksportuojamais kiekiais, platinimo tinklo kūrimu bei veikla arba kitomis einamosiomis išlaidomis, susijusiomis su eksporto veikla)?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338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6.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5F47F3">
            <w:pPr>
              <w:pStyle w:val="Default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0865E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</w:t>
            </w:r>
            <w:r w:rsidR="005F47F3">
              <w:rPr>
                <w:rFonts w:ascii="Times New Roman" w:eastAsia="Times New Roman" w:hAnsi="Times New Roman" w:cs="Times New Roman"/>
                <w:bCs/>
                <w:lang w:eastAsia="lt-LT"/>
              </w:rPr>
              <w:t>ui</w:t>
            </w:r>
            <w:r w:rsidR="000865E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teikiama pagalba priklauso nuo to, ar daugiau vartojama vietinių nei importuotų prekių?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475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7.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655D8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0865E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vykdo veiklą </w:t>
            </w:r>
            <w:r w:rsidR="001D1F1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šios lentelės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3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–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6 punktuose nurodytuose sektoriuose, tačiau </w:t>
            </w:r>
            <w:r w:rsidR="00255A7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kartu</w:t>
            </w:r>
            <w:r w:rsidR="00AD5C3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bent viename sektoriuje, kuriam taikomas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reglamentas, ir </w:t>
            </w:r>
            <w:r w:rsidR="007639B6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šiam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sektoriui pagalba teikiama, ar užtikrinama tinkamomis priemonėmis, </w:t>
            </w:r>
            <w:r w:rsidR="00655D8D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pavyzdžiui,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atskiriant veiklos sritis ar sąnaudas, kad veiklai tuose sektoriuose, kuriems šis reglamentas netaikomas, nebūtų teikiama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pagalba, kuri teikiama pagal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reglamentą?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433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8.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98290A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Ar pagalba yra (bus) naudojama krovinių vežimo keliais transporto priemonėms įsigyti</w:t>
            </w:r>
            <w:r w:rsidR="00366858">
              <w:rPr>
                <w:rFonts w:ascii="Times New Roman" w:eastAsia="Times New Roman" w:hAnsi="Times New Roman" w:cs="Times New Roman"/>
                <w:bCs/>
                <w:lang w:eastAsia="lt-LT"/>
              </w:rPr>
              <w:t>, kai įmonė (pareiškėjas) ir (arba) projekto vy</w:t>
            </w:r>
            <w:r w:rsidR="00E757C3">
              <w:rPr>
                <w:rFonts w:ascii="Times New Roman" w:eastAsia="Times New Roman" w:hAnsi="Times New Roman" w:cs="Times New Roman"/>
                <w:bCs/>
                <w:lang w:eastAsia="lt-LT"/>
              </w:rPr>
              <w:t>k</w:t>
            </w:r>
            <w:r w:rsidR="00366858">
              <w:rPr>
                <w:rFonts w:ascii="Times New Roman" w:eastAsia="Times New Roman" w:hAnsi="Times New Roman" w:cs="Times New Roman"/>
                <w:bCs/>
                <w:lang w:eastAsia="lt-LT"/>
              </w:rPr>
              <w:t>dytojas vykdo krovinių vežimo keliais veiklą samdos pagrindais arba u</w:t>
            </w:r>
            <w:r w:rsidR="00E757C3">
              <w:rPr>
                <w:rFonts w:ascii="Times New Roman" w:eastAsia="Times New Roman" w:hAnsi="Times New Roman" w:cs="Times New Roman"/>
                <w:bCs/>
                <w:lang w:eastAsia="lt-LT"/>
              </w:rPr>
              <w:t>ž</w:t>
            </w:r>
            <w:r w:rsidR="00366858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atlyg</w:t>
            </w:r>
            <w:r w:rsidR="00E757C3">
              <w:rPr>
                <w:rFonts w:ascii="Times New Roman" w:eastAsia="Times New Roman" w:hAnsi="Times New Roman" w:cs="Times New Roman"/>
                <w:bCs/>
                <w:lang w:eastAsia="lt-LT"/>
              </w:rPr>
              <w:t>į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754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lastRenderedPageBreak/>
              <w:t>9.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CA09C3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Ar bendra vienai įmonei</w:t>
            </w:r>
            <w:r w:rsidRPr="0075354E">
              <w:rPr>
                <w:rStyle w:val="Puslapioinaosnuoroda"/>
                <w:rFonts w:ascii="Times New Roman" w:eastAsia="Times New Roman" w:hAnsi="Times New Roman" w:cs="Times New Roman"/>
                <w:bCs/>
                <w:lang w:eastAsia="lt-LT"/>
              </w:rPr>
              <w:footnoteReference w:id="2"/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suteikta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pagalbos suma Lietuvoje viršija (ar konkrečiu atveju viršys suteikus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pagalbą) 200 000 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per bet kurį trejų finansinių metų laikotarpį?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75354E" w:rsidTr="001274F7">
        <w:trPr>
          <w:trHeight w:val="1494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10.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CA09C3" w:rsidP="000865E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Jei įmonė (</w:t>
            </w:r>
            <w:r w:rsidR="00D04AE4">
              <w:rPr>
                <w:rFonts w:ascii="Times New Roman" w:eastAsia="Times New Roman" w:hAnsi="Times New Roman" w:cs="Times New Roman"/>
                <w:bCs/>
                <w:lang w:eastAsia="lt-LT"/>
              </w:rPr>
              <w:t>SDVS</w:t>
            </w:r>
            <w:r w:rsidR="000865E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) vykdo krovinių vežimo keliais veiklą samdos pagrindais arba už atlygį ir taip pat kitą veiklą, kuriai taikoma 200 000 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viršutinė riba, ar užtikrinama, kad pagalba krovinių vežimo keliais veiklai neviršytų 100 000 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ir kad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nebūtų naudojama krovinių vežimo keliais transporto priemonėms įsigyti?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275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E70F3C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dvi 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įmonės</w:t>
            </w:r>
            <w:r w:rsidR="00182CE9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susijungė arba viena įsigijo kitą, ar apskaičiuojant, ar nauja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</w:t>
            </w:r>
            <w:r w:rsidR="00D4467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 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naujaj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am arba įsigyjančiajam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viršija atitinkamą viršutinę ribą, atsižvelgta į visą ankstesnę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pagalbą, suteiktą bet kuria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iš susijungiančių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75354E" w:rsidTr="001274F7">
        <w:trPr>
          <w:trHeight w:val="643"/>
        </w:trPr>
        <w:tc>
          <w:tcPr>
            <w:tcW w:w="534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8221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viena </w:t>
            </w:r>
            <w:r w:rsidR="00CA09C3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įmonė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suskaidyta į d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u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ar daugiau atskirų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ar iki suskaidymo suteikta </w:t>
            </w:r>
            <w:r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priskiriama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, kuri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ja pasinaudojo</w:t>
            </w:r>
            <w:r w:rsidR="008A5EFB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toks priskyrimas neįmanomas, ar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proporcingai paskirstoma remiantis naujųjų </w:t>
            </w:r>
            <w:r w:rsidR="003C3CF5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nuosavo kapitalo balansine verte suskaidymo įsigaliojimo dieną?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75354E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75354E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75354E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3048" w:rsidRPr="0075354E" w:rsidTr="001274F7">
        <w:trPr>
          <w:trHeight w:val="698"/>
        </w:trPr>
        <w:tc>
          <w:tcPr>
            <w:tcW w:w="534" w:type="dxa"/>
            <w:shd w:val="clear" w:color="auto" w:fill="auto"/>
          </w:tcPr>
          <w:p w:rsidR="00493048" w:rsidRPr="0075354E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</w:t>
            </w:r>
            <w:r w:rsidRPr="0075354E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8221" w:type="dxa"/>
            <w:shd w:val="clear" w:color="auto" w:fill="auto"/>
          </w:tcPr>
          <w:p w:rsidR="00493048" w:rsidRPr="0075354E" w:rsidRDefault="00493048" w:rsidP="00A01FB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Ar teikiamo finansavimo bendrasis subsidijos ekvivalentas apskaičiuotas tinkamai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teikiama 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yra skaidri</w:t>
            </w:r>
            <w:r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01FB5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d</w:t>
            </w:r>
            <w:r w:rsidR="00AB1A09"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e </w:t>
            </w:r>
            <w:r w:rsidR="0037015C"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</w:t>
            </w:r>
            <w:r w:rsidR="0037015C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704684" w:rsidRPr="0075354E">
              <w:rPr>
                <w:rFonts w:ascii="Times New Roman" w:eastAsia="Times New Roman" w:hAnsi="Times New Roman" w:cs="Times New Roman"/>
                <w:bCs/>
                <w:lang w:eastAsia="lt-LT"/>
              </w:rPr>
              <w:t>4 straipsnis)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3048" w:rsidRPr="0075354E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75354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048" w:rsidRPr="0075354E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3048" w:rsidRPr="0075354E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493048" w:rsidRPr="0075354E" w:rsidRDefault="00823E30" w:rsidP="005F5B52">
            <w:pPr>
              <w:pStyle w:val="Defaul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(Nurodyti </w:t>
            </w:r>
            <w:r w:rsidRPr="00A01FB5">
              <w:rPr>
                <w:rFonts w:ascii="Times New Roman" w:eastAsia="Times New Roman" w:hAnsi="Times New Roman" w:cs="Times New Roman"/>
                <w:i/>
                <w:lang w:eastAsia="lt-LT"/>
              </w:rPr>
              <w:t>de minimis reglamento</w:t>
            </w:r>
            <w:r w:rsidRPr="0075354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4 straipsnio dalį, pagal kurią teikiama de</w:t>
            </w:r>
            <w:r w:rsidR="00D44675">
              <w:rPr>
                <w:rFonts w:ascii="Times New Roman" w:eastAsia="Times New Roman" w:hAnsi="Times New Roman" w:cs="Times New Roman"/>
                <w:i/>
                <w:lang w:eastAsia="lt-LT"/>
              </w:rPr>
              <w:t> </w:t>
            </w:r>
            <w:r w:rsidRPr="0075354E">
              <w:rPr>
                <w:rFonts w:ascii="Times New Roman" w:eastAsia="Times New Roman" w:hAnsi="Times New Roman" w:cs="Times New Roman"/>
                <w:i/>
                <w:lang w:eastAsia="lt-LT"/>
              </w:rPr>
              <w:t>minimis pagalba laikoma skaidria)</w:t>
            </w:r>
          </w:p>
        </w:tc>
      </w:tr>
      <w:tr w:rsidR="00493048" w:rsidRPr="00A01FB5" w:rsidTr="001274F7">
        <w:trPr>
          <w:trHeight w:val="520"/>
        </w:trPr>
        <w:tc>
          <w:tcPr>
            <w:tcW w:w="534" w:type="dxa"/>
            <w:shd w:val="clear" w:color="auto" w:fill="auto"/>
          </w:tcPr>
          <w:p w:rsidR="00493048" w:rsidRPr="00A01FB5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A01FB5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A01FB5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</w:t>
            </w:r>
            <w:r w:rsidRPr="00A01FB5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8221" w:type="dxa"/>
            <w:shd w:val="clear" w:color="auto" w:fill="auto"/>
          </w:tcPr>
          <w:p w:rsidR="00493048" w:rsidRPr="00A01FB5" w:rsidRDefault="00493048" w:rsidP="00A01FB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4564F8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sumuojama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reikalavimus</w:t>
            </w:r>
            <w:r w:rsidR="00D14B56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d</w:t>
            </w:r>
            <w:r w:rsidR="00AB1A09"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</w:t>
            </w:r>
            <w:r w:rsidR="00D44675"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 </w:t>
            </w:r>
            <w:r w:rsidR="0037015C"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5 straipsnis)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3048" w:rsidRPr="00A01FB5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01FB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FB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A01FB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048" w:rsidRPr="00A01FB5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3048" w:rsidRPr="00A01FB5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493048" w:rsidRPr="00A01FB5" w:rsidRDefault="00493048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A01FB5" w:rsidTr="001274F7">
        <w:trPr>
          <w:trHeight w:val="175"/>
        </w:trPr>
        <w:tc>
          <w:tcPr>
            <w:tcW w:w="534" w:type="dxa"/>
            <w:shd w:val="clear" w:color="auto" w:fill="auto"/>
          </w:tcPr>
          <w:p w:rsidR="0094753A" w:rsidRPr="00A01FB5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A01FB5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A01FB5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</w:t>
            </w:r>
            <w:r w:rsidRPr="00A01FB5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8221" w:type="dxa"/>
            <w:shd w:val="clear" w:color="auto" w:fill="auto"/>
          </w:tcPr>
          <w:p w:rsidR="0094753A" w:rsidRPr="00A01FB5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teikiama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823E30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patenka į </w:t>
            </w:r>
            <w:r w:rsidRPr="00A01FB5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</w:t>
            </w:r>
            <w:r w:rsidR="00823E30"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 galiojimo </w:t>
            </w:r>
            <w:r w:rsidRPr="00A01FB5">
              <w:rPr>
                <w:rFonts w:ascii="Times New Roman" w:eastAsia="Times New Roman" w:hAnsi="Times New Roman" w:cs="Times New Roman"/>
                <w:bCs/>
                <w:lang w:eastAsia="lt-LT"/>
              </w:rPr>
              <w:t>laikotarpį?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753A" w:rsidRPr="00A01FB5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01FB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FB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970C2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A01FB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A01FB5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53A" w:rsidRPr="00A01FB5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94753A" w:rsidRPr="00A01FB5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F42236" w:rsidRPr="00A01FB5" w:rsidRDefault="00F42236" w:rsidP="000865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4175"/>
        <w:gridCol w:w="2693"/>
        <w:gridCol w:w="562"/>
        <w:gridCol w:w="430"/>
        <w:gridCol w:w="851"/>
        <w:gridCol w:w="1976"/>
        <w:gridCol w:w="3694"/>
      </w:tblGrid>
      <w:tr w:rsidR="008957A0" w:rsidRPr="0075354E" w:rsidTr="001274F7">
        <w:tc>
          <w:tcPr>
            <w:tcW w:w="15134" w:type="dxa"/>
            <w:gridSpan w:val="8"/>
            <w:shd w:val="clear" w:color="auto" w:fill="BFBFBF"/>
          </w:tcPr>
          <w:p w:rsidR="008957A0" w:rsidRPr="0075354E" w:rsidRDefault="008957A0" w:rsidP="000865E6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A01F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V. </w:t>
            </w:r>
            <w:r w:rsidR="00265BBB" w:rsidRPr="00A01F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Pr="00A01F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265BBB" w:rsidRPr="00A01FB5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265BBB" w:rsidRPr="00A01F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 </w:t>
            </w:r>
            <w:r w:rsidRPr="00A01F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vertinimas</w:t>
            </w:r>
            <w:r w:rsidRPr="0075354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</w:tr>
      <w:tr w:rsidR="00A171DC" w:rsidRPr="0075354E" w:rsidTr="001274F7">
        <w:trPr>
          <w:trHeight w:val="261"/>
        </w:trPr>
        <w:tc>
          <w:tcPr>
            <w:tcW w:w="753" w:type="dxa"/>
            <w:vMerge w:val="restart"/>
            <w:shd w:val="clear" w:color="auto" w:fill="auto"/>
          </w:tcPr>
          <w:p w:rsidR="00A171DC" w:rsidRPr="0075354E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gridSpan w:val="2"/>
            <w:vMerge w:val="restart"/>
            <w:shd w:val="clear" w:color="auto" w:fill="auto"/>
            <w:vAlign w:val="center"/>
          </w:tcPr>
          <w:p w:rsidR="00A171DC" w:rsidRPr="00A171DC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Klausima</w:t>
            </w:r>
            <w:r w:rsidR="00655D8D">
              <w:rPr>
                <w:rFonts w:ascii="Times New Roman" w:eastAsia="Times New Roman" w:hAnsi="Times New Roman" w:cs="Times New Roman"/>
                <w:b/>
                <w:lang w:eastAsia="lt-LT"/>
              </w:rPr>
              <w:t>s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171DC" w:rsidRPr="00A171DC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Rezultatas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  <w:vAlign w:val="center"/>
          </w:tcPr>
          <w:p w:rsidR="00A171DC" w:rsidRPr="00A171DC" w:rsidRDefault="00A171DC" w:rsidP="000865E6">
            <w:pPr>
              <w:pStyle w:val="Default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A171DC" w:rsidRPr="0075354E" w:rsidTr="001274F7">
        <w:trPr>
          <w:trHeight w:val="60"/>
        </w:trPr>
        <w:tc>
          <w:tcPr>
            <w:tcW w:w="753" w:type="dxa"/>
            <w:vMerge/>
            <w:shd w:val="clear" w:color="auto" w:fill="auto"/>
          </w:tcPr>
          <w:p w:rsidR="00A171DC" w:rsidRPr="0075354E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gridSpan w:val="2"/>
            <w:vMerge/>
            <w:shd w:val="clear" w:color="auto" w:fill="auto"/>
          </w:tcPr>
          <w:p w:rsidR="00A171DC" w:rsidRPr="00A171DC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71DC" w:rsidRPr="00A171DC" w:rsidRDefault="00A171DC" w:rsidP="000865E6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71DC" w:rsidRPr="00A171DC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71DC">
              <w:rPr>
                <w:rFonts w:ascii="Times New Roman" w:eastAsia="Times New Roman" w:hAnsi="Times New Roman" w:cs="Times New Roman"/>
                <w:b/>
                <w:lang w:eastAsia="lt-LT"/>
              </w:rPr>
              <w:t>Ne</w:t>
            </w:r>
          </w:p>
        </w:tc>
        <w:tc>
          <w:tcPr>
            <w:tcW w:w="5670" w:type="dxa"/>
            <w:gridSpan w:val="2"/>
            <w:vMerge/>
            <w:shd w:val="clear" w:color="auto" w:fill="auto"/>
          </w:tcPr>
          <w:p w:rsidR="00A171DC" w:rsidRPr="0075354E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71DC" w:rsidRPr="0075354E" w:rsidTr="001274F7">
        <w:trPr>
          <w:trHeight w:val="397"/>
        </w:trPr>
        <w:tc>
          <w:tcPr>
            <w:tcW w:w="753" w:type="dxa"/>
            <w:shd w:val="clear" w:color="auto" w:fill="auto"/>
          </w:tcPr>
          <w:p w:rsidR="00A171DC" w:rsidRPr="0075354E" w:rsidRDefault="00A171DC" w:rsidP="000865E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171DC" w:rsidRPr="0075354E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gridSpan w:val="2"/>
            <w:shd w:val="clear" w:color="auto" w:fill="auto"/>
          </w:tcPr>
          <w:p w:rsidR="00A171DC" w:rsidRPr="0075354E" w:rsidRDefault="00A171DC" w:rsidP="000865E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t xml:space="preserve">Ar teikiamas finansavimas atitinka </w:t>
            </w:r>
            <w:r w:rsidRPr="00A01FB5">
              <w:rPr>
                <w:rFonts w:ascii="Times New Roman" w:eastAsia="Times New Roman" w:hAnsi="Times New Roman" w:cs="Times New Roman"/>
                <w:i/>
                <w:lang w:eastAsia="lt-LT"/>
              </w:rPr>
              <w:t>de minimis</w:t>
            </w:r>
            <w:r w:rsidRPr="00A01FB5">
              <w:rPr>
                <w:rFonts w:ascii="Times New Roman" w:eastAsia="Times New Roman" w:hAnsi="Times New Roman" w:cs="Times New Roman"/>
                <w:lang w:eastAsia="lt-LT"/>
              </w:rPr>
              <w:t xml:space="preserve"> reglamentą?</w:t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71DC" w:rsidRPr="0075354E" w:rsidRDefault="00A171DC" w:rsidP="000865E6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71DC" w:rsidRPr="0075354E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</w:r>
            <w:r w:rsidR="00970C24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75354E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171DC" w:rsidRPr="0075354E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C748C" w:rsidRPr="0075354E" w:rsidTr="00127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94" w:type="dxa"/>
          <w:trHeight w:val="322"/>
        </w:trPr>
        <w:tc>
          <w:tcPr>
            <w:tcW w:w="4928" w:type="dxa"/>
            <w:gridSpan w:val="2"/>
          </w:tcPr>
          <w:p w:rsidR="00F55FA6" w:rsidRPr="0075354E" w:rsidRDefault="00F55FA6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7C748C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____________________________________</w:t>
            </w:r>
          </w:p>
          <w:p w:rsidR="007C748C" w:rsidRPr="0075354E" w:rsidRDefault="007C748C" w:rsidP="000865E6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  <w:iCs/>
              </w:rPr>
              <w:t>v</w:t>
            </w:r>
            <w:r w:rsidRPr="0075354E">
              <w:rPr>
                <w:rFonts w:ascii="Times New Roman" w:hAnsi="Times New Roman" w:cs="Times New Roman"/>
                <w:i/>
                <w:iCs/>
              </w:rPr>
              <w:t>ertintojas)</w:t>
            </w:r>
          </w:p>
        </w:tc>
        <w:tc>
          <w:tcPr>
            <w:tcW w:w="3255" w:type="dxa"/>
            <w:gridSpan w:val="2"/>
          </w:tcPr>
          <w:p w:rsidR="00F55FA6" w:rsidRPr="0075354E" w:rsidRDefault="00F55FA6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7C748C" w:rsidP="000865E6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____________</w:t>
            </w:r>
            <w:r w:rsidR="002F6D08">
              <w:rPr>
                <w:rFonts w:ascii="Times New Roman" w:hAnsi="Times New Roman" w:cs="Times New Roman"/>
                <w:i/>
                <w:iCs/>
              </w:rPr>
              <w:t>__________</w:t>
            </w:r>
          </w:p>
          <w:p w:rsidR="007C748C" w:rsidRPr="0075354E" w:rsidRDefault="007C748C" w:rsidP="000865E6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75354E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  <w:iCs/>
              </w:rPr>
              <w:t>p</w:t>
            </w:r>
            <w:r w:rsidRPr="0075354E">
              <w:rPr>
                <w:rFonts w:ascii="Times New Roman" w:hAnsi="Times New Roman" w:cs="Times New Roman"/>
                <w:i/>
                <w:iCs/>
              </w:rPr>
              <w:t>arašas)</w:t>
            </w:r>
          </w:p>
        </w:tc>
        <w:tc>
          <w:tcPr>
            <w:tcW w:w="3257" w:type="dxa"/>
            <w:gridSpan w:val="3"/>
          </w:tcPr>
          <w:p w:rsidR="00F55FA6" w:rsidRPr="0075354E" w:rsidRDefault="00F55FA6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75354E" w:rsidRDefault="002F6D08" w:rsidP="000865E6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</w:t>
            </w:r>
          </w:p>
          <w:p w:rsidR="007C748C" w:rsidRPr="0075354E" w:rsidRDefault="007C748C" w:rsidP="000865E6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354E">
              <w:rPr>
                <w:rFonts w:ascii="Times New Roman" w:hAnsi="Times New Roman" w:cs="Times New Roman"/>
                <w:i/>
              </w:rPr>
              <w:t>(</w:t>
            </w:r>
            <w:r w:rsidR="00255A79" w:rsidRPr="0075354E">
              <w:rPr>
                <w:rFonts w:ascii="Times New Roman" w:hAnsi="Times New Roman" w:cs="Times New Roman"/>
                <w:i/>
              </w:rPr>
              <w:t>d</w:t>
            </w:r>
            <w:r w:rsidRPr="0075354E">
              <w:rPr>
                <w:rFonts w:ascii="Times New Roman" w:hAnsi="Times New Roman" w:cs="Times New Roman"/>
                <w:i/>
              </w:rPr>
              <w:t>ata)</w:t>
            </w:r>
          </w:p>
        </w:tc>
      </w:tr>
    </w:tbl>
    <w:p w:rsidR="007C748C" w:rsidRPr="0075354E" w:rsidRDefault="007C748C" w:rsidP="000865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sectPr w:rsidR="007C748C" w:rsidRPr="0075354E" w:rsidSect="00127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080" w:bottom="568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24" w:rsidRDefault="00970C24" w:rsidP="00052D4E">
      <w:pPr>
        <w:spacing w:after="0" w:line="240" w:lineRule="auto"/>
      </w:pPr>
      <w:r>
        <w:separator/>
      </w:r>
    </w:p>
  </w:endnote>
  <w:endnote w:type="continuationSeparator" w:id="0">
    <w:p w:rsidR="00970C24" w:rsidRDefault="00970C24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5B" w:rsidRDefault="00C85A5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5B" w:rsidRDefault="00C85A5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5B" w:rsidRDefault="00C85A5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24" w:rsidRDefault="00970C24" w:rsidP="00052D4E">
      <w:pPr>
        <w:spacing w:after="0" w:line="240" w:lineRule="auto"/>
      </w:pPr>
      <w:r>
        <w:separator/>
      </w:r>
    </w:p>
  </w:footnote>
  <w:footnote w:type="continuationSeparator" w:id="0">
    <w:p w:rsidR="00970C24" w:rsidRDefault="00970C24" w:rsidP="00052D4E">
      <w:pPr>
        <w:spacing w:after="0" w:line="240" w:lineRule="auto"/>
      </w:pPr>
      <w:r>
        <w:continuationSeparator/>
      </w:r>
    </w:p>
  </w:footnote>
  <w:footnote w:id="1">
    <w:p w:rsidR="00C1420B" w:rsidRPr="00AC77E0" w:rsidRDefault="00C1420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1999 m. gruodžio 17 d. Tarybos reglamentas (EB) Nr. 104/2000 dėl bendro žuvininkystės ir akvakultū</w:t>
      </w:r>
      <w:r w:rsidR="00D04AE4">
        <w:rPr>
          <w:lang w:val="lt-LT"/>
        </w:rPr>
        <w:t>ros produktų rinkų organizavimo</w:t>
      </w:r>
      <w:r w:rsidR="008A5EFB">
        <w:rPr>
          <w:lang w:val="lt-LT"/>
        </w:rPr>
        <w:t>.</w:t>
      </w:r>
    </w:p>
  </w:footnote>
  <w:footnote w:id="2">
    <w:p w:rsidR="00CA09C3" w:rsidRPr="00684FD8" w:rsidRDefault="00CA09C3" w:rsidP="00CA09C3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476801">
        <w:rPr>
          <w:lang w:val="de-DE"/>
        </w:rPr>
        <w:t xml:space="preserve"> </w:t>
      </w:r>
      <w:r>
        <w:rPr>
          <w:lang w:val="lt-LT"/>
        </w:rPr>
        <w:t xml:space="preserve">Kaip apibrėžta </w:t>
      </w:r>
      <w:r w:rsidRPr="00A01FB5">
        <w:rPr>
          <w:i/>
          <w:lang w:val="lt-LT"/>
        </w:rPr>
        <w:t>de minimis</w:t>
      </w:r>
      <w:r w:rsidRPr="00A01FB5">
        <w:rPr>
          <w:lang w:val="lt-LT"/>
        </w:rPr>
        <w:t xml:space="preserve"> reglamente</w:t>
      </w:r>
      <w:r w:rsidR="008A5EFB" w:rsidRPr="00A01FB5">
        <w:rPr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5B" w:rsidRDefault="00C85A5B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65035" o:spid="_x0000_s2050" type="#_x0000_t136" style="position:absolute;margin-left:0;margin-top:0;width:621.25pt;height:138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F5" w:rsidRDefault="00C85A5B">
    <w:pPr>
      <w:pStyle w:val="Antrats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65036" o:spid="_x0000_s2051" type="#_x0000_t136" style="position:absolute;left:0;text-align:left;margin-left:0;margin-top:0;width:621.25pt;height:138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  <w:r w:rsidR="003C3CF5">
      <w:fldChar w:fldCharType="begin"/>
    </w:r>
    <w:r w:rsidR="003C3CF5">
      <w:instrText>PAGE   \* MERGEFORMAT</w:instrText>
    </w:r>
    <w:r w:rsidR="003C3CF5">
      <w:fldChar w:fldCharType="separate"/>
    </w:r>
    <w:r w:rsidRPr="00C85A5B">
      <w:rPr>
        <w:noProof/>
        <w:lang w:val="lt-LT"/>
      </w:rPr>
      <w:t>3</w:t>
    </w:r>
    <w:r w:rsidR="003C3CF5">
      <w:fldChar w:fldCharType="end"/>
    </w:r>
  </w:p>
  <w:p w:rsidR="003C3CF5" w:rsidRDefault="003C3CF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5B" w:rsidRDefault="00C85A5B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65034" o:spid="_x0000_s2049" type="#_x0000_t136" style="position:absolute;margin-left:0;margin-top:0;width:621.25pt;height:138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3D"/>
    <w:rsid w:val="000042DB"/>
    <w:rsid w:val="00005AF3"/>
    <w:rsid w:val="0001529F"/>
    <w:rsid w:val="000246BA"/>
    <w:rsid w:val="00031B5A"/>
    <w:rsid w:val="000337CF"/>
    <w:rsid w:val="00041103"/>
    <w:rsid w:val="00042DC9"/>
    <w:rsid w:val="00043E2B"/>
    <w:rsid w:val="00051013"/>
    <w:rsid w:val="00052D4E"/>
    <w:rsid w:val="000548B3"/>
    <w:rsid w:val="00064C38"/>
    <w:rsid w:val="00065BE3"/>
    <w:rsid w:val="000664F1"/>
    <w:rsid w:val="00074188"/>
    <w:rsid w:val="000762F6"/>
    <w:rsid w:val="000865E6"/>
    <w:rsid w:val="000B7406"/>
    <w:rsid w:val="000C5869"/>
    <w:rsid w:val="000C6A1B"/>
    <w:rsid w:val="000D4755"/>
    <w:rsid w:val="000D7716"/>
    <w:rsid w:val="000E1ECF"/>
    <w:rsid w:val="000F2A88"/>
    <w:rsid w:val="0010009B"/>
    <w:rsid w:val="001020A7"/>
    <w:rsid w:val="00103261"/>
    <w:rsid w:val="001069CB"/>
    <w:rsid w:val="00124E1A"/>
    <w:rsid w:val="001274F7"/>
    <w:rsid w:val="00142C63"/>
    <w:rsid w:val="00156C29"/>
    <w:rsid w:val="00166B28"/>
    <w:rsid w:val="00170B3D"/>
    <w:rsid w:val="00171D06"/>
    <w:rsid w:val="0017651D"/>
    <w:rsid w:val="00181A96"/>
    <w:rsid w:val="00182CE9"/>
    <w:rsid w:val="00191ACE"/>
    <w:rsid w:val="001A397F"/>
    <w:rsid w:val="001A4749"/>
    <w:rsid w:val="001A79D4"/>
    <w:rsid w:val="001B6AE0"/>
    <w:rsid w:val="001D1F1E"/>
    <w:rsid w:val="001E1524"/>
    <w:rsid w:val="001E58E7"/>
    <w:rsid w:val="001F0203"/>
    <w:rsid w:val="001F278A"/>
    <w:rsid w:val="00204F9C"/>
    <w:rsid w:val="00216DF2"/>
    <w:rsid w:val="00232608"/>
    <w:rsid w:val="00242E4F"/>
    <w:rsid w:val="00245520"/>
    <w:rsid w:val="00245911"/>
    <w:rsid w:val="002464D7"/>
    <w:rsid w:val="00247DB9"/>
    <w:rsid w:val="002548B4"/>
    <w:rsid w:val="00255A79"/>
    <w:rsid w:val="00256A1A"/>
    <w:rsid w:val="00265BBB"/>
    <w:rsid w:val="00291D2B"/>
    <w:rsid w:val="002920C0"/>
    <w:rsid w:val="002A78C2"/>
    <w:rsid w:val="002B2203"/>
    <w:rsid w:val="002C69A0"/>
    <w:rsid w:val="002C75FD"/>
    <w:rsid w:val="002D4567"/>
    <w:rsid w:val="002E303E"/>
    <w:rsid w:val="002E358C"/>
    <w:rsid w:val="002E4B66"/>
    <w:rsid w:val="002F2A2A"/>
    <w:rsid w:val="002F6D08"/>
    <w:rsid w:val="002F7859"/>
    <w:rsid w:val="003026B9"/>
    <w:rsid w:val="003209D6"/>
    <w:rsid w:val="00346E92"/>
    <w:rsid w:val="0035286D"/>
    <w:rsid w:val="00364DA4"/>
    <w:rsid w:val="00366858"/>
    <w:rsid w:val="0037015C"/>
    <w:rsid w:val="00381A00"/>
    <w:rsid w:val="0039200C"/>
    <w:rsid w:val="003A63C2"/>
    <w:rsid w:val="003C2474"/>
    <w:rsid w:val="003C3CF5"/>
    <w:rsid w:val="003E043E"/>
    <w:rsid w:val="003F0C5C"/>
    <w:rsid w:val="003F322F"/>
    <w:rsid w:val="003F4D99"/>
    <w:rsid w:val="003F5624"/>
    <w:rsid w:val="003F788C"/>
    <w:rsid w:val="00407DAB"/>
    <w:rsid w:val="00411684"/>
    <w:rsid w:val="00431F28"/>
    <w:rsid w:val="0043421C"/>
    <w:rsid w:val="00447EC0"/>
    <w:rsid w:val="00451709"/>
    <w:rsid w:val="004564F8"/>
    <w:rsid w:val="00462A29"/>
    <w:rsid w:val="00465DB9"/>
    <w:rsid w:val="004664ED"/>
    <w:rsid w:val="004670B6"/>
    <w:rsid w:val="004671A2"/>
    <w:rsid w:val="004709DF"/>
    <w:rsid w:val="00476801"/>
    <w:rsid w:val="00480F7E"/>
    <w:rsid w:val="0048758B"/>
    <w:rsid w:val="00490E40"/>
    <w:rsid w:val="00493048"/>
    <w:rsid w:val="004A104A"/>
    <w:rsid w:val="004A58E9"/>
    <w:rsid w:val="004C08B0"/>
    <w:rsid w:val="004C1FB2"/>
    <w:rsid w:val="004D3561"/>
    <w:rsid w:val="004D496C"/>
    <w:rsid w:val="004D7EF3"/>
    <w:rsid w:val="004F2238"/>
    <w:rsid w:val="004F5097"/>
    <w:rsid w:val="005015B1"/>
    <w:rsid w:val="00507E8A"/>
    <w:rsid w:val="00510FF2"/>
    <w:rsid w:val="00547EEC"/>
    <w:rsid w:val="00550A02"/>
    <w:rsid w:val="00587C33"/>
    <w:rsid w:val="005C4B19"/>
    <w:rsid w:val="005D6DCC"/>
    <w:rsid w:val="005E53D7"/>
    <w:rsid w:val="005F47F3"/>
    <w:rsid w:val="005F5B52"/>
    <w:rsid w:val="005F66DE"/>
    <w:rsid w:val="005F7737"/>
    <w:rsid w:val="005F7F32"/>
    <w:rsid w:val="00601BD4"/>
    <w:rsid w:val="00602A92"/>
    <w:rsid w:val="00607C38"/>
    <w:rsid w:val="0061136F"/>
    <w:rsid w:val="0062014A"/>
    <w:rsid w:val="006222C1"/>
    <w:rsid w:val="006223E7"/>
    <w:rsid w:val="00622E4B"/>
    <w:rsid w:val="00624169"/>
    <w:rsid w:val="00641D16"/>
    <w:rsid w:val="00655D8D"/>
    <w:rsid w:val="006608B7"/>
    <w:rsid w:val="006800A0"/>
    <w:rsid w:val="00682B53"/>
    <w:rsid w:val="00684FD8"/>
    <w:rsid w:val="00686338"/>
    <w:rsid w:val="0068634A"/>
    <w:rsid w:val="006A6E17"/>
    <w:rsid w:val="006B57DE"/>
    <w:rsid w:val="006B6903"/>
    <w:rsid w:val="006C0FAC"/>
    <w:rsid w:val="006C26BC"/>
    <w:rsid w:val="006C2B80"/>
    <w:rsid w:val="006C3157"/>
    <w:rsid w:val="006C4A31"/>
    <w:rsid w:val="006E36DF"/>
    <w:rsid w:val="006E763C"/>
    <w:rsid w:val="006F07BE"/>
    <w:rsid w:val="00704684"/>
    <w:rsid w:val="00704891"/>
    <w:rsid w:val="007115AD"/>
    <w:rsid w:val="007224C3"/>
    <w:rsid w:val="0072567B"/>
    <w:rsid w:val="007279DB"/>
    <w:rsid w:val="00733B06"/>
    <w:rsid w:val="0073793C"/>
    <w:rsid w:val="007407BE"/>
    <w:rsid w:val="0074377D"/>
    <w:rsid w:val="00746B27"/>
    <w:rsid w:val="007501FF"/>
    <w:rsid w:val="0075354E"/>
    <w:rsid w:val="007604CB"/>
    <w:rsid w:val="007639B6"/>
    <w:rsid w:val="00763D12"/>
    <w:rsid w:val="00767320"/>
    <w:rsid w:val="007739CE"/>
    <w:rsid w:val="00776A3C"/>
    <w:rsid w:val="007A3853"/>
    <w:rsid w:val="007A7158"/>
    <w:rsid w:val="007C748C"/>
    <w:rsid w:val="007D105B"/>
    <w:rsid w:val="007E5F51"/>
    <w:rsid w:val="00804861"/>
    <w:rsid w:val="00814744"/>
    <w:rsid w:val="00823E30"/>
    <w:rsid w:val="008252F2"/>
    <w:rsid w:val="00831C55"/>
    <w:rsid w:val="00836E5F"/>
    <w:rsid w:val="00851C1B"/>
    <w:rsid w:val="00852341"/>
    <w:rsid w:val="008615F9"/>
    <w:rsid w:val="0086694F"/>
    <w:rsid w:val="00882CB4"/>
    <w:rsid w:val="008957A0"/>
    <w:rsid w:val="008A2FDE"/>
    <w:rsid w:val="008A5EFB"/>
    <w:rsid w:val="008A6B86"/>
    <w:rsid w:val="008B2D75"/>
    <w:rsid w:val="008E6EAE"/>
    <w:rsid w:val="008F0BBC"/>
    <w:rsid w:val="008F135C"/>
    <w:rsid w:val="00901E6D"/>
    <w:rsid w:val="0090544B"/>
    <w:rsid w:val="00921FBB"/>
    <w:rsid w:val="00941972"/>
    <w:rsid w:val="0094563A"/>
    <w:rsid w:val="0094753A"/>
    <w:rsid w:val="009513C2"/>
    <w:rsid w:val="00952B06"/>
    <w:rsid w:val="009617FF"/>
    <w:rsid w:val="00970C24"/>
    <w:rsid w:val="00981EE5"/>
    <w:rsid w:val="0098290A"/>
    <w:rsid w:val="00996667"/>
    <w:rsid w:val="009976BC"/>
    <w:rsid w:val="009A18EB"/>
    <w:rsid w:val="009A5525"/>
    <w:rsid w:val="009A645A"/>
    <w:rsid w:val="009B1F7C"/>
    <w:rsid w:val="009B33D7"/>
    <w:rsid w:val="009B5415"/>
    <w:rsid w:val="009C3278"/>
    <w:rsid w:val="009D3935"/>
    <w:rsid w:val="009E2C29"/>
    <w:rsid w:val="009E4D28"/>
    <w:rsid w:val="009E6EC0"/>
    <w:rsid w:val="00A01FB5"/>
    <w:rsid w:val="00A04930"/>
    <w:rsid w:val="00A14252"/>
    <w:rsid w:val="00A16F64"/>
    <w:rsid w:val="00A171DC"/>
    <w:rsid w:val="00A171E7"/>
    <w:rsid w:val="00A22D10"/>
    <w:rsid w:val="00A3532C"/>
    <w:rsid w:val="00A443D8"/>
    <w:rsid w:val="00A576AF"/>
    <w:rsid w:val="00A6381E"/>
    <w:rsid w:val="00A64CED"/>
    <w:rsid w:val="00A71B23"/>
    <w:rsid w:val="00A72118"/>
    <w:rsid w:val="00AA0AA8"/>
    <w:rsid w:val="00AA157E"/>
    <w:rsid w:val="00AA3BE2"/>
    <w:rsid w:val="00AB1A09"/>
    <w:rsid w:val="00AB2EAA"/>
    <w:rsid w:val="00AB765A"/>
    <w:rsid w:val="00AC0805"/>
    <w:rsid w:val="00AC55AE"/>
    <w:rsid w:val="00AC642D"/>
    <w:rsid w:val="00AC77E0"/>
    <w:rsid w:val="00AD5C3B"/>
    <w:rsid w:val="00AD6883"/>
    <w:rsid w:val="00AD6FDA"/>
    <w:rsid w:val="00AF69DB"/>
    <w:rsid w:val="00B06337"/>
    <w:rsid w:val="00B20DFC"/>
    <w:rsid w:val="00B20EEF"/>
    <w:rsid w:val="00B26B78"/>
    <w:rsid w:val="00B537F4"/>
    <w:rsid w:val="00B6490F"/>
    <w:rsid w:val="00B66308"/>
    <w:rsid w:val="00B76560"/>
    <w:rsid w:val="00B76D2C"/>
    <w:rsid w:val="00B76F52"/>
    <w:rsid w:val="00B81D80"/>
    <w:rsid w:val="00B962C2"/>
    <w:rsid w:val="00BB0671"/>
    <w:rsid w:val="00BB19AD"/>
    <w:rsid w:val="00BC31A6"/>
    <w:rsid w:val="00BC375B"/>
    <w:rsid w:val="00BD0F36"/>
    <w:rsid w:val="00BD6415"/>
    <w:rsid w:val="00BE0DFC"/>
    <w:rsid w:val="00BE73B7"/>
    <w:rsid w:val="00BF15E0"/>
    <w:rsid w:val="00BF401D"/>
    <w:rsid w:val="00C0027F"/>
    <w:rsid w:val="00C0109D"/>
    <w:rsid w:val="00C03C26"/>
    <w:rsid w:val="00C13D86"/>
    <w:rsid w:val="00C1420B"/>
    <w:rsid w:val="00C3085A"/>
    <w:rsid w:val="00C4554C"/>
    <w:rsid w:val="00C51860"/>
    <w:rsid w:val="00C529DD"/>
    <w:rsid w:val="00C6404E"/>
    <w:rsid w:val="00C71A2D"/>
    <w:rsid w:val="00C74672"/>
    <w:rsid w:val="00C84F3A"/>
    <w:rsid w:val="00C85A5B"/>
    <w:rsid w:val="00CA09C3"/>
    <w:rsid w:val="00CB25EB"/>
    <w:rsid w:val="00CB3D81"/>
    <w:rsid w:val="00CE363D"/>
    <w:rsid w:val="00CF0650"/>
    <w:rsid w:val="00CF49EF"/>
    <w:rsid w:val="00CF6FBE"/>
    <w:rsid w:val="00CF71C5"/>
    <w:rsid w:val="00CF72CF"/>
    <w:rsid w:val="00CF7A04"/>
    <w:rsid w:val="00D04AE4"/>
    <w:rsid w:val="00D06CAE"/>
    <w:rsid w:val="00D14B56"/>
    <w:rsid w:val="00D175B4"/>
    <w:rsid w:val="00D2272E"/>
    <w:rsid w:val="00D42884"/>
    <w:rsid w:val="00D44675"/>
    <w:rsid w:val="00D44C36"/>
    <w:rsid w:val="00D62A91"/>
    <w:rsid w:val="00D65136"/>
    <w:rsid w:val="00D71057"/>
    <w:rsid w:val="00D73522"/>
    <w:rsid w:val="00D77589"/>
    <w:rsid w:val="00D869E5"/>
    <w:rsid w:val="00D90151"/>
    <w:rsid w:val="00DA267A"/>
    <w:rsid w:val="00DB0401"/>
    <w:rsid w:val="00DC0095"/>
    <w:rsid w:val="00DC06F4"/>
    <w:rsid w:val="00DC6ABA"/>
    <w:rsid w:val="00DC72D7"/>
    <w:rsid w:val="00DF62F9"/>
    <w:rsid w:val="00DF6E1A"/>
    <w:rsid w:val="00DF7B2E"/>
    <w:rsid w:val="00E00606"/>
    <w:rsid w:val="00E04173"/>
    <w:rsid w:val="00E21336"/>
    <w:rsid w:val="00E23605"/>
    <w:rsid w:val="00E24A16"/>
    <w:rsid w:val="00E309B9"/>
    <w:rsid w:val="00E6038C"/>
    <w:rsid w:val="00E70F3C"/>
    <w:rsid w:val="00E74D67"/>
    <w:rsid w:val="00E757C3"/>
    <w:rsid w:val="00E75B17"/>
    <w:rsid w:val="00E827AD"/>
    <w:rsid w:val="00E84AB7"/>
    <w:rsid w:val="00EA2968"/>
    <w:rsid w:val="00EA4939"/>
    <w:rsid w:val="00EA74E6"/>
    <w:rsid w:val="00EB16B2"/>
    <w:rsid w:val="00EF1361"/>
    <w:rsid w:val="00EF2007"/>
    <w:rsid w:val="00EF583F"/>
    <w:rsid w:val="00F046CB"/>
    <w:rsid w:val="00F0556D"/>
    <w:rsid w:val="00F20D57"/>
    <w:rsid w:val="00F2414A"/>
    <w:rsid w:val="00F26DAB"/>
    <w:rsid w:val="00F26F2C"/>
    <w:rsid w:val="00F27FE2"/>
    <w:rsid w:val="00F372B6"/>
    <w:rsid w:val="00F42236"/>
    <w:rsid w:val="00F53BA3"/>
    <w:rsid w:val="00F55FA6"/>
    <w:rsid w:val="00F61AD1"/>
    <w:rsid w:val="00F74404"/>
    <w:rsid w:val="00F74E8A"/>
    <w:rsid w:val="00F952A3"/>
    <w:rsid w:val="00FA5589"/>
    <w:rsid w:val="00FB3425"/>
    <w:rsid w:val="00FB4D75"/>
    <w:rsid w:val="00FB5E95"/>
    <w:rsid w:val="00FD7E3A"/>
    <w:rsid w:val="00FE701B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608B7"/>
    <w:rPr>
      <w:rFonts w:cs="Times New Roman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8B7"/>
    <w:rPr>
      <w:rFonts w:ascii="Arial" w:hAnsi="Arial" w:cs="Arial"/>
      <w:lang w:val="pl-PL" w:eastAsia="en-US"/>
    </w:rPr>
  </w:style>
  <w:style w:type="character" w:styleId="Dokumentoinaosnumeris">
    <w:name w:val="endnote reference"/>
    <w:uiPriority w:val="99"/>
    <w:semiHidden/>
    <w:unhideWhenUsed/>
    <w:rsid w:val="006608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3C3CF5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3C3CF5"/>
    <w:rPr>
      <w:rFonts w:ascii="Arial" w:hAnsi="Arial" w:cs="Arial"/>
      <w:lang w:val="pl-PL" w:eastAsia="en-US"/>
    </w:rPr>
  </w:style>
  <w:style w:type="paragraph" w:styleId="Pataisymai">
    <w:name w:val="Revision"/>
    <w:hidden/>
    <w:uiPriority w:val="99"/>
    <w:semiHidden/>
    <w:rsid w:val="00AB1A09"/>
    <w:rPr>
      <w:rFonts w:ascii="Arial" w:hAnsi="Arial" w:cs="Arial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608B7"/>
    <w:rPr>
      <w:rFonts w:cs="Times New Roman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8B7"/>
    <w:rPr>
      <w:rFonts w:ascii="Arial" w:hAnsi="Arial" w:cs="Arial"/>
      <w:lang w:val="pl-PL" w:eastAsia="en-US"/>
    </w:rPr>
  </w:style>
  <w:style w:type="character" w:styleId="Dokumentoinaosnumeris">
    <w:name w:val="endnote reference"/>
    <w:uiPriority w:val="99"/>
    <w:semiHidden/>
    <w:unhideWhenUsed/>
    <w:rsid w:val="006608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3C3CF5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3C3CF5"/>
    <w:rPr>
      <w:rFonts w:ascii="Arial" w:hAnsi="Arial" w:cs="Arial"/>
      <w:lang w:val="pl-PL" w:eastAsia="en-US"/>
    </w:rPr>
  </w:style>
  <w:style w:type="paragraph" w:styleId="Pataisymai">
    <w:name w:val="Revision"/>
    <w:hidden/>
    <w:uiPriority w:val="99"/>
    <w:semiHidden/>
    <w:rsid w:val="00AB1A09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917B3-9202-4BE7-96A9-B27C17C3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4082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Rimantas Garbštas</cp:lastModifiedBy>
  <cp:revision>3</cp:revision>
  <cp:lastPrinted>2018-08-21T07:55:00Z</cp:lastPrinted>
  <dcterms:created xsi:type="dcterms:W3CDTF">2021-03-23T06:39:00Z</dcterms:created>
  <dcterms:modified xsi:type="dcterms:W3CDTF">2021-04-14T11:58:00Z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1254169434</vt:i4>
  </property>
  <property fmtid="{D5CDD505-2E9C-101B-9397-08002B2CF9AE}" pid="3" name="_NewReviewCycle">
    <vt:lpwstr/>
  </property>
  <property fmtid="{D5CDD505-2E9C-101B-9397-08002B2CF9AE}" pid="4" name="_EmailSubject">
    <vt:lpwstr>į esinvesticijas derinimui</vt:lpwstr>
  </property>
  <property fmtid="{D5CDD505-2E9C-101B-9397-08002B2CF9AE}" pid="5" name="_AuthorEmail">
    <vt:lpwstr>Donatas.Petroka@socmin.lt</vt:lpwstr>
  </property>
  <property fmtid="{D5CDD505-2E9C-101B-9397-08002B2CF9AE}" pid="6" name="_AuthorEmailDisplayName">
    <vt:lpwstr>Donatas Petroka</vt:lpwstr>
  </property>
  <property fmtid="{D5CDD505-2E9C-101B-9397-08002B2CF9AE}" pid="7" name="_PreviousAdHocReviewCycleID">
    <vt:i4>-1819686885</vt:i4>
  </property>
  <property fmtid="{D5CDD505-2E9C-101B-9397-08002B2CF9AE}" pid="8" name="_ReviewingToolsShownOnce">
    <vt:lpwstr/>
  </property>
</Properties>
</file>