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B9F9" w14:textId="64C0151F" w:rsidR="004B22CD" w:rsidRPr="00663B0D" w:rsidRDefault="004B22CD">
      <w:pPr>
        <w:tabs>
          <w:tab w:val="center" w:pos="4986"/>
          <w:tab w:val="right" w:pos="9972"/>
        </w:tabs>
        <w:jc w:val="center"/>
        <w:rPr>
          <w:b/>
          <w:szCs w:val="24"/>
        </w:rPr>
      </w:pPr>
    </w:p>
    <w:p w14:paraId="68ECB9FA" w14:textId="77777777" w:rsidR="004B22CD" w:rsidRPr="00663B0D" w:rsidRDefault="009152E3">
      <w:pPr>
        <w:jc w:val="center"/>
        <w:rPr>
          <w:b/>
          <w:szCs w:val="24"/>
        </w:rPr>
      </w:pPr>
      <w:r w:rsidRPr="00663B0D">
        <w:rPr>
          <w:b/>
          <w:szCs w:val="24"/>
        </w:rPr>
        <w:t>LIETUVOS RESPUBLIKOS VIDAUS REIKALŲ MINISTRAS</w:t>
      </w:r>
    </w:p>
    <w:p w14:paraId="68ECB9FB" w14:textId="77777777" w:rsidR="004B22CD" w:rsidRPr="00663B0D" w:rsidRDefault="004B22CD">
      <w:pPr>
        <w:tabs>
          <w:tab w:val="center" w:pos="4986"/>
          <w:tab w:val="right" w:pos="9972"/>
        </w:tabs>
        <w:jc w:val="center"/>
        <w:rPr>
          <w:szCs w:val="24"/>
          <w:lang w:eastAsia="lt-LT"/>
        </w:rPr>
      </w:pPr>
    </w:p>
    <w:p w14:paraId="68ECB9FC" w14:textId="77777777" w:rsidR="004B22CD" w:rsidRPr="00663B0D" w:rsidRDefault="009152E3">
      <w:pPr>
        <w:tabs>
          <w:tab w:val="center" w:pos="4986"/>
          <w:tab w:val="right" w:pos="9972"/>
        </w:tabs>
        <w:jc w:val="center"/>
        <w:rPr>
          <w:b/>
          <w:szCs w:val="24"/>
          <w:lang w:eastAsia="lt-LT"/>
        </w:rPr>
      </w:pPr>
      <w:r w:rsidRPr="00663B0D">
        <w:rPr>
          <w:b/>
          <w:szCs w:val="24"/>
          <w:lang w:eastAsia="lt-LT"/>
        </w:rPr>
        <w:t>ĮSAKYMAS</w:t>
      </w:r>
    </w:p>
    <w:p w14:paraId="68ECB9FD" w14:textId="12091F4D" w:rsidR="004B22CD" w:rsidRPr="00663B0D" w:rsidRDefault="00D1240E" w:rsidP="00AD5D88">
      <w:pPr>
        <w:tabs>
          <w:tab w:val="center" w:pos="4986"/>
          <w:tab w:val="right" w:pos="9972"/>
        </w:tabs>
        <w:jc w:val="center"/>
        <w:rPr>
          <w:b/>
          <w:szCs w:val="24"/>
          <w:lang w:eastAsia="lt-LT"/>
        </w:rPr>
      </w:pPr>
      <w:r w:rsidRPr="00663B0D">
        <w:rPr>
          <w:b/>
          <w:szCs w:val="24"/>
          <w:lang w:eastAsia="lt-LT"/>
        </w:rPr>
        <w:t xml:space="preserve">DĖL </w:t>
      </w:r>
      <w:r w:rsidR="008C564E" w:rsidRPr="008C564E">
        <w:rPr>
          <w:b/>
          <w:szCs w:val="24"/>
          <w:lang w:eastAsia="lt-LT"/>
        </w:rPr>
        <w:t xml:space="preserve">VIDAUS REIKALŲ </w:t>
      </w:r>
      <w:r w:rsidR="00AD5D88" w:rsidRPr="00AD5D88">
        <w:rPr>
          <w:b/>
          <w:szCs w:val="24"/>
          <w:lang w:eastAsia="lt-LT"/>
        </w:rPr>
        <w:t xml:space="preserve">MINISTRO 2016 M. VASARIO 2 D. ĮSAKYMO NR. 1V-74 „DĖL 2014–2020 METŲ EUROPOS SĄJUNGOS FONDŲ INVESTICIJŲ VEIKSMŲ PROGRAMOS 10 PRIORITETO „VISUOMENĖS POREIKIUS ATITINKANTIS IR PAŽANGUS VIEŠASIS VALDYMAS“ NR. 10.1.5-ESFA-V-923 PRIEMONĖS „ŽMOGIŠKŲJŲ IŠTEKLIŲ VALDYMO TOBULINIMAS VALSTYBINĖJE TARNYBOJE SISTEMINIU LYGMENIU“ PROJEKTŲ FINANSAVIMO SĄLYGŲ APRAŠO PATVIRTINIMO“ </w:t>
      </w:r>
      <w:r w:rsidR="00F80F2A" w:rsidRPr="00663B0D">
        <w:rPr>
          <w:b/>
          <w:szCs w:val="24"/>
          <w:lang w:eastAsia="lt-LT"/>
        </w:rPr>
        <w:t>PAKEITIMO</w:t>
      </w:r>
    </w:p>
    <w:p w14:paraId="68ECB9FE" w14:textId="77777777" w:rsidR="004B22CD" w:rsidRPr="00663B0D" w:rsidRDefault="004B22CD">
      <w:pPr>
        <w:tabs>
          <w:tab w:val="center" w:pos="4986"/>
          <w:tab w:val="right" w:pos="9972"/>
        </w:tabs>
        <w:jc w:val="center"/>
        <w:rPr>
          <w:szCs w:val="24"/>
          <w:lang w:eastAsia="lt-LT"/>
        </w:rPr>
      </w:pPr>
    </w:p>
    <w:p w14:paraId="68ECB9FF" w14:textId="77777777" w:rsidR="004B22CD" w:rsidRPr="00663B0D" w:rsidRDefault="009152E3">
      <w:pPr>
        <w:tabs>
          <w:tab w:val="center" w:pos="4986"/>
          <w:tab w:val="right" w:pos="9972"/>
        </w:tabs>
        <w:jc w:val="center"/>
        <w:rPr>
          <w:szCs w:val="24"/>
          <w:lang w:eastAsia="lt-LT"/>
        </w:rPr>
      </w:pPr>
      <w:r w:rsidRPr="00663B0D">
        <w:rPr>
          <w:szCs w:val="24"/>
          <w:lang w:eastAsia="lt-LT"/>
        </w:rPr>
        <w:t xml:space="preserve">Nr. </w:t>
      </w:r>
    </w:p>
    <w:p w14:paraId="68ECBA00" w14:textId="77777777" w:rsidR="004B22CD" w:rsidRPr="00663B0D" w:rsidRDefault="009152E3">
      <w:pPr>
        <w:tabs>
          <w:tab w:val="center" w:pos="4819"/>
          <w:tab w:val="center" w:pos="4986"/>
          <w:tab w:val="right" w:pos="9972"/>
        </w:tabs>
        <w:jc w:val="center"/>
        <w:rPr>
          <w:b/>
          <w:szCs w:val="24"/>
          <w:lang w:eastAsia="lt-LT"/>
        </w:rPr>
      </w:pPr>
      <w:r w:rsidRPr="00663B0D">
        <w:rPr>
          <w:szCs w:val="24"/>
          <w:lang w:eastAsia="lt-LT"/>
        </w:rPr>
        <w:t>Vilnius</w:t>
      </w:r>
    </w:p>
    <w:p w14:paraId="68ECBA01" w14:textId="77777777" w:rsidR="004B22CD" w:rsidRPr="008A46A5" w:rsidRDefault="004B22CD">
      <w:pPr>
        <w:tabs>
          <w:tab w:val="center" w:pos="4986"/>
          <w:tab w:val="right" w:pos="9972"/>
        </w:tabs>
        <w:jc w:val="center"/>
        <w:rPr>
          <w:szCs w:val="24"/>
          <w:lang w:eastAsia="lt-LT"/>
        </w:rPr>
      </w:pPr>
    </w:p>
    <w:p w14:paraId="20E1551F" w14:textId="77777777" w:rsidR="00074326" w:rsidRDefault="00D1240E" w:rsidP="00F80F2A">
      <w:pPr>
        <w:spacing w:line="360" w:lineRule="auto"/>
        <w:ind w:firstLine="720"/>
        <w:jc w:val="both"/>
        <w:rPr>
          <w:szCs w:val="24"/>
        </w:rPr>
      </w:pPr>
      <w:r w:rsidRPr="00663B0D">
        <w:rPr>
          <w:spacing w:val="100"/>
          <w:szCs w:val="24"/>
        </w:rPr>
        <w:t>Pakeičiu</w:t>
      </w:r>
      <w:r w:rsidRPr="00663B0D" w:rsidDel="00F7489B">
        <w:rPr>
          <w:noProof/>
          <w:szCs w:val="24"/>
        </w:rPr>
        <w:t xml:space="preserve"> </w:t>
      </w:r>
      <w:r w:rsidRPr="00663B0D">
        <w:rPr>
          <w:szCs w:val="24"/>
        </w:rPr>
        <w:t xml:space="preserve">2014–2020 metų Europos Sąjungos fondų investicijų veiksmų programos 10 prioriteto „Visuomenės poreikius atitinkantis ir pažangus viešasis valdymas“ </w:t>
      </w:r>
      <w:r w:rsidRPr="00663B0D">
        <w:rPr>
          <w:szCs w:val="24"/>
        </w:rPr>
        <w:br/>
        <w:t xml:space="preserve">Nr. </w:t>
      </w:r>
      <w:r w:rsidR="00AD5D88" w:rsidRPr="00AD5D88">
        <w:rPr>
          <w:szCs w:val="24"/>
        </w:rPr>
        <w:t>10.1.5-ESFA-V-923 priemonės „Žmogiškųjų išteklių valdymo tobulinimas valstybinėje tarnyboje sisteminiu lygmeniu“ projektų finansavimo sąlygų aprašą, patvirtintą Lietuvos Respublikos vidaus reikalų ministro 2016 m. vasario 2 d. įsakymu Nr. 1V–74 „Dėl 2014–2020 metų Europos Sąjungos fondų investicijų veiksmų programos 10 prioriteto „Visuomenės poreikius atitinkantis ir pažangus viešasis valdymas“ Nr. 10.1.5-ESFA-V-923 priemonės „Žmogiškųjų išteklių valdymo tobulinimas valstybinėje tarnyboje sisteminiu lygmeniu“ projektų finansavimo sąlygų aprašo patvirtinimo“</w:t>
      </w:r>
      <w:r w:rsidR="00074326">
        <w:rPr>
          <w:szCs w:val="24"/>
        </w:rPr>
        <w:t>:</w:t>
      </w:r>
    </w:p>
    <w:p w14:paraId="5EE56713" w14:textId="2EE2D1BB" w:rsidR="004C3960" w:rsidRDefault="00074326" w:rsidP="00F80F2A">
      <w:pPr>
        <w:spacing w:line="360" w:lineRule="auto"/>
        <w:ind w:firstLine="720"/>
        <w:jc w:val="both"/>
        <w:rPr>
          <w:szCs w:val="24"/>
        </w:rPr>
      </w:pPr>
      <w:r>
        <w:rPr>
          <w:szCs w:val="24"/>
        </w:rPr>
        <w:t xml:space="preserve">1. </w:t>
      </w:r>
      <w:r w:rsidR="004C3960">
        <w:rPr>
          <w:szCs w:val="24"/>
        </w:rPr>
        <w:t>Pakeičiu 8 punktą ir jį išdėstau taip:</w:t>
      </w:r>
    </w:p>
    <w:p w14:paraId="4E94B04D" w14:textId="1F5B583D" w:rsidR="004C3960" w:rsidRDefault="004C3960" w:rsidP="00F80F2A">
      <w:pPr>
        <w:spacing w:line="360" w:lineRule="auto"/>
        <w:ind w:firstLine="720"/>
        <w:jc w:val="both"/>
        <w:rPr>
          <w:szCs w:val="24"/>
        </w:rPr>
      </w:pPr>
      <w:r>
        <w:rPr>
          <w:szCs w:val="24"/>
        </w:rPr>
        <w:t xml:space="preserve">„8. </w:t>
      </w:r>
      <w:r w:rsidRPr="004C3960">
        <w:rPr>
          <w:szCs w:val="24"/>
        </w:rPr>
        <w:t>Pagal Aprašą projektams įgyvendinti numatoma skirti iki 2 354 352 eurų (dviejų milijonų trijų šimtų penkiasdešimt keturių tūkstančių trijų šimtų penkiasdešimt dviejų eurų) Europos socialinio fondo lėšų.</w:t>
      </w:r>
      <w:r>
        <w:rPr>
          <w:szCs w:val="24"/>
        </w:rPr>
        <w:t xml:space="preserve"> </w:t>
      </w:r>
      <w:r w:rsidRPr="004C3960">
        <w:rPr>
          <w:szCs w:val="24"/>
        </w:rPr>
        <w:t>Atsižvelgiant į Lietuvos Respublikos Vyriausybės 2014 m. lapkričio 26 d. nutarimo Nr.</w:t>
      </w:r>
      <w:r>
        <w:rPr>
          <w:szCs w:val="24"/>
        </w:rPr>
        <w:t> </w:t>
      </w:r>
      <w:r w:rsidRPr="004C3960">
        <w:rPr>
          <w:szCs w:val="24"/>
        </w:rPr>
        <w:t xml:space="preserve">1326 „Dėl 2014–2020 metų Europos Sąjungos fondų investicijų veiksmų programos priedo patvirtinimo“ 9 punktą, pagal Aprašą pasirašant projektų sutartis, leidžiama papildomai skirti iki </w:t>
      </w:r>
      <w:r>
        <w:rPr>
          <w:szCs w:val="24"/>
        </w:rPr>
        <w:t>480 000</w:t>
      </w:r>
      <w:r w:rsidRPr="004C3960">
        <w:rPr>
          <w:szCs w:val="24"/>
        </w:rPr>
        <w:t xml:space="preserve"> eurų (</w:t>
      </w:r>
      <w:r>
        <w:rPr>
          <w:szCs w:val="24"/>
        </w:rPr>
        <w:t>keturių šimtų aštuoniasdešimties</w:t>
      </w:r>
      <w:r w:rsidRPr="004C3960">
        <w:rPr>
          <w:szCs w:val="24"/>
        </w:rPr>
        <w:t xml:space="preserve"> tūkstančių eurų), iš kurių </w:t>
      </w:r>
      <w:r>
        <w:rPr>
          <w:szCs w:val="24"/>
        </w:rPr>
        <w:t>408 000</w:t>
      </w:r>
      <w:r w:rsidRPr="004C3960">
        <w:rPr>
          <w:szCs w:val="24"/>
        </w:rPr>
        <w:t xml:space="preserve"> eurų (</w:t>
      </w:r>
      <w:r>
        <w:rPr>
          <w:szCs w:val="24"/>
        </w:rPr>
        <w:t>keturi</w:t>
      </w:r>
      <w:r w:rsidRPr="004C3960">
        <w:rPr>
          <w:szCs w:val="24"/>
        </w:rPr>
        <w:t xml:space="preserve"> šimtai </w:t>
      </w:r>
      <w:r>
        <w:rPr>
          <w:szCs w:val="24"/>
        </w:rPr>
        <w:t>aštuoni</w:t>
      </w:r>
      <w:r w:rsidRPr="004C3960">
        <w:rPr>
          <w:szCs w:val="24"/>
        </w:rPr>
        <w:t xml:space="preserve"> tūkstanči</w:t>
      </w:r>
      <w:r>
        <w:rPr>
          <w:szCs w:val="24"/>
        </w:rPr>
        <w:t>ai</w:t>
      </w:r>
      <w:r w:rsidRPr="004C3960">
        <w:rPr>
          <w:szCs w:val="24"/>
        </w:rPr>
        <w:t xml:space="preserve"> eurų) – Europos Sąjungos struktūrinių fondų (Europos socialinio fondo lėšos), </w:t>
      </w:r>
      <w:r>
        <w:rPr>
          <w:szCs w:val="24"/>
        </w:rPr>
        <w:t>72 000</w:t>
      </w:r>
      <w:r w:rsidRPr="004C3960">
        <w:rPr>
          <w:szCs w:val="24"/>
        </w:rPr>
        <w:t xml:space="preserve"> eur</w:t>
      </w:r>
      <w:r>
        <w:rPr>
          <w:szCs w:val="24"/>
        </w:rPr>
        <w:t>ų</w:t>
      </w:r>
      <w:r w:rsidRPr="004C3960">
        <w:rPr>
          <w:szCs w:val="24"/>
        </w:rPr>
        <w:t xml:space="preserve"> (</w:t>
      </w:r>
      <w:r>
        <w:rPr>
          <w:szCs w:val="24"/>
        </w:rPr>
        <w:t>septyniasdešimt</w:t>
      </w:r>
      <w:r w:rsidRPr="004C3960">
        <w:rPr>
          <w:szCs w:val="24"/>
        </w:rPr>
        <w:t xml:space="preserve"> du tūkstančiai </w:t>
      </w:r>
      <w:r>
        <w:rPr>
          <w:szCs w:val="24"/>
        </w:rPr>
        <w:t>eurų</w:t>
      </w:r>
      <w:r w:rsidRPr="004C3960">
        <w:rPr>
          <w:szCs w:val="24"/>
        </w:rPr>
        <w:t>) – Lietuvos Respublikos valstybės biudžeto lėšos.</w:t>
      </w:r>
      <w:r>
        <w:rPr>
          <w:szCs w:val="24"/>
        </w:rPr>
        <w:t>“</w:t>
      </w:r>
    </w:p>
    <w:p w14:paraId="03290457" w14:textId="26587338" w:rsidR="003A564C" w:rsidRDefault="004C3960" w:rsidP="00F80F2A">
      <w:pPr>
        <w:spacing w:line="360" w:lineRule="auto"/>
        <w:ind w:firstLine="720"/>
        <w:jc w:val="both"/>
        <w:rPr>
          <w:szCs w:val="24"/>
        </w:rPr>
      </w:pPr>
      <w:r>
        <w:rPr>
          <w:szCs w:val="24"/>
        </w:rPr>
        <w:t xml:space="preserve">2. </w:t>
      </w:r>
      <w:r w:rsidR="003A564C" w:rsidRPr="003A564C">
        <w:rPr>
          <w:szCs w:val="24"/>
        </w:rPr>
        <w:t>Pripažįstu netekusiu galios 11.3 papunktį.</w:t>
      </w:r>
      <w:bookmarkStart w:id="0" w:name="_GoBack"/>
      <w:bookmarkEnd w:id="0"/>
    </w:p>
    <w:p w14:paraId="68ECBA02" w14:textId="58BB7FCE" w:rsidR="004B22CD" w:rsidRPr="00663B0D" w:rsidRDefault="003A564C" w:rsidP="00F80F2A">
      <w:pPr>
        <w:spacing w:line="360" w:lineRule="auto"/>
        <w:ind w:firstLine="720"/>
        <w:jc w:val="both"/>
        <w:rPr>
          <w:szCs w:val="24"/>
          <w:lang w:eastAsia="lt-LT"/>
        </w:rPr>
      </w:pPr>
      <w:r>
        <w:rPr>
          <w:szCs w:val="24"/>
        </w:rPr>
        <w:t xml:space="preserve">3. </w:t>
      </w:r>
      <w:r w:rsidR="00074326">
        <w:rPr>
          <w:szCs w:val="24"/>
        </w:rPr>
        <w:t>Pakeičiu</w:t>
      </w:r>
      <w:r w:rsidR="00992908" w:rsidRPr="00992908">
        <w:rPr>
          <w:szCs w:val="24"/>
        </w:rPr>
        <w:t xml:space="preserve"> </w:t>
      </w:r>
      <w:r w:rsidR="00074326">
        <w:rPr>
          <w:szCs w:val="24"/>
        </w:rPr>
        <w:t>13</w:t>
      </w:r>
      <w:r w:rsidR="00992908" w:rsidRPr="00992908">
        <w:rPr>
          <w:szCs w:val="24"/>
        </w:rPr>
        <w:t xml:space="preserve"> punktą</w:t>
      </w:r>
      <w:r w:rsidR="00074326">
        <w:rPr>
          <w:szCs w:val="24"/>
        </w:rPr>
        <w:t xml:space="preserve"> ir jį </w:t>
      </w:r>
      <w:r w:rsidR="00992908" w:rsidRPr="00992908">
        <w:rPr>
          <w:szCs w:val="24"/>
        </w:rPr>
        <w:t>išdėstau taip</w:t>
      </w:r>
      <w:r w:rsidR="00D1240E" w:rsidRPr="00663B0D">
        <w:rPr>
          <w:szCs w:val="24"/>
          <w:lang w:eastAsia="lt-LT"/>
        </w:rPr>
        <w:t>:</w:t>
      </w:r>
    </w:p>
    <w:p w14:paraId="6F14473D" w14:textId="77777777" w:rsidR="00074326" w:rsidRDefault="0086048C" w:rsidP="00397A6F">
      <w:pPr>
        <w:suppressAutoHyphens/>
        <w:spacing w:line="360" w:lineRule="auto"/>
        <w:ind w:firstLine="709"/>
        <w:jc w:val="both"/>
        <w:textAlignment w:val="center"/>
        <w:rPr>
          <w:szCs w:val="24"/>
          <w:lang w:eastAsia="lt-LT"/>
        </w:rPr>
      </w:pPr>
      <w:r w:rsidRPr="00663B0D">
        <w:rPr>
          <w:color w:val="000000"/>
          <w:szCs w:val="24"/>
          <w:lang w:eastAsia="lt-LT"/>
        </w:rPr>
        <w:t>„</w:t>
      </w:r>
      <w:r w:rsidR="00074326" w:rsidRPr="00074326">
        <w:rPr>
          <w:color w:val="000000"/>
          <w:szCs w:val="24"/>
          <w:lang w:eastAsia="lt-LT"/>
        </w:rPr>
        <w:t>13. Pagal Aprašą galimi pareiškėjai yra valstybės institucijos ir įstaigos, kurios įgaliotos formuoti, dalyvauti formuojant ar įgyvendinti valstybės politiką valstybės tarnybos (įskaitant statutinius valstybės tarnautojus) valdymo, teismų sistemos, prokuratūros ar krašto gynybos srityse ir kurios atitinka Aprašo 16 punkte nurodytus reikalavimus projekto vykdytojui</w:t>
      </w:r>
      <w:r w:rsidR="00074326">
        <w:rPr>
          <w:color w:val="000000"/>
          <w:szCs w:val="24"/>
          <w:lang w:eastAsia="lt-LT"/>
        </w:rPr>
        <w:t>.</w:t>
      </w:r>
      <w:r w:rsidR="00976AB1">
        <w:rPr>
          <w:szCs w:val="24"/>
          <w:lang w:eastAsia="lt-LT"/>
        </w:rPr>
        <w:t>“</w:t>
      </w:r>
    </w:p>
    <w:p w14:paraId="7FDFF713" w14:textId="50974A6A" w:rsidR="00074326" w:rsidRDefault="003A564C" w:rsidP="00397A6F">
      <w:pPr>
        <w:suppressAutoHyphens/>
        <w:spacing w:line="360" w:lineRule="auto"/>
        <w:ind w:firstLine="709"/>
        <w:jc w:val="both"/>
        <w:textAlignment w:val="center"/>
      </w:pPr>
      <w:r>
        <w:t>4</w:t>
      </w:r>
      <w:r w:rsidR="00074326">
        <w:t>. Papildau 13</w:t>
      </w:r>
      <w:r w:rsidR="00074326">
        <w:rPr>
          <w:vertAlign w:val="superscript"/>
          <w:lang w:val="en-US"/>
        </w:rPr>
        <w:t>1</w:t>
      </w:r>
      <w:r w:rsidR="00074326">
        <w:t xml:space="preserve"> punktu:</w:t>
      </w:r>
    </w:p>
    <w:p w14:paraId="5322BD41" w14:textId="77777777" w:rsidR="00074326" w:rsidRDefault="00074326" w:rsidP="00397A6F">
      <w:pPr>
        <w:suppressAutoHyphens/>
        <w:spacing w:line="360" w:lineRule="auto"/>
        <w:ind w:firstLine="709"/>
        <w:jc w:val="both"/>
        <w:textAlignment w:val="center"/>
      </w:pPr>
      <w:r>
        <w:lastRenderedPageBreak/>
        <w:t>„13</w:t>
      </w:r>
      <w:r>
        <w:rPr>
          <w:vertAlign w:val="superscript"/>
          <w:lang w:val="en-US"/>
        </w:rPr>
        <w:t>1</w:t>
      </w:r>
      <w:r>
        <w:rPr>
          <w:lang w:val="en-US"/>
        </w:rPr>
        <w:t>.</w:t>
      </w:r>
      <w:r>
        <w:t xml:space="preserve"> </w:t>
      </w:r>
      <w:r w:rsidRPr="00074326">
        <w:t>Pagal Aprašą galimi partneriai</w:t>
      </w:r>
      <w:r>
        <w:t>:</w:t>
      </w:r>
    </w:p>
    <w:p w14:paraId="7CC887E0" w14:textId="11EF8C30" w:rsidR="00074326" w:rsidRDefault="00074326" w:rsidP="00397A6F">
      <w:pPr>
        <w:suppressAutoHyphens/>
        <w:spacing w:line="360" w:lineRule="auto"/>
        <w:ind w:firstLine="709"/>
        <w:jc w:val="both"/>
        <w:textAlignment w:val="center"/>
      </w:pPr>
      <w:r>
        <w:t>13</w:t>
      </w:r>
      <w:r>
        <w:rPr>
          <w:vertAlign w:val="superscript"/>
          <w:lang w:val="en-US"/>
        </w:rPr>
        <w:t>1</w:t>
      </w:r>
      <w:r>
        <w:rPr>
          <w:lang w:val="en-US"/>
        </w:rPr>
        <w:t xml:space="preserve">.1. </w:t>
      </w:r>
      <w:r w:rsidRPr="00074326">
        <w:t>valstybės institucijos ir įstaigos, kurios įgaliotos formuoti, dalyvauti formuojant ar įgyvendinti valstybės politiką valstybės tarnybos (įskaitant statutinius valstybės tarnautojus) valdymo, teismų sistemos, prokuratūros ar krašto gynybos srityse</w:t>
      </w:r>
      <w:r>
        <w:t>;</w:t>
      </w:r>
    </w:p>
    <w:p w14:paraId="68ECBA0C" w14:textId="134584FC" w:rsidR="0088105A" w:rsidRPr="00397A6F" w:rsidRDefault="00074326" w:rsidP="00397A6F">
      <w:pPr>
        <w:suppressAutoHyphens/>
        <w:spacing w:line="360" w:lineRule="auto"/>
        <w:ind w:firstLine="709"/>
        <w:jc w:val="both"/>
        <w:textAlignment w:val="center"/>
        <w:rPr>
          <w:szCs w:val="24"/>
        </w:rPr>
      </w:pPr>
      <w:r>
        <w:t>13</w:t>
      </w:r>
      <w:r>
        <w:rPr>
          <w:vertAlign w:val="superscript"/>
        </w:rPr>
        <w:t>1</w:t>
      </w:r>
      <w:r>
        <w:t xml:space="preserve">.2. </w:t>
      </w:r>
      <w:r w:rsidRPr="00074326">
        <w:t>viešosios įstaigos, kurių savininkė – valstybė ir (arba) kurioms suteikti viešojo administravimo įgaliojimai</w:t>
      </w:r>
      <w:r>
        <w:t>.“</w:t>
      </w:r>
      <w:r w:rsidR="009152E3" w:rsidRPr="00663B0D">
        <w:t xml:space="preserve"> </w:t>
      </w:r>
    </w:p>
    <w:p w14:paraId="68ECBA1E" w14:textId="77777777" w:rsidR="00A53BE9" w:rsidRPr="00663B0D" w:rsidRDefault="00A53BE9" w:rsidP="00976AB1">
      <w:pPr>
        <w:ind w:firstLine="851"/>
        <w:jc w:val="both"/>
        <w:rPr>
          <w:szCs w:val="24"/>
        </w:rPr>
      </w:pPr>
    </w:p>
    <w:p w14:paraId="68ECBA1F" w14:textId="77777777" w:rsidR="00845EBC" w:rsidRPr="00663B0D" w:rsidRDefault="00845EBC" w:rsidP="00976AB1">
      <w:pPr>
        <w:jc w:val="both"/>
        <w:rPr>
          <w:szCs w:val="24"/>
        </w:rPr>
      </w:pPr>
    </w:p>
    <w:p w14:paraId="68ECBA20" w14:textId="77777777" w:rsidR="00845EBC" w:rsidRPr="00663B0D" w:rsidRDefault="00845EBC" w:rsidP="00976AB1">
      <w:pPr>
        <w:jc w:val="both"/>
        <w:rPr>
          <w:szCs w:val="24"/>
        </w:rPr>
      </w:pPr>
    </w:p>
    <w:p w14:paraId="68ECBA21" w14:textId="677A27CB" w:rsidR="00A53BE9" w:rsidRPr="00663B0D" w:rsidRDefault="00A53BE9" w:rsidP="007C2B52">
      <w:pPr>
        <w:spacing w:line="360" w:lineRule="auto"/>
        <w:jc w:val="both"/>
        <w:rPr>
          <w:rFonts w:eastAsia="Calibri"/>
          <w:szCs w:val="24"/>
        </w:rPr>
      </w:pPr>
      <w:r w:rsidRPr="00663B0D">
        <w:rPr>
          <w:szCs w:val="24"/>
        </w:rPr>
        <w:t>Vidaus reikalų ministr</w:t>
      </w:r>
      <w:r w:rsidR="00397A6F">
        <w:rPr>
          <w:szCs w:val="24"/>
        </w:rPr>
        <w:t>as</w:t>
      </w:r>
      <w:r w:rsidR="005651B8" w:rsidRPr="00663B0D">
        <w:rPr>
          <w:szCs w:val="24"/>
        </w:rPr>
        <w:t xml:space="preserve">                                                                                          </w:t>
      </w:r>
    </w:p>
    <w:p w14:paraId="68ECBBEA" w14:textId="77777777" w:rsidR="004B22CD" w:rsidRPr="00663B0D" w:rsidRDefault="004B22CD" w:rsidP="00397A6F">
      <w:pPr>
        <w:rPr>
          <w:snapToGrid w:val="0"/>
        </w:rPr>
      </w:pPr>
    </w:p>
    <w:sectPr w:rsidR="004B22CD" w:rsidRPr="00663B0D" w:rsidSect="00397A6F">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0D5F5" w14:textId="77777777" w:rsidR="00237E50" w:rsidRDefault="00237E50">
      <w:pPr>
        <w:rPr>
          <w:rFonts w:ascii="Calibri" w:hAnsi="Calibri"/>
          <w:sz w:val="22"/>
          <w:szCs w:val="22"/>
          <w:lang w:eastAsia="lt-LT"/>
        </w:rPr>
      </w:pPr>
      <w:r>
        <w:rPr>
          <w:rFonts w:ascii="Calibri" w:hAnsi="Calibri"/>
          <w:sz w:val="22"/>
          <w:szCs w:val="22"/>
          <w:lang w:eastAsia="lt-LT"/>
        </w:rPr>
        <w:separator/>
      </w:r>
    </w:p>
  </w:endnote>
  <w:endnote w:type="continuationSeparator" w:id="0">
    <w:p w14:paraId="3B6CE8B5" w14:textId="77777777" w:rsidR="00237E50" w:rsidRDefault="00237E50">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7E87" w14:textId="77777777" w:rsidR="00237E50" w:rsidRDefault="00237E50">
      <w:pPr>
        <w:rPr>
          <w:rFonts w:ascii="Calibri" w:hAnsi="Calibri"/>
          <w:sz w:val="22"/>
          <w:szCs w:val="22"/>
          <w:lang w:eastAsia="lt-LT"/>
        </w:rPr>
      </w:pPr>
      <w:r>
        <w:rPr>
          <w:rFonts w:ascii="Calibri" w:hAnsi="Calibri"/>
          <w:sz w:val="22"/>
          <w:szCs w:val="22"/>
          <w:lang w:eastAsia="lt-LT"/>
        </w:rPr>
        <w:separator/>
      </w:r>
    </w:p>
  </w:footnote>
  <w:footnote w:type="continuationSeparator" w:id="0">
    <w:p w14:paraId="1557DC7E" w14:textId="77777777" w:rsidR="00237E50" w:rsidRDefault="00237E50">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BBF8" w14:textId="072F7DBC" w:rsidR="006A5088" w:rsidRPr="00E77949" w:rsidRDefault="00CB231D" w:rsidP="00CB231D">
    <w:pPr>
      <w:pStyle w:val="Antrats"/>
      <w:jc w:val="right"/>
      <w:rPr>
        <w:rFonts w:ascii="Times New Roman" w:hAnsi="Times New Roman"/>
        <w:b/>
        <w:sz w:val="24"/>
        <w:szCs w:val="24"/>
      </w:rPr>
    </w:pPr>
    <w:r w:rsidRPr="00E77949">
      <w:rPr>
        <w:rFonts w:ascii="Times New Roman" w:hAnsi="Times New Roman"/>
        <w:b/>
        <w:sz w:val="24"/>
        <w:szCs w:val="24"/>
      </w:rPr>
      <w:t xml:space="preserve">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F34BA"/>
    <w:multiLevelType w:val="hybridMultilevel"/>
    <w:tmpl w:val="3724DF62"/>
    <w:lvl w:ilvl="0" w:tplc="98547EDC">
      <w:start w:val="10"/>
      <w:numFmt w:val="bullet"/>
      <w:lvlText w:val=""/>
      <w:lvlJc w:val="left"/>
      <w:pPr>
        <w:ind w:left="7365" w:hanging="7005"/>
      </w:pPr>
      <w:rPr>
        <w:rFonts w:ascii="Symbol" w:eastAsiaTheme="minorEastAsia" w:hAnsi="Symbol" w:cs="Times New Roman" w:hint="default"/>
        <w:b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 w15:restartNumberingAfterBreak="0">
    <w:nsid w:val="6A15765A"/>
    <w:multiLevelType w:val="hybridMultilevel"/>
    <w:tmpl w:val="8A486268"/>
    <w:lvl w:ilvl="0" w:tplc="B1F244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1E"/>
    <w:rsid w:val="0000339F"/>
    <w:rsid w:val="000075DE"/>
    <w:rsid w:val="00012A53"/>
    <w:rsid w:val="00074326"/>
    <w:rsid w:val="000869AC"/>
    <w:rsid w:val="00103C57"/>
    <w:rsid w:val="001040EE"/>
    <w:rsid w:val="001151B0"/>
    <w:rsid w:val="00135CB0"/>
    <w:rsid w:val="001414F5"/>
    <w:rsid w:val="00160CC4"/>
    <w:rsid w:val="00186ECF"/>
    <w:rsid w:val="001A79EB"/>
    <w:rsid w:val="00202192"/>
    <w:rsid w:val="00237E50"/>
    <w:rsid w:val="002E5360"/>
    <w:rsid w:val="00303BC9"/>
    <w:rsid w:val="00355608"/>
    <w:rsid w:val="00397A6F"/>
    <w:rsid w:val="003A564C"/>
    <w:rsid w:val="003B2802"/>
    <w:rsid w:val="00416F79"/>
    <w:rsid w:val="0043597A"/>
    <w:rsid w:val="00441F97"/>
    <w:rsid w:val="00487D0F"/>
    <w:rsid w:val="004B22CD"/>
    <w:rsid w:val="004C3960"/>
    <w:rsid w:val="00504B55"/>
    <w:rsid w:val="005651B8"/>
    <w:rsid w:val="005E5C6F"/>
    <w:rsid w:val="005E661B"/>
    <w:rsid w:val="005E7743"/>
    <w:rsid w:val="006211EA"/>
    <w:rsid w:val="006437B4"/>
    <w:rsid w:val="00663B0D"/>
    <w:rsid w:val="0066502E"/>
    <w:rsid w:val="00674D6C"/>
    <w:rsid w:val="006A5088"/>
    <w:rsid w:val="006A7AF3"/>
    <w:rsid w:val="00782BBF"/>
    <w:rsid w:val="0079478B"/>
    <w:rsid w:val="007B06F0"/>
    <w:rsid w:val="007B0DFE"/>
    <w:rsid w:val="007C005A"/>
    <w:rsid w:val="007C2B52"/>
    <w:rsid w:val="007C4D83"/>
    <w:rsid w:val="00804B01"/>
    <w:rsid w:val="0083637B"/>
    <w:rsid w:val="00845EBC"/>
    <w:rsid w:val="0086048C"/>
    <w:rsid w:val="00872427"/>
    <w:rsid w:val="0088105A"/>
    <w:rsid w:val="008A46A5"/>
    <w:rsid w:val="008A4C2D"/>
    <w:rsid w:val="008C3CEF"/>
    <w:rsid w:val="008C5121"/>
    <w:rsid w:val="008C564E"/>
    <w:rsid w:val="009152E3"/>
    <w:rsid w:val="00915410"/>
    <w:rsid w:val="009535AA"/>
    <w:rsid w:val="009734F4"/>
    <w:rsid w:val="00973A24"/>
    <w:rsid w:val="00976AB1"/>
    <w:rsid w:val="00992908"/>
    <w:rsid w:val="00A25DDE"/>
    <w:rsid w:val="00A3297B"/>
    <w:rsid w:val="00A401EC"/>
    <w:rsid w:val="00A475AD"/>
    <w:rsid w:val="00A53BE9"/>
    <w:rsid w:val="00A74AFB"/>
    <w:rsid w:val="00AA479E"/>
    <w:rsid w:val="00AD5D88"/>
    <w:rsid w:val="00B039B1"/>
    <w:rsid w:val="00B2771E"/>
    <w:rsid w:val="00B4535B"/>
    <w:rsid w:val="00BA383A"/>
    <w:rsid w:val="00BE1732"/>
    <w:rsid w:val="00C11A03"/>
    <w:rsid w:val="00C22E2B"/>
    <w:rsid w:val="00C372FA"/>
    <w:rsid w:val="00C65B69"/>
    <w:rsid w:val="00C65D42"/>
    <w:rsid w:val="00C847C5"/>
    <w:rsid w:val="00CB231D"/>
    <w:rsid w:val="00CB3D6D"/>
    <w:rsid w:val="00D1240E"/>
    <w:rsid w:val="00D555CF"/>
    <w:rsid w:val="00D571B8"/>
    <w:rsid w:val="00DD40D3"/>
    <w:rsid w:val="00E16438"/>
    <w:rsid w:val="00E34606"/>
    <w:rsid w:val="00E5522D"/>
    <w:rsid w:val="00E77949"/>
    <w:rsid w:val="00E9383C"/>
    <w:rsid w:val="00EF4D9C"/>
    <w:rsid w:val="00F0792F"/>
    <w:rsid w:val="00F80F2A"/>
    <w:rsid w:val="00FA7D44"/>
    <w:rsid w:val="00FB3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ECB9F9"/>
  <w15:docId w15:val="{5FB1802A-D6C8-4D7E-BE3B-56A606EF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D1240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1240E"/>
    <w:rPr>
      <w:rFonts w:asciiTheme="minorHAnsi" w:eastAsiaTheme="minorEastAsia" w:hAnsiTheme="minorHAnsi"/>
      <w:sz w:val="22"/>
      <w:szCs w:val="22"/>
      <w:lang w:eastAsia="lt-LT"/>
    </w:rPr>
  </w:style>
  <w:style w:type="paragraph" w:styleId="Antrat">
    <w:name w:val="caption"/>
    <w:basedOn w:val="prastasis"/>
    <w:next w:val="prastasis"/>
    <w:unhideWhenUsed/>
    <w:qFormat/>
    <w:rsid w:val="00D1240E"/>
    <w:pPr>
      <w:jc w:val="center"/>
    </w:pPr>
    <w:rPr>
      <w:b/>
      <w:sz w:val="28"/>
    </w:rPr>
  </w:style>
  <w:style w:type="character" w:styleId="Hipersaitas">
    <w:name w:val="Hyperlink"/>
    <w:basedOn w:val="Numatytasispastraiposriftas"/>
    <w:uiPriority w:val="99"/>
    <w:unhideWhenUsed/>
    <w:rsid w:val="00D1240E"/>
    <w:rPr>
      <w:color w:val="0000FF" w:themeColor="hyperlink"/>
      <w:u w:val="single"/>
    </w:rPr>
  </w:style>
  <w:style w:type="paragraph" w:styleId="Sraopastraipa">
    <w:name w:val="List Paragraph"/>
    <w:basedOn w:val="prastasis"/>
    <w:qFormat/>
    <w:rsid w:val="00487D0F"/>
    <w:pPr>
      <w:ind w:left="720"/>
      <w:contextualSpacing/>
    </w:pPr>
  </w:style>
  <w:style w:type="character" w:styleId="Komentaronuoroda">
    <w:name w:val="annotation reference"/>
    <w:semiHidden/>
    <w:unhideWhenUsed/>
    <w:rsid w:val="00973A24"/>
    <w:rPr>
      <w:sz w:val="16"/>
      <w:szCs w:val="16"/>
    </w:rPr>
  </w:style>
  <w:style w:type="paragraph" w:styleId="Komentarotekstas">
    <w:name w:val="annotation text"/>
    <w:basedOn w:val="prastasis"/>
    <w:link w:val="KomentarotekstasDiagrama"/>
    <w:unhideWhenUsed/>
    <w:rsid w:val="00973A24"/>
    <w:pPr>
      <w:spacing w:after="200" w:line="276" w:lineRule="auto"/>
    </w:pPr>
    <w:rPr>
      <w:rFonts w:ascii="Calibri" w:eastAsia="Calibri" w:hAnsi="Calibri"/>
      <w:sz w:val="20"/>
    </w:rPr>
  </w:style>
  <w:style w:type="character" w:customStyle="1" w:styleId="KomentarotekstasDiagrama">
    <w:name w:val="Komentaro tekstas Diagrama"/>
    <w:basedOn w:val="Numatytasispastraiposriftas"/>
    <w:link w:val="Komentarotekstas"/>
    <w:rsid w:val="00973A24"/>
    <w:rPr>
      <w:rFonts w:ascii="Calibri" w:eastAsia="Calibri" w:hAnsi="Calibri"/>
      <w:sz w:val="20"/>
    </w:rPr>
  </w:style>
  <w:style w:type="paragraph" w:styleId="Porat">
    <w:name w:val="footer"/>
    <w:basedOn w:val="prastasis"/>
    <w:link w:val="PoratDiagrama"/>
    <w:unhideWhenUsed/>
    <w:rsid w:val="00973A24"/>
    <w:pPr>
      <w:tabs>
        <w:tab w:val="center" w:pos="4819"/>
        <w:tab w:val="right" w:pos="9638"/>
      </w:tabs>
    </w:pPr>
  </w:style>
  <w:style w:type="character" w:customStyle="1" w:styleId="PoratDiagrama">
    <w:name w:val="Poraštė Diagrama"/>
    <w:basedOn w:val="Numatytasispastraiposriftas"/>
    <w:link w:val="Porat"/>
    <w:rsid w:val="0097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1192957930">
      <w:bodyDiv w:val="1"/>
      <w:marLeft w:val="0"/>
      <w:marRight w:val="0"/>
      <w:marTop w:val="0"/>
      <w:marBottom w:val="0"/>
      <w:divBdr>
        <w:top w:val="none" w:sz="0" w:space="0" w:color="auto"/>
        <w:left w:val="none" w:sz="0" w:space="0" w:color="auto"/>
        <w:bottom w:val="none" w:sz="0" w:space="0" w:color="auto"/>
        <w:right w:val="none" w:sz="0" w:space="0" w:color="auto"/>
      </w:divBdr>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24A99E2-C4AC-4C1C-9032-324B3588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1929</Words>
  <Characters>1100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3023</CharactersWithSpaces>
  <SharedDoc>false</SharedDoc>
  <HyperlinkBase/>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m05631</dc:creator>
  <cp:lastModifiedBy>Laimonas Gailius</cp:lastModifiedBy>
  <cp:revision>2</cp:revision>
  <cp:lastPrinted>2015-10-29T07:50:00Z</cp:lastPrinted>
  <dcterms:created xsi:type="dcterms:W3CDTF">2021-04-06T08:19:00Z</dcterms:created>
  <dcterms:modified xsi:type="dcterms:W3CDTF">2021-04-06T08:19:00Z</dcterms:modified>
</cp:coreProperties>
</file>