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58F3A" w14:textId="77777777" w:rsidR="00EF26D3" w:rsidRPr="003878A7" w:rsidRDefault="00EF26D3" w:rsidP="00EF26D3">
      <w:pPr>
        <w:tabs>
          <w:tab w:val="left" w:pos="0"/>
        </w:tabs>
        <w:ind w:right="1133"/>
        <w:jc w:val="center"/>
        <w:rPr>
          <w:rFonts w:cs="Times New Roman"/>
          <w:b/>
          <w:sz w:val="56"/>
        </w:rPr>
      </w:pPr>
      <w:r w:rsidRPr="003878A7">
        <w:rPr>
          <w:rFonts w:cs="Times New Roman"/>
          <w:b/>
          <w:noProof/>
          <w:sz w:val="56"/>
          <w:lang w:val="en-US"/>
        </w:rPr>
        <w:drawing>
          <wp:inline distT="0" distB="0" distL="0" distR="0" wp14:anchorId="7654AFCB" wp14:editId="29E90552">
            <wp:extent cx="1485900" cy="1228725"/>
            <wp:effectExtent l="0" t="0" r="0" b="0"/>
            <wp:docPr id="31" name="Paveikslėlis 31" descr="C:\Users\SADZEV~1\AppData\Local\Temp\notes129B15\~29059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DZEV~1\AppData\Local\Temp\notes129B15\~290596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4822" cy="1227833"/>
                    </a:xfrm>
                    <a:prstGeom prst="rect">
                      <a:avLst/>
                    </a:prstGeom>
                    <a:noFill/>
                    <a:ln>
                      <a:noFill/>
                    </a:ln>
                  </pic:spPr>
                </pic:pic>
              </a:graphicData>
            </a:graphic>
          </wp:inline>
        </w:drawing>
      </w:r>
    </w:p>
    <w:p w14:paraId="6334810E" w14:textId="77777777" w:rsidR="00EF26D3" w:rsidRPr="003878A7" w:rsidRDefault="00EF26D3" w:rsidP="00EF26D3">
      <w:pPr>
        <w:tabs>
          <w:tab w:val="left" w:pos="0"/>
        </w:tabs>
        <w:ind w:right="849"/>
        <w:jc w:val="center"/>
        <w:rPr>
          <w:rFonts w:cs="Times New Roman"/>
          <w:b/>
          <w:sz w:val="56"/>
        </w:rPr>
      </w:pPr>
    </w:p>
    <w:p w14:paraId="7047DFE2" w14:textId="77777777" w:rsidR="00EF26D3" w:rsidRPr="003878A7" w:rsidRDefault="00EF26D3" w:rsidP="00EF26D3">
      <w:pPr>
        <w:tabs>
          <w:tab w:val="left" w:pos="0"/>
        </w:tabs>
        <w:ind w:right="95"/>
        <w:jc w:val="center"/>
        <w:rPr>
          <w:rFonts w:cs="Times New Roman"/>
          <w:b/>
          <w:sz w:val="56"/>
        </w:rPr>
      </w:pPr>
    </w:p>
    <w:p w14:paraId="1064CD3A" w14:textId="77777777" w:rsidR="00EF26D3" w:rsidRPr="003878A7" w:rsidRDefault="00EF26D3" w:rsidP="00EF26D3">
      <w:pPr>
        <w:tabs>
          <w:tab w:val="left" w:pos="0"/>
          <w:tab w:val="left" w:pos="8647"/>
        </w:tabs>
        <w:ind w:right="-46"/>
        <w:jc w:val="center"/>
        <w:rPr>
          <w:rFonts w:cs="Times New Roman"/>
          <w:b/>
          <w:sz w:val="56"/>
        </w:rPr>
      </w:pPr>
    </w:p>
    <w:p w14:paraId="0621E1BF" w14:textId="2B09D058" w:rsidR="00EF26D3" w:rsidRPr="003878A7" w:rsidRDefault="00357041" w:rsidP="00EF26D3">
      <w:pPr>
        <w:tabs>
          <w:tab w:val="left" w:pos="0"/>
          <w:tab w:val="left" w:pos="8647"/>
        </w:tabs>
        <w:ind w:right="-46"/>
        <w:jc w:val="center"/>
        <w:rPr>
          <w:rFonts w:cs="Times New Roman"/>
          <w:b/>
          <w:sz w:val="56"/>
          <w:szCs w:val="56"/>
        </w:rPr>
      </w:pPr>
      <w:r w:rsidRPr="003878A7">
        <w:rPr>
          <w:rFonts w:cs="Times New Roman"/>
          <w:b/>
          <w:sz w:val="56"/>
          <w:szCs w:val="56"/>
        </w:rPr>
        <w:t>Energijos efektyvumo išankstinio (ex ante) vertinimo ataskaita</w:t>
      </w:r>
    </w:p>
    <w:p w14:paraId="5CDE0E4A" w14:textId="77777777" w:rsidR="00EF26D3" w:rsidRPr="003878A7" w:rsidRDefault="00EF26D3" w:rsidP="00EF26D3">
      <w:pPr>
        <w:tabs>
          <w:tab w:val="left" w:pos="0"/>
        </w:tabs>
        <w:ind w:right="-46"/>
        <w:jc w:val="center"/>
        <w:rPr>
          <w:rFonts w:cs="Times New Roman"/>
          <w:b/>
          <w:sz w:val="56"/>
        </w:rPr>
      </w:pPr>
    </w:p>
    <w:p w14:paraId="4DD705AC" w14:textId="77777777" w:rsidR="00EF26D3" w:rsidRPr="003878A7" w:rsidRDefault="00EF26D3" w:rsidP="00EF26D3">
      <w:pPr>
        <w:tabs>
          <w:tab w:val="left" w:pos="0"/>
        </w:tabs>
        <w:ind w:right="1133"/>
        <w:jc w:val="center"/>
        <w:rPr>
          <w:rFonts w:cs="Times New Roman"/>
          <w:b/>
        </w:rPr>
      </w:pPr>
    </w:p>
    <w:p w14:paraId="4D017AB0" w14:textId="77777777" w:rsidR="00EF26D3" w:rsidRPr="003878A7" w:rsidRDefault="00EF26D3" w:rsidP="00EF26D3">
      <w:pPr>
        <w:tabs>
          <w:tab w:val="left" w:pos="0"/>
        </w:tabs>
        <w:ind w:right="1133"/>
        <w:jc w:val="center"/>
        <w:rPr>
          <w:rFonts w:cs="Times New Roman"/>
          <w:b/>
        </w:rPr>
      </w:pPr>
    </w:p>
    <w:p w14:paraId="4CCC9EA8" w14:textId="77777777" w:rsidR="00EF26D3" w:rsidRPr="003878A7" w:rsidRDefault="00EF26D3" w:rsidP="00EF26D3">
      <w:pPr>
        <w:tabs>
          <w:tab w:val="left" w:pos="0"/>
        </w:tabs>
        <w:ind w:right="1133"/>
        <w:jc w:val="center"/>
        <w:rPr>
          <w:rFonts w:cs="Times New Roman"/>
          <w:b/>
        </w:rPr>
      </w:pPr>
    </w:p>
    <w:p w14:paraId="60EF825F" w14:textId="77777777" w:rsidR="00EF26D3" w:rsidRPr="003878A7" w:rsidRDefault="00EF26D3" w:rsidP="00EF26D3">
      <w:pPr>
        <w:tabs>
          <w:tab w:val="left" w:pos="0"/>
        </w:tabs>
        <w:ind w:right="1133"/>
        <w:jc w:val="center"/>
        <w:rPr>
          <w:rFonts w:cs="Times New Roman"/>
          <w:b/>
        </w:rPr>
      </w:pPr>
    </w:p>
    <w:p w14:paraId="5F697391" w14:textId="77777777" w:rsidR="00EF26D3" w:rsidRPr="003878A7" w:rsidRDefault="00EF26D3" w:rsidP="00EF26D3">
      <w:pPr>
        <w:tabs>
          <w:tab w:val="left" w:pos="0"/>
        </w:tabs>
        <w:ind w:right="1133"/>
        <w:jc w:val="center"/>
        <w:rPr>
          <w:rFonts w:cs="Times New Roman"/>
          <w:b/>
        </w:rPr>
      </w:pPr>
    </w:p>
    <w:p w14:paraId="6B836195" w14:textId="77777777" w:rsidR="00EF26D3" w:rsidRPr="003878A7" w:rsidRDefault="00EF26D3" w:rsidP="00EF26D3">
      <w:pPr>
        <w:tabs>
          <w:tab w:val="left" w:pos="0"/>
        </w:tabs>
        <w:ind w:right="1133"/>
        <w:jc w:val="center"/>
        <w:rPr>
          <w:rFonts w:cs="Times New Roman"/>
          <w:b/>
        </w:rPr>
      </w:pPr>
    </w:p>
    <w:p w14:paraId="2A437E27" w14:textId="77777777" w:rsidR="00EF26D3" w:rsidRPr="003878A7" w:rsidRDefault="00EF26D3" w:rsidP="00EF26D3">
      <w:pPr>
        <w:tabs>
          <w:tab w:val="left" w:pos="0"/>
        </w:tabs>
        <w:ind w:right="1133"/>
        <w:jc w:val="center"/>
        <w:rPr>
          <w:rFonts w:cs="Times New Roman"/>
          <w:b/>
        </w:rPr>
      </w:pPr>
    </w:p>
    <w:p w14:paraId="7A4B5CBB" w14:textId="77777777" w:rsidR="00EF26D3" w:rsidRPr="003878A7" w:rsidRDefault="00EF26D3" w:rsidP="00EF26D3">
      <w:pPr>
        <w:tabs>
          <w:tab w:val="left" w:pos="0"/>
        </w:tabs>
        <w:ind w:right="1133"/>
        <w:jc w:val="center"/>
        <w:rPr>
          <w:rFonts w:cs="Times New Roman"/>
          <w:b/>
        </w:rPr>
      </w:pPr>
    </w:p>
    <w:p w14:paraId="38316579" w14:textId="77777777" w:rsidR="00EF26D3" w:rsidRPr="003878A7" w:rsidRDefault="00EF26D3" w:rsidP="00EF26D3">
      <w:pPr>
        <w:tabs>
          <w:tab w:val="left" w:pos="0"/>
        </w:tabs>
        <w:ind w:right="1133"/>
        <w:jc w:val="center"/>
        <w:rPr>
          <w:rFonts w:cs="Times New Roman"/>
          <w:b/>
        </w:rPr>
      </w:pPr>
    </w:p>
    <w:p w14:paraId="5A0EB064" w14:textId="77777777" w:rsidR="00EF26D3" w:rsidRPr="003878A7" w:rsidRDefault="00EF26D3" w:rsidP="00EF26D3">
      <w:pPr>
        <w:tabs>
          <w:tab w:val="left" w:pos="0"/>
        </w:tabs>
        <w:ind w:right="1133"/>
        <w:jc w:val="center"/>
        <w:rPr>
          <w:rFonts w:cs="Times New Roman"/>
          <w:b/>
        </w:rPr>
      </w:pPr>
    </w:p>
    <w:p w14:paraId="0091D994" w14:textId="0550EBC6" w:rsidR="00EF26D3" w:rsidRPr="003878A7" w:rsidRDefault="00025A6E" w:rsidP="00EF26D3">
      <w:pPr>
        <w:tabs>
          <w:tab w:val="left" w:pos="0"/>
        </w:tabs>
        <w:ind w:right="-46"/>
        <w:jc w:val="center"/>
        <w:rPr>
          <w:rFonts w:cs="Times New Roman"/>
          <w:b/>
        </w:rPr>
      </w:pPr>
      <w:r w:rsidRPr="003878A7">
        <w:rPr>
          <w:rFonts w:cs="Times New Roman"/>
          <w:b/>
        </w:rPr>
        <w:t>2021</w:t>
      </w:r>
      <w:r w:rsidR="00EF26D3" w:rsidRPr="003878A7">
        <w:rPr>
          <w:rFonts w:cs="Times New Roman"/>
          <w:b/>
        </w:rPr>
        <w:t> m.</w:t>
      </w:r>
    </w:p>
    <w:p w14:paraId="2E717639" w14:textId="77777777" w:rsidR="00EF26D3" w:rsidRPr="003878A7" w:rsidRDefault="00EF26D3">
      <w:pPr>
        <w:spacing w:before="0" w:after="160" w:line="259" w:lineRule="auto"/>
        <w:ind w:firstLine="0"/>
        <w:jc w:val="left"/>
        <w:rPr>
          <w:rFonts w:cs="Times New Roman"/>
          <w:b/>
        </w:rPr>
      </w:pPr>
      <w:r w:rsidRPr="003878A7">
        <w:rPr>
          <w:rFonts w:cs="Times New Roman"/>
          <w:b/>
        </w:rPr>
        <w:br w:type="page"/>
      </w:r>
    </w:p>
    <w:sdt>
      <w:sdtPr>
        <w:rPr>
          <w:rFonts w:ascii="Times New Roman" w:eastAsiaTheme="minorHAnsi" w:hAnsi="Times New Roman" w:cs="Times New Roman"/>
          <w:b/>
          <w:bCs/>
          <w:color w:val="auto"/>
          <w:sz w:val="22"/>
          <w:szCs w:val="22"/>
          <w:lang w:val="lt-LT"/>
        </w:rPr>
        <w:id w:val="-1476832034"/>
        <w:docPartObj>
          <w:docPartGallery w:val="Table of Contents"/>
          <w:docPartUnique/>
        </w:docPartObj>
      </w:sdtPr>
      <w:sdtEndPr/>
      <w:sdtContent>
        <w:p w14:paraId="11BA7041" w14:textId="6739EEBC" w:rsidR="00A66C35" w:rsidRPr="003878A7" w:rsidRDefault="00A66C35" w:rsidP="003878A7">
          <w:pPr>
            <w:pStyle w:val="TOCHeading"/>
            <w:spacing w:before="60" w:after="60" w:line="240" w:lineRule="auto"/>
            <w:rPr>
              <w:rFonts w:ascii="Times New Roman" w:hAnsi="Times New Roman" w:cs="Times New Roman"/>
              <w:b/>
              <w:bCs/>
              <w:color w:val="auto"/>
              <w:sz w:val="22"/>
              <w:szCs w:val="22"/>
              <w:lang w:val="lt-LT"/>
            </w:rPr>
          </w:pPr>
          <w:r w:rsidRPr="003878A7">
            <w:rPr>
              <w:rFonts w:ascii="Times New Roman" w:hAnsi="Times New Roman" w:cs="Times New Roman"/>
              <w:b/>
              <w:bCs/>
              <w:color w:val="auto"/>
              <w:sz w:val="22"/>
              <w:szCs w:val="22"/>
              <w:lang w:val="lt-LT"/>
            </w:rPr>
            <w:t>Turinys</w:t>
          </w:r>
        </w:p>
        <w:p w14:paraId="0E084D38" w14:textId="35BD1AB9" w:rsidR="0025664D" w:rsidRPr="0025664D" w:rsidRDefault="00A66C35" w:rsidP="0025664D">
          <w:pPr>
            <w:pStyle w:val="TOC1"/>
            <w:spacing w:before="60" w:after="60"/>
            <w:rPr>
              <w:rFonts w:asciiTheme="minorHAnsi" w:hAnsiTheme="minorHAnsi" w:cstheme="minorBidi"/>
              <w:b w:val="0"/>
              <w:bCs w:val="0"/>
              <w:sz w:val="20"/>
              <w:szCs w:val="20"/>
            </w:rPr>
          </w:pPr>
          <w:r w:rsidRPr="0025664D">
            <w:rPr>
              <w:b w:val="0"/>
              <w:bCs w:val="0"/>
              <w:noProof w:val="0"/>
              <w:sz w:val="22"/>
              <w:szCs w:val="22"/>
            </w:rPr>
            <w:fldChar w:fldCharType="begin"/>
          </w:r>
          <w:r w:rsidRPr="0025664D">
            <w:rPr>
              <w:b w:val="0"/>
              <w:bCs w:val="0"/>
              <w:noProof w:val="0"/>
              <w:sz w:val="22"/>
              <w:szCs w:val="22"/>
            </w:rPr>
            <w:instrText xml:space="preserve"> TOC \o "1-3" \h \z \u </w:instrText>
          </w:r>
          <w:r w:rsidRPr="0025664D">
            <w:rPr>
              <w:b w:val="0"/>
              <w:bCs w:val="0"/>
              <w:noProof w:val="0"/>
              <w:sz w:val="22"/>
              <w:szCs w:val="22"/>
            </w:rPr>
            <w:fldChar w:fldCharType="separate"/>
          </w:r>
          <w:hyperlink w:anchor="_Toc70532855" w:history="1">
            <w:r w:rsidR="0025664D" w:rsidRPr="0025664D">
              <w:rPr>
                <w:rStyle w:val="Hyperlink"/>
                <w:b w:val="0"/>
                <w:bCs w:val="0"/>
                <w:sz w:val="22"/>
                <w:szCs w:val="22"/>
              </w:rPr>
              <w:t>Santrumpų sąrašas</w:t>
            </w:r>
            <w:r w:rsidR="0025664D" w:rsidRPr="0025664D">
              <w:rPr>
                <w:b w:val="0"/>
                <w:bCs w:val="0"/>
                <w:webHidden/>
                <w:sz w:val="22"/>
                <w:szCs w:val="22"/>
              </w:rPr>
              <w:tab/>
            </w:r>
            <w:r w:rsidR="0025664D" w:rsidRPr="0025664D">
              <w:rPr>
                <w:b w:val="0"/>
                <w:bCs w:val="0"/>
                <w:webHidden/>
                <w:sz w:val="22"/>
                <w:szCs w:val="22"/>
              </w:rPr>
              <w:fldChar w:fldCharType="begin"/>
            </w:r>
            <w:r w:rsidR="0025664D" w:rsidRPr="0025664D">
              <w:rPr>
                <w:b w:val="0"/>
                <w:bCs w:val="0"/>
                <w:webHidden/>
                <w:sz w:val="22"/>
                <w:szCs w:val="22"/>
              </w:rPr>
              <w:instrText xml:space="preserve"> PAGEREF _Toc70532855 \h </w:instrText>
            </w:r>
            <w:r w:rsidR="0025664D" w:rsidRPr="0025664D">
              <w:rPr>
                <w:b w:val="0"/>
                <w:bCs w:val="0"/>
                <w:webHidden/>
                <w:sz w:val="22"/>
                <w:szCs w:val="22"/>
              </w:rPr>
            </w:r>
            <w:r w:rsidR="0025664D" w:rsidRPr="0025664D">
              <w:rPr>
                <w:b w:val="0"/>
                <w:bCs w:val="0"/>
                <w:webHidden/>
                <w:sz w:val="22"/>
                <w:szCs w:val="22"/>
              </w:rPr>
              <w:fldChar w:fldCharType="separate"/>
            </w:r>
            <w:r w:rsidR="0025664D" w:rsidRPr="0025664D">
              <w:rPr>
                <w:b w:val="0"/>
                <w:bCs w:val="0"/>
                <w:webHidden/>
                <w:sz w:val="22"/>
                <w:szCs w:val="22"/>
              </w:rPr>
              <w:t>3</w:t>
            </w:r>
            <w:r w:rsidR="0025664D" w:rsidRPr="0025664D">
              <w:rPr>
                <w:b w:val="0"/>
                <w:bCs w:val="0"/>
                <w:webHidden/>
                <w:sz w:val="22"/>
                <w:szCs w:val="22"/>
              </w:rPr>
              <w:fldChar w:fldCharType="end"/>
            </w:r>
          </w:hyperlink>
        </w:p>
        <w:p w14:paraId="6F8715FD" w14:textId="4FD8F86A" w:rsidR="0025664D" w:rsidRPr="0025664D" w:rsidRDefault="009D3969" w:rsidP="0025664D">
          <w:pPr>
            <w:pStyle w:val="TOC1"/>
            <w:spacing w:before="60" w:after="60"/>
            <w:rPr>
              <w:rFonts w:asciiTheme="minorHAnsi" w:hAnsiTheme="minorHAnsi" w:cstheme="minorBidi"/>
              <w:b w:val="0"/>
              <w:bCs w:val="0"/>
              <w:sz w:val="20"/>
              <w:szCs w:val="20"/>
            </w:rPr>
          </w:pPr>
          <w:hyperlink w:anchor="_Toc70532856" w:history="1">
            <w:r w:rsidR="0025664D" w:rsidRPr="0025664D">
              <w:rPr>
                <w:rStyle w:val="Hyperlink"/>
                <w:b w:val="0"/>
                <w:bCs w:val="0"/>
                <w:sz w:val="22"/>
                <w:szCs w:val="22"/>
              </w:rPr>
              <w:t>1</w:t>
            </w:r>
            <w:r w:rsidR="0025664D" w:rsidRPr="0025664D">
              <w:rPr>
                <w:rFonts w:asciiTheme="minorHAnsi" w:hAnsiTheme="minorHAnsi" w:cstheme="minorBidi"/>
                <w:b w:val="0"/>
                <w:bCs w:val="0"/>
                <w:sz w:val="20"/>
                <w:szCs w:val="20"/>
              </w:rPr>
              <w:t xml:space="preserve"> </w:t>
            </w:r>
            <w:r w:rsidR="0025664D" w:rsidRPr="0025664D">
              <w:rPr>
                <w:rStyle w:val="Hyperlink"/>
                <w:b w:val="0"/>
                <w:bCs w:val="0"/>
                <w:sz w:val="22"/>
                <w:szCs w:val="22"/>
              </w:rPr>
              <w:t>Įvadas</w:t>
            </w:r>
            <w:r w:rsidR="0025664D" w:rsidRPr="0025664D">
              <w:rPr>
                <w:b w:val="0"/>
                <w:bCs w:val="0"/>
                <w:webHidden/>
                <w:sz w:val="22"/>
                <w:szCs w:val="22"/>
              </w:rPr>
              <w:t>...............................................................................................................................................................</w:t>
            </w:r>
            <w:r w:rsidR="0025664D" w:rsidRPr="0025664D">
              <w:rPr>
                <w:b w:val="0"/>
                <w:bCs w:val="0"/>
                <w:webHidden/>
                <w:sz w:val="22"/>
                <w:szCs w:val="22"/>
              </w:rPr>
              <w:fldChar w:fldCharType="begin"/>
            </w:r>
            <w:r w:rsidR="0025664D" w:rsidRPr="0025664D">
              <w:rPr>
                <w:b w:val="0"/>
                <w:bCs w:val="0"/>
                <w:webHidden/>
                <w:sz w:val="22"/>
                <w:szCs w:val="22"/>
              </w:rPr>
              <w:instrText xml:space="preserve"> PAGEREF _Toc70532856 \h </w:instrText>
            </w:r>
            <w:r w:rsidR="0025664D" w:rsidRPr="0025664D">
              <w:rPr>
                <w:b w:val="0"/>
                <w:bCs w:val="0"/>
                <w:webHidden/>
                <w:sz w:val="22"/>
                <w:szCs w:val="22"/>
              </w:rPr>
            </w:r>
            <w:r w:rsidR="0025664D" w:rsidRPr="0025664D">
              <w:rPr>
                <w:b w:val="0"/>
                <w:bCs w:val="0"/>
                <w:webHidden/>
                <w:sz w:val="22"/>
                <w:szCs w:val="22"/>
              </w:rPr>
              <w:fldChar w:fldCharType="separate"/>
            </w:r>
            <w:r w:rsidR="0025664D" w:rsidRPr="0025664D">
              <w:rPr>
                <w:b w:val="0"/>
                <w:bCs w:val="0"/>
                <w:webHidden/>
                <w:sz w:val="22"/>
                <w:szCs w:val="22"/>
              </w:rPr>
              <w:t>5</w:t>
            </w:r>
            <w:r w:rsidR="0025664D" w:rsidRPr="0025664D">
              <w:rPr>
                <w:b w:val="0"/>
                <w:bCs w:val="0"/>
                <w:webHidden/>
                <w:sz w:val="22"/>
                <w:szCs w:val="22"/>
              </w:rPr>
              <w:fldChar w:fldCharType="end"/>
            </w:r>
          </w:hyperlink>
        </w:p>
        <w:p w14:paraId="2C63710A" w14:textId="2177C569" w:rsidR="0025664D" w:rsidRPr="0025664D" w:rsidRDefault="009D3969" w:rsidP="0025664D">
          <w:pPr>
            <w:pStyle w:val="TOC1"/>
            <w:spacing w:before="60" w:after="60"/>
            <w:rPr>
              <w:rFonts w:asciiTheme="minorHAnsi" w:hAnsiTheme="minorHAnsi" w:cstheme="minorBidi"/>
              <w:b w:val="0"/>
              <w:bCs w:val="0"/>
              <w:sz w:val="20"/>
              <w:szCs w:val="20"/>
            </w:rPr>
          </w:pPr>
          <w:hyperlink w:anchor="_Toc70532857" w:history="1">
            <w:r w:rsidR="0025664D" w:rsidRPr="0025664D">
              <w:rPr>
                <w:rStyle w:val="Hyperlink"/>
                <w:b w:val="0"/>
                <w:bCs w:val="0"/>
                <w:sz w:val="22"/>
                <w:szCs w:val="22"/>
              </w:rPr>
              <w:t>2</w:t>
            </w:r>
            <w:r w:rsidR="0025664D" w:rsidRPr="0025664D">
              <w:rPr>
                <w:rFonts w:asciiTheme="minorHAnsi" w:hAnsiTheme="minorHAnsi" w:cstheme="minorBidi"/>
                <w:b w:val="0"/>
                <w:bCs w:val="0"/>
                <w:sz w:val="20"/>
                <w:szCs w:val="20"/>
              </w:rPr>
              <w:t xml:space="preserve"> </w:t>
            </w:r>
            <w:r w:rsidR="0025664D" w:rsidRPr="0025664D">
              <w:rPr>
                <w:rStyle w:val="Hyperlink"/>
                <w:b w:val="0"/>
                <w:bCs w:val="0"/>
                <w:sz w:val="22"/>
                <w:szCs w:val="22"/>
              </w:rPr>
              <w:t>Investicijų poreikio analizė</w:t>
            </w:r>
            <w:r w:rsidR="0025664D" w:rsidRPr="0025664D">
              <w:rPr>
                <w:b w:val="0"/>
                <w:bCs w:val="0"/>
                <w:webHidden/>
                <w:sz w:val="22"/>
                <w:szCs w:val="22"/>
              </w:rPr>
              <w:tab/>
            </w:r>
            <w:r w:rsidR="0025664D" w:rsidRPr="0025664D">
              <w:rPr>
                <w:b w:val="0"/>
                <w:bCs w:val="0"/>
                <w:webHidden/>
                <w:sz w:val="22"/>
                <w:szCs w:val="22"/>
              </w:rPr>
              <w:fldChar w:fldCharType="begin"/>
            </w:r>
            <w:r w:rsidR="0025664D" w:rsidRPr="0025664D">
              <w:rPr>
                <w:b w:val="0"/>
                <w:bCs w:val="0"/>
                <w:webHidden/>
                <w:sz w:val="22"/>
                <w:szCs w:val="22"/>
              </w:rPr>
              <w:instrText xml:space="preserve"> PAGEREF _Toc70532857 \h </w:instrText>
            </w:r>
            <w:r w:rsidR="0025664D" w:rsidRPr="0025664D">
              <w:rPr>
                <w:b w:val="0"/>
                <w:bCs w:val="0"/>
                <w:webHidden/>
                <w:sz w:val="22"/>
                <w:szCs w:val="22"/>
              </w:rPr>
            </w:r>
            <w:r w:rsidR="0025664D" w:rsidRPr="0025664D">
              <w:rPr>
                <w:b w:val="0"/>
                <w:bCs w:val="0"/>
                <w:webHidden/>
                <w:sz w:val="22"/>
                <w:szCs w:val="22"/>
              </w:rPr>
              <w:fldChar w:fldCharType="separate"/>
            </w:r>
            <w:r w:rsidR="0025664D" w:rsidRPr="0025664D">
              <w:rPr>
                <w:b w:val="0"/>
                <w:bCs w:val="0"/>
                <w:webHidden/>
                <w:sz w:val="22"/>
                <w:szCs w:val="22"/>
              </w:rPr>
              <w:t>5</w:t>
            </w:r>
            <w:r w:rsidR="0025664D" w:rsidRPr="0025664D">
              <w:rPr>
                <w:b w:val="0"/>
                <w:bCs w:val="0"/>
                <w:webHidden/>
                <w:sz w:val="22"/>
                <w:szCs w:val="22"/>
              </w:rPr>
              <w:fldChar w:fldCharType="end"/>
            </w:r>
          </w:hyperlink>
        </w:p>
        <w:p w14:paraId="7DF45649" w14:textId="5E5BE3AE" w:rsidR="0025664D" w:rsidRPr="0025664D" w:rsidRDefault="009D3969" w:rsidP="0025664D">
          <w:pPr>
            <w:pStyle w:val="TOC2"/>
            <w:spacing w:before="60" w:after="60"/>
            <w:rPr>
              <w:rFonts w:asciiTheme="minorHAnsi" w:hAnsiTheme="minorHAnsi"/>
              <w:noProof/>
              <w:sz w:val="20"/>
              <w:szCs w:val="20"/>
              <w:lang w:eastAsia="lt-LT"/>
            </w:rPr>
          </w:pPr>
          <w:hyperlink w:anchor="_Toc70532858" w:history="1">
            <w:r w:rsidR="0025664D" w:rsidRPr="0025664D">
              <w:rPr>
                <w:rStyle w:val="Hyperlink"/>
                <w:rFonts w:cs="Times New Roman"/>
                <w:noProof/>
                <w:sz w:val="22"/>
                <w:szCs w:val="22"/>
              </w:rPr>
              <w:t>2.1 Investicijų paklausos vertinimas</w:t>
            </w:r>
            <w:r w:rsidR="0025664D" w:rsidRPr="0025664D">
              <w:rPr>
                <w:noProof/>
                <w:webHidden/>
                <w:sz w:val="22"/>
                <w:szCs w:val="22"/>
              </w:rPr>
              <w:tab/>
            </w:r>
            <w:r w:rsidR="0025664D" w:rsidRPr="0025664D">
              <w:rPr>
                <w:noProof/>
                <w:webHidden/>
                <w:sz w:val="22"/>
                <w:szCs w:val="22"/>
              </w:rPr>
              <w:fldChar w:fldCharType="begin"/>
            </w:r>
            <w:r w:rsidR="0025664D" w:rsidRPr="0025664D">
              <w:rPr>
                <w:noProof/>
                <w:webHidden/>
                <w:sz w:val="22"/>
                <w:szCs w:val="22"/>
              </w:rPr>
              <w:instrText xml:space="preserve"> PAGEREF _Toc70532858 \h </w:instrText>
            </w:r>
            <w:r w:rsidR="0025664D" w:rsidRPr="0025664D">
              <w:rPr>
                <w:noProof/>
                <w:webHidden/>
                <w:sz w:val="22"/>
                <w:szCs w:val="22"/>
              </w:rPr>
            </w:r>
            <w:r w:rsidR="0025664D" w:rsidRPr="0025664D">
              <w:rPr>
                <w:noProof/>
                <w:webHidden/>
                <w:sz w:val="22"/>
                <w:szCs w:val="22"/>
              </w:rPr>
              <w:fldChar w:fldCharType="separate"/>
            </w:r>
            <w:r w:rsidR="0025664D" w:rsidRPr="0025664D">
              <w:rPr>
                <w:noProof/>
                <w:webHidden/>
                <w:sz w:val="22"/>
                <w:szCs w:val="22"/>
              </w:rPr>
              <w:t>5</w:t>
            </w:r>
            <w:r w:rsidR="0025664D" w:rsidRPr="0025664D">
              <w:rPr>
                <w:noProof/>
                <w:webHidden/>
                <w:sz w:val="22"/>
                <w:szCs w:val="22"/>
              </w:rPr>
              <w:fldChar w:fldCharType="end"/>
            </w:r>
          </w:hyperlink>
        </w:p>
        <w:p w14:paraId="219F1D91" w14:textId="08D53BA2" w:rsidR="0025664D" w:rsidRPr="0025664D" w:rsidRDefault="009D3969" w:rsidP="0025664D">
          <w:pPr>
            <w:pStyle w:val="TOC2"/>
            <w:spacing w:before="60" w:after="60"/>
            <w:rPr>
              <w:rFonts w:asciiTheme="minorHAnsi" w:hAnsiTheme="minorHAnsi"/>
              <w:noProof/>
              <w:sz w:val="20"/>
              <w:szCs w:val="20"/>
              <w:lang w:eastAsia="lt-LT"/>
            </w:rPr>
          </w:pPr>
          <w:hyperlink w:anchor="_Toc70532859" w:history="1">
            <w:r w:rsidR="0025664D" w:rsidRPr="0025664D">
              <w:rPr>
                <w:rStyle w:val="Hyperlink"/>
                <w:rFonts w:cs="Times New Roman"/>
                <w:noProof/>
                <w:sz w:val="22"/>
                <w:szCs w:val="22"/>
              </w:rPr>
              <w:t>2.2 Finansavimo pasiūlos vertinimas</w:t>
            </w:r>
            <w:r w:rsidR="0025664D" w:rsidRPr="0025664D">
              <w:rPr>
                <w:noProof/>
                <w:webHidden/>
                <w:sz w:val="22"/>
                <w:szCs w:val="22"/>
              </w:rPr>
              <w:tab/>
            </w:r>
            <w:r w:rsidR="0025664D" w:rsidRPr="0025664D">
              <w:rPr>
                <w:noProof/>
                <w:webHidden/>
                <w:sz w:val="22"/>
                <w:szCs w:val="22"/>
              </w:rPr>
              <w:fldChar w:fldCharType="begin"/>
            </w:r>
            <w:r w:rsidR="0025664D" w:rsidRPr="0025664D">
              <w:rPr>
                <w:noProof/>
                <w:webHidden/>
                <w:sz w:val="22"/>
                <w:szCs w:val="22"/>
              </w:rPr>
              <w:instrText xml:space="preserve"> PAGEREF _Toc70532859 \h </w:instrText>
            </w:r>
            <w:r w:rsidR="0025664D" w:rsidRPr="0025664D">
              <w:rPr>
                <w:noProof/>
                <w:webHidden/>
                <w:sz w:val="22"/>
                <w:szCs w:val="22"/>
              </w:rPr>
            </w:r>
            <w:r w:rsidR="0025664D" w:rsidRPr="0025664D">
              <w:rPr>
                <w:noProof/>
                <w:webHidden/>
                <w:sz w:val="22"/>
                <w:szCs w:val="22"/>
              </w:rPr>
              <w:fldChar w:fldCharType="separate"/>
            </w:r>
            <w:r w:rsidR="0025664D" w:rsidRPr="0025664D">
              <w:rPr>
                <w:noProof/>
                <w:webHidden/>
                <w:sz w:val="22"/>
                <w:szCs w:val="22"/>
              </w:rPr>
              <w:t>6</w:t>
            </w:r>
            <w:r w:rsidR="0025664D" w:rsidRPr="0025664D">
              <w:rPr>
                <w:noProof/>
                <w:webHidden/>
                <w:sz w:val="22"/>
                <w:szCs w:val="22"/>
              </w:rPr>
              <w:fldChar w:fldCharType="end"/>
            </w:r>
          </w:hyperlink>
        </w:p>
        <w:p w14:paraId="703DFEA4" w14:textId="5B434171" w:rsidR="0025664D" w:rsidRPr="0025664D" w:rsidRDefault="009D3969" w:rsidP="0025664D">
          <w:pPr>
            <w:pStyle w:val="TOC3"/>
            <w:spacing w:before="60" w:after="60"/>
            <w:rPr>
              <w:rFonts w:asciiTheme="minorHAnsi" w:hAnsiTheme="minorHAnsi"/>
              <w:bCs w:val="0"/>
              <w:sz w:val="20"/>
              <w:szCs w:val="20"/>
              <w:lang w:eastAsia="lt-LT"/>
            </w:rPr>
          </w:pPr>
          <w:hyperlink w:anchor="_Toc70532860" w:history="1">
            <w:r w:rsidR="0025664D" w:rsidRPr="0025664D">
              <w:rPr>
                <w:rStyle w:val="Hyperlink"/>
                <w:rFonts w:cs="Times New Roman"/>
                <w:bCs w:val="0"/>
                <w:sz w:val="22"/>
                <w:szCs w:val="22"/>
              </w:rPr>
              <w:t>2.2.1 Finansavimo pasiūla 2007-2013 m. programavimo laikotarpiu</w:t>
            </w:r>
            <w:r w:rsidR="0025664D" w:rsidRPr="0025664D">
              <w:rPr>
                <w:bCs w:val="0"/>
                <w:webHidden/>
                <w:sz w:val="22"/>
                <w:szCs w:val="22"/>
              </w:rPr>
              <w:tab/>
            </w:r>
            <w:r w:rsidR="0025664D" w:rsidRPr="0025664D">
              <w:rPr>
                <w:bCs w:val="0"/>
                <w:webHidden/>
                <w:sz w:val="22"/>
                <w:szCs w:val="22"/>
              </w:rPr>
              <w:fldChar w:fldCharType="begin"/>
            </w:r>
            <w:r w:rsidR="0025664D" w:rsidRPr="0025664D">
              <w:rPr>
                <w:bCs w:val="0"/>
                <w:webHidden/>
                <w:sz w:val="22"/>
                <w:szCs w:val="22"/>
              </w:rPr>
              <w:instrText xml:space="preserve"> PAGEREF _Toc70532860 \h </w:instrText>
            </w:r>
            <w:r w:rsidR="0025664D" w:rsidRPr="0025664D">
              <w:rPr>
                <w:bCs w:val="0"/>
                <w:webHidden/>
                <w:sz w:val="22"/>
                <w:szCs w:val="22"/>
              </w:rPr>
            </w:r>
            <w:r w:rsidR="0025664D" w:rsidRPr="0025664D">
              <w:rPr>
                <w:bCs w:val="0"/>
                <w:webHidden/>
                <w:sz w:val="22"/>
                <w:szCs w:val="22"/>
              </w:rPr>
              <w:fldChar w:fldCharType="separate"/>
            </w:r>
            <w:r w:rsidR="0025664D" w:rsidRPr="0025664D">
              <w:rPr>
                <w:bCs w:val="0"/>
                <w:webHidden/>
                <w:sz w:val="22"/>
                <w:szCs w:val="22"/>
              </w:rPr>
              <w:t>6</w:t>
            </w:r>
            <w:r w:rsidR="0025664D" w:rsidRPr="0025664D">
              <w:rPr>
                <w:bCs w:val="0"/>
                <w:webHidden/>
                <w:sz w:val="22"/>
                <w:szCs w:val="22"/>
              </w:rPr>
              <w:fldChar w:fldCharType="end"/>
            </w:r>
          </w:hyperlink>
        </w:p>
        <w:p w14:paraId="155ED7E9" w14:textId="08D315B2" w:rsidR="0025664D" w:rsidRPr="0025664D" w:rsidRDefault="009D3969" w:rsidP="0025664D">
          <w:pPr>
            <w:pStyle w:val="TOC3"/>
            <w:spacing w:before="60" w:after="60"/>
            <w:rPr>
              <w:rFonts w:asciiTheme="minorHAnsi" w:hAnsiTheme="minorHAnsi"/>
              <w:bCs w:val="0"/>
              <w:sz w:val="20"/>
              <w:szCs w:val="20"/>
              <w:lang w:eastAsia="lt-LT"/>
            </w:rPr>
          </w:pPr>
          <w:hyperlink w:anchor="_Toc70532861" w:history="1">
            <w:r w:rsidR="0025664D" w:rsidRPr="0025664D">
              <w:rPr>
                <w:rStyle w:val="Hyperlink"/>
                <w:rFonts w:cs="Times New Roman"/>
                <w:bCs w:val="0"/>
                <w:sz w:val="22"/>
                <w:szCs w:val="22"/>
              </w:rPr>
              <w:t>2.2.2 Finansavimo pasiūla 2014-2020 m. programavimo laikotarpiu</w:t>
            </w:r>
            <w:r w:rsidR="0025664D" w:rsidRPr="0025664D">
              <w:rPr>
                <w:bCs w:val="0"/>
                <w:webHidden/>
                <w:sz w:val="22"/>
                <w:szCs w:val="22"/>
              </w:rPr>
              <w:tab/>
            </w:r>
            <w:r w:rsidR="0025664D" w:rsidRPr="0025664D">
              <w:rPr>
                <w:bCs w:val="0"/>
                <w:webHidden/>
                <w:sz w:val="22"/>
                <w:szCs w:val="22"/>
              </w:rPr>
              <w:fldChar w:fldCharType="begin"/>
            </w:r>
            <w:r w:rsidR="0025664D" w:rsidRPr="0025664D">
              <w:rPr>
                <w:bCs w:val="0"/>
                <w:webHidden/>
                <w:sz w:val="22"/>
                <w:szCs w:val="22"/>
              </w:rPr>
              <w:instrText xml:space="preserve"> PAGEREF _Toc70532861 \h </w:instrText>
            </w:r>
            <w:r w:rsidR="0025664D" w:rsidRPr="0025664D">
              <w:rPr>
                <w:bCs w:val="0"/>
                <w:webHidden/>
                <w:sz w:val="22"/>
                <w:szCs w:val="22"/>
              </w:rPr>
            </w:r>
            <w:r w:rsidR="0025664D" w:rsidRPr="0025664D">
              <w:rPr>
                <w:bCs w:val="0"/>
                <w:webHidden/>
                <w:sz w:val="22"/>
                <w:szCs w:val="22"/>
              </w:rPr>
              <w:fldChar w:fldCharType="separate"/>
            </w:r>
            <w:r w:rsidR="0025664D" w:rsidRPr="0025664D">
              <w:rPr>
                <w:bCs w:val="0"/>
                <w:webHidden/>
                <w:sz w:val="22"/>
                <w:szCs w:val="22"/>
              </w:rPr>
              <w:t>7</w:t>
            </w:r>
            <w:r w:rsidR="0025664D" w:rsidRPr="0025664D">
              <w:rPr>
                <w:bCs w:val="0"/>
                <w:webHidden/>
                <w:sz w:val="22"/>
                <w:szCs w:val="22"/>
              </w:rPr>
              <w:fldChar w:fldCharType="end"/>
            </w:r>
          </w:hyperlink>
        </w:p>
        <w:p w14:paraId="728DC2B5" w14:textId="53BE82C9" w:rsidR="0025664D" w:rsidRPr="0025664D" w:rsidRDefault="009D3969" w:rsidP="0025664D">
          <w:pPr>
            <w:pStyle w:val="TOC2"/>
            <w:spacing w:before="60" w:after="60"/>
            <w:rPr>
              <w:rFonts w:asciiTheme="minorHAnsi" w:hAnsiTheme="minorHAnsi"/>
              <w:noProof/>
              <w:sz w:val="20"/>
              <w:szCs w:val="20"/>
              <w:lang w:eastAsia="lt-LT"/>
            </w:rPr>
          </w:pPr>
          <w:hyperlink w:anchor="_Toc70532862" w:history="1">
            <w:r w:rsidR="0025664D" w:rsidRPr="0025664D">
              <w:rPr>
                <w:rStyle w:val="Hyperlink"/>
                <w:rFonts w:cs="Times New Roman"/>
                <w:noProof/>
                <w:sz w:val="22"/>
                <w:szCs w:val="22"/>
              </w:rPr>
              <w:t>2.3 Investicijų trūkumo vertinimas ir jo susidarymo priežasčių analizė</w:t>
            </w:r>
            <w:r w:rsidR="0025664D" w:rsidRPr="0025664D">
              <w:rPr>
                <w:noProof/>
                <w:webHidden/>
                <w:sz w:val="22"/>
                <w:szCs w:val="22"/>
              </w:rPr>
              <w:tab/>
            </w:r>
            <w:r w:rsidR="0025664D" w:rsidRPr="0025664D">
              <w:rPr>
                <w:noProof/>
                <w:webHidden/>
                <w:sz w:val="22"/>
                <w:szCs w:val="22"/>
              </w:rPr>
              <w:fldChar w:fldCharType="begin"/>
            </w:r>
            <w:r w:rsidR="0025664D" w:rsidRPr="0025664D">
              <w:rPr>
                <w:noProof/>
                <w:webHidden/>
                <w:sz w:val="22"/>
                <w:szCs w:val="22"/>
              </w:rPr>
              <w:instrText xml:space="preserve"> PAGEREF _Toc70532862 \h </w:instrText>
            </w:r>
            <w:r w:rsidR="0025664D" w:rsidRPr="0025664D">
              <w:rPr>
                <w:noProof/>
                <w:webHidden/>
                <w:sz w:val="22"/>
                <w:szCs w:val="22"/>
              </w:rPr>
            </w:r>
            <w:r w:rsidR="0025664D" w:rsidRPr="0025664D">
              <w:rPr>
                <w:noProof/>
                <w:webHidden/>
                <w:sz w:val="22"/>
                <w:szCs w:val="22"/>
              </w:rPr>
              <w:fldChar w:fldCharType="separate"/>
            </w:r>
            <w:r w:rsidR="0025664D" w:rsidRPr="0025664D">
              <w:rPr>
                <w:noProof/>
                <w:webHidden/>
                <w:sz w:val="22"/>
                <w:szCs w:val="22"/>
              </w:rPr>
              <w:t>9</w:t>
            </w:r>
            <w:r w:rsidR="0025664D" w:rsidRPr="0025664D">
              <w:rPr>
                <w:noProof/>
                <w:webHidden/>
                <w:sz w:val="22"/>
                <w:szCs w:val="22"/>
              </w:rPr>
              <w:fldChar w:fldCharType="end"/>
            </w:r>
          </w:hyperlink>
        </w:p>
        <w:p w14:paraId="43739B61" w14:textId="3EC07840" w:rsidR="0025664D" w:rsidRPr="0025664D" w:rsidRDefault="009D3969" w:rsidP="0025664D">
          <w:pPr>
            <w:pStyle w:val="TOC1"/>
            <w:spacing w:before="60" w:after="60"/>
            <w:rPr>
              <w:rFonts w:asciiTheme="minorHAnsi" w:hAnsiTheme="minorHAnsi" w:cstheme="minorBidi"/>
              <w:b w:val="0"/>
              <w:bCs w:val="0"/>
              <w:sz w:val="20"/>
              <w:szCs w:val="20"/>
            </w:rPr>
          </w:pPr>
          <w:hyperlink w:anchor="_Toc70532863" w:history="1">
            <w:r w:rsidR="0025664D" w:rsidRPr="0025664D">
              <w:rPr>
                <w:rStyle w:val="Hyperlink"/>
                <w:b w:val="0"/>
                <w:bCs w:val="0"/>
                <w:sz w:val="22"/>
                <w:szCs w:val="22"/>
              </w:rPr>
              <w:t>3 FP pridėtinės vertės ir suderinamumo vertinimas</w:t>
            </w:r>
            <w:r w:rsidR="0025664D" w:rsidRPr="0025664D">
              <w:rPr>
                <w:b w:val="0"/>
                <w:bCs w:val="0"/>
                <w:webHidden/>
                <w:sz w:val="22"/>
                <w:szCs w:val="22"/>
              </w:rPr>
              <w:tab/>
            </w:r>
            <w:r w:rsidR="0025664D" w:rsidRPr="0025664D">
              <w:rPr>
                <w:b w:val="0"/>
                <w:bCs w:val="0"/>
                <w:webHidden/>
                <w:sz w:val="22"/>
                <w:szCs w:val="22"/>
              </w:rPr>
              <w:fldChar w:fldCharType="begin"/>
            </w:r>
            <w:r w:rsidR="0025664D" w:rsidRPr="0025664D">
              <w:rPr>
                <w:b w:val="0"/>
                <w:bCs w:val="0"/>
                <w:webHidden/>
                <w:sz w:val="22"/>
                <w:szCs w:val="22"/>
              </w:rPr>
              <w:instrText xml:space="preserve"> PAGEREF _Toc70532863 \h </w:instrText>
            </w:r>
            <w:r w:rsidR="0025664D" w:rsidRPr="0025664D">
              <w:rPr>
                <w:b w:val="0"/>
                <w:bCs w:val="0"/>
                <w:webHidden/>
                <w:sz w:val="22"/>
                <w:szCs w:val="22"/>
              </w:rPr>
            </w:r>
            <w:r w:rsidR="0025664D" w:rsidRPr="0025664D">
              <w:rPr>
                <w:b w:val="0"/>
                <w:bCs w:val="0"/>
                <w:webHidden/>
                <w:sz w:val="22"/>
                <w:szCs w:val="22"/>
              </w:rPr>
              <w:fldChar w:fldCharType="separate"/>
            </w:r>
            <w:r w:rsidR="0025664D" w:rsidRPr="0025664D">
              <w:rPr>
                <w:b w:val="0"/>
                <w:bCs w:val="0"/>
                <w:webHidden/>
                <w:sz w:val="22"/>
                <w:szCs w:val="22"/>
              </w:rPr>
              <w:t>10</w:t>
            </w:r>
            <w:r w:rsidR="0025664D" w:rsidRPr="0025664D">
              <w:rPr>
                <w:b w:val="0"/>
                <w:bCs w:val="0"/>
                <w:webHidden/>
                <w:sz w:val="22"/>
                <w:szCs w:val="22"/>
              </w:rPr>
              <w:fldChar w:fldCharType="end"/>
            </w:r>
          </w:hyperlink>
        </w:p>
        <w:p w14:paraId="451CBB5E" w14:textId="2BDED299" w:rsidR="0025664D" w:rsidRPr="0025664D" w:rsidRDefault="009D3969" w:rsidP="0025664D">
          <w:pPr>
            <w:pStyle w:val="TOC2"/>
            <w:spacing w:before="60" w:after="60"/>
            <w:rPr>
              <w:rFonts w:asciiTheme="minorHAnsi" w:hAnsiTheme="minorHAnsi"/>
              <w:noProof/>
              <w:sz w:val="20"/>
              <w:szCs w:val="20"/>
              <w:lang w:eastAsia="lt-LT"/>
            </w:rPr>
          </w:pPr>
          <w:hyperlink w:anchor="_Toc70532864" w:history="1">
            <w:r w:rsidR="0025664D" w:rsidRPr="0025664D">
              <w:rPr>
                <w:rStyle w:val="Hyperlink"/>
                <w:rFonts w:cs="Times New Roman"/>
                <w:noProof/>
                <w:sz w:val="22"/>
                <w:szCs w:val="22"/>
              </w:rPr>
              <w:t>3.1 Kiekybinės pridėtinės vertės vertinimas</w:t>
            </w:r>
            <w:r w:rsidR="0025664D" w:rsidRPr="0025664D">
              <w:rPr>
                <w:noProof/>
                <w:webHidden/>
                <w:sz w:val="22"/>
                <w:szCs w:val="22"/>
              </w:rPr>
              <w:tab/>
            </w:r>
            <w:r w:rsidR="0025664D" w:rsidRPr="0025664D">
              <w:rPr>
                <w:noProof/>
                <w:webHidden/>
                <w:sz w:val="22"/>
                <w:szCs w:val="22"/>
              </w:rPr>
              <w:fldChar w:fldCharType="begin"/>
            </w:r>
            <w:r w:rsidR="0025664D" w:rsidRPr="0025664D">
              <w:rPr>
                <w:noProof/>
                <w:webHidden/>
                <w:sz w:val="22"/>
                <w:szCs w:val="22"/>
              </w:rPr>
              <w:instrText xml:space="preserve"> PAGEREF _Toc70532864 \h </w:instrText>
            </w:r>
            <w:r w:rsidR="0025664D" w:rsidRPr="0025664D">
              <w:rPr>
                <w:noProof/>
                <w:webHidden/>
                <w:sz w:val="22"/>
                <w:szCs w:val="22"/>
              </w:rPr>
            </w:r>
            <w:r w:rsidR="0025664D" w:rsidRPr="0025664D">
              <w:rPr>
                <w:noProof/>
                <w:webHidden/>
                <w:sz w:val="22"/>
                <w:szCs w:val="22"/>
              </w:rPr>
              <w:fldChar w:fldCharType="separate"/>
            </w:r>
            <w:r w:rsidR="0025664D" w:rsidRPr="0025664D">
              <w:rPr>
                <w:noProof/>
                <w:webHidden/>
                <w:sz w:val="22"/>
                <w:szCs w:val="22"/>
              </w:rPr>
              <w:t>10</w:t>
            </w:r>
            <w:r w:rsidR="0025664D" w:rsidRPr="0025664D">
              <w:rPr>
                <w:noProof/>
                <w:webHidden/>
                <w:sz w:val="22"/>
                <w:szCs w:val="22"/>
              </w:rPr>
              <w:fldChar w:fldCharType="end"/>
            </w:r>
          </w:hyperlink>
        </w:p>
        <w:p w14:paraId="7A4CEAE6" w14:textId="3BAF4CF4" w:rsidR="0025664D" w:rsidRPr="0025664D" w:rsidRDefault="009D3969" w:rsidP="0025664D">
          <w:pPr>
            <w:pStyle w:val="TOC3"/>
            <w:spacing w:before="60" w:after="60"/>
            <w:rPr>
              <w:rFonts w:asciiTheme="minorHAnsi" w:hAnsiTheme="minorHAnsi"/>
              <w:bCs w:val="0"/>
              <w:sz w:val="20"/>
              <w:szCs w:val="20"/>
              <w:lang w:eastAsia="lt-LT"/>
            </w:rPr>
          </w:pPr>
          <w:hyperlink w:anchor="_Toc70532865" w:history="1">
            <w:r w:rsidR="0025664D" w:rsidRPr="0025664D">
              <w:rPr>
                <w:rStyle w:val="Hyperlink"/>
                <w:rFonts w:cs="Times New Roman"/>
                <w:bCs w:val="0"/>
                <w:sz w:val="22"/>
                <w:szCs w:val="22"/>
              </w:rPr>
              <w:t>3.1.1 Daugiabučių modernizavimo projektų sukuriama kiekybinė pridėtinė vertė</w:t>
            </w:r>
            <w:r w:rsidR="0025664D" w:rsidRPr="0025664D">
              <w:rPr>
                <w:bCs w:val="0"/>
                <w:webHidden/>
                <w:sz w:val="22"/>
                <w:szCs w:val="22"/>
              </w:rPr>
              <w:tab/>
            </w:r>
            <w:r w:rsidR="0025664D" w:rsidRPr="0025664D">
              <w:rPr>
                <w:bCs w:val="0"/>
                <w:webHidden/>
                <w:sz w:val="22"/>
                <w:szCs w:val="22"/>
              </w:rPr>
              <w:fldChar w:fldCharType="begin"/>
            </w:r>
            <w:r w:rsidR="0025664D" w:rsidRPr="0025664D">
              <w:rPr>
                <w:bCs w:val="0"/>
                <w:webHidden/>
                <w:sz w:val="22"/>
                <w:szCs w:val="22"/>
              </w:rPr>
              <w:instrText xml:space="preserve"> PAGEREF _Toc70532865 \h </w:instrText>
            </w:r>
            <w:r w:rsidR="0025664D" w:rsidRPr="0025664D">
              <w:rPr>
                <w:bCs w:val="0"/>
                <w:webHidden/>
                <w:sz w:val="22"/>
                <w:szCs w:val="22"/>
              </w:rPr>
            </w:r>
            <w:r w:rsidR="0025664D" w:rsidRPr="0025664D">
              <w:rPr>
                <w:bCs w:val="0"/>
                <w:webHidden/>
                <w:sz w:val="22"/>
                <w:szCs w:val="22"/>
              </w:rPr>
              <w:fldChar w:fldCharType="separate"/>
            </w:r>
            <w:r w:rsidR="0025664D" w:rsidRPr="0025664D">
              <w:rPr>
                <w:bCs w:val="0"/>
                <w:webHidden/>
                <w:sz w:val="22"/>
                <w:szCs w:val="22"/>
              </w:rPr>
              <w:t>10</w:t>
            </w:r>
            <w:r w:rsidR="0025664D" w:rsidRPr="0025664D">
              <w:rPr>
                <w:bCs w:val="0"/>
                <w:webHidden/>
                <w:sz w:val="22"/>
                <w:szCs w:val="22"/>
              </w:rPr>
              <w:fldChar w:fldCharType="end"/>
            </w:r>
          </w:hyperlink>
        </w:p>
        <w:p w14:paraId="73DC6D04" w14:textId="5D869EFA" w:rsidR="0025664D" w:rsidRPr="0025664D" w:rsidRDefault="009D3969" w:rsidP="0025664D">
          <w:pPr>
            <w:pStyle w:val="TOC3"/>
            <w:spacing w:before="60" w:after="60"/>
            <w:rPr>
              <w:rFonts w:asciiTheme="minorHAnsi" w:hAnsiTheme="minorHAnsi"/>
              <w:bCs w:val="0"/>
              <w:sz w:val="20"/>
              <w:szCs w:val="20"/>
              <w:lang w:eastAsia="lt-LT"/>
            </w:rPr>
          </w:pPr>
          <w:hyperlink w:anchor="_Toc70532866" w:history="1">
            <w:r w:rsidR="0025664D" w:rsidRPr="0025664D">
              <w:rPr>
                <w:rStyle w:val="Hyperlink"/>
                <w:rFonts w:cs="Times New Roman"/>
                <w:bCs w:val="0"/>
                <w:sz w:val="22"/>
                <w:szCs w:val="22"/>
              </w:rPr>
              <w:t>3.1.2 Viešųjų pastatų renovacijos jautrumo analizė</w:t>
            </w:r>
            <w:r w:rsidR="0025664D" w:rsidRPr="0025664D">
              <w:rPr>
                <w:bCs w:val="0"/>
                <w:webHidden/>
                <w:sz w:val="22"/>
                <w:szCs w:val="22"/>
              </w:rPr>
              <w:tab/>
            </w:r>
            <w:r w:rsidR="0025664D" w:rsidRPr="0025664D">
              <w:rPr>
                <w:bCs w:val="0"/>
                <w:webHidden/>
                <w:sz w:val="22"/>
                <w:szCs w:val="22"/>
              </w:rPr>
              <w:fldChar w:fldCharType="begin"/>
            </w:r>
            <w:r w:rsidR="0025664D" w:rsidRPr="0025664D">
              <w:rPr>
                <w:bCs w:val="0"/>
                <w:webHidden/>
                <w:sz w:val="22"/>
                <w:szCs w:val="22"/>
              </w:rPr>
              <w:instrText xml:space="preserve"> PAGEREF _Toc70532866 \h </w:instrText>
            </w:r>
            <w:r w:rsidR="0025664D" w:rsidRPr="0025664D">
              <w:rPr>
                <w:bCs w:val="0"/>
                <w:webHidden/>
                <w:sz w:val="22"/>
                <w:szCs w:val="22"/>
              </w:rPr>
            </w:r>
            <w:r w:rsidR="0025664D" w:rsidRPr="0025664D">
              <w:rPr>
                <w:bCs w:val="0"/>
                <w:webHidden/>
                <w:sz w:val="22"/>
                <w:szCs w:val="22"/>
              </w:rPr>
              <w:fldChar w:fldCharType="separate"/>
            </w:r>
            <w:r w:rsidR="0025664D" w:rsidRPr="0025664D">
              <w:rPr>
                <w:bCs w:val="0"/>
                <w:webHidden/>
                <w:sz w:val="22"/>
                <w:szCs w:val="22"/>
              </w:rPr>
              <w:t>10</w:t>
            </w:r>
            <w:r w:rsidR="0025664D" w:rsidRPr="0025664D">
              <w:rPr>
                <w:bCs w:val="0"/>
                <w:webHidden/>
                <w:sz w:val="22"/>
                <w:szCs w:val="22"/>
              </w:rPr>
              <w:fldChar w:fldCharType="end"/>
            </w:r>
          </w:hyperlink>
        </w:p>
        <w:p w14:paraId="6A4F2F35" w14:textId="6747320B" w:rsidR="0025664D" w:rsidRPr="0025664D" w:rsidRDefault="009D3969" w:rsidP="0025664D">
          <w:pPr>
            <w:pStyle w:val="TOC2"/>
            <w:spacing w:before="60" w:after="60"/>
            <w:rPr>
              <w:rFonts w:asciiTheme="minorHAnsi" w:hAnsiTheme="minorHAnsi"/>
              <w:noProof/>
              <w:sz w:val="20"/>
              <w:szCs w:val="20"/>
              <w:lang w:eastAsia="lt-LT"/>
            </w:rPr>
          </w:pPr>
          <w:hyperlink w:anchor="_Toc70532867" w:history="1">
            <w:r w:rsidR="0025664D" w:rsidRPr="0025664D">
              <w:rPr>
                <w:rStyle w:val="Hyperlink"/>
                <w:rFonts w:cs="Times New Roman"/>
                <w:noProof/>
                <w:sz w:val="22"/>
                <w:szCs w:val="22"/>
              </w:rPr>
              <w:t>3.2 Kokybinis pridėtinės vertės vertinimas</w:t>
            </w:r>
            <w:r w:rsidR="0025664D" w:rsidRPr="0025664D">
              <w:rPr>
                <w:noProof/>
                <w:webHidden/>
                <w:sz w:val="22"/>
                <w:szCs w:val="22"/>
              </w:rPr>
              <w:tab/>
            </w:r>
            <w:r w:rsidR="0025664D" w:rsidRPr="0025664D">
              <w:rPr>
                <w:noProof/>
                <w:webHidden/>
                <w:sz w:val="22"/>
                <w:szCs w:val="22"/>
              </w:rPr>
              <w:fldChar w:fldCharType="begin"/>
            </w:r>
            <w:r w:rsidR="0025664D" w:rsidRPr="0025664D">
              <w:rPr>
                <w:noProof/>
                <w:webHidden/>
                <w:sz w:val="22"/>
                <w:szCs w:val="22"/>
              </w:rPr>
              <w:instrText xml:space="preserve"> PAGEREF _Toc70532867 \h </w:instrText>
            </w:r>
            <w:r w:rsidR="0025664D" w:rsidRPr="0025664D">
              <w:rPr>
                <w:noProof/>
                <w:webHidden/>
                <w:sz w:val="22"/>
                <w:szCs w:val="22"/>
              </w:rPr>
            </w:r>
            <w:r w:rsidR="0025664D" w:rsidRPr="0025664D">
              <w:rPr>
                <w:noProof/>
                <w:webHidden/>
                <w:sz w:val="22"/>
                <w:szCs w:val="22"/>
              </w:rPr>
              <w:fldChar w:fldCharType="separate"/>
            </w:r>
            <w:r w:rsidR="0025664D" w:rsidRPr="0025664D">
              <w:rPr>
                <w:noProof/>
                <w:webHidden/>
                <w:sz w:val="22"/>
                <w:szCs w:val="22"/>
              </w:rPr>
              <w:t>11</w:t>
            </w:r>
            <w:r w:rsidR="0025664D" w:rsidRPr="0025664D">
              <w:rPr>
                <w:noProof/>
                <w:webHidden/>
                <w:sz w:val="22"/>
                <w:szCs w:val="22"/>
              </w:rPr>
              <w:fldChar w:fldCharType="end"/>
            </w:r>
          </w:hyperlink>
        </w:p>
        <w:p w14:paraId="7AD2EEB9" w14:textId="223C63E3" w:rsidR="0025664D" w:rsidRPr="0025664D" w:rsidRDefault="009D3969" w:rsidP="0025664D">
          <w:pPr>
            <w:pStyle w:val="TOC3"/>
            <w:spacing w:before="60" w:after="60"/>
            <w:rPr>
              <w:rFonts w:asciiTheme="minorHAnsi" w:hAnsiTheme="minorHAnsi"/>
              <w:bCs w:val="0"/>
              <w:sz w:val="20"/>
              <w:szCs w:val="20"/>
              <w:lang w:eastAsia="lt-LT"/>
            </w:rPr>
          </w:pPr>
          <w:hyperlink w:anchor="_Toc70532868" w:history="1">
            <w:r w:rsidR="0025664D" w:rsidRPr="0025664D">
              <w:rPr>
                <w:rStyle w:val="Hyperlink"/>
                <w:rFonts w:cs="Times New Roman"/>
                <w:bCs w:val="0"/>
                <w:sz w:val="22"/>
                <w:szCs w:val="22"/>
              </w:rPr>
              <w:t>3.2.1 Daugiabučių modernizavimo projektų sukuriama kokybinė pridėtinė vertė</w:t>
            </w:r>
            <w:r w:rsidR="0025664D" w:rsidRPr="0025664D">
              <w:rPr>
                <w:bCs w:val="0"/>
                <w:webHidden/>
                <w:sz w:val="22"/>
                <w:szCs w:val="22"/>
              </w:rPr>
              <w:tab/>
            </w:r>
            <w:r w:rsidR="0025664D" w:rsidRPr="0025664D">
              <w:rPr>
                <w:bCs w:val="0"/>
                <w:webHidden/>
                <w:sz w:val="22"/>
                <w:szCs w:val="22"/>
              </w:rPr>
              <w:fldChar w:fldCharType="begin"/>
            </w:r>
            <w:r w:rsidR="0025664D" w:rsidRPr="0025664D">
              <w:rPr>
                <w:bCs w:val="0"/>
                <w:webHidden/>
                <w:sz w:val="22"/>
                <w:szCs w:val="22"/>
              </w:rPr>
              <w:instrText xml:space="preserve"> PAGEREF _Toc70532868 \h </w:instrText>
            </w:r>
            <w:r w:rsidR="0025664D" w:rsidRPr="0025664D">
              <w:rPr>
                <w:bCs w:val="0"/>
                <w:webHidden/>
                <w:sz w:val="22"/>
                <w:szCs w:val="22"/>
              </w:rPr>
            </w:r>
            <w:r w:rsidR="0025664D" w:rsidRPr="0025664D">
              <w:rPr>
                <w:bCs w:val="0"/>
                <w:webHidden/>
                <w:sz w:val="22"/>
                <w:szCs w:val="22"/>
              </w:rPr>
              <w:fldChar w:fldCharType="separate"/>
            </w:r>
            <w:r w:rsidR="0025664D" w:rsidRPr="0025664D">
              <w:rPr>
                <w:bCs w:val="0"/>
                <w:webHidden/>
                <w:sz w:val="22"/>
                <w:szCs w:val="22"/>
              </w:rPr>
              <w:t>11</w:t>
            </w:r>
            <w:r w:rsidR="0025664D" w:rsidRPr="0025664D">
              <w:rPr>
                <w:bCs w:val="0"/>
                <w:webHidden/>
                <w:sz w:val="22"/>
                <w:szCs w:val="22"/>
              </w:rPr>
              <w:fldChar w:fldCharType="end"/>
            </w:r>
          </w:hyperlink>
        </w:p>
        <w:p w14:paraId="091D33AF" w14:textId="0E2BCE51" w:rsidR="0025664D" w:rsidRPr="0025664D" w:rsidRDefault="009D3969" w:rsidP="0025664D">
          <w:pPr>
            <w:pStyle w:val="TOC3"/>
            <w:spacing w:before="60" w:after="60"/>
            <w:rPr>
              <w:rFonts w:asciiTheme="minorHAnsi" w:hAnsiTheme="minorHAnsi"/>
              <w:bCs w:val="0"/>
              <w:sz w:val="20"/>
              <w:szCs w:val="20"/>
              <w:lang w:eastAsia="lt-LT"/>
            </w:rPr>
          </w:pPr>
          <w:hyperlink w:anchor="_Toc70532869" w:history="1">
            <w:r w:rsidR="0025664D" w:rsidRPr="0025664D">
              <w:rPr>
                <w:rStyle w:val="Hyperlink"/>
                <w:rFonts w:cs="Times New Roman"/>
                <w:bCs w:val="0"/>
                <w:sz w:val="22"/>
                <w:szCs w:val="22"/>
              </w:rPr>
              <w:t>3.2.2 Viešųjų pastatų modernizavimo projektų sukuriama kokybinė pridėtinė vertė</w:t>
            </w:r>
            <w:r w:rsidR="0025664D" w:rsidRPr="0025664D">
              <w:rPr>
                <w:bCs w:val="0"/>
                <w:webHidden/>
                <w:sz w:val="22"/>
                <w:szCs w:val="22"/>
              </w:rPr>
              <w:tab/>
            </w:r>
            <w:r w:rsidR="0025664D" w:rsidRPr="0025664D">
              <w:rPr>
                <w:bCs w:val="0"/>
                <w:webHidden/>
                <w:sz w:val="22"/>
                <w:szCs w:val="22"/>
              </w:rPr>
              <w:fldChar w:fldCharType="begin"/>
            </w:r>
            <w:r w:rsidR="0025664D" w:rsidRPr="0025664D">
              <w:rPr>
                <w:bCs w:val="0"/>
                <w:webHidden/>
                <w:sz w:val="22"/>
                <w:szCs w:val="22"/>
              </w:rPr>
              <w:instrText xml:space="preserve"> PAGEREF _Toc70532869 \h </w:instrText>
            </w:r>
            <w:r w:rsidR="0025664D" w:rsidRPr="0025664D">
              <w:rPr>
                <w:bCs w:val="0"/>
                <w:webHidden/>
                <w:sz w:val="22"/>
                <w:szCs w:val="22"/>
              </w:rPr>
            </w:r>
            <w:r w:rsidR="0025664D" w:rsidRPr="0025664D">
              <w:rPr>
                <w:bCs w:val="0"/>
                <w:webHidden/>
                <w:sz w:val="22"/>
                <w:szCs w:val="22"/>
              </w:rPr>
              <w:fldChar w:fldCharType="separate"/>
            </w:r>
            <w:r w:rsidR="0025664D" w:rsidRPr="0025664D">
              <w:rPr>
                <w:bCs w:val="0"/>
                <w:webHidden/>
                <w:sz w:val="22"/>
                <w:szCs w:val="22"/>
              </w:rPr>
              <w:t>12</w:t>
            </w:r>
            <w:r w:rsidR="0025664D" w:rsidRPr="0025664D">
              <w:rPr>
                <w:bCs w:val="0"/>
                <w:webHidden/>
                <w:sz w:val="22"/>
                <w:szCs w:val="22"/>
              </w:rPr>
              <w:fldChar w:fldCharType="end"/>
            </w:r>
          </w:hyperlink>
        </w:p>
        <w:p w14:paraId="40547972" w14:textId="4ED0E1EF" w:rsidR="0025664D" w:rsidRPr="0025664D" w:rsidRDefault="009D3969" w:rsidP="0025664D">
          <w:pPr>
            <w:pStyle w:val="TOC3"/>
            <w:spacing w:before="60" w:after="60"/>
            <w:rPr>
              <w:rFonts w:asciiTheme="minorHAnsi" w:hAnsiTheme="minorHAnsi"/>
              <w:bCs w:val="0"/>
              <w:sz w:val="20"/>
              <w:szCs w:val="20"/>
              <w:lang w:eastAsia="lt-LT"/>
            </w:rPr>
          </w:pPr>
          <w:hyperlink w:anchor="_Toc70532870" w:history="1">
            <w:r w:rsidR="0025664D" w:rsidRPr="0025664D">
              <w:rPr>
                <w:rStyle w:val="Hyperlink"/>
                <w:rFonts w:cs="Times New Roman"/>
                <w:bCs w:val="0"/>
                <w:sz w:val="22"/>
                <w:szCs w:val="22"/>
              </w:rPr>
              <w:t>3.2.3 Gatvės apšvietimo modernizavimo projektų sukuriama kokybinė pridėtinė vertė</w:t>
            </w:r>
            <w:r w:rsidR="0025664D" w:rsidRPr="0025664D">
              <w:rPr>
                <w:bCs w:val="0"/>
                <w:webHidden/>
                <w:sz w:val="22"/>
                <w:szCs w:val="22"/>
              </w:rPr>
              <w:tab/>
            </w:r>
            <w:r w:rsidR="0025664D" w:rsidRPr="0025664D">
              <w:rPr>
                <w:bCs w:val="0"/>
                <w:webHidden/>
                <w:sz w:val="22"/>
                <w:szCs w:val="22"/>
              </w:rPr>
              <w:fldChar w:fldCharType="begin"/>
            </w:r>
            <w:r w:rsidR="0025664D" w:rsidRPr="0025664D">
              <w:rPr>
                <w:bCs w:val="0"/>
                <w:webHidden/>
                <w:sz w:val="22"/>
                <w:szCs w:val="22"/>
              </w:rPr>
              <w:instrText xml:space="preserve"> PAGEREF _Toc70532870 \h </w:instrText>
            </w:r>
            <w:r w:rsidR="0025664D" w:rsidRPr="0025664D">
              <w:rPr>
                <w:bCs w:val="0"/>
                <w:webHidden/>
                <w:sz w:val="22"/>
                <w:szCs w:val="22"/>
              </w:rPr>
            </w:r>
            <w:r w:rsidR="0025664D" w:rsidRPr="0025664D">
              <w:rPr>
                <w:bCs w:val="0"/>
                <w:webHidden/>
                <w:sz w:val="22"/>
                <w:szCs w:val="22"/>
              </w:rPr>
              <w:fldChar w:fldCharType="separate"/>
            </w:r>
            <w:r w:rsidR="0025664D" w:rsidRPr="0025664D">
              <w:rPr>
                <w:bCs w:val="0"/>
                <w:webHidden/>
                <w:sz w:val="22"/>
                <w:szCs w:val="22"/>
              </w:rPr>
              <w:t>13</w:t>
            </w:r>
            <w:r w:rsidR="0025664D" w:rsidRPr="0025664D">
              <w:rPr>
                <w:bCs w:val="0"/>
                <w:webHidden/>
                <w:sz w:val="22"/>
                <w:szCs w:val="22"/>
              </w:rPr>
              <w:fldChar w:fldCharType="end"/>
            </w:r>
          </w:hyperlink>
        </w:p>
        <w:p w14:paraId="03C3DF16" w14:textId="0D8DEC39" w:rsidR="0025664D" w:rsidRPr="0025664D" w:rsidRDefault="009D3969" w:rsidP="0025664D">
          <w:pPr>
            <w:pStyle w:val="TOC2"/>
            <w:spacing w:before="60" w:after="60"/>
            <w:rPr>
              <w:rFonts w:asciiTheme="minorHAnsi" w:hAnsiTheme="minorHAnsi"/>
              <w:noProof/>
              <w:sz w:val="20"/>
              <w:szCs w:val="20"/>
              <w:lang w:eastAsia="lt-LT"/>
            </w:rPr>
          </w:pPr>
          <w:hyperlink w:anchor="_Toc70532871" w:history="1">
            <w:r w:rsidR="0025664D" w:rsidRPr="0025664D">
              <w:rPr>
                <w:rStyle w:val="Hyperlink"/>
                <w:rFonts w:cs="Times New Roman"/>
                <w:noProof/>
                <w:sz w:val="22"/>
                <w:szCs w:val="22"/>
              </w:rPr>
              <w:t>3.3 Suderinamumo vertinimas</w:t>
            </w:r>
            <w:r w:rsidR="0025664D" w:rsidRPr="0025664D">
              <w:rPr>
                <w:noProof/>
                <w:webHidden/>
                <w:sz w:val="22"/>
                <w:szCs w:val="22"/>
              </w:rPr>
              <w:tab/>
            </w:r>
            <w:r w:rsidR="0025664D" w:rsidRPr="0025664D">
              <w:rPr>
                <w:noProof/>
                <w:webHidden/>
                <w:sz w:val="22"/>
                <w:szCs w:val="22"/>
              </w:rPr>
              <w:fldChar w:fldCharType="begin"/>
            </w:r>
            <w:r w:rsidR="0025664D" w:rsidRPr="0025664D">
              <w:rPr>
                <w:noProof/>
                <w:webHidden/>
                <w:sz w:val="22"/>
                <w:szCs w:val="22"/>
              </w:rPr>
              <w:instrText xml:space="preserve"> PAGEREF _Toc70532871 \h </w:instrText>
            </w:r>
            <w:r w:rsidR="0025664D" w:rsidRPr="0025664D">
              <w:rPr>
                <w:noProof/>
                <w:webHidden/>
                <w:sz w:val="22"/>
                <w:szCs w:val="22"/>
              </w:rPr>
            </w:r>
            <w:r w:rsidR="0025664D" w:rsidRPr="0025664D">
              <w:rPr>
                <w:noProof/>
                <w:webHidden/>
                <w:sz w:val="22"/>
                <w:szCs w:val="22"/>
              </w:rPr>
              <w:fldChar w:fldCharType="separate"/>
            </w:r>
            <w:r w:rsidR="0025664D" w:rsidRPr="0025664D">
              <w:rPr>
                <w:noProof/>
                <w:webHidden/>
                <w:sz w:val="22"/>
                <w:szCs w:val="22"/>
              </w:rPr>
              <w:t>13</w:t>
            </w:r>
            <w:r w:rsidR="0025664D" w:rsidRPr="0025664D">
              <w:rPr>
                <w:noProof/>
                <w:webHidden/>
                <w:sz w:val="22"/>
                <w:szCs w:val="22"/>
              </w:rPr>
              <w:fldChar w:fldCharType="end"/>
            </w:r>
          </w:hyperlink>
        </w:p>
        <w:p w14:paraId="0C520C36" w14:textId="79798E2B" w:rsidR="0025664D" w:rsidRPr="0025664D" w:rsidRDefault="009D3969" w:rsidP="0025664D">
          <w:pPr>
            <w:pStyle w:val="TOC3"/>
            <w:spacing w:before="60" w:after="60"/>
            <w:rPr>
              <w:rFonts w:asciiTheme="minorHAnsi" w:hAnsiTheme="minorHAnsi"/>
              <w:bCs w:val="0"/>
              <w:sz w:val="20"/>
              <w:szCs w:val="20"/>
              <w:lang w:eastAsia="lt-LT"/>
            </w:rPr>
          </w:pPr>
          <w:hyperlink w:anchor="_Toc70532872" w:history="1">
            <w:r w:rsidR="0025664D" w:rsidRPr="0025664D">
              <w:rPr>
                <w:rStyle w:val="Hyperlink"/>
                <w:rFonts w:cs="Times New Roman"/>
                <w:bCs w:val="0"/>
                <w:sz w:val="22"/>
                <w:szCs w:val="22"/>
              </w:rPr>
              <w:t>3.3.1 Daugiabučių modernizavimo projektų suderinamumas su kitomis viešųjų intervencijų formomis</w:t>
            </w:r>
            <w:r w:rsidR="0025664D" w:rsidRPr="0025664D">
              <w:rPr>
                <w:bCs w:val="0"/>
                <w:webHidden/>
                <w:sz w:val="22"/>
                <w:szCs w:val="22"/>
              </w:rPr>
              <w:tab/>
            </w:r>
            <w:r w:rsidR="0025664D" w:rsidRPr="0025664D">
              <w:rPr>
                <w:bCs w:val="0"/>
                <w:webHidden/>
                <w:sz w:val="22"/>
                <w:szCs w:val="22"/>
              </w:rPr>
              <w:fldChar w:fldCharType="begin"/>
            </w:r>
            <w:r w:rsidR="0025664D" w:rsidRPr="0025664D">
              <w:rPr>
                <w:bCs w:val="0"/>
                <w:webHidden/>
                <w:sz w:val="22"/>
                <w:szCs w:val="22"/>
              </w:rPr>
              <w:instrText xml:space="preserve"> PAGEREF _Toc70532872 \h </w:instrText>
            </w:r>
            <w:r w:rsidR="0025664D" w:rsidRPr="0025664D">
              <w:rPr>
                <w:bCs w:val="0"/>
                <w:webHidden/>
                <w:sz w:val="22"/>
                <w:szCs w:val="22"/>
              </w:rPr>
            </w:r>
            <w:r w:rsidR="0025664D" w:rsidRPr="0025664D">
              <w:rPr>
                <w:bCs w:val="0"/>
                <w:webHidden/>
                <w:sz w:val="22"/>
                <w:szCs w:val="22"/>
              </w:rPr>
              <w:fldChar w:fldCharType="separate"/>
            </w:r>
            <w:r w:rsidR="0025664D" w:rsidRPr="0025664D">
              <w:rPr>
                <w:bCs w:val="0"/>
                <w:webHidden/>
                <w:sz w:val="22"/>
                <w:szCs w:val="22"/>
              </w:rPr>
              <w:t>13</w:t>
            </w:r>
            <w:r w:rsidR="0025664D" w:rsidRPr="0025664D">
              <w:rPr>
                <w:bCs w:val="0"/>
                <w:webHidden/>
                <w:sz w:val="22"/>
                <w:szCs w:val="22"/>
              </w:rPr>
              <w:fldChar w:fldCharType="end"/>
            </w:r>
          </w:hyperlink>
        </w:p>
        <w:p w14:paraId="42AB3674" w14:textId="1539FFEA" w:rsidR="0025664D" w:rsidRPr="0025664D" w:rsidRDefault="009D3969" w:rsidP="0025664D">
          <w:pPr>
            <w:pStyle w:val="TOC3"/>
            <w:spacing w:before="60" w:after="60"/>
            <w:rPr>
              <w:rFonts w:asciiTheme="minorHAnsi" w:hAnsiTheme="minorHAnsi"/>
              <w:bCs w:val="0"/>
              <w:sz w:val="20"/>
              <w:szCs w:val="20"/>
              <w:lang w:eastAsia="lt-LT"/>
            </w:rPr>
          </w:pPr>
          <w:hyperlink w:anchor="_Toc70532873" w:history="1">
            <w:r w:rsidR="0025664D" w:rsidRPr="0025664D">
              <w:rPr>
                <w:rStyle w:val="Hyperlink"/>
                <w:rFonts w:cs="Times New Roman"/>
                <w:bCs w:val="0"/>
                <w:sz w:val="22"/>
                <w:szCs w:val="22"/>
              </w:rPr>
              <w:t>3.3.2 Viešųjų pastatų modernizavimo projektų suderinamumas su kitomis viešųjų intervencijų formomis</w:t>
            </w:r>
            <w:r w:rsidR="0025664D" w:rsidRPr="0025664D">
              <w:rPr>
                <w:bCs w:val="0"/>
                <w:webHidden/>
                <w:sz w:val="22"/>
                <w:szCs w:val="22"/>
              </w:rPr>
              <w:tab/>
            </w:r>
            <w:r w:rsidR="0025664D" w:rsidRPr="0025664D">
              <w:rPr>
                <w:bCs w:val="0"/>
                <w:webHidden/>
                <w:sz w:val="22"/>
                <w:szCs w:val="22"/>
              </w:rPr>
              <w:fldChar w:fldCharType="begin"/>
            </w:r>
            <w:r w:rsidR="0025664D" w:rsidRPr="0025664D">
              <w:rPr>
                <w:bCs w:val="0"/>
                <w:webHidden/>
                <w:sz w:val="22"/>
                <w:szCs w:val="22"/>
              </w:rPr>
              <w:instrText xml:space="preserve"> PAGEREF _Toc70532873 \h </w:instrText>
            </w:r>
            <w:r w:rsidR="0025664D" w:rsidRPr="0025664D">
              <w:rPr>
                <w:bCs w:val="0"/>
                <w:webHidden/>
                <w:sz w:val="22"/>
                <w:szCs w:val="22"/>
              </w:rPr>
            </w:r>
            <w:r w:rsidR="0025664D" w:rsidRPr="0025664D">
              <w:rPr>
                <w:bCs w:val="0"/>
                <w:webHidden/>
                <w:sz w:val="22"/>
                <w:szCs w:val="22"/>
              </w:rPr>
              <w:fldChar w:fldCharType="separate"/>
            </w:r>
            <w:r w:rsidR="0025664D" w:rsidRPr="0025664D">
              <w:rPr>
                <w:bCs w:val="0"/>
                <w:webHidden/>
                <w:sz w:val="22"/>
                <w:szCs w:val="22"/>
              </w:rPr>
              <w:t>15</w:t>
            </w:r>
            <w:r w:rsidR="0025664D" w:rsidRPr="0025664D">
              <w:rPr>
                <w:bCs w:val="0"/>
                <w:webHidden/>
                <w:sz w:val="22"/>
                <w:szCs w:val="22"/>
              </w:rPr>
              <w:fldChar w:fldCharType="end"/>
            </w:r>
          </w:hyperlink>
        </w:p>
        <w:p w14:paraId="3D54DAE1" w14:textId="7E054962" w:rsidR="0025664D" w:rsidRPr="0025664D" w:rsidRDefault="009D3969" w:rsidP="0025664D">
          <w:pPr>
            <w:pStyle w:val="TOC3"/>
            <w:spacing w:before="60" w:after="60"/>
            <w:rPr>
              <w:rFonts w:asciiTheme="minorHAnsi" w:hAnsiTheme="minorHAnsi"/>
              <w:bCs w:val="0"/>
              <w:sz w:val="20"/>
              <w:szCs w:val="20"/>
              <w:lang w:eastAsia="lt-LT"/>
            </w:rPr>
          </w:pPr>
          <w:hyperlink w:anchor="_Toc70532874" w:history="1">
            <w:r w:rsidR="0025664D" w:rsidRPr="0025664D">
              <w:rPr>
                <w:rStyle w:val="Hyperlink"/>
                <w:rFonts w:cs="Times New Roman"/>
                <w:bCs w:val="0"/>
                <w:sz w:val="22"/>
                <w:szCs w:val="22"/>
              </w:rPr>
              <w:t>3.3.3 Gatvių apšvietimo modernizavimo projektų suderinamumas su kitomis viešųjų intervencijų formomis</w:t>
            </w:r>
            <w:r w:rsidR="0025664D" w:rsidRPr="0025664D">
              <w:rPr>
                <w:bCs w:val="0"/>
                <w:webHidden/>
                <w:sz w:val="22"/>
                <w:szCs w:val="22"/>
              </w:rPr>
              <w:tab/>
            </w:r>
            <w:r w:rsidR="0025664D" w:rsidRPr="0025664D">
              <w:rPr>
                <w:bCs w:val="0"/>
                <w:webHidden/>
                <w:sz w:val="22"/>
                <w:szCs w:val="22"/>
              </w:rPr>
              <w:fldChar w:fldCharType="begin"/>
            </w:r>
            <w:r w:rsidR="0025664D" w:rsidRPr="0025664D">
              <w:rPr>
                <w:bCs w:val="0"/>
                <w:webHidden/>
                <w:sz w:val="22"/>
                <w:szCs w:val="22"/>
              </w:rPr>
              <w:instrText xml:space="preserve"> PAGEREF _Toc70532874 \h </w:instrText>
            </w:r>
            <w:r w:rsidR="0025664D" w:rsidRPr="0025664D">
              <w:rPr>
                <w:bCs w:val="0"/>
                <w:webHidden/>
                <w:sz w:val="22"/>
                <w:szCs w:val="22"/>
              </w:rPr>
            </w:r>
            <w:r w:rsidR="0025664D" w:rsidRPr="0025664D">
              <w:rPr>
                <w:bCs w:val="0"/>
                <w:webHidden/>
                <w:sz w:val="22"/>
                <w:szCs w:val="22"/>
              </w:rPr>
              <w:fldChar w:fldCharType="separate"/>
            </w:r>
            <w:r w:rsidR="0025664D" w:rsidRPr="0025664D">
              <w:rPr>
                <w:bCs w:val="0"/>
                <w:webHidden/>
                <w:sz w:val="22"/>
                <w:szCs w:val="22"/>
              </w:rPr>
              <w:t>15</w:t>
            </w:r>
            <w:r w:rsidR="0025664D" w:rsidRPr="0025664D">
              <w:rPr>
                <w:bCs w:val="0"/>
                <w:webHidden/>
                <w:sz w:val="22"/>
                <w:szCs w:val="22"/>
              </w:rPr>
              <w:fldChar w:fldCharType="end"/>
            </w:r>
          </w:hyperlink>
        </w:p>
        <w:p w14:paraId="7B5DC24D" w14:textId="1BF108FC" w:rsidR="0025664D" w:rsidRPr="0025664D" w:rsidRDefault="009D3969" w:rsidP="0025664D">
          <w:pPr>
            <w:pStyle w:val="TOC1"/>
            <w:spacing w:before="60" w:after="60"/>
            <w:rPr>
              <w:rFonts w:asciiTheme="minorHAnsi" w:hAnsiTheme="minorHAnsi" w:cstheme="minorBidi"/>
              <w:b w:val="0"/>
              <w:bCs w:val="0"/>
              <w:sz w:val="20"/>
              <w:szCs w:val="20"/>
            </w:rPr>
          </w:pPr>
          <w:hyperlink w:anchor="_Toc70532875" w:history="1">
            <w:r w:rsidR="0025664D" w:rsidRPr="0025664D">
              <w:rPr>
                <w:rStyle w:val="Hyperlink"/>
                <w:b w:val="0"/>
                <w:bCs w:val="0"/>
                <w:sz w:val="22"/>
                <w:szCs w:val="22"/>
              </w:rPr>
              <w:t>4 Papildomų viešųjų ir privačiųjų lėšų apskaičiavimas</w:t>
            </w:r>
            <w:r w:rsidR="0025664D" w:rsidRPr="0025664D">
              <w:rPr>
                <w:b w:val="0"/>
                <w:bCs w:val="0"/>
                <w:webHidden/>
                <w:sz w:val="22"/>
                <w:szCs w:val="22"/>
              </w:rPr>
              <w:tab/>
            </w:r>
            <w:r w:rsidR="0025664D" w:rsidRPr="0025664D">
              <w:rPr>
                <w:b w:val="0"/>
                <w:bCs w:val="0"/>
                <w:webHidden/>
                <w:sz w:val="22"/>
                <w:szCs w:val="22"/>
              </w:rPr>
              <w:fldChar w:fldCharType="begin"/>
            </w:r>
            <w:r w:rsidR="0025664D" w:rsidRPr="0025664D">
              <w:rPr>
                <w:b w:val="0"/>
                <w:bCs w:val="0"/>
                <w:webHidden/>
                <w:sz w:val="22"/>
                <w:szCs w:val="22"/>
              </w:rPr>
              <w:instrText xml:space="preserve"> PAGEREF _Toc70532875 \h </w:instrText>
            </w:r>
            <w:r w:rsidR="0025664D" w:rsidRPr="0025664D">
              <w:rPr>
                <w:b w:val="0"/>
                <w:bCs w:val="0"/>
                <w:webHidden/>
                <w:sz w:val="22"/>
                <w:szCs w:val="22"/>
              </w:rPr>
            </w:r>
            <w:r w:rsidR="0025664D" w:rsidRPr="0025664D">
              <w:rPr>
                <w:b w:val="0"/>
                <w:bCs w:val="0"/>
                <w:webHidden/>
                <w:sz w:val="22"/>
                <w:szCs w:val="22"/>
              </w:rPr>
              <w:fldChar w:fldCharType="separate"/>
            </w:r>
            <w:r w:rsidR="0025664D" w:rsidRPr="0025664D">
              <w:rPr>
                <w:b w:val="0"/>
                <w:bCs w:val="0"/>
                <w:webHidden/>
                <w:sz w:val="22"/>
                <w:szCs w:val="22"/>
              </w:rPr>
              <w:t>15</w:t>
            </w:r>
            <w:r w:rsidR="0025664D" w:rsidRPr="0025664D">
              <w:rPr>
                <w:b w:val="0"/>
                <w:bCs w:val="0"/>
                <w:webHidden/>
                <w:sz w:val="22"/>
                <w:szCs w:val="22"/>
              </w:rPr>
              <w:fldChar w:fldCharType="end"/>
            </w:r>
          </w:hyperlink>
        </w:p>
        <w:p w14:paraId="56F3F8A3" w14:textId="58C651BA" w:rsidR="0025664D" w:rsidRPr="0025664D" w:rsidRDefault="009D3969" w:rsidP="0025664D">
          <w:pPr>
            <w:pStyle w:val="TOC2"/>
            <w:spacing w:before="60" w:after="60"/>
            <w:rPr>
              <w:rFonts w:asciiTheme="minorHAnsi" w:hAnsiTheme="minorHAnsi"/>
              <w:noProof/>
              <w:sz w:val="20"/>
              <w:szCs w:val="20"/>
              <w:lang w:eastAsia="lt-LT"/>
            </w:rPr>
          </w:pPr>
          <w:hyperlink w:anchor="_Toc70532876" w:history="1">
            <w:r w:rsidR="0025664D" w:rsidRPr="0025664D">
              <w:rPr>
                <w:rStyle w:val="Hyperlink"/>
                <w:rFonts w:cs="Times New Roman"/>
                <w:noProof/>
                <w:sz w:val="22"/>
                <w:szCs w:val="22"/>
              </w:rPr>
              <w:t>4.1 Lėšų šaltinių identifikavimas</w:t>
            </w:r>
            <w:r w:rsidR="0025664D" w:rsidRPr="0025664D">
              <w:rPr>
                <w:noProof/>
                <w:webHidden/>
                <w:sz w:val="22"/>
                <w:szCs w:val="22"/>
              </w:rPr>
              <w:tab/>
            </w:r>
            <w:r w:rsidR="0025664D" w:rsidRPr="0025664D">
              <w:rPr>
                <w:noProof/>
                <w:webHidden/>
                <w:sz w:val="22"/>
                <w:szCs w:val="22"/>
              </w:rPr>
              <w:fldChar w:fldCharType="begin"/>
            </w:r>
            <w:r w:rsidR="0025664D" w:rsidRPr="0025664D">
              <w:rPr>
                <w:noProof/>
                <w:webHidden/>
                <w:sz w:val="22"/>
                <w:szCs w:val="22"/>
              </w:rPr>
              <w:instrText xml:space="preserve"> PAGEREF _Toc70532876 \h </w:instrText>
            </w:r>
            <w:r w:rsidR="0025664D" w:rsidRPr="0025664D">
              <w:rPr>
                <w:noProof/>
                <w:webHidden/>
                <w:sz w:val="22"/>
                <w:szCs w:val="22"/>
              </w:rPr>
            </w:r>
            <w:r w:rsidR="0025664D" w:rsidRPr="0025664D">
              <w:rPr>
                <w:noProof/>
                <w:webHidden/>
                <w:sz w:val="22"/>
                <w:szCs w:val="22"/>
              </w:rPr>
              <w:fldChar w:fldCharType="separate"/>
            </w:r>
            <w:r w:rsidR="0025664D" w:rsidRPr="0025664D">
              <w:rPr>
                <w:noProof/>
                <w:webHidden/>
                <w:sz w:val="22"/>
                <w:szCs w:val="22"/>
              </w:rPr>
              <w:t>15</w:t>
            </w:r>
            <w:r w:rsidR="0025664D" w:rsidRPr="0025664D">
              <w:rPr>
                <w:noProof/>
                <w:webHidden/>
                <w:sz w:val="22"/>
                <w:szCs w:val="22"/>
              </w:rPr>
              <w:fldChar w:fldCharType="end"/>
            </w:r>
          </w:hyperlink>
        </w:p>
        <w:p w14:paraId="68965802" w14:textId="1AB7CFCD" w:rsidR="0025664D" w:rsidRPr="0025664D" w:rsidRDefault="009D3969" w:rsidP="0025664D">
          <w:pPr>
            <w:pStyle w:val="TOC2"/>
            <w:spacing w:before="60" w:after="60"/>
            <w:rPr>
              <w:rFonts w:asciiTheme="minorHAnsi" w:hAnsiTheme="minorHAnsi"/>
              <w:noProof/>
              <w:sz w:val="20"/>
              <w:szCs w:val="20"/>
              <w:lang w:eastAsia="lt-LT"/>
            </w:rPr>
          </w:pPr>
          <w:hyperlink w:anchor="_Toc70532877" w:history="1">
            <w:r w:rsidR="0025664D" w:rsidRPr="0025664D">
              <w:rPr>
                <w:rStyle w:val="Hyperlink"/>
                <w:rFonts w:cs="Times New Roman"/>
                <w:noProof/>
                <w:sz w:val="22"/>
                <w:szCs w:val="22"/>
              </w:rPr>
              <w:t>4.2 Skatinamųjų elementų  įvertinimas</w:t>
            </w:r>
            <w:r w:rsidR="0025664D" w:rsidRPr="0025664D">
              <w:rPr>
                <w:noProof/>
                <w:webHidden/>
                <w:sz w:val="22"/>
                <w:szCs w:val="22"/>
              </w:rPr>
              <w:tab/>
            </w:r>
            <w:r w:rsidR="0025664D" w:rsidRPr="0025664D">
              <w:rPr>
                <w:noProof/>
                <w:webHidden/>
                <w:sz w:val="22"/>
                <w:szCs w:val="22"/>
              </w:rPr>
              <w:fldChar w:fldCharType="begin"/>
            </w:r>
            <w:r w:rsidR="0025664D" w:rsidRPr="0025664D">
              <w:rPr>
                <w:noProof/>
                <w:webHidden/>
                <w:sz w:val="22"/>
                <w:szCs w:val="22"/>
              </w:rPr>
              <w:instrText xml:space="preserve"> PAGEREF _Toc70532877 \h </w:instrText>
            </w:r>
            <w:r w:rsidR="0025664D" w:rsidRPr="0025664D">
              <w:rPr>
                <w:noProof/>
                <w:webHidden/>
                <w:sz w:val="22"/>
                <w:szCs w:val="22"/>
              </w:rPr>
            </w:r>
            <w:r w:rsidR="0025664D" w:rsidRPr="0025664D">
              <w:rPr>
                <w:noProof/>
                <w:webHidden/>
                <w:sz w:val="22"/>
                <w:szCs w:val="22"/>
              </w:rPr>
              <w:fldChar w:fldCharType="separate"/>
            </w:r>
            <w:r w:rsidR="0025664D" w:rsidRPr="0025664D">
              <w:rPr>
                <w:noProof/>
                <w:webHidden/>
                <w:sz w:val="22"/>
                <w:szCs w:val="22"/>
              </w:rPr>
              <w:t>16</w:t>
            </w:r>
            <w:r w:rsidR="0025664D" w:rsidRPr="0025664D">
              <w:rPr>
                <w:noProof/>
                <w:webHidden/>
                <w:sz w:val="22"/>
                <w:szCs w:val="22"/>
              </w:rPr>
              <w:fldChar w:fldCharType="end"/>
            </w:r>
          </w:hyperlink>
        </w:p>
        <w:p w14:paraId="6ABB39EA" w14:textId="0818F8FD" w:rsidR="0025664D" w:rsidRPr="0025664D" w:rsidRDefault="009D3969" w:rsidP="0025664D">
          <w:pPr>
            <w:pStyle w:val="TOC2"/>
            <w:spacing w:before="60" w:after="60"/>
            <w:rPr>
              <w:rFonts w:asciiTheme="minorHAnsi" w:hAnsiTheme="minorHAnsi"/>
              <w:noProof/>
              <w:sz w:val="20"/>
              <w:szCs w:val="20"/>
              <w:lang w:eastAsia="lt-LT"/>
            </w:rPr>
          </w:pPr>
          <w:hyperlink w:anchor="_Toc70532878" w:history="1">
            <w:r w:rsidR="0025664D" w:rsidRPr="0025664D">
              <w:rPr>
                <w:rStyle w:val="Hyperlink"/>
                <w:rFonts w:cs="Times New Roman"/>
                <w:noProof/>
                <w:sz w:val="22"/>
                <w:szCs w:val="22"/>
              </w:rPr>
              <w:t>4.3 Sverto efekto skaičiavimas</w:t>
            </w:r>
            <w:r w:rsidR="0025664D" w:rsidRPr="0025664D">
              <w:rPr>
                <w:noProof/>
                <w:webHidden/>
                <w:sz w:val="22"/>
                <w:szCs w:val="22"/>
              </w:rPr>
              <w:tab/>
            </w:r>
            <w:r w:rsidR="0025664D" w:rsidRPr="0025664D">
              <w:rPr>
                <w:noProof/>
                <w:webHidden/>
                <w:sz w:val="22"/>
                <w:szCs w:val="22"/>
              </w:rPr>
              <w:fldChar w:fldCharType="begin"/>
            </w:r>
            <w:r w:rsidR="0025664D" w:rsidRPr="0025664D">
              <w:rPr>
                <w:noProof/>
                <w:webHidden/>
                <w:sz w:val="22"/>
                <w:szCs w:val="22"/>
              </w:rPr>
              <w:instrText xml:space="preserve"> PAGEREF _Toc70532878 \h </w:instrText>
            </w:r>
            <w:r w:rsidR="0025664D" w:rsidRPr="0025664D">
              <w:rPr>
                <w:noProof/>
                <w:webHidden/>
                <w:sz w:val="22"/>
                <w:szCs w:val="22"/>
              </w:rPr>
            </w:r>
            <w:r w:rsidR="0025664D" w:rsidRPr="0025664D">
              <w:rPr>
                <w:noProof/>
                <w:webHidden/>
                <w:sz w:val="22"/>
                <w:szCs w:val="22"/>
              </w:rPr>
              <w:fldChar w:fldCharType="separate"/>
            </w:r>
            <w:r w:rsidR="0025664D" w:rsidRPr="0025664D">
              <w:rPr>
                <w:noProof/>
                <w:webHidden/>
                <w:sz w:val="22"/>
                <w:szCs w:val="22"/>
              </w:rPr>
              <w:t>17</w:t>
            </w:r>
            <w:r w:rsidR="0025664D" w:rsidRPr="0025664D">
              <w:rPr>
                <w:noProof/>
                <w:webHidden/>
                <w:sz w:val="22"/>
                <w:szCs w:val="22"/>
              </w:rPr>
              <w:fldChar w:fldCharType="end"/>
            </w:r>
          </w:hyperlink>
        </w:p>
        <w:p w14:paraId="2BA9A325" w14:textId="0FE36733" w:rsidR="0025664D" w:rsidRPr="0025664D" w:rsidRDefault="009D3969" w:rsidP="0025664D">
          <w:pPr>
            <w:pStyle w:val="TOC1"/>
            <w:spacing w:before="60" w:after="60"/>
            <w:rPr>
              <w:rFonts w:asciiTheme="minorHAnsi" w:hAnsiTheme="minorHAnsi" w:cstheme="minorBidi"/>
              <w:b w:val="0"/>
              <w:bCs w:val="0"/>
              <w:sz w:val="20"/>
              <w:szCs w:val="20"/>
            </w:rPr>
          </w:pPr>
          <w:hyperlink w:anchor="_Toc70532879" w:history="1">
            <w:r w:rsidR="0025664D" w:rsidRPr="0025664D">
              <w:rPr>
                <w:rStyle w:val="Hyperlink"/>
                <w:b w:val="0"/>
                <w:bCs w:val="0"/>
                <w:sz w:val="22"/>
                <w:szCs w:val="22"/>
              </w:rPr>
              <w:t>5 Ankstesnių ir dabartinių priemonių palyginimas</w:t>
            </w:r>
            <w:r w:rsidR="0025664D" w:rsidRPr="0025664D">
              <w:rPr>
                <w:b w:val="0"/>
                <w:bCs w:val="0"/>
                <w:webHidden/>
                <w:sz w:val="22"/>
                <w:szCs w:val="22"/>
              </w:rPr>
              <w:tab/>
            </w:r>
            <w:r w:rsidR="0025664D" w:rsidRPr="0025664D">
              <w:rPr>
                <w:b w:val="0"/>
                <w:bCs w:val="0"/>
                <w:webHidden/>
                <w:sz w:val="22"/>
                <w:szCs w:val="22"/>
              </w:rPr>
              <w:fldChar w:fldCharType="begin"/>
            </w:r>
            <w:r w:rsidR="0025664D" w:rsidRPr="0025664D">
              <w:rPr>
                <w:b w:val="0"/>
                <w:bCs w:val="0"/>
                <w:webHidden/>
                <w:sz w:val="22"/>
                <w:szCs w:val="22"/>
              </w:rPr>
              <w:instrText xml:space="preserve"> PAGEREF _Toc70532879 \h </w:instrText>
            </w:r>
            <w:r w:rsidR="0025664D" w:rsidRPr="0025664D">
              <w:rPr>
                <w:b w:val="0"/>
                <w:bCs w:val="0"/>
                <w:webHidden/>
                <w:sz w:val="22"/>
                <w:szCs w:val="22"/>
              </w:rPr>
            </w:r>
            <w:r w:rsidR="0025664D" w:rsidRPr="0025664D">
              <w:rPr>
                <w:b w:val="0"/>
                <w:bCs w:val="0"/>
                <w:webHidden/>
                <w:sz w:val="22"/>
                <w:szCs w:val="22"/>
              </w:rPr>
              <w:fldChar w:fldCharType="separate"/>
            </w:r>
            <w:r w:rsidR="0025664D" w:rsidRPr="0025664D">
              <w:rPr>
                <w:b w:val="0"/>
                <w:bCs w:val="0"/>
                <w:webHidden/>
                <w:sz w:val="22"/>
                <w:szCs w:val="22"/>
              </w:rPr>
              <w:t>18</w:t>
            </w:r>
            <w:r w:rsidR="0025664D" w:rsidRPr="0025664D">
              <w:rPr>
                <w:b w:val="0"/>
                <w:bCs w:val="0"/>
                <w:webHidden/>
                <w:sz w:val="22"/>
                <w:szCs w:val="22"/>
              </w:rPr>
              <w:fldChar w:fldCharType="end"/>
            </w:r>
          </w:hyperlink>
        </w:p>
        <w:p w14:paraId="25E493D1" w14:textId="2EA171CF" w:rsidR="0025664D" w:rsidRPr="0025664D" w:rsidRDefault="009D3969" w:rsidP="0025664D">
          <w:pPr>
            <w:pStyle w:val="TOC2"/>
            <w:spacing w:before="60" w:after="60"/>
            <w:rPr>
              <w:rFonts w:asciiTheme="minorHAnsi" w:hAnsiTheme="minorHAnsi"/>
              <w:noProof/>
              <w:sz w:val="20"/>
              <w:szCs w:val="20"/>
              <w:lang w:eastAsia="lt-LT"/>
            </w:rPr>
          </w:pPr>
          <w:hyperlink w:anchor="_Toc70532880" w:history="1">
            <w:r w:rsidR="0025664D" w:rsidRPr="0025664D">
              <w:rPr>
                <w:rStyle w:val="Hyperlink"/>
                <w:rFonts w:cs="Times New Roman"/>
                <w:noProof/>
                <w:sz w:val="22"/>
                <w:szCs w:val="22"/>
              </w:rPr>
              <w:t>5.1 Įgyta patirtis ir atvejų studijos</w:t>
            </w:r>
            <w:r w:rsidR="0025664D" w:rsidRPr="0025664D">
              <w:rPr>
                <w:noProof/>
                <w:webHidden/>
                <w:sz w:val="22"/>
                <w:szCs w:val="22"/>
              </w:rPr>
              <w:tab/>
            </w:r>
            <w:r w:rsidR="0025664D" w:rsidRPr="0025664D">
              <w:rPr>
                <w:noProof/>
                <w:webHidden/>
                <w:sz w:val="22"/>
                <w:szCs w:val="22"/>
              </w:rPr>
              <w:fldChar w:fldCharType="begin"/>
            </w:r>
            <w:r w:rsidR="0025664D" w:rsidRPr="0025664D">
              <w:rPr>
                <w:noProof/>
                <w:webHidden/>
                <w:sz w:val="22"/>
                <w:szCs w:val="22"/>
              </w:rPr>
              <w:instrText xml:space="preserve"> PAGEREF _Toc70532880 \h </w:instrText>
            </w:r>
            <w:r w:rsidR="0025664D" w:rsidRPr="0025664D">
              <w:rPr>
                <w:noProof/>
                <w:webHidden/>
                <w:sz w:val="22"/>
                <w:szCs w:val="22"/>
              </w:rPr>
            </w:r>
            <w:r w:rsidR="0025664D" w:rsidRPr="0025664D">
              <w:rPr>
                <w:noProof/>
                <w:webHidden/>
                <w:sz w:val="22"/>
                <w:szCs w:val="22"/>
              </w:rPr>
              <w:fldChar w:fldCharType="separate"/>
            </w:r>
            <w:r w:rsidR="0025664D" w:rsidRPr="0025664D">
              <w:rPr>
                <w:noProof/>
                <w:webHidden/>
                <w:sz w:val="22"/>
                <w:szCs w:val="22"/>
              </w:rPr>
              <w:t>18</w:t>
            </w:r>
            <w:r w:rsidR="0025664D" w:rsidRPr="0025664D">
              <w:rPr>
                <w:noProof/>
                <w:webHidden/>
                <w:sz w:val="22"/>
                <w:szCs w:val="22"/>
              </w:rPr>
              <w:fldChar w:fldCharType="end"/>
            </w:r>
          </w:hyperlink>
        </w:p>
        <w:p w14:paraId="4D077671" w14:textId="2F89C5A0" w:rsidR="0025664D" w:rsidRPr="0025664D" w:rsidRDefault="009D3969" w:rsidP="0025664D">
          <w:pPr>
            <w:pStyle w:val="TOC2"/>
            <w:spacing w:before="60" w:after="60"/>
            <w:rPr>
              <w:rFonts w:asciiTheme="minorHAnsi" w:hAnsiTheme="minorHAnsi"/>
              <w:noProof/>
              <w:sz w:val="20"/>
              <w:szCs w:val="20"/>
              <w:lang w:eastAsia="lt-LT"/>
            </w:rPr>
          </w:pPr>
          <w:hyperlink w:anchor="_Toc70532881" w:history="1">
            <w:r w:rsidR="0025664D" w:rsidRPr="0025664D">
              <w:rPr>
                <w:rStyle w:val="Hyperlink"/>
                <w:rFonts w:cs="Times New Roman"/>
                <w:noProof/>
                <w:sz w:val="22"/>
                <w:szCs w:val="22"/>
              </w:rPr>
              <w:t>5.2 Lyginamoji išmoktų pamokų analizė</w:t>
            </w:r>
            <w:r w:rsidR="0025664D" w:rsidRPr="0025664D">
              <w:rPr>
                <w:noProof/>
                <w:webHidden/>
                <w:sz w:val="22"/>
                <w:szCs w:val="22"/>
              </w:rPr>
              <w:tab/>
            </w:r>
            <w:r w:rsidR="0025664D" w:rsidRPr="0025664D">
              <w:rPr>
                <w:noProof/>
                <w:webHidden/>
                <w:sz w:val="22"/>
                <w:szCs w:val="22"/>
              </w:rPr>
              <w:fldChar w:fldCharType="begin"/>
            </w:r>
            <w:r w:rsidR="0025664D" w:rsidRPr="0025664D">
              <w:rPr>
                <w:noProof/>
                <w:webHidden/>
                <w:sz w:val="22"/>
                <w:szCs w:val="22"/>
              </w:rPr>
              <w:instrText xml:space="preserve"> PAGEREF _Toc70532881 \h </w:instrText>
            </w:r>
            <w:r w:rsidR="0025664D" w:rsidRPr="0025664D">
              <w:rPr>
                <w:noProof/>
                <w:webHidden/>
                <w:sz w:val="22"/>
                <w:szCs w:val="22"/>
              </w:rPr>
            </w:r>
            <w:r w:rsidR="0025664D" w:rsidRPr="0025664D">
              <w:rPr>
                <w:noProof/>
                <w:webHidden/>
                <w:sz w:val="22"/>
                <w:szCs w:val="22"/>
              </w:rPr>
              <w:fldChar w:fldCharType="separate"/>
            </w:r>
            <w:r w:rsidR="0025664D" w:rsidRPr="0025664D">
              <w:rPr>
                <w:noProof/>
                <w:webHidden/>
                <w:sz w:val="22"/>
                <w:szCs w:val="22"/>
              </w:rPr>
              <w:t>18</w:t>
            </w:r>
            <w:r w:rsidR="0025664D" w:rsidRPr="0025664D">
              <w:rPr>
                <w:noProof/>
                <w:webHidden/>
                <w:sz w:val="22"/>
                <w:szCs w:val="22"/>
              </w:rPr>
              <w:fldChar w:fldCharType="end"/>
            </w:r>
          </w:hyperlink>
        </w:p>
        <w:p w14:paraId="3257ABC3" w14:textId="179DA073" w:rsidR="0025664D" w:rsidRPr="0025664D" w:rsidRDefault="009D3969" w:rsidP="0025664D">
          <w:pPr>
            <w:pStyle w:val="TOC1"/>
            <w:spacing w:before="60" w:after="60"/>
            <w:rPr>
              <w:rFonts w:asciiTheme="minorHAnsi" w:hAnsiTheme="minorHAnsi" w:cstheme="minorBidi"/>
              <w:b w:val="0"/>
              <w:bCs w:val="0"/>
              <w:sz w:val="20"/>
              <w:szCs w:val="20"/>
            </w:rPr>
          </w:pPr>
          <w:hyperlink w:anchor="_Toc70532882" w:history="1">
            <w:r w:rsidR="0025664D" w:rsidRPr="0025664D">
              <w:rPr>
                <w:rStyle w:val="Hyperlink"/>
                <w:b w:val="0"/>
                <w:bCs w:val="0"/>
                <w:sz w:val="22"/>
                <w:szCs w:val="22"/>
              </w:rPr>
              <w:t>6 Investavimo strategija</w:t>
            </w:r>
            <w:r w:rsidR="0025664D" w:rsidRPr="0025664D">
              <w:rPr>
                <w:b w:val="0"/>
                <w:bCs w:val="0"/>
                <w:webHidden/>
                <w:sz w:val="22"/>
                <w:szCs w:val="22"/>
              </w:rPr>
              <w:tab/>
            </w:r>
            <w:r w:rsidR="0025664D" w:rsidRPr="0025664D">
              <w:rPr>
                <w:b w:val="0"/>
                <w:bCs w:val="0"/>
                <w:webHidden/>
                <w:sz w:val="22"/>
                <w:szCs w:val="22"/>
              </w:rPr>
              <w:fldChar w:fldCharType="begin"/>
            </w:r>
            <w:r w:rsidR="0025664D" w:rsidRPr="0025664D">
              <w:rPr>
                <w:b w:val="0"/>
                <w:bCs w:val="0"/>
                <w:webHidden/>
                <w:sz w:val="22"/>
                <w:szCs w:val="22"/>
              </w:rPr>
              <w:instrText xml:space="preserve"> PAGEREF _Toc70532882 \h </w:instrText>
            </w:r>
            <w:r w:rsidR="0025664D" w:rsidRPr="0025664D">
              <w:rPr>
                <w:b w:val="0"/>
                <w:bCs w:val="0"/>
                <w:webHidden/>
                <w:sz w:val="22"/>
                <w:szCs w:val="22"/>
              </w:rPr>
            </w:r>
            <w:r w:rsidR="0025664D" w:rsidRPr="0025664D">
              <w:rPr>
                <w:b w:val="0"/>
                <w:bCs w:val="0"/>
                <w:webHidden/>
                <w:sz w:val="22"/>
                <w:szCs w:val="22"/>
              </w:rPr>
              <w:fldChar w:fldCharType="separate"/>
            </w:r>
            <w:r w:rsidR="0025664D" w:rsidRPr="0025664D">
              <w:rPr>
                <w:b w:val="0"/>
                <w:bCs w:val="0"/>
                <w:webHidden/>
                <w:sz w:val="22"/>
                <w:szCs w:val="22"/>
              </w:rPr>
              <w:t>20</w:t>
            </w:r>
            <w:r w:rsidR="0025664D" w:rsidRPr="0025664D">
              <w:rPr>
                <w:b w:val="0"/>
                <w:bCs w:val="0"/>
                <w:webHidden/>
                <w:sz w:val="22"/>
                <w:szCs w:val="22"/>
              </w:rPr>
              <w:fldChar w:fldCharType="end"/>
            </w:r>
          </w:hyperlink>
        </w:p>
        <w:p w14:paraId="68652217" w14:textId="4C3B26EE" w:rsidR="0025664D" w:rsidRPr="0025664D" w:rsidRDefault="009D3969" w:rsidP="0025664D">
          <w:pPr>
            <w:pStyle w:val="TOC2"/>
            <w:spacing w:before="60" w:after="60"/>
            <w:rPr>
              <w:rFonts w:asciiTheme="minorHAnsi" w:hAnsiTheme="minorHAnsi"/>
              <w:noProof/>
              <w:sz w:val="20"/>
              <w:szCs w:val="20"/>
              <w:lang w:eastAsia="lt-LT"/>
            </w:rPr>
          </w:pPr>
          <w:hyperlink w:anchor="_Toc70532883" w:history="1">
            <w:r w:rsidR="0025664D" w:rsidRPr="0025664D">
              <w:rPr>
                <w:rStyle w:val="Hyperlink"/>
                <w:rFonts w:cs="Times New Roman"/>
                <w:noProof/>
                <w:sz w:val="22"/>
                <w:szCs w:val="22"/>
              </w:rPr>
              <w:t>6.1 Daugiabučių namų modernizavimo investavimo strategija</w:t>
            </w:r>
            <w:r w:rsidR="0025664D" w:rsidRPr="0025664D">
              <w:rPr>
                <w:noProof/>
                <w:webHidden/>
                <w:sz w:val="22"/>
                <w:szCs w:val="22"/>
              </w:rPr>
              <w:tab/>
            </w:r>
            <w:r w:rsidR="0025664D" w:rsidRPr="0025664D">
              <w:rPr>
                <w:noProof/>
                <w:webHidden/>
                <w:sz w:val="22"/>
                <w:szCs w:val="22"/>
              </w:rPr>
              <w:fldChar w:fldCharType="begin"/>
            </w:r>
            <w:r w:rsidR="0025664D" w:rsidRPr="0025664D">
              <w:rPr>
                <w:noProof/>
                <w:webHidden/>
                <w:sz w:val="22"/>
                <w:szCs w:val="22"/>
              </w:rPr>
              <w:instrText xml:space="preserve"> PAGEREF _Toc70532883 \h </w:instrText>
            </w:r>
            <w:r w:rsidR="0025664D" w:rsidRPr="0025664D">
              <w:rPr>
                <w:noProof/>
                <w:webHidden/>
                <w:sz w:val="22"/>
                <w:szCs w:val="22"/>
              </w:rPr>
            </w:r>
            <w:r w:rsidR="0025664D" w:rsidRPr="0025664D">
              <w:rPr>
                <w:noProof/>
                <w:webHidden/>
                <w:sz w:val="22"/>
                <w:szCs w:val="22"/>
              </w:rPr>
              <w:fldChar w:fldCharType="separate"/>
            </w:r>
            <w:r w:rsidR="0025664D" w:rsidRPr="0025664D">
              <w:rPr>
                <w:noProof/>
                <w:webHidden/>
                <w:sz w:val="22"/>
                <w:szCs w:val="22"/>
              </w:rPr>
              <w:t>20</w:t>
            </w:r>
            <w:r w:rsidR="0025664D" w:rsidRPr="0025664D">
              <w:rPr>
                <w:noProof/>
                <w:webHidden/>
                <w:sz w:val="22"/>
                <w:szCs w:val="22"/>
              </w:rPr>
              <w:fldChar w:fldCharType="end"/>
            </w:r>
          </w:hyperlink>
        </w:p>
        <w:p w14:paraId="0AD9CCC9" w14:textId="2FAC60CA" w:rsidR="0025664D" w:rsidRPr="0025664D" w:rsidRDefault="009D3969" w:rsidP="0025664D">
          <w:pPr>
            <w:pStyle w:val="TOC2"/>
            <w:spacing w:before="60" w:after="60"/>
            <w:rPr>
              <w:rFonts w:asciiTheme="minorHAnsi" w:hAnsiTheme="minorHAnsi"/>
              <w:noProof/>
              <w:sz w:val="20"/>
              <w:szCs w:val="20"/>
              <w:lang w:eastAsia="lt-LT"/>
            </w:rPr>
          </w:pPr>
          <w:hyperlink w:anchor="_Toc70532884" w:history="1">
            <w:r w:rsidR="0025664D" w:rsidRPr="0025664D">
              <w:rPr>
                <w:rStyle w:val="Hyperlink"/>
                <w:noProof/>
                <w:sz w:val="22"/>
                <w:szCs w:val="22"/>
              </w:rPr>
              <w:t>6.2 Centrinės valdžios viešųjų pastatų ir gatvių apšvietimo modernizavimo investavimo strategija</w:t>
            </w:r>
            <w:r w:rsidR="0025664D" w:rsidRPr="0025664D">
              <w:rPr>
                <w:noProof/>
                <w:webHidden/>
                <w:sz w:val="22"/>
                <w:szCs w:val="22"/>
              </w:rPr>
              <w:tab/>
            </w:r>
            <w:r w:rsidR="0025664D" w:rsidRPr="0025664D">
              <w:rPr>
                <w:noProof/>
                <w:webHidden/>
                <w:sz w:val="22"/>
                <w:szCs w:val="22"/>
              </w:rPr>
              <w:fldChar w:fldCharType="begin"/>
            </w:r>
            <w:r w:rsidR="0025664D" w:rsidRPr="0025664D">
              <w:rPr>
                <w:noProof/>
                <w:webHidden/>
                <w:sz w:val="22"/>
                <w:szCs w:val="22"/>
              </w:rPr>
              <w:instrText xml:space="preserve"> PAGEREF _Toc70532884 \h </w:instrText>
            </w:r>
            <w:r w:rsidR="0025664D" w:rsidRPr="0025664D">
              <w:rPr>
                <w:noProof/>
                <w:webHidden/>
                <w:sz w:val="22"/>
                <w:szCs w:val="22"/>
              </w:rPr>
            </w:r>
            <w:r w:rsidR="0025664D" w:rsidRPr="0025664D">
              <w:rPr>
                <w:noProof/>
                <w:webHidden/>
                <w:sz w:val="22"/>
                <w:szCs w:val="22"/>
              </w:rPr>
              <w:fldChar w:fldCharType="separate"/>
            </w:r>
            <w:r w:rsidR="0025664D" w:rsidRPr="0025664D">
              <w:rPr>
                <w:noProof/>
                <w:webHidden/>
                <w:sz w:val="22"/>
                <w:szCs w:val="22"/>
              </w:rPr>
              <w:t>23</w:t>
            </w:r>
            <w:r w:rsidR="0025664D" w:rsidRPr="0025664D">
              <w:rPr>
                <w:noProof/>
                <w:webHidden/>
                <w:sz w:val="22"/>
                <w:szCs w:val="22"/>
              </w:rPr>
              <w:fldChar w:fldCharType="end"/>
            </w:r>
          </w:hyperlink>
        </w:p>
        <w:p w14:paraId="6091FB3B" w14:textId="3177208B" w:rsidR="0025664D" w:rsidRPr="0025664D" w:rsidRDefault="009D3969" w:rsidP="0025664D">
          <w:pPr>
            <w:pStyle w:val="TOC2"/>
            <w:spacing w:before="60" w:after="60"/>
            <w:rPr>
              <w:rFonts w:asciiTheme="minorHAnsi" w:hAnsiTheme="minorHAnsi"/>
              <w:noProof/>
              <w:sz w:val="20"/>
              <w:szCs w:val="20"/>
              <w:lang w:eastAsia="lt-LT"/>
            </w:rPr>
          </w:pPr>
          <w:hyperlink w:anchor="_Toc70532885" w:history="1">
            <w:r w:rsidR="0025664D" w:rsidRPr="0025664D">
              <w:rPr>
                <w:rStyle w:val="Hyperlink"/>
                <w:noProof/>
                <w:sz w:val="22"/>
                <w:szCs w:val="22"/>
              </w:rPr>
              <w:t>6.3 Savivaldybės viešųjų pastatų modernizavimo investavimo strategija</w:t>
            </w:r>
            <w:r w:rsidR="0025664D" w:rsidRPr="0025664D">
              <w:rPr>
                <w:noProof/>
                <w:webHidden/>
                <w:sz w:val="22"/>
                <w:szCs w:val="22"/>
              </w:rPr>
              <w:tab/>
            </w:r>
            <w:r w:rsidR="0025664D" w:rsidRPr="0025664D">
              <w:rPr>
                <w:noProof/>
                <w:webHidden/>
                <w:sz w:val="22"/>
                <w:szCs w:val="22"/>
              </w:rPr>
              <w:fldChar w:fldCharType="begin"/>
            </w:r>
            <w:r w:rsidR="0025664D" w:rsidRPr="0025664D">
              <w:rPr>
                <w:noProof/>
                <w:webHidden/>
                <w:sz w:val="22"/>
                <w:szCs w:val="22"/>
              </w:rPr>
              <w:instrText xml:space="preserve"> PAGEREF _Toc70532885 \h </w:instrText>
            </w:r>
            <w:r w:rsidR="0025664D" w:rsidRPr="0025664D">
              <w:rPr>
                <w:noProof/>
                <w:webHidden/>
                <w:sz w:val="22"/>
                <w:szCs w:val="22"/>
              </w:rPr>
            </w:r>
            <w:r w:rsidR="0025664D" w:rsidRPr="0025664D">
              <w:rPr>
                <w:noProof/>
                <w:webHidden/>
                <w:sz w:val="22"/>
                <w:szCs w:val="22"/>
              </w:rPr>
              <w:fldChar w:fldCharType="separate"/>
            </w:r>
            <w:r w:rsidR="0025664D" w:rsidRPr="0025664D">
              <w:rPr>
                <w:noProof/>
                <w:webHidden/>
                <w:sz w:val="22"/>
                <w:szCs w:val="22"/>
              </w:rPr>
              <w:t>25</w:t>
            </w:r>
            <w:r w:rsidR="0025664D" w:rsidRPr="0025664D">
              <w:rPr>
                <w:noProof/>
                <w:webHidden/>
                <w:sz w:val="22"/>
                <w:szCs w:val="22"/>
              </w:rPr>
              <w:fldChar w:fldCharType="end"/>
            </w:r>
          </w:hyperlink>
        </w:p>
        <w:p w14:paraId="5B5FF9D2" w14:textId="1F1004E5" w:rsidR="0025664D" w:rsidRPr="0025664D" w:rsidRDefault="009D3969" w:rsidP="0025664D">
          <w:pPr>
            <w:pStyle w:val="TOC1"/>
            <w:spacing w:before="60" w:after="60"/>
            <w:rPr>
              <w:rFonts w:asciiTheme="minorHAnsi" w:hAnsiTheme="minorHAnsi" w:cstheme="minorBidi"/>
              <w:b w:val="0"/>
              <w:bCs w:val="0"/>
              <w:sz w:val="20"/>
              <w:szCs w:val="20"/>
            </w:rPr>
          </w:pPr>
          <w:hyperlink w:anchor="_Toc70532886" w:history="1">
            <w:r w:rsidR="0025664D" w:rsidRPr="0025664D">
              <w:rPr>
                <w:rStyle w:val="Hyperlink"/>
                <w:b w:val="0"/>
                <w:bCs w:val="0"/>
                <w:sz w:val="22"/>
                <w:szCs w:val="22"/>
              </w:rPr>
              <w:t>7 Laukiami rezultatai</w:t>
            </w:r>
            <w:r w:rsidR="0025664D" w:rsidRPr="0025664D">
              <w:rPr>
                <w:b w:val="0"/>
                <w:bCs w:val="0"/>
                <w:webHidden/>
                <w:sz w:val="22"/>
                <w:szCs w:val="22"/>
              </w:rPr>
              <w:tab/>
            </w:r>
            <w:r w:rsidR="0025664D" w:rsidRPr="0025664D">
              <w:rPr>
                <w:b w:val="0"/>
                <w:bCs w:val="0"/>
                <w:webHidden/>
                <w:sz w:val="22"/>
                <w:szCs w:val="22"/>
              </w:rPr>
              <w:fldChar w:fldCharType="begin"/>
            </w:r>
            <w:r w:rsidR="0025664D" w:rsidRPr="0025664D">
              <w:rPr>
                <w:b w:val="0"/>
                <w:bCs w:val="0"/>
                <w:webHidden/>
                <w:sz w:val="22"/>
                <w:szCs w:val="22"/>
              </w:rPr>
              <w:instrText xml:space="preserve"> PAGEREF _Toc70532886 \h </w:instrText>
            </w:r>
            <w:r w:rsidR="0025664D" w:rsidRPr="0025664D">
              <w:rPr>
                <w:b w:val="0"/>
                <w:bCs w:val="0"/>
                <w:webHidden/>
                <w:sz w:val="22"/>
                <w:szCs w:val="22"/>
              </w:rPr>
            </w:r>
            <w:r w:rsidR="0025664D" w:rsidRPr="0025664D">
              <w:rPr>
                <w:b w:val="0"/>
                <w:bCs w:val="0"/>
                <w:webHidden/>
                <w:sz w:val="22"/>
                <w:szCs w:val="22"/>
              </w:rPr>
              <w:fldChar w:fldCharType="separate"/>
            </w:r>
            <w:r w:rsidR="0025664D" w:rsidRPr="0025664D">
              <w:rPr>
                <w:b w:val="0"/>
                <w:bCs w:val="0"/>
                <w:webHidden/>
                <w:sz w:val="22"/>
                <w:szCs w:val="22"/>
              </w:rPr>
              <w:t>26</w:t>
            </w:r>
            <w:r w:rsidR="0025664D" w:rsidRPr="0025664D">
              <w:rPr>
                <w:b w:val="0"/>
                <w:bCs w:val="0"/>
                <w:webHidden/>
                <w:sz w:val="22"/>
                <w:szCs w:val="22"/>
              </w:rPr>
              <w:fldChar w:fldCharType="end"/>
            </w:r>
          </w:hyperlink>
        </w:p>
        <w:p w14:paraId="0BFFE301" w14:textId="0250D90B" w:rsidR="0025664D" w:rsidRPr="0025664D" w:rsidRDefault="009D3969" w:rsidP="0025664D">
          <w:pPr>
            <w:pStyle w:val="TOC2"/>
            <w:spacing w:before="60" w:after="60"/>
            <w:rPr>
              <w:rFonts w:asciiTheme="minorHAnsi" w:hAnsiTheme="minorHAnsi"/>
              <w:noProof/>
              <w:sz w:val="20"/>
              <w:szCs w:val="20"/>
              <w:lang w:eastAsia="lt-LT"/>
            </w:rPr>
          </w:pPr>
          <w:hyperlink w:anchor="_Toc70532887" w:history="1">
            <w:r w:rsidR="0025664D" w:rsidRPr="0025664D">
              <w:rPr>
                <w:rStyle w:val="Hyperlink"/>
                <w:noProof/>
                <w:sz w:val="22"/>
                <w:szCs w:val="22"/>
              </w:rPr>
              <w:t>7.1 Daugiabučių namų modernizavimui siūlomų taikyti FP stebėsenos rodikliai</w:t>
            </w:r>
            <w:r w:rsidR="0025664D" w:rsidRPr="0025664D">
              <w:rPr>
                <w:noProof/>
                <w:webHidden/>
                <w:sz w:val="22"/>
                <w:szCs w:val="22"/>
              </w:rPr>
              <w:tab/>
            </w:r>
            <w:r w:rsidR="0025664D" w:rsidRPr="0025664D">
              <w:rPr>
                <w:noProof/>
                <w:webHidden/>
                <w:sz w:val="22"/>
                <w:szCs w:val="22"/>
              </w:rPr>
              <w:fldChar w:fldCharType="begin"/>
            </w:r>
            <w:r w:rsidR="0025664D" w:rsidRPr="0025664D">
              <w:rPr>
                <w:noProof/>
                <w:webHidden/>
                <w:sz w:val="22"/>
                <w:szCs w:val="22"/>
              </w:rPr>
              <w:instrText xml:space="preserve"> PAGEREF _Toc70532887 \h </w:instrText>
            </w:r>
            <w:r w:rsidR="0025664D" w:rsidRPr="0025664D">
              <w:rPr>
                <w:noProof/>
                <w:webHidden/>
                <w:sz w:val="22"/>
                <w:szCs w:val="22"/>
              </w:rPr>
            </w:r>
            <w:r w:rsidR="0025664D" w:rsidRPr="0025664D">
              <w:rPr>
                <w:noProof/>
                <w:webHidden/>
                <w:sz w:val="22"/>
                <w:szCs w:val="22"/>
              </w:rPr>
              <w:fldChar w:fldCharType="separate"/>
            </w:r>
            <w:r w:rsidR="0025664D" w:rsidRPr="0025664D">
              <w:rPr>
                <w:noProof/>
                <w:webHidden/>
                <w:sz w:val="22"/>
                <w:szCs w:val="22"/>
              </w:rPr>
              <w:t>26</w:t>
            </w:r>
            <w:r w:rsidR="0025664D" w:rsidRPr="0025664D">
              <w:rPr>
                <w:noProof/>
                <w:webHidden/>
                <w:sz w:val="22"/>
                <w:szCs w:val="22"/>
              </w:rPr>
              <w:fldChar w:fldCharType="end"/>
            </w:r>
          </w:hyperlink>
        </w:p>
        <w:p w14:paraId="72B45E8C" w14:textId="29A1BB0D" w:rsidR="0025664D" w:rsidRPr="0025664D" w:rsidRDefault="009D3969" w:rsidP="0025664D">
          <w:pPr>
            <w:pStyle w:val="TOC2"/>
            <w:spacing w:before="60" w:after="60"/>
            <w:rPr>
              <w:rFonts w:asciiTheme="minorHAnsi" w:hAnsiTheme="minorHAnsi"/>
              <w:noProof/>
              <w:sz w:val="20"/>
              <w:szCs w:val="20"/>
              <w:lang w:eastAsia="lt-LT"/>
            </w:rPr>
          </w:pPr>
          <w:hyperlink w:anchor="_Toc70532888" w:history="1">
            <w:r w:rsidR="0025664D" w:rsidRPr="0025664D">
              <w:rPr>
                <w:rStyle w:val="Hyperlink"/>
                <w:noProof/>
                <w:sz w:val="22"/>
                <w:szCs w:val="22"/>
              </w:rPr>
              <w:t>7.2 Centrinės valdžios pastatų renovacijos ir gatvės apšvietimo modernizavimui siūlomų taikyti FP stebėsenos rodikliai</w:t>
            </w:r>
            <w:r w:rsidR="0025664D" w:rsidRPr="0025664D">
              <w:rPr>
                <w:noProof/>
                <w:webHidden/>
                <w:sz w:val="22"/>
                <w:szCs w:val="22"/>
              </w:rPr>
              <w:tab/>
            </w:r>
            <w:r w:rsidR="0025664D" w:rsidRPr="0025664D">
              <w:rPr>
                <w:noProof/>
                <w:webHidden/>
                <w:sz w:val="22"/>
                <w:szCs w:val="22"/>
              </w:rPr>
              <w:fldChar w:fldCharType="begin"/>
            </w:r>
            <w:r w:rsidR="0025664D" w:rsidRPr="0025664D">
              <w:rPr>
                <w:noProof/>
                <w:webHidden/>
                <w:sz w:val="22"/>
                <w:szCs w:val="22"/>
              </w:rPr>
              <w:instrText xml:space="preserve"> PAGEREF _Toc70532888 \h </w:instrText>
            </w:r>
            <w:r w:rsidR="0025664D" w:rsidRPr="0025664D">
              <w:rPr>
                <w:noProof/>
                <w:webHidden/>
                <w:sz w:val="22"/>
                <w:szCs w:val="22"/>
              </w:rPr>
            </w:r>
            <w:r w:rsidR="0025664D" w:rsidRPr="0025664D">
              <w:rPr>
                <w:noProof/>
                <w:webHidden/>
                <w:sz w:val="22"/>
                <w:szCs w:val="22"/>
              </w:rPr>
              <w:fldChar w:fldCharType="separate"/>
            </w:r>
            <w:r w:rsidR="0025664D" w:rsidRPr="0025664D">
              <w:rPr>
                <w:noProof/>
                <w:webHidden/>
                <w:sz w:val="22"/>
                <w:szCs w:val="22"/>
              </w:rPr>
              <w:t>27</w:t>
            </w:r>
            <w:r w:rsidR="0025664D" w:rsidRPr="0025664D">
              <w:rPr>
                <w:noProof/>
                <w:webHidden/>
                <w:sz w:val="22"/>
                <w:szCs w:val="22"/>
              </w:rPr>
              <w:fldChar w:fldCharType="end"/>
            </w:r>
          </w:hyperlink>
        </w:p>
        <w:p w14:paraId="0C9C221D" w14:textId="3C59E60E" w:rsidR="0025664D" w:rsidRPr="0025664D" w:rsidRDefault="009D3969" w:rsidP="0025664D">
          <w:pPr>
            <w:pStyle w:val="TOC2"/>
            <w:spacing w:before="60" w:after="60"/>
            <w:rPr>
              <w:rFonts w:asciiTheme="minorHAnsi" w:hAnsiTheme="minorHAnsi"/>
              <w:noProof/>
              <w:sz w:val="20"/>
              <w:szCs w:val="20"/>
              <w:lang w:eastAsia="lt-LT"/>
            </w:rPr>
          </w:pPr>
          <w:hyperlink w:anchor="_Toc70532889" w:history="1">
            <w:r w:rsidR="0025664D" w:rsidRPr="0025664D">
              <w:rPr>
                <w:rStyle w:val="Hyperlink"/>
                <w:noProof/>
                <w:sz w:val="22"/>
                <w:szCs w:val="22"/>
              </w:rPr>
              <w:t>7.3 Savivaldybių viešųjų pastatų modernizavimui siūlomų taikyti FP stebėsenos rodikliai</w:t>
            </w:r>
            <w:r w:rsidR="0025664D" w:rsidRPr="0025664D">
              <w:rPr>
                <w:noProof/>
                <w:webHidden/>
                <w:sz w:val="22"/>
                <w:szCs w:val="22"/>
              </w:rPr>
              <w:tab/>
            </w:r>
            <w:r w:rsidR="0025664D" w:rsidRPr="0025664D">
              <w:rPr>
                <w:noProof/>
                <w:webHidden/>
                <w:sz w:val="22"/>
                <w:szCs w:val="22"/>
              </w:rPr>
              <w:fldChar w:fldCharType="begin"/>
            </w:r>
            <w:r w:rsidR="0025664D" w:rsidRPr="0025664D">
              <w:rPr>
                <w:noProof/>
                <w:webHidden/>
                <w:sz w:val="22"/>
                <w:szCs w:val="22"/>
              </w:rPr>
              <w:instrText xml:space="preserve"> PAGEREF _Toc70532889 \h </w:instrText>
            </w:r>
            <w:r w:rsidR="0025664D" w:rsidRPr="0025664D">
              <w:rPr>
                <w:noProof/>
                <w:webHidden/>
                <w:sz w:val="22"/>
                <w:szCs w:val="22"/>
              </w:rPr>
            </w:r>
            <w:r w:rsidR="0025664D" w:rsidRPr="0025664D">
              <w:rPr>
                <w:noProof/>
                <w:webHidden/>
                <w:sz w:val="22"/>
                <w:szCs w:val="22"/>
              </w:rPr>
              <w:fldChar w:fldCharType="separate"/>
            </w:r>
            <w:r w:rsidR="0025664D" w:rsidRPr="0025664D">
              <w:rPr>
                <w:noProof/>
                <w:webHidden/>
                <w:sz w:val="22"/>
                <w:szCs w:val="22"/>
              </w:rPr>
              <w:t>28</w:t>
            </w:r>
            <w:r w:rsidR="0025664D" w:rsidRPr="0025664D">
              <w:rPr>
                <w:noProof/>
                <w:webHidden/>
                <w:sz w:val="22"/>
                <w:szCs w:val="22"/>
              </w:rPr>
              <w:fldChar w:fldCharType="end"/>
            </w:r>
          </w:hyperlink>
        </w:p>
        <w:p w14:paraId="5CD572BF" w14:textId="03E50AA7" w:rsidR="0025664D" w:rsidRPr="0025664D" w:rsidRDefault="009D3969" w:rsidP="0025664D">
          <w:pPr>
            <w:pStyle w:val="TOC1"/>
            <w:spacing w:before="60" w:after="60"/>
            <w:rPr>
              <w:rFonts w:asciiTheme="minorHAnsi" w:hAnsiTheme="minorHAnsi" w:cstheme="minorBidi"/>
              <w:b w:val="0"/>
              <w:bCs w:val="0"/>
              <w:sz w:val="20"/>
              <w:szCs w:val="20"/>
            </w:rPr>
          </w:pPr>
          <w:hyperlink w:anchor="_Toc70532890" w:history="1">
            <w:r w:rsidR="0025664D" w:rsidRPr="0025664D">
              <w:rPr>
                <w:rStyle w:val="Hyperlink"/>
                <w:b w:val="0"/>
                <w:bCs w:val="0"/>
                <w:sz w:val="22"/>
                <w:szCs w:val="22"/>
              </w:rPr>
              <w:t>8 Nuostatos dėl ex-ante peržiūros</w:t>
            </w:r>
            <w:r w:rsidR="0025664D" w:rsidRPr="0025664D">
              <w:rPr>
                <w:b w:val="0"/>
                <w:bCs w:val="0"/>
                <w:webHidden/>
                <w:sz w:val="22"/>
                <w:szCs w:val="22"/>
              </w:rPr>
              <w:tab/>
            </w:r>
            <w:r w:rsidR="0025664D" w:rsidRPr="0025664D">
              <w:rPr>
                <w:b w:val="0"/>
                <w:bCs w:val="0"/>
                <w:webHidden/>
                <w:sz w:val="22"/>
                <w:szCs w:val="22"/>
              </w:rPr>
              <w:fldChar w:fldCharType="begin"/>
            </w:r>
            <w:r w:rsidR="0025664D" w:rsidRPr="0025664D">
              <w:rPr>
                <w:b w:val="0"/>
                <w:bCs w:val="0"/>
                <w:webHidden/>
                <w:sz w:val="22"/>
                <w:szCs w:val="22"/>
              </w:rPr>
              <w:instrText xml:space="preserve"> PAGEREF _Toc70532890 \h </w:instrText>
            </w:r>
            <w:r w:rsidR="0025664D" w:rsidRPr="0025664D">
              <w:rPr>
                <w:b w:val="0"/>
                <w:bCs w:val="0"/>
                <w:webHidden/>
                <w:sz w:val="22"/>
                <w:szCs w:val="22"/>
              </w:rPr>
            </w:r>
            <w:r w:rsidR="0025664D" w:rsidRPr="0025664D">
              <w:rPr>
                <w:b w:val="0"/>
                <w:bCs w:val="0"/>
                <w:webHidden/>
                <w:sz w:val="22"/>
                <w:szCs w:val="22"/>
              </w:rPr>
              <w:fldChar w:fldCharType="separate"/>
            </w:r>
            <w:r w:rsidR="0025664D" w:rsidRPr="0025664D">
              <w:rPr>
                <w:b w:val="0"/>
                <w:bCs w:val="0"/>
                <w:webHidden/>
                <w:sz w:val="22"/>
                <w:szCs w:val="22"/>
              </w:rPr>
              <w:t>29</w:t>
            </w:r>
            <w:r w:rsidR="0025664D" w:rsidRPr="0025664D">
              <w:rPr>
                <w:b w:val="0"/>
                <w:bCs w:val="0"/>
                <w:webHidden/>
                <w:sz w:val="22"/>
                <w:szCs w:val="22"/>
              </w:rPr>
              <w:fldChar w:fldCharType="end"/>
            </w:r>
          </w:hyperlink>
        </w:p>
        <w:p w14:paraId="039FFCC8" w14:textId="3F068696" w:rsidR="0025664D" w:rsidRPr="0025664D" w:rsidRDefault="009D3969" w:rsidP="0025664D">
          <w:pPr>
            <w:pStyle w:val="TOC1"/>
            <w:spacing w:before="60" w:after="60"/>
            <w:rPr>
              <w:rFonts w:asciiTheme="minorHAnsi" w:hAnsiTheme="minorHAnsi" w:cstheme="minorBidi"/>
              <w:b w:val="0"/>
              <w:bCs w:val="0"/>
              <w:sz w:val="20"/>
              <w:szCs w:val="20"/>
            </w:rPr>
          </w:pPr>
          <w:hyperlink w:anchor="_Toc70532891" w:history="1">
            <w:r w:rsidR="0025664D" w:rsidRPr="0025664D">
              <w:rPr>
                <w:rStyle w:val="Hyperlink"/>
                <w:b w:val="0"/>
                <w:bCs w:val="0"/>
                <w:sz w:val="22"/>
                <w:szCs w:val="22"/>
              </w:rPr>
              <w:t>1 priedas. Priemonės ir įsteigti fondai siekiant veiksmų programos 4 prioriteto „Energijos efektyvumo ir atsinaujinančių išteklių energijos gamybos ir naudojimo skatinimas“ 2014-2020 metais</w:t>
            </w:r>
            <w:r w:rsidR="0025664D" w:rsidRPr="0025664D">
              <w:rPr>
                <w:b w:val="0"/>
                <w:bCs w:val="0"/>
                <w:webHidden/>
                <w:sz w:val="22"/>
                <w:szCs w:val="22"/>
              </w:rPr>
              <w:tab/>
            </w:r>
            <w:r w:rsidR="0025664D" w:rsidRPr="0025664D">
              <w:rPr>
                <w:b w:val="0"/>
                <w:bCs w:val="0"/>
                <w:webHidden/>
                <w:sz w:val="22"/>
                <w:szCs w:val="22"/>
              </w:rPr>
              <w:fldChar w:fldCharType="begin"/>
            </w:r>
            <w:r w:rsidR="0025664D" w:rsidRPr="0025664D">
              <w:rPr>
                <w:b w:val="0"/>
                <w:bCs w:val="0"/>
                <w:webHidden/>
                <w:sz w:val="22"/>
                <w:szCs w:val="22"/>
              </w:rPr>
              <w:instrText xml:space="preserve"> PAGEREF _Toc70532891 \h </w:instrText>
            </w:r>
            <w:r w:rsidR="0025664D" w:rsidRPr="0025664D">
              <w:rPr>
                <w:b w:val="0"/>
                <w:bCs w:val="0"/>
                <w:webHidden/>
                <w:sz w:val="22"/>
                <w:szCs w:val="22"/>
              </w:rPr>
            </w:r>
            <w:r w:rsidR="0025664D" w:rsidRPr="0025664D">
              <w:rPr>
                <w:b w:val="0"/>
                <w:bCs w:val="0"/>
                <w:webHidden/>
                <w:sz w:val="22"/>
                <w:szCs w:val="22"/>
              </w:rPr>
              <w:fldChar w:fldCharType="separate"/>
            </w:r>
            <w:r w:rsidR="0025664D" w:rsidRPr="0025664D">
              <w:rPr>
                <w:b w:val="0"/>
                <w:bCs w:val="0"/>
                <w:webHidden/>
                <w:sz w:val="22"/>
                <w:szCs w:val="22"/>
              </w:rPr>
              <w:t>30</w:t>
            </w:r>
            <w:r w:rsidR="0025664D" w:rsidRPr="0025664D">
              <w:rPr>
                <w:b w:val="0"/>
                <w:bCs w:val="0"/>
                <w:webHidden/>
                <w:sz w:val="22"/>
                <w:szCs w:val="22"/>
              </w:rPr>
              <w:fldChar w:fldCharType="end"/>
            </w:r>
          </w:hyperlink>
        </w:p>
        <w:p w14:paraId="2BB12DA5" w14:textId="1C971883" w:rsidR="0025664D" w:rsidRPr="0025664D" w:rsidRDefault="009D3969" w:rsidP="0025664D">
          <w:pPr>
            <w:pStyle w:val="TOC1"/>
            <w:spacing w:before="60" w:after="60"/>
            <w:rPr>
              <w:rFonts w:asciiTheme="minorHAnsi" w:hAnsiTheme="minorHAnsi" w:cstheme="minorBidi"/>
              <w:b w:val="0"/>
              <w:bCs w:val="0"/>
              <w:sz w:val="20"/>
              <w:szCs w:val="20"/>
            </w:rPr>
          </w:pPr>
          <w:hyperlink w:anchor="_Toc70532892" w:history="1">
            <w:r w:rsidR="0025664D" w:rsidRPr="0025664D">
              <w:rPr>
                <w:rStyle w:val="Hyperlink"/>
                <w:b w:val="0"/>
                <w:bCs w:val="0"/>
                <w:sz w:val="22"/>
                <w:szCs w:val="22"/>
              </w:rPr>
              <w:t>2 priedas. Rinkos gyvybingumo ir investicijų trūkumo priežastys ir jų aprašymas</w:t>
            </w:r>
            <w:r w:rsidR="0025664D" w:rsidRPr="0025664D">
              <w:rPr>
                <w:b w:val="0"/>
                <w:bCs w:val="0"/>
                <w:webHidden/>
                <w:sz w:val="22"/>
                <w:szCs w:val="22"/>
              </w:rPr>
              <w:tab/>
            </w:r>
            <w:r w:rsidR="0025664D" w:rsidRPr="0025664D">
              <w:rPr>
                <w:b w:val="0"/>
                <w:bCs w:val="0"/>
                <w:webHidden/>
                <w:sz w:val="22"/>
                <w:szCs w:val="22"/>
              </w:rPr>
              <w:fldChar w:fldCharType="begin"/>
            </w:r>
            <w:r w:rsidR="0025664D" w:rsidRPr="0025664D">
              <w:rPr>
                <w:b w:val="0"/>
                <w:bCs w:val="0"/>
                <w:webHidden/>
                <w:sz w:val="22"/>
                <w:szCs w:val="22"/>
              </w:rPr>
              <w:instrText xml:space="preserve"> PAGEREF _Toc70532892 \h </w:instrText>
            </w:r>
            <w:r w:rsidR="0025664D" w:rsidRPr="0025664D">
              <w:rPr>
                <w:b w:val="0"/>
                <w:bCs w:val="0"/>
                <w:webHidden/>
                <w:sz w:val="22"/>
                <w:szCs w:val="22"/>
              </w:rPr>
            </w:r>
            <w:r w:rsidR="0025664D" w:rsidRPr="0025664D">
              <w:rPr>
                <w:b w:val="0"/>
                <w:bCs w:val="0"/>
                <w:webHidden/>
                <w:sz w:val="22"/>
                <w:szCs w:val="22"/>
              </w:rPr>
              <w:fldChar w:fldCharType="separate"/>
            </w:r>
            <w:r w:rsidR="0025664D" w:rsidRPr="0025664D">
              <w:rPr>
                <w:b w:val="0"/>
                <w:bCs w:val="0"/>
                <w:webHidden/>
                <w:sz w:val="22"/>
                <w:szCs w:val="22"/>
              </w:rPr>
              <w:t>31</w:t>
            </w:r>
            <w:r w:rsidR="0025664D" w:rsidRPr="0025664D">
              <w:rPr>
                <w:b w:val="0"/>
                <w:bCs w:val="0"/>
                <w:webHidden/>
                <w:sz w:val="22"/>
                <w:szCs w:val="22"/>
              </w:rPr>
              <w:fldChar w:fldCharType="end"/>
            </w:r>
          </w:hyperlink>
        </w:p>
        <w:p w14:paraId="4730D421" w14:textId="3723E543" w:rsidR="0025664D" w:rsidRPr="0025664D" w:rsidRDefault="009D3969" w:rsidP="0025664D">
          <w:pPr>
            <w:pStyle w:val="TOC1"/>
            <w:spacing w:before="60" w:after="60"/>
            <w:rPr>
              <w:rFonts w:asciiTheme="minorHAnsi" w:hAnsiTheme="minorHAnsi" w:cstheme="minorBidi"/>
              <w:b w:val="0"/>
              <w:bCs w:val="0"/>
              <w:sz w:val="20"/>
              <w:szCs w:val="20"/>
            </w:rPr>
          </w:pPr>
          <w:hyperlink w:anchor="_Toc70532893" w:history="1">
            <w:r w:rsidR="0025664D" w:rsidRPr="0025664D">
              <w:rPr>
                <w:rStyle w:val="Hyperlink"/>
                <w:b w:val="0"/>
                <w:bCs w:val="0"/>
                <w:sz w:val="22"/>
                <w:szCs w:val="22"/>
              </w:rPr>
              <w:t>3 priedas. FP taikymo scenarijų palyginimas įgyvendinant centrinės valdžios pastatų renovavimo  projektus</w:t>
            </w:r>
            <w:r w:rsidR="0025664D" w:rsidRPr="0025664D">
              <w:rPr>
                <w:b w:val="0"/>
                <w:bCs w:val="0"/>
                <w:webHidden/>
                <w:sz w:val="22"/>
                <w:szCs w:val="22"/>
              </w:rPr>
              <w:tab/>
            </w:r>
            <w:r w:rsidR="0025664D" w:rsidRPr="0025664D">
              <w:rPr>
                <w:b w:val="0"/>
                <w:bCs w:val="0"/>
                <w:webHidden/>
                <w:sz w:val="22"/>
                <w:szCs w:val="22"/>
              </w:rPr>
              <w:fldChar w:fldCharType="begin"/>
            </w:r>
            <w:r w:rsidR="0025664D" w:rsidRPr="0025664D">
              <w:rPr>
                <w:b w:val="0"/>
                <w:bCs w:val="0"/>
                <w:webHidden/>
                <w:sz w:val="22"/>
                <w:szCs w:val="22"/>
              </w:rPr>
              <w:instrText xml:space="preserve"> PAGEREF _Toc70532893 \h </w:instrText>
            </w:r>
            <w:r w:rsidR="0025664D" w:rsidRPr="0025664D">
              <w:rPr>
                <w:b w:val="0"/>
                <w:bCs w:val="0"/>
                <w:webHidden/>
                <w:sz w:val="22"/>
                <w:szCs w:val="22"/>
              </w:rPr>
            </w:r>
            <w:r w:rsidR="0025664D" w:rsidRPr="0025664D">
              <w:rPr>
                <w:b w:val="0"/>
                <w:bCs w:val="0"/>
                <w:webHidden/>
                <w:sz w:val="22"/>
                <w:szCs w:val="22"/>
              </w:rPr>
              <w:fldChar w:fldCharType="separate"/>
            </w:r>
            <w:r w:rsidR="0025664D" w:rsidRPr="0025664D">
              <w:rPr>
                <w:b w:val="0"/>
                <w:bCs w:val="0"/>
                <w:webHidden/>
                <w:sz w:val="22"/>
                <w:szCs w:val="22"/>
              </w:rPr>
              <w:t>35</w:t>
            </w:r>
            <w:r w:rsidR="0025664D" w:rsidRPr="0025664D">
              <w:rPr>
                <w:b w:val="0"/>
                <w:bCs w:val="0"/>
                <w:webHidden/>
                <w:sz w:val="22"/>
                <w:szCs w:val="22"/>
              </w:rPr>
              <w:fldChar w:fldCharType="end"/>
            </w:r>
          </w:hyperlink>
        </w:p>
        <w:p w14:paraId="3746D0E1" w14:textId="5BA42C6D" w:rsidR="0025664D" w:rsidRPr="0025664D" w:rsidRDefault="009D3969" w:rsidP="0025664D">
          <w:pPr>
            <w:pStyle w:val="TOC1"/>
            <w:spacing w:before="60" w:after="60"/>
            <w:rPr>
              <w:rFonts w:asciiTheme="minorHAnsi" w:hAnsiTheme="minorHAnsi" w:cstheme="minorBidi"/>
              <w:b w:val="0"/>
              <w:bCs w:val="0"/>
              <w:sz w:val="20"/>
              <w:szCs w:val="20"/>
            </w:rPr>
          </w:pPr>
          <w:hyperlink w:anchor="_Toc70532894" w:history="1">
            <w:r w:rsidR="0025664D" w:rsidRPr="0025664D">
              <w:rPr>
                <w:rStyle w:val="Hyperlink"/>
                <w:b w:val="0"/>
                <w:bCs w:val="0"/>
                <w:sz w:val="22"/>
                <w:szCs w:val="22"/>
              </w:rPr>
              <w:t>4 priedas. FP taikymo scenarijų palyginimas įgyvendinant gatvės apšvietimo modernizavimo  projektus</w:t>
            </w:r>
            <w:r w:rsidR="0025664D" w:rsidRPr="0025664D">
              <w:rPr>
                <w:b w:val="0"/>
                <w:bCs w:val="0"/>
                <w:webHidden/>
                <w:sz w:val="22"/>
                <w:szCs w:val="22"/>
              </w:rPr>
              <w:tab/>
            </w:r>
            <w:r w:rsidR="0025664D" w:rsidRPr="0025664D">
              <w:rPr>
                <w:b w:val="0"/>
                <w:bCs w:val="0"/>
                <w:webHidden/>
                <w:sz w:val="22"/>
                <w:szCs w:val="22"/>
              </w:rPr>
              <w:fldChar w:fldCharType="begin"/>
            </w:r>
            <w:r w:rsidR="0025664D" w:rsidRPr="0025664D">
              <w:rPr>
                <w:b w:val="0"/>
                <w:bCs w:val="0"/>
                <w:webHidden/>
                <w:sz w:val="22"/>
                <w:szCs w:val="22"/>
              </w:rPr>
              <w:instrText xml:space="preserve"> PAGEREF _Toc70532894 \h </w:instrText>
            </w:r>
            <w:r w:rsidR="0025664D" w:rsidRPr="0025664D">
              <w:rPr>
                <w:b w:val="0"/>
                <w:bCs w:val="0"/>
                <w:webHidden/>
                <w:sz w:val="22"/>
                <w:szCs w:val="22"/>
              </w:rPr>
            </w:r>
            <w:r w:rsidR="0025664D" w:rsidRPr="0025664D">
              <w:rPr>
                <w:b w:val="0"/>
                <w:bCs w:val="0"/>
                <w:webHidden/>
                <w:sz w:val="22"/>
                <w:szCs w:val="22"/>
              </w:rPr>
              <w:fldChar w:fldCharType="separate"/>
            </w:r>
            <w:r w:rsidR="0025664D" w:rsidRPr="0025664D">
              <w:rPr>
                <w:b w:val="0"/>
                <w:bCs w:val="0"/>
                <w:webHidden/>
                <w:sz w:val="22"/>
                <w:szCs w:val="22"/>
              </w:rPr>
              <w:t>36</w:t>
            </w:r>
            <w:r w:rsidR="0025664D" w:rsidRPr="0025664D">
              <w:rPr>
                <w:b w:val="0"/>
                <w:bCs w:val="0"/>
                <w:webHidden/>
                <w:sz w:val="22"/>
                <w:szCs w:val="22"/>
              </w:rPr>
              <w:fldChar w:fldCharType="end"/>
            </w:r>
          </w:hyperlink>
        </w:p>
        <w:p w14:paraId="32C807E1" w14:textId="2D29D9AB" w:rsidR="0025664D" w:rsidRPr="0025664D" w:rsidRDefault="009D3969" w:rsidP="0025664D">
          <w:pPr>
            <w:pStyle w:val="TOC1"/>
            <w:spacing w:before="60" w:after="60"/>
            <w:rPr>
              <w:rFonts w:asciiTheme="minorHAnsi" w:hAnsiTheme="minorHAnsi" w:cstheme="minorBidi"/>
              <w:b w:val="0"/>
              <w:bCs w:val="0"/>
              <w:sz w:val="22"/>
              <w:szCs w:val="22"/>
            </w:rPr>
          </w:pPr>
          <w:hyperlink w:anchor="_Toc70532895" w:history="1">
            <w:r w:rsidR="0025664D" w:rsidRPr="0025664D">
              <w:rPr>
                <w:rStyle w:val="Hyperlink"/>
                <w:b w:val="0"/>
                <w:bCs w:val="0"/>
                <w:sz w:val="22"/>
                <w:szCs w:val="22"/>
              </w:rPr>
              <w:t>5</w:t>
            </w:r>
            <w:r w:rsidR="0025664D">
              <w:rPr>
                <w:rStyle w:val="Hyperlink"/>
                <w:b w:val="0"/>
                <w:bCs w:val="0"/>
                <w:sz w:val="22"/>
                <w:szCs w:val="22"/>
              </w:rPr>
              <w:t xml:space="preserve"> </w:t>
            </w:r>
            <w:r w:rsidR="0025664D" w:rsidRPr="0025664D">
              <w:rPr>
                <w:rStyle w:val="Hyperlink"/>
                <w:b w:val="0"/>
                <w:bCs w:val="0"/>
                <w:sz w:val="22"/>
                <w:szCs w:val="22"/>
              </w:rPr>
              <w:t>priedas. FP taikymo scenarijų palyginimas įgyvendinant savivaldybių pastatų modernizavimo  projektus</w:t>
            </w:r>
            <w:r w:rsidR="0025664D" w:rsidRPr="0025664D">
              <w:rPr>
                <w:b w:val="0"/>
                <w:bCs w:val="0"/>
                <w:webHidden/>
                <w:sz w:val="22"/>
                <w:szCs w:val="22"/>
              </w:rPr>
              <w:tab/>
            </w:r>
            <w:r w:rsidR="0025664D" w:rsidRPr="0025664D">
              <w:rPr>
                <w:b w:val="0"/>
                <w:bCs w:val="0"/>
                <w:webHidden/>
                <w:sz w:val="22"/>
                <w:szCs w:val="22"/>
              </w:rPr>
              <w:fldChar w:fldCharType="begin"/>
            </w:r>
            <w:r w:rsidR="0025664D" w:rsidRPr="0025664D">
              <w:rPr>
                <w:b w:val="0"/>
                <w:bCs w:val="0"/>
                <w:webHidden/>
                <w:sz w:val="22"/>
                <w:szCs w:val="22"/>
              </w:rPr>
              <w:instrText xml:space="preserve"> PAGEREF _Toc70532895 \h </w:instrText>
            </w:r>
            <w:r w:rsidR="0025664D" w:rsidRPr="0025664D">
              <w:rPr>
                <w:b w:val="0"/>
                <w:bCs w:val="0"/>
                <w:webHidden/>
                <w:sz w:val="22"/>
                <w:szCs w:val="22"/>
              </w:rPr>
            </w:r>
            <w:r w:rsidR="0025664D" w:rsidRPr="0025664D">
              <w:rPr>
                <w:b w:val="0"/>
                <w:bCs w:val="0"/>
                <w:webHidden/>
                <w:sz w:val="22"/>
                <w:szCs w:val="22"/>
              </w:rPr>
              <w:fldChar w:fldCharType="separate"/>
            </w:r>
            <w:r w:rsidR="0025664D" w:rsidRPr="0025664D">
              <w:rPr>
                <w:b w:val="0"/>
                <w:bCs w:val="0"/>
                <w:webHidden/>
                <w:sz w:val="22"/>
                <w:szCs w:val="22"/>
              </w:rPr>
              <w:t>37</w:t>
            </w:r>
            <w:r w:rsidR="0025664D" w:rsidRPr="0025664D">
              <w:rPr>
                <w:b w:val="0"/>
                <w:bCs w:val="0"/>
                <w:webHidden/>
                <w:sz w:val="22"/>
                <w:szCs w:val="22"/>
              </w:rPr>
              <w:fldChar w:fldCharType="end"/>
            </w:r>
          </w:hyperlink>
        </w:p>
        <w:p w14:paraId="663AE296" w14:textId="3EE308CC" w:rsidR="00EF26D3" w:rsidRPr="003878A7" w:rsidRDefault="00A66C35" w:rsidP="0025664D">
          <w:pPr>
            <w:spacing w:after="60"/>
            <w:ind w:firstLine="0"/>
            <w:rPr>
              <w:rFonts w:cs="Times New Roman"/>
            </w:rPr>
          </w:pPr>
          <w:r w:rsidRPr="0025664D">
            <w:rPr>
              <w:rFonts w:cs="Times New Roman"/>
            </w:rPr>
            <w:fldChar w:fldCharType="end"/>
          </w:r>
        </w:p>
      </w:sdtContent>
    </w:sdt>
    <w:p w14:paraId="61D4FF0D" w14:textId="77777777" w:rsidR="00EF26D3" w:rsidRPr="003878A7" w:rsidRDefault="00EF26D3" w:rsidP="009B2AF3">
      <w:pPr>
        <w:pStyle w:val="Heading1"/>
        <w:numPr>
          <w:ilvl w:val="0"/>
          <w:numId w:val="0"/>
        </w:numPr>
        <w:rPr>
          <w:rStyle w:val="Heading2Char"/>
          <w:rFonts w:cs="Times New Roman"/>
          <w:b/>
          <w:bCs/>
          <w:szCs w:val="24"/>
        </w:rPr>
      </w:pPr>
      <w:bookmarkStart w:id="0" w:name="_Toc62131196"/>
      <w:bookmarkStart w:id="1" w:name="_Toc70532855"/>
      <w:r w:rsidRPr="003878A7">
        <w:rPr>
          <w:rStyle w:val="Heading2Char"/>
          <w:rFonts w:cs="Times New Roman"/>
          <w:b/>
          <w:bCs/>
          <w:szCs w:val="24"/>
        </w:rPr>
        <w:lastRenderedPageBreak/>
        <w:t>Santrumpų sąrašas</w:t>
      </w:r>
      <w:bookmarkEnd w:id="0"/>
      <w:bookmarkEnd w:id="1"/>
    </w:p>
    <w:p w14:paraId="4349745B" w14:textId="0413C07D" w:rsidR="00EF26D3" w:rsidRPr="003878A7" w:rsidRDefault="00EF26D3" w:rsidP="00EF26D3">
      <w:pPr>
        <w:spacing w:after="0"/>
        <w:rPr>
          <w:rStyle w:val="Heading2Cha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01F02" w:rsidRPr="003878A7" w14:paraId="135A1855" w14:textId="77777777" w:rsidTr="14691E13">
        <w:tc>
          <w:tcPr>
            <w:tcW w:w="4814" w:type="dxa"/>
          </w:tcPr>
          <w:p w14:paraId="099F551D" w14:textId="5A2A5D2C" w:rsidR="00E01F02" w:rsidRPr="003878A7" w:rsidRDefault="00E01F02" w:rsidP="00D86290">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AM</w:t>
            </w:r>
          </w:p>
        </w:tc>
        <w:tc>
          <w:tcPr>
            <w:tcW w:w="4814" w:type="dxa"/>
          </w:tcPr>
          <w:p w14:paraId="4090F028" w14:textId="25F70353" w:rsidR="00E01F02" w:rsidRPr="003878A7" w:rsidRDefault="00E01F02" w:rsidP="00D86290">
            <w:pPr>
              <w:pStyle w:val="Pagrindinispaprastastekstas"/>
              <w:spacing w:after="0"/>
              <w:rPr>
                <w:rFonts w:ascii="Times New Roman" w:eastAsia="AngsanaUPC" w:hAnsi="Times New Roman"/>
                <w:bCs/>
                <w:iCs/>
                <w:sz w:val="21"/>
                <w:szCs w:val="21"/>
                <w:lang w:val="lt-LT" w:eastAsia="lt-LT"/>
              </w:rPr>
            </w:pPr>
            <w:r w:rsidRPr="003878A7">
              <w:rPr>
                <w:rFonts w:ascii="Times New Roman" w:eastAsia="AngsanaUPC" w:hAnsi="Times New Roman"/>
                <w:bCs/>
                <w:iCs/>
                <w:sz w:val="21"/>
                <w:szCs w:val="21"/>
                <w:lang w:val="lt-LT" w:eastAsia="lt-LT"/>
              </w:rPr>
              <w:t>LR aplinkos ministerija</w:t>
            </w:r>
          </w:p>
        </w:tc>
      </w:tr>
      <w:tr w:rsidR="000C2D2B" w:rsidRPr="003878A7" w14:paraId="7D2E3692" w14:textId="77777777" w:rsidTr="14691E13">
        <w:tc>
          <w:tcPr>
            <w:tcW w:w="4814" w:type="dxa"/>
          </w:tcPr>
          <w:p w14:paraId="1E716D35" w14:textId="3CB71605" w:rsidR="000C2D2B" w:rsidRPr="003878A7" w:rsidRDefault="000C2D2B" w:rsidP="000C2D2B">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BETA</w:t>
            </w:r>
          </w:p>
        </w:tc>
        <w:tc>
          <w:tcPr>
            <w:tcW w:w="4814" w:type="dxa"/>
          </w:tcPr>
          <w:p w14:paraId="00775616" w14:textId="56D49F72" w:rsidR="000C2D2B" w:rsidRPr="003878A7" w:rsidRDefault="000C2D2B" w:rsidP="000C2D2B">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VšĮ „Būsto energijos taupymo agentūra“</w:t>
            </w:r>
          </w:p>
        </w:tc>
      </w:tr>
      <w:tr w:rsidR="00E01F02" w:rsidRPr="003878A7" w14:paraId="372A98EE" w14:textId="77777777" w:rsidTr="14691E13">
        <w:tc>
          <w:tcPr>
            <w:tcW w:w="4814" w:type="dxa"/>
          </w:tcPr>
          <w:p w14:paraId="135FCBDF" w14:textId="244385D7" w:rsidR="00E01F02" w:rsidRPr="003878A7" w:rsidRDefault="00E01F02" w:rsidP="00D86290">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BGEST rodiklis</w:t>
            </w:r>
          </w:p>
        </w:tc>
        <w:tc>
          <w:tcPr>
            <w:tcW w:w="4814" w:type="dxa"/>
          </w:tcPr>
          <w:p w14:paraId="5D1CDBD6" w14:textId="62928177" w:rsidR="00E01F02" w:rsidRPr="003878A7" w:rsidRDefault="00E01F02" w:rsidP="00D86290">
            <w:pPr>
              <w:pStyle w:val="Pagrindinispaprastastekstas"/>
              <w:spacing w:after="0"/>
              <w:rPr>
                <w:rFonts w:ascii="Times New Roman" w:eastAsia="AngsanaUPC" w:hAnsi="Times New Roman"/>
                <w:bCs/>
                <w:iCs/>
                <w:sz w:val="21"/>
                <w:szCs w:val="21"/>
                <w:lang w:val="lt-LT" w:eastAsia="lt-LT"/>
              </w:rPr>
            </w:pPr>
            <w:r w:rsidRPr="003878A7">
              <w:rPr>
                <w:rFonts w:ascii="Times New Roman" w:eastAsia="AngsanaUPC" w:hAnsi="Times New Roman"/>
                <w:bCs/>
                <w:iCs/>
                <w:sz w:val="21"/>
                <w:szCs w:val="21"/>
                <w:lang w:val="lt-LT" w:eastAsia="lt-LT"/>
              </w:rPr>
              <w:t>Bendras galutinio energijos suvartojimo taupymo rodiklis</w:t>
            </w:r>
          </w:p>
        </w:tc>
      </w:tr>
      <w:tr w:rsidR="000C2D2B" w:rsidRPr="003878A7" w14:paraId="26CEBFA1" w14:textId="77777777" w:rsidTr="14691E13">
        <w:tc>
          <w:tcPr>
            <w:tcW w:w="4814" w:type="dxa"/>
          </w:tcPr>
          <w:p w14:paraId="097B3327" w14:textId="7271849D" w:rsidR="000C2D2B" w:rsidRPr="003878A7" w:rsidRDefault="000C2D2B" w:rsidP="000C2D2B">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Deleguotas reglamentas</w:t>
            </w:r>
          </w:p>
        </w:tc>
        <w:tc>
          <w:tcPr>
            <w:tcW w:w="4814" w:type="dxa"/>
          </w:tcPr>
          <w:p w14:paraId="56661F61" w14:textId="2ED764A7" w:rsidR="000C2D2B" w:rsidRPr="003878A7" w:rsidRDefault="000C2D2B" w:rsidP="000C2D2B">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2014 m. kovo 3 d. Komisijos deleguotasis reglamentas (ES) Nr. 480/2014, kuriuo papildomas Europos Parlamento ir Tarybos reglamentas (ES) Nr. 1303/2013, kuriuo nustatomos Europos regioninės plėtros fondui, Europos socialiniam fondui, Sanglaudos fondui, Europos žemės ūkio fondui kaimo plėtrai ir Europos jūrų reikalų ir žuvininkystės fondui bendros nuostatos ir Europos regioninės plėtros fondui, Europos socialiniam fondui, Sanglaudos fondui ir Europos jūrų reikalų ir žuvininkystės fondui taikytinos bendrosios nuostatos</w:t>
            </w:r>
          </w:p>
        </w:tc>
      </w:tr>
      <w:tr w:rsidR="000C2D2B" w:rsidRPr="003878A7" w14:paraId="757BD664" w14:textId="77777777" w:rsidTr="14691E13">
        <w:tc>
          <w:tcPr>
            <w:tcW w:w="4814" w:type="dxa"/>
          </w:tcPr>
          <w:p w14:paraId="6C13AD1D" w14:textId="43B4F8D7" w:rsidR="000C2D2B" w:rsidRPr="003878A7" w:rsidRDefault="000C2D2B" w:rsidP="000C2D2B">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DNMF</w:t>
            </w:r>
          </w:p>
        </w:tc>
        <w:tc>
          <w:tcPr>
            <w:tcW w:w="4814" w:type="dxa"/>
          </w:tcPr>
          <w:p w14:paraId="49E51C4F" w14:textId="5AFCE27F" w:rsidR="000C2D2B" w:rsidRPr="003878A7" w:rsidRDefault="00FD523F" w:rsidP="000C2D2B">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Daugiabučių namų modernizavimo fondas</w:t>
            </w:r>
          </w:p>
        </w:tc>
      </w:tr>
      <w:tr w:rsidR="00ED667A" w:rsidRPr="003878A7" w14:paraId="5D8BF1D2" w14:textId="77777777" w:rsidTr="14691E13">
        <w:tc>
          <w:tcPr>
            <w:tcW w:w="4814" w:type="dxa"/>
          </w:tcPr>
          <w:p w14:paraId="50E5FF14" w14:textId="25189924" w:rsidR="00ED667A" w:rsidRPr="003878A7" w:rsidRDefault="00ED667A" w:rsidP="00E8519C">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EE</w:t>
            </w:r>
          </w:p>
        </w:tc>
        <w:tc>
          <w:tcPr>
            <w:tcW w:w="4814" w:type="dxa"/>
          </w:tcPr>
          <w:p w14:paraId="22778091" w14:textId="21C6F95A" w:rsidR="00ED667A" w:rsidRPr="003878A7" w:rsidRDefault="00ED667A" w:rsidP="00E8519C">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Energijos efektyvumas</w:t>
            </w:r>
          </w:p>
        </w:tc>
      </w:tr>
      <w:tr w:rsidR="00CF06EF" w:rsidRPr="003878A7" w14:paraId="0C6F993E" w14:textId="77777777" w:rsidTr="14691E13">
        <w:tc>
          <w:tcPr>
            <w:tcW w:w="4814" w:type="dxa"/>
          </w:tcPr>
          <w:p w14:paraId="4D1FD458" w14:textId="65AB2220" w:rsidR="00CF06EF" w:rsidRPr="003878A7" w:rsidRDefault="00CF06EF" w:rsidP="00E8519C">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EE direktyva</w:t>
            </w:r>
          </w:p>
        </w:tc>
        <w:tc>
          <w:tcPr>
            <w:tcW w:w="4814" w:type="dxa"/>
          </w:tcPr>
          <w:p w14:paraId="59221AEB" w14:textId="662DE5FB" w:rsidR="00CF06EF" w:rsidRPr="003878A7" w:rsidRDefault="00CF06EF" w:rsidP="00E8519C">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Europos Parlamento ir Tarybos Direktyva kuria iš dalies keičiama Direktyva 2012/27/ES dėl energijos vartojimo efektyvumo, 2016/0376 (COD)</w:t>
            </w:r>
          </w:p>
        </w:tc>
      </w:tr>
      <w:tr w:rsidR="00CF06EF" w:rsidRPr="003878A7" w14:paraId="67696485" w14:textId="77777777" w:rsidTr="14691E13">
        <w:tc>
          <w:tcPr>
            <w:tcW w:w="4814" w:type="dxa"/>
          </w:tcPr>
          <w:p w14:paraId="2011C8B4" w14:textId="1F12C78C" w:rsidR="00CF06EF" w:rsidRPr="003878A7" w:rsidRDefault="00CF06EF" w:rsidP="00E8519C">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EERSF</w:t>
            </w:r>
          </w:p>
        </w:tc>
        <w:tc>
          <w:tcPr>
            <w:tcW w:w="4814" w:type="dxa"/>
          </w:tcPr>
          <w:p w14:paraId="654D7409" w14:textId="1F67840B" w:rsidR="00CF06EF" w:rsidRPr="003878A7" w:rsidRDefault="00CF06EF" w:rsidP="00E8519C">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Energijos efektyvumo ir atsinaujinančių išteklių fondas</w:t>
            </w:r>
          </w:p>
        </w:tc>
      </w:tr>
      <w:tr w:rsidR="00364FD0" w:rsidRPr="003878A7" w14:paraId="0B7298DC" w14:textId="77777777" w:rsidTr="14691E13">
        <w:tc>
          <w:tcPr>
            <w:tcW w:w="4814" w:type="dxa"/>
          </w:tcPr>
          <w:p w14:paraId="132DA3D8" w14:textId="42FB2710" w:rsidR="00364FD0" w:rsidRPr="003878A7" w:rsidRDefault="00364FD0" w:rsidP="00E8519C">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EIB</w:t>
            </w:r>
          </w:p>
        </w:tc>
        <w:tc>
          <w:tcPr>
            <w:tcW w:w="4814" w:type="dxa"/>
          </w:tcPr>
          <w:p w14:paraId="58F35E39" w14:textId="55AE0701" w:rsidR="00364FD0" w:rsidRPr="003878A7" w:rsidRDefault="00364FD0" w:rsidP="00E8519C">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Europos investicinis bankas</w:t>
            </w:r>
          </w:p>
        </w:tc>
      </w:tr>
      <w:tr w:rsidR="00E8519C" w:rsidRPr="003878A7" w14:paraId="34B04162" w14:textId="77777777" w:rsidTr="14691E13">
        <w:tc>
          <w:tcPr>
            <w:tcW w:w="4814" w:type="dxa"/>
          </w:tcPr>
          <w:p w14:paraId="0311E476" w14:textId="3E7C9753" w:rsidR="00E8519C" w:rsidRPr="003878A7" w:rsidRDefault="00E8519C" w:rsidP="00E8519C">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EIF</w:t>
            </w:r>
          </w:p>
        </w:tc>
        <w:tc>
          <w:tcPr>
            <w:tcW w:w="4814" w:type="dxa"/>
          </w:tcPr>
          <w:p w14:paraId="607647E0" w14:textId="4CC60D9D" w:rsidR="00E8519C" w:rsidRPr="003878A7" w:rsidRDefault="00E8519C" w:rsidP="00E8519C">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Europos investicinis fondas</w:t>
            </w:r>
          </w:p>
        </w:tc>
      </w:tr>
      <w:tr w:rsidR="00286E67" w:rsidRPr="003878A7" w14:paraId="24CC0719" w14:textId="77777777" w:rsidTr="14691E13">
        <w:tc>
          <w:tcPr>
            <w:tcW w:w="4814" w:type="dxa"/>
          </w:tcPr>
          <w:p w14:paraId="12D28C49" w14:textId="249FAC5B" w:rsidR="00286E67" w:rsidRPr="003878A7" w:rsidRDefault="00286E67" w:rsidP="00E8519C">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EK</w:t>
            </w:r>
          </w:p>
        </w:tc>
        <w:tc>
          <w:tcPr>
            <w:tcW w:w="4814" w:type="dxa"/>
          </w:tcPr>
          <w:p w14:paraId="325C94FA" w14:textId="6FFCA7F0" w:rsidR="00286E67" w:rsidRPr="003878A7" w:rsidRDefault="00286E67" w:rsidP="00E8519C">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Europos Komisija</w:t>
            </w:r>
          </w:p>
        </w:tc>
      </w:tr>
      <w:tr w:rsidR="00ED667A" w:rsidRPr="003878A7" w14:paraId="6528CF0C" w14:textId="77777777" w:rsidTr="14691E13">
        <w:tc>
          <w:tcPr>
            <w:tcW w:w="4814" w:type="dxa"/>
          </w:tcPr>
          <w:p w14:paraId="60041E7A" w14:textId="1B7804BC" w:rsidR="00ED667A" w:rsidRPr="003878A7" w:rsidRDefault="00ED667A" w:rsidP="00E8519C">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EM</w:t>
            </w:r>
          </w:p>
        </w:tc>
        <w:tc>
          <w:tcPr>
            <w:tcW w:w="4814" w:type="dxa"/>
          </w:tcPr>
          <w:p w14:paraId="19121127" w14:textId="1F70C83C" w:rsidR="00ED667A" w:rsidRPr="003878A7" w:rsidRDefault="00ED667A" w:rsidP="00E8519C">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LR energetikos ministerija</w:t>
            </w:r>
          </w:p>
        </w:tc>
      </w:tr>
      <w:tr w:rsidR="00CF06EF" w:rsidRPr="003878A7" w14:paraId="16D67179" w14:textId="77777777" w:rsidTr="14691E13">
        <w:tc>
          <w:tcPr>
            <w:tcW w:w="4814" w:type="dxa"/>
          </w:tcPr>
          <w:p w14:paraId="3CF377AC" w14:textId="47998CBD" w:rsidR="00CF06EF" w:rsidRPr="003878A7" w:rsidRDefault="00CF06EF" w:rsidP="00E8519C">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ENEF</w:t>
            </w:r>
          </w:p>
        </w:tc>
        <w:tc>
          <w:tcPr>
            <w:tcW w:w="4814" w:type="dxa"/>
          </w:tcPr>
          <w:p w14:paraId="6342DAF2" w14:textId="0A82B5D4" w:rsidR="00CF06EF" w:rsidRPr="003878A7" w:rsidRDefault="00CF06EF" w:rsidP="00E8519C">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Energijos efektyvumo fondas</w:t>
            </w:r>
          </w:p>
        </w:tc>
      </w:tr>
      <w:tr w:rsidR="008F2BC7" w:rsidRPr="003878A7" w14:paraId="7DFE33E6" w14:textId="77777777" w:rsidTr="14691E13">
        <w:tc>
          <w:tcPr>
            <w:tcW w:w="4814" w:type="dxa"/>
          </w:tcPr>
          <w:p w14:paraId="7C7E77A6" w14:textId="57E43D3B" w:rsidR="008F2BC7" w:rsidRPr="003878A7" w:rsidRDefault="008F2BC7" w:rsidP="008F2BC7">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EPRB</w:t>
            </w:r>
          </w:p>
        </w:tc>
        <w:tc>
          <w:tcPr>
            <w:tcW w:w="4814" w:type="dxa"/>
          </w:tcPr>
          <w:p w14:paraId="1AC1203B" w14:textId="6A0DE3F0" w:rsidR="008F2BC7" w:rsidRPr="003878A7" w:rsidRDefault="008F2BC7" w:rsidP="008F2BC7">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 xml:space="preserve">Europos rekonstrukcijos ir plėtros bankas (angl. </w:t>
            </w:r>
            <w:r w:rsidRPr="003878A7">
              <w:rPr>
                <w:rFonts w:ascii="Times New Roman" w:hAnsi="Times New Roman"/>
                <w:i/>
                <w:iCs/>
                <w:sz w:val="21"/>
                <w:szCs w:val="21"/>
                <w:lang w:val="lt-LT"/>
              </w:rPr>
              <w:t xml:space="preserve">European Bank </w:t>
            </w:r>
            <w:proofErr w:type="spellStart"/>
            <w:r w:rsidRPr="003878A7">
              <w:rPr>
                <w:rFonts w:ascii="Times New Roman" w:hAnsi="Times New Roman"/>
                <w:i/>
                <w:iCs/>
                <w:sz w:val="21"/>
                <w:szCs w:val="21"/>
                <w:lang w:val="lt-LT"/>
              </w:rPr>
              <w:t>for</w:t>
            </w:r>
            <w:proofErr w:type="spellEnd"/>
            <w:r w:rsidRPr="003878A7">
              <w:rPr>
                <w:rFonts w:ascii="Times New Roman" w:hAnsi="Times New Roman"/>
                <w:i/>
                <w:iCs/>
                <w:sz w:val="21"/>
                <w:szCs w:val="21"/>
                <w:lang w:val="lt-LT"/>
              </w:rPr>
              <w:t xml:space="preserve"> </w:t>
            </w:r>
            <w:proofErr w:type="spellStart"/>
            <w:r w:rsidRPr="003878A7">
              <w:rPr>
                <w:rFonts w:ascii="Times New Roman" w:hAnsi="Times New Roman"/>
                <w:i/>
                <w:iCs/>
                <w:sz w:val="21"/>
                <w:szCs w:val="21"/>
                <w:lang w:val="lt-LT"/>
              </w:rPr>
              <w:t>Restructuring</w:t>
            </w:r>
            <w:proofErr w:type="spellEnd"/>
            <w:r w:rsidRPr="003878A7">
              <w:rPr>
                <w:rFonts w:ascii="Times New Roman" w:hAnsi="Times New Roman"/>
                <w:i/>
                <w:iCs/>
                <w:sz w:val="21"/>
                <w:szCs w:val="21"/>
                <w:lang w:val="lt-LT"/>
              </w:rPr>
              <w:t xml:space="preserve"> </w:t>
            </w:r>
            <w:proofErr w:type="spellStart"/>
            <w:r w:rsidRPr="003878A7">
              <w:rPr>
                <w:rFonts w:ascii="Times New Roman" w:hAnsi="Times New Roman"/>
                <w:i/>
                <w:iCs/>
                <w:sz w:val="21"/>
                <w:szCs w:val="21"/>
                <w:lang w:val="lt-LT"/>
              </w:rPr>
              <w:t>and</w:t>
            </w:r>
            <w:proofErr w:type="spellEnd"/>
            <w:r w:rsidRPr="003878A7">
              <w:rPr>
                <w:rFonts w:ascii="Times New Roman" w:hAnsi="Times New Roman"/>
                <w:i/>
                <w:iCs/>
                <w:sz w:val="21"/>
                <w:szCs w:val="21"/>
                <w:lang w:val="lt-LT"/>
              </w:rPr>
              <w:t xml:space="preserve"> </w:t>
            </w:r>
            <w:proofErr w:type="spellStart"/>
            <w:r w:rsidRPr="003878A7">
              <w:rPr>
                <w:rFonts w:ascii="Times New Roman" w:hAnsi="Times New Roman"/>
                <w:i/>
                <w:iCs/>
                <w:sz w:val="21"/>
                <w:szCs w:val="21"/>
                <w:lang w:val="lt-LT"/>
              </w:rPr>
              <w:t>Development</w:t>
            </w:r>
            <w:proofErr w:type="spellEnd"/>
            <w:r w:rsidRPr="003878A7">
              <w:rPr>
                <w:rFonts w:ascii="Times New Roman" w:hAnsi="Times New Roman"/>
                <w:sz w:val="21"/>
                <w:szCs w:val="21"/>
                <w:lang w:val="lt-LT"/>
              </w:rPr>
              <w:t>)</w:t>
            </w:r>
          </w:p>
        </w:tc>
      </w:tr>
      <w:tr w:rsidR="008F2BC7" w:rsidRPr="003878A7" w14:paraId="79BBC36E" w14:textId="77777777" w:rsidTr="14691E13">
        <w:tc>
          <w:tcPr>
            <w:tcW w:w="4814" w:type="dxa"/>
          </w:tcPr>
          <w:p w14:paraId="2F99D723" w14:textId="6F215656" w:rsidR="008F2BC7" w:rsidRPr="003878A7" w:rsidRDefault="008F2BC7" w:rsidP="008F2BC7">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ESCO</w:t>
            </w:r>
          </w:p>
        </w:tc>
        <w:tc>
          <w:tcPr>
            <w:tcW w:w="4814" w:type="dxa"/>
          </w:tcPr>
          <w:p w14:paraId="3BDF1F2D" w14:textId="7FC67AD4" w:rsidR="008F2BC7" w:rsidRPr="003878A7" w:rsidRDefault="008F2BC7" w:rsidP="008F2BC7">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 xml:space="preserve">Energetinių paslaugų bendrovė (angl. </w:t>
            </w:r>
            <w:proofErr w:type="spellStart"/>
            <w:r w:rsidRPr="003878A7">
              <w:rPr>
                <w:rFonts w:ascii="Times New Roman" w:hAnsi="Times New Roman"/>
                <w:i/>
                <w:iCs/>
                <w:sz w:val="21"/>
                <w:szCs w:val="21"/>
                <w:lang w:val="lt-LT"/>
              </w:rPr>
              <w:t>energy</w:t>
            </w:r>
            <w:proofErr w:type="spellEnd"/>
            <w:r w:rsidRPr="003878A7">
              <w:rPr>
                <w:rFonts w:ascii="Times New Roman" w:hAnsi="Times New Roman"/>
                <w:i/>
                <w:iCs/>
                <w:sz w:val="21"/>
                <w:szCs w:val="21"/>
                <w:lang w:val="lt-LT"/>
              </w:rPr>
              <w:t xml:space="preserve"> </w:t>
            </w:r>
            <w:proofErr w:type="spellStart"/>
            <w:r w:rsidRPr="003878A7">
              <w:rPr>
                <w:rFonts w:ascii="Times New Roman" w:hAnsi="Times New Roman"/>
                <w:i/>
                <w:iCs/>
                <w:sz w:val="21"/>
                <w:szCs w:val="21"/>
                <w:lang w:val="lt-LT"/>
              </w:rPr>
              <w:t>service</w:t>
            </w:r>
            <w:proofErr w:type="spellEnd"/>
            <w:r w:rsidRPr="003878A7">
              <w:rPr>
                <w:rFonts w:ascii="Times New Roman" w:hAnsi="Times New Roman"/>
                <w:i/>
                <w:iCs/>
                <w:sz w:val="21"/>
                <w:szCs w:val="21"/>
                <w:lang w:val="lt-LT"/>
              </w:rPr>
              <w:t xml:space="preserve"> </w:t>
            </w:r>
            <w:proofErr w:type="spellStart"/>
            <w:r w:rsidRPr="003878A7">
              <w:rPr>
                <w:rFonts w:ascii="Times New Roman" w:hAnsi="Times New Roman"/>
                <w:i/>
                <w:iCs/>
                <w:sz w:val="21"/>
                <w:szCs w:val="21"/>
                <w:lang w:val="lt-LT"/>
              </w:rPr>
              <w:t>companies</w:t>
            </w:r>
            <w:proofErr w:type="spellEnd"/>
            <w:r w:rsidRPr="003878A7">
              <w:rPr>
                <w:rFonts w:ascii="Times New Roman" w:hAnsi="Times New Roman"/>
                <w:sz w:val="21"/>
                <w:szCs w:val="21"/>
                <w:lang w:val="lt-LT"/>
              </w:rPr>
              <w:t>)</w:t>
            </w:r>
          </w:p>
        </w:tc>
      </w:tr>
      <w:tr w:rsidR="008F2BC7" w:rsidRPr="003878A7" w14:paraId="38F755EA" w14:textId="77777777" w:rsidTr="14691E13">
        <w:tc>
          <w:tcPr>
            <w:tcW w:w="4814" w:type="dxa"/>
          </w:tcPr>
          <w:p w14:paraId="7AF58230" w14:textId="559626BD" w:rsidR="008F2BC7" w:rsidRPr="003878A7" w:rsidRDefault="008F2BC7" w:rsidP="008F2BC7">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ETVB</w:t>
            </w:r>
          </w:p>
        </w:tc>
        <w:tc>
          <w:tcPr>
            <w:tcW w:w="4814" w:type="dxa"/>
          </w:tcPr>
          <w:p w14:paraId="37906173" w14:textId="40E25510" w:rsidR="008F2BC7" w:rsidRPr="003878A7" w:rsidRDefault="008F2BC7" w:rsidP="008F2BC7">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 xml:space="preserve">Europos Tarybos vystymo bankas (angl. </w:t>
            </w:r>
            <w:r w:rsidRPr="003878A7">
              <w:rPr>
                <w:rFonts w:ascii="Times New Roman" w:hAnsi="Times New Roman"/>
                <w:i/>
                <w:iCs/>
                <w:sz w:val="21"/>
                <w:szCs w:val="21"/>
                <w:lang w:val="lt-LT"/>
              </w:rPr>
              <w:t xml:space="preserve">Council of </w:t>
            </w:r>
            <w:proofErr w:type="spellStart"/>
            <w:r w:rsidRPr="003878A7">
              <w:rPr>
                <w:rFonts w:ascii="Times New Roman" w:hAnsi="Times New Roman"/>
                <w:i/>
                <w:iCs/>
                <w:sz w:val="21"/>
                <w:szCs w:val="21"/>
                <w:lang w:val="lt-LT"/>
              </w:rPr>
              <w:t>Europe</w:t>
            </w:r>
            <w:proofErr w:type="spellEnd"/>
            <w:r w:rsidRPr="003878A7">
              <w:rPr>
                <w:rFonts w:ascii="Times New Roman" w:hAnsi="Times New Roman"/>
                <w:i/>
                <w:iCs/>
                <w:sz w:val="21"/>
                <w:szCs w:val="21"/>
                <w:lang w:val="lt-LT"/>
              </w:rPr>
              <w:t xml:space="preserve"> </w:t>
            </w:r>
            <w:proofErr w:type="spellStart"/>
            <w:r w:rsidRPr="003878A7">
              <w:rPr>
                <w:rFonts w:ascii="Times New Roman" w:hAnsi="Times New Roman"/>
                <w:i/>
                <w:iCs/>
                <w:sz w:val="21"/>
                <w:szCs w:val="21"/>
                <w:lang w:val="lt-LT"/>
              </w:rPr>
              <w:t>Development</w:t>
            </w:r>
            <w:proofErr w:type="spellEnd"/>
            <w:r w:rsidRPr="003878A7">
              <w:rPr>
                <w:rFonts w:ascii="Times New Roman" w:hAnsi="Times New Roman"/>
                <w:i/>
                <w:iCs/>
                <w:sz w:val="21"/>
                <w:szCs w:val="21"/>
                <w:lang w:val="lt-LT"/>
              </w:rPr>
              <w:t xml:space="preserve"> Bank</w:t>
            </w:r>
            <w:r w:rsidRPr="003878A7">
              <w:rPr>
                <w:rFonts w:ascii="Times New Roman" w:hAnsi="Times New Roman"/>
                <w:sz w:val="21"/>
                <w:szCs w:val="21"/>
                <w:lang w:val="lt-LT"/>
              </w:rPr>
              <w:t>)</w:t>
            </w:r>
          </w:p>
        </w:tc>
      </w:tr>
      <w:tr w:rsidR="008F2BC7" w:rsidRPr="003878A7" w14:paraId="59F93158" w14:textId="77777777" w:rsidTr="14691E13">
        <w:tc>
          <w:tcPr>
            <w:tcW w:w="4814" w:type="dxa"/>
          </w:tcPr>
          <w:p w14:paraId="034AA54D" w14:textId="7B398F08" w:rsidR="008F2BC7" w:rsidRPr="003878A7" w:rsidRDefault="008F2BC7" w:rsidP="008F2BC7">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ES SF</w:t>
            </w:r>
          </w:p>
        </w:tc>
        <w:tc>
          <w:tcPr>
            <w:tcW w:w="4814" w:type="dxa"/>
          </w:tcPr>
          <w:p w14:paraId="61B438F0" w14:textId="6A310CEE" w:rsidR="008F2BC7" w:rsidRPr="003878A7" w:rsidRDefault="008F2BC7" w:rsidP="008F2BC7">
            <w:pPr>
              <w:pStyle w:val="Pagrindinispaprastastekstas"/>
              <w:spacing w:after="0"/>
              <w:rPr>
                <w:rFonts w:ascii="Times New Roman" w:eastAsia="AngsanaUPC" w:hAnsi="Times New Roman"/>
                <w:bCs/>
                <w:iCs/>
                <w:sz w:val="21"/>
                <w:szCs w:val="21"/>
                <w:lang w:val="lt-LT" w:eastAsia="lt-LT"/>
              </w:rPr>
            </w:pPr>
            <w:r w:rsidRPr="003878A7">
              <w:rPr>
                <w:rFonts w:ascii="Times New Roman" w:hAnsi="Times New Roman"/>
                <w:sz w:val="21"/>
                <w:szCs w:val="21"/>
                <w:lang w:val="lt-LT"/>
              </w:rPr>
              <w:t>Europos Sąjungos struktūriniai fondai (2007-2013 m. programavimo laikotarpio kontekste) arba Europos Sąjungos struktūriniai ir investiciniai fondai (2014–2020 m. programavimo laikotarpio kontekste)</w:t>
            </w:r>
          </w:p>
        </w:tc>
      </w:tr>
      <w:tr w:rsidR="008F2BC7" w:rsidRPr="003878A7" w14:paraId="147A4FAE" w14:textId="77777777" w:rsidTr="14691E13">
        <w:tc>
          <w:tcPr>
            <w:tcW w:w="4814" w:type="dxa"/>
          </w:tcPr>
          <w:p w14:paraId="02F92AB8" w14:textId="0BDC5C87" w:rsidR="008F2BC7" w:rsidRPr="003878A7" w:rsidRDefault="008F2BC7" w:rsidP="008F2BC7">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FF</w:t>
            </w:r>
          </w:p>
        </w:tc>
        <w:tc>
          <w:tcPr>
            <w:tcW w:w="4814" w:type="dxa"/>
          </w:tcPr>
          <w:p w14:paraId="2BE893C9" w14:textId="238484A8" w:rsidR="008F2BC7" w:rsidRPr="003878A7" w:rsidRDefault="008F2BC7" w:rsidP="008F2BC7">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Fondų fondas</w:t>
            </w:r>
          </w:p>
        </w:tc>
      </w:tr>
      <w:tr w:rsidR="008F2BC7" w:rsidRPr="003878A7" w14:paraId="37389BAF" w14:textId="77777777" w:rsidTr="14691E13">
        <w:tc>
          <w:tcPr>
            <w:tcW w:w="4814" w:type="dxa"/>
          </w:tcPr>
          <w:p w14:paraId="54CD1014" w14:textId="0EA29DF6" w:rsidR="008F2BC7" w:rsidRPr="003878A7" w:rsidRDefault="008F2BC7" w:rsidP="008F2BC7">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FM</w:t>
            </w:r>
          </w:p>
        </w:tc>
        <w:tc>
          <w:tcPr>
            <w:tcW w:w="4814" w:type="dxa"/>
          </w:tcPr>
          <w:p w14:paraId="59EEBF95" w14:textId="4012A3DF" w:rsidR="008F2BC7" w:rsidRPr="003878A7" w:rsidRDefault="008F2BC7" w:rsidP="008F2BC7">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LR finansų ministerija</w:t>
            </w:r>
          </w:p>
        </w:tc>
      </w:tr>
      <w:tr w:rsidR="008F2BC7" w:rsidRPr="003878A7" w14:paraId="3F22D28A" w14:textId="77777777" w:rsidTr="14691E13">
        <w:tc>
          <w:tcPr>
            <w:tcW w:w="4814" w:type="dxa"/>
          </w:tcPr>
          <w:p w14:paraId="26FBD541" w14:textId="7D013A18" w:rsidR="008F2BC7" w:rsidRPr="003878A7" w:rsidRDefault="008F2BC7" w:rsidP="008F2BC7">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FP</w:t>
            </w:r>
          </w:p>
        </w:tc>
        <w:tc>
          <w:tcPr>
            <w:tcW w:w="4814" w:type="dxa"/>
          </w:tcPr>
          <w:p w14:paraId="2630F48F" w14:textId="331E93B2" w:rsidR="008F2BC7" w:rsidRPr="003878A7" w:rsidRDefault="008F2BC7" w:rsidP="008F2BC7">
            <w:pPr>
              <w:pStyle w:val="Pagrindinispaprastastekstas"/>
              <w:spacing w:after="0"/>
              <w:rPr>
                <w:rFonts w:ascii="Times New Roman" w:eastAsia="AngsanaUPC" w:hAnsi="Times New Roman"/>
                <w:bCs/>
                <w:iCs/>
                <w:sz w:val="21"/>
                <w:szCs w:val="21"/>
                <w:lang w:val="lt-LT" w:eastAsia="lt-LT"/>
              </w:rPr>
            </w:pPr>
            <w:r w:rsidRPr="003878A7">
              <w:rPr>
                <w:rFonts w:ascii="Times New Roman" w:hAnsi="Times New Roman"/>
                <w:sz w:val="21"/>
                <w:szCs w:val="21"/>
                <w:lang w:val="lt-LT"/>
              </w:rPr>
              <w:t>Finansinė priemonė</w:t>
            </w:r>
          </w:p>
        </w:tc>
      </w:tr>
      <w:tr w:rsidR="008F2BC7" w:rsidRPr="003878A7" w14:paraId="50FD5F01" w14:textId="77777777" w:rsidTr="14691E13">
        <w:tc>
          <w:tcPr>
            <w:tcW w:w="4814" w:type="dxa"/>
          </w:tcPr>
          <w:p w14:paraId="52775BFE" w14:textId="7E957D0D" w:rsidR="008F2BC7" w:rsidRPr="003878A7" w:rsidRDefault="008F2BC7" w:rsidP="008F2BC7">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FT</w:t>
            </w:r>
          </w:p>
        </w:tc>
        <w:tc>
          <w:tcPr>
            <w:tcW w:w="4814" w:type="dxa"/>
          </w:tcPr>
          <w:p w14:paraId="48110BC5" w14:textId="47EB4D04" w:rsidR="008F2BC7" w:rsidRPr="003878A7" w:rsidRDefault="008F2BC7" w:rsidP="008F2BC7">
            <w:pPr>
              <w:pStyle w:val="Pagrindinispaprastastekstas"/>
              <w:spacing w:after="0"/>
              <w:rPr>
                <w:rFonts w:ascii="Times New Roman" w:eastAsia="AngsanaUPC" w:hAnsi="Times New Roman"/>
                <w:bCs/>
                <w:iCs/>
                <w:sz w:val="21"/>
                <w:szCs w:val="21"/>
                <w:lang w:val="lt-LT" w:eastAsia="lt-LT"/>
              </w:rPr>
            </w:pPr>
            <w:r w:rsidRPr="003878A7">
              <w:rPr>
                <w:rFonts w:ascii="Times New Roman" w:hAnsi="Times New Roman"/>
                <w:sz w:val="21"/>
                <w:szCs w:val="21"/>
                <w:lang w:val="lt-LT"/>
              </w:rPr>
              <w:t>Finansų tarpininkai</w:t>
            </w:r>
          </w:p>
        </w:tc>
      </w:tr>
      <w:tr w:rsidR="008F2BC7" w:rsidRPr="003878A7" w14:paraId="64D380F8" w14:textId="77777777" w:rsidTr="14691E13">
        <w:tc>
          <w:tcPr>
            <w:tcW w:w="4814" w:type="dxa"/>
          </w:tcPr>
          <w:p w14:paraId="5C76FD52" w14:textId="58A9368F" w:rsidR="008F2BC7" w:rsidRPr="003878A7" w:rsidRDefault="008F2BC7" w:rsidP="008F2BC7">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GNG</w:t>
            </w:r>
          </w:p>
        </w:tc>
        <w:tc>
          <w:tcPr>
            <w:tcW w:w="4814" w:type="dxa"/>
          </w:tcPr>
          <w:p w14:paraId="5BE11445" w14:textId="6E9F00AF" w:rsidR="008F2BC7" w:rsidRPr="003878A7" w:rsidRDefault="008F2BC7" w:rsidP="008F2BC7">
            <w:pPr>
              <w:pStyle w:val="Pagrindinispaprastastekstas"/>
              <w:spacing w:after="0"/>
              <w:rPr>
                <w:rFonts w:ascii="Times New Roman" w:eastAsia="AngsanaUPC" w:hAnsi="Times New Roman"/>
                <w:bCs/>
                <w:iCs/>
                <w:sz w:val="21"/>
                <w:szCs w:val="21"/>
                <w:lang w:val="lt-LT" w:eastAsia="lt-LT"/>
              </w:rPr>
            </w:pPr>
            <w:r w:rsidRPr="003878A7">
              <w:rPr>
                <w:rFonts w:ascii="Times New Roman" w:hAnsi="Times New Roman"/>
                <w:sz w:val="21"/>
                <w:szCs w:val="21"/>
                <w:lang w:val="lt-LT"/>
              </w:rPr>
              <w:t>Galutiniai naudos gavėjai</w:t>
            </w:r>
          </w:p>
        </w:tc>
      </w:tr>
      <w:tr w:rsidR="008F2BC7" w:rsidRPr="003878A7" w14:paraId="40B963DF" w14:textId="77777777" w:rsidTr="14691E13">
        <w:tc>
          <w:tcPr>
            <w:tcW w:w="4814" w:type="dxa"/>
          </w:tcPr>
          <w:p w14:paraId="23D0DAB1" w14:textId="6C57B344" w:rsidR="008F2BC7" w:rsidRPr="003878A7" w:rsidRDefault="008F2BC7" w:rsidP="008F2BC7">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INVEGA</w:t>
            </w:r>
          </w:p>
        </w:tc>
        <w:tc>
          <w:tcPr>
            <w:tcW w:w="4814" w:type="dxa"/>
          </w:tcPr>
          <w:p w14:paraId="1E626B41" w14:textId="38751838" w:rsidR="008F2BC7" w:rsidRPr="003878A7" w:rsidRDefault="008F2BC7" w:rsidP="008F2BC7">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 xml:space="preserve">UAB </w:t>
            </w:r>
            <w:r w:rsidR="006D7B19">
              <w:rPr>
                <w:rFonts w:ascii="Times New Roman" w:hAnsi="Times New Roman"/>
                <w:sz w:val="21"/>
                <w:szCs w:val="21"/>
                <w:lang w:val="lt-LT"/>
              </w:rPr>
              <w:t>„</w:t>
            </w:r>
            <w:r w:rsidRPr="003878A7">
              <w:rPr>
                <w:rFonts w:ascii="Times New Roman" w:hAnsi="Times New Roman"/>
                <w:sz w:val="21"/>
                <w:szCs w:val="21"/>
                <w:lang w:val="lt-LT"/>
              </w:rPr>
              <w:t>Investicijų ir verslo garantijos</w:t>
            </w:r>
            <w:r w:rsidR="006D7B19">
              <w:rPr>
                <w:rFonts w:ascii="Times New Roman" w:hAnsi="Times New Roman"/>
                <w:sz w:val="21"/>
                <w:szCs w:val="21"/>
                <w:lang w:val="lt-LT"/>
              </w:rPr>
              <w:t>“</w:t>
            </w:r>
          </w:p>
        </w:tc>
      </w:tr>
      <w:tr w:rsidR="008F2BC7" w:rsidRPr="003878A7" w14:paraId="5EAA22CF" w14:textId="77777777" w:rsidTr="14691E13">
        <w:tc>
          <w:tcPr>
            <w:tcW w:w="4814" w:type="dxa"/>
          </w:tcPr>
          <w:p w14:paraId="75F1EC36" w14:textId="57F70170" w:rsidR="008F2BC7" w:rsidRPr="003878A7" w:rsidRDefault="008F2BC7" w:rsidP="008F2BC7">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LEEF</w:t>
            </w:r>
          </w:p>
        </w:tc>
        <w:tc>
          <w:tcPr>
            <w:tcW w:w="4814" w:type="dxa"/>
          </w:tcPr>
          <w:p w14:paraId="5CFFDC0F" w14:textId="6BB79B24" w:rsidR="008F2BC7" w:rsidRPr="003878A7" w:rsidRDefault="008F2BC7" w:rsidP="008F2BC7">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Londono energetinio efektyvumo fondas</w:t>
            </w:r>
          </w:p>
        </w:tc>
      </w:tr>
      <w:tr w:rsidR="008F2BC7" w:rsidRPr="003878A7" w14:paraId="4FEC8B3F" w14:textId="77777777" w:rsidTr="14691E13">
        <w:tc>
          <w:tcPr>
            <w:tcW w:w="4814" w:type="dxa"/>
          </w:tcPr>
          <w:p w14:paraId="0ADF8162" w14:textId="5B16E4E9" w:rsidR="008F2BC7" w:rsidRPr="003878A7" w:rsidRDefault="008F2BC7" w:rsidP="008F2BC7">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LR</w:t>
            </w:r>
          </w:p>
        </w:tc>
        <w:tc>
          <w:tcPr>
            <w:tcW w:w="4814" w:type="dxa"/>
          </w:tcPr>
          <w:p w14:paraId="3B734360" w14:textId="68ABACFB" w:rsidR="008F2BC7" w:rsidRPr="003878A7" w:rsidRDefault="008F2BC7" w:rsidP="008F2BC7">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Lietuvos Respublika</w:t>
            </w:r>
          </w:p>
        </w:tc>
      </w:tr>
      <w:tr w:rsidR="008F2BC7" w:rsidRPr="003878A7" w14:paraId="293E8D26" w14:textId="77777777" w:rsidTr="14691E13">
        <w:tc>
          <w:tcPr>
            <w:tcW w:w="4814" w:type="dxa"/>
          </w:tcPr>
          <w:p w14:paraId="3AF6AFEE" w14:textId="098A99A6" w:rsidR="008F2BC7" w:rsidRPr="003878A7" w:rsidRDefault="008F2BC7" w:rsidP="008F2BC7">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NENS</w:t>
            </w:r>
          </w:p>
        </w:tc>
        <w:tc>
          <w:tcPr>
            <w:tcW w:w="4814" w:type="dxa"/>
          </w:tcPr>
          <w:p w14:paraId="24C80A44" w14:textId="0C6E85C9" w:rsidR="008F2BC7" w:rsidRPr="003878A7" w:rsidRDefault="008F2BC7" w:rsidP="008F2BC7">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 xml:space="preserve">Nacionalinė energijos nepriklausomybės strategija </w:t>
            </w:r>
          </w:p>
        </w:tc>
      </w:tr>
      <w:tr w:rsidR="008F2BC7" w:rsidRPr="003878A7" w14:paraId="0DA9835E" w14:textId="77777777" w:rsidTr="00223C11">
        <w:trPr>
          <w:trHeight w:val="2765"/>
        </w:trPr>
        <w:tc>
          <w:tcPr>
            <w:tcW w:w="4814" w:type="dxa"/>
          </w:tcPr>
          <w:p w14:paraId="59400C81" w14:textId="5EDF8601" w:rsidR="008F2BC7" w:rsidRPr="003878A7" w:rsidRDefault="008F2BC7" w:rsidP="008F2BC7">
            <w:pPr>
              <w:pStyle w:val="Pagrindinispaprastastekstas"/>
              <w:spacing w:after="0"/>
              <w:rPr>
                <w:rStyle w:val="Heading2Char"/>
                <w:rFonts w:cs="Times New Roman"/>
                <w:sz w:val="21"/>
                <w:szCs w:val="21"/>
                <w:lang w:val="lt-LT"/>
              </w:rPr>
            </w:pPr>
            <w:r w:rsidRPr="003878A7">
              <w:rPr>
                <w:rFonts w:ascii="Times New Roman" w:hAnsi="Times New Roman"/>
                <w:sz w:val="21"/>
                <w:szCs w:val="21"/>
                <w:lang w:val="lt-LT"/>
              </w:rPr>
              <w:lastRenderedPageBreak/>
              <w:t>Reglamentas Nr. 1303/2013 (Bendrųjų nuostatų reglamentas)</w:t>
            </w:r>
          </w:p>
        </w:tc>
        <w:tc>
          <w:tcPr>
            <w:tcW w:w="4814" w:type="dxa"/>
          </w:tcPr>
          <w:p w14:paraId="092C9053" w14:textId="01890A60" w:rsidR="008F2BC7" w:rsidRPr="003878A7" w:rsidRDefault="008F2BC7" w:rsidP="008F2BC7">
            <w:pPr>
              <w:pStyle w:val="Pagrindinispaprastastekstas"/>
              <w:spacing w:after="0"/>
              <w:rPr>
                <w:rStyle w:val="Heading2Char"/>
                <w:rFonts w:cs="Times New Roman"/>
                <w:sz w:val="21"/>
                <w:szCs w:val="21"/>
                <w:lang w:val="lt-LT"/>
              </w:rPr>
            </w:pPr>
            <w:r w:rsidRPr="003878A7">
              <w:rPr>
                <w:rFonts w:ascii="Times New Roman" w:hAnsi="Times New Roman"/>
                <w:sz w:val="21"/>
                <w:szCs w:val="21"/>
                <w:lang w:val="lt-LT"/>
              </w:rPr>
              <w:t>Europos Parlamento ir Tarybos Reglamentas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Europos žemės ūkio fondui kaimo plėtrai ir Europos jūros reikalų ir žuvininkystės fondui taikytinos bendrosios nuostatos ir panaikinamas Tarybos reglamentas (EB) Nr. 1083/2006</w:t>
            </w:r>
          </w:p>
        </w:tc>
      </w:tr>
      <w:tr w:rsidR="008F2BC7" w:rsidRPr="003878A7" w14:paraId="4F476A4E" w14:textId="77777777" w:rsidTr="00FD523F">
        <w:trPr>
          <w:trHeight w:val="133"/>
        </w:trPr>
        <w:tc>
          <w:tcPr>
            <w:tcW w:w="4814" w:type="dxa"/>
          </w:tcPr>
          <w:p w14:paraId="01ED38B5" w14:textId="6CC827ED" w:rsidR="008F2BC7" w:rsidRPr="003878A7" w:rsidRDefault="008F2BC7" w:rsidP="008F2BC7">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RPF</w:t>
            </w:r>
          </w:p>
        </w:tc>
        <w:tc>
          <w:tcPr>
            <w:tcW w:w="4814" w:type="dxa"/>
          </w:tcPr>
          <w:p w14:paraId="04A529F6" w14:textId="6483DA33" w:rsidR="008F2BC7" w:rsidRPr="003878A7" w:rsidRDefault="008F2BC7" w:rsidP="008F2BC7">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Rizikos pasidalijimo fondas</w:t>
            </w:r>
          </w:p>
        </w:tc>
      </w:tr>
      <w:tr w:rsidR="008C53E0" w:rsidRPr="003878A7" w14:paraId="27E3FFA2" w14:textId="77777777" w:rsidTr="00FD523F">
        <w:trPr>
          <w:trHeight w:val="133"/>
        </w:trPr>
        <w:tc>
          <w:tcPr>
            <w:tcW w:w="4814" w:type="dxa"/>
          </w:tcPr>
          <w:p w14:paraId="2276576F" w14:textId="292BD7C8" w:rsidR="008C53E0" w:rsidRPr="003878A7" w:rsidRDefault="008C53E0" w:rsidP="008F2BC7">
            <w:pPr>
              <w:pStyle w:val="Pagrindinispaprastastekstas"/>
              <w:spacing w:after="0"/>
              <w:rPr>
                <w:rFonts w:ascii="Times New Roman" w:hAnsi="Times New Roman"/>
                <w:sz w:val="21"/>
                <w:szCs w:val="21"/>
              </w:rPr>
            </w:pPr>
            <w:r>
              <w:rPr>
                <w:rFonts w:ascii="Times New Roman" w:hAnsi="Times New Roman"/>
                <w:sz w:val="21"/>
                <w:szCs w:val="21"/>
              </w:rPr>
              <w:t>SPF</w:t>
            </w:r>
          </w:p>
        </w:tc>
        <w:tc>
          <w:tcPr>
            <w:tcW w:w="4814" w:type="dxa"/>
          </w:tcPr>
          <w:p w14:paraId="31050029" w14:textId="744AD590" w:rsidR="008C53E0" w:rsidRPr="003878A7" w:rsidRDefault="008C53E0" w:rsidP="008F2BC7">
            <w:pPr>
              <w:pStyle w:val="Pagrindinispaprastastekstas"/>
              <w:spacing w:after="0"/>
              <w:rPr>
                <w:rFonts w:ascii="Times New Roman" w:hAnsi="Times New Roman"/>
                <w:sz w:val="21"/>
                <w:szCs w:val="21"/>
              </w:rPr>
            </w:pPr>
            <w:proofErr w:type="spellStart"/>
            <w:r>
              <w:rPr>
                <w:rFonts w:ascii="Times New Roman" w:hAnsi="Times New Roman"/>
                <w:sz w:val="21"/>
                <w:szCs w:val="21"/>
              </w:rPr>
              <w:t>Savivaldybės</w:t>
            </w:r>
            <w:proofErr w:type="spellEnd"/>
            <w:r>
              <w:rPr>
                <w:rFonts w:ascii="Times New Roman" w:hAnsi="Times New Roman"/>
                <w:sz w:val="21"/>
                <w:szCs w:val="21"/>
              </w:rPr>
              <w:t xml:space="preserve"> </w:t>
            </w:r>
            <w:proofErr w:type="spellStart"/>
            <w:r>
              <w:rPr>
                <w:rFonts w:ascii="Times New Roman" w:hAnsi="Times New Roman"/>
                <w:sz w:val="21"/>
                <w:szCs w:val="21"/>
              </w:rPr>
              <w:t>pastatų</w:t>
            </w:r>
            <w:proofErr w:type="spellEnd"/>
            <w:r>
              <w:rPr>
                <w:rFonts w:ascii="Times New Roman" w:hAnsi="Times New Roman"/>
                <w:sz w:val="21"/>
                <w:szCs w:val="21"/>
              </w:rPr>
              <w:t xml:space="preserve"> </w:t>
            </w:r>
            <w:proofErr w:type="spellStart"/>
            <w:r>
              <w:rPr>
                <w:rFonts w:ascii="Times New Roman" w:hAnsi="Times New Roman"/>
                <w:sz w:val="21"/>
                <w:szCs w:val="21"/>
              </w:rPr>
              <w:t>fondas</w:t>
            </w:r>
            <w:proofErr w:type="spellEnd"/>
          </w:p>
        </w:tc>
      </w:tr>
      <w:tr w:rsidR="00222DE5" w:rsidRPr="003878A7" w14:paraId="00013B57" w14:textId="77777777" w:rsidTr="00FD523F">
        <w:trPr>
          <w:trHeight w:val="133"/>
        </w:trPr>
        <w:tc>
          <w:tcPr>
            <w:tcW w:w="4814" w:type="dxa"/>
          </w:tcPr>
          <w:p w14:paraId="08A70A47" w14:textId="6AB9B312" w:rsidR="00222DE5" w:rsidRPr="003878A7" w:rsidRDefault="00222DE5" w:rsidP="008F2BC7">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SSGG</w:t>
            </w:r>
          </w:p>
        </w:tc>
        <w:tc>
          <w:tcPr>
            <w:tcW w:w="4814" w:type="dxa"/>
          </w:tcPr>
          <w:p w14:paraId="0B420D34" w14:textId="78CD356D" w:rsidR="00222DE5" w:rsidRPr="003878A7" w:rsidRDefault="00222DE5" w:rsidP="008F2BC7">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Stiprybių, silpnybių galimybių ir grėsmių analizė</w:t>
            </w:r>
          </w:p>
        </w:tc>
      </w:tr>
      <w:tr w:rsidR="008F2BC7" w:rsidRPr="003878A7" w14:paraId="5789BADA" w14:textId="77777777" w:rsidTr="00FD523F">
        <w:trPr>
          <w:trHeight w:val="133"/>
        </w:trPr>
        <w:tc>
          <w:tcPr>
            <w:tcW w:w="4814" w:type="dxa"/>
          </w:tcPr>
          <w:p w14:paraId="645A523C" w14:textId="1E356882" w:rsidR="008F2BC7" w:rsidRPr="003878A7" w:rsidRDefault="008F2BC7" w:rsidP="008F2BC7">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ŠIB</w:t>
            </w:r>
          </w:p>
        </w:tc>
        <w:tc>
          <w:tcPr>
            <w:tcW w:w="4814" w:type="dxa"/>
          </w:tcPr>
          <w:p w14:paraId="7811A23B" w14:textId="47C67CB0" w:rsidR="008F2BC7" w:rsidRPr="003878A7" w:rsidRDefault="008F2BC7" w:rsidP="008F2BC7">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 xml:space="preserve">Šiaurės investicijų bankas (angl. </w:t>
            </w:r>
            <w:proofErr w:type="spellStart"/>
            <w:r w:rsidRPr="003878A7">
              <w:rPr>
                <w:rFonts w:ascii="Times New Roman" w:hAnsi="Times New Roman"/>
                <w:i/>
                <w:iCs/>
                <w:sz w:val="21"/>
                <w:szCs w:val="21"/>
                <w:lang w:val="lt-LT"/>
              </w:rPr>
              <w:t>Nordic</w:t>
            </w:r>
            <w:proofErr w:type="spellEnd"/>
            <w:r w:rsidRPr="003878A7">
              <w:rPr>
                <w:rFonts w:ascii="Times New Roman" w:hAnsi="Times New Roman"/>
                <w:i/>
                <w:iCs/>
                <w:sz w:val="21"/>
                <w:szCs w:val="21"/>
                <w:lang w:val="lt-LT"/>
              </w:rPr>
              <w:t xml:space="preserve"> </w:t>
            </w:r>
            <w:proofErr w:type="spellStart"/>
            <w:r w:rsidRPr="003878A7">
              <w:rPr>
                <w:rFonts w:ascii="Times New Roman" w:hAnsi="Times New Roman"/>
                <w:i/>
                <w:iCs/>
                <w:sz w:val="21"/>
                <w:szCs w:val="21"/>
                <w:lang w:val="lt-LT"/>
              </w:rPr>
              <w:t>Investment</w:t>
            </w:r>
            <w:proofErr w:type="spellEnd"/>
            <w:r w:rsidRPr="003878A7">
              <w:rPr>
                <w:rFonts w:ascii="Times New Roman" w:hAnsi="Times New Roman"/>
                <w:i/>
                <w:iCs/>
                <w:sz w:val="21"/>
                <w:szCs w:val="21"/>
                <w:lang w:val="lt-LT"/>
              </w:rPr>
              <w:t xml:space="preserve"> Bank</w:t>
            </w:r>
            <w:r w:rsidRPr="003878A7">
              <w:rPr>
                <w:rFonts w:ascii="Times New Roman" w:hAnsi="Times New Roman"/>
                <w:sz w:val="21"/>
                <w:szCs w:val="21"/>
                <w:lang w:val="lt-LT"/>
              </w:rPr>
              <w:t>)</w:t>
            </w:r>
          </w:p>
        </w:tc>
      </w:tr>
      <w:tr w:rsidR="008F2BC7" w:rsidRPr="003878A7" w14:paraId="6D571343" w14:textId="77777777" w:rsidTr="14691E13">
        <w:tc>
          <w:tcPr>
            <w:tcW w:w="4814" w:type="dxa"/>
          </w:tcPr>
          <w:p w14:paraId="234B6FF0" w14:textId="344BBA7B" w:rsidR="008F2BC7" w:rsidRPr="003878A7" w:rsidRDefault="008F2BC7" w:rsidP="008F2BC7">
            <w:pPr>
              <w:pStyle w:val="Pagrindinispaprastastekstas"/>
              <w:spacing w:after="0"/>
              <w:rPr>
                <w:rStyle w:val="Heading2Char"/>
                <w:rFonts w:cs="Times New Roman"/>
                <w:sz w:val="21"/>
                <w:szCs w:val="21"/>
                <w:lang w:val="lt-LT"/>
              </w:rPr>
            </w:pPr>
            <w:r w:rsidRPr="003878A7">
              <w:rPr>
                <w:rFonts w:ascii="Times New Roman" w:hAnsi="Times New Roman"/>
                <w:sz w:val="21"/>
                <w:szCs w:val="21"/>
                <w:lang w:val="lt-LT"/>
              </w:rPr>
              <w:t>Vertinimas</w:t>
            </w:r>
          </w:p>
        </w:tc>
        <w:tc>
          <w:tcPr>
            <w:tcW w:w="4814" w:type="dxa"/>
          </w:tcPr>
          <w:p w14:paraId="2011FE57" w14:textId="2D4AFB6D" w:rsidR="008F2BC7" w:rsidRPr="003878A7" w:rsidRDefault="008F2BC7" w:rsidP="008F2BC7">
            <w:pPr>
              <w:pStyle w:val="Pagrindinispaprastastekstas"/>
              <w:spacing w:after="0"/>
              <w:rPr>
                <w:rStyle w:val="Heading2Char"/>
                <w:rFonts w:cs="Times New Roman"/>
                <w:sz w:val="21"/>
                <w:szCs w:val="21"/>
                <w:lang w:val="lt-LT"/>
              </w:rPr>
            </w:pPr>
            <w:r w:rsidRPr="003878A7">
              <w:rPr>
                <w:rFonts w:ascii="Times New Roman" w:hAnsi="Times New Roman"/>
                <w:sz w:val="21"/>
                <w:szCs w:val="21"/>
                <w:lang w:val="lt-LT"/>
              </w:rPr>
              <w:t>Energijos vartojimo efektyvumo ex-ante vertinimas</w:t>
            </w:r>
          </w:p>
        </w:tc>
      </w:tr>
      <w:tr w:rsidR="008F2BC7" w:rsidRPr="003878A7" w14:paraId="77D3F67E" w14:textId="77777777" w:rsidTr="14691E13">
        <w:tc>
          <w:tcPr>
            <w:tcW w:w="4814" w:type="dxa"/>
          </w:tcPr>
          <w:p w14:paraId="36E7B434" w14:textId="7827F425" w:rsidR="008F2BC7" w:rsidRPr="003878A7" w:rsidRDefault="008F2BC7" w:rsidP="008F2BC7">
            <w:pPr>
              <w:pStyle w:val="Pagrindinispaprastastekstas"/>
              <w:spacing w:after="0"/>
              <w:rPr>
                <w:rStyle w:val="Heading2Char"/>
                <w:rFonts w:cs="Times New Roman"/>
                <w:sz w:val="21"/>
                <w:szCs w:val="21"/>
                <w:lang w:val="lt-LT"/>
              </w:rPr>
            </w:pPr>
          </w:p>
        </w:tc>
        <w:tc>
          <w:tcPr>
            <w:tcW w:w="4814" w:type="dxa"/>
          </w:tcPr>
          <w:p w14:paraId="71F8FB77" w14:textId="309C52F9" w:rsidR="008F2BC7" w:rsidRPr="003878A7" w:rsidRDefault="008F2BC7" w:rsidP="008F2BC7">
            <w:pPr>
              <w:pStyle w:val="Pagrindinispaprastastekstas"/>
              <w:spacing w:after="0"/>
              <w:rPr>
                <w:rStyle w:val="Heading2Char"/>
                <w:rFonts w:cs="Times New Roman"/>
                <w:sz w:val="21"/>
                <w:szCs w:val="21"/>
                <w:lang w:val="lt-LT"/>
              </w:rPr>
            </w:pPr>
          </w:p>
        </w:tc>
      </w:tr>
      <w:tr w:rsidR="008F2BC7" w:rsidRPr="003878A7" w14:paraId="229E55B6" w14:textId="77777777" w:rsidTr="14691E13">
        <w:tc>
          <w:tcPr>
            <w:tcW w:w="4814" w:type="dxa"/>
          </w:tcPr>
          <w:p w14:paraId="04A48BDE" w14:textId="6A84D347" w:rsidR="008F2BC7" w:rsidRPr="003878A7" w:rsidRDefault="008F2BC7" w:rsidP="008F2BC7">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VI</w:t>
            </w:r>
          </w:p>
        </w:tc>
        <w:tc>
          <w:tcPr>
            <w:tcW w:w="4814" w:type="dxa"/>
          </w:tcPr>
          <w:p w14:paraId="379678A0" w14:textId="7FD96418" w:rsidR="008F2BC7" w:rsidRPr="003878A7" w:rsidRDefault="008F2BC7" w:rsidP="008F2BC7">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Vadovaujančioji institucija</w:t>
            </w:r>
          </w:p>
        </w:tc>
      </w:tr>
      <w:tr w:rsidR="008F2BC7" w:rsidRPr="003878A7" w14:paraId="6D6F8F19" w14:textId="77777777" w:rsidTr="14691E13">
        <w:tc>
          <w:tcPr>
            <w:tcW w:w="4814" w:type="dxa"/>
          </w:tcPr>
          <w:p w14:paraId="68D28E80" w14:textId="0814C16B" w:rsidR="008F2BC7" w:rsidRPr="003878A7" w:rsidRDefault="008F2BC7" w:rsidP="008F2BC7">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VIPA</w:t>
            </w:r>
          </w:p>
        </w:tc>
        <w:tc>
          <w:tcPr>
            <w:tcW w:w="4814" w:type="dxa"/>
          </w:tcPr>
          <w:p w14:paraId="70B1BB69" w14:textId="5F3020A0" w:rsidR="008F2BC7" w:rsidRPr="003878A7" w:rsidRDefault="008F2BC7" w:rsidP="008F2BC7">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UAB „Viešųjų investicijų plėtros agentūra“</w:t>
            </w:r>
          </w:p>
        </w:tc>
      </w:tr>
      <w:tr w:rsidR="008F2BC7" w:rsidRPr="003878A7" w14:paraId="19FDE50D" w14:textId="77777777" w:rsidTr="14691E13">
        <w:tc>
          <w:tcPr>
            <w:tcW w:w="4814" w:type="dxa"/>
          </w:tcPr>
          <w:p w14:paraId="17AE0AA6" w14:textId="21BBBFC2" w:rsidR="008F2BC7" w:rsidRPr="003878A7" w:rsidRDefault="008F2BC7" w:rsidP="008F2BC7">
            <w:pPr>
              <w:pStyle w:val="Pagrindinispaprastastekstas"/>
              <w:spacing w:after="0"/>
              <w:rPr>
                <w:rStyle w:val="Heading2Char"/>
                <w:rFonts w:cs="Times New Roman"/>
                <w:sz w:val="21"/>
                <w:szCs w:val="21"/>
                <w:lang w:val="lt-LT"/>
              </w:rPr>
            </w:pPr>
            <w:r w:rsidRPr="003878A7">
              <w:rPr>
                <w:rFonts w:ascii="Times New Roman" w:hAnsi="Times New Roman"/>
                <w:sz w:val="21"/>
                <w:szCs w:val="21"/>
                <w:lang w:val="lt-LT"/>
              </w:rPr>
              <w:t>VP</w:t>
            </w:r>
          </w:p>
        </w:tc>
        <w:tc>
          <w:tcPr>
            <w:tcW w:w="4814" w:type="dxa"/>
          </w:tcPr>
          <w:p w14:paraId="0ADB4BF6" w14:textId="3AB82D13" w:rsidR="008F2BC7" w:rsidRPr="003878A7" w:rsidRDefault="008F2BC7" w:rsidP="008F2BC7">
            <w:pPr>
              <w:pStyle w:val="Pagrindinispaprastastekstas"/>
              <w:spacing w:after="0"/>
              <w:rPr>
                <w:rStyle w:val="Heading2Char"/>
                <w:rFonts w:cs="Times New Roman"/>
                <w:sz w:val="21"/>
                <w:szCs w:val="21"/>
                <w:lang w:val="lt-LT"/>
              </w:rPr>
            </w:pPr>
            <w:bookmarkStart w:id="2" w:name="_Hlk62120837"/>
            <w:r w:rsidRPr="003878A7">
              <w:rPr>
                <w:rFonts w:ascii="Times New Roman" w:hAnsi="Times New Roman"/>
                <w:sz w:val="21"/>
                <w:szCs w:val="21"/>
                <w:lang w:val="lt-LT"/>
              </w:rPr>
              <w:t>Lietuvos 2014–2020 m. ES fondų investicijų veiksmų programa</w:t>
            </w:r>
            <w:bookmarkEnd w:id="2"/>
          </w:p>
        </w:tc>
      </w:tr>
      <w:tr w:rsidR="008F2BC7" w:rsidRPr="003878A7" w14:paraId="49E01DC4" w14:textId="77777777" w:rsidTr="14691E13">
        <w:tc>
          <w:tcPr>
            <w:tcW w:w="4814" w:type="dxa"/>
          </w:tcPr>
          <w:p w14:paraId="15A3161D" w14:textId="638A235B" w:rsidR="008F2BC7" w:rsidRPr="003878A7" w:rsidRDefault="008F2BC7" w:rsidP="008F2BC7">
            <w:pPr>
              <w:pStyle w:val="Pagrindinispaprastastekstas"/>
              <w:spacing w:after="0"/>
              <w:rPr>
                <w:rStyle w:val="Heading2Char"/>
                <w:rFonts w:cs="Times New Roman"/>
                <w:sz w:val="21"/>
                <w:szCs w:val="21"/>
                <w:lang w:val="lt-LT"/>
              </w:rPr>
            </w:pPr>
          </w:p>
        </w:tc>
        <w:tc>
          <w:tcPr>
            <w:tcW w:w="4814" w:type="dxa"/>
          </w:tcPr>
          <w:p w14:paraId="2C9421C4" w14:textId="389C698D" w:rsidR="008F2BC7" w:rsidRPr="003878A7" w:rsidRDefault="008F2BC7" w:rsidP="008F2BC7">
            <w:pPr>
              <w:pStyle w:val="Pagrindinispaprastastekstas"/>
              <w:spacing w:after="0"/>
              <w:rPr>
                <w:rStyle w:val="Heading2Char"/>
                <w:rFonts w:cs="Times New Roman"/>
                <w:sz w:val="21"/>
                <w:szCs w:val="21"/>
                <w:lang w:val="lt-LT"/>
              </w:rPr>
            </w:pPr>
          </w:p>
        </w:tc>
      </w:tr>
    </w:tbl>
    <w:p w14:paraId="04CC3AF4" w14:textId="1189C5E1" w:rsidR="00ED6195" w:rsidRPr="003878A7" w:rsidRDefault="00ED6195" w:rsidP="007F5023">
      <w:pPr>
        <w:pStyle w:val="Pagrindinispaprastastekstas"/>
        <w:rPr>
          <w:rStyle w:val="Heading2Char"/>
          <w:rFonts w:cs="Times New Roman"/>
        </w:rPr>
      </w:pPr>
    </w:p>
    <w:p w14:paraId="48DAD1FD" w14:textId="77777777" w:rsidR="007F5023" w:rsidRPr="003878A7" w:rsidRDefault="007F5023">
      <w:pPr>
        <w:spacing w:before="0" w:after="160" w:line="259" w:lineRule="auto"/>
        <w:ind w:firstLine="0"/>
        <w:jc w:val="left"/>
        <w:rPr>
          <w:rFonts w:cs="Times New Roman"/>
        </w:rPr>
      </w:pPr>
      <w:r w:rsidRPr="003878A7">
        <w:rPr>
          <w:rFonts w:cs="Times New Roman"/>
        </w:rPr>
        <w:br w:type="page"/>
      </w:r>
    </w:p>
    <w:p w14:paraId="4E31CEDD" w14:textId="1EF1B343" w:rsidR="00272B4E" w:rsidRPr="003878A7" w:rsidRDefault="00272B4E" w:rsidP="00CB66B8">
      <w:pPr>
        <w:pStyle w:val="Heading1"/>
        <w:numPr>
          <w:ilvl w:val="0"/>
          <w:numId w:val="3"/>
        </w:numPr>
        <w:rPr>
          <w:rFonts w:cs="Times New Roman"/>
        </w:rPr>
      </w:pPr>
      <w:bookmarkStart w:id="3" w:name="_Toc70532856"/>
      <w:r w:rsidRPr="003878A7">
        <w:rPr>
          <w:rFonts w:cs="Times New Roman"/>
        </w:rPr>
        <w:lastRenderedPageBreak/>
        <w:t>Įvadas</w:t>
      </w:r>
      <w:bookmarkEnd w:id="3"/>
    </w:p>
    <w:p w14:paraId="682892ED" w14:textId="7DF01A21" w:rsidR="00272B4E" w:rsidRPr="003878A7" w:rsidRDefault="0047484A" w:rsidP="0047484A">
      <w:pPr>
        <w:rPr>
          <w:rFonts w:cs="Times New Roman"/>
        </w:rPr>
      </w:pPr>
      <w:r w:rsidRPr="003878A7">
        <w:rPr>
          <w:rFonts w:cs="Times New Roman"/>
        </w:rPr>
        <w:t xml:space="preserve">Atsižvelgiant į </w:t>
      </w:r>
      <w:r w:rsidR="00AD3A13" w:rsidRPr="003878A7">
        <w:rPr>
          <w:rFonts w:cs="Times New Roman"/>
        </w:rPr>
        <w:t xml:space="preserve">Europos Parlamento ir Tarybos Reglamento (ES) Nr. 1303/2013 (toliau – </w:t>
      </w:r>
      <w:r w:rsidRPr="003878A7">
        <w:rPr>
          <w:rFonts w:cs="Times New Roman"/>
        </w:rPr>
        <w:t>Reglament</w:t>
      </w:r>
      <w:r w:rsidR="00AD3A13" w:rsidRPr="003878A7">
        <w:rPr>
          <w:rFonts w:cs="Times New Roman"/>
        </w:rPr>
        <w:t>as</w:t>
      </w:r>
      <w:r w:rsidRPr="003878A7">
        <w:rPr>
          <w:rFonts w:cs="Times New Roman"/>
        </w:rPr>
        <w:t xml:space="preserve"> Nr. 1303/2013</w:t>
      </w:r>
      <w:r w:rsidR="00AD3A13" w:rsidRPr="003878A7">
        <w:rPr>
          <w:rFonts w:cs="Times New Roman"/>
        </w:rPr>
        <w:t>)</w:t>
      </w:r>
      <w:r w:rsidRPr="003878A7">
        <w:rPr>
          <w:rFonts w:cs="Times New Roman"/>
        </w:rPr>
        <w:t xml:space="preserve"> nustatytus reikalavimus planuojant įgyvendinti </w:t>
      </w:r>
      <w:r w:rsidR="00AD3A13" w:rsidRPr="003878A7">
        <w:rPr>
          <w:rFonts w:cs="Times New Roman"/>
        </w:rPr>
        <w:t>f</w:t>
      </w:r>
      <w:r w:rsidRPr="003878A7">
        <w:rPr>
          <w:rFonts w:cs="Times New Roman"/>
        </w:rPr>
        <w:t>inansines priemones (toliau – FP) ir skiriant lėšas konkrečiai</w:t>
      </w:r>
      <w:r w:rsidR="00EF26D3" w:rsidRPr="003878A7">
        <w:rPr>
          <w:rFonts w:cs="Times New Roman"/>
        </w:rPr>
        <w:t xml:space="preserve"> Lietuvos 2014–2020 m. ES fondų investicijų veiksmų programos (toliau – VP)</w:t>
      </w:r>
      <w:r w:rsidRPr="003878A7">
        <w:rPr>
          <w:rFonts w:cs="Times New Roman"/>
        </w:rPr>
        <w:t xml:space="preserve"> prioriteto įgyvendinimo priemonei turi būti parengti planuojamų FP išankstiniai vertinimai (</w:t>
      </w:r>
      <w:r w:rsidRPr="003878A7">
        <w:rPr>
          <w:rFonts w:cs="Times New Roman"/>
          <w:i/>
        </w:rPr>
        <w:t>ex</w:t>
      </w:r>
      <w:r w:rsidR="005A0F6F" w:rsidRPr="003878A7">
        <w:rPr>
          <w:rFonts w:cs="Times New Roman"/>
          <w:i/>
        </w:rPr>
        <w:t xml:space="preserve"> </w:t>
      </w:r>
      <w:r w:rsidRPr="003878A7">
        <w:rPr>
          <w:rFonts w:cs="Times New Roman"/>
          <w:i/>
        </w:rPr>
        <w:t>ante</w:t>
      </w:r>
      <w:r w:rsidR="00AD3A13" w:rsidRPr="003878A7">
        <w:rPr>
          <w:rFonts w:cs="Times New Roman"/>
        </w:rPr>
        <w:t>)</w:t>
      </w:r>
      <w:r w:rsidR="00272B4E" w:rsidRPr="003878A7">
        <w:rPr>
          <w:rFonts w:cs="Times New Roman"/>
        </w:rPr>
        <w:t xml:space="preserve">. Remiantis Reglamento Nr. 1303/2013 37 straipsnio 2 punktu </w:t>
      </w:r>
      <w:r w:rsidR="00272B4E" w:rsidRPr="003878A7">
        <w:rPr>
          <w:rFonts w:cs="Times New Roman"/>
          <w:i/>
          <w:iCs/>
        </w:rPr>
        <w:t>ex</w:t>
      </w:r>
      <w:r w:rsidR="005A0F6F" w:rsidRPr="003878A7">
        <w:rPr>
          <w:rFonts w:cs="Times New Roman"/>
          <w:i/>
          <w:iCs/>
        </w:rPr>
        <w:t xml:space="preserve"> </w:t>
      </w:r>
      <w:r w:rsidR="00272B4E" w:rsidRPr="003878A7">
        <w:rPr>
          <w:rFonts w:cs="Times New Roman"/>
          <w:i/>
          <w:iCs/>
        </w:rPr>
        <w:t>ante</w:t>
      </w:r>
      <w:r w:rsidR="00272B4E" w:rsidRPr="003878A7">
        <w:rPr>
          <w:rFonts w:cs="Times New Roman"/>
        </w:rPr>
        <w:t xml:space="preserve"> vertinimą sudaro:</w:t>
      </w:r>
    </w:p>
    <w:p w14:paraId="3A007BC0" w14:textId="540B1D43" w:rsidR="00272B4E" w:rsidRPr="003878A7" w:rsidRDefault="00272B4E" w:rsidP="00CB66B8">
      <w:pPr>
        <w:pStyle w:val="ListParagraph"/>
        <w:numPr>
          <w:ilvl w:val="0"/>
          <w:numId w:val="4"/>
        </w:numPr>
        <w:rPr>
          <w:rFonts w:cs="Times New Roman"/>
        </w:rPr>
      </w:pPr>
      <w:r w:rsidRPr="003878A7">
        <w:rPr>
          <w:rFonts w:cs="Times New Roman"/>
        </w:rPr>
        <w:t>Rinkos trūkumų, beveik optimalių investavimo situacijų investicijų poreikio analizė;</w:t>
      </w:r>
    </w:p>
    <w:p w14:paraId="05013528" w14:textId="14C11B6E" w:rsidR="00272B4E" w:rsidRPr="003878A7" w:rsidRDefault="00272B4E" w:rsidP="00CB66B8">
      <w:pPr>
        <w:pStyle w:val="ListParagraph"/>
        <w:numPr>
          <w:ilvl w:val="0"/>
          <w:numId w:val="4"/>
        </w:numPr>
        <w:rPr>
          <w:rFonts w:cs="Times New Roman"/>
        </w:rPr>
      </w:pPr>
      <w:r w:rsidRPr="003878A7">
        <w:rPr>
          <w:rFonts w:cs="Times New Roman"/>
        </w:rPr>
        <w:t>FP pridėtinės vertės ir suderinamumo su kitomis viešosios intervencinės veiklos formomis vertinimas;</w:t>
      </w:r>
    </w:p>
    <w:p w14:paraId="08F5D11E" w14:textId="4F45FFB6" w:rsidR="00272B4E" w:rsidRPr="003878A7" w:rsidRDefault="00272B4E" w:rsidP="00CB66B8">
      <w:pPr>
        <w:pStyle w:val="ListParagraph"/>
        <w:numPr>
          <w:ilvl w:val="0"/>
          <w:numId w:val="4"/>
        </w:numPr>
        <w:rPr>
          <w:rFonts w:cs="Times New Roman"/>
        </w:rPr>
      </w:pPr>
      <w:r w:rsidRPr="003878A7">
        <w:rPr>
          <w:rFonts w:cs="Times New Roman"/>
        </w:rPr>
        <w:t>Papildomų viešųjų ir privačiųjų lėšų, kurias FP galėtų pritraukti, vertinimas;</w:t>
      </w:r>
    </w:p>
    <w:p w14:paraId="716E4527" w14:textId="4F0DECC0" w:rsidR="00272B4E" w:rsidRPr="003878A7" w:rsidRDefault="00272B4E" w:rsidP="00CB66B8">
      <w:pPr>
        <w:pStyle w:val="ListParagraph"/>
        <w:numPr>
          <w:ilvl w:val="0"/>
          <w:numId w:val="4"/>
        </w:numPr>
        <w:rPr>
          <w:rFonts w:cs="Times New Roman"/>
        </w:rPr>
      </w:pPr>
      <w:r w:rsidRPr="003878A7">
        <w:rPr>
          <w:rFonts w:cs="Times New Roman"/>
        </w:rPr>
        <w:t>Patirties, įgytos taikant panašias priemones, vertinimas;</w:t>
      </w:r>
    </w:p>
    <w:p w14:paraId="64406F98" w14:textId="170F9E31" w:rsidR="00272B4E" w:rsidRPr="003878A7" w:rsidRDefault="00272B4E" w:rsidP="00CB66B8">
      <w:pPr>
        <w:pStyle w:val="ListParagraph"/>
        <w:numPr>
          <w:ilvl w:val="0"/>
          <w:numId w:val="4"/>
        </w:numPr>
        <w:rPr>
          <w:rFonts w:cs="Times New Roman"/>
        </w:rPr>
      </w:pPr>
      <w:r w:rsidRPr="003878A7">
        <w:rPr>
          <w:rFonts w:cs="Times New Roman"/>
        </w:rPr>
        <w:t>Siūlom</w:t>
      </w:r>
      <w:r w:rsidR="00540E6B" w:rsidRPr="003878A7">
        <w:rPr>
          <w:rFonts w:cs="Times New Roman"/>
        </w:rPr>
        <w:t>a</w:t>
      </w:r>
      <w:r w:rsidRPr="003878A7">
        <w:rPr>
          <w:rFonts w:cs="Times New Roman"/>
        </w:rPr>
        <w:t xml:space="preserve"> investavimo strategija;</w:t>
      </w:r>
    </w:p>
    <w:p w14:paraId="6C18DFEB" w14:textId="56ED341A" w:rsidR="00272B4E" w:rsidRPr="003878A7" w:rsidRDefault="00272B4E" w:rsidP="00CB66B8">
      <w:pPr>
        <w:pStyle w:val="ListParagraph"/>
        <w:numPr>
          <w:ilvl w:val="0"/>
          <w:numId w:val="4"/>
        </w:numPr>
        <w:rPr>
          <w:rFonts w:cs="Times New Roman"/>
        </w:rPr>
      </w:pPr>
      <w:r w:rsidRPr="003878A7">
        <w:rPr>
          <w:rFonts w:cs="Times New Roman"/>
        </w:rPr>
        <w:t>Laukiamų rezultatų ir rodiklių aprašymas;</w:t>
      </w:r>
    </w:p>
    <w:p w14:paraId="0A12F5A7" w14:textId="0CC5A356" w:rsidR="00272B4E" w:rsidRPr="003878A7" w:rsidRDefault="00272B4E" w:rsidP="00CB66B8">
      <w:pPr>
        <w:pStyle w:val="ListParagraph"/>
        <w:numPr>
          <w:ilvl w:val="0"/>
          <w:numId w:val="4"/>
        </w:numPr>
        <w:rPr>
          <w:rFonts w:cs="Times New Roman"/>
        </w:rPr>
      </w:pPr>
      <w:r w:rsidRPr="003878A7">
        <w:rPr>
          <w:rFonts w:cs="Times New Roman"/>
        </w:rPr>
        <w:t>Nuostat</w:t>
      </w:r>
      <w:r w:rsidR="001D1187" w:rsidRPr="003878A7">
        <w:rPr>
          <w:rFonts w:cs="Times New Roman"/>
        </w:rPr>
        <w:t>o</w:t>
      </w:r>
      <w:r w:rsidRPr="003878A7">
        <w:rPr>
          <w:rFonts w:cs="Times New Roman"/>
        </w:rPr>
        <w:t xml:space="preserve">s, kuriomis </w:t>
      </w:r>
      <w:r w:rsidR="005A0F6F" w:rsidRPr="003878A7">
        <w:rPr>
          <w:rFonts w:cs="Times New Roman"/>
        </w:rPr>
        <w:t xml:space="preserve">remiantis </w:t>
      </w:r>
      <w:r w:rsidRPr="003878A7">
        <w:rPr>
          <w:rFonts w:cs="Times New Roman"/>
        </w:rPr>
        <w:t xml:space="preserve">leidžiama </w:t>
      </w:r>
      <w:r w:rsidRPr="003878A7">
        <w:rPr>
          <w:rFonts w:cs="Times New Roman"/>
          <w:i/>
          <w:iCs/>
        </w:rPr>
        <w:t>ex</w:t>
      </w:r>
      <w:r w:rsidR="005A0F6F" w:rsidRPr="003878A7">
        <w:rPr>
          <w:rFonts w:cs="Times New Roman"/>
          <w:i/>
          <w:iCs/>
        </w:rPr>
        <w:t xml:space="preserve"> </w:t>
      </w:r>
      <w:r w:rsidRPr="003878A7">
        <w:rPr>
          <w:rFonts w:cs="Times New Roman"/>
          <w:i/>
          <w:iCs/>
        </w:rPr>
        <w:t>ante</w:t>
      </w:r>
      <w:r w:rsidRPr="003878A7">
        <w:rPr>
          <w:rFonts w:cs="Times New Roman"/>
        </w:rPr>
        <w:t xml:space="preserve"> vertinimą peržiūrėti ir prireikus atnaujinti.</w:t>
      </w:r>
    </w:p>
    <w:p w14:paraId="38BA5902" w14:textId="22F9CE8C" w:rsidR="001D1187" w:rsidRPr="003878A7" w:rsidRDefault="001D1187" w:rsidP="001D1187">
      <w:pPr>
        <w:rPr>
          <w:rFonts w:cs="Times New Roman"/>
        </w:rPr>
      </w:pPr>
      <w:r w:rsidRPr="003878A7">
        <w:rPr>
          <w:rFonts w:cs="Times New Roman"/>
        </w:rPr>
        <w:t>Šis Energijos efektyvumo</w:t>
      </w:r>
      <w:r w:rsidR="00ED667A" w:rsidRPr="003878A7">
        <w:rPr>
          <w:rFonts w:cs="Times New Roman"/>
        </w:rPr>
        <w:t xml:space="preserve"> (toliau – EE)</w:t>
      </w:r>
      <w:r w:rsidRPr="003878A7">
        <w:rPr>
          <w:rFonts w:cs="Times New Roman"/>
        </w:rPr>
        <w:t xml:space="preserve"> ex</w:t>
      </w:r>
      <w:r w:rsidR="005A0F6F" w:rsidRPr="003878A7">
        <w:rPr>
          <w:rFonts w:cs="Times New Roman"/>
        </w:rPr>
        <w:t xml:space="preserve"> </w:t>
      </w:r>
      <w:r w:rsidRPr="003878A7">
        <w:rPr>
          <w:rFonts w:cs="Times New Roman"/>
        </w:rPr>
        <w:t xml:space="preserve">ante vertinimas (toliau – Vertinimas) apima daugiabučių namų modernizavimą, centrinės valdžios pastatų modernizavimą, gatvių apšvietimo modernizavimą ir savivaldybių viešųjų pastatų modernizavimą. Analizės metu siekiama įvertinti įvairius finansavimo modelius ir finansavimo sąlygas, įvairių tipų </w:t>
      </w:r>
      <w:r w:rsidR="00E01F02" w:rsidRPr="003878A7">
        <w:rPr>
          <w:rFonts w:cs="Times New Roman"/>
        </w:rPr>
        <w:t>FP</w:t>
      </w:r>
      <w:r w:rsidRPr="003878A7">
        <w:rPr>
          <w:rFonts w:cs="Times New Roman"/>
        </w:rPr>
        <w:t xml:space="preserve">, jų administravimo tvarką bei galimybes pritraukti privačius išteklius. Atsižvelgiant į visus šiuos aspektus siekiama pasiūlyti optimaliausius </w:t>
      </w:r>
      <w:r w:rsidR="00E01F02" w:rsidRPr="003878A7">
        <w:rPr>
          <w:rFonts w:cs="Times New Roman"/>
        </w:rPr>
        <w:t xml:space="preserve">ES struktūrinių ir investicinių </w:t>
      </w:r>
      <w:r w:rsidRPr="003878A7">
        <w:rPr>
          <w:rFonts w:cs="Times New Roman"/>
        </w:rPr>
        <w:t xml:space="preserve"> fondų </w:t>
      </w:r>
      <w:r w:rsidR="00E01F02" w:rsidRPr="003878A7">
        <w:rPr>
          <w:rFonts w:cs="Times New Roman"/>
        </w:rPr>
        <w:t xml:space="preserve">(toliau – ES SF) </w:t>
      </w:r>
      <w:r w:rsidRPr="003878A7">
        <w:rPr>
          <w:rFonts w:cs="Times New Roman"/>
        </w:rPr>
        <w:t xml:space="preserve">panaudojimo būdus įgyvendinant </w:t>
      </w:r>
      <w:r w:rsidR="00E01F02" w:rsidRPr="003878A7">
        <w:rPr>
          <w:rFonts w:cs="Times New Roman"/>
        </w:rPr>
        <w:t>FP</w:t>
      </w:r>
      <w:r w:rsidRPr="003878A7">
        <w:rPr>
          <w:rFonts w:cs="Times New Roman"/>
        </w:rPr>
        <w:t xml:space="preserve">. </w:t>
      </w:r>
    </w:p>
    <w:p w14:paraId="6FE9A667" w14:textId="4EFBA52B" w:rsidR="0047484A" w:rsidRPr="003878A7" w:rsidRDefault="14691E13" w:rsidP="0047484A">
      <w:pPr>
        <w:rPr>
          <w:rFonts w:cs="Times New Roman"/>
        </w:rPr>
      </w:pPr>
      <w:r w:rsidRPr="003878A7">
        <w:rPr>
          <w:rFonts w:cs="Times New Roman"/>
        </w:rPr>
        <w:t>Vertinimas struktūruojamas pagal Reglamento Nr. 1303/2013 37 straipsnio 2 punkte nurodytus reikalavimus.</w:t>
      </w:r>
    </w:p>
    <w:p w14:paraId="7B09A737" w14:textId="1BA25FCC" w:rsidR="0047484A" w:rsidRPr="003878A7" w:rsidRDefault="0096062D" w:rsidP="00CB66B8">
      <w:pPr>
        <w:pStyle w:val="Heading1"/>
        <w:numPr>
          <w:ilvl w:val="0"/>
          <w:numId w:val="3"/>
        </w:numPr>
        <w:rPr>
          <w:rFonts w:cs="Times New Roman"/>
        </w:rPr>
      </w:pPr>
      <w:bookmarkStart w:id="4" w:name="_Toc62131222"/>
      <w:bookmarkStart w:id="5" w:name="_Toc70532857"/>
      <w:r w:rsidRPr="003878A7">
        <w:rPr>
          <w:rFonts w:cs="Times New Roman"/>
        </w:rPr>
        <w:t>Investicijų poreik</w:t>
      </w:r>
      <w:r w:rsidR="00444022" w:rsidRPr="003878A7">
        <w:rPr>
          <w:rFonts w:cs="Times New Roman"/>
        </w:rPr>
        <w:t>io</w:t>
      </w:r>
      <w:r w:rsidR="0047484A" w:rsidRPr="003878A7">
        <w:rPr>
          <w:rFonts w:cs="Times New Roman"/>
        </w:rPr>
        <w:t xml:space="preserve"> analizė</w:t>
      </w:r>
      <w:bookmarkEnd w:id="4"/>
      <w:bookmarkEnd w:id="5"/>
    </w:p>
    <w:p w14:paraId="09C7CA30" w14:textId="021D6B6E" w:rsidR="00244E06" w:rsidRPr="003878A7" w:rsidRDefault="00244E06" w:rsidP="00244E06">
      <w:pPr>
        <w:rPr>
          <w:rFonts w:cs="Times New Roman"/>
        </w:rPr>
      </w:pPr>
      <w:r w:rsidRPr="003878A7">
        <w:rPr>
          <w:rFonts w:cs="Times New Roman"/>
        </w:rPr>
        <w:t>EE yra viena iš ES bei Lietuvos strateginių krypčių, kurioms skiriamas ypatingas dėmesys, dideli finansiniai ištekliai ir keliami ambicingi siekiai. Išnagrinėjus strateginių dokumentų nuostatas ir kitus susijusius pirminius ir antrinius šaltinius, šiame skyriuje pateikiama investicijų poreikių analizė.</w:t>
      </w:r>
    </w:p>
    <w:p w14:paraId="310056DA" w14:textId="15926757" w:rsidR="00240FF0" w:rsidRPr="003878A7" w:rsidRDefault="00240FF0" w:rsidP="009B2AF3">
      <w:pPr>
        <w:pStyle w:val="Heading2"/>
        <w:numPr>
          <w:ilvl w:val="1"/>
          <w:numId w:val="3"/>
        </w:numPr>
        <w:ind w:left="709" w:hanging="425"/>
        <w:rPr>
          <w:rFonts w:cs="Times New Roman"/>
        </w:rPr>
      </w:pPr>
      <w:bookmarkStart w:id="6" w:name="_Toc70532858"/>
      <w:r w:rsidRPr="003878A7">
        <w:rPr>
          <w:rFonts w:cs="Times New Roman"/>
        </w:rPr>
        <w:t>Investicijų paklausos</w:t>
      </w:r>
      <w:r w:rsidR="002E1048" w:rsidRPr="003878A7">
        <w:rPr>
          <w:rFonts w:cs="Times New Roman"/>
        </w:rPr>
        <w:t xml:space="preserve"> vertinimas</w:t>
      </w:r>
      <w:bookmarkEnd w:id="6"/>
    </w:p>
    <w:p w14:paraId="5253B72B" w14:textId="7A784EFC" w:rsidR="002E1048" w:rsidRPr="003878A7" w:rsidRDefault="002E1048" w:rsidP="00740469">
      <w:pPr>
        <w:rPr>
          <w:rFonts w:cs="Times New Roman"/>
        </w:rPr>
      </w:pPr>
      <w:r w:rsidRPr="003878A7">
        <w:rPr>
          <w:rFonts w:cs="Times New Roman"/>
        </w:rPr>
        <w:t>Vadovaudamasi Energijos efektyvumo direktyvos</w:t>
      </w:r>
      <w:r w:rsidR="00CF06EF" w:rsidRPr="003878A7">
        <w:rPr>
          <w:rFonts w:cs="Times New Roman"/>
        </w:rPr>
        <w:t xml:space="preserve"> (toliau – EE direktyva)</w:t>
      </w:r>
      <w:r w:rsidRPr="003878A7">
        <w:rPr>
          <w:rFonts w:cs="Times New Roman"/>
        </w:rPr>
        <w:t xml:space="preserve"> nuostatomis, kiekviena valstybė narė turi nustatyti bendrą galutinio energijos suvartojimo taupymo (toliau – BGEST) rodiklį, kurį šalys turi pasiekti iki 2020 </w:t>
      </w:r>
      <w:r w:rsidR="00ED667A" w:rsidRPr="003878A7">
        <w:rPr>
          <w:rFonts w:cs="Times New Roman"/>
        </w:rPr>
        <w:t>m.</w:t>
      </w:r>
      <w:r w:rsidRPr="003878A7">
        <w:rPr>
          <w:rFonts w:cs="Times New Roman"/>
        </w:rPr>
        <w:t xml:space="preserve"> visuose sektoriuose, įskaitant pramonės, transporto, pastatų ir kituose sektoriuose. Lietuvoje buvo nustatyta, jog bendras sutaupymas iki 2020 m. visuose sektoriuose siektų 11,68 </w:t>
      </w:r>
      <w:proofErr w:type="spellStart"/>
      <w:r w:rsidRPr="003878A7">
        <w:rPr>
          <w:rFonts w:cs="Times New Roman"/>
        </w:rPr>
        <w:t>TWh</w:t>
      </w:r>
      <w:proofErr w:type="spellEnd"/>
      <w:r w:rsidRPr="003878A7">
        <w:rPr>
          <w:rFonts w:cs="Times New Roman"/>
        </w:rPr>
        <w:t xml:space="preserve"> galutinės energijos. 2012</w:t>
      </w:r>
      <w:r w:rsidR="00ED667A" w:rsidRPr="003878A7">
        <w:rPr>
          <w:rFonts w:cs="Times New Roman"/>
        </w:rPr>
        <w:t xml:space="preserve"> </w:t>
      </w:r>
      <w:r w:rsidRPr="003878A7">
        <w:rPr>
          <w:rFonts w:cs="Times New Roman"/>
        </w:rPr>
        <w:t>m. patvirtint</w:t>
      </w:r>
      <w:r w:rsidR="005459DB" w:rsidRPr="003878A7">
        <w:rPr>
          <w:rFonts w:cs="Times New Roman"/>
        </w:rPr>
        <w:t>oje</w:t>
      </w:r>
      <w:r w:rsidRPr="003878A7">
        <w:rPr>
          <w:rFonts w:cs="Times New Roman"/>
        </w:rPr>
        <w:t xml:space="preserve"> Nacionalin</w:t>
      </w:r>
      <w:r w:rsidR="005459DB" w:rsidRPr="003878A7">
        <w:rPr>
          <w:rFonts w:cs="Times New Roman"/>
        </w:rPr>
        <w:t>ėje</w:t>
      </w:r>
      <w:r w:rsidRPr="003878A7">
        <w:rPr>
          <w:rFonts w:cs="Times New Roman"/>
        </w:rPr>
        <w:t xml:space="preserve"> energijos nepriklausomybės strategij</w:t>
      </w:r>
      <w:r w:rsidR="005459DB" w:rsidRPr="003878A7">
        <w:rPr>
          <w:rFonts w:cs="Times New Roman"/>
        </w:rPr>
        <w:t>oje (toliau – NENS) nustatyta</w:t>
      </w:r>
      <w:r w:rsidRPr="003878A7">
        <w:rPr>
          <w:rFonts w:cs="Times New Roman"/>
        </w:rPr>
        <w:t>,</w:t>
      </w:r>
      <w:r w:rsidR="005459DB" w:rsidRPr="003878A7">
        <w:rPr>
          <w:rFonts w:cs="Times New Roman"/>
        </w:rPr>
        <w:t xml:space="preserve"> kad</w:t>
      </w:r>
      <w:r w:rsidRPr="003878A7">
        <w:rPr>
          <w:rFonts w:cs="Times New Roman"/>
        </w:rPr>
        <w:t xml:space="preserve"> didžiausias energijos taupymo potencialas slypi gyvenamųjų ir visuomeninių pastatų sektoriuje, kuriame įmanoma sutaupyti nuo 30-40% galutinio šilumos energijos suvartojimo arba nuo 2-3 </w:t>
      </w:r>
      <w:proofErr w:type="spellStart"/>
      <w:r w:rsidRPr="003878A7">
        <w:rPr>
          <w:rFonts w:cs="Times New Roman"/>
        </w:rPr>
        <w:t>TWh</w:t>
      </w:r>
      <w:proofErr w:type="spellEnd"/>
      <w:r w:rsidRPr="003878A7">
        <w:rPr>
          <w:rFonts w:cs="Times New Roman"/>
        </w:rPr>
        <w:t xml:space="preserve"> šilumos energijos</w:t>
      </w:r>
      <w:r w:rsidR="00740469" w:rsidRPr="003878A7">
        <w:rPr>
          <w:rFonts w:cs="Times New Roman"/>
        </w:rPr>
        <w:t xml:space="preserve">. </w:t>
      </w:r>
      <w:r w:rsidRPr="003878A7">
        <w:rPr>
          <w:rFonts w:cs="Times New Roman"/>
        </w:rPr>
        <w:t xml:space="preserve">Remiantis </w:t>
      </w:r>
      <w:r w:rsidR="00ED667A" w:rsidRPr="003878A7">
        <w:rPr>
          <w:rFonts w:cs="Times New Roman"/>
        </w:rPr>
        <w:t xml:space="preserve">LR </w:t>
      </w:r>
      <w:r w:rsidR="004C16C9" w:rsidRPr="003878A7">
        <w:rPr>
          <w:rFonts w:cs="Times New Roman"/>
        </w:rPr>
        <w:t>e</w:t>
      </w:r>
      <w:r w:rsidRPr="003878A7">
        <w:rPr>
          <w:rFonts w:cs="Times New Roman"/>
        </w:rPr>
        <w:t>nergetikos ministerijos</w:t>
      </w:r>
      <w:r w:rsidR="00ED667A" w:rsidRPr="003878A7">
        <w:rPr>
          <w:rFonts w:cs="Times New Roman"/>
        </w:rPr>
        <w:t xml:space="preserve"> (toliau – EM)</w:t>
      </w:r>
      <w:r w:rsidRPr="003878A7">
        <w:rPr>
          <w:rFonts w:cs="Times New Roman"/>
        </w:rPr>
        <w:t xml:space="preserve"> duomenimis, daugiabučių ir viešųjų pastatų programa siekiama atitinkamai sutaupyti 2,67 </w:t>
      </w:r>
      <w:proofErr w:type="spellStart"/>
      <w:r w:rsidRPr="003878A7">
        <w:rPr>
          <w:rFonts w:cs="Times New Roman"/>
        </w:rPr>
        <w:t>TWh</w:t>
      </w:r>
      <w:proofErr w:type="spellEnd"/>
      <w:r w:rsidRPr="003878A7">
        <w:rPr>
          <w:rFonts w:cs="Times New Roman"/>
        </w:rPr>
        <w:t xml:space="preserve"> ir 0,4 </w:t>
      </w:r>
      <w:proofErr w:type="spellStart"/>
      <w:r w:rsidRPr="003878A7">
        <w:rPr>
          <w:rFonts w:cs="Times New Roman"/>
        </w:rPr>
        <w:t>TWh</w:t>
      </w:r>
      <w:proofErr w:type="spellEnd"/>
      <w:r w:rsidR="00740469" w:rsidRPr="003878A7">
        <w:rPr>
          <w:rFonts w:cs="Times New Roman"/>
        </w:rPr>
        <w:t xml:space="preserve"> – t</w:t>
      </w:r>
      <w:r w:rsidRPr="003878A7">
        <w:rPr>
          <w:rFonts w:cs="Times New Roman"/>
        </w:rPr>
        <w:t xml:space="preserve">ai sudarytų apie 26,3 % viso BGEST rodiklio energijos kiekio. Atsižvelgiant į </w:t>
      </w:r>
      <w:r w:rsidR="001B08E9" w:rsidRPr="003878A7">
        <w:rPr>
          <w:rFonts w:cs="Times New Roman"/>
        </w:rPr>
        <w:t>EE</w:t>
      </w:r>
      <w:r w:rsidRPr="003878A7">
        <w:rPr>
          <w:rFonts w:cs="Times New Roman"/>
        </w:rPr>
        <w:t xml:space="preserve"> </w:t>
      </w:r>
      <w:r w:rsidR="001B08E9" w:rsidRPr="003878A7">
        <w:rPr>
          <w:rFonts w:cs="Times New Roman"/>
        </w:rPr>
        <w:t>d</w:t>
      </w:r>
      <w:r w:rsidRPr="003878A7">
        <w:rPr>
          <w:rFonts w:cs="Times New Roman"/>
        </w:rPr>
        <w:t>irektyvos atnaujinimo nuostatas</w:t>
      </w:r>
      <w:r w:rsidRPr="003878A7">
        <w:rPr>
          <w:rFonts w:cs="Times New Roman"/>
          <w:vertAlign w:val="superscript"/>
        </w:rPr>
        <w:footnoteReference w:id="1"/>
      </w:r>
      <w:r w:rsidRPr="003878A7">
        <w:rPr>
          <w:rFonts w:cs="Times New Roman"/>
        </w:rPr>
        <w:t xml:space="preserve"> ir </w:t>
      </w:r>
      <w:r w:rsidR="00740469" w:rsidRPr="003878A7">
        <w:rPr>
          <w:rFonts w:cs="Times New Roman"/>
        </w:rPr>
        <w:t>NENS</w:t>
      </w:r>
      <w:r w:rsidRPr="003878A7">
        <w:rPr>
          <w:rFonts w:cs="Times New Roman"/>
          <w:vertAlign w:val="superscript"/>
        </w:rPr>
        <w:footnoteReference w:id="2"/>
      </w:r>
      <w:r w:rsidRPr="003878A7">
        <w:rPr>
          <w:rFonts w:cs="Times New Roman"/>
        </w:rPr>
        <w:t xml:space="preserve"> energijos galutinio vartojimo prognozėmis buvo apskaičiuota, kad vidutiniškai kiekvienais metais 2017-2023 m. laikotarpiu iš gyvenamųjų ir viešųjų pastatų būtų papildomai sutaupoma 136,1 </w:t>
      </w:r>
      <w:proofErr w:type="spellStart"/>
      <w:r w:rsidRPr="003878A7">
        <w:rPr>
          <w:rFonts w:cs="Times New Roman"/>
        </w:rPr>
        <w:t>GWh</w:t>
      </w:r>
      <w:proofErr w:type="spellEnd"/>
      <w:r w:rsidRPr="003878A7">
        <w:rPr>
          <w:rFonts w:cs="Times New Roman"/>
        </w:rPr>
        <w:t xml:space="preserve"> energijos.</w:t>
      </w:r>
    </w:p>
    <w:p w14:paraId="34F90350" w14:textId="7180A479" w:rsidR="00CA23C7" w:rsidRPr="003878A7" w:rsidRDefault="00CA23C7" w:rsidP="00ED667A">
      <w:pPr>
        <w:rPr>
          <w:rFonts w:cs="Times New Roman"/>
        </w:rPr>
      </w:pPr>
      <w:r w:rsidRPr="003878A7">
        <w:rPr>
          <w:rFonts w:cs="Times New Roman"/>
        </w:rPr>
        <w:t>Investicijų paklausos vertinimas buvo atliktas atsižvelgiant į (a) pastatų/infrastruktūros rūšį</w:t>
      </w:r>
      <w:r w:rsidR="00740469" w:rsidRPr="003878A7">
        <w:rPr>
          <w:rFonts w:cs="Times New Roman"/>
        </w:rPr>
        <w:t xml:space="preserve">, </w:t>
      </w:r>
      <w:r w:rsidR="001B08E9" w:rsidRPr="003878A7">
        <w:rPr>
          <w:rFonts w:cs="Times New Roman"/>
        </w:rPr>
        <w:t>esamos infrastruktūros kiekį (remiantis Registrų centro duomenimis)</w:t>
      </w:r>
      <w:r w:rsidR="00740469" w:rsidRPr="003878A7">
        <w:rPr>
          <w:rFonts w:cs="Times New Roman"/>
        </w:rPr>
        <w:t xml:space="preserve"> ir vidutinę renovacijos kainą</w:t>
      </w:r>
      <w:r w:rsidRPr="003878A7">
        <w:rPr>
          <w:rFonts w:cs="Times New Roman"/>
        </w:rPr>
        <w:t>; ir (b) strateginiuose dokumentuose</w:t>
      </w:r>
      <w:r w:rsidR="004C16C9" w:rsidRPr="003878A7">
        <w:rPr>
          <w:rFonts w:cs="Times New Roman"/>
        </w:rPr>
        <w:t xml:space="preserve"> </w:t>
      </w:r>
      <w:r w:rsidRPr="003878A7">
        <w:rPr>
          <w:rFonts w:cs="Times New Roman"/>
        </w:rPr>
        <w:t>nustatytus pasiekti rodiklius.</w:t>
      </w:r>
      <w:r w:rsidR="00ED667A" w:rsidRPr="003878A7">
        <w:rPr>
          <w:rFonts w:cs="Times New Roman"/>
        </w:rPr>
        <w:t xml:space="preserve"> </w:t>
      </w:r>
      <w:r w:rsidRPr="003878A7">
        <w:rPr>
          <w:rFonts w:cs="Times New Roman"/>
        </w:rPr>
        <w:t>Lentelė</w:t>
      </w:r>
      <w:r w:rsidR="00ED667A" w:rsidRPr="003878A7">
        <w:rPr>
          <w:rFonts w:cs="Times New Roman"/>
        </w:rPr>
        <w:t>je</w:t>
      </w:r>
      <w:r w:rsidRPr="003878A7">
        <w:rPr>
          <w:rFonts w:cs="Times New Roman"/>
        </w:rPr>
        <w:t xml:space="preserve"> </w:t>
      </w:r>
      <w:r w:rsidR="00ED667A" w:rsidRPr="003878A7">
        <w:rPr>
          <w:rFonts w:cs="Times New Roman"/>
        </w:rPr>
        <w:t>apačioje pateikti</w:t>
      </w:r>
      <w:r w:rsidRPr="003878A7">
        <w:rPr>
          <w:rFonts w:cs="Times New Roman"/>
        </w:rPr>
        <w:t xml:space="preserve"> apibendrin</w:t>
      </w:r>
      <w:r w:rsidR="00ED667A" w:rsidRPr="003878A7">
        <w:rPr>
          <w:rFonts w:cs="Times New Roman"/>
        </w:rPr>
        <w:t>ti</w:t>
      </w:r>
      <w:r w:rsidRPr="003878A7">
        <w:rPr>
          <w:rFonts w:cs="Times New Roman"/>
        </w:rPr>
        <w:t xml:space="preserve"> paklausos duomen</w:t>
      </w:r>
      <w:r w:rsidR="00ED667A" w:rsidRPr="003878A7">
        <w:rPr>
          <w:rFonts w:cs="Times New Roman"/>
        </w:rPr>
        <w:t>y</w:t>
      </w:r>
      <w:r w:rsidRPr="003878A7">
        <w:rPr>
          <w:rFonts w:cs="Times New Roman"/>
        </w:rPr>
        <w:t xml:space="preserve">s visiems </w:t>
      </w:r>
      <w:r w:rsidR="00740469" w:rsidRPr="003878A7">
        <w:rPr>
          <w:rFonts w:cs="Times New Roman"/>
        </w:rPr>
        <w:t xml:space="preserve">Vertinime nagrinėjamiems </w:t>
      </w:r>
      <w:r w:rsidRPr="003878A7">
        <w:rPr>
          <w:rFonts w:cs="Times New Roman"/>
        </w:rPr>
        <w:t xml:space="preserve">infrastruktūros tipams. </w:t>
      </w:r>
    </w:p>
    <w:p w14:paraId="51C75564" w14:textId="6F3299FC" w:rsidR="004C16C9" w:rsidRPr="003878A7" w:rsidRDefault="004C16C9" w:rsidP="001B08E9">
      <w:pPr>
        <w:ind w:firstLine="0"/>
        <w:rPr>
          <w:rFonts w:cs="Times New Roman"/>
          <w:i/>
          <w:iCs/>
        </w:rPr>
      </w:pPr>
      <w:r w:rsidRPr="003878A7">
        <w:rPr>
          <w:rFonts w:cs="Times New Roman"/>
          <w:i/>
          <w:iCs/>
        </w:rPr>
        <w:t xml:space="preserve">Lentelė Nr. 1. Investicijų paklausa pagal Vertinime nagrinėjamus infrastruktūros objektus </w:t>
      </w:r>
    </w:p>
    <w:tbl>
      <w:tblPr>
        <w:tblStyle w:val="TableGrid"/>
        <w:tblW w:w="5000" w:type="pct"/>
        <w:tblLook w:val="04A0" w:firstRow="1" w:lastRow="0" w:firstColumn="1" w:lastColumn="0" w:noHBand="0" w:noVBand="1"/>
      </w:tblPr>
      <w:tblGrid>
        <w:gridCol w:w="3109"/>
        <w:gridCol w:w="2249"/>
        <w:gridCol w:w="2249"/>
        <w:gridCol w:w="2247"/>
      </w:tblGrid>
      <w:tr w:rsidR="00CA23C7" w:rsidRPr="003878A7" w14:paraId="5B6C883A" w14:textId="77777777" w:rsidTr="001B08E9">
        <w:trPr>
          <w:trHeight w:val="1115"/>
        </w:trPr>
        <w:tc>
          <w:tcPr>
            <w:tcW w:w="1578" w:type="pct"/>
            <w:vAlign w:val="center"/>
            <w:hideMark/>
          </w:tcPr>
          <w:p w14:paraId="610B0A7D" w14:textId="77777777" w:rsidR="00CA23C7" w:rsidRPr="003878A7" w:rsidRDefault="00CA23C7" w:rsidP="001B08E9">
            <w:pPr>
              <w:spacing w:before="0" w:after="0"/>
              <w:ind w:firstLine="0"/>
              <w:jc w:val="left"/>
              <w:rPr>
                <w:rFonts w:eastAsia="Times New Roman" w:cs="Times New Roman"/>
                <w:b/>
                <w:bCs/>
                <w:sz w:val="21"/>
                <w:szCs w:val="21"/>
                <w:lang w:val="lt-LT" w:eastAsia="lt-LT"/>
              </w:rPr>
            </w:pPr>
            <w:r w:rsidRPr="003878A7">
              <w:rPr>
                <w:rFonts w:eastAsia="Times New Roman" w:cs="Times New Roman"/>
                <w:b/>
                <w:bCs/>
                <w:sz w:val="21"/>
                <w:szCs w:val="21"/>
                <w:lang w:val="lt-LT" w:eastAsia="lt-LT"/>
              </w:rPr>
              <w:lastRenderedPageBreak/>
              <w:t>Infrastruktūros tipas</w:t>
            </w:r>
          </w:p>
          <w:p w14:paraId="7F9E367F" w14:textId="034A4546" w:rsidR="00CA23C7" w:rsidRPr="003878A7" w:rsidRDefault="00CA23C7" w:rsidP="001B08E9">
            <w:pPr>
              <w:spacing w:before="0" w:after="0"/>
              <w:ind w:firstLine="0"/>
              <w:jc w:val="left"/>
              <w:rPr>
                <w:rFonts w:eastAsia="Times New Roman" w:cs="Times New Roman"/>
                <w:b/>
                <w:bCs/>
                <w:sz w:val="21"/>
                <w:szCs w:val="21"/>
                <w:lang w:val="lt-LT" w:eastAsia="lt-LT"/>
              </w:rPr>
            </w:pPr>
          </w:p>
        </w:tc>
        <w:tc>
          <w:tcPr>
            <w:tcW w:w="1141" w:type="pct"/>
            <w:vAlign w:val="center"/>
            <w:hideMark/>
          </w:tcPr>
          <w:p w14:paraId="739DA536" w14:textId="3658D1CB" w:rsidR="00CA23C7" w:rsidRPr="003878A7" w:rsidRDefault="00CA23C7" w:rsidP="001B08E9">
            <w:pPr>
              <w:spacing w:before="0" w:after="0"/>
              <w:ind w:firstLine="0"/>
              <w:jc w:val="center"/>
              <w:rPr>
                <w:rFonts w:eastAsia="Times New Roman" w:cs="Times New Roman"/>
                <w:b/>
                <w:bCs/>
                <w:sz w:val="21"/>
                <w:szCs w:val="21"/>
                <w:lang w:val="lt-LT" w:eastAsia="lt-LT"/>
              </w:rPr>
            </w:pPr>
            <w:r w:rsidRPr="003878A7">
              <w:rPr>
                <w:rFonts w:eastAsia="Times New Roman" w:cs="Times New Roman"/>
                <w:b/>
                <w:bCs/>
                <w:sz w:val="21"/>
                <w:szCs w:val="21"/>
                <w:lang w:val="lt-LT" w:eastAsia="lt-LT"/>
              </w:rPr>
              <w:t xml:space="preserve">Investicijų paklausa, mln. </w:t>
            </w:r>
            <w:r w:rsidR="004C16C9" w:rsidRPr="003878A7">
              <w:rPr>
                <w:rFonts w:eastAsia="Times New Roman" w:cs="Times New Roman"/>
                <w:b/>
                <w:bCs/>
                <w:sz w:val="21"/>
                <w:szCs w:val="21"/>
                <w:lang w:val="lt-LT" w:eastAsia="lt-LT"/>
              </w:rPr>
              <w:t>Eur</w:t>
            </w:r>
          </w:p>
          <w:p w14:paraId="01D80B39" w14:textId="77777777" w:rsidR="00CA23C7" w:rsidRPr="003878A7" w:rsidRDefault="00CA23C7" w:rsidP="001B08E9">
            <w:pPr>
              <w:spacing w:before="0" w:after="0"/>
              <w:ind w:firstLine="0"/>
              <w:jc w:val="center"/>
              <w:rPr>
                <w:rFonts w:eastAsia="Times New Roman" w:cs="Times New Roman"/>
                <w:b/>
                <w:bCs/>
                <w:i/>
                <w:iCs/>
                <w:sz w:val="21"/>
                <w:szCs w:val="21"/>
                <w:lang w:val="lt-LT" w:eastAsia="lt-LT"/>
              </w:rPr>
            </w:pPr>
            <w:r w:rsidRPr="003878A7">
              <w:rPr>
                <w:rFonts w:eastAsia="Times New Roman" w:cs="Times New Roman"/>
                <w:b/>
                <w:bCs/>
                <w:i/>
                <w:iCs/>
                <w:sz w:val="21"/>
                <w:szCs w:val="21"/>
                <w:lang w:val="lt-LT" w:eastAsia="lt-LT"/>
              </w:rPr>
              <w:t>Pradinė ataskaita</w:t>
            </w:r>
          </w:p>
        </w:tc>
        <w:tc>
          <w:tcPr>
            <w:tcW w:w="1141" w:type="pct"/>
            <w:vAlign w:val="center"/>
            <w:hideMark/>
          </w:tcPr>
          <w:p w14:paraId="58332DE5" w14:textId="288CED23" w:rsidR="00CA23C7" w:rsidRPr="003878A7" w:rsidRDefault="00CA23C7" w:rsidP="001B08E9">
            <w:pPr>
              <w:spacing w:before="0" w:after="0"/>
              <w:ind w:firstLine="0"/>
              <w:jc w:val="center"/>
              <w:rPr>
                <w:rFonts w:eastAsia="Times New Roman" w:cs="Times New Roman"/>
                <w:b/>
                <w:bCs/>
                <w:sz w:val="21"/>
                <w:szCs w:val="21"/>
                <w:lang w:val="lt-LT" w:eastAsia="lt-LT"/>
              </w:rPr>
            </w:pPr>
            <w:r w:rsidRPr="003878A7">
              <w:rPr>
                <w:rFonts w:eastAsia="Times New Roman" w:cs="Times New Roman"/>
                <w:b/>
                <w:bCs/>
                <w:sz w:val="21"/>
                <w:szCs w:val="21"/>
                <w:lang w:val="lt-LT" w:eastAsia="lt-LT"/>
              </w:rPr>
              <w:t>Investicijų paklausa, mln. E</w:t>
            </w:r>
            <w:r w:rsidR="004C16C9" w:rsidRPr="003878A7">
              <w:rPr>
                <w:rFonts w:eastAsia="Times New Roman" w:cs="Times New Roman"/>
                <w:b/>
                <w:bCs/>
                <w:sz w:val="21"/>
                <w:szCs w:val="21"/>
                <w:lang w:val="lt-LT" w:eastAsia="lt-LT"/>
              </w:rPr>
              <w:t>ur</w:t>
            </w:r>
          </w:p>
          <w:p w14:paraId="3E74A022" w14:textId="77777777" w:rsidR="00CA23C7" w:rsidRPr="003878A7" w:rsidRDefault="00CA23C7" w:rsidP="001B08E9">
            <w:pPr>
              <w:spacing w:before="0" w:after="0"/>
              <w:ind w:firstLine="0"/>
              <w:jc w:val="center"/>
              <w:rPr>
                <w:rFonts w:eastAsia="Times New Roman" w:cs="Times New Roman"/>
                <w:b/>
                <w:bCs/>
                <w:sz w:val="21"/>
                <w:szCs w:val="21"/>
                <w:lang w:val="lt-LT" w:eastAsia="lt-LT"/>
              </w:rPr>
            </w:pPr>
          </w:p>
        </w:tc>
        <w:tc>
          <w:tcPr>
            <w:tcW w:w="1140" w:type="pct"/>
            <w:vAlign w:val="center"/>
            <w:hideMark/>
          </w:tcPr>
          <w:p w14:paraId="1B2FFF16" w14:textId="5F04BD37" w:rsidR="00CA23C7" w:rsidRPr="003878A7" w:rsidRDefault="00CA23C7" w:rsidP="001B08E9">
            <w:pPr>
              <w:spacing w:before="0" w:after="0"/>
              <w:ind w:firstLine="0"/>
              <w:jc w:val="center"/>
              <w:rPr>
                <w:rFonts w:eastAsia="Times New Roman" w:cs="Times New Roman"/>
                <w:b/>
                <w:bCs/>
                <w:sz w:val="21"/>
                <w:szCs w:val="21"/>
                <w:lang w:val="lt-LT" w:eastAsia="lt-LT"/>
              </w:rPr>
            </w:pPr>
            <w:r w:rsidRPr="003878A7">
              <w:rPr>
                <w:rFonts w:eastAsia="Times New Roman" w:cs="Times New Roman"/>
                <w:b/>
                <w:bCs/>
                <w:sz w:val="21"/>
                <w:szCs w:val="21"/>
                <w:lang w:val="lt-LT" w:eastAsia="lt-LT"/>
              </w:rPr>
              <w:t>Skirtumas, mln. E</w:t>
            </w:r>
            <w:r w:rsidR="004C16C9" w:rsidRPr="003878A7">
              <w:rPr>
                <w:rFonts w:eastAsia="Times New Roman" w:cs="Times New Roman"/>
                <w:b/>
                <w:bCs/>
                <w:sz w:val="21"/>
                <w:szCs w:val="21"/>
                <w:lang w:val="lt-LT" w:eastAsia="lt-LT"/>
              </w:rPr>
              <w:t>ur</w:t>
            </w:r>
          </w:p>
          <w:p w14:paraId="1B59B474" w14:textId="77777777" w:rsidR="00CA23C7" w:rsidRPr="003878A7" w:rsidRDefault="00CA23C7" w:rsidP="001B08E9">
            <w:pPr>
              <w:spacing w:before="0" w:after="0"/>
              <w:ind w:firstLine="0"/>
              <w:jc w:val="center"/>
              <w:rPr>
                <w:rFonts w:eastAsia="Times New Roman" w:cs="Times New Roman"/>
                <w:b/>
                <w:bCs/>
                <w:sz w:val="21"/>
                <w:szCs w:val="21"/>
                <w:lang w:val="lt-LT" w:eastAsia="lt-LT"/>
              </w:rPr>
            </w:pPr>
          </w:p>
        </w:tc>
      </w:tr>
      <w:tr w:rsidR="00CA23C7" w:rsidRPr="003878A7" w14:paraId="17618B09" w14:textId="77777777" w:rsidTr="00444022">
        <w:trPr>
          <w:trHeight w:val="525"/>
        </w:trPr>
        <w:tc>
          <w:tcPr>
            <w:tcW w:w="1578" w:type="pct"/>
            <w:vAlign w:val="center"/>
            <w:hideMark/>
          </w:tcPr>
          <w:p w14:paraId="6DB2FAD9" w14:textId="77777777" w:rsidR="00CA23C7" w:rsidRPr="003878A7" w:rsidRDefault="00CA23C7" w:rsidP="00444022">
            <w:pPr>
              <w:spacing w:before="0" w:after="0"/>
              <w:ind w:firstLine="0"/>
              <w:jc w:val="left"/>
              <w:rPr>
                <w:rFonts w:eastAsia="Times New Roman" w:cs="Times New Roman"/>
                <w:b/>
                <w:color w:val="000000"/>
                <w:sz w:val="21"/>
                <w:szCs w:val="21"/>
                <w:lang w:val="lt-LT" w:eastAsia="lt-LT"/>
              </w:rPr>
            </w:pPr>
            <w:r w:rsidRPr="003878A7">
              <w:rPr>
                <w:rFonts w:eastAsia="Times New Roman" w:cs="Times New Roman"/>
                <w:color w:val="000000"/>
                <w:sz w:val="21"/>
                <w:szCs w:val="21"/>
                <w:lang w:val="lt-LT" w:eastAsia="lt-LT"/>
              </w:rPr>
              <w:t>Centrinės valdžios pastatų modernizavimas</w:t>
            </w:r>
          </w:p>
        </w:tc>
        <w:tc>
          <w:tcPr>
            <w:tcW w:w="1141" w:type="pct"/>
            <w:vAlign w:val="center"/>
            <w:hideMark/>
          </w:tcPr>
          <w:p w14:paraId="064E589D" w14:textId="77777777" w:rsidR="00CA23C7" w:rsidRPr="003878A7" w:rsidRDefault="00CA23C7" w:rsidP="00444022">
            <w:pPr>
              <w:spacing w:before="0" w:after="0"/>
              <w:ind w:firstLine="0"/>
              <w:jc w:val="center"/>
              <w:rPr>
                <w:rFonts w:eastAsia="Times New Roman" w:cs="Times New Roman"/>
                <w:color w:val="000000"/>
                <w:sz w:val="21"/>
                <w:szCs w:val="21"/>
                <w:lang w:val="lt-LT" w:eastAsia="lt-LT"/>
              </w:rPr>
            </w:pPr>
            <w:r w:rsidRPr="003878A7">
              <w:rPr>
                <w:rFonts w:eastAsia="Times New Roman" w:cs="Times New Roman"/>
                <w:color w:val="000000"/>
                <w:sz w:val="21"/>
                <w:szCs w:val="21"/>
                <w:lang w:val="lt-LT" w:eastAsia="lt-LT"/>
              </w:rPr>
              <w:t>169,7</w:t>
            </w:r>
          </w:p>
        </w:tc>
        <w:tc>
          <w:tcPr>
            <w:tcW w:w="1141" w:type="pct"/>
            <w:vAlign w:val="center"/>
            <w:hideMark/>
          </w:tcPr>
          <w:p w14:paraId="06AA233B" w14:textId="77777777" w:rsidR="00CA23C7" w:rsidRPr="003878A7" w:rsidRDefault="00CA23C7" w:rsidP="00444022">
            <w:pPr>
              <w:spacing w:before="0" w:after="0"/>
              <w:ind w:firstLine="0"/>
              <w:jc w:val="center"/>
              <w:rPr>
                <w:rFonts w:eastAsia="Times New Roman" w:cs="Times New Roman"/>
                <w:color w:val="000000"/>
                <w:sz w:val="21"/>
                <w:szCs w:val="21"/>
                <w:lang w:val="lt-LT" w:eastAsia="lt-LT"/>
              </w:rPr>
            </w:pPr>
            <w:r w:rsidRPr="003878A7">
              <w:rPr>
                <w:rFonts w:eastAsia="Times New Roman" w:cs="Times New Roman"/>
                <w:color w:val="000000"/>
                <w:sz w:val="21"/>
                <w:szCs w:val="21"/>
                <w:lang w:val="lt-LT" w:eastAsia="lt-LT"/>
              </w:rPr>
              <w:t>610,3</w:t>
            </w:r>
          </w:p>
        </w:tc>
        <w:tc>
          <w:tcPr>
            <w:tcW w:w="1140" w:type="pct"/>
            <w:vAlign w:val="center"/>
            <w:hideMark/>
          </w:tcPr>
          <w:p w14:paraId="481637A5" w14:textId="77777777" w:rsidR="00CA23C7" w:rsidRPr="003878A7" w:rsidRDefault="00CA23C7" w:rsidP="00444022">
            <w:pPr>
              <w:spacing w:before="0" w:after="0"/>
              <w:ind w:firstLine="0"/>
              <w:jc w:val="center"/>
              <w:rPr>
                <w:rFonts w:eastAsia="Times New Roman" w:cs="Times New Roman"/>
                <w:color w:val="000000"/>
                <w:sz w:val="21"/>
                <w:szCs w:val="21"/>
                <w:lang w:val="lt-LT" w:eastAsia="lt-LT"/>
              </w:rPr>
            </w:pPr>
            <w:r w:rsidRPr="003878A7">
              <w:rPr>
                <w:rFonts w:eastAsia="Times New Roman" w:cs="Times New Roman"/>
                <w:color w:val="000000"/>
                <w:sz w:val="21"/>
                <w:szCs w:val="21"/>
                <w:lang w:val="lt-LT" w:eastAsia="lt-LT"/>
              </w:rPr>
              <w:t>440,6</w:t>
            </w:r>
          </w:p>
        </w:tc>
      </w:tr>
      <w:tr w:rsidR="00CA23C7" w:rsidRPr="003878A7" w14:paraId="577EF2EA" w14:textId="77777777" w:rsidTr="00444022">
        <w:trPr>
          <w:trHeight w:val="525"/>
        </w:trPr>
        <w:tc>
          <w:tcPr>
            <w:tcW w:w="1578" w:type="pct"/>
            <w:vAlign w:val="center"/>
            <w:hideMark/>
          </w:tcPr>
          <w:p w14:paraId="141FA6CC" w14:textId="77777777" w:rsidR="00CA23C7" w:rsidRPr="003878A7" w:rsidRDefault="00CA23C7" w:rsidP="00444022">
            <w:pPr>
              <w:spacing w:before="0" w:after="0"/>
              <w:ind w:firstLine="0"/>
              <w:jc w:val="left"/>
              <w:rPr>
                <w:rFonts w:eastAsia="Times New Roman" w:cs="Times New Roman"/>
                <w:b/>
                <w:color w:val="000000"/>
                <w:sz w:val="21"/>
                <w:szCs w:val="21"/>
                <w:lang w:val="lt-LT" w:eastAsia="lt-LT"/>
              </w:rPr>
            </w:pPr>
            <w:r w:rsidRPr="003878A7">
              <w:rPr>
                <w:rFonts w:eastAsia="Times New Roman" w:cs="Times New Roman"/>
                <w:color w:val="000000"/>
                <w:sz w:val="21"/>
                <w:szCs w:val="21"/>
                <w:lang w:val="lt-LT" w:eastAsia="lt-LT"/>
              </w:rPr>
              <w:t>Savivaldybių viešųjų pastatų modernizavimas</w:t>
            </w:r>
          </w:p>
        </w:tc>
        <w:tc>
          <w:tcPr>
            <w:tcW w:w="1141" w:type="pct"/>
            <w:vAlign w:val="center"/>
            <w:hideMark/>
          </w:tcPr>
          <w:p w14:paraId="1D4EA160" w14:textId="77777777" w:rsidR="00CA23C7" w:rsidRPr="003878A7" w:rsidRDefault="00CA23C7" w:rsidP="00444022">
            <w:pPr>
              <w:spacing w:before="0" w:after="0"/>
              <w:ind w:firstLine="0"/>
              <w:jc w:val="center"/>
              <w:rPr>
                <w:rFonts w:eastAsia="Times New Roman" w:cs="Times New Roman"/>
                <w:color w:val="000000"/>
                <w:sz w:val="21"/>
                <w:szCs w:val="21"/>
                <w:lang w:val="lt-LT" w:eastAsia="lt-LT"/>
              </w:rPr>
            </w:pPr>
            <w:r w:rsidRPr="003878A7">
              <w:rPr>
                <w:rFonts w:eastAsia="Times New Roman" w:cs="Times New Roman"/>
                <w:color w:val="000000"/>
                <w:sz w:val="21"/>
                <w:szCs w:val="21"/>
                <w:lang w:val="lt-LT" w:eastAsia="lt-LT"/>
              </w:rPr>
              <w:t>234,6</w:t>
            </w:r>
          </w:p>
        </w:tc>
        <w:tc>
          <w:tcPr>
            <w:tcW w:w="1141" w:type="pct"/>
            <w:vAlign w:val="center"/>
            <w:hideMark/>
          </w:tcPr>
          <w:p w14:paraId="6C919B5E" w14:textId="77777777" w:rsidR="00CA23C7" w:rsidRPr="003878A7" w:rsidRDefault="00CA23C7" w:rsidP="00444022">
            <w:pPr>
              <w:spacing w:before="0" w:after="0"/>
              <w:ind w:firstLine="0"/>
              <w:jc w:val="center"/>
              <w:rPr>
                <w:rFonts w:eastAsia="Times New Roman" w:cs="Times New Roman"/>
                <w:color w:val="000000"/>
                <w:sz w:val="21"/>
                <w:szCs w:val="21"/>
                <w:lang w:val="lt-LT" w:eastAsia="lt-LT"/>
              </w:rPr>
            </w:pPr>
            <w:r w:rsidRPr="003878A7">
              <w:rPr>
                <w:rFonts w:eastAsia="Times New Roman" w:cs="Times New Roman"/>
                <w:color w:val="000000"/>
                <w:sz w:val="21"/>
                <w:szCs w:val="21"/>
                <w:lang w:val="lt-LT" w:eastAsia="lt-LT"/>
              </w:rPr>
              <w:t>298,6</w:t>
            </w:r>
          </w:p>
        </w:tc>
        <w:tc>
          <w:tcPr>
            <w:tcW w:w="1140" w:type="pct"/>
            <w:vAlign w:val="center"/>
            <w:hideMark/>
          </w:tcPr>
          <w:p w14:paraId="29024788" w14:textId="77777777" w:rsidR="00CA23C7" w:rsidRPr="003878A7" w:rsidRDefault="00CA23C7" w:rsidP="00444022">
            <w:pPr>
              <w:spacing w:before="0" w:after="0"/>
              <w:ind w:firstLine="0"/>
              <w:jc w:val="center"/>
              <w:rPr>
                <w:rFonts w:eastAsia="Times New Roman" w:cs="Times New Roman"/>
                <w:color w:val="000000"/>
                <w:sz w:val="21"/>
                <w:szCs w:val="21"/>
                <w:lang w:val="lt-LT" w:eastAsia="lt-LT"/>
              </w:rPr>
            </w:pPr>
            <w:r w:rsidRPr="003878A7">
              <w:rPr>
                <w:rFonts w:eastAsia="Times New Roman" w:cs="Times New Roman"/>
                <w:color w:val="000000"/>
                <w:sz w:val="21"/>
                <w:szCs w:val="21"/>
                <w:lang w:val="lt-LT" w:eastAsia="lt-LT"/>
              </w:rPr>
              <w:t>64,0</w:t>
            </w:r>
          </w:p>
        </w:tc>
      </w:tr>
      <w:tr w:rsidR="00CA23C7" w:rsidRPr="003878A7" w14:paraId="6D4D9377" w14:textId="77777777" w:rsidTr="00444022">
        <w:trPr>
          <w:trHeight w:val="315"/>
        </w:trPr>
        <w:tc>
          <w:tcPr>
            <w:tcW w:w="1578" w:type="pct"/>
            <w:vAlign w:val="center"/>
            <w:hideMark/>
          </w:tcPr>
          <w:p w14:paraId="3C39D1ED" w14:textId="77777777" w:rsidR="00CA23C7" w:rsidRPr="003878A7" w:rsidRDefault="00CA23C7" w:rsidP="00444022">
            <w:pPr>
              <w:spacing w:before="0" w:after="0"/>
              <w:ind w:firstLine="0"/>
              <w:jc w:val="left"/>
              <w:rPr>
                <w:rFonts w:eastAsia="Times New Roman" w:cs="Times New Roman"/>
                <w:b/>
                <w:color w:val="000000"/>
                <w:sz w:val="21"/>
                <w:szCs w:val="21"/>
                <w:lang w:val="lt-LT" w:eastAsia="lt-LT"/>
              </w:rPr>
            </w:pPr>
            <w:r w:rsidRPr="003878A7">
              <w:rPr>
                <w:rFonts w:eastAsia="Times New Roman" w:cs="Times New Roman"/>
                <w:color w:val="000000"/>
                <w:sz w:val="21"/>
                <w:szCs w:val="21"/>
                <w:lang w:val="lt-LT" w:eastAsia="lt-LT"/>
              </w:rPr>
              <w:t>Daugiabučių modernizavimas</w:t>
            </w:r>
          </w:p>
        </w:tc>
        <w:tc>
          <w:tcPr>
            <w:tcW w:w="1141" w:type="pct"/>
            <w:vAlign w:val="center"/>
            <w:hideMark/>
          </w:tcPr>
          <w:p w14:paraId="11373F8D" w14:textId="77777777" w:rsidR="00CA23C7" w:rsidRPr="003878A7" w:rsidRDefault="00CA23C7" w:rsidP="00444022">
            <w:pPr>
              <w:spacing w:before="0" w:after="0"/>
              <w:ind w:firstLine="0"/>
              <w:jc w:val="center"/>
              <w:rPr>
                <w:rFonts w:eastAsia="Times New Roman" w:cs="Times New Roman"/>
                <w:color w:val="000000"/>
                <w:sz w:val="21"/>
                <w:szCs w:val="21"/>
                <w:lang w:val="lt-LT" w:eastAsia="lt-LT"/>
              </w:rPr>
            </w:pPr>
            <w:r w:rsidRPr="003878A7">
              <w:rPr>
                <w:rFonts w:eastAsia="Times New Roman" w:cs="Times New Roman"/>
                <w:color w:val="000000"/>
                <w:sz w:val="21"/>
                <w:szCs w:val="21"/>
                <w:lang w:val="lt-LT" w:eastAsia="lt-LT"/>
              </w:rPr>
              <w:t>1 347,3</w:t>
            </w:r>
          </w:p>
        </w:tc>
        <w:tc>
          <w:tcPr>
            <w:tcW w:w="1141" w:type="pct"/>
            <w:vAlign w:val="center"/>
            <w:hideMark/>
          </w:tcPr>
          <w:p w14:paraId="0F8DBE85" w14:textId="77777777" w:rsidR="00CA23C7" w:rsidRPr="003878A7" w:rsidRDefault="00CA23C7" w:rsidP="00444022">
            <w:pPr>
              <w:spacing w:before="0" w:after="0"/>
              <w:ind w:firstLine="0"/>
              <w:jc w:val="center"/>
              <w:rPr>
                <w:rFonts w:eastAsia="Times New Roman" w:cs="Times New Roman"/>
                <w:color w:val="000000"/>
                <w:sz w:val="21"/>
                <w:szCs w:val="21"/>
                <w:lang w:val="lt-LT" w:eastAsia="lt-LT"/>
              </w:rPr>
            </w:pPr>
            <w:r w:rsidRPr="003878A7">
              <w:rPr>
                <w:rFonts w:eastAsia="Times New Roman" w:cs="Times New Roman"/>
                <w:color w:val="000000"/>
                <w:sz w:val="21"/>
                <w:szCs w:val="21"/>
                <w:lang w:val="lt-LT" w:eastAsia="lt-LT"/>
              </w:rPr>
              <w:t>1 063,4</w:t>
            </w:r>
          </w:p>
        </w:tc>
        <w:tc>
          <w:tcPr>
            <w:tcW w:w="1140" w:type="pct"/>
            <w:vAlign w:val="center"/>
            <w:hideMark/>
          </w:tcPr>
          <w:p w14:paraId="4BD2B3EE" w14:textId="77777777" w:rsidR="00CA23C7" w:rsidRPr="003878A7" w:rsidRDefault="00CA23C7" w:rsidP="00444022">
            <w:pPr>
              <w:spacing w:before="0" w:after="0"/>
              <w:ind w:firstLine="0"/>
              <w:jc w:val="center"/>
              <w:rPr>
                <w:rFonts w:eastAsia="Times New Roman" w:cs="Times New Roman"/>
                <w:color w:val="000000"/>
                <w:sz w:val="21"/>
                <w:szCs w:val="21"/>
                <w:lang w:val="lt-LT" w:eastAsia="lt-LT"/>
              </w:rPr>
            </w:pPr>
            <w:r w:rsidRPr="003878A7">
              <w:rPr>
                <w:rFonts w:eastAsia="Times New Roman" w:cs="Times New Roman"/>
                <w:color w:val="000000"/>
                <w:sz w:val="21"/>
                <w:szCs w:val="21"/>
                <w:lang w:val="lt-LT" w:eastAsia="lt-LT"/>
              </w:rPr>
              <w:t>-283,9</w:t>
            </w:r>
          </w:p>
        </w:tc>
      </w:tr>
      <w:tr w:rsidR="00CA23C7" w:rsidRPr="003878A7" w14:paraId="129F444C" w14:textId="77777777" w:rsidTr="00444022">
        <w:trPr>
          <w:trHeight w:val="315"/>
        </w:trPr>
        <w:tc>
          <w:tcPr>
            <w:tcW w:w="1578" w:type="pct"/>
            <w:vAlign w:val="center"/>
            <w:hideMark/>
          </w:tcPr>
          <w:p w14:paraId="541F2C8C" w14:textId="77777777" w:rsidR="00CA23C7" w:rsidRPr="003878A7" w:rsidRDefault="00CA23C7" w:rsidP="00444022">
            <w:pPr>
              <w:spacing w:before="0" w:after="0"/>
              <w:ind w:firstLine="0"/>
              <w:jc w:val="left"/>
              <w:rPr>
                <w:rFonts w:eastAsia="Times New Roman" w:cs="Times New Roman"/>
                <w:b/>
                <w:color w:val="000000"/>
                <w:sz w:val="21"/>
                <w:szCs w:val="21"/>
                <w:lang w:val="lt-LT" w:eastAsia="lt-LT"/>
              </w:rPr>
            </w:pPr>
            <w:r w:rsidRPr="003878A7">
              <w:rPr>
                <w:rFonts w:eastAsia="Times New Roman" w:cs="Times New Roman"/>
                <w:color w:val="000000"/>
                <w:sz w:val="21"/>
                <w:szCs w:val="21"/>
                <w:lang w:val="lt-LT" w:eastAsia="lt-LT"/>
              </w:rPr>
              <w:t>Gatvių apšvietimo modernizavimas</w:t>
            </w:r>
          </w:p>
        </w:tc>
        <w:tc>
          <w:tcPr>
            <w:tcW w:w="1141" w:type="pct"/>
            <w:vAlign w:val="center"/>
            <w:hideMark/>
          </w:tcPr>
          <w:p w14:paraId="4AFCDB7D" w14:textId="77777777" w:rsidR="00CA23C7" w:rsidRPr="003878A7" w:rsidRDefault="00CA23C7" w:rsidP="00444022">
            <w:pPr>
              <w:spacing w:before="0" w:after="0"/>
              <w:ind w:firstLine="0"/>
              <w:jc w:val="center"/>
              <w:rPr>
                <w:rFonts w:eastAsia="Times New Roman" w:cs="Times New Roman"/>
                <w:color w:val="000000"/>
                <w:sz w:val="21"/>
                <w:szCs w:val="21"/>
                <w:lang w:val="lt-LT" w:eastAsia="lt-LT"/>
              </w:rPr>
            </w:pPr>
            <w:r w:rsidRPr="003878A7">
              <w:rPr>
                <w:rFonts w:eastAsia="Times New Roman" w:cs="Times New Roman"/>
                <w:color w:val="000000"/>
                <w:sz w:val="21"/>
                <w:szCs w:val="21"/>
                <w:lang w:val="lt-LT" w:eastAsia="lt-LT"/>
              </w:rPr>
              <w:t>95,1</w:t>
            </w:r>
          </w:p>
        </w:tc>
        <w:tc>
          <w:tcPr>
            <w:tcW w:w="1141" w:type="pct"/>
            <w:vAlign w:val="center"/>
            <w:hideMark/>
          </w:tcPr>
          <w:p w14:paraId="617D2213" w14:textId="77777777" w:rsidR="00CA23C7" w:rsidRPr="003878A7" w:rsidRDefault="00CA23C7" w:rsidP="00444022">
            <w:pPr>
              <w:spacing w:before="0" w:after="0"/>
              <w:ind w:firstLine="0"/>
              <w:jc w:val="center"/>
              <w:rPr>
                <w:rFonts w:eastAsia="Times New Roman" w:cs="Times New Roman"/>
                <w:color w:val="000000"/>
                <w:sz w:val="21"/>
                <w:szCs w:val="21"/>
                <w:lang w:val="lt-LT" w:eastAsia="lt-LT"/>
              </w:rPr>
            </w:pPr>
            <w:r w:rsidRPr="003878A7">
              <w:rPr>
                <w:rFonts w:eastAsia="Times New Roman" w:cs="Times New Roman"/>
                <w:color w:val="000000"/>
                <w:sz w:val="21"/>
                <w:szCs w:val="21"/>
                <w:lang w:val="lt-LT" w:eastAsia="lt-LT"/>
              </w:rPr>
              <w:t>119,4</w:t>
            </w:r>
          </w:p>
        </w:tc>
        <w:tc>
          <w:tcPr>
            <w:tcW w:w="1140" w:type="pct"/>
            <w:vAlign w:val="center"/>
            <w:hideMark/>
          </w:tcPr>
          <w:p w14:paraId="189120AD" w14:textId="1F4CD381" w:rsidR="00CA23C7" w:rsidRPr="003878A7" w:rsidRDefault="00CA23C7" w:rsidP="00444022">
            <w:pPr>
              <w:spacing w:before="0" w:after="0"/>
              <w:ind w:firstLine="0"/>
              <w:jc w:val="center"/>
              <w:rPr>
                <w:rFonts w:eastAsia="Times New Roman" w:cs="Times New Roman"/>
                <w:color w:val="000000"/>
                <w:sz w:val="21"/>
                <w:szCs w:val="21"/>
                <w:lang w:val="lt-LT" w:eastAsia="lt-LT"/>
              </w:rPr>
            </w:pPr>
            <w:r w:rsidRPr="003878A7">
              <w:rPr>
                <w:rFonts w:eastAsia="Times New Roman" w:cs="Times New Roman"/>
                <w:color w:val="000000"/>
                <w:sz w:val="21"/>
                <w:szCs w:val="21"/>
                <w:lang w:val="lt-LT" w:eastAsia="lt-LT"/>
              </w:rPr>
              <w:t>24,3</w:t>
            </w:r>
          </w:p>
        </w:tc>
      </w:tr>
      <w:tr w:rsidR="00CA23C7" w:rsidRPr="003878A7" w14:paraId="5A0FC82E" w14:textId="77777777" w:rsidTr="00444022">
        <w:trPr>
          <w:trHeight w:val="315"/>
        </w:trPr>
        <w:tc>
          <w:tcPr>
            <w:tcW w:w="1578" w:type="pct"/>
            <w:vAlign w:val="center"/>
            <w:hideMark/>
          </w:tcPr>
          <w:p w14:paraId="030BDAF9" w14:textId="77777777" w:rsidR="00CA23C7" w:rsidRPr="003878A7" w:rsidRDefault="00CA23C7" w:rsidP="00444022">
            <w:pPr>
              <w:spacing w:before="0" w:after="0"/>
              <w:ind w:firstLine="0"/>
              <w:jc w:val="right"/>
              <w:rPr>
                <w:rFonts w:eastAsia="Times New Roman" w:cs="Times New Roman"/>
                <w:b/>
                <w:bCs/>
                <w:color w:val="000000"/>
                <w:sz w:val="21"/>
                <w:szCs w:val="21"/>
                <w:lang w:val="lt-LT" w:eastAsia="lt-LT"/>
              </w:rPr>
            </w:pPr>
            <w:r w:rsidRPr="003878A7">
              <w:rPr>
                <w:rFonts w:eastAsia="Times New Roman" w:cs="Times New Roman"/>
                <w:b/>
                <w:bCs/>
                <w:color w:val="000000"/>
                <w:sz w:val="21"/>
                <w:szCs w:val="21"/>
                <w:lang w:val="lt-LT" w:eastAsia="lt-LT"/>
              </w:rPr>
              <w:t>Iš viso</w:t>
            </w:r>
          </w:p>
        </w:tc>
        <w:tc>
          <w:tcPr>
            <w:tcW w:w="1141" w:type="pct"/>
            <w:vAlign w:val="center"/>
            <w:hideMark/>
          </w:tcPr>
          <w:p w14:paraId="78DC413E" w14:textId="77777777" w:rsidR="00CA23C7" w:rsidRPr="003878A7" w:rsidRDefault="00CA23C7" w:rsidP="00444022">
            <w:pPr>
              <w:spacing w:before="0" w:after="0"/>
              <w:ind w:firstLine="0"/>
              <w:jc w:val="center"/>
              <w:rPr>
                <w:rFonts w:eastAsia="Times New Roman" w:cs="Times New Roman"/>
                <w:b/>
                <w:bCs/>
                <w:color w:val="000000"/>
                <w:sz w:val="21"/>
                <w:szCs w:val="21"/>
                <w:lang w:val="lt-LT" w:eastAsia="lt-LT"/>
              </w:rPr>
            </w:pPr>
            <w:r w:rsidRPr="003878A7">
              <w:rPr>
                <w:rFonts w:eastAsia="Times New Roman" w:cs="Times New Roman"/>
                <w:b/>
                <w:bCs/>
                <w:color w:val="000000"/>
                <w:sz w:val="21"/>
                <w:szCs w:val="21"/>
                <w:lang w:val="lt-LT" w:eastAsia="lt-LT"/>
              </w:rPr>
              <w:t>1 846,7</w:t>
            </w:r>
          </w:p>
        </w:tc>
        <w:tc>
          <w:tcPr>
            <w:tcW w:w="1141" w:type="pct"/>
            <w:vAlign w:val="center"/>
            <w:hideMark/>
          </w:tcPr>
          <w:p w14:paraId="34BFEFF9" w14:textId="77777777" w:rsidR="00CA23C7" w:rsidRPr="003878A7" w:rsidRDefault="00CA23C7" w:rsidP="00444022">
            <w:pPr>
              <w:spacing w:before="0" w:after="0"/>
              <w:ind w:firstLine="0"/>
              <w:jc w:val="center"/>
              <w:rPr>
                <w:rFonts w:eastAsia="Times New Roman" w:cs="Times New Roman"/>
                <w:b/>
                <w:bCs/>
                <w:color w:val="000000"/>
                <w:sz w:val="21"/>
                <w:szCs w:val="21"/>
                <w:lang w:val="lt-LT" w:eastAsia="lt-LT"/>
              </w:rPr>
            </w:pPr>
            <w:r w:rsidRPr="003878A7">
              <w:rPr>
                <w:rFonts w:eastAsia="Times New Roman" w:cs="Times New Roman"/>
                <w:b/>
                <w:bCs/>
                <w:color w:val="000000"/>
                <w:sz w:val="21"/>
                <w:szCs w:val="21"/>
                <w:lang w:val="lt-LT" w:eastAsia="lt-LT"/>
              </w:rPr>
              <w:t>2 082,3</w:t>
            </w:r>
          </w:p>
        </w:tc>
        <w:tc>
          <w:tcPr>
            <w:tcW w:w="1140" w:type="pct"/>
            <w:vAlign w:val="center"/>
            <w:hideMark/>
          </w:tcPr>
          <w:p w14:paraId="4265E505" w14:textId="77777777" w:rsidR="00CA23C7" w:rsidRPr="003878A7" w:rsidRDefault="00CA23C7" w:rsidP="00444022">
            <w:pPr>
              <w:spacing w:before="0" w:after="0"/>
              <w:ind w:firstLine="0"/>
              <w:jc w:val="center"/>
              <w:rPr>
                <w:rFonts w:eastAsia="Times New Roman" w:cs="Times New Roman"/>
                <w:b/>
                <w:bCs/>
                <w:color w:val="000000"/>
                <w:sz w:val="21"/>
                <w:szCs w:val="21"/>
                <w:lang w:val="lt-LT" w:eastAsia="lt-LT"/>
              </w:rPr>
            </w:pPr>
            <w:r w:rsidRPr="003878A7">
              <w:rPr>
                <w:rFonts w:eastAsia="Times New Roman" w:cs="Times New Roman"/>
                <w:b/>
                <w:bCs/>
                <w:color w:val="000000"/>
                <w:sz w:val="21"/>
                <w:szCs w:val="21"/>
                <w:lang w:val="lt-LT" w:eastAsia="lt-LT"/>
              </w:rPr>
              <w:t>235,6</w:t>
            </w:r>
          </w:p>
        </w:tc>
      </w:tr>
    </w:tbl>
    <w:p w14:paraId="2BFBD40D" w14:textId="464CFE4B" w:rsidR="004C16C9" w:rsidRPr="003878A7" w:rsidRDefault="004C16C9" w:rsidP="004C16C9">
      <w:pPr>
        <w:spacing w:after="0"/>
        <w:rPr>
          <w:rFonts w:cs="Times New Roman"/>
          <w:sz w:val="20"/>
          <w:szCs w:val="20"/>
        </w:rPr>
      </w:pPr>
      <w:bookmarkStart w:id="7" w:name="_Hlk65253159"/>
      <w:r w:rsidRPr="003878A7">
        <w:rPr>
          <w:rFonts w:cs="Times New Roman"/>
          <w:sz w:val="20"/>
          <w:szCs w:val="20"/>
        </w:rPr>
        <w:t>Šaltinis: sudaryta Vertintojų</w:t>
      </w:r>
    </w:p>
    <w:p w14:paraId="1A26D85D" w14:textId="1C766035" w:rsidR="00F24E65" w:rsidRPr="003878A7" w:rsidRDefault="00240FF0" w:rsidP="009B2AF3">
      <w:pPr>
        <w:pStyle w:val="Heading2"/>
        <w:numPr>
          <w:ilvl w:val="1"/>
          <w:numId w:val="3"/>
        </w:numPr>
        <w:ind w:left="709" w:hanging="425"/>
        <w:rPr>
          <w:rFonts w:cs="Times New Roman"/>
        </w:rPr>
      </w:pPr>
      <w:bookmarkStart w:id="8" w:name="_Toc70532859"/>
      <w:bookmarkEnd w:id="7"/>
      <w:r w:rsidRPr="003878A7">
        <w:rPr>
          <w:rFonts w:cs="Times New Roman"/>
        </w:rPr>
        <w:t>Finansavimo pasiūlos vertinimas</w:t>
      </w:r>
      <w:bookmarkEnd w:id="8"/>
    </w:p>
    <w:p w14:paraId="43160BF6" w14:textId="379550C4" w:rsidR="00740469" w:rsidRPr="003878A7" w:rsidRDefault="00740469" w:rsidP="00740469">
      <w:pPr>
        <w:rPr>
          <w:rFonts w:cs="Times New Roman"/>
        </w:rPr>
      </w:pPr>
      <w:r w:rsidRPr="003878A7">
        <w:rPr>
          <w:rFonts w:cs="Times New Roman"/>
        </w:rPr>
        <w:t xml:space="preserve">EE didinimo projektai pastaruoju metu tampa vis svarbesni dėl kelių priežasčių. Pirmiausia, EE įvairiuose sektoriuose yra valstybių narių strateginis tikslas – visos šalys narės turi strateginius tikslus įgyvendinti bent jau </w:t>
      </w:r>
      <w:r w:rsidR="001B08E9" w:rsidRPr="003878A7">
        <w:rPr>
          <w:rFonts w:cs="Times New Roman"/>
        </w:rPr>
        <w:t>EE</w:t>
      </w:r>
      <w:r w:rsidRPr="003878A7">
        <w:rPr>
          <w:rFonts w:cs="Times New Roman"/>
        </w:rPr>
        <w:t xml:space="preserve"> direktyvos keliamus reikalavimus, o kai kurios šalys turi ir dar didesnius siekius. Antra, EE projektai turi aiškų investicijų atsipirkimo šaltinį – energijos kaštų sutaupymus, iš kurių yra padengiamos investicijos. Trečia, pradeda augti EE projektų rinka, atsiranda gerųjų ir blogųjų projektų pavyzdžių, kuriama ir tobulinama teisinė bazė, siekiama pritraukti privatų kapitalą tokio pobūdžio projektų finansavimui, skatinama Energetinių paslaugų tiekėjų </w:t>
      </w:r>
      <w:r w:rsidR="000C2D2B" w:rsidRPr="003878A7">
        <w:rPr>
          <w:rFonts w:cs="Times New Roman"/>
        </w:rPr>
        <w:t xml:space="preserve">energetinių paslaugų bendrovė (angl. </w:t>
      </w:r>
      <w:proofErr w:type="spellStart"/>
      <w:r w:rsidR="000C2D2B" w:rsidRPr="003878A7">
        <w:rPr>
          <w:rFonts w:cs="Times New Roman"/>
          <w:i/>
          <w:iCs/>
        </w:rPr>
        <w:t>energy</w:t>
      </w:r>
      <w:proofErr w:type="spellEnd"/>
      <w:r w:rsidR="000C2D2B" w:rsidRPr="003878A7">
        <w:rPr>
          <w:rFonts w:cs="Times New Roman"/>
          <w:i/>
          <w:iCs/>
        </w:rPr>
        <w:t xml:space="preserve"> </w:t>
      </w:r>
      <w:proofErr w:type="spellStart"/>
      <w:r w:rsidR="000C2D2B" w:rsidRPr="003878A7">
        <w:rPr>
          <w:rFonts w:cs="Times New Roman"/>
          <w:i/>
          <w:iCs/>
        </w:rPr>
        <w:t>service</w:t>
      </w:r>
      <w:proofErr w:type="spellEnd"/>
      <w:r w:rsidR="000C2D2B" w:rsidRPr="003878A7">
        <w:rPr>
          <w:rFonts w:cs="Times New Roman"/>
          <w:i/>
          <w:iCs/>
        </w:rPr>
        <w:t xml:space="preserve"> </w:t>
      </w:r>
      <w:proofErr w:type="spellStart"/>
      <w:r w:rsidR="000C2D2B" w:rsidRPr="003878A7">
        <w:rPr>
          <w:rFonts w:cs="Times New Roman"/>
          <w:i/>
          <w:iCs/>
        </w:rPr>
        <w:t>companies</w:t>
      </w:r>
      <w:proofErr w:type="spellEnd"/>
      <w:r w:rsidR="000C2D2B" w:rsidRPr="003878A7">
        <w:rPr>
          <w:rFonts w:cs="Times New Roman"/>
          <w:i/>
          <w:iCs/>
        </w:rPr>
        <w:t xml:space="preserve">, </w:t>
      </w:r>
      <w:r w:rsidR="000C2D2B" w:rsidRPr="003878A7">
        <w:rPr>
          <w:rFonts w:cs="Times New Roman"/>
        </w:rPr>
        <w:t>toliau –</w:t>
      </w:r>
      <w:r w:rsidR="000C2D2B" w:rsidRPr="003878A7">
        <w:rPr>
          <w:rFonts w:cs="Times New Roman"/>
          <w:i/>
          <w:iCs/>
        </w:rPr>
        <w:t xml:space="preserve"> </w:t>
      </w:r>
      <w:r w:rsidRPr="003878A7">
        <w:rPr>
          <w:rFonts w:cs="Times New Roman"/>
        </w:rPr>
        <w:t>ESCO</w:t>
      </w:r>
      <w:r w:rsidR="000C2D2B" w:rsidRPr="003878A7">
        <w:rPr>
          <w:rFonts w:cs="Times New Roman"/>
        </w:rPr>
        <w:t>)</w:t>
      </w:r>
      <w:r w:rsidRPr="003878A7">
        <w:rPr>
          <w:rFonts w:cs="Times New Roman"/>
        </w:rPr>
        <w:t xml:space="preserve"> rinka. Dėl šių priežasčių atsiranda didesnis suinteresuotumas iš įvairių finansavimo teikėjų finansuoti tokius projektus. Apačioje pateikiama investicijų pasiūlos analizė, nurodanti egzistuojantį</w:t>
      </w:r>
      <w:r w:rsidR="00223C11" w:rsidRPr="003878A7">
        <w:rPr>
          <w:rFonts w:cs="Times New Roman"/>
        </w:rPr>
        <w:t xml:space="preserve"> ir potencialų</w:t>
      </w:r>
      <w:r w:rsidRPr="003878A7">
        <w:rPr>
          <w:rFonts w:cs="Times New Roman"/>
        </w:rPr>
        <w:t xml:space="preserve"> finansavimą </w:t>
      </w:r>
      <w:r w:rsidR="00223C11" w:rsidRPr="003878A7">
        <w:rPr>
          <w:rFonts w:cs="Times New Roman"/>
        </w:rPr>
        <w:t>EE</w:t>
      </w:r>
      <w:r w:rsidRPr="003878A7">
        <w:rPr>
          <w:rFonts w:cs="Times New Roman"/>
        </w:rPr>
        <w:t xml:space="preserve"> projektams</w:t>
      </w:r>
      <w:r w:rsidR="00F30C68" w:rsidRPr="003878A7">
        <w:rPr>
          <w:rFonts w:cs="Times New Roman"/>
        </w:rPr>
        <w:t>.</w:t>
      </w:r>
    </w:p>
    <w:p w14:paraId="661A92CC" w14:textId="1112921F" w:rsidR="00607168" w:rsidRPr="003878A7" w:rsidRDefault="00607168" w:rsidP="009B2AF3">
      <w:pPr>
        <w:pStyle w:val="Heading3"/>
        <w:ind w:firstLine="426"/>
        <w:rPr>
          <w:rFonts w:cs="Times New Roman"/>
        </w:rPr>
      </w:pPr>
      <w:bookmarkStart w:id="9" w:name="_Toc70532860"/>
      <w:r w:rsidRPr="003878A7">
        <w:rPr>
          <w:rFonts w:cs="Times New Roman"/>
        </w:rPr>
        <w:t>2.2.1 Finansavimo pasiūla 2007-2013 m. programavimo laikotarpiu</w:t>
      </w:r>
      <w:bookmarkEnd w:id="9"/>
    </w:p>
    <w:p w14:paraId="3FF1E023" w14:textId="19942476" w:rsidR="00240FF0" w:rsidRPr="003878A7" w:rsidRDefault="008B375B" w:rsidP="00240FF0">
      <w:pPr>
        <w:rPr>
          <w:rFonts w:cs="Times New Roman"/>
        </w:rPr>
      </w:pPr>
      <w:r w:rsidRPr="003878A7">
        <w:rPr>
          <w:rFonts w:cs="Times New Roman"/>
        </w:rPr>
        <w:t xml:space="preserve">2007-2013 m. programavimo laikotarpiu investicijų pasiūla nagrinėjamose EE srityse sudarė </w:t>
      </w:r>
      <w:r w:rsidR="001B08E9" w:rsidRPr="003878A7">
        <w:rPr>
          <w:rFonts w:cs="Times New Roman"/>
        </w:rPr>
        <w:t>596</w:t>
      </w:r>
      <w:r w:rsidRPr="003878A7">
        <w:rPr>
          <w:rFonts w:cs="Times New Roman"/>
        </w:rPr>
        <w:t xml:space="preserve"> mln. Eur, iš kurių:</w:t>
      </w:r>
    </w:p>
    <w:p w14:paraId="5DEF0FCD" w14:textId="5BF16B9B" w:rsidR="008B375B" w:rsidRPr="003878A7" w:rsidRDefault="008B375B" w:rsidP="00CB66B8">
      <w:pPr>
        <w:pStyle w:val="ListParagraph"/>
        <w:numPr>
          <w:ilvl w:val="0"/>
          <w:numId w:val="5"/>
        </w:numPr>
        <w:rPr>
          <w:rFonts w:cs="Times New Roman"/>
        </w:rPr>
      </w:pPr>
      <w:r w:rsidRPr="003878A7">
        <w:rPr>
          <w:rFonts w:cs="Times New Roman"/>
        </w:rPr>
        <w:t>Iki 189 mln. Eur sudarė investicijos į daugiabučių namų ir bendrabučių renovaciją</w:t>
      </w:r>
      <w:r w:rsidR="00F30C68" w:rsidRPr="003878A7">
        <w:rPr>
          <w:rFonts w:cs="Times New Roman"/>
        </w:rPr>
        <w:t xml:space="preserve"> pagal 2009 m. birželio mėn. </w:t>
      </w:r>
      <w:r w:rsidR="000C2D2B" w:rsidRPr="003878A7">
        <w:rPr>
          <w:rFonts w:cs="Times New Roman"/>
        </w:rPr>
        <w:t xml:space="preserve">Europos investicijų fondas (toliau – </w:t>
      </w:r>
      <w:r w:rsidR="00F30C68" w:rsidRPr="003878A7">
        <w:rPr>
          <w:rFonts w:cs="Times New Roman"/>
        </w:rPr>
        <w:t>EIB</w:t>
      </w:r>
      <w:r w:rsidR="000C2D2B" w:rsidRPr="003878A7">
        <w:rPr>
          <w:rFonts w:cs="Times New Roman"/>
        </w:rPr>
        <w:t>)</w:t>
      </w:r>
      <w:r w:rsidR="00F30C68" w:rsidRPr="003878A7">
        <w:rPr>
          <w:rFonts w:cs="Times New Roman"/>
        </w:rPr>
        <w:t xml:space="preserve"> įsteigtą fondą JESSICA KF 2009-2013 m. ir 58 mln. Eur pagal Vidaus reikalų ministerijos priemonę „Daugiabučių namų atnaujinimas pirmiausia didinant jų energijos vartojimo efektyvumą“</w:t>
      </w:r>
      <w:r w:rsidR="00223C11" w:rsidRPr="003878A7">
        <w:rPr>
          <w:rFonts w:cs="Times New Roman"/>
        </w:rPr>
        <w:t>.</w:t>
      </w:r>
    </w:p>
    <w:p w14:paraId="789E5678" w14:textId="7BF7E0E1" w:rsidR="00823213" w:rsidRPr="003878A7" w:rsidRDefault="00B52207" w:rsidP="00CB66B8">
      <w:pPr>
        <w:pStyle w:val="ListParagraph"/>
        <w:numPr>
          <w:ilvl w:val="0"/>
          <w:numId w:val="5"/>
        </w:numPr>
        <w:rPr>
          <w:rFonts w:cs="Times New Roman"/>
        </w:rPr>
      </w:pPr>
      <w:r w:rsidRPr="003878A7">
        <w:rPr>
          <w:rFonts w:eastAsia="Georgia" w:cs="Times New Roman"/>
        </w:rPr>
        <w:t xml:space="preserve">323,4 mln. </w:t>
      </w:r>
      <w:r w:rsidR="001B08E9" w:rsidRPr="003878A7">
        <w:rPr>
          <w:rFonts w:eastAsia="Georgia" w:cs="Times New Roman"/>
        </w:rPr>
        <w:t>Eur</w:t>
      </w:r>
      <w:r w:rsidRPr="003878A7">
        <w:rPr>
          <w:rFonts w:eastAsia="Georgia" w:cs="Times New Roman"/>
        </w:rPr>
        <w:t xml:space="preserve"> </w:t>
      </w:r>
      <w:r w:rsidR="00F30C68" w:rsidRPr="003878A7">
        <w:rPr>
          <w:rFonts w:eastAsia="Georgia" w:cs="Times New Roman"/>
        </w:rPr>
        <w:t xml:space="preserve">viešųjų </w:t>
      </w:r>
      <w:r w:rsidRPr="003878A7">
        <w:rPr>
          <w:rFonts w:eastAsia="Georgia" w:cs="Times New Roman"/>
        </w:rPr>
        <w:t>pastatų renovacijos projektų finansavimui</w:t>
      </w:r>
      <w:r w:rsidR="00F30C68" w:rsidRPr="003878A7">
        <w:rPr>
          <w:rFonts w:eastAsia="Georgia" w:cs="Times New Roman"/>
        </w:rPr>
        <w:t xml:space="preserve"> pagal tris Ūkio ministerijos</w:t>
      </w:r>
      <w:r w:rsidR="00444022" w:rsidRPr="003878A7">
        <w:rPr>
          <w:rStyle w:val="FootnoteReference"/>
          <w:rFonts w:eastAsia="Georgia" w:cs="Times New Roman"/>
        </w:rPr>
        <w:footnoteReference w:id="3"/>
      </w:r>
      <w:r w:rsidR="00F30C68" w:rsidRPr="003878A7">
        <w:rPr>
          <w:rFonts w:eastAsia="Georgia" w:cs="Times New Roman"/>
        </w:rPr>
        <w:t xml:space="preserve"> priemones: </w:t>
      </w:r>
      <w:r w:rsidR="001B08E9" w:rsidRPr="003878A7">
        <w:rPr>
          <w:rFonts w:eastAsia="Georgia" w:cs="Times New Roman"/>
        </w:rPr>
        <w:t>„</w:t>
      </w:r>
      <w:r w:rsidR="00F30C68" w:rsidRPr="003878A7">
        <w:rPr>
          <w:rFonts w:eastAsia="Georgia" w:cs="Times New Roman"/>
        </w:rPr>
        <w:t xml:space="preserve">Viešosios paskirties pastatų renovavimas nacionaliniu lygiu”, </w:t>
      </w:r>
      <w:r w:rsidR="004936E8" w:rsidRPr="003878A7">
        <w:rPr>
          <w:rFonts w:eastAsia="Georgia" w:cs="Times New Roman"/>
        </w:rPr>
        <w:t>„</w:t>
      </w:r>
      <w:r w:rsidR="00F30C68" w:rsidRPr="003878A7">
        <w:rPr>
          <w:rFonts w:eastAsia="Georgia" w:cs="Times New Roman"/>
        </w:rPr>
        <w:t xml:space="preserve">Viešosios paskirties pastatų renovavimas regioniniu lygiu” ir </w:t>
      </w:r>
      <w:r w:rsidR="004936E8" w:rsidRPr="003878A7">
        <w:rPr>
          <w:rFonts w:eastAsia="Georgia" w:cs="Times New Roman"/>
        </w:rPr>
        <w:t>„</w:t>
      </w:r>
      <w:r w:rsidR="00F30C68" w:rsidRPr="003878A7">
        <w:rPr>
          <w:rFonts w:eastAsia="Georgia" w:cs="Times New Roman"/>
        </w:rPr>
        <w:t xml:space="preserve">Viešosios paskirties pastatų renovavimo projektai, atitinkantys Lietuvos 2004–2006 m. Bendrojo programavimo dokumento 1.2 priemonės „Energijos tiekimo stabilumo, prieinamumo ir didesnio energetikos efektyvumo užtikrinimas“ naudos ir kokybės vertinimo kriterijus”. Per 2007-2013 m. periodą pagal šias priemones </w:t>
      </w:r>
      <w:r w:rsidR="00823213" w:rsidRPr="003878A7">
        <w:rPr>
          <w:rFonts w:eastAsia="Georgia" w:cs="Times New Roman"/>
        </w:rPr>
        <w:t>finansavimas buvo skirtas</w:t>
      </w:r>
      <w:r w:rsidR="00F30C68" w:rsidRPr="003878A7">
        <w:rPr>
          <w:rFonts w:eastAsia="Georgia" w:cs="Times New Roman"/>
        </w:rPr>
        <w:t xml:space="preserve"> 648 projektų</w:t>
      </w:r>
      <w:r w:rsidR="00823213" w:rsidRPr="003878A7">
        <w:rPr>
          <w:rFonts w:eastAsia="Georgia" w:cs="Times New Roman"/>
        </w:rPr>
        <w:t xml:space="preserve"> įgyvendinimui; v</w:t>
      </w:r>
      <w:r w:rsidR="00F30C68" w:rsidRPr="003878A7">
        <w:rPr>
          <w:rFonts w:eastAsia="Georgia" w:cs="Times New Roman"/>
        </w:rPr>
        <w:t xml:space="preserve">idutinė projekto vertė </w:t>
      </w:r>
      <w:r w:rsidR="004936E8" w:rsidRPr="003878A7">
        <w:rPr>
          <w:rFonts w:eastAsia="Georgia" w:cs="Times New Roman"/>
        </w:rPr>
        <w:t>siekė</w:t>
      </w:r>
      <w:r w:rsidR="00F30C68" w:rsidRPr="003878A7">
        <w:rPr>
          <w:rFonts w:eastAsia="Georgia" w:cs="Times New Roman"/>
        </w:rPr>
        <w:t xml:space="preserve"> 500 tūkst. </w:t>
      </w:r>
      <w:r w:rsidR="00823213" w:rsidRPr="003878A7">
        <w:rPr>
          <w:rFonts w:eastAsia="Georgia" w:cs="Times New Roman"/>
        </w:rPr>
        <w:t>Eur</w:t>
      </w:r>
      <w:r w:rsidR="00223C11" w:rsidRPr="003878A7">
        <w:rPr>
          <w:rFonts w:eastAsia="Georgia" w:cs="Times New Roman"/>
        </w:rPr>
        <w:t>.</w:t>
      </w:r>
    </w:p>
    <w:p w14:paraId="6695458F" w14:textId="741C91E5" w:rsidR="00823213" w:rsidRPr="003878A7" w:rsidRDefault="00823213" w:rsidP="00CB66B8">
      <w:pPr>
        <w:pStyle w:val="ListParagraph"/>
        <w:numPr>
          <w:ilvl w:val="0"/>
          <w:numId w:val="5"/>
        </w:numPr>
        <w:rPr>
          <w:rFonts w:cs="Times New Roman"/>
        </w:rPr>
      </w:pPr>
      <w:r w:rsidRPr="003878A7">
        <w:rPr>
          <w:rFonts w:cs="Times New Roman"/>
        </w:rPr>
        <w:t>2007-2013 m. periodu ES</w:t>
      </w:r>
      <w:r w:rsidR="004936E8" w:rsidRPr="003878A7">
        <w:rPr>
          <w:rFonts w:cs="Times New Roman"/>
        </w:rPr>
        <w:t xml:space="preserve"> SF</w:t>
      </w:r>
      <w:r w:rsidRPr="003878A7">
        <w:rPr>
          <w:rFonts w:cs="Times New Roman"/>
        </w:rPr>
        <w:t xml:space="preserve"> fondų lėšomis nebuvo įgyvendinta nė viena priemonė, skirta finansuoti gatvių apšvietimo modernizavimo projektus. Gatvių apšvietimo tinklai buvo renovuojami savivaldybių lėšomis arba skolinantis iš komercinių bankų. </w:t>
      </w:r>
      <w:r w:rsidR="004936E8" w:rsidRPr="003878A7">
        <w:rPr>
          <w:rFonts w:cs="Times New Roman"/>
        </w:rPr>
        <w:t>P</w:t>
      </w:r>
      <w:r w:rsidRPr="003878A7">
        <w:rPr>
          <w:rFonts w:cs="Times New Roman"/>
        </w:rPr>
        <w:t xml:space="preserve">ažymėtina, jog praktiškai visos investicijos į gatvių apšvietimo tinklus buvo skirtos ne siekti </w:t>
      </w:r>
      <w:r w:rsidR="004936E8" w:rsidRPr="003878A7">
        <w:rPr>
          <w:rFonts w:cs="Times New Roman"/>
        </w:rPr>
        <w:t>EE</w:t>
      </w:r>
      <w:r w:rsidRPr="003878A7">
        <w:rPr>
          <w:rFonts w:cs="Times New Roman"/>
        </w:rPr>
        <w:t xml:space="preserve">, bet sutaisyti bei renovuoti sugedusius šviestuvus. Gatvių apšvietimo tinklai taip pat modernizuoti tais atvejais, kai buvo atliekama esminė kelių rekonstrukcija. Pavieniais atvejais naujos technologijos taip pat įdiegiamos tiesiant naujus kelius. </w:t>
      </w:r>
      <w:r w:rsidRPr="003878A7">
        <w:rPr>
          <w:rFonts w:eastAsia="Georgia" w:cs="Times New Roman"/>
        </w:rPr>
        <w:t xml:space="preserve">Vienintelis gatvių apšvietimo projektas yra Vilniaus gatvių apšvietimo projektas. 2012 m. Vilniaus miesto savivaldybė priėmė sprendimą modernizuoti Vilniaus gatvių apšvietimo tinklus įgyvendinant viešos – privačios partnerystės projektą. Šio projekto vertė – 25,6 mln. Eur, trukmė – 36 m. Planuojama, kad įgyvendinus projektą elektros </w:t>
      </w:r>
      <w:r w:rsidRPr="003878A7">
        <w:rPr>
          <w:rFonts w:eastAsia="Georgia" w:cs="Times New Roman"/>
        </w:rPr>
        <w:lastRenderedPageBreak/>
        <w:t xml:space="preserve">energijos suvartojimas kiekis ir kaštai sumažės apie 50 proc., elektros įrenginių sąnaudos – iki 31 proc. </w:t>
      </w:r>
    </w:p>
    <w:p w14:paraId="2F1CEB57" w14:textId="6396257E" w:rsidR="00607168" w:rsidRPr="003878A7" w:rsidRDefault="00607168" w:rsidP="00B22949">
      <w:pPr>
        <w:pStyle w:val="Heading3"/>
        <w:ind w:firstLine="426"/>
        <w:rPr>
          <w:rFonts w:cs="Times New Roman"/>
        </w:rPr>
      </w:pPr>
      <w:bookmarkStart w:id="10" w:name="_Toc70532861"/>
      <w:r w:rsidRPr="003878A7">
        <w:rPr>
          <w:rFonts w:cs="Times New Roman"/>
        </w:rPr>
        <w:t>2.2.2 Finansavimo pasiūla 2014-2020 m. programavimo laikotarpiu</w:t>
      </w:r>
      <w:bookmarkEnd w:id="10"/>
    </w:p>
    <w:p w14:paraId="62B30CCA" w14:textId="77777777" w:rsidR="003878A7" w:rsidRPr="003878A7" w:rsidRDefault="003878A7" w:rsidP="003878A7">
      <w:pPr>
        <w:rPr>
          <w:rFonts w:cs="Times New Roman"/>
        </w:rPr>
      </w:pPr>
      <w:r w:rsidRPr="003878A7">
        <w:rPr>
          <w:rFonts w:cs="Times New Roman"/>
        </w:rPr>
        <w:t>2014-2020 m. periodo ES SF fondų investicijos Lietuvoje EE projektų finansavimui yra skiriamos pagal VP 4-ąjį prioritetą „Energijos efektyvumo ir atsinaujinančių išteklių energijos gamybos ir naudojimo skatinimas“. Bendrai sritims, analizuojamoms šiame Vertinime, yra skiriama 448 mln. Eur</w:t>
      </w:r>
      <w:r w:rsidRPr="003878A7">
        <w:rPr>
          <w:rFonts w:cs="Times New Roman"/>
          <w:vertAlign w:val="superscript"/>
        </w:rPr>
        <w:footnoteReference w:id="4"/>
      </w:r>
      <w:r w:rsidRPr="003878A7">
        <w:rPr>
          <w:rFonts w:cs="Times New Roman"/>
        </w:rPr>
        <w:t xml:space="preserve"> (detalią informaciją apie lėšų paskirstymą žr. 1 priede).</w:t>
      </w:r>
    </w:p>
    <w:p w14:paraId="095E176C" w14:textId="0B60DE07" w:rsidR="006F2891" w:rsidRPr="003878A7" w:rsidRDefault="006F2891" w:rsidP="00352962">
      <w:pPr>
        <w:rPr>
          <w:rFonts w:cs="Times New Roman"/>
        </w:rPr>
      </w:pPr>
      <w:r w:rsidRPr="003878A7">
        <w:rPr>
          <w:rFonts w:cs="Times New Roman"/>
        </w:rPr>
        <w:t xml:space="preserve">2014-2020 m. programavimo laikotarpiu buvo įsteigti </w:t>
      </w:r>
      <w:r w:rsidR="0038594D">
        <w:rPr>
          <w:rFonts w:cs="Times New Roman"/>
        </w:rPr>
        <w:t>5</w:t>
      </w:r>
      <w:r w:rsidRPr="003878A7">
        <w:rPr>
          <w:rFonts w:cs="Times New Roman"/>
        </w:rPr>
        <w:t xml:space="preserve"> fondai, skirti EE didinimui: </w:t>
      </w:r>
    </w:p>
    <w:p w14:paraId="1F82AD13" w14:textId="4B20B07B" w:rsidR="006F2891" w:rsidRPr="003878A7" w:rsidRDefault="006F2891" w:rsidP="00CB66B8">
      <w:pPr>
        <w:pStyle w:val="ListParagraph"/>
        <w:numPr>
          <w:ilvl w:val="0"/>
          <w:numId w:val="8"/>
        </w:numPr>
        <w:spacing w:after="160"/>
        <w:rPr>
          <w:rFonts w:eastAsia="Georgia" w:cs="Times New Roman"/>
        </w:rPr>
      </w:pPr>
      <w:r w:rsidRPr="003878A7">
        <w:rPr>
          <w:rFonts w:eastAsia="Georgia" w:cs="Times New Roman"/>
        </w:rPr>
        <w:t>2015 m. vasario 18 d. trišale sutartimi, sudaryta tarp Lietuvos Respublikos finansų ministerijos</w:t>
      </w:r>
      <w:r w:rsidR="00FD523F" w:rsidRPr="003878A7">
        <w:rPr>
          <w:rFonts w:eastAsia="Georgia" w:cs="Times New Roman"/>
        </w:rPr>
        <w:t xml:space="preserve"> (toliau – FM)</w:t>
      </w:r>
      <w:r w:rsidRPr="003878A7">
        <w:rPr>
          <w:rFonts w:eastAsia="Georgia" w:cs="Times New Roman"/>
        </w:rPr>
        <w:t xml:space="preserve">, </w:t>
      </w:r>
      <w:r w:rsidR="00352962" w:rsidRPr="003878A7">
        <w:rPr>
          <w:rFonts w:eastAsia="Georgia" w:cs="Times New Roman"/>
        </w:rPr>
        <w:t>EM</w:t>
      </w:r>
      <w:r w:rsidRPr="003878A7">
        <w:rPr>
          <w:rFonts w:eastAsia="Georgia" w:cs="Times New Roman"/>
        </w:rPr>
        <w:t xml:space="preserve"> ir </w:t>
      </w:r>
      <w:r w:rsidR="000C2D2B" w:rsidRPr="003878A7">
        <w:rPr>
          <w:rFonts w:eastAsia="Georgia" w:cs="Times New Roman"/>
        </w:rPr>
        <w:t xml:space="preserve">UAB „Viešųjų investicijų plėtros agentūra“ (toliau – </w:t>
      </w:r>
      <w:r w:rsidRPr="003878A7">
        <w:rPr>
          <w:rFonts w:eastAsia="Georgia" w:cs="Times New Roman"/>
        </w:rPr>
        <w:t>VIPA</w:t>
      </w:r>
      <w:r w:rsidR="000C2D2B" w:rsidRPr="003878A7">
        <w:rPr>
          <w:rFonts w:eastAsia="Georgia" w:cs="Times New Roman"/>
        </w:rPr>
        <w:t>)</w:t>
      </w:r>
      <w:r w:rsidRPr="003878A7">
        <w:rPr>
          <w:rFonts w:eastAsia="Georgia" w:cs="Times New Roman"/>
        </w:rPr>
        <w:t xml:space="preserve">, įsteigtas Energijos efektyvumo fondas (toliau – ENEF), finansuojamas Europos regioninės plėtros fondo lėšomis. ENEF tikslas – skatinti </w:t>
      </w:r>
      <w:r w:rsidR="00CF06EF" w:rsidRPr="003878A7">
        <w:rPr>
          <w:rFonts w:eastAsia="Georgia" w:cs="Times New Roman"/>
        </w:rPr>
        <w:t>EE</w:t>
      </w:r>
      <w:r w:rsidRPr="003878A7">
        <w:rPr>
          <w:rFonts w:eastAsia="Georgia" w:cs="Times New Roman"/>
        </w:rPr>
        <w:t xml:space="preserve"> investuojant į viešąją infrastruktūrą. Fondo apimtyje įgyvendinamos dvi </w:t>
      </w:r>
      <w:r w:rsidR="004936E8" w:rsidRPr="003878A7">
        <w:rPr>
          <w:rFonts w:eastAsia="Georgia" w:cs="Times New Roman"/>
        </w:rPr>
        <w:t>FP</w:t>
      </w:r>
      <w:r w:rsidRPr="003878A7">
        <w:rPr>
          <w:rFonts w:eastAsia="Georgia" w:cs="Times New Roman"/>
        </w:rPr>
        <w:t xml:space="preserve">: </w:t>
      </w:r>
    </w:p>
    <w:p w14:paraId="78724EE7" w14:textId="3110B37D" w:rsidR="006F2891" w:rsidRPr="003878A7" w:rsidRDefault="006F2891" w:rsidP="00CB66B8">
      <w:pPr>
        <w:pStyle w:val="ListParagraph"/>
        <w:numPr>
          <w:ilvl w:val="1"/>
          <w:numId w:val="8"/>
        </w:numPr>
        <w:spacing w:after="160"/>
        <w:rPr>
          <w:rFonts w:eastAsia="Georgia" w:cs="Times New Roman"/>
        </w:rPr>
      </w:pPr>
      <w:r w:rsidRPr="003878A7">
        <w:rPr>
          <w:rFonts w:eastAsia="Georgia" w:cs="Times New Roman"/>
        </w:rPr>
        <w:t xml:space="preserve">Paskolų FP, kuria teikiamos lengvatinės paskolos centrinės valdžios viešųjų pastatų modernizavimo projektams finansuoti. Šiai priemonei </w:t>
      </w:r>
      <w:r w:rsidR="0035260E">
        <w:rPr>
          <w:rFonts w:eastAsia="Georgia" w:cs="Times New Roman"/>
        </w:rPr>
        <w:t xml:space="preserve">buvo </w:t>
      </w:r>
      <w:r w:rsidRPr="003878A7">
        <w:rPr>
          <w:rFonts w:eastAsia="Georgia" w:cs="Times New Roman"/>
        </w:rPr>
        <w:t>skirta 65,16 mln. Eur;</w:t>
      </w:r>
    </w:p>
    <w:p w14:paraId="557420D4" w14:textId="0E6097CE" w:rsidR="00776DCC" w:rsidRDefault="006F2891" w:rsidP="00776DCC">
      <w:pPr>
        <w:pStyle w:val="ListParagraph"/>
        <w:numPr>
          <w:ilvl w:val="1"/>
          <w:numId w:val="8"/>
        </w:numPr>
        <w:spacing w:after="160"/>
        <w:rPr>
          <w:rFonts w:eastAsia="Georgia" w:cs="Times New Roman"/>
        </w:rPr>
      </w:pPr>
      <w:r w:rsidRPr="003878A7">
        <w:rPr>
          <w:rFonts w:eastAsia="Georgia" w:cs="Times New Roman"/>
        </w:rPr>
        <w:t>Garantijų FP, kuri skirta garantuoti</w:t>
      </w:r>
      <w:r w:rsidR="004936E8" w:rsidRPr="003878A7">
        <w:rPr>
          <w:rFonts w:eastAsia="Georgia" w:cs="Times New Roman"/>
        </w:rPr>
        <w:t xml:space="preserve"> </w:t>
      </w:r>
      <w:r w:rsidRPr="003878A7">
        <w:rPr>
          <w:rFonts w:eastAsia="Georgia" w:cs="Times New Roman"/>
        </w:rPr>
        <w:t xml:space="preserve">gatvių apšvietimo modernizavimo projektams komercinių bankų suteiktas paskolas. </w:t>
      </w:r>
      <w:r w:rsidR="004936E8" w:rsidRPr="003878A7">
        <w:rPr>
          <w:rFonts w:eastAsia="Georgia" w:cs="Times New Roman"/>
        </w:rPr>
        <w:t>Šiai p</w:t>
      </w:r>
      <w:r w:rsidRPr="003878A7">
        <w:rPr>
          <w:rFonts w:eastAsia="Georgia" w:cs="Times New Roman"/>
        </w:rPr>
        <w:t xml:space="preserve">riemonei </w:t>
      </w:r>
      <w:r w:rsidR="0035260E">
        <w:rPr>
          <w:rFonts w:eastAsia="Georgia" w:cs="Times New Roman"/>
        </w:rPr>
        <w:t>buvo</w:t>
      </w:r>
      <w:r w:rsidR="0035260E" w:rsidRPr="003878A7">
        <w:rPr>
          <w:rFonts w:eastAsia="Georgia" w:cs="Times New Roman"/>
        </w:rPr>
        <w:t xml:space="preserve"> </w:t>
      </w:r>
      <w:r w:rsidRPr="003878A7">
        <w:rPr>
          <w:rFonts w:eastAsia="Georgia" w:cs="Times New Roman"/>
        </w:rPr>
        <w:t>14,49 mln. Eur.</w:t>
      </w:r>
    </w:p>
    <w:p w14:paraId="5C0BCE85" w14:textId="1628C41C" w:rsidR="00D61918" w:rsidRPr="008C53E0" w:rsidRDefault="00D61918" w:rsidP="008C53E0">
      <w:pPr>
        <w:pStyle w:val="ListParagraph"/>
        <w:spacing w:after="160"/>
        <w:ind w:left="927" w:firstLine="0"/>
        <w:rPr>
          <w:rFonts w:eastAsia="Georgia" w:cs="Times New Roman"/>
        </w:rPr>
      </w:pPr>
      <w:r w:rsidRPr="008C53E0">
        <w:rPr>
          <w:rFonts w:eastAsia="Georgia" w:cs="Times New Roman"/>
        </w:rPr>
        <w:t>Atsižvelgiant į mažą projektų srautą, 2020 m. vasario 24 d. ENEF trišalės sutarties keitimu fondo dydis buvo sumažintas iki 32 mln. Eur</w:t>
      </w:r>
      <w:r w:rsidR="0035260E" w:rsidRPr="008C53E0">
        <w:rPr>
          <w:rFonts w:eastAsia="Georgia" w:cs="Times New Roman"/>
        </w:rPr>
        <w:t xml:space="preserve">, centrinės valdžios viešųjų pastatų modernizavimo projektams skiriant </w:t>
      </w:r>
      <w:r w:rsidR="008C53E0" w:rsidRPr="008C53E0">
        <w:rPr>
          <w:rFonts w:eastAsia="Georgia" w:cs="Times New Roman"/>
        </w:rPr>
        <w:t>29,4</w:t>
      </w:r>
      <w:r w:rsidR="0035260E" w:rsidRPr="008C53E0">
        <w:rPr>
          <w:rFonts w:eastAsia="Georgia" w:cs="Times New Roman"/>
        </w:rPr>
        <w:t xml:space="preserve"> mln. Eur, o </w:t>
      </w:r>
      <w:r w:rsidR="00CA679E" w:rsidRPr="008C53E0">
        <w:rPr>
          <w:rFonts w:eastAsia="Georgia" w:cs="Times New Roman"/>
        </w:rPr>
        <w:t xml:space="preserve">gatvių apšvietimo modernizavimui – </w:t>
      </w:r>
      <w:r w:rsidR="008C53E0" w:rsidRPr="008C53E0">
        <w:rPr>
          <w:rFonts w:eastAsia="Georgia" w:cs="Times New Roman"/>
        </w:rPr>
        <w:t>2,6</w:t>
      </w:r>
      <w:r w:rsidR="00CA679E" w:rsidRPr="008C53E0">
        <w:rPr>
          <w:rFonts w:eastAsia="Georgia" w:cs="Times New Roman"/>
        </w:rPr>
        <w:t xml:space="preserve"> mln. Eur. </w:t>
      </w:r>
    </w:p>
    <w:p w14:paraId="29D55093" w14:textId="5B207CDF" w:rsidR="006F2891" w:rsidRPr="003878A7" w:rsidRDefault="006F2891" w:rsidP="00CB66B8">
      <w:pPr>
        <w:pStyle w:val="ListParagraph"/>
        <w:numPr>
          <w:ilvl w:val="0"/>
          <w:numId w:val="8"/>
        </w:numPr>
        <w:spacing w:after="160"/>
        <w:rPr>
          <w:rFonts w:eastAsia="Georgia" w:cs="Times New Roman"/>
        </w:rPr>
      </w:pPr>
      <w:r w:rsidRPr="003878A7">
        <w:rPr>
          <w:rFonts w:eastAsia="Georgia" w:cs="Times New Roman"/>
        </w:rPr>
        <w:t xml:space="preserve">2015 m. kovo 27 d. buvo pasirašyta Daugiabučių namų modernizavimo fondo (toliau – DNMF) steigimo ir finansavimo sutartis tarp VIPA, </w:t>
      </w:r>
      <w:r w:rsidR="00FD523F" w:rsidRPr="003878A7">
        <w:rPr>
          <w:rFonts w:eastAsia="Georgia" w:cs="Times New Roman"/>
        </w:rPr>
        <w:t xml:space="preserve">LR aplinkos ministerija (toliau – </w:t>
      </w:r>
      <w:r w:rsidR="004936E8" w:rsidRPr="003878A7">
        <w:rPr>
          <w:rFonts w:eastAsia="Georgia" w:cs="Times New Roman"/>
        </w:rPr>
        <w:t>AM</w:t>
      </w:r>
      <w:r w:rsidR="00FD523F" w:rsidRPr="003878A7">
        <w:rPr>
          <w:rFonts w:eastAsia="Georgia" w:cs="Times New Roman"/>
        </w:rPr>
        <w:t>)</w:t>
      </w:r>
      <w:r w:rsidRPr="003878A7">
        <w:rPr>
          <w:rFonts w:eastAsia="Georgia" w:cs="Times New Roman"/>
        </w:rPr>
        <w:t xml:space="preserve"> ir </w:t>
      </w:r>
      <w:r w:rsidR="004936E8" w:rsidRPr="003878A7">
        <w:rPr>
          <w:rFonts w:eastAsia="Georgia" w:cs="Times New Roman"/>
        </w:rPr>
        <w:t>FM</w:t>
      </w:r>
      <w:r w:rsidR="00352962" w:rsidRPr="003878A7">
        <w:rPr>
          <w:rFonts w:eastAsia="Georgia" w:cs="Times New Roman"/>
        </w:rPr>
        <w:t xml:space="preserve">. DNMF tikslas – </w:t>
      </w:r>
      <w:r w:rsidRPr="003878A7">
        <w:rPr>
          <w:rFonts w:eastAsia="Georgia" w:cs="Times New Roman"/>
        </w:rPr>
        <w:t xml:space="preserve"> užtikrinti greitą išaugusios daugiabučių namų modernizavimo paklausos finansavimą. Ši priemonė taip pat padėjo tęsti ir papildyti sėkmingai iki tol veikusio JESSICA kontroliuojančiojo fondo veiklą. 2015 </w:t>
      </w:r>
      <w:r w:rsidR="00352962" w:rsidRPr="003878A7">
        <w:rPr>
          <w:rFonts w:eastAsia="Georgia" w:cs="Times New Roman"/>
        </w:rPr>
        <w:t xml:space="preserve">m. </w:t>
      </w:r>
      <w:r w:rsidRPr="003878A7">
        <w:rPr>
          <w:rFonts w:eastAsia="Georgia" w:cs="Times New Roman"/>
        </w:rPr>
        <w:t xml:space="preserve">pabaigoje VIPA buvo pasirašiusi paskolos sutarčių už 74 mln. </w:t>
      </w:r>
      <w:r w:rsidR="004936E8" w:rsidRPr="003878A7">
        <w:rPr>
          <w:rFonts w:eastAsia="Georgia" w:cs="Times New Roman"/>
        </w:rPr>
        <w:t>Eur</w:t>
      </w:r>
      <w:r w:rsidRPr="003878A7">
        <w:rPr>
          <w:rFonts w:eastAsia="Georgia" w:cs="Times New Roman"/>
        </w:rPr>
        <w:t>, t.</w:t>
      </w:r>
      <w:r w:rsidR="00352962" w:rsidRPr="003878A7">
        <w:rPr>
          <w:rFonts w:eastAsia="Georgia" w:cs="Times New Roman"/>
        </w:rPr>
        <w:t xml:space="preserve"> </w:t>
      </w:r>
      <w:r w:rsidRPr="003878A7">
        <w:rPr>
          <w:rFonts w:eastAsia="Georgia" w:cs="Times New Roman"/>
        </w:rPr>
        <w:t xml:space="preserve">y. panaudojo visas fondo lėšas, bei papildomai turėjo didelį projektų srautą, kuris viršijo fondui skirtų lėšų sumą jau pirmais jo įsteigimo metais. Tuo tikslu 2017 m. gegužės 10 d. buvo pasirašyta 50 mln. </w:t>
      </w:r>
      <w:r w:rsidR="004936E8" w:rsidRPr="003878A7">
        <w:rPr>
          <w:rFonts w:eastAsia="Georgia" w:cs="Times New Roman"/>
        </w:rPr>
        <w:t>Eur</w:t>
      </w:r>
      <w:r w:rsidRPr="003878A7">
        <w:rPr>
          <w:rFonts w:eastAsia="Georgia" w:cs="Times New Roman"/>
        </w:rPr>
        <w:t xml:space="preserve"> paskolos sutartis su E</w:t>
      </w:r>
      <w:r w:rsidR="00FD523F" w:rsidRPr="003878A7">
        <w:rPr>
          <w:rFonts w:eastAsia="Georgia" w:cs="Times New Roman"/>
        </w:rPr>
        <w:t>PR</w:t>
      </w:r>
      <w:r w:rsidRPr="003878A7">
        <w:rPr>
          <w:rFonts w:eastAsia="Georgia" w:cs="Times New Roman"/>
        </w:rPr>
        <w:t xml:space="preserve">B, siekiant finansuoti dar 150 daugiabučių namų renovaciją , taip pat 2018 m. Vyriausybė suteikė iki 100 mln. </w:t>
      </w:r>
      <w:r w:rsidR="004936E8" w:rsidRPr="003878A7">
        <w:rPr>
          <w:rFonts w:eastAsia="Georgia" w:cs="Times New Roman"/>
        </w:rPr>
        <w:t>Eur</w:t>
      </w:r>
      <w:r w:rsidRPr="003878A7">
        <w:rPr>
          <w:rFonts w:eastAsia="Georgia" w:cs="Times New Roman"/>
        </w:rPr>
        <w:t xml:space="preserve"> valstybės perskolinamos paskolą VIPA, numatomam daugiabučių namų atnaujinimo projektų srautui finansuoti.</w:t>
      </w:r>
    </w:p>
    <w:p w14:paraId="0A6770A4" w14:textId="17AE0AFB" w:rsidR="006F2891" w:rsidRPr="003878A7" w:rsidRDefault="006F2891" w:rsidP="00CB66B8">
      <w:pPr>
        <w:pStyle w:val="ListParagraph"/>
        <w:numPr>
          <w:ilvl w:val="0"/>
          <w:numId w:val="8"/>
        </w:numPr>
        <w:spacing w:after="160"/>
        <w:rPr>
          <w:rFonts w:eastAsia="Georgia" w:cs="Times New Roman"/>
        </w:rPr>
      </w:pPr>
      <w:r w:rsidRPr="003878A7">
        <w:rPr>
          <w:rFonts w:eastAsia="Georgia" w:cs="Times New Roman"/>
        </w:rPr>
        <w:t xml:space="preserve">2015 m. gegužės 5 d. finansavimo sutarties tarp </w:t>
      </w:r>
      <w:r w:rsidR="004936E8" w:rsidRPr="003878A7">
        <w:rPr>
          <w:rFonts w:eastAsia="Georgia" w:cs="Times New Roman"/>
        </w:rPr>
        <w:t>FM</w:t>
      </w:r>
      <w:r w:rsidRPr="003878A7">
        <w:rPr>
          <w:rFonts w:eastAsia="Georgia" w:cs="Times New Roman"/>
        </w:rPr>
        <w:t xml:space="preserve">, </w:t>
      </w:r>
      <w:r w:rsidR="004936E8" w:rsidRPr="003878A7">
        <w:rPr>
          <w:rFonts w:eastAsia="Georgia" w:cs="Times New Roman"/>
        </w:rPr>
        <w:t>AM</w:t>
      </w:r>
      <w:r w:rsidRPr="003878A7">
        <w:rPr>
          <w:rFonts w:eastAsia="Georgia" w:cs="Times New Roman"/>
        </w:rPr>
        <w:t xml:space="preserve"> ir EIB pagrindu buvo įsteigtas fondų fondas (</w:t>
      </w:r>
      <w:r w:rsidR="00607168" w:rsidRPr="003878A7">
        <w:rPr>
          <w:rFonts w:eastAsia="Georgia" w:cs="Times New Roman"/>
        </w:rPr>
        <w:t xml:space="preserve">toliau – </w:t>
      </w:r>
      <w:r w:rsidRPr="003878A7">
        <w:rPr>
          <w:rFonts w:eastAsia="Georgia" w:cs="Times New Roman"/>
        </w:rPr>
        <w:t xml:space="preserve">FF) – EIB valdomo JESSICA kontroliuojančiojo fondo tęsinys, skirtas investicijoms į </w:t>
      </w:r>
      <w:r w:rsidR="00352962" w:rsidRPr="003878A7">
        <w:rPr>
          <w:rFonts w:eastAsia="Georgia" w:cs="Times New Roman"/>
        </w:rPr>
        <w:t>EE</w:t>
      </w:r>
      <w:r w:rsidRPr="003878A7">
        <w:rPr>
          <w:rFonts w:eastAsia="Georgia" w:cs="Times New Roman"/>
        </w:rPr>
        <w:t xml:space="preserve"> didinimą būsto sektoriuje. JESSICA FF valdytoju buvo paskirtas EIB, kurio pagrindinis tikslas</w:t>
      </w:r>
      <w:r w:rsidR="004936E8" w:rsidRPr="003878A7">
        <w:rPr>
          <w:rFonts w:eastAsia="Georgia" w:cs="Times New Roman"/>
        </w:rPr>
        <w:t xml:space="preserve"> – </w:t>
      </w:r>
      <w:r w:rsidRPr="003878A7">
        <w:rPr>
          <w:rFonts w:eastAsia="Georgia" w:cs="Times New Roman"/>
        </w:rPr>
        <w:t xml:space="preserve">renovuoti kuo didesnį daugiabučių namų skaičių, pritraukiant kiek įmanoma daugiau privataus finansavimo. Per pirmus du kvietimus buvo pasirašytos sutartys su tuo pačiu </w:t>
      </w:r>
      <w:r w:rsidR="00FD523F" w:rsidRPr="003878A7">
        <w:rPr>
          <w:rFonts w:eastAsia="Georgia" w:cs="Times New Roman"/>
        </w:rPr>
        <w:t xml:space="preserve">finansų tarpininku (toliau – </w:t>
      </w:r>
      <w:r w:rsidR="004936E8" w:rsidRPr="003878A7">
        <w:rPr>
          <w:rFonts w:eastAsia="Georgia" w:cs="Times New Roman"/>
        </w:rPr>
        <w:t>FT</w:t>
      </w:r>
      <w:r w:rsidR="00FD523F" w:rsidRPr="003878A7">
        <w:rPr>
          <w:rFonts w:eastAsia="Georgia" w:cs="Times New Roman"/>
        </w:rPr>
        <w:t>)</w:t>
      </w:r>
      <w:r w:rsidRPr="003878A7">
        <w:rPr>
          <w:rFonts w:eastAsia="Georgia" w:cs="Times New Roman"/>
        </w:rPr>
        <w:t xml:space="preserve"> – Šiaulių banku, kuris prie jam išmokėtų 108 mln. </w:t>
      </w:r>
      <w:r w:rsidR="004936E8" w:rsidRPr="003878A7">
        <w:rPr>
          <w:rFonts w:eastAsia="Georgia" w:cs="Times New Roman"/>
        </w:rPr>
        <w:t>Eur</w:t>
      </w:r>
      <w:r w:rsidRPr="003878A7">
        <w:rPr>
          <w:rFonts w:eastAsia="Georgia" w:cs="Times New Roman"/>
        </w:rPr>
        <w:t xml:space="preserve"> ES </w:t>
      </w:r>
      <w:r w:rsidR="00352962" w:rsidRPr="003878A7">
        <w:rPr>
          <w:rFonts w:eastAsia="Georgia" w:cs="Times New Roman"/>
        </w:rPr>
        <w:t>SF</w:t>
      </w:r>
      <w:r w:rsidRPr="003878A7">
        <w:rPr>
          <w:rFonts w:eastAsia="Georgia" w:cs="Times New Roman"/>
        </w:rPr>
        <w:t xml:space="preserve"> lėšų sutiko pridėti 70 mln. </w:t>
      </w:r>
      <w:r w:rsidR="00352962" w:rsidRPr="003878A7">
        <w:rPr>
          <w:rFonts w:eastAsia="Georgia" w:cs="Times New Roman"/>
        </w:rPr>
        <w:t>Eur</w:t>
      </w:r>
      <w:r w:rsidRPr="003878A7">
        <w:rPr>
          <w:rFonts w:eastAsia="Georgia" w:cs="Times New Roman"/>
        </w:rPr>
        <w:t xml:space="preserve"> savo privačių lėšų. Per pirmus du kvietimus iki 2016 </w:t>
      </w:r>
      <w:r w:rsidR="00352962" w:rsidRPr="003878A7">
        <w:rPr>
          <w:rFonts w:eastAsia="Georgia" w:cs="Times New Roman"/>
        </w:rPr>
        <w:t>m.</w:t>
      </w:r>
      <w:r w:rsidRPr="003878A7">
        <w:rPr>
          <w:rFonts w:eastAsia="Georgia" w:cs="Times New Roman"/>
        </w:rPr>
        <w:t xml:space="preserve"> pabaigos galutiniams naudos gavėjams</w:t>
      </w:r>
      <w:r w:rsidR="004936E8" w:rsidRPr="003878A7">
        <w:rPr>
          <w:rFonts w:eastAsia="Georgia" w:cs="Times New Roman"/>
        </w:rPr>
        <w:t xml:space="preserve"> (toliau – GNG)</w:t>
      </w:r>
      <w:r w:rsidRPr="003878A7">
        <w:rPr>
          <w:rFonts w:eastAsia="Georgia" w:cs="Times New Roman"/>
        </w:rPr>
        <w:t xml:space="preserve"> buvo išmokėti 165 mln. </w:t>
      </w:r>
      <w:r w:rsidR="00352962" w:rsidRPr="003878A7">
        <w:rPr>
          <w:rFonts w:eastAsia="Georgia" w:cs="Times New Roman"/>
        </w:rPr>
        <w:t>Eur</w:t>
      </w:r>
      <w:r w:rsidRPr="003878A7">
        <w:rPr>
          <w:rFonts w:eastAsia="Georgia" w:cs="Times New Roman"/>
        </w:rPr>
        <w:t xml:space="preserve">. Skaičiuojant finansinių lėšų pasiūlą daugiabučių namų modernizavimo projektams 2017-2023 m. laikotarpiu, prognozuojama, jog papildomai bus išmokėta 135 mln. </w:t>
      </w:r>
      <w:r w:rsidR="00352962" w:rsidRPr="003878A7">
        <w:rPr>
          <w:rFonts w:eastAsia="Georgia" w:cs="Times New Roman"/>
        </w:rPr>
        <w:t>Eur</w:t>
      </w:r>
      <w:r w:rsidRPr="003878A7">
        <w:rPr>
          <w:rFonts w:eastAsia="Georgia" w:cs="Times New Roman"/>
        </w:rPr>
        <w:t xml:space="preserve">. Atsižvelgiant į Šiaulių banko išreikštą norą prisidėti savo nuosavomis lėšomis per pirmąjį ir antrąjį kvietimus, tikėtina, jog ateityje gali būti viršyti numatyto finansavimo iš </w:t>
      </w:r>
      <w:r w:rsidR="00352962" w:rsidRPr="003878A7">
        <w:rPr>
          <w:rFonts w:eastAsia="Georgia" w:cs="Times New Roman"/>
        </w:rPr>
        <w:t>FT</w:t>
      </w:r>
      <w:r w:rsidRPr="003878A7">
        <w:rPr>
          <w:rFonts w:eastAsia="Georgia" w:cs="Times New Roman"/>
        </w:rPr>
        <w:t xml:space="preserve"> planai.</w:t>
      </w:r>
    </w:p>
    <w:p w14:paraId="6052AF63" w14:textId="1D7E3390" w:rsidR="008C53E0" w:rsidRDefault="006F2891" w:rsidP="00CB66B8">
      <w:pPr>
        <w:pStyle w:val="ListParagraph"/>
        <w:numPr>
          <w:ilvl w:val="0"/>
          <w:numId w:val="8"/>
        </w:numPr>
        <w:spacing w:after="160"/>
        <w:rPr>
          <w:rFonts w:eastAsia="Georgia" w:cs="Times New Roman"/>
        </w:rPr>
      </w:pPr>
      <w:r w:rsidRPr="003878A7">
        <w:rPr>
          <w:rFonts w:eastAsia="Georgia" w:cs="Times New Roman"/>
        </w:rPr>
        <w:t xml:space="preserve">2016 m. spalio 5 d. </w:t>
      </w:r>
      <w:r w:rsidR="004936E8" w:rsidRPr="003878A7">
        <w:rPr>
          <w:rFonts w:eastAsia="Georgia" w:cs="Times New Roman"/>
        </w:rPr>
        <w:t>FM</w:t>
      </w:r>
      <w:r w:rsidRPr="003878A7">
        <w:rPr>
          <w:rFonts w:eastAsia="Georgia" w:cs="Times New Roman"/>
        </w:rPr>
        <w:t xml:space="preserve"> ir </w:t>
      </w:r>
      <w:r w:rsidR="004936E8" w:rsidRPr="003878A7">
        <w:rPr>
          <w:rFonts w:eastAsia="Georgia" w:cs="Times New Roman"/>
        </w:rPr>
        <w:t>AM</w:t>
      </w:r>
      <w:r w:rsidRPr="003878A7">
        <w:rPr>
          <w:rFonts w:eastAsia="Georgia" w:cs="Times New Roman"/>
        </w:rPr>
        <w:t xml:space="preserve"> bei EIB pasirašė trišalę sutartį, kuria įsteigtas Rizikos pasidalijimo fondas (</w:t>
      </w:r>
      <w:r w:rsidR="00FD523F" w:rsidRPr="003878A7">
        <w:rPr>
          <w:rFonts w:eastAsia="Georgia" w:cs="Times New Roman"/>
        </w:rPr>
        <w:t xml:space="preserve">toliau – </w:t>
      </w:r>
      <w:r w:rsidRPr="003878A7">
        <w:rPr>
          <w:rFonts w:eastAsia="Georgia" w:cs="Times New Roman"/>
        </w:rPr>
        <w:t xml:space="preserve">RPF). Jo dydis – 100 mln. </w:t>
      </w:r>
      <w:r w:rsidR="004936E8" w:rsidRPr="003878A7">
        <w:rPr>
          <w:rFonts w:eastAsia="Georgia" w:cs="Times New Roman"/>
        </w:rPr>
        <w:t>Eur</w:t>
      </w:r>
      <w:r w:rsidRPr="003878A7">
        <w:rPr>
          <w:rFonts w:eastAsia="Georgia" w:cs="Times New Roman"/>
        </w:rPr>
        <w:t xml:space="preserve"> (90 mln. </w:t>
      </w:r>
      <w:r w:rsidR="004936E8" w:rsidRPr="003878A7">
        <w:rPr>
          <w:rFonts w:eastAsia="Georgia" w:cs="Times New Roman"/>
        </w:rPr>
        <w:t>Eur</w:t>
      </w:r>
      <w:r w:rsidRPr="003878A7">
        <w:rPr>
          <w:rFonts w:eastAsia="Georgia" w:cs="Times New Roman"/>
        </w:rPr>
        <w:t xml:space="preserve"> ES </w:t>
      </w:r>
      <w:r w:rsidR="004936E8" w:rsidRPr="003878A7">
        <w:rPr>
          <w:rFonts w:eastAsia="Georgia" w:cs="Times New Roman"/>
        </w:rPr>
        <w:t>SF</w:t>
      </w:r>
      <w:r w:rsidRPr="003878A7">
        <w:rPr>
          <w:rFonts w:eastAsia="Georgia" w:cs="Times New Roman"/>
        </w:rPr>
        <w:t xml:space="preserve"> lėšų ir 10 mln. </w:t>
      </w:r>
      <w:r w:rsidR="004936E8" w:rsidRPr="003878A7">
        <w:rPr>
          <w:rFonts w:eastAsia="Georgia" w:cs="Times New Roman"/>
        </w:rPr>
        <w:t>Eur</w:t>
      </w:r>
      <w:r w:rsidRPr="003878A7">
        <w:rPr>
          <w:rFonts w:eastAsia="Georgia" w:cs="Times New Roman"/>
        </w:rPr>
        <w:t xml:space="preserve"> JESSICA grįžusių lėšų). RPF yra pirmojo nuostolio padengimo finansinis instrumentas, kuriuo siekiama pritraukt</w:t>
      </w:r>
      <w:r w:rsidR="004936E8" w:rsidRPr="003878A7">
        <w:rPr>
          <w:rFonts w:eastAsia="Georgia" w:cs="Times New Roman"/>
        </w:rPr>
        <w:t>i</w:t>
      </w:r>
      <w:r w:rsidRPr="003878A7">
        <w:rPr>
          <w:rFonts w:eastAsia="Georgia" w:cs="Times New Roman"/>
        </w:rPr>
        <w:t xml:space="preserve"> papildomų lėšų iš privataus sektoriaus (bankų, finansinių institucijų, t.t.)</w:t>
      </w:r>
      <w:r w:rsidR="004936E8" w:rsidRPr="003878A7">
        <w:rPr>
          <w:rFonts w:eastAsia="Georgia" w:cs="Times New Roman"/>
        </w:rPr>
        <w:t xml:space="preserve"> dalį,</w:t>
      </w:r>
      <w:r w:rsidRPr="003878A7">
        <w:rPr>
          <w:rFonts w:eastAsia="Georgia" w:cs="Times New Roman"/>
        </w:rPr>
        <w:t xml:space="preserve"> taip sukuriant sverto efektą.  2017 m. gruodžio mėn. fondui pervesta pirmoji įnašo dalis siekianti 50 mln. </w:t>
      </w:r>
      <w:r w:rsidR="004936E8" w:rsidRPr="003878A7">
        <w:rPr>
          <w:rFonts w:eastAsia="Georgia" w:cs="Times New Roman"/>
        </w:rPr>
        <w:t>Eur</w:t>
      </w:r>
      <w:r w:rsidRPr="003878A7">
        <w:rPr>
          <w:rFonts w:eastAsia="Georgia" w:cs="Times New Roman"/>
        </w:rPr>
        <w:t xml:space="preserve">. 2019 m. sausio pradžioje buvo pasirašyta sutartis dėl garantijos </w:t>
      </w:r>
      <w:r w:rsidR="004936E8" w:rsidRPr="003878A7">
        <w:rPr>
          <w:rFonts w:eastAsia="Georgia" w:cs="Times New Roman"/>
        </w:rPr>
        <w:t>FP</w:t>
      </w:r>
      <w:r w:rsidRPr="003878A7">
        <w:rPr>
          <w:rFonts w:eastAsia="Georgia" w:cs="Times New Roman"/>
        </w:rPr>
        <w:t xml:space="preserve"> su vienu </w:t>
      </w:r>
      <w:r w:rsidR="004936E8" w:rsidRPr="003878A7">
        <w:rPr>
          <w:rFonts w:eastAsia="Georgia" w:cs="Times New Roman"/>
        </w:rPr>
        <w:t>FT</w:t>
      </w:r>
      <w:r w:rsidRPr="003878A7">
        <w:rPr>
          <w:rFonts w:eastAsia="Georgia" w:cs="Times New Roman"/>
        </w:rPr>
        <w:t xml:space="preserve"> – Šiaulių banku.</w:t>
      </w:r>
    </w:p>
    <w:p w14:paraId="525A7092" w14:textId="02A42196" w:rsidR="008C53E0" w:rsidRPr="008C53E0" w:rsidRDefault="008C53E0" w:rsidP="008C53E0">
      <w:pPr>
        <w:pStyle w:val="ListParagraph"/>
        <w:numPr>
          <w:ilvl w:val="0"/>
          <w:numId w:val="8"/>
        </w:numPr>
        <w:spacing w:after="160"/>
        <w:rPr>
          <w:rFonts w:eastAsia="Georgia" w:cs="Times New Roman"/>
        </w:rPr>
      </w:pPr>
      <w:r w:rsidRPr="008C53E0">
        <w:rPr>
          <w:rFonts w:eastAsia="Georgia" w:cs="Times New Roman"/>
        </w:rPr>
        <w:t xml:space="preserve">2017 m. birželio 27 d. buvo pasirašyta trišalė sutartis tarp VIPA, </w:t>
      </w:r>
      <w:r>
        <w:rPr>
          <w:rFonts w:eastAsia="Georgia" w:cs="Times New Roman"/>
        </w:rPr>
        <w:t>AM</w:t>
      </w:r>
      <w:r w:rsidRPr="008C53E0">
        <w:rPr>
          <w:rFonts w:eastAsia="Georgia" w:cs="Times New Roman"/>
        </w:rPr>
        <w:t xml:space="preserve"> ir </w:t>
      </w:r>
      <w:r>
        <w:rPr>
          <w:rFonts w:eastAsia="Georgia" w:cs="Times New Roman"/>
        </w:rPr>
        <w:t>FM</w:t>
      </w:r>
      <w:r w:rsidRPr="008C53E0">
        <w:rPr>
          <w:rFonts w:eastAsia="Georgia" w:cs="Times New Roman"/>
        </w:rPr>
        <w:t xml:space="preserve">, kuria įsteigtas </w:t>
      </w:r>
      <w:r w:rsidR="0038594D">
        <w:rPr>
          <w:rFonts w:eastAsia="Georgia" w:cs="Times New Roman"/>
        </w:rPr>
        <w:t>S</w:t>
      </w:r>
      <w:r w:rsidRPr="008C53E0">
        <w:rPr>
          <w:rFonts w:eastAsia="Georgia" w:cs="Times New Roman"/>
        </w:rPr>
        <w:t>avivaldybių pastatų fondas (</w:t>
      </w:r>
      <w:r>
        <w:rPr>
          <w:rFonts w:eastAsia="Georgia" w:cs="Times New Roman"/>
        </w:rPr>
        <w:t xml:space="preserve">toliau – </w:t>
      </w:r>
      <w:r w:rsidRPr="008C53E0">
        <w:rPr>
          <w:rFonts w:eastAsia="Georgia" w:cs="Times New Roman"/>
        </w:rPr>
        <w:t>SPF).</w:t>
      </w:r>
      <w:r w:rsidR="0038594D">
        <w:rPr>
          <w:rFonts w:eastAsia="Georgia" w:cs="Times New Roman"/>
        </w:rPr>
        <w:t xml:space="preserve"> </w:t>
      </w:r>
      <w:r w:rsidR="0038594D" w:rsidRPr="0038594D">
        <w:rPr>
          <w:rFonts w:eastAsia="Georgia" w:cs="Times New Roman"/>
        </w:rPr>
        <w:t xml:space="preserve">Jo lėšomis numatoma finansuoti savivaldybių pastatų </w:t>
      </w:r>
      <w:r w:rsidR="0038594D" w:rsidRPr="0038594D">
        <w:rPr>
          <w:rFonts w:eastAsia="Georgia" w:cs="Times New Roman"/>
        </w:rPr>
        <w:lastRenderedPageBreak/>
        <w:t xml:space="preserve">modernizavimo projektus – tam skirta 17 mln. </w:t>
      </w:r>
      <w:r w:rsidR="0038594D">
        <w:rPr>
          <w:rFonts w:eastAsia="Georgia" w:cs="Times New Roman"/>
        </w:rPr>
        <w:t xml:space="preserve">ES SF </w:t>
      </w:r>
      <w:r w:rsidR="0038594D" w:rsidRPr="0038594D">
        <w:rPr>
          <w:rFonts w:eastAsia="Georgia" w:cs="Times New Roman"/>
        </w:rPr>
        <w:t>lėšų.</w:t>
      </w:r>
      <w:r w:rsidR="0038594D">
        <w:rPr>
          <w:rFonts w:eastAsia="Georgia" w:cs="Times New Roman"/>
        </w:rPr>
        <w:t xml:space="preserve"> </w:t>
      </w:r>
      <w:r w:rsidR="0038594D" w:rsidRPr="0038594D">
        <w:rPr>
          <w:rFonts w:eastAsia="Georgia" w:cs="Times New Roman"/>
        </w:rPr>
        <w:t xml:space="preserve">Savivaldybių pastatų fondo tikslas – skatinti energijos vartojimo efektyvumą investuojant į viešąją infrastruktūrą. Fondo lėšomis teikiamos paskolos savivaldybių pastatų modernizavimo projektams, didinantiems pastato </w:t>
      </w:r>
      <w:r w:rsidR="0038594D">
        <w:rPr>
          <w:rFonts w:eastAsia="Georgia" w:cs="Times New Roman"/>
        </w:rPr>
        <w:t>EE</w:t>
      </w:r>
      <w:r w:rsidR="0038594D" w:rsidRPr="0038594D">
        <w:rPr>
          <w:rFonts w:eastAsia="Georgia" w:cs="Times New Roman"/>
        </w:rPr>
        <w:t>.</w:t>
      </w:r>
    </w:p>
    <w:p w14:paraId="75E5678E" w14:textId="27081AF2" w:rsidR="00352962" w:rsidRPr="008C53E0" w:rsidRDefault="00607168" w:rsidP="008C53E0">
      <w:pPr>
        <w:rPr>
          <w:rFonts w:cs="Times New Roman"/>
        </w:rPr>
      </w:pPr>
      <w:r w:rsidRPr="008C53E0">
        <w:rPr>
          <w:rFonts w:cs="Times New Roman"/>
        </w:rPr>
        <w:t xml:space="preserve">Komercinių bankų finansavimas </w:t>
      </w:r>
      <w:r w:rsidR="00444022" w:rsidRPr="008C53E0">
        <w:rPr>
          <w:rFonts w:cs="Times New Roman"/>
        </w:rPr>
        <w:t>yra taip pat prieinamas</w:t>
      </w:r>
      <w:r w:rsidRPr="008C53E0">
        <w:rPr>
          <w:rFonts w:cs="Times New Roman"/>
        </w:rPr>
        <w:t xml:space="preserve"> EE srityje vykdomiems projektams. </w:t>
      </w:r>
      <w:r w:rsidR="00352962" w:rsidRPr="008C53E0">
        <w:rPr>
          <w:rFonts w:cs="Times New Roman"/>
        </w:rPr>
        <w:t xml:space="preserve">Remiantis komercinių bankų apklausų metu pateikta informacija, prognozuojamas bendro portfelio augimas iki 2020 </w:t>
      </w:r>
      <w:r w:rsidRPr="008C53E0">
        <w:rPr>
          <w:rFonts w:cs="Times New Roman"/>
        </w:rPr>
        <w:t>m.</w:t>
      </w:r>
      <w:r w:rsidR="00352962" w:rsidRPr="008C53E0">
        <w:rPr>
          <w:rFonts w:cs="Times New Roman"/>
        </w:rPr>
        <w:t xml:space="preserve"> yra pateikiamas lentelėje žemiau. Prognozė komercinių bankų finansavimui yra apskaičiuota remiantis prielaida, kad komercinių bankų portfelis kasmet auga 5,5 proc. remiantis paskutinių šešių metų portfelio vidutiniu augimo tempu. </w:t>
      </w:r>
    </w:p>
    <w:p w14:paraId="5DF8F455" w14:textId="3DC267B5" w:rsidR="00352962" w:rsidRPr="003878A7" w:rsidRDefault="00352962" w:rsidP="00352962">
      <w:pPr>
        <w:ind w:firstLine="0"/>
        <w:rPr>
          <w:rFonts w:cs="Times New Roman"/>
          <w:i/>
          <w:iCs/>
        </w:rPr>
      </w:pPr>
      <w:r w:rsidRPr="003878A7">
        <w:rPr>
          <w:rFonts w:cs="Times New Roman"/>
          <w:i/>
          <w:iCs/>
        </w:rPr>
        <w:t>Lentelė Nr. 2. Komercinių bankų portfelio prognozė</w:t>
      </w:r>
      <w:r w:rsidR="00607168" w:rsidRPr="003878A7">
        <w:rPr>
          <w:rFonts w:cs="Times New Roman"/>
          <w:i/>
          <w:iCs/>
        </w:rPr>
        <w:t xml:space="preserve">, </w:t>
      </w:r>
      <w:r w:rsidRPr="003878A7">
        <w:rPr>
          <w:rFonts w:cs="Times New Roman"/>
          <w:i/>
          <w:iCs/>
        </w:rPr>
        <w:t>mln. Eur</w:t>
      </w:r>
    </w:p>
    <w:tbl>
      <w:tblPr>
        <w:tblStyle w:val="TableGrid"/>
        <w:tblW w:w="5000" w:type="pct"/>
        <w:tblLook w:val="04A0" w:firstRow="1" w:lastRow="0" w:firstColumn="1" w:lastColumn="0" w:noHBand="0" w:noVBand="1"/>
      </w:tblPr>
      <w:tblGrid>
        <w:gridCol w:w="4220"/>
        <w:gridCol w:w="740"/>
        <w:gridCol w:w="781"/>
        <w:gridCol w:w="783"/>
        <w:gridCol w:w="783"/>
        <w:gridCol w:w="849"/>
        <w:gridCol w:w="849"/>
        <w:gridCol w:w="849"/>
      </w:tblGrid>
      <w:tr w:rsidR="00352962" w:rsidRPr="003878A7" w14:paraId="65736629" w14:textId="77777777" w:rsidTr="00607168">
        <w:trPr>
          <w:trHeight w:val="300"/>
        </w:trPr>
        <w:tc>
          <w:tcPr>
            <w:tcW w:w="2140" w:type="pct"/>
            <w:noWrap/>
            <w:hideMark/>
          </w:tcPr>
          <w:p w14:paraId="53CD8714" w14:textId="77777777" w:rsidR="00352962" w:rsidRPr="003878A7" w:rsidRDefault="00352962" w:rsidP="00352962">
            <w:pPr>
              <w:spacing w:before="0" w:after="0"/>
              <w:ind w:firstLine="0"/>
              <w:rPr>
                <w:rFonts w:eastAsia="Times New Roman" w:cs="Times New Roman"/>
                <w:b/>
                <w:bCs/>
                <w:sz w:val="21"/>
                <w:szCs w:val="21"/>
                <w:lang w:val="lt-LT" w:eastAsia="lt-LT"/>
              </w:rPr>
            </w:pPr>
            <w:r w:rsidRPr="003878A7">
              <w:rPr>
                <w:rFonts w:eastAsia="Times New Roman" w:cs="Times New Roman"/>
                <w:b/>
                <w:bCs/>
                <w:sz w:val="21"/>
                <w:szCs w:val="21"/>
                <w:lang w:val="lt-LT" w:eastAsia="lt-LT"/>
              </w:rPr>
              <w:t>Metai</w:t>
            </w:r>
          </w:p>
        </w:tc>
        <w:tc>
          <w:tcPr>
            <w:tcW w:w="375" w:type="pct"/>
            <w:noWrap/>
            <w:hideMark/>
          </w:tcPr>
          <w:p w14:paraId="0EC3E874" w14:textId="6DE8C017" w:rsidR="00352962" w:rsidRPr="003878A7" w:rsidRDefault="00352962" w:rsidP="00352962">
            <w:pPr>
              <w:spacing w:before="0" w:after="0"/>
              <w:ind w:firstLine="0"/>
              <w:jc w:val="right"/>
              <w:rPr>
                <w:rFonts w:eastAsia="Times New Roman" w:cs="Times New Roman"/>
                <w:b/>
                <w:bCs/>
                <w:sz w:val="21"/>
                <w:szCs w:val="21"/>
                <w:lang w:val="lt-LT" w:eastAsia="lt-LT"/>
              </w:rPr>
            </w:pPr>
            <w:r w:rsidRPr="003878A7">
              <w:rPr>
                <w:rFonts w:eastAsia="Times New Roman" w:cs="Times New Roman"/>
                <w:b/>
                <w:bCs/>
                <w:sz w:val="21"/>
                <w:szCs w:val="21"/>
                <w:lang w:val="lt-LT" w:eastAsia="lt-LT"/>
              </w:rPr>
              <w:t>2017</w:t>
            </w:r>
          </w:p>
        </w:tc>
        <w:tc>
          <w:tcPr>
            <w:tcW w:w="396" w:type="pct"/>
            <w:noWrap/>
            <w:hideMark/>
          </w:tcPr>
          <w:p w14:paraId="0CB969FC" w14:textId="77777777" w:rsidR="00352962" w:rsidRPr="003878A7" w:rsidRDefault="00352962" w:rsidP="00352962">
            <w:pPr>
              <w:spacing w:before="0" w:after="0"/>
              <w:ind w:firstLine="0"/>
              <w:jc w:val="right"/>
              <w:rPr>
                <w:rFonts w:eastAsia="Times New Roman" w:cs="Times New Roman"/>
                <w:b/>
                <w:bCs/>
                <w:sz w:val="21"/>
                <w:szCs w:val="21"/>
                <w:lang w:val="lt-LT" w:eastAsia="lt-LT"/>
              </w:rPr>
            </w:pPr>
            <w:r w:rsidRPr="003878A7">
              <w:rPr>
                <w:rFonts w:eastAsia="Times New Roman" w:cs="Times New Roman"/>
                <w:b/>
                <w:bCs/>
                <w:sz w:val="21"/>
                <w:szCs w:val="21"/>
                <w:lang w:val="lt-LT" w:eastAsia="lt-LT"/>
              </w:rPr>
              <w:t>2018</w:t>
            </w:r>
          </w:p>
        </w:tc>
        <w:tc>
          <w:tcPr>
            <w:tcW w:w="397" w:type="pct"/>
            <w:noWrap/>
            <w:hideMark/>
          </w:tcPr>
          <w:p w14:paraId="402392BB" w14:textId="77777777" w:rsidR="00352962" w:rsidRPr="003878A7" w:rsidRDefault="00352962" w:rsidP="00352962">
            <w:pPr>
              <w:spacing w:before="0" w:after="0"/>
              <w:ind w:firstLine="0"/>
              <w:jc w:val="right"/>
              <w:rPr>
                <w:rFonts w:eastAsia="Times New Roman" w:cs="Times New Roman"/>
                <w:b/>
                <w:bCs/>
                <w:sz w:val="21"/>
                <w:szCs w:val="21"/>
                <w:lang w:val="lt-LT" w:eastAsia="lt-LT"/>
              </w:rPr>
            </w:pPr>
            <w:r w:rsidRPr="003878A7">
              <w:rPr>
                <w:rFonts w:eastAsia="Times New Roman" w:cs="Times New Roman"/>
                <w:b/>
                <w:bCs/>
                <w:sz w:val="21"/>
                <w:szCs w:val="21"/>
                <w:lang w:val="lt-LT" w:eastAsia="lt-LT"/>
              </w:rPr>
              <w:t>2019</w:t>
            </w:r>
          </w:p>
        </w:tc>
        <w:tc>
          <w:tcPr>
            <w:tcW w:w="397" w:type="pct"/>
            <w:noWrap/>
            <w:hideMark/>
          </w:tcPr>
          <w:p w14:paraId="2FC0F3E4" w14:textId="77777777" w:rsidR="00352962" w:rsidRPr="003878A7" w:rsidRDefault="00352962" w:rsidP="00352962">
            <w:pPr>
              <w:spacing w:before="0" w:after="0"/>
              <w:ind w:firstLine="0"/>
              <w:jc w:val="right"/>
              <w:rPr>
                <w:rFonts w:eastAsia="Times New Roman" w:cs="Times New Roman"/>
                <w:b/>
                <w:bCs/>
                <w:sz w:val="21"/>
                <w:szCs w:val="21"/>
                <w:lang w:val="lt-LT" w:eastAsia="lt-LT"/>
              </w:rPr>
            </w:pPr>
            <w:r w:rsidRPr="003878A7">
              <w:rPr>
                <w:rFonts w:eastAsia="Times New Roman" w:cs="Times New Roman"/>
                <w:b/>
                <w:bCs/>
                <w:sz w:val="21"/>
                <w:szCs w:val="21"/>
                <w:lang w:val="lt-LT" w:eastAsia="lt-LT"/>
              </w:rPr>
              <w:t>2020</w:t>
            </w:r>
          </w:p>
        </w:tc>
        <w:tc>
          <w:tcPr>
            <w:tcW w:w="431" w:type="pct"/>
            <w:noWrap/>
            <w:hideMark/>
          </w:tcPr>
          <w:p w14:paraId="18593125" w14:textId="77777777" w:rsidR="00352962" w:rsidRPr="003878A7" w:rsidRDefault="00352962" w:rsidP="00352962">
            <w:pPr>
              <w:spacing w:before="0" w:after="0"/>
              <w:ind w:firstLine="0"/>
              <w:jc w:val="right"/>
              <w:rPr>
                <w:rFonts w:eastAsia="Times New Roman" w:cs="Times New Roman"/>
                <w:b/>
                <w:bCs/>
                <w:sz w:val="21"/>
                <w:szCs w:val="21"/>
                <w:lang w:val="lt-LT" w:eastAsia="lt-LT"/>
              </w:rPr>
            </w:pPr>
            <w:r w:rsidRPr="003878A7">
              <w:rPr>
                <w:rFonts w:eastAsia="Times New Roman" w:cs="Times New Roman"/>
                <w:b/>
                <w:bCs/>
                <w:sz w:val="21"/>
                <w:szCs w:val="21"/>
                <w:lang w:val="lt-LT" w:eastAsia="lt-LT"/>
              </w:rPr>
              <w:t>2021</w:t>
            </w:r>
          </w:p>
        </w:tc>
        <w:tc>
          <w:tcPr>
            <w:tcW w:w="431" w:type="pct"/>
            <w:noWrap/>
            <w:hideMark/>
          </w:tcPr>
          <w:p w14:paraId="30BF1E93" w14:textId="77777777" w:rsidR="00352962" w:rsidRPr="003878A7" w:rsidRDefault="00352962" w:rsidP="00352962">
            <w:pPr>
              <w:spacing w:before="0" w:after="0"/>
              <w:ind w:firstLine="0"/>
              <w:jc w:val="right"/>
              <w:rPr>
                <w:rFonts w:eastAsia="Times New Roman" w:cs="Times New Roman"/>
                <w:b/>
                <w:bCs/>
                <w:sz w:val="21"/>
                <w:szCs w:val="21"/>
                <w:lang w:val="lt-LT" w:eastAsia="lt-LT"/>
              </w:rPr>
            </w:pPr>
            <w:r w:rsidRPr="003878A7">
              <w:rPr>
                <w:rFonts w:eastAsia="Times New Roman" w:cs="Times New Roman"/>
                <w:b/>
                <w:bCs/>
                <w:sz w:val="21"/>
                <w:szCs w:val="21"/>
                <w:lang w:val="lt-LT" w:eastAsia="lt-LT"/>
              </w:rPr>
              <w:t>2022</w:t>
            </w:r>
          </w:p>
        </w:tc>
        <w:tc>
          <w:tcPr>
            <w:tcW w:w="431" w:type="pct"/>
            <w:noWrap/>
            <w:hideMark/>
          </w:tcPr>
          <w:p w14:paraId="2F04C7D8" w14:textId="77777777" w:rsidR="00352962" w:rsidRPr="003878A7" w:rsidRDefault="00352962" w:rsidP="00352962">
            <w:pPr>
              <w:spacing w:before="0" w:after="0"/>
              <w:ind w:firstLine="0"/>
              <w:jc w:val="right"/>
              <w:rPr>
                <w:rFonts w:eastAsia="Times New Roman" w:cs="Times New Roman"/>
                <w:b/>
                <w:bCs/>
                <w:sz w:val="21"/>
                <w:szCs w:val="21"/>
                <w:lang w:val="lt-LT" w:eastAsia="lt-LT"/>
              </w:rPr>
            </w:pPr>
            <w:r w:rsidRPr="003878A7">
              <w:rPr>
                <w:rFonts w:eastAsia="Times New Roman" w:cs="Times New Roman"/>
                <w:b/>
                <w:bCs/>
                <w:sz w:val="21"/>
                <w:szCs w:val="21"/>
                <w:lang w:val="lt-LT" w:eastAsia="lt-LT"/>
              </w:rPr>
              <w:t>2023</w:t>
            </w:r>
          </w:p>
        </w:tc>
      </w:tr>
      <w:tr w:rsidR="00352962" w:rsidRPr="003878A7" w14:paraId="1465540E" w14:textId="77777777" w:rsidTr="00607168">
        <w:trPr>
          <w:trHeight w:val="265"/>
        </w:trPr>
        <w:tc>
          <w:tcPr>
            <w:tcW w:w="2140" w:type="pct"/>
            <w:hideMark/>
          </w:tcPr>
          <w:p w14:paraId="172311AE" w14:textId="77777777" w:rsidR="00352962" w:rsidRPr="003878A7" w:rsidRDefault="00352962" w:rsidP="00352962">
            <w:pPr>
              <w:spacing w:before="0" w:after="0"/>
              <w:ind w:firstLine="0"/>
              <w:rPr>
                <w:rFonts w:eastAsia="Times New Roman" w:cs="Times New Roman"/>
                <w:color w:val="000000"/>
                <w:sz w:val="21"/>
                <w:szCs w:val="21"/>
                <w:lang w:val="lt-LT" w:eastAsia="lt-LT"/>
              </w:rPr>
            </w:pPr>
            <w:r w:rsidRPr="003878A7">
              <w:rPr>
                <w:rFonts w:eastAsia="Times New Roman" w:cs="Times New Roman"/>
                <w:color w:val="000000"/>
                <w:sz w:val="21"/>
                <w:szCs w:val="21"/>
                <w:lang w:val="lt-LT" w:eastAsia="lt-LT"/>
              </w:rPr>
              <w:t>Komercinių bankų paskolų portfelio prognozė</w:t>
            </w:r>
          </w:p>
        </w:tc>
        <w:tc>
          <w:tcPr>
            <w:tcW w:w="375" w:type="pct"/>
            <w:noWrap/>
            <w:hideMark/>
          </w:tcPr>
          <w:p w14:paraId="376A116F" w14:textId="4263EB40" w:rsidR="00352962" w:rsidRPr="003878A7" w:rsidRDefault="00352962" w:rsidP="00352962">
            <w:pPr>
              <w:spacing w:before="0" w:after="0"/>
              <w:ind w:firstLine="0"/>
              <w:jc w:val="right"/>
              <w:rPr>
                <w:rFonts w:eastAsia="Times New Roman" w:cs="Times New Roman"/>
                <w:color w:val="000000"/>
                <w:sz w:val="21"/>
                <w:szCs w:val="21"/>
                <w:lang w:val="lt-LT" w:eastAsia="lt-LT"/>
              </w:rPr>
            </w:pPr>
            <w:r w:rsidRPr="003878A7">
              <w:rPr>
                <w:rFonts w:eastAsia="Times New Roman" w:cs="Times New Roman"/>
                <w:color w:val="000000"/>
                <w:sz w:val="21"/>
                <w:szCs w:val="21"/>
                <w:lang w:val="lt-LT" w:eastAsia="lt-LT"/>
              </w:rPr>
              <w:t>8 222</w:t>
            </w:r>
          </w:p>
        </w:tc>
        <w:tc>
          <w:tcPr>
            <w:tcW w:w="396" w:type="pct"/>
            <w:noWrap/>
            <w:hideMark/>
          </w:tcPr>
          <w:p w14:paraId="7B2BA544" w14:textId="77777777" w:rsidR="00352962" w:rsidRPr="003878A7" w:rsidRDefault="00352962" w:rsidP="00352962">
            <w:pPr>
              <w:spacing w:before="0" w:after="0"/>
              <w:ind w:firstLine="0"/>
              <w:jc w:val="right"/>
              <w:rPr>
                <w:rFonts w:eastAsia="Times New Roman" w:cs="Times New Roman"/>
                <w:color w:val="000000"/>
                <w:sz w:val="21"/>
                <w:szCs w:val="21"/>
                <w:lang w:val="lt-LT" w:eastAsia="lt-LT"/>
              </w:rPr>
            </w:pPr>
            <w:r w:rsidRPr="003878A7">
              <w:rPr>
                <w:rFonts w:eastAsia="Times New Roman" w:cs="Times New Roman"/>
                <w:color w:val="000000"/>
                <w:sz w:val="21"/>
                <w:szCs w:val="21"/>
                <w:lang w:val="lt-LT" w:eastAsia="lt-LT"/>
              </w:rPr>
              <w:t>8 674</w:t>
            </w:r>
          </w:p>
        </w:tc>
        <w:tc>
          <w:tcPr>
            <w:tcW w:w="397" w:type="pct"/>
            <w:noWrap/>
            <w:hideMark/>
          </w:tcPr>
          <w:p w14:paraId="547008A7" w14:textId="77777777" w:rsidR="00352962" w:rsidRPr="003878A7" w:rsidRDefault="00352962" w:rsidP="00352962">
            <w:pPr>
              <w:spacing w:before="0" w:after="0"/>
              <w:ind w:firstLine="0"/>
              <w:jc w:val="right"/>
              <w:rPr>
                <w:rFonts w:eastAsia="Times New Roman" w:cs="Times New Roman"/>
                <w:color w:val="000000"/>
                <w:sz w:val="21"/>
                <w:szCs w:val="21"/>
                <w:lang w:val="lt-LT" w:eastAsia="lt-LT"/>
              </w:rPr>
            </w:pPr>
            <w:r w:rsidRPr="003878A7">
              <w:rPr>
                <w:rFonts w:eastAsia="Times New Roman" w:cs="Times New Roman"/>
                <w:color w:val="000000"/>
                <w:sz w:val="21"/>
                <w:szCs w:val="21"/>
                <w:lang w:val="lt-LT" w:eastAsia="lt-LT"/>
              </w:rPr>
              <w:t>9 151</w:t>
            </w:r>
          </w:p>
        </w:tc>
        <w:tc>
          <w:tcPr>
            <w:tcW w:w="397" w:type="pct"/>
            <w:noWrap/>
            <w:hideMark/>
          </w:tcPr>
          <w:p w14:paraId="6908DEAF" w14:textId="77777777" w:rsidR="00352962" w:rsidRPr="003878A7" w:rsidRDefault="00352962" w:rsidP="00352962">
            <w:pPr>
              <w:spacing w:before="0" w:after="0"/>
              <w:ind w:firstLine="0"/>
              <w:jc w:val="right"/>
              <w:rPr>
                <w:rFonts w:eastAsia="Times New Roman" w:cs="Times New Roman"/>
                <w:color w:val="000000"/>
                <w:sz w:val="21"/>
                <w:szCs w:val="21"/>
                <w:lang w:val="lt-LT" w:eastAsia="lt-LT"/>
              </w:rPr>
            </w:pPr>
            <w:r w:rsidRPr="003878A7">
              <w:rPr>
                <w:rFonts w:eastAsia="Times New Roman" w:cs="Times New Roman"/>
                <w:color w:val="000000"/>
                <w:sz w:val="21"/>
                <w:szCs w:val="21"/>
                <w:lang w:val="lt-LT" w:eastAsia="lt-LT"/>
              </w:rPr>
              <w:t>9 655</w:t>
            </w:r>
          </w:p>
        </w:tc>
        <w:tc>
          <w:tcPr>
            <w:tcW w:w="431" w:type="pct"/>
            <w:noWrap/>
            <w:hideMark/>
          </w:tcPr>
          <w:p w14:paraId="1453CE9F" w14:textId="77777777" w:rsidR="00352962" w:rsidRPr="003878A7" w:rsidRDefault="00352962" w:rsidP="00352962">
            <w:pPr>
              <w:spacing w:before="0" w:after="0"/>
              <w:ind w:firstLine="0"/>
              <w:jc w:val="right"/>
              <w:rPr>
                <w:rFonts w:eastAsia="Times New Roman" w:cs="Times New Roman"/>
                <w:color w:val="000000"/>
                <w:sz w:val="21"/>
                <w:szCs w:val="21"/>
                <w:lang w:val="lt-LT" w:eastAsia="lt-LT"/>
              </w:rPr>
            </w:pPr>
            <w:r w:rsidRPr="003878A7">
              <w:rPr>
                <w:rFonts w:eastAsia="Times New Roman" w:cs="Times New Roman"/>
                <w:color w:val="000000"/>
                <w:sz w:val="21"/>
                <w:szCs w:val="21"/>
                <w:lang w:val="lt-LT" w:eastAsia="lt-LT"/>
              </w:rPr>
              <w:t>10 186</w:t>
            </w:r>
          </w:p>
        </w:tc>
        <w:tc>
          <w:tcPr>
            <w:tcW w:w="431" w:type="pct"/>
            <w:noWrap/>
            <w:hideMark/>
          </w:tcPr>
          <w:p w14:paraId="6E2A6494" w14:textId="77777777" w:rsidR="00352962" w:rsidRPr="003878A7" w:rsidRDefault="00352962" w:rsidP="00352962">
            <w:pPr>
              <w:spacing w:before="0" w:after="0"/>
              <w:ind w:firstLine="0"/>
              <w:jc w:val="right"/>
              <w:rPr>
                <w:rFonts w:eastAsia="Times New Roman" w:cs="Times New Roman"/>
                <w:color w:val="000000"/>
                <w:sz w:val="21"/>
                <w:szCs w:val="21"/>
                <w:lang w:val="lt-LT" w:eastAsia="lt-LT"/>
              </w:rPr>
            </w:pPr>
            <w:r w:rsidRPr="003878A7">
              <w:rPr>
                <w:rFonts w:eastAsia="Times New Roman" w:cs="Times New Roman"/>
                <w:color w:val="000000"/>
                <w:sz w:val="21"/>
                <w:szCs w:val="21"/>
                <w:lang w:val="lt-LT" w:eastAsia="lt-LT"/>
              </w:rPr>
              <w:t>10 746</w:t>
            </w:r>
          </w:p>
        </w:tc>
        <w:tc>
          <w:tcPr>
            <w:tcW w:w="431" w:type="pct"/>
            <w:noWrap/>
            <w:hideMark/>
          </w:tcPr>
          <w:p w14:paraId="6B617228" w14:textId="77777777" w:rsidR="00352962" w:rsidRPr="003878A7" w:rsidRDefault="00352962" w:rsidP="00352962">
            <w:pPr>
              <w:spacing w:before="0" w:after="0"/>
              <w:ind w:firstLine="0"/>
              <w:jc w:val="right"/>
              <w:rPr>
                <w:rFonts w:eastAsia="Times New Roman" w:cs="Times New Roman"/>
                <w:color w:val="000000"/>
                <w:sz w:val="21"/>
                <w:szCs w:val="21"/>
                <w:lang w:val="lt-LT" w:eastAsia="lt-LT"/>
              </w:rPr>
            </w:pPr>
            <w:r w:rsidRPr="003878A7">
              <w:rPr>
                <w:rFonts w:eastAsia="Times New Roman" w:cs="Times New Roman"/>
                <w:color w:val="000000"/>
                <w:sz w:val="21"/>
                <w:szCs w:val="21"/>
                <w:lang w:val="lt-LT" w:eastAsia="lt-LT"/>
              </w:rPr>
              <w:t>11 337</w:t>
            </w:r>
          </w:p>
        </w:tc>
      </w:tr>
      <w:tr w:rsidR="00352962" w:rsidRPr="003878A7" w14:paraId="324A8B0F" w14:textId="77777777" w:rsidTr="00607168">
        <w:trPr>
          <w:trHeight w:val="265"/>
        </w:trPr>
        <w:tc>
          <w:tcPr>
            <w:tcW w:w="2140" w:type="pct"/>
            <w:hideMark/>
          </w:tcPr>
          <w:p w14:paraId="0E5669BE" w14:textId="25463A72" w:rsidR="00352962" w:rsidRPr="003878A7" w:rsidRDefault="00607168" w:rsidP="00352962">
            <w:pPr>
              <w:spacing w:before="0" w:after="0"/>
              <w:ind w:firstLine="0"/>
              <w:rPr>
                <w:rFonts w:eastAsia="Times New Roman" w:cs="Times New Roman"/>
                <w:color w:val="000000"/>
                <w:sz w:val="21"/>
                <w:szCs w:val="21"/>
                <w:lang w:val="lt-LT" w:eastAsia="lt-LT"/>
              </w:rPr>
            </w:pPr>
            <w:r w:rsidRPr="003878A7">
              <w:rPr>
                <w:rFonts w:eastAsia="Times New Roman" w:cs="Times New Roman"/>
                <w:color w:val="000000"/>
                <w:sz w:val="21"/>
                <w:szCs w:val="21"/>
                <w:lang w:val="lt-LT" w:eastAsia="lt-LT"/>
              </w:rPr>
              <w:t>EE</w:t>
            </w:r>
            <w:r w:rsidR="00352962" w:rsidRPr="003878A7">
              <w:rPr>
                <w:rFonts w:eastAsia="Times New Roman" w:cs="Times New Roman"/>
                <w:color w:val="000000"/>
                <w:sz w:val="21"/>
                <w:szCs w:val="21"/>
                <w:lang w:val="lt-LT" w:eastAsia="lt-LT"/>
              </w:rPr>
              <w:t xml:space="preserve"> projektai</w:t>
            </w:r>
          </w:p>
        </w:tc>
        <w:tc>
          <w:tcPr>
            <w:tcW w:w="375" w:type="pct"/>
            <w:noWrap/>
            <w:hideMark/>
          </w:tcPr>
          <w:p w14:paraId="24234A88" w14:textId="7DD397D9" w:rsidR="00352962" w:rsidRPr="003878A7" w:rsidRDefault="00352962" w:rsidP="00352962">
            <w:pPr>
              <w:spacing w:before="0" w:after="0"/>
              <w:ind w:firstLine="0"/>
              <w:jc w:val="right"/>
              <w:rPr>
                <w:rFonts w:eastAsia="Times New Roman" w:cs="Times New Roman"/>
                <w:color w:val="000000"/>
                <w:sz w:val="21"/>
                <w:szCs w:val="21"/>
                <w:lang w:val="lt-LT" w:eastAsia="lt-LT"/>
              </w:rPr>
            </w:pPr>
            <w:r w:rsidRPr="003878A7">
              <w:rPr>
                <w:rFonts w:eastAsia="Georgia" w:cs="Times New Roman"/>
                <w:sz w:val="21"/>
                <w:szCs w:val="21"/>
                <w:lang w:val="lt-LT"/>
              </w:rPr>
              <w:t>107</w:t>
            </w:r>
          </w:p>
        </w:tc>
        <w:tc>
          <w:tcPr>
            <w:tcW w:w="396" w:type="pct"/>
            <w:noWrap/>
            <w:hideMark/>
          </w:tcPr>
          <w:p w14:paraId="78EF1932" w14:textId="77777777" w:rsidR="00352962" w:rsidRPr="003878A7" w:rsidRDefault="00352962" w:rsidP="00352962">
            <w:pPr>
              <w:spacing w:before="0" w:after="0"/>
              <w:ind w:firstLine="0"/>
              <w:jc w:val="right"/>
              <w:rPr>
                <w:rFonts w:eastAsia="Times New Roman" w:cs="Times New Roman"/>
                <w:color w:val="000000"/>
                <w:sz w:val="21"/>
                <w:szCs w:val="21"/>
                <w:lang w:val="lt-LT" w:eastAsia="lt-LT"/>
              </w:rPr>
            </w:pPr>
            <w:r w:rsidRPr="003878A7">
              <w:rPr>
                <w:rFonts w:eastAsia="Georgia" w:cs="Times New Roman"/>
                <w:sz w:val="21"/>
                <w:szCs w:val="21"/>
                <w:lang w:val="lt-LT"/>
              </w:rPr>
              <w:t>115</w:t>
            </w:r>
          </w:p>
        </w:tc>
        <w:tc>
          <w:tcPr>
            <w:tcW w:w="397" w:type="pct"/>
            <w:noWrap/>
            <w:hideMark/>
          </w:tcPr>
          <w:p w14:paraId="07A6928C" w14:textId="77777777" w:rsidR="00352962" w:rsidRPr="003878A7" w:rsidRDefault="00352962" w:rsidP="00352962">
            <w:pPr>
              <w:spacing w:before="0" w:after="0"/>
              <w:ind w:firstLine="0"/>
              <w:jc w:val="right"/>
              <w:rPr>
                <w:rFonts w:eastAsia="Times New Roman" w:cs="Times New Roman"/>
                <w:color w:val="000000"/>
                <w:sz w:val="21"/>
                <w:szCs w:val="21"/>
                <w:lang w:val="lt-LT" w:eastAsia="lt-LT"/>
              </w:rPr>
            </w:pPr>
            <w:r w:rsidRPr="003878A7">
              <w:rPr>
                <w:rFonts w:eastAsia="Georgia" w:cs="Times New Roman"/>
                <w:sz w:val="21"/>
                <w:szCs w:val="21"/>
                <w:lang w:val="lt-LT"/>
              </w:rPr>
              <w:t>121</w:t>
            </w:r>
          </w:p>
        </w:tc>
        <w:tc>
          <w:tcPr>
            <w:tcW w:w="397" w:type="pct"/>
            <w:noWrap/>
            <w:hideMark/>
          </w:tcPr>
          <w:p w14:paraId="1C50B03F" w14:textId="77777777" w:rsidR="00352962" w:rsidRPr="003878A7" w:rsidRDefault="00352962" w:rsidP="00352962">
            <w:pPr>
              <w:spacing w:before="0" w:after="0"/>
              <w:ind w:firstLine="0"/>
              <w:jc w:val="right"/>
              <w:rPr>
                <w:rFonts w:eastAsia="Times New Roman" w:cs="Times New Roman"/>
                <w:color w:val="000000"/>
                <w:sz w:val="21"/>
                <w:szCs w:val="21"/>
                <w:lang w:val="lt-LT" w:eastAsia="lt-LT"/>
              </w:rPr>
            </w:pPr>
            <w:r w:rsidRPr="003878A7">
              <w:rPr>
                <w:rFonts w:eastAsia="Georgia" w:cs="Times New Roman"/>
                <w:sz w:val="21"/>
                <w:szCs w:val="21"/>
                <w:lang w:val="lt-LT"/>
              </w:rPr>
              <w:t>128</w:t>
            </w:r>
          </w:p>
        </w:tc>
        <w:tc>
          <w:tcPr>
            <w:tcW w:w="431" w:type="pct"/>
            <w:noWrap/>
            <w:hideMark/>
          </w:tcPr>
          <w:p w14:paraId="5E861AE1" w14:textId="77777777" w:rsidR="00352962" w:rsidRPr="003878A7" w:rsidRDefault="00352962" w:rsidP="00352962">
            <w:pPr>
              <w:spacing w:before="0" w:after="0"/>
              <w:ind w:firstLine="0"/>
              <w:jc w:val="right"/>
              <w:rPr>
                <w:rFonts w:eastAsia="Times New Roman" w:cs="Times New Roman"/>
                <w:color w:val="000000"/>
                <w:sz w:val="21"/>
                <w:szCs w:val="21"/>
                <w:lang w:val="lt-LT" w:eastAsia="lt-LT"/>
              </w:rPr>
            </w:pPr>
            <w:r w:rsidRPr="003878A7">
              <w:rPr>
                <w:rFonts w:eastAsia="Georgia" w:cs="Times New Roman"/>
                <w:sz w:val="21"/>
                <w:szCs w:val="21"/>
                <w:lang w:val="lt-LT"/>
              </w:rPr>
              <w:t>135</w:t>
            </w:r>
          </w:p>
        </w:tc>
        <w:tc>
          <w:tcPr>
            <w:tcW w:w="431" w:type="pct"/>
            <w:noWrap/>
            <w:hideMark/>
          </w:tcPr>
          <w:p w14:paraId="59C21A34" w14:textId="77777777" w:rsidR="00352962" w:rsidRPr="003878A7" w:rsidRDefault="00352962" w:rsidP="00352962">
            <w:pPr>
              <w:spacing w:before="0" w:after="0"/>
              <w:ind w:firstLine="0"/>
              <w:jc w:val="right"/>
              <w:rPr>
                <w:rFonts w:eastAsia="Times New Roman" w:cs="Times New Roman"/>
                <w:color w:val="000000"/>
                <w:sz w:val="21"/>
                <w:szCs w:val="21"/>
                <w:lang w:val="lt-LT" w:eastAsia="lt-LT"/>
              </w:rPr>
            </w:pPr>
            <w:r w:rsidRPr="003878A7">
              <w:rPr>
                <w:rFonts w:eastAsia="Georgia" w:cs="Times New Roman"/>
                <w:sz w:val="21"/>
                <w:szCs w:val="21"/>
                <w:lang w:val="lt-LT"/>
              </w:rPr>
              <w:t>143</w:t>
            </w:r>
          </w:p>
        </w:tc>
        <w:tc>
          <w:tcPr>
            <w:tcW w:w="431" w:type="pct"/>
            <w:noWrap/>
            <w:hideMark/>
          </w:tcPr>
          <w:p w14:paraId="06742F63" w14:textId="77777777" w:rsidR="00352962" w:rsidRPr="003878A7" w:rsidRDefault="00352962" w:rsidP="00352962">
            <w:pPr>
              <w:spacing w:before="0" w:after="0"/>
              <w:ind w:firstLine="0"/>
              <w:jc w:val="right"/>
              <w:rPr>
                <w:rFonts w:eastAsia="Times New Roman" w:cs="Times New Roman"/>
                <w:color w:val="000000"/>
                <w:sz w:val="21"/>
                <w:szCs w:val="21"/>
                <w:lang w:val="lt-LT" w:eastAsia="lt-LT"/>
              </w:rPr>
            </w:pPr>
            <w:r w:rsidRPr="003878A7">
              <w:rPr>
                <w:rFonts w:eastAsia="Georgia" w:cs="Times New Roman"/>
                <w:sz w:val="21"/>
                <w:szCs w:val="21"/>
                <w:lang w:val="lt-LT"/>
              </w:rPr>
              <w:t>150</w:t>
            </w:r>
          </w:p>
        </w:tc>
      </w:tr>
      <w:tr w:rsidR="00352962" w:rsidRPr="003878A7" w14:paraId="3BF12195" w14:textId="77777777" w:rsidTr="00607168">
        <w:trPr>
          <w:trHeight w:val="282"/>
        </w:trPr>
        <w:tc>
          <w:tcPr>
            <w:tcW w:w="2140" w:type="pct"/>
            <w:hideMark/>
          </w:tcPr>
          <w:p w14:paraId="70C58AB9" w14:textId="77777777" w:rsidR="00352962" w:rsidRPr="003878A7" w:rsidRDefault="00352962" w:rsidP="00352962">
            <w:pPr>
              <w:spacing w:before="0" w:after="0"/>
              <w:ind w:firstLine="0"/>
              <w:rPr>
                <w:rFonts w:eastAsia="Times New Roman" w:cs="Times New Roman"/>
                <w:color w:val="000000"/>
                <w:sz w:val="21"/>
                <w:szCs w:val="21"/>
                <w:lang w:val="lt-LT" w:eastAsia="lt-LT"/>
              </w:rPr>
            </w:pPr>
            <w:r w:rsidRPr="003878A7">
              <w:rPr>
                <w:rFonts w:eastAsia="Times New Roman" w:cs="Times New Roman"/>
                <w:color w:val="000000"/>
                <w:sz w:val="21"/>
                <w:szCs w:val="21"/>
                <w:lang w:val="lt-LT" w:eastAsia="lt-LT"/>
              </w:rPr>
              <w:t>Finansavimo augimas</w:t>
            </w:r>
          </w:p>
        </w:tc>
        <w:tc>
          <w:tcPr>
            <w:tcW w:w="375" w:type="pct"/>
            <w:noWrap/>
            <w:hideMark/>
          </w:tcPr>
          <w:p w14:paraId="6567D7F6" w14:textId="65797BE2" w:rsidR="00352962" w:rsidRPr="003878A7" w:rsidRDefault="00352962" w:rsidP="00352962">
            <w:pPr>
              <w:spacing w:before="0" w:after="0"/>
              <w:ind w:firstLine="0"/>
              <w:jc w:val="right"/>
              <w:rPr>
                <w:rFonts w:eastAsia="Times New Roman" w:cs="Times New Roman"/>
                <w:b/>
                <w:bCs/>
                <w:color w:val="000000"/>
                <w:sz w:val="21"/>
                <w:szCs w:val="21"/>
                <w:lang w:val="lt-LT" w:eastAsia="lt-LT"/>
              </w:rPr>
            </w:pPr>
            <w:r w:rsidRPr="003878A7">
              <w:rPr>
                <w:rFonts w:eastAsia="Times New Roman" w:cs="Times New Roman"/>
                <w:b/>
                <w:bCs/>
                <w:color w:val="000000"/>
                <w:sz w:val="21"/>
                <w:szCs w:val="21"/>
                <w:lang w:val="lt-LT" w:eastAsia="lt-LT"/>
              </w:rPr>
              <w:t>30</w:t>
            </w:r>
          </w:p>
        </w:tc>
        <w:tc>
          <w:tcPr>
            <w:tcW w:w="396" w:type="pct"/>
            <w:noWrap/>
            <w:hideMark/>
          </w:tcPr>
          <w:p w14:paraId="5BD4E2D7" w14:textId="77777777" w:rsidR="00352962" w:rsidRPr="003878A7" w:rsidRDefault="00352962" w:rsidP="00352962">
            <w:pPr>
              <w:spacing w:before="0" w:after="0"/>
              <w:ind w:firstLine="0"/>
              <w:jc w:val="right"/>
              <w:rPr>
                <w:rFonts w:eastAsia="Times New Roman" w:cs="Times New Roman"/>
                <w:b/>
                <w:bCs/>
                <w:color w:val="000000"/>
                <w:sz w:val="21"/>
                <w:szCs w:val="21"/>
                <w:lang w:val="lt-LT" w:eastAsia="lt-LT"/>
              </w:rPr>
            </w:pPr>
            <w:r w:rsidRPr="003878A7">
              <w:rPr>
                <w:rFonts w:eastAsia="Times New Roman" w:cs="Times New Roman"/>
                <w:b/>
                <w:bCs/>
                <w:color w:val="000000"/>
                <w:sz w:val="21"/>
                <w:szCs w:val="21"/>
                <w:lang w:val="lt-LT" w:eastAsia="lt-LT"/>
              </w:rPr>
              <w:t>23</w:t>
            </w:r>
          </w:p>
        </w:tc>
        <w:tc>
          <w:tcPr>
            <w:tcW w:w="397" w:type="pct"/>
            <w:noWrap/>
            <w:hideMark/>
          </w:tcPr>
          <w:p w14:paraId="110F3038" w14:textId="77777777" w:rsidR="00352962" w:rsidRPr="003878A7" w:rsidRDefault="00352962" w:rsidP="00352962">
            <w:pPr>
              <w:spacing w:before="0" w:after="0"/>
              <w:ind w:firstLine="0"/>
              <w:jc w:val="right"/>
              <w:rPr>
                <w:rFonts w:eastAsia="Times New Roman" w:cs="Times New Roman"/>
                <w:b/>
                <w:bCs/>
                <w:color w:val="000000"/>
                <w:sz w:val="21"/>
                <w:szCs w:val="21"/>
                <w:lang w:val="lt-LT" w:eastAsia="lt-LT"/>
              </w:rPr>
            </w:pPr>
            <w:r w:rsidRPr="003878A7">
              <w:rPr>
                <w:rFonts w:eastAsia="Times New Roman" w:cs="Times New Roman"/>
                <w:b/>
                <w:bCs/>
                <w:color w:val="000000"/>
                <w:sz w:val="21"/>
                <w:szCs w:val="21"/>
                <w:lang w:val="lt-LT" w:eastAsia="lt-LT"/>
              </w:rPr>
              <w:t>24</w:t>
            </w:r>
          </w:p>
        </w:tc>
        <w:tc>
          <w:tcPr>
            <w:tcW w:w="397" w:type="pct"/>
            <w:noWrap/>
            <w:hideMark/>
          </w:tcPr>
          <w:p w14:paraId="0EB98D38" w14:textId="77777777" w:rsidR="00352962" w:rsidRPr="003878A7" w:rsidRDefault="00352962" w:rsidP="00352962">
            <w:pPr>
              <w:spacing w:before="0" w:after="0"/>
              <w:ind w:firstLine="0"/>
              <w:jc w:val="right"/>
              <w:rPr>
                <w:rFonts w:eastAsia="Times New Roman" w:cs="Times New Roman"/>
                <w:b/>
                <w:bCs/>
                <w:color w:val="000000"/>
                <w:sz w:val="21"/>
                <w:szCs w:val="21"/>
                <w:lang w:val="lt-LT" w:eastAsia="lt-LT"/>
              </w:rPr>
            </w:pPr>
            <w:r w:rsidRPr="003878A7">
              <w:rPr>
                <w:rFonts w:eastAsia="Times New Roman" w:cs="Times New Roman"/>
                <w:b/>
                <w:bCs/>
                <w:color w:val="000000"/>
                <w:sz w:val="21"/>
                <w:szCs w:val="21"/>
                <w:lang w:val="lt-LT" w:eastAsia="lt-LT"/>
              </w:rPr>
              <w:t>25</w:t>
            </w:r>
          </w:p>
        </w:tc>
        <w:tc>
          <w:tcPr>
            <w:tcW w:w="431" w:type="pct"/>
            <w:noWrap/>
            <w:hideMark/>
          </w:tcPr>
          <w:p w14:paraId="7F6B4BA5" w14:textId="77777777" w:rsidR="00352962" w:rsidRPr="003878A7" w:rsidRDefault="00352962" w:rsidP="00352962">
            <w:pPr>
              <w:spacing w:before="0" w:after="0"/>
              <w:ind w:firstLine="0"/>
              <w:jc w:val="right"/>
              <w:rPr>
                <w:rFonts w:eastAsia="Times New Roman" w:cs="Times New Roman"/>
                <w:b/>
                <w:bCs/>
                <w:color w:val="000000"/>
                <w:sz w:val="21"/>
                <w:szCs w:val="21"/>
                <w:lang w:val="lt-LT" w:eastAsia="lt-LT"/>
              </w:rPr>
            </w:pPr>
            <w:r w:rsidRPr="003878A7">
              <w:rPr>
                <w:rFonts w:eastAsia="Times New Roman" w:cs="Times New Roman"/>
                <w:b/>
                <w:bCs/>
                <w:color w:val="000000"/>
                <w:sz w:val="21"/>
                <w:szCs w:val="21"/>
                <w:lang w:val="lt-LT" w:eastAsia="lt-LT"/>
              </w:rPr>
              <w:t>27</w:t>
            </w:r>
          </w:p>
        </w:tc>
        <w:tc>
          <w:tcPr>
            <w:tcW w:w="431" w:type="pct"/>
            <w:noWrap/>
            <w:hideMark/>
          </w:tcPr>
          <w:p w14:paraId="524202E2" w14:textId="77777777" w:rsidR="00352962" w:rsidRPr="003878A7" w:rsidRDefault="00352962" w:rsidP="00352962">
            <w:pPr>
              <w:spacing w:before="0" w:after="0"/>
              <w:ind w:firstLine="0"/>
              <w:jc w:val="right"/>
              <w:rPr>
                <w:rFonts w:eastAsia="Times New Roman" w:cs="Times New Roman"/>
                <w:b/>
                <w:bCs/>
                <w:color w:val="000000"/>
                <w:sz w:val="21"/>
                <w:szCs w:val="21"/>
                <w:lang w:val="lt-LT" w:eastAsia="lt-LT"/>
              </w:rPr>
            </w:pPr>
            <w:r w:rsidRPr="003878A7">
              <w:rPr>
                <w:rFonts w:eastAsia="Times New Roman" w:cs="Times New Roman"/>
                <w:b/>
                <w:bCs/>
                <w:color w:val="000000"/>
                <w:sz w:val="21"/>
                <w:szCs w:val="21"/>
                <w:lang w:val="lt-LT" w:eastAsia="lt-LT"/>
              </w:rPr>
              <w:t>28</w:t>
            </w:r>
          </w:p>
        </w:tc>
        <w:tc>
          <w:tcPr>
            <w:tcW w:w="431" w:type="pct"/>
            <w:noWrap/>
            <w:hideMark/>
          </w:tcPr>
          <w:p w14:paraId="49758160" w14:textId="77777777" w:rsidR="00352962" w:rsidRPr="003878A7" w:rsidRDefault="00352962" w:rsidP="00352962">
            <w:pPr>
              <w:spacing w:before="0" w:after="0"/>
              <w:ind w:firstLine="0"/>
              <w:jc w:val="right"/>
              <w:rPr>
                <w:rFonts w:eastAsia="Times New Roman" w:cs="Times New Roman"/>
                <w:b/>
                <w:bCs/>
                <w:color w:val="000000"/>
                <w:sz w:val="21"/>
                <w:szCs w:val="21"/>
                <w:lang w:val="lt-LT" w:eastAsia="lt-LT"/>
              </w:rPr>
            </w:pPr>
            <w:r w:rsidRPr="003878A7">
              <w:rPr>
                <w:rFonts w:eastAsia="Times New Roman" w:cs="Times New Roman"/>
                <w:b/>
                <w:bCs/>
                <w:color w:val="000000"/>
                <w:sz w:val="21"/>
                <w:szCs w:val="21"/>
                <w:lang w:val="lt-LT" w:eastAsia="lt-LT"/>
              </w:rPr>
              <w:t>30</w:t>
            </w:r>
          </w:p>
        </w:tc>
      </w:tr>
    </w:tbl>
    <w:p w14:paraId="2CA22593" w14:textId="106FD3BC" w:rsidR="00352962" w:rsidRPr="003878A7" w:rsidRDefault="00352962" w:rsidP="00352962">
      <w:pPr>
        <w:spacing w:after="0"/>
        <w:rPr>
          <w:rFonts w:cs="Times New Roman"/>
          <w:sz w:val="20"/>
          <w:szCs w:val="20"/>
        </w:rPr>
      </w:pPr>
      <w:r w:rsidRPr="003878A7">
        <w:rPr>
          <w:rFonts w:cs="Times New Roman"/>
          <w:sz w:val="20"/>
          <w:szCs w:val="20"/>
        </w:rPr>
        <w:t>Šaltinis: sudaryta Vertintojų remiantis komercinių bankų apklausos rezultatais</w:t>
      </w:r>
    </w:p>
    <w:p w14:paraId="64760377" w14:textId="72F20B5C" w:rsidR="00253597" w:rsidRPr="003878A7" w:rsidRDefault="00253597" w:rsidP="00444022">
      <w:pPr>
        <w:rPr>
          <w:rFonts w:cs="Times New Roman"/>
        </w:rPr>
      </w:pPr>
      <w:r w:rsidRPr="003878A7">
        <w:rPr>
          <w:rFonts w:cs="Times New Roman"/>
        </w:rPr>
        <w:t xml:space="preserve">Komercinių bankų finansavimas, prieinamas </w:t>
      </w:r>
      <w:r w:rsidR="00352962" w:rsidRPr="003878A7">
        <w:rPr>
          <w:rFonts w:cs="Times New Roman"/>
        </w:rPr>
        <w:t>EE</w:t>
      </w:r>
      <w:r w:rsidRPr="003878A7">
        <w:rPr>
          <w:rFonts w:cs="Times New Roman"/>
        </w:rPr>
        <w:t xml:space="preserve"> projektams finansuoti sudaro apie 186 mln. </w:t>
      </w:r>
      <w:r w:rsidR="00607168" w:rsidRPr="003878A7">
        <w:rPr>
          <w:rFonts w:cs="Times New Roman"/>
        </w:rPr>
        <w:t>Eur</w:t>
      </w:r>
      <w:r w:rsidRPr="003878A7">
        <w:rPr>
          <w:rFonts w:cs="Times New Roman"/>
        </w:rPr>
        <w:t xml:space="preserve">. Atsižvelgiant į komercinių bankų apklausų metu suteiktą informaciją ir ekspertinį vertinimą, nesinaudojant </w:t>
      </w:r>
      <w:r w:rsidR="00607168" w:rsidRPr="003878A7">
        <w:rPr>
          <w:rFonts w:cs="Times New Roman"/>
        </w:rPr>
        <w:t>FP</w:t>
      </w:r>
      <w:r w:rsidRPr="003878A7">
        <w:rPr>
          <w:rFonts w:cs="Times New Roman"/>
        </w:rPr>
        <w:t xml:space="preserve"> pagalba, bankai galėtų paskolinti apie 11,6 mln. </w:t>
      </w:r>
      <w:r w:rsidR="00352962" w:rsidRPr="003878A7">
        <w:rPr>
          <w:rFonts w:cs="Times New Roman"/>
        </w:rPr>
        <w:t>Eur</w:t>
      </w:r>
      <w:r w:rsidRPr="003878A7">
        <w:rPr>
          <w:rFonts w:cs="Times New Roman"/>
        </w:rPr>
        <w:t>.</w:t>
      </w:r>
    </w:p>
    <w:p w14:paraId="712D614C" w14:textId="06A98A0F" w:rsidR="00253597" w:rsidRPr="003878A7" w:rsidRDefault="00253597" w:rsidP="007812ED">
      <w:pPr>
        <w:rPr>
          <w:rFonts w:cs="Times New Roman"/>
        </w:rPr>
      </w:pPr>
      <w:r w:rsidRPr="003878A7">
        <w:rPr>
          <w:rFonts w:cs="Times New Roman"/>
        </w:rPr>
        <w:t>Tarptautinės finansų institucijos yra vienas iš labai patikimų, galimai didelės apimties finansavimo šaltinių. Šio vertinimo atlikimo metu buvo nagrinėjama EIB, Europos plėtros ir rekonstrukcijos banko (</w:t>
      </w:r>
      <w:r w:rsidR="00FD523F" w:rsidRPr="003878A7">
        <w:rPr>
          <w:rFonts w:cs="Times New Roman"/>
        </w:rPr>
        <w:t xml:space="preserve">toliau – </w:t>
      </w:r>
      <w:r w:rsidRPr="003878A7">
        <w:rPr>
          <w:rFonts w:cs="Times New Roman"/>
        </w:rPr>
        <w:t>E</w:t>
      </w:r>
      <w:r w:rsidR="00FD523F" w:rsidRPr="003878A7">
        <w:rPr>
          <w:rFonts w:cs="Times New Roman"/>
        </w:rPr>
        <w:t>PR</w:t>
      </w:r>
      <w:r w:rsidRPr="003878A7">
        <w:rPr>
          <w:rFonts w:cs="Times New Roman"/>
        </w:rPr>
        <w:t>B), Šiaurės investicijų banko</w:t>
      </w:r>
      <w:r w:rsidR="008F2BC7" w:rsidRPr="003878A7">
        <w:rPr>
          <w:rFonts w:cs="Times New Roman"/>
        </w:rPr>
        <w:t xml:space="preserve"> (toliau – ŠIB)</w:t>
      </w:r>
      <w:r w:rsidRPr="003878A7">
        <w:rPr>
          <w:rFonts w:cs="Times New Roman"/>
        </w:rPr>
        <w:t xml:space="preserve"> ir Europos tarybos vystymo banko</w:t>
      </w:r>
      <w:r w:rsidR="008F2BC7" w:rsidRPr="003878A7">
        <w:rPr>
          <w:rFonts w:cs="Times New Roman"/>
        </w:rPr>
        <w:t xml:space="preserve"> (toliau – ETVB)</w:t>
      </w:r>
      <w:r w:rsidRPr="003878A7">
        <w:rPr>
          <w:rFonts w:cs="Times New Roman"/>
        </w:rPr>
        <w:t xml:space="preserve"> pateikta ir viešai prieinama informacija. Visos šios institucijos finansavimą projektams teikia vadovaudamosi savo investavimo gairėmis bei strategijomis, todėl kiekvienos iš šių institucijų finansavimas skiriasi tiek pagal siūlomas sąlygas, tiek pagal remiamas sritis. Šiuo metu finansavimą savo lėšomis </w:t>
      </w:r>
      <w:r w:rsidR="00A22453" w:rsidRPr="003878A7">
        <w:rPr>
          <w:rFonts w:cs="Times New Roman"/>
        </w:rPr>
        <w:t>EE</w:t>
      </w:r>
      <w:r w:rsidRPr="003878A7">
        <w:rPr>
          <w:rFonts w:cs="Times New Roman"/>
        </w:rPr>
        <w:t xml:space="preserve"> didinimo programose teikianti institucija yra tik viena – E</w:t>
      </w:r>
      <w:r w:rsidR="00FD523F" w:rsidRPr="003878A7">
        <w:rPr>
          <w:rFonts w:cs="Times New Roman"/>
        </w:rPr>
        <w:t>PR</w:t>
      </w:r>
      <w:r w:rsidRPr="003878A7">
        <w:rPr>
          <w:rFonts w:cs="Times New Roman"/>
        </w:rPr>
        <w:t xml:space="preserve">B, su kuria 2017 m. gegužės 10 d. VIPA pasirašė sutartį siekiant pritraukti papildomus 50 mln. </w:t>
      </w:r>
      <w:r w:rsidR="00444022" w:rsidRPr="003878A7">
        <w:rPr>
          <w:rFonts w:cs="Times New Roman"/>
        </w:rPr>
        <w:t>Eur</w:t>
      </w:r>
      <w:r w:rsidRPr="003878A7">
        <w:rPr>
          <w:rFonts w:cs="Times New Roman"/>
        </w:rPr>
        <w:t xml:space="preserve"> užtikrinant DNMF veiklos tęstinumą. </w:t>
      </w:r>
    </w:p>
    <w:p w14:paraId="012F47C7" w14:textId="531D336C" w:rsidR="007812ED" w:rsidRPr="003878A7" w:rsidRDefault="007812ED" w:rsidP="00352962">
      <w:pPr>
        <w:rPr>
          <w:rFonts w:cs="Times New Roman"/>
        </w:rPr>
      </w:pPr>
      <w:r w:rsidRPr="003878A7">
        <w:rPr>
          <w:rFonts w:cs="Times New Roman"/>
        </w:rPr>
        <w:t xml:space="preserve">Apačioje pateikiamas informacijos apie finansavimo pasiūlą apibendrinimas. </w:t>
      </w:r>
    </w:p>
    <w:p w14:paraId="478DF696" w14:textId="410DA754" w:rsidR="00B52207" w:rsidRPr="003878A7" w:rsidRDefault="00ED667A" w:rsidP="00ED667A">
      <w:pPr>
        <w:ind w:firstLine="0"/>
        <w:rPr>
          <w:rFonts w:cs="Times New Roman"/>
          <w:i/>
          <w:iCs/>
        </w:rPr>
      </w:pPr>
      <w:bookmarkStart w:id="11" w:name="_Hlk65252980"/>
      <w:r w:rsidRPr="003878A7">
        <w:rPr>
          <w:rFonts w:cs="Times New Roman"/>
          <w:i/>
          <w:iCs/>
        </w:rPr>
        <w:t xml:space="preserve">Lentelė Nr. </w:t>
      </w:r>
      <w:r w:rsidR="007812ED" w:rsidRPr="003878A7">
        <w:rPr>
          <w:rFonts w:cs="Times New Roman"/>
          <w:i/>
          <w:iCs/>
        </w:rPr>
        <w:t>3</w:t>
      </w:r>
      <w:r w:rsidRPr="003878A7">
        <w:rPr>
          <w:rFonts w:cs="Times New Roman"/>
          <w:i/>
          <w:iCs/>
        </w:rPr>
        <w:t xml:space="preserve">. </w:t>
      </w:r>
      <w:bookmarkEnd w:id="11"/>
      <w:r w:rsidRPr="003878A7">
        <w:rPr>
          <w:rFonts w:cs="Times New Roman"/>
          <w:i/>
          <w:iCs/>
        </w:rPr>
        <w:t xml:space="preserve">EE </w:t>
      </w:r>
      <w:r w:rsidR="007812ED" w:rsidRPr="003878A7">
        <w:rPr>
          <w:rFonts w:cs="Times New Roman"/>
          <w:i/>
          <w:iCs/>
        </w:rPr>
        <w:t>finansavimo pasiūla</w:t>
      </w:r>
    </w:p>
    <w:tbl>
      <w:tblPr>
        <w:tblStyle w:val="TableGridLight1"/>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1860"/>
        <w:gridCol w:w="3880"/>
        <w:gridCol w:w="1560"/>
      </w:tblGrid>
      <w:tr w:rsidR="007812ED" w:rsidRPr="003878A7" w14:paraId="4BD04FF0" w14:textId="77777777" w:rsidTr="00A22453">
        <w:trPr>
          <w:trHeight w:val="1380"/>
        </w:trPr>
        <w:tc>
          <w:tcPr>
            <w:tcW w:w="2260" w:type="dxa"/>
            <w:vAlign w:val="center"/>
            <w:hideMark/>
          </w:tcPr>
          <w:p w14:paraId="0A227F26" w14:textId="0C9AFD42" w:rsidR="007812ED" w:rsidRPr="003878A7" w:rsidRDefault="007812ED" w:rsidP="00A22453">
            <w:pPr>
              <w:spacing w:before="0" w:after="0"/>
              <w:ind w:firstLine="0"/>
              <w:jc w:val="left"/>
              <w:rPr>
                <w:rFonts w:eastAsia="Times New Roman" w:cs="Times New Roman"/>
                <w:b/>
                <w:bCs/>
                <w:sz w:val="21"/>
                <w:szCs w:val="21"/>
                <w:lang w:eastAsia="lt-LT"/>
              </w:rPr>
            </w:pPr>
            <w:r w:rsidRPr="003878A7">
              <w:rPr>
                <w:rFonts w:eastAsia="Times New Roman" w:cs="Times New Roman"/>
                <w:b/>
                <w:bCs/>
                <w:sz w:val="21"/>
                <w:szCs w:val="21"/>
                <w:lang w:eastAsia="lt-LT"/>
              </w:rPr>
              <w:t>Galimi pasiūlos finansavimo šaltiniai</w:t>
            </w:r>
          </w:p>
        </w:tc>
        <w:tc>
          <w:tcPr>
            <w:tcW w:w="1860" w:type="dxa"/>
            <w:vAlign w:val="center"/>
            <w:hideMark/>
          </w:tcPr>
          <w:p w14:paraId="68748668" w14:textId="5E7EDC11" w:rsidR="007812ED" w:rsidRPr="003878A7" w:rsidRDefault="007812ED" w:rsidP="007812ED">
            <w:pPr>
              <w:spacing w:before="0" w:after="0"/>
              <w:ind w:firstLine="0"/>
              <w:jc w:val="center"/>
              <w:rPr>
                <w:rFonts w:eastAsia="Times New Roman" w:cs="Times New Roman"/>
                <w:b/>
                <w:bCs/>
                <w:sz w:val="21"/>
                <w:szCs w:val="21"/>
                <w:lang w:eastAsia="lt-LT"/>
              </w:rPr>
            </w:pPr>
            <w:r w:rsidRPr="003878A7">
              <w:rPr>
                <w:rFonts w:eastAsia="Times New Roman" w:cs="Times New Roman"/>
                <w:b/>
                <w:bCs/>
                <w:sz w:val="21"/>
                <w:szCs w:val="21"/>
                <w:lang w:eastAsia="lt-LT"/>
              </w:rPr>
              <w:t>Investicijų pasiūla pagal finansavimo šaltinius, mln. Eur</w:t>
            </w:r>
          </w:p>
        </w:tc>
        <w:tc>
          <w:tcPr>
            <w:tcW w:w="3880" w:type="dxa"/>
            <w:vAlign w:val="center"/>
            <w:hideMark/>
          </w:tcPr>
          <w:p w14:paraId="5955270F" w14:textId="00437494" w:rsidR="007812ED" w:rsidRPr="003878A7" w:rsidRDefault="007812ED" w:rsidP="007812ED">
            <w:pPr>
              <w:spacing w:before="0" w:after="0"/>
              <w:ind w:firstLine="0"/>
              <w:jc w:val="center"/>
              <w:rPr>
                <w:rFonts w:eastAsia="Times New Roman" w:cs="Times New Roman"/>
                <w:b/>
                <w:bCs/>
                <w:sz w:val="21"/>
                <w:szCs w:val="21"/>
                <w:lang w:eastAsia="lt-LT"/>
              </w:rPr>
            </w:pPr>
            <w:r w:rsidRPr="003878A7">
              <w:rPr>
                <w:rFonts w:eastAsia="Times New Roman" w:cs="Times New Roman"/>
                <w:b/>
                <w:bCs/>
                <w:sz w:val="21"/>
                <w:szCs w:val="21"/>
                <w:lang w:eastAsia="lt-LT"/>
              </w:rPr>
              <w:t>Paaiškinimai</w:t>
            </w:r>
          </w:p>
        </w:tc>
        <w:tc>
          <w:tcPr>
            <w:tcW w:w="1560" w:type="dxa"/>
            <w:vAlign w:val="center"/>
            <w:hideMark/>
          </w:tcPr>
          <w:p w14:paraId="32C85E24" w14:textId="29A76C3A" w:rsidR="007812ED" w:rsidRPr="003878A7" w:rsidRDefault="007812ED" w:rsidP="007812ED">
            <w:pPr>
              <w:spacing w:before="0" w:after="0"/>
              <w:ind w:firstLine="0"/>
              <w:jc w:val="center"/>
              <w:rPr>
                <w:rFonts w:eastAsia="Times New Roman" w:cs="Times New Roman"/>
                <w:b/>
                <w:bCs/>
                <w:sz w:val="21"/>
                <w:szCs w:val="21"/>
                <w:lang w:eastAsia="lt-LT"/>
              </w:rPr>
            </w:pPr>
            <w:r w:rsidRPr="003878A7">
              <w:rPr>
                <w:rFonts w:eastAsia="Times New Roman" w:cs="Times New Roman"/>
                <w:b/>
                <w:bCs/>
                <w:sz w:val="21"/>
                <w:szCs w:val="21"/>
                <w:lang w:eastAsia="lt-LT"/>
              </w:rPr>
              <w:t>Investicijų pasiūla, mln. Eur</w:t>
            </w:r>
          </w:p>
        </w:tc>
      </w:tr>
      <w:tr w:rsidR="008B375B" w:rsidRPr="003878A7" w14:paraId="3905B03C" w14:textId="77777777" w:rsidTr="00ED667A">
        <w:trPr>
          <w:trHeight w:val="315"/>
        </w:trPr>
        <w:tc>
          <w:tcPr>
            <w:tcW w:w="4120" w:type="dxa"/>
            <w:gridSpan w:val="2"/>
            <w:noWrap/>
            <w:hideMark/>
          </w:tcPr>
          <w:p w14:paraId="11978142" w14:textId="77777777" w:rsidR="008B375B" w:rsidRPr="003878A7" w:rsidRDefault="008B375B" w:rsidP="007812ED">
            <w:pPr>
              <w:spacing w:before="0" w:after="0"/>
              <w:ind w:firstLine="0"/>
              <w:rPr>
                <w:rFonts w:eastAsia="Times New Roman" w:cs="Times New Roman"/>
                <w:b/>
                <w:bCs/>
                <w:sz w:val="21"/>
                <w:szCs w:val="21"/>
                <w:lang w:eastAsia="lt-LT"/>
              </w:rPr>
            </w:pPr>
            <w:r w:rsidRPr="003878A7">
              <w:rPr>
                <w:rFonts w:eastAsia="Times New Roman" w:cs="Times New Roman"/>
                <w:b/>
                <w:bCs/>
                <w:sz w:val="21"/>
                <w:szCs w:val="21"/>
                <w:lang w:eastAsia="lt-LT"/>
              </w:rPr>
              <w:t>Daugiabučių modernizavimas (2019 m.)</w:t>
            </w:r>
          </w:p>
        </w:tc>
        <w:tc>
          <w:tcPr>
            <w:tcW w:w="3880" w:type="dxa"/>
            <w:hideMark/>
          </w:tcPr>
          <w:p w14:paraId="7C4676FF" w14:textId="77777777" w:rsidR="008B375B" w:rsidRPr="003878A7" w:rsidRDefault="008B375B" w:rsidP="007812ED">
            <w:pPr>
              <w:spacing w:before="0" w:after="0"/>
              <w:ind w:firstLine="0"/>
              <w:jc w:val="center"/>
              <w:rPr>
                <w:rFonts w:eastAsia="Times New Roman" w:cs="Times New Roman"/>
                <w:b/>
                <w:bCs/>
                <w:color w:val="FFFFFF"/>
                <w:sz w:val="21"/>
                <w:szCs w:val="21"/>
                <w:lang w:eastAsia="lt-LT"/>
              </w:rPr>
            </w:pPr>
            <w:r w:rsidRPr="003878A7">
              <w:rPr>
                <w:rFonts w:eastAsia="Times New Roman" w:cs="Times New Roman"/>
                <w:b/>
                <w:bCs/>
                <w:color w:val="FFFFFF"/>
                <w:sz w:val="21"/>
                <w:szCs w:val="21"/>
                <w:lang w:eastAsia="lt-LT"/>
              </w:rPr>
              <w:t> </w:t>
            </w:r>
          </w:p>
        </w:tc>
        <w:tc>
          <w:tcPr>
            <w:tcW w:w="1560" w:type="dxa"/>
            <w:hideMark/>
          </w:tcPr>
          <w:p w14:paraId="3650136B" w14:textId="77777777" w:rsidR="008B375B" w:rsidRPr="003878A7" w:rsidRDefault="008B375B" w:rsidP="007812ED">
            <w:pPr>
              <w:spacing w:before="0" w:after="0"/>
              <w:ind w:firstLine="0"/>
              <w:jc w:val="center"/>
              <w:rPr>
                <w:rFonts w:eastAsia="Times New Roman" w:cs="Times New Roman"/>
                <w:b/>
                <w:bCs/>
                <w:color w:val="FFFFFF"/>
                <w:sz w:val="21"/>
                <w:szCs w:val="21"/>
                <w:lang w:eastAsia="lt-LT"/>
              </w:rPr>
            </w:pPr>
            <w:r w:rsidRPr="003878A7">
              <w:rPr>
                <w:rFonts w:eastAsia="Times New Roman" w:cs="Times New Roman"/>
                <w:b/>
                <w:bCs/>
                <w:color w:val="FFFFFF"/>
                <w:sz w:val="21"/>
                <w:szCs w:val="21"/>
                <w:lang w:eastAsia="lt-LT"/>
              </w:rPr>
              <w:t> </w:t>
            </w:r>
          </w:p>
        </w:tc>
      </w:tr>
      <w:tr w:rsidR="008B375B" w:rsidRPr="003878A7" w14:paraId="0FBC7E4F" w14:textId="77777777" w:rsidTr="00ED667A">
        <w:trPr>
          <w:trHeight w:val="1290"/>
        </w:trPr>
        <w:tc>
          <w:tcPr>
            <w:tcW w:w="2260" w:type="dxa"/>
            <w:hideMark/>
          </w:tcPr>
          <w:p w14:paraId="2A46C8C3" w14:textId="77777777" w:rsidR="008B375B" w:rsidRPr="003878A7" w:rsidRDefault="008B375B" w:rsidP="007812ED">
            <w:pPr>
              <w:spacing w:before="0" w:after="0"/>
              <w:ind w:firstLine="0"/>
              <w:rPr>
                <w:rFonts w:eastAsia="Times New Roman" w:cs="Times New Roman"/>
                <w:color w:val="000000"/>
                <w:sz w:val="21"/>
                <w:szCs w:val="21"/>
                <w:lang w:eastAsia="lt-LT"/>
              </w:rPr>
            </w:pPr>
            <w:r w:rsidRPr="003878A7">
              <w:rPr>
                <w:rFonts w:eastAsia="Times New Roman" w:cs="Times New Roman"/>
                <w:color w:val="000000"/>
                <w:sz w:val="21"/>
                <w:szCs w:val="21"/>
                <w:lang w:eastAsia="lt-LT"/>
              </w:rPr>
              <w:t>Identifikuoti privačių lėšų šaltiniai</w:t>
            </w:r>
          </w:p>
        </w:tc>
        <w:tc>
          <w:tcPr>
            <w:tcW w:w="1860" w:type="dxa"/>
            <w:hideMark/>
          </w:tcPr>
          <w:p w14:paraId="7890A7F2" w14:textId="77777777" w:rsidR="008B375B" w:rsidRPr="003878A7" w:rsidRDefault="008B375B" w:rsidP="007812ED">
            <w:pPr>
              <w:spacing w:before="0" w:after="0"/>
              <w:ind w:firstLine="0"/>
              <w:jc w:val="center"/>
              <w:rPr>
                <w:rFonts w:eastAsia="Times New Roman" w:cs="Times New Roman"/>
                <w:color w:val="000000"/>
                <w:sz w:val="21"/>
                <w:szCs w:val="21"/>
                <w:lang w:eastAsia="lt-LT"/>
              </w:rPr>
            </w:pPr>
            <w:r w:rsidRPr="003878A7">
              <w:rPr>
                <w:rFonts w:eastAsia="Times New Roman" w:cs="Times New Roman"/>
                <w:color w:val="000000"/>
                <w:sz w:val="21"/>
                <w:szCs w:val="21"/>
                <w:lang w:eastAsia="lt-LT"/>
              </w:rPr>
              <w:t>350</w:t>
            </w:r>
          </w:p>
        </w:tc>
        <w:tc>
          <w:tcPr>
            <w:tcW w:w="3880" w:type="dxa"/>
            <w:hideMark/>
          </w:tcPr>
          <w:p w14:paraId="6087D736" w14:textId="77777777" w:rsidR="008B375B" w:rsidRPr="003878A7" w:rsidRDefault="008B375B" w:rsidP="007812ED">
            <w:pPr>
              <w:spacing w:before="0" w:after="0"/>
              <w:ind w:firstLine="0"/>
              <w:rPr>
                <w:rFonts w:eastAsia="Times New Roman" w:cs="Times New Roman"/>
                <w:color w:val="000000"/>
                <w:sz w:val="21"/>
                <w:szCs w:val="21"/>
                <w:lang w:eastAsia="lt-LT"/>
              </w:rPr>
            </w:pPr>
            <w:r w:rsidRPr="003878A7">
              <w:rPr>
                <w:rFonts w:eastAsia="Times New Roman" w:cs="Times New Roman"/>
                <w:color w:val="000000"/>
                <w:sz w:val="21"/>
                <w:szCs w:val="21"/>
                <w:lang w:eastAsia="lt-LT"/>
              </w:rPr>
              <w:t>2017 m. pasirašyta sutartis su EPRB (50 mln. eurų), Valstybės perskolinamoji paskola (100 mln.), žaliosios obligacijos ir komercinių bankų nuosavų lėšų esamas ar planuojamas prisidėjimas prie RPF (200 mln.)</w:t>
            </w:r>
          </w:p>
        </w:tc>
        <w:tc>
          <w:tcPr>
            <w:tcW w:w="1560" w:type="dxa"/>
            <w:vMerge w:val="restart"/>
            <w:hideMark/>
          </w:tcPr>
          <w:p w14:paraId="56582CD3" w14:textId="77777777" w:rsidR="008B375B" w:rsidRPr="003878A7" w:rsidRDefault="008B375B" w:rsidP="007812ED">
            <w:pPr>
              <w:spacing w:before="0" w:after="0"/>
              <w:ind w:firstLine="0"/>
              <w:jc w:val="center"/>
              <w:rPr>
                <w:rFonts w:eastAsia="Times New Roman" w:cs="Times New Roman"/>
                <w:color w:val="000000"/>
                <w:sz w:val="21"/>
                <w:szCs w:val="21"/>
                <w:lang w:eastAsia="lt-LT"/>
              </w:rPr>
            </w:pPr>
            <w:r w:rsidRPr="003878A7">
              <w:rPr>
                <w:rFonts w:eastAsia="Times New Roman" w:cs="Times New Roman"/>
                <w:color w:val="000000"/>
                <w:sz w:val="21"/>
                <w:szCs w:val="21"/>
                <w:lang w:eastAsia="lt-LT"/>
              </w:rPr>
              <w:t>632</w:t>
            </w:r>
          </w:p>
        </w:tc>
      </w:tr>
      <w:tr w:rsidR="008B375B" w:rsidRPr="003878A7" w14:paraId="0C58928D" w14:textId="77777777" w:rsidTr="00ED667A">
        <w:trPr>
          <w:trHeight w:val="1035"/>
        </w:trPr>
        <w:tc>
          <w:tcPr>
            <w:tcW w:w="2260" w:type="dxa"/>
            <w:hideMark/>
          </w:tcPr>
          <w:p w14:paraId="4D466681" w14:textId="27DFD50E" w:rsidR="008B375B" w:rsidRPr="003878A7" w:rsidRDefault="008B375B" w:rsidP="007812ED">
            <w:pPr>
              <w:spacing w:before="0" w:after="0"/>
              <w:ind w:firstLine="0"/>
              <w:rPr>
                <w:rFonts w:eastAsia="Times New Roman" w:cs="Times New Roman"/>
                <w:color w:val="000000"/>
                <w:sz w:val="21"/>
                <w:szCs w:val="21"/>
                <w:lang w:eastAsia="lt-LT"/>
              </w:rPr>
            </w:pPr>
            <w:r w:rsidRPr="003878A7">
              <w:rPr>
                <w:rFonts w:eastAsia="Times New Roman" w:cs="Times New Roman"/>
                <w:color w:val="000000"/>
                <w:sz w:val="21"/>
                <w:szCs w:val="21"/>
                <w:lang w:eastAsia="lt-LT"/>
              </w:rPr>
              <w:t>ES</w:t>
            </w:r>
            <w:r w:rsidR="008F2BC7" w:rsidRPr="003878A7">
              <w:rPr>
                <w:rFonts w:eastAsia="Times New Roman" w:cs="Times New Roman"/>
                <w:color w:val="000000"/>
                <w:sz w:val="21"/>
                <w:szCs w:val="21"/>
                <w:lang w:eastAsia="lt-LT"/>
              </w:rPr>
              <w:t xml:space="preserve"> SF</w:t>
            </w:r>
            <w:r w:rsidRPr="003878A7">
              <w:rPr>
                <w:rFonts w:eastAsia="Times New Roman" w:cs="Times New Roman"/>
                <w:color w:val="000000"/>
                <w:sz w:val="21"/>
                <w:szCs w:val="21"/>
                <w:lang w:eastAsia="lt-LT"/>
              </w:rPr>
              <w:t xml:space="preserve"> lėšos</w:t>
            </w:r>
          </w:p>
        </w:tc>
        <w:tc>
          <w:tcPr>
            <w:tcW w:w="1860" w:type="dxa"/>
            <w:hideMark/>
          </w:tcPr>
          <w:p w14:paraId="20D7397C" w14:textId="77777777" w:rsidR="008B375B" w:rsidRPr="003878A7" w:rsidRDefault="008B375B" w:rsidP="007812ED">
            <w:pPr>
              <w:spacing w:before="0" w:after="0"/>
              <w:ind w:firstLine="0"/>
              <w:jc w:val="center"/>
              <w:rPr>
                <w:rFonts w:eastAsia="Times New Roman" w:cs="Times New Roman"/>
                <w:color w:val="000000"/>
                <w:sz w:val="21"/>
                <w:szCs w:val="21"/>
                <w:lang w:eastAsia="lt-LT"/>
              </w:rPr>
            </w:pPr>
            <w:r w:rsidRPr="003878A7">
              <w:rPr>
                <w:rFonts w:eastAsia="Times New Roman" w:cs="Times New Roman"/>
                <w:color w:val="000000"/>
                <w:sz w:val="21"/>
                <w:szCs w:val="21"/>
                <w:lang w:eastAsia="lt-LT"/>
              </w:rPr>
              <w:t>282</w:t>
            </w:r>
          </w:p>
        </w:tc>
        <w:tc>
          <w:tcPr>
            <w:tcW w:w="3880" w:type="dxa"/>
            <w:hideMark/>
          </w:tcPr>
          <w:p w14:paraId="7BC4FC9F" w14:textId="77777777" w:rsidR="008B375B" w:rsidRPr="003878A7" w:rsidRDefault="008B375B" w:rsidP="007812ED">
            <w:pPr>
              <w:spacing w:before="0" w:after="0"/>
              <w:ind w:firstLine="0"/>
              <w:rPr>
                <w:rFonts w:eastAsia="Times New Roman" w:cs="Times New Roman"/>
                <w:color w:val="000000"/>
                <w:sz w:val="21"/>
                <w:szCs w:val="21"/>
                <w:lang w:eastAsia="lt-LT"/>
              </w:rPr>
            </w:pPr>
            <w:r w:rsidRPr="003878A7">
              <w:rPr>
                <w:rFonts w:eastAsia="Times New Roman" w:cs="Times New Roman"/>
                <w:color w:val="000000"/>
                <w:sz w:val="21"/>
                <w:szCs w:val="21"/>
                <w:lang w:eastAsia="lt-LT"/>
              </w:rPr>
              <w:t>DNMF lėšos buvo pilnai išnaudotos iki 2016 m. pabaigos, todėl čia neįtraukiamos. Liko JESSICA FF neišnaudotos lėšos (150 mln.) ir RPF (90 mln.)</w:t>
            </w:r>
          </w:p>
        </w:tc>
        <w:tc>
          <w:tcPr>
            <w:tcW w:w="1560" w:type="dxa"/>
            <w:vMerge/>
            <w:hideMark/>
          </w:tcPr>
          <w:p w14:paraId="4F1C50E7" w14:textId="77777777" w:rsidR="008B375B" w:rsidRPr="003878A7" w:rsidRDefault="008B375B" w:rsidP="007812ED">
            <w:pPr>
              <w:spacing w:before="0" w:after="0"/>
              <w:ind w:firstLine="0"/>
              <w:rPr>
                <w:rFonts w:eastAsia="Times New Roman" w:cs="Times New Roman"/>
                <w:color w:val="000000"/>
                <w:sz w:val="21"/>
                <w:szCs w:val="21"/>
                <w:lang w:eastAsia="lt-LT"/>
              </w:rPr>
            </w:pPr>
          </w:p>
        </w:tc>
      </w:tr>
      <w:tr w:rsidR="008B375B" w:rsidRPr="003878A7" w14:paraId="1065BE23" w14:textId="77777777" w:rsidTr="00ED667A">
        <w:trPr>
          <w:trHeight w:val="1035"/>
        </w:trPr>
        <w:tc>
          <w:tcPr>
            <w:tcW w:w="2260" w:type="dxa"/>
            <w:hideMark/>
          </w:tcPr>
          <w:p w14:paraId="3CFADC87" w14:textId="77777777" w:rsidR="008B375B" w:rsidRPr="003878A7" w:rsidRDefault="008B375B" w:rsidP="007812ED">
            <w:pPr>
              <w:spacing w:before="0" w:after="0"/>
              <w:ind w:firstLine="0"/>
              <w:rPr>
                <w:rFonts w:eastAsia="Times New Roman" w:cs="Times New Roman"/>
                <w:color w:val="000000"/>
                <w:sz w:val="21"/>
                <w:szCs w:val="21"/>
                <w:lang w:eastAsia="lt-LT"/>
              </w:rPr>
            </w:pPr>
            <w:r w:rsidRPr="003878A7">
              <w:rPr>
                <w:rFonts w:eastAsia="Times New Roman" w:cs="Times New Roman"/>
                <w:color w:val="000000"/>
                <w:sz w:val="21"/>
                <w:szCs w:val="21"/>
                <w:lang w:eastAsia="lt-LT"/>
              </w:rPr>
              <w:t>RPF grįžusios lėšos</w:t>
            </w:r>
          </w:p>
        </w:tc>
        <w:tc>
          <w:tcPr>
            <w:tcW w:w="1860" w:type="dxa"/>
            <w:hideMark/>
          </w:tcPr>
          <w:p w14:paraId="7EEAEE72" w14:textId="77777777" w:rsidR="008B375B" w:rsidRPr="003878A7" w:rsidRDefault="008B375B" w:rsidP="007812ED">
            <w:pPr>
              <w:spacing w:before="0" w:after="0"/>
              <w:ind w:firstLine="0"/>
              <w:jc w:val="center"/>
              <w:rPr>
                <w:rFonts w:eastAsia="Times New Roman" w:cs="Times New Roman"/>
                <w:color w:val="000000"/>
                <w:sz w:val="21"/>
                <w:szCs w:val="21"/>
                <w:lang w:eastAsia="lt-LT"/>
              </w:rPr>
            </w:pPr>
            <w:r w:rsidRPr="003878A7">
              <w:rPr>
                <w:rFonts w:eastAsia="Times New Roman" w:cs="Times New Roman"/>
                <w:color w:val="000000"/>
                <w:sz w:val="21"/>
                <w:szCs w:val="21"/>
                <w:lang w:eastAsia="lt-LT"/>
              </w:rPr>
              <w:t>10,0</w:t>
            </w:r>
          </w:p>
        </w:tc>
        <w:tc>
          <w:tcPr>
            <w:tcW w:w="3880" w:type="dxa"/>
            <w:hideMark/>
          </w:tcPr>
          <w:p w14:paraId="15CA8F97" w14:textId="77777777" w:rsidR="008B375B" w:rsidRPr="003878A7" w:rsidRDefault="008B375B" w:rsidP="007812ED">
            <w:pPr>
              <w:spacing w:before="0" w:after="0"/>
              <w:ind w:firstLine="0"/>
              <w:rPr>
                <w:rFonts w:eastAsia="Times New Roman" w:cs="Times New Roman"/>
                <w:color w:val="000000"/>
                <w:sz w:val="21"/>
                <w:szCs w:val="21"/>
                <w:lang w:eastAsia="lt-LT"/>
              </w:rPr>
            </w:pPr>
            <w:r w:rsidRPr="003878A7">
              <w:rPr>
                <w:rFonts w:eastAsia="Times New Roman" w:cs="Times New Roman"/>
                <w:color w:val="000000"/>
                <w:sz w:val="21"/>
                <w:szCs w:val="21"/>
                <w:lang w:eastAsia="lt-LT"/>
              </w:rPr>
              <w:t>Iš pirmo laikotarpio grįžusios JESSICA lėšos. Kitos grįžusios lėšos (pvz. iš DNMF) nebus prieinamos iki 2023 m. pabaigos, todėl čia neįtraukiamos.</w:t>
            </w:r>
          </w:p>
        </w:tc>
        <w:tc>
          <w:tcPr>
            <w:tcW w:w="1560" w:type="dxa"/>
            <w:vMerge/>
            <w:hideMark/>
          </w:tcPr>
          <w:p w14:paraId="16F35738" w14:textId="77777777" w:rsidR="008B375B" w:rsidRPr="003878A7" w:rsidRDefault="008B375B" w:rsidP="007812ED">
            <w:pPr>
              <w:spacing w:before="0" w:after="0"/>
              <w:ind w:firstLine="0"/>
              <w:rPr>
                <w:rFonts w:eastAsia="Times New Roman" w:cs="Times New Roman"/>
                <w:color w:val="000000"/>
                <w:sz w:val="21"/>
                <w:szCs w:val="21"/>
                <w:lang w:eastAsia="lt-LT"/>
              </w:rPr>
            </w:pPr>
          </w:p>
        </w:tc>
      </w:tr>
      <w:tr w:rsidR="008B375B" w:rsidRPr="003878A7" w14:paraId="5AE9733F" w14:textId="77777777" w:rsidTr="00ED667A">
        <w:trPr>
          <w:trHeight w:val="315"/>
        </w:trPr>
        <w:tc>
          <w:tcPr>
            <w:tcW w:w="9560" w:type="dxa"/>
            <w:gridSpan w:val="4"/>
            <w:noWrap/>
            <w:hideMark/>
          </w:tcPr>
          <w:p w14:paraId="2A3C006F" w14:textId="77777777" w:rsidR="008B375B" w:rsidRPr="003878A7" w:rsidRDefault="008B375B" w:rsidP="007812ED">
            <w:pPr>
              <w:spacing w:before="0" w:after="0"/>
              <w:ind w:firstLine="0"/>
              <w:rPr>
                <w:rFonts w:eastAsia="Times New Roman" w:cs="Times New Roman"/>
                <w:color w:val="000000"/>
                <w:sz w:val="21"/>
                <w:szCs w:val="21"/>
                <w:lang w:eastAsia="lt-LT"/>
              </w:rPr>
            </w:pPr>
            <w:r w:rsidRPr="003878A7">
              <w:rPr>
                <w:rFonts w:eastAsia="Times New Roman" w:cs="Times New Roman"/>
                <w:b/>
                <w:bCs/>
                <w:color w:val="000000"/>
                <w:sz w:val="21"/>
                <w:szCs w:val="21"/>
                <w:lang w:eastAsia="lt-LT"/>
              </w:rPr>
              <w:t>Savivaldybių pastatų modernizavimas (2017 m.)</w:t>
            </w:r>
          </w:p>
        </w:tc>
      </w:tr>
      <w:tr w:rsidR="008B375B" w:rsidRPr="003878A7" w14:paraId="65B5A605" w14:textId="77777777" w:rsidTr="00ED667A">
        <w:trPr>
          <w:trHeight w:val="915"/>
        </w:trPr>
        <w:tc>
          <w:tcPr>
            <w:tcW w:w="2260" w:type="dxa"/>
            <w:hideMark/>
          </w:tcPr>
          <w:p w14:paraId="48F71852" w14:textId="77777777" w:rsidR="008B375B" w:rsidRPr="003878A7" w:rsidRDefault="008B375B" w:rsidP="007812ED">
            <w:pPr>
              <w:spacing w:before="0" w:after="0"/>
              <w:ind w:firstLine="0"/>
              <w:rPr>
                <w:rFonts w:eastAsia="Times New Roman" w:cs="Times New Roman"/>
                <w:color w:val="000000"/>
                <w:sz w:val="21"/>
                <w:szCs w:val="21"/>
                <w:lang w:eastAsia="lt-LT"/>
              </w:rPr>
            </w:pPr>
            <w:r w:rsidRPr="003878A7">
              <w:rPr>
                <w:rFonts w:eastAsia="Times New Roman" w:cs="Times New Roman"/>
                <w:color w:val="000000"/>
                <w:sz w:val="21"/>
                <w:szCs w:val="21"/>
                <w:lang w:eastAsia="lt-LT"/>
              </w:rPr>
              <w:lastRenderedPageBreak/>
              <w:t>Komerciniai bankai</w:t>
            </w:r>
          </w:p>
        </w:tc>
        <w:tc>
          <w:tcPr>
            <w:tcW w:w="1860" w:type="dxa"/>
            <w:hideMark/>
          </w:tcPr>
          <w:p w14:paraId="4A6CD2DC" w14:textId="77777777" w:rsidR="008B375B" w:rsidRPr="003878A7" w:rsidRDefault="008B375B" w:rsidP="007812ED">
            <w:pPr>
              <w:spacing w:before="0" w:after="0"/>
              <w:ind w:firstLine="0"/>
              <w:jc w:val="center"/>
              <w:rPr>
                <w:rFonts w:eastAsia="Times New Roman" w:cs="Times New Roman"/>
                <w:color w:val="000000"/>
                <w:sz w:val="21"/>
                <w:szCs w:val="21"/>
                <w:lang w:eastAsia="lt-LT"/>
              </w:rPr>
            </w:pPr>
            <w:r w:rsidRPr="003878A7">
              <w:rPr>
                <w:rFonts w:eastAsia="Times New Roman" w:cs="Times New Roman"/>
                <w:color w:val="000000"/>
                <w:sz w:val="21"/>
                <w:szCs w:val="21"/>
                <w:lang w:eastAsia="lt-LT"/>
              </w:rPr>
              <w:t>0,0</w:t>
            </w:r>
          </w:p>
        </w:tc>
        <w:tc>
          <w:tcPr>
            <w:tcW w:w="3880" w:type="dxa"/>
            <w:hideMark/>
          </w:tcPr>
          <w:p w14:paraId="4BE2304A" w14:textId="77777777" w:rsidR="008B375B" w:rsidRPr="003878A7" w:rsidRDefault="008B375B" w:rsidP="007812ED">
            <w:pPr>
              <w:spacing w:before="0" w:after="0"/>
              <w:ind w:firstLine="0"/>
              <w:rPr>
                <w:rFonts w:eastAsia="Times New Roman" w:cs="Times New Roman"/>
                <w:color w:val="000000"/>
                <w:sz w:val="21"/>
                <w:szCs w:val="21"/>
                <w:lang w:eastAsia="lt-LT"/>
              </w:rPr>
            </w:pPr>
            <w:r w:rsidRPr="003878A7">
              <w:rPr>
                <w:rFonts w:eastAsia="Times New Roman" w:cs="Times New Roman"/>
                <w:color w:val="000000"/>
                <w:sz w:val="21"/>
                <w:szCs w:val="21"/>
                <w:lang w:eastAsia="lt-LT"/>
              </w:rPr>
              <w:t xml:space="preserve">Šiuo metu bankai neteikia paskolų savivaldybių pastatų modernizavimui dėl šių finansinės situacijos. </w:t>
            </w:r>
          </w:p>
        </w:tc>
        <w:tc>
          <w:tcPr>
            <w:tcW w:w="1560" w:type="dxa"/>
            <w:vMerge w:val="restart"/>
            <w:hideMark/>
          </w:tcPr>
          <w:p w14:paraId="3F637614" w14:textId="77777777" w:rsidR="008B375B" w:rsidRPr="003878A7" w:rsidRDefault="008B375B" w:rsidP="007812ED">
            <w:pPr>
              <w:spacing w:before="0" w:after="0"/>
              <w:ind w:firstLine="0"/>
              <w:jc w:val="center"/>
              <w:rPr>
                <w:rFonts w:eastAsia="Times New Roman" w:cs="Times New Roman"/>
                <w:color w:val="000000"/>
                <w:sz w:val="21"/>
                <w:szCs w:val="21"/>
                <w:lang w:eastAsia="lt-LT"/>
              </w:rPr>
            </w:pPr>
            <w:r w:rsidRPr="003878A7">
              <w:rPr>
                <w:rFonts w:eastAsia="Times New Roman" w:cs="Times New Roman"/>
                <w:color w:val="000000"/>
                <w:sz w:val="21"/>
                <w:szCs w:val="21"/>
                <w:lang w:eastAsia="lt-LT"/>
              </w:rPr>
              <w:t>18,1</w:t>
            </w:r>
          </w:p>
        </w:tc>
      </w:tr>
      <w:tr w:rsidR="008B375B" w:rsidRPr="003878A7" w14:paraId="4D54B655" w14:textId="77777777" w:rsidTr="00ED667A">
        <w:trPr>
          <w:trHeight w:val="525"/>
        </w:trPr>
        <w:tc>
          <w:tcPr>
            <w:tcW w:w="2260" w:type="dxa"/>
            <w:hideMark/>
          </w:tcPr>
          <w:p w14:paraId="04AEF5F8" w14:textId="28073388" w:rsidR="008B375B" w:rsidRPr="003878A7" w:rsidRDefault="008F2BC7" w:rsidP="007812ED">
            <w:pPr>
              <w:spacing w:before="0" w:after="0"/>
              <w:ind w:firstLine="0"/>
              <w:rPr>
                <w:rFonts w:eastAsia="Times New Roman" w:cs="Times New Roman"/>
                <w:color w:val="000000"/>
                <w:sz w:val="21"/>
                <w:szCs w:val="21"/>
                <w:lang w:eastAsia="lt-LT"/>
              </w:rPr>
            </w:pPr>
            <w:r w:rsidRPr="003878A7">
              <w:rPr>
                <w:rFonts w:eastAsia="Times New Roman" w:cs="Times New Roman"/>
                <w:color w:val="000000"/>
                <w:sz w:val="21"/>
                <w:szCs w:val="21"/>
                <w:lang w:eastAsia="lt-LT"/>
              </w:rPr>
              <w:t>ES SF</w:t>
            </w:r>
            <w:r w:rsidR="008B375B" w:rsidRPr="003878A7">
              <w:rPr>
                <w:rFonts w:eastAsia="Times New Roman" w:cs="Times New Roman"/>
                <w:color w:val="000000"/>
                <w:sz w:val="21"/>
                <w:szCs w:val="21"/>
                <w:lang w:eastAsia="lt-LT"/>
              </w:rPr>
              <w:t xml:space="preserve"> fondų lėšos</w:t>
            </w:r>
          </w:p>
        </w:tc>
        <w:tc>
          <w:tcPr>
            <w:tcW w:w="1860" w:type="dxa"/>
            <w:hideMark/>
          </w:tcPr>
          <w:p w14:paraId="471EF100" w14:textId="77777777" w:rsidR="008B375B" w:rsidRPr="003878A7" w:rsidRDefault="008B375B" w:rsidP="007812ED">
            <w:pPr>
              <w:spacing w:before="0" w:after="0"/>
              <w:ind w:firstLine="0"/>
              <w:jc w:val="center"/>
              <w:rPr>
                <w:rFonts w:eastAsia="Times New Roman" w:cs="Times New Roman"/>
                <w:color w:val="000000"/>
                <w:sz w:val="21"/>
                <w:szCs w:val="21"/>
                <w:lang w:eastAsia="lt-LT"/>
              </w:rPr>
            </w:pPr>
            <w:r w:rsidRPr="003878A7">
              <w:rPr>
                <w:rFonts w:eastAsia="Times New Roman" w:cs="Times New Roman"/>
                <w:color w:val="000000"/>
                <w:sz w:val="21"/>
                <w:szCs w:val="21"/>
                <w:lang w:eastAsia="lt-LT"/>
              </w:rPr>
              <w:t>17,3</w:t>
            </w:r>
          </w:p>
        </w:tc>
        <w:tc>
          <w:tcPr>
            <w:tcW w:w="3880" w:type="dxa"/>
            <w:hideMark/>
          </w:tcPr>
          <w:p w14:paraId="091078E7" w14:textId="532F3573" w:rsidR="008B375B" w:rsidRPr="003878A7" w:rsidRDefault="008B375B" w:rsidP="007812ED">
            <w:pPr>
              <w:spacing w:before="0" w:after="0"/>
              <w:ind w:firstLine="0"/>
              <w:rPr>
                <w:rFonts w:eastAsia="Times New Roman" w:cs="Times New Roman"/>
                <w:color w:val="000000"/>
                <w:sz w:val="21"/>
                <w:szCs w:val="21"/>
                <w:lang w:eastAsia="lt-LT"/>
              </w:rPr>
            </w:pPr>
            <w:r w:rsidRPr="003878A7">
              <w:rPr>
                <w:rFonts w:eastAsia="Times New Roman" w:cs="Times New Roman"/>
                <w:color w:val="000000"/>
                <w:sz w:val="21"/>
                <w:szCs w:val="21"/>
                <w:lang w:eastAsia="lt-LT"/>
              </w:rPr>
              <w:t xml:space="preserve">Savivaldybių pastatų fondas kaip nurodyta </w:t>
            </w:r>
            <w:r w:rsidR="00CF06EF" w:rsidRPr="003878A7">
              <w:rPr>
                <w:rFonts w:eastAsia="Times New Roman" w:cs="Times New Roman"/>
                <w:color w:val="000000"/>
                <w:sz w:val="21"/>
                <w:szCs w:val="21"/>
                <w:lang w:eastAsia="lt-LT"/>
              </w:rPr>
              <w:t>VP</w:t>
            </w:r>
            <w:r w:rsidRPr="003878A7">
              <w:rPr>
                <w:rFonts w:eastAsia="Times New Roman" w:cs="Times New Roman"/>
                <w:color w:val="000000"/>
                <w:sz w:val="21"/>
                <w:szCs w:val="21"/>
                <w:lang w:eastAsia="lt-LT"/>
              </w:rPr>
              <w:t>.</w:t>
            </w:r>
          </w:p>
        </w:tc>
        <w:tc>
          <w:tcPr>
            <w:tcW w:w="1560" w:type="dxa"/>
            <w:vMerge/>
            <w:hideMark/>
          </w:tcPr>
          <w:p w14:paraId="57FAD89C" w14:textId="77777777" w:rsidR="008B375B" w:rsidRPr="003878A7" w:rsidRDefault="008B375B" w:rsidP="007812ED">
            <w:pPr>
              <w:spacing w:before="0" w:after="0"/>
              <w:ind w:firstLine="0"/>
              <w:rPr>
                <w:rFonts w:eastAsia="Times New Roman" w:cs="Times New Roman"/>
                <w:color w:val="000000"/>
                <w:sz w:val="21"/>
                <w:szCs w:val="21"/>
                <w:lang w:eastAsia="lt-LT"/>
              </w:rPr>
            </w:pPr>
          </w:p>
        </w:tc>
      </w:tr>
      <w:tr w:rsidR="008B375B" w:rsidRPr="003878A7" w14:paraId="2C46C0A9" w14:textId="77777777" w:rsidTr="00ED667A">
        <w:trPr>
          <w:trHeight w:val="780"/>
        </w:trPr>
        <w:tc>
          <w:tcPr>
            <w:tcW w:w="2260" w:type="dxa"/>
            <w:hideMark/>
          </w:tcPr>
          <w:p w14:paraId="45E3B6AB" w14:textId="77777777" w:rsidR="008B375B" w:rsidRPr="003878A7" w:rsidRDefault="008B375B" w:rsidP="007812ED">
            <w:pPr>
              <w:spacing w:before="0" w:after="0"/>
              <w:ind w:firstLine="0"/>
              <w:rPr>
                <w:rFonts w:eastAsia="Times New Roman" w:cs="Times New Roman"/>
                <w:color w:val="000000"/>
                <w:sz w:val="21"/>
                <w:szCs w:val="21"/>
                <w:lang w:eastAsia="lt-LT"/>
              </w:rPr>
            </w:pPr>
            <w:r w:rsidRPr="003878A7">
              <w:rPr>
                <w:rFonts w:eastAsia="Times New Roman" w:cs="Times New Roman"/>
                <w:color w:val="000000"/>
                <w:sz w:val="21"/>
                <w:szCs w:val="21"/>
                <w:lang w:eastAsia="lt-LT"/>
              </w:rPr>
              <w:t>Nuosavos lėšos</w:t>
            </w:r>
          </w:p>
        </w:tc>
        <w:tc>
          <w:tcPr>
            <w:tcW w:w="1860" w:type="dxa"/>
            <w:hideMark/>
          </w:tcPr>
          <w:p w14:paraId="4BE38527" w14:textId="77777777" w:rsidR="008B375B" w:rsidRPr="003878A7" w:rsidRDefault="008B375B" w:rsidP="007812ED">
            <w:pPr>
              <w:spacing w:before="0" w:after="0"/>
              <w:ind w:firstLine="0"/>
              <w:jc w:val="center"/>
              <w:rPr>
                <w:rFonts w:eastAsia="Times New Roman" w:cs="Times New Roman"/>
                <w:color w:val="000000"/>
                <w:sz w:val="21"/>
                <w:szCs w:val="21"/>
                <w:lang w:eastAsia="lt-LT"/>
              </w:rPr>
            </w:pPr>
            <w:r w:rsidRPr="003878A7">
              <w:rPr>
                <w:rFonts w:eastAsia="Times New Roman" w:cs="Times New Roman"/>
                <w:color w:val="000000"/>
                <w:sz w:val="21"/>
                <w:szCs w:val="21"/>
                <w:lang w:eastAsia="lt-LT"/>
              </w:rPr>
              <w:t>0,9</w:t>
            </w:r>
          </w:p>
        </w:tc>
        <w:tc>
          <w:tcPr>
            <w:tcW w:w="3880" w:type="dxa"/>
            <w:hideMark/>
          </w:tcPr>
          <w:p w14:paraId="72780A7F" w14:textId="77777777" w:rsidR="008B375B" w:rsidRPr="003878A7" w:rsidRDefault="008B375B" w:rsidP="007812ED">
            <w:pPr>
              <w:spacing w:before="0" w:after="0"/>
              <w:ind w:firstLine="0"/>
              <w:rPr>
                <w:rFonts w:eastAsia="Times New Roman" w:cs="Times New Roman"/>
                <w:color w:val="000000"/>
                <w:sz w:val="21"/>
                <w:szCs w:val="21"/>
                <w:lang w:eastAsia="lt-LT"/>
              </w:rPr>
            </w:pPr>
            <w:r w:rsidRPr="003878A7">
              <w:rPr>
                <w:rFonts w:eastAsia="Times New Roman" w:cs="Times New Roman"/>
                <w:color w:val="000000"/>
                <w:sz w:val="21"/>
                <w:szCs w:val="21"/>
                <w:lang w:eastAsia="lt-LT"/>
              </w:rPr>
              <w:t>Savivaldybės turės prisidėti bent 5% prie visos renovuojamų pastatų sumos (ko-finansavimas)</w:t>
            </w:r>
          </w:p>
        </w:tc>
        <w:tc>
          <w:tcPr>
            <w:tcW w:w="1560" w:type="dxa"/>
            <w:vMerge/>
            <w:hideMark/>
          </w:tcPr>
          <w:p w14:paraId="0237A878" w14:textId="77777777" w:rsidR="008B375B" w:rsidRPr="003878A7" w:rsidRDefault="008B375B" w:rsidP="007812ED">
            <w:pPr>
              <w:spacing w:before="0" w:after="0"/>
              <w:ind w:firstLine="0"/>
              <w:rPr>
                <w:rFonts w:eastAsia="Times New Roman" w:cs="Times New Roman"/>
                <w:color w:val="000000"/>
                <w:sz w:val="21"/>
                <w:szCs w:val="21"/>
                <w:lang w:eastAsia="lt-LT"/>
              </w:rPr>
            </w:pPr>
          </w:p>
        </w:tc>
      </w:tr>
      <w:tr w:rsidR="00A22453" w:rsidRPr="003878A7" w14:paraId="71264AF1" w14:textId="77777777" w:rsidTr="00A22453">
        <w:trPr>
          <w:trHeight w:val="243"/>
        </w:trPr>
        <w:tc>
          <w:tcPr>
            <w:tcW w:w="9560" w:type="dxa"/>
            <w:gridSpan w:val="4"/>
            <w:noWrap/>
            <w:hideMark/>
          </w:tcPr>
          <w:p w14:paraId="63D4AE0E" w14:textId="33ACD725" w:rsidR="00A22453" w:rsidRPr="003878A7" w:rsidRDefault="00A22453" w:rsidP="00A22453">
            <w:pPr>
              <w:spacing w:before="0" w:after="0"/>
              <w:ind w:firstLine="0"/>
              <w:rPr>
                <w:rFonts w:eastAsia="Times New Roman" w:cs="Times New Roman"/>
                <w:b/>
                <w:bCs/>
                <w:color w:val="000000"/>
                <w:sz w:val="21"/>
                <w:szCs w:val="21"/>
                <w:lang w:eastAsia="lt-LT"/>
              </w:rPr>
            </w:pPr>
            <w:r w:rsidRPr="003878A7">
              <w:rPr>
                <w:rFonts w:eastAsia="Times New Roman" w:cs="Times New Roman"/>
                <w:b/>
                <w:bCs/>
                <w:color w:val="000000"/>
                <w:sz w:val="21"/>
                <w:szCs w:val="21"/>
                <w:lang w:eastAsia="lt-LT"/>
              </w:rPr>
              <w:t>Centrinės valdžios pastatų modernizavimas (2017 m.)</w:t>
            </w:r>
          </w:p>
        </w:tc>
      </w:tr>
      <w:tr w:rsidR="008B375B" w:rsidRPr="003878A7" w14:paraId="072E8BF1" w14:textId="77777777" w:rsidTr="00ED667A">
        <w:trPr>
          <w:trHeight w:val="1545"/>
        </w:trPr>
        <w:tc>
          <w:tcPr>
            <w:tcW w:w="2260" w:type="dxa"/>
            <w:hideMark/>
          </w:tcPr>
          <w:p w14:paraId="6515E30E" w14:textId="77777777" w:rsidR="008B375B" w:rsidRPr="003878A7" w:rsidRDefault="008B375B" w:rsidP="007812ED">
            <w:pPr>
              <w:spacing w:before="0" w:after="0"/>
              <w:ind w:firstLine="0"/>
              <w:rPr>
                <w:rFonts w:eastAsia="Times New Roman" w:cs="Times New Roman"/>
                <w:color w:val="000000"/>
                <w:sz w:val="21"/>
                <w:szCs w:val="21"/>
                <w:lang w:eastAsia="lt-LT"/>
              </w:rPr>
            </w:pPr>
            <w:r w:rsidRPr="003878A7">
              <w:rPr>
                <w:rFonts w:eastAsia="Times New Roman" w:cs="Times New Roman"/>
                <w:color w:val="000000"/>
                <w:sz w:val="21"/>
                <w:szCs w:val="21"/>
                <w:lang w:eastAsia="lt-LT"/>
              </w:rPr>
              <w:t>Komerciniai bankai</w:t>
            </w:r>
          </w:p>
        </w:tc>
        <w:tc>
          <w:tcPr>
            <w:tcW w:w="1860" w:type="dxa"/>
            <w:hideMark/>
          </w:tcPr>
          <w:p w14:paraId="13B47252" w14:textId="77777777" w:rsidR="008B375B" w:rsidRPr="003878A7" w:rsidRDefault="008B375B" w:rsidP="007812ED">
            <w:pPr>
              <w:spacing w:before="0" w:after="0"/>
              <w:ind w:firstLine="0"/>
              <w:jc w:val="center"/>
              <w:rPr>
                <w:rFonts w:eastAsia="Times New Roman" w:cs="Times New Roman"/>
                <w:color w:val="000000"/>
                <w:sz w:val="21"/>
                <w:szCs w:val="21"/>
                <w:lang w:eastAsia="lt-LT"/>
              </w:rPr>
            </w:pPr>
            <w:r w:rsidRPr="003878A7">
              <w:rPr>
                <w:rFonts w:eastAsia="Times New Roman" w:cs="Times New Roman"/>
                <w:color w:val="000000"/>
                <w:sz w:val="21"/>
                <w:szCs w:val="21"/>
                <w:lang w:eastAsia="lt-LT"/>
              </w:rPr>
              <w:t>15,7</w:t>
            </w:r>
          </w:p>
        </w:tc>
        <w:tc>
          <w:tcPr>
            <w:tcW w:w="3880" w:type="dxa"/>
            <w:hideMark/>
          </w:tcPr>
          <w:p w14:paraId="0C926C4A" w14:textId="62F098AF" w:rsidR="008B375B" w:rsidRPr="003878A7" w:rsidRDefault="008B375B" w:rsidP="007812ED">
            <w:pPr>
              <w:spacing w:before="0" w:after="0"/>
              <w:ind w:firstLine="0"/>
              <w:rPr>
                <w:rFonts w:eastAsia="Times New Roman" w:cs="Times New Roman"/>
                <w:color w:val="000000"/>
                <w:sz w:val="21"/>
                <w:szCs w:val="21"/>
                <w:lang w:eastAsia="lt-LT"/>
              </w:rPr>
            </w:pPr>
            <w:r w:rsidRPr="003878A7">
              <w:rPr>
                <w:rFonts w:eastAsia="Times New Roman" w:cs="Times New Roman"/>
                <w:color w:val="000000"/>
                <w:sz w:val="21"/>
                <w:szCs w:val="21"/>
                <w:lang w:eastAsia="lt-LT"/>
              </w:rPr>
              <w:t xml:space="preserve">Remiantis Priemonių įgyvendinimo planu (PIP), ENEF fonde turi būti pritraukta ne mažiau nei 19 mln. eurų privačių investicijų. Jos padalinamos tarp centrinės valdžios ir gatvių apšvietimo projektų tokia pat proporcija kaip ir </w:t>
            </w:r>
            <w:r w:rsidR="008F2BC7" w:rsidRPr="003878A7">
              <w:rPr>
                <w:rFonts w:eastAsia="Times New Roman" w:cs="Times New Roman"/>
                <w:color w:val="000000"/>
                <w:sz w:val="21"/>
                <w:szCs w:val="21"/>
                <w:lang w:eastAsia="lt-LT"/>
              </w:rPr>
              <w:t>ES SF</w:t>
            </w:r>
            <w:r w:rsidRPr="003878A7">
              <w:rPr>
                <w:rFonts w:eastAsia="Times New Roman" w:cs="Times New Roman"/>
                <w:color w:val="000000"/>
                <w:sz w:val="21"/>
                <w:szCs w:val="21"/>
                <w:lang w:eastAsia="lt-LT"/>
              </w:rPr>
              <w:t xml:space="preserve"> lėšos fonde.</w:t>
            </w:r>
          </w:p>
        </w:tc>
        <w:tc>
          <w:tcPr>
            <w:tcW w:w="1560" w:type="dxa"/>
            <w:vMerge w:val="restart"/>
            <w:hideMark/>
          </w:tcPr>
          <w:p w14:paraId="685104B5" w14:textId="77777777" w:rsidR="008B375B" w:rsidRPr="003878A7" w:rsidRDefault="008B375B" w:rsidP="007812ED">
            <w:pPr>
              <w:spacing w:before="0" w:after="0"/>
              <w:ind w:firstLine="0"/>
              <w:jc w:val="center"/>
              <w:rPr>
                <w:rFonts w:eastAsia="Times New Roman" w:cs="Times New Roman"/>
                <w:color w:val="000000"/>
                <w:sz w:val="21"/>
                <w:szCs w:val="21"/>
                <w:lang w:eastAsia="lt-LT"/>
              </w:rPr>
            </w:pPr>
            <w:r w:rsidRPr="003878A7">
              <w:rPr>
                <w:rFonts w:eastAsia="Times New Roman" w:cs="Times New Roman"/>
                <w:color w:val="000000"/>
                <w:sz w:val="21"/>
                <w:szCs w:val="21"/>
                <w:lang w:eastAsia="lt-LT"/>
              </w:rPr>
              <w:t>109,8</w:t>
            </w:r>
          </w:p>
        </w:tc>
      </w:tr>
      <w:tr w:rsidR="008B375B" w:rsidRPr="003878A7" w14:paraId="3AEDC3C7" w14:textId="77777777" w:rsidTr="00ED667A">
        <w:trPr>
          <w:trHeight w:val="1290"/>
        </w:trPr>
        <w:tc>
          <w:tcPr>
            <w:tcW w:w="2260" w:type="dxa"/>
            <w:hideMark/>
          </w:tcPr>
          <w:p w14:paraId="1FBB5D84" w14:textId="7EC8C1A4" w:rsidR="008B375B" w:rsidRPr="003878A7" w:rsidRDefault="008F2BC7" w:rsidP="007812ED">
            <w:pPr>
              <w:spacing w:before="0" w:after="0"/>
              <w:ind w:firstLine="0"/>
              <w:rPr>
                <w:rFonts w:eastAsia="Times New Roman" w:cs="Times New Roman"/>
                <w:color w:val="000000"/>
                <w:sz w:val="21"/>
                <w:szCs w:val="21"/>
                <w:lang w:eastAsia="lt-LT"/>
              </w:rPr>
            </w:pPr>
            <w:r w:rsidRPr="003878A7">
              <w:rPr>
                <w:rFonts w:eastAsia="Times New Roman" w:cs="Times New Roman"/>
                <w:color w:val="000000"/>
                <w:sz w:val="21"/>
                <w:szCs w:val="21"/>
                <w:lang w:eastAsia="lt-LT"/>
              </w:rPr>
              <w:t>ES SF</w:t>
            </w:r>
            <w:r w:rsidR="008B375B" w:rsidRPr="003878A7">
              <w:rPr>
                <w:rFonts w:eastAsia="Times New Roman" w:cs="Times New Roman"/>
                <w:color w:val="000000"/>
                <w:sz w:val="21"/>
                <w:szCs w:val="21"/>
                <w:lang w:eastAsia="lt-LT"/>
              </w:rPr>
              <w:t xml:space="preserve"> fondų lėšos</w:t>
            </w:r>
          </w:p>
        </w:tc>
        <w:tc>
          <w:tcPr>
            <w:tcW w:w="1860" w:type="dxa"/>
            <w:hideMark/>
          </w:tcPr>
          <w:p w14:paraId="71FF56EF" w14:textId="77777777" w:rsidR="008B375B" w:rsidRPr="003878A7" w:rsidRDefault="008B375B" w:rsidP="007812ED">
            <w:pPr>
              <w:spacing w:before="0" w:after="0"/>
              <w:ind w:firstLine="0"/>
              <w:jc w:val="center"/>
              <w:rPr>
                <w:rFonts w:eastAsia="Times New Roman" w:cs="Times New Roman"/>
                <w:color w:val="000000"/>
                <w:sz w:val="21"/>
                <w:szCs w:val="21"/>
                <w:lang w:eastAsia="lt-LT"/>
              </w:rPr>
            </w:pPr>
            <w:r w:rsidRPr="003878A7">
              <w:rPr>
                <w:rFonts w:eastAsia="Times New Roman" w:cs="Times New Roman"/>
                <w:color w:val="000000"/>
                <w:sz w:val="21"/>
                <w:szCs w:val="21"/>
                <w:lang w:eastAsia="lt-LT"/>
              </w:rPr>
              <w:t>94,1</w:t>
            </w:r>
          </w:p>
        </w:tc>
        <w:tc>
          <w:tcPr>
            <w:tcW w:w="3880" w:type="dxa"/>
            <w:hideMark/>
          </w:tcPr>
          <w:p w14:paraId="6BB701B0" w14:textId="457B71C8" w:rsidR="008B375B" w:rsidRPr="003878A7" w:rsidRDefault="008F2BC7" w:rsidP="007812ED">
            <w:pPr>
              <w:spacing w:before="0" w:after="0"/>
              <w:ind w:firstLine="0"/>
              <w:rPr>
                <w:rFonts w:eastAsia="Times New Roman" w:cs="Times New Roman"/>
                <w:color w:val="000000"/>
                <w:sz w:val="21"/>
                <w:szCs w:val="21"/>
                <w:lang w:eastAsia="lt-LT"/>
              </w:rPr>
            </w:pPr>
            <w:r w:rsidRPr="003878A7">
              <w:rPr>
                <w:rFonts w:eastAsia="Times New Roman" w:cs="Times New Roman"/>
                <w:color w:val="000000"/>
                <w:sz w:val="21"/>
                <w:szCs w:val="21"/>
                <w:lang w:eastAsia="lt-LT"/>
              </w:rPr>
              <w:t>„</w:t>
            </w:r>
            <w:r w:rsidR="008B375B" w:rsidRPr="003878A7">
              <w:rPr>
                <w:rFonts w:eastAsia="Times New Roman" w:cs="Times New Roman"/>
                <w:color w:val="000000"/>
                <w:sz w:val="21"/>
                <w:szCs w:val="21"/>
                <w:lang w:eastAsia="lt-LT"/>
              </w:rPr>
              <w:t>Valstybei nuosavybės teise priklausančių pastatų atnaujinimas</w:t>
            </w:r>
            <w:r w:rsidRPr="003878A7">
              <w:rPr>
                <w:rFonts w:eastAsia="Times New Roman" w:cs="Times New Roman"/>
                <w:color w:val="000000"/>
                <w:sz w:val="21"/>
                <w:szCs w:val="21"/>
                <w:lang w:eastAsia="lt-LT"/>
              </w:rPr>
              <w:t>“</w:t>
            </w:r>
            <w:r w:rsidR="008B375B" w:rsidRPr="003878A7">
              <w:rPr>
                <w:rFonts w:eastAsia="Times New Roman" w:cs="Times New Roman"/>
                <w:color w:val="000000"/>
                <w:sz w:val="21"/>
                <w:szCs w:val="21"/>
                <w:lang w:eastAsia="lt-LT"/>
              </w:rPr>
              <w:t xml:space="preserve"> priemonės lėšos (28,9 mln. </w:t>
            </w:r>
            <w:r w:rsidRPr="003878A7">
              <w:rPr>
                <w:rFonts w:eastAsia="Times New Roman" w:cs="Times New Roman"/>
                <w:color w:val="000000"/>
                <w:sz w:val="21"/>
                <w:szCs w:val="21"/>
                <w:lang w:eastAsia="lt-LT"/>
              </w:rPr>
              <w:t>Eur</w:t>
            </w:r>
            <w:r w:rsidR="008B375B" w:rsidRPr="003878A7">
              <w:rPr>
                <w:rFonts w:eastAsia="Times New Roman" w:cs="Times New Roman"/>
                <w:color w:val="000000"/>
                <w:sz w:val="21"/>
                <w:szCs w:val="21"/>
                <w:lang w:eastAsia="lt-LT"/>
              </w:rPr>
              <w:t xml:space="preserve">) naudojamos per grąžinamąją subsidiją ir ENEF paskolų </w:t>
            </w:r>
            <w:r w:rsidR="000C2D2B" w:rsidRPr="003878A7">
              <w:rPr>
                <w:rFonts w:eastAsia="Times New Roman" w:cs="Times New Roman"/>
                <w:color w:val="000000"/>
                <w:sz w:val="21"/>
                <w:szCs w:val="21"/>
                <w:lang w:eastAsia="lt-LT"/>
              </w:rPr>
              <w:t>FP</w:t>
            </w:r>
            <w:r w:rsidR="008B375B" w:rsidRPr="003878A7">
              <w:rPr>
                <w:rFonts w:eastAsia="Times New Roman" w:cs="Times New Roman"/>
                <w:color w:val="000000"/>
                <w:sz w:val="21"/>
                <w:szCs w:val="21"/>
                <w:lang w:eastAsia="lt-LT"/>
              </w:rPr>
              <w:t xml:space="preserve"> (65,16 mln. </w:t>
            </w:r>
            <w:r w:rsidR="000C2D2B" w:rsidRPr="003878A7">
              <w:rPr>
                <w:rFonts w:eastAsia="Times New Roman" w:cs="Times New Roman"/>
                <w:color w:val="000000"/>
                <w:sz w:val="21"/>
                <w:szCs w:val="21"/>
                <w:lang w:eastAsia="lt-LT"/>
              </w:rPr>
              <w:t>Eur</w:t>
            </w:r>
            <w:r w:rsidR="008B375B" w:rsidRPr="003878A7">
              <w:rPr>
                <w:rFonts w:eastAsia="Times New Roman" w:cs="Times New Roman"/>
                <w:color w:val="000000"/>
                <w:sz w:val="21"/>
                <w:szCs w:val="21"/>
                <w:lang w:eastAsia="lt-LT"/>
              </w:rPr>
              <w:t xml:space="preserve">) </w:t>
            </w:r>
          </w:p>
        </w:tc>
        <w:tc>
          <w:tcPr>
            <w:tcW w:w="1560" w:type="dxa"/>
            <w:vMerge/>
            <w:hideMark/>
          </w:tcPr>
          <w:p w14:paraId="66C8A84F" w14:textId="77777777" w:rsidR="008B375B" w:rsidRPr="003878A7" w:rsidRDefault="008B375B" w:rsidP="007812ED">
            <w:pPr>
              <w:spacing w:before="0" w:after="0"/>
              <w:ind w:firstLine="0"/>
              <w:rPr>
                <w:rFonts w:eastAsia="Times New Roman" w:cs="Times New Roman"/>
                <w:color w:val="000000"/>
                <w:sz w:val="21"/>
                <w:szCs w:val="21"/>
                <w:lang w:eastAsia="lt-LT"/>
              </w:rPr>
            </w:pPr>
          </w:p>
        </w:tc>
      </w:tr>
      <w:tr w:rsidR="00A22453" w:rsidRPr="003878A7" w14:paraId="62AC58BA" w14:textId="77777777" w:rsidTr="006C6AC6">
        <w:trPr>
          <w:trHeight w:val="315"/>
        </w:trPr>
        <w:tc>
          <w:tcPr>
            <w:tcW w:w="9560" w:type="dxa"/>
            <w:gridSpan w:val="4"/>
            <w:noWrap/>
            <w:hideMark/>
          </w:tcPr>
          <w:p w14:paraId="0A25AEB7" w14:textId="340D3A27" w:rsidR="00A22453" w:rsidRPr="003878A7" w:rsidRDefault="00A22453" w:rsidP="007812ED">
            <w:pPr>
              <w:spacing w:before="0" w:after="0"/>
              <w:ind w:firstLine="0"/>
              <w:rPr>
                <w:rFonts w:eastAsia="Times New Roman" w:cs="Times New Roman"/>
                <w:b/>
                <w:bCs/>
                <w:color w:val="000000"/>
                <w:sz w:val="21"/>
                <w:szCs w:val="21"/>
                <w:lang w:eastAsia="lt-LT"/>
              </w:rPr>
            </w:pPr>
            <w:r w:rsidRPr="003878A7">
              <w:rPr>
                <w:rFonts w:eastAsia="Times New Roman" w:cs="Times New Roman"/>
                <w:b/>
                <w:bCs/>
                <w:color w:val="000000"/>
                <w:sz w:val="21"/>
                <w:szCs w:val="21"/>
                <w:lang w:eastAsia="lt-LT"/>
              </w:rPr>
              <w:t>Gatvių apšvietimo modernizavimas (2017 m.)</w:t>
            </w:r>
          </w:p>
        </w:tc>
      </w:tr>
      <w:tr w:rsidR="008B375B" w:rsidRPr="003878A7" w14:paraId="5E55205C" w14:textId="77777777" w:rsidTr="00ED667A">
        <w:trPr>
          <w:trHeight w:val="870"/>
        </w:trPr>
        <w:tc>
          <w:tcPr>
            <w:tcW w:w="2260" w:type="dxa"/>
            <w:hideMark/>
          </w:tcPr>
          <w:p w14:paraId="08D4C4E5" w14:textId="77777777" w:rsidR="008B375B" w:rsidRPr="003878A7" w:rsidRDefault="008B375B" w:rsidP="007812ED">
            <w:pPr>
              <w:spacing w:before="0" w:after="0"/>
              <w:ind w:firstLine="0"/>
              <w:rPr>
                <w:rFonts w:eastAsia="Times New Roman" w:cs="Times New Roman"/>
                <w:color w:val="000000"/>
                <w:sz w:val="21"/>
                <w:szCs w:val="21"/>
                <w:lang w:eastAsia="lt-LT"/>
              </w:rPr>
            </w:pPr>
            <w:r w:rsidRPr="003878A7">
              <w:rPr>
                <w:rFonts w:eastAsia="Times New Roman" w:cs="Times New Roman"/>
                <w:color w:val="000000"/>
                <w:sz w:val="21"/>
                <w:szCs w:val="21"/>
                <w:lang w:eastAsia="lt-LT"/>
              </w:rPr>
              <w:t>Komerciniai bankai</w:t>
            </w:r>
          </w:p>
        </w:tc>
        <w:tc>
          <w:tcPr>
            <w:tcW w:w="1860" w:type="dxa"/>
            <w:hideMark/>
          </w:tcPr>
          <w:p w14:paraId="65923931" w14:textId="77777777" w:rsidR="008B375B" w:rsidRPr="003878A7" w:rsidRDefault="008B375B" w:rsidP="007812ED">
            <w:pPr>
              <w:spacing w:before="0" w:after="0"/>
              <w:ind w:firstLine="0"/>
              <w:jc w:val="center"/>
              <w:rPr>
                <w:rFonts w:eastAsia="Times New Roman" w:cs="Times New Roman"/>
                <w:color w:val="000000"/>
                <w:sz w:val="21"/>
                <w:szCs w:val="21"/>
                <w:lang w:eastAsia="lt-LT"/>
              </w:rPr>
            </w:pPr>
            <w:r w:rsidRPr="003878A7">
              <w:rPr>
                <w:rFonts w:eastAsia="Times New Roman" w:cs="Times New Roman"/>
                <w:color w:val="000000"/>
                <w:sz w:val="21"/>
                <w:szCs w:val="21"/>
                <w:lang w:eastAsia="lt-LT"/>
              </w:rPr>
              <w:t>0,0</w:t>
            </w:r>
          </w:p>
        </w:tc>
        <w:tc>
          <w:tcPr>
            <w:tcW w:w="3880" w:type="dxa"/>
            <w:hideMark/>
          </w:tcPr>
          <w:p w14:paraId="35A8E8E3" w14:textId="77777777" w:rsidR="008B375B" w:rsidRPr="003878A7" w:rsidRDefault="008B375B" w:rsidP="007812ED">
            <w:pPr>
              <w:spacing w:before="0" w:after="0"/>
              <w:ind w:firstLine="0"/>
              <w:rPr>
                <w:rFonts w:eastAsia="Times New Roman" w:cs="Times New Roman"/>
                <w:color w:val="000000"/>
                <w:sz w:val="21"/>
                <w:szCs w:val="21"/>
                <w:lang w:eastAsia="lt-LT"/>
              </w:rPr>
            </w:pPr>
            <w:r w:rsidRPr="003878A7">
              <w:rPr>
                <w:rFonts w:eastAsia="Times New Roman" w:cs="Times New Roman"/>
                <w:color w:val="000000"/>
                <w:sz w:val="21"/>
                <w:szCs w:val="21"/>
                <w:lang w:eastAsia="lt-LT"/>
              </w:rPr>
              <w:t>Šiuo metu nėra informacijos, kad bankai teiktų finansavimą gatvių apšvietimo modernizavimui</w:t>
            </w:r>
          </w:p>
        </w:tc>
        <w:tc>
          <w:tcPr>
            <w:tcW w:w="1560" w:type="dxa"/>
            <w:vMerge w:val="restart"/>
            <w:noWrap/>
            <w:hideMark/>
          </w:tcPr>
          <w:p w14:paraId="2BFB2F5F" w14:textId="77777777" w:rsidR="008B375B" w:rsidRPr="003878A7" w:rsidRDefault="008B375B" w:rsidP="007812ED">
            <w:pPr>
              <w:spacing w:before="0" w:after="0"/>
              <w:ind w:firstLine="0"/>
              <w:jc w:val="center"/>
              <w:rPr>
                <w:rFonts w:eastAsia="Times New Roman" w:cs="Times New Roman"/>
                <w:color w:val="000000"/>
                <w:sz w:val="21"/>
                <w:szCs w:val="21"/>
                <w:lang w:eastAsia="lt-LT"/>
              </w:rPr>
            </w:pPr>
            <w:r w:rsidRPr="003878A7">
              <w:rPr>
                <w:rFonts w:eastAsia="Times New Roman" w:cs="Times New Roman"/>
                <w:color w:val="000000"/>
                <w:sz w:val="21"/>
                <w:szCs w:val="21"/>
                <w:lang w:eastAsia="lt-LT"/>
              </w:rPr>
              <w:t>18,0</w:t>
            </w:r>
          </w:p>
        </w:tc>
      </w:tr>
      <w:tr w:rsidR="008B375B" w:rsidRPr="003878A7" w14:paraId="45407100" w14:textId="77777777" w:rsidTr="00ED667A">
        <w:trPr>
          <w:trHeight w:val="525"/>
        </w:trPr>
        <w:tc>
          <w:tcPr>
            <w:tcW w:w="2260" w:type="dxa"/>
            <w:hideMark/>
          </w:tcPr>
          <w:p w14:paraId="02C742E4" w14:textId="65833479" w:rsidR="008B375B" w:rsidRPr="003878A7" w:rsidRDefault="008F2BC7" w:rsidP="007812ED">
            <w:pPr>
              <w:spacing w:before="0" w:after="0"/>
              <w:ind w:firstLine="0"/>
              <w:rPr>
                <w:rFonts w:eastAsia="Times New Roman" w:cs="Times New Roman"/>
                <w:color w:val="000000"/>
                <w:sz w:val="21"/>
                <w:szCs w:val="21"/>
                <w:lang w:eastAsia="lt-LT"/>
              </w:rPr>
            </w:pPr>
            <w:r w:rsidRPr="003878A7">
              <w:rPr>
                <w:rFonts w:eastAsia="Times New Roman" w:cs="Times New Roman"/>
                <w:color w:val="000000"/>
                <w:sz w:val="21"/>
                <w:szCs w:val="21"/>
                <w:lang w:eastAsia="lt-LT"/>
              </w:rPr>
              <w:t>ES SF</w:t>
            </w:r>
            <w:r w:rsidR="008B375B" w:rsidRPr="003878A7">
              <w:rPr>
                <w:rFonts w:eastAsia="Times New Roman" w:cs="Times New Roman"/>
                <w:color w:val="000000"/>
                <w:sz w:val="21"/>
                <w:szCs w:val="21"/>
                <w:lang w:eastAsia="lt-LT"/>
              </w:rPr>
              <w:t xml:space="preserve"> fondų parama</w:t>
            </w:r>
          </w:p>
        </w:tc>
        <w:tc>
          <w:tcPr>
            <w:tcW w:w="1860" w:type="dxa"/>
            <w:hideMark/>
          </w:tcPr>
          <w:p w14:paraId="315DD3A9" w14:textId="77777777" w:rsidR="008B375B" w:rsidRPr="003878A7" w:rsidRDefault="008B375B" w:rsidP="007812ED">
            <w:pPr>
              <w:spacing w:before="0" w:after="0"/>
              <w:ind w:firstLine="0"/>
              <w:jc w:val="center"/>
              <w:rPr>
                <w:rFonts w:eastAsia="Times New Roman" w:cs="Times New Roman"/>
                <w:color w:val="000000"/>
                <w:sz w:val="21"/>
                <w:szCs w:val="21"/>
                <w:lang w:eastAsia="lt-LT"/>
              </w:rPr>
            </w:pPr>
            <w:r w:rsidRPr="003878A7">
              <w:rPr>
                <w:rFonts w:eastAsia="Times New Roman" w:cs="Times New Roman"/>
                <w:color w:val="000000"/>
                <w:sz w:val="21"/>
                <w:szCs w:val="21"/>
                <w:lang w:eastAsia="lt-LT"/>
              </w:rPr>
              <w:t>14,5</w:t>
            </w:r>
          </w:p>
        </w:tc>
        <w:tc>
          <w:tcPr>
            <w:tcW w:w="3880" w:type="dxa"/>
            <w:hideMark/>
          </w:tcPr>
          <w:p w14:paraId="778DC206" w14:textId="6B6A9F62" w:rsidR="008B375B" w:rsidRPr="003878A7" w:rsidRDefault="008B375B" w:rsidP="007812ED">
            <w:pPr>
              <w:spacing w:before="0" w:after="0"/>
              <w:ind w:firstLine="0"/>
              <w:rPr>
                <w:rFonts w:eastAsia="Times New Roman" w:cs="Times New Roman"/>
                <w:color w:val="000000"/>
                <w:sz w:val="21"/>
                <w:szCs w:val="21"/>
                <w:lang w:eastAsia="lt-LT"/>
              </w:rPr>
            </w:pPr>
            <w:r w:rsidRPr="003878A7">
              <w:rPr>
                <w:rFonts w:eastAsia="Times New Roman" w:cs="Times New Roman"/>
                <w:color w:val="000000"/>
                <w:sz w:val="21"/>
                <w:szCs w:val="21"/>
                <w:lang w:eastAsia="lt-LT"/>
              </w:rPr>
              <w:t xml:space="preserve">ENEF garantijos priemonė gatvių apšvietimui (14,5 mln. </w:t>
            </w:r>
            <w:r w:rsidR="003878A7">
              <w:rPr>
                <w:rFonts w:eastAsia="Times New Roman" w:cs="Times New Roman"/>
                <w:color w:val="000000"/>
                <w:sz w:val="21"/>
                <w:szCs w:val="21"/>
                <w:lang w:eastAsia="lt-LT"/>
              </w:rPr>
              <w:t>Eur</w:t>
            </w:r>
            <w:r w:rsidRPr="003878A7">
              <w:rPr>
                <w:rFonts w:eastAsia="Times New Roman" w:cs="Times New Roman"/>
                <w:color w:val="000000"/>
                <w:sz w:val="21"/>
                <w:szCs w:val="21"/>
                <w:lang w:eastAsia="lt-LT"/>
              </w:rPr>
              <w:t>)</w:t>
            </w:r>
          </w:p>
        </w:tc>
        <w:tc>
          <w:tcPr>
            <w:tcW w:w="1560" w:type="dxa"/>
            <w:vMerge/>
            <w:hideMark/>
          </w:tcPr>
          <w:p w14:paraId="145969E7" w14:textId="77777777" w:rsidR="008B375B" w:rsidRPr="003878A7" w:rsidRDefault="008B375B" w:rsidP="007812ED">
            <w:pPr>
              <w:spacing w:before="0" w:after="0"/>
              <w:ind w:firstLine="0"/>
              <w:rPr>
                <w:rFonts w:eastAsia="Times New Roman" w:cs="Times New Roman"/>
                <w:color w:val="000000"/>
                <w:sz w:val="21"/>
                <w:szCs w:val="21"/>
                <w:lang w:eastAsia="lt-LT"/>
              </w:rPr>
            </w:pPr>
          </w:p>
        </w:tc>
      </w:tr>
      <w:tr w:rsidR="008B375B" w:rsidRPr="003878A7" w14:paraId="11DEEB53" w14:textId="77777777" w:rsidTr="00ED667A">
        <w:trPr>
          <w:trHeight w:val="1035"/>
        </w:trPr>
        <w:tc>
          <w:tcPr>
            <w:tcW w:w="2260" w:type="dxa"/>
            <w:hideMark/>
          </w:tcPr>
          <w:p w14:paraId="543BDBAC" w14:textId="77777777" w:rsidR="008B375B" w:rsidRPr="003878A7" w:rsidRDefault="008B375B" w:rsidP="007812ED">
            <w:pPr>
              <w:spacing w:before="0" w:after="0"/>
              <w:ind w:firstLine="0"/>
              <w:rPr>
                <w:rFonts w:eastAsia="Times New Roman" w:cs="Times New Roman"/>
                <w:color w:val="000000"/>
                <w:sz w:val="21"/>
                <w:szCs w:val="21"/>
                <w:lang w:eastAsia="lt-LT"/>
              </w:rPr>
            </w:pPr>
            <w:r w:rsidRPr="003878A7">
              <w:rPr>
                <w:rFonts w:eastAsia="Times New Roman" w:cs="Times New Roman"/>
                <w:color w:val="000000"/>
                <w:sz w:val="21"/>
                <w:szCs w:val="21"/>
                <w:lang w:eastAsia="lt-LT"/>
              </w:rPr>
              <w:t>Nuosavos lėšos</w:t>
            </w:r>
          </w:p>
        </w:tc>
        <w:tc>
          <w:tcPr>
            <w:tcW w:w="1860" w:type="dxa"/>
            <w:hideMark/>
          </w:tcPr>
          <w:p w14:paraId="17674B0D" w14:textId="77777777" w:rsidR="008B375B" w:rsidRPr="003878A7" w:rsidRDefault="008B375B" w:rsidP="007812ED">
            <w:pPr>
              <w:spacing w:before="0" w:after="0"/>
              <w:ind w:firstLine="0"/>
              <w:jc w:val="center"/>
              <w:rPr>
                <w:rFonts w:eastAsia="Times New Roman" w:cs="Times New Roman"/>
                <w:color w:val="000000"/>
                <w:sz w:val="21"/>
                <w:szCs w:val="21"/>
                <w:lang w:eastAsia="lt-LT"/>
              </w:rPr>
            </w:pPr>
            <w:r w:rsidRPr="003878A7">
              <w:rPr>
                <w:rFonts w:eastAsia="Times New Roman" w:cs="Times New Roman"/>
                <w:color w:val="000000"/>
                <w:sz w:val="21"/>
                <w:szCs w:val="21"/>
                <w:lang w:eastAsia="lt-LT"/>
              </w:rPr>
              <w:t>3,5</w:t>
            </w:r>
          </w:p>
        </w:tc>
        <w:tc>
          <w:tcPr>
            <w:tcW w:w="3880" w:type="dxa"/>
            <w:hideMark/>
          </w:tcPr>
          <w:p w14:paraId="70B6E4F9" w14:textId="77777777" w:rsidR="008B375B" w:rsidRPr="003878A7" w:rsidRDefault="008B375B" w:rsidP="007812ED">
            <w:pPr>
              <w:spacing w:before="0" w:after="0"/>
              <w:ind w:firstLine="0"/>
              <w:rPr>
                <w:rFonts w:eastAsia="Times New Roman" w:cs="Times New Roman"/>
                <w:color w:val="000000"/>
                <w:sz w:val="21"/>
                <w:szCs w:val="21"/>
                <w:lang w:eastAsia="lt-LT"/>
              </w:rPr>
            </w:pPr>
            <w:r w:rsidRPr="003878A7">
              <w:rPr>
                <w:rFonts w:eastAsia="Times New Roman" w:cs="Times New Roman"/>
                <w:color w:val="000000"/>
                <w:sz w:val="21"/>
                <w:szCs w:val="21"/>
                <w:lang w:eastAsia="lt-LT"/>
              </w:rPr>
              <w:t>Darome prielaidą, jog iš privačiai pritrauktų ENEF lėšų bus proporcingai atnaujinami centrinės valdžios pastatai ir gatvių apšvietimas.</w:t>
            </w:r>
          </w:p>
        </w:tc>
        <w:tc>
          <w:tcPr>
            <w:tcW w:w="1560" w:type="dxa"/>
            <w:vMerge/>
            <w:hideMark/>
          </w:tcPr>
          <w:p w14:paraId="337B0797" w14:textId="77777777" w:rsidR="008B375B" w:rsidRPr="003878A7" w:rsidRDefault="008B375B" w:rsidP="007812ED">
            <w:pPr>
              <w:spacing w:before="0" w:after="0"/>
              <w:ind w:firstLine="0"/>
              <w:rPr>
                <w:rFonts w:eastAsia="Times New Roman" w:cs="Times New Roman"/>
                <w:color w:val="000000"/>
                <w:sz w:val="21"/>
                <w:szCs w:val="21"/>
                <w:lang w:eastAsia="lt-LT"/>
              </w:rPr>
            </w:pPr>
          </w:p>
        </w:tc>
      </w:tr>
    </w:tbl>
    <w:p w14:paraId="043D26C7" w14:textId="58EA8896" w:rsidR="00F24E65" w:rsidRPr="003878A7" w:rsidRDefault="007812ED" w:rsidP="007812ED">
      <w:pPr>
        <w:spacing w:after="0"/>
        <w:rPr>
          <w:rFonts w:cs="Times New Roman"/>
          <w:sz w:val="20"/>
          <w:szCs w:val="20"/>
        </w:rPr>
      </w:pPr>
      <w:r w:rsidRPr="003878A7">
        <w:rPr>
          <w:rFonts w:cs="Times New Roman"/>
          <w:sz w:val="20"/>
          <w:szCs w:val="20"/>
        </w:rPr>
        <w:t>Šaltinis: sudaryta Vertintojų</w:t>
      </w:r>
    </w:p>
    <w:p w14:paraId="2594B471" w14:textId="44412BA0" w:rsidR="00253597" w:rsidRPr="003878A7" w:rsidRDefault="00253597" w:rsidP="00B22949">
      <w:pPr>
        <w:pStyle w:val="Heading2"/>
        <w:numPr>
          <w:ilvl w:val="1"/>
          <w:numId w:val="3"/>
        </w:numPr>
        <w:ind w:left="709" w:hanging="425"/>
        <w:rPr>
          <w:rFonts w:cs="Times New Roman"/>
        </w:rPr>
      </w:pPr>
      <w:bookmarkStart w:id="12" w:name="_Toc70532862"/>
      <w:r w:rsidRPr="003878A7">
        <w:rPr>
          <w:rFonts w:cs="Times New Roman"/>
        </w:rPr>
        <w:t>Investicijų trūkumo vertinimas ir jo susidarymo priežasčių analizė</w:t>
      </w:r>
      <w:bookmarkEnd w:id="12"/>
    </w:p>
    <w:p w14:paraId="41A458AC" w14:textId="6B821527" w:rsidR="007812ED" w:rsidRPr="003878A7" w:rsidRDefault="007812ED" w:rsidP="007812ED">
      <w:pPr>
        <w:rPr>
          <w:rFonts w:cs="Times New Roman"/>
        </w:rPr>
      </w:pPr>
      <w:bookmarkStart w:id="13" w:name="_Toc19105239"/>
      <w:r w:rsidRPr="003878A7">
        <w:rPr>
          <w:rFonts w:cs="Times New Roman"/>
        </w:rPr>
        <w:t xml:space="preserve">Įvertinus investicijų paklausą ir finansavimo pasiūlą buvo nustatytas investicijų trukumas pagal infrastruktūros tipą. </w:t>
      </w:r>
    </w:p>
    <w:p w14:paraId="7A745D54" w14:textId="7A7CB864" w:rsidR="00253597" w:rsidRPr="003878A7" w:rsidRDefault="007812ED" w:rsidP="00061B8B">
      <w:pPr>
        <w:ind w:firstLine="0"/>
        <w:rPr>
          <w:rFonts w:cs="Times New Roman"/>
          <w:i/>
          <w:iCs/>
        </w:rPr>
      </w:pPr>
      <w:r w:rsidRPr="003878A7">
        <w:rPr>
          <w:rFonts w:cs="Times New Roman"/>
          <w:i/>
          <w:iCs/>
        </w:rPr>
        <w:t>Lentelė Nr. 4. Rinkos investicijų trūkumo įvertinimo duomenys</w:t>
      </w:r>
      <w:bookmarkEnd w:id="13"/>
    </w:p>
    <w:tbl>
      <w:tblPr>
        <w:tblStyle w:val="TableGrid"/>
        <w:tblW w:w="5000" w:type="pct"/>
        <w:tblLook w:val="04A0" w:firstRow="1" w:lastRow="0" w:firstColumn="1" w:lastColumn="0" w:noHBand="0" w:noVBand="1"/>
      </w:tblPr>
      <w:tblGrid>
        <w:gridCol w:w="2463"/>
        <w:gridCol w:w="2463"/>
        <w:gridCol w:w="2464"/>
        <w:gridCol w:w="2464"/>
      </w:tblGrid>
      <w:tr w:rsidR="00253597" w:rsidRPr="003878A7" w14:paraId="2E2E85C4" w14:textId="77777777" w:rsidTr="00157D9E">
        <w:tc>
          <w:tcPr>
            <w:tcW w:w="1250" w:type="pct"/>
            <w:vAlign w:val="center"/>
            <w:hideMark/>
          </w:tcPr>
          <w:p w14:paraId="5D2D5BBF" w14:textId="77777777" w:rsidR="00253597" w:rsidRPr="003878A7" w:rsidRDefault="00253597" w:rsidP="007812ED">
            <w:pPr>
              <w:spacing w:before="0" w:after="0"/>
              <w:ind w:left="17" w:firstLine="0"/>
              <w:contextualSpacing/>
              <w:jc w:val="left"/>
              <w:rPr>
                <w:rFonts w:eastAsia="Georgia" w:cs="Times New Roman"/>
                <w:b/>
                <w:bCs/>
                <w:sz w:val="21"/>
                <w:szCs w:val="21"/>
                <w:lang w:val="lt-LT"/>
              </w:rPr>
            </w:pPr>
            <w:r w:rsidRPr="003878A7">
              <w:rPr>
                <w:rFonts w:eastAsia="Georgia" w:cs="Times New Roman"/>
                <w:b/>
                <w:bCs/>
                <w:sz w:val="21"/>
                <w:szCs w:val="21"/>
                <w:lang w:val="lt-LT"/>
              </w:rPr>
              <w:t>Infrastruktūros tipas</w:t>
            </w:r>
          </w:p>
        </w:tc>
        <w:tc>
          <w:tcPr>
            <w:tcW w:w="1250" w:type="pct"/>
            <w:vAlign w:val="center"/>
            <w:hideMark/>
          </w:tcPr>
          <w:p w14:paraId="30258E85" w14:textId="74CE4BAF" w:rsidR="00253597" w:rsidRPr="003878A7" w:rsidRDefault="00253597" w:rsidP="007812ED">
            <w:pPr>
              <w:spacing w:before="0" w:after="0"/>
              <w:ind w:firstLine="0"/>
              <w:contextualSpacing/>
              <w:jc w:val="center"/>
              <w:rPr>
                <w:rFonts w:eastAsia="Georgia" w:cs="Times New Roman"/>
                <w:b/>
                <w:bCs/>
                <w:sz w:val="21"/>
                <w:szCs w:val="21"/>
                <w:lang w:val="lt-LT"/>
              </w:rPr>
            </w:pPr>
            <w:r w:rsidRPr="003878A7">
              <w:rPr>
                <w:rFonts w:eastAsia="Georgia" w:cs="Times New Roman"/>
                <w:b/>
                <w:bCs/>
                <w:sz w:val="21"/>
                <w:szCs w:val="21"/>
                <w:lang w:val="lt-LT"/>
              </w:rPr>
              <w:t>Investicijų paklausa, mln. E</w:t>
            </w:r>
            <w:r w:rsidR="007812ED" w:rsidRPr="003878A7">
              <w:rPr>
                <w:rFonts w:eastAsia="Georgia" w:cs="Times New Roman"/>
                <w:b/>
                <w:bCs/>
                <w:sz w:val="21"/>
                <w:szCs w:val="21"/>
                <w:lang w:val="lt-LT"/>
              </w:rPr>
              <w:t>ur</w:t>
            </w:r>
          </w:p>
        </w:tc>
        <w:tc>
          <w:tcPr>
            <w:tcW w:w="1250" w:type="pct"/>
            <w:vAlign w:val="center"/>
            <w:hideMark/>
          </w:tcPr>
          <w:p w14:paraId="2BD95FE1" w14:textId="02D4A850" w:rsidR="00253597" w:rsidRPr="003878A7" w:rsidRDefault="00253597" w:rsidP="007812ED">
            <w:pPr>
              <w:spacing w:before="0" w:after="0"/>
              <w:ind w:firstLine="0"/>
              <w:contextualSpacing/>
              <w:jc w:val="center"/>
              <w:rPr>
                <w:rFonts w:eastAsia="Georgia" w:cs="Times New Roman"/>
                <w:b/>
                <w:bCs/>
                <w:sz w:val="21"/>
                <w:szCs w:val="21"/>
                <w:lang w:val="lt-LT"/>
              </w:rPr>
            </w:pPr>
            <w:r w:rsidRPr="003878A7">
              <w:rPr>
                <w:rFonts w:eastAsia="Georgia" w:cs="Times New Roman"/>
                <w:b/>
                <w:bCs/>
                <w:sz w:val="21"/>
                <w:szCs w:val="21"/>
                <w:lang w:val="lt-LT"/>
              </w:rPr>
              <w:t>Investicijų pasiūla, mln. E</w:t>
            </w:r>
            <w:r w:rsidR="007812ED" w:rsidRPr="003878A7">
              <w:rPr>
                <w:rFonts w:eastAsia="Georgia" w:cs="Times New Roman"/>
                <w:b/>
                <w:bCs/>
                <w:sz w:val="21"/>
                <w:szCs w:val="21"/>
                <w:lang w:val="lt-LT"/>
              </w:rPr>
              <w:t>ur</w:t>
            </w:r>
          </w:p>
        </w:tc>
        <w:tc>
          <w:tcPr>
            <w:tcW w:w="1250" w:type="pct"/>
            <w:vAlign w:val="center"/>
            <w:hideMark/>
          </w:tcPr>
          <w:p w14:paraId="4D40133A" w14:textId="13373FCB" w:rsidR="00253597" w:rsidRPr="003878A7" w:rsidRDefault="00253597" w:rsidP="007812ED">
            <w:pPr>
              <w:spacing w:before="0" w:after="0"/>
              <w:ind w:left="26" w:firstLine="0"/>
              <w:contextualSpacing/>
              <w:jc w:val="center"/>
              <w:rPr>
                <w:rFonts w:eastAsia="Georgia" w:cs="Times New Roman"/>
                <w:b/>
                <w:bCs/>
                <w:sz w:val="21"/>
                <w:szCs w:val="21"/>
                <w:lang w:val="lt-LT"/>
              </w:rPr>
            </w:pPr>
            <w:r w:rsidRPr="003878A7">
              <w:rPr>
                <w:rFonts w:eastAsia="Georgia" w:cs="Times New Roman"/>
                <w:b/>
                <w:bCs/>
                <w:sz w:val="21"/>
                <w:szCs w:val="21"/>
                <w:lang w:val="lt-LT"/>
              </w:rPr>
              <w:t>Investicijų trūkumas, mln. E</w:t>
            </w:r>
            <w:r w:rsidR="007812ED" w:rsidRPr="003878A7">
              <w:rPr>
                <w:rFonts w:eastAsia="Georgia" w:cs="Times New Roman"/>
                <w:b/>
                <w:bCs/>
                <w:sz w:val="21"/>
                <w:szCs w:val="21"/>
                <w:lang w:val="lt-LT"/>
              </w:rPr>
              <w:t>ur</w:t>
            </w:r>
          </w:p>
        </w:tc>
      </w:tr>
      <w:tr w:rsidR="00253597" w:rsidRPr="003878A7" w14:paraId="413BC7EB" w14:textId="77777777" w:rsidTr="00157D9E">
        <w:tc>
          <w:tcPr>
            <w:tcW w:w="1250" w:type="pct"/>
            <w:vAlign w:val="center"/>
            <w:hideMark/>
          </w:tcPr>
          <w:p w14:paraId="49CE870B" w14:textId="77777777" w:rsidR="00253597" w:rsidRPr="003878A7" w:rsidRDefault="00253597" w:rsidP="007812ED">
            <w:pPr>
              <w:spacing w:before="0" w:after="0"/>
              <w:ind w:left="17" w:firstLine="0"/>
              <w:contextualSpacing/>
              <w:jc w:val="left"/>
              <w:rPr>
                <w:rFonts w:eastAsia="Georgia" w:cs="Times New Roman"/>
                <w:bCs/>
                <w:sz w:val="21"/>
                <w:szCs w:val="21"/>
                <w:lang w:val="lt-LT"/>
              </w:rPr>
            </w:pPr>
            <w:r w:rsidRPr="003878A7">
              <w:rPr>
                <w:rFonts w:eastAsia="Georgia" w:cs="Times New Roman"/>
                <w:bCs/>
                <w:sz w:val="21"/>
                <w:szCs w:val="21"/>
                <w:lang w:val="lt-LT"/>
              </w:rPr>
              <w:t>Centrinės valdžios pastatų modernizavimas</w:t>
            </w:r>
          </w:p>
        </w:tc>
        <w:tc>
          <w:tcPr>
            <w:tcW w:w="1250" w:type="pct"/>
            <w:vAlign w:val="center"/>
          </w:tcPr>
          <w:p w14:paraId="131F9ED8" w14:textId="77777777" w:rsidR="00253597" w:rsidRPr="003878A7" w:rsidRDefault="00253597" w:rsidP="007812ED">
            <w:pPr>
              <w:spacing w:before="0" w:after="0"/>
              <w:ind w:firstLine="0"/>
              <w:contextualSpacing/>
              <w:jc w:val="center"/>
              <w:rPr>
                <w:rFonts w:eastAsia="Georgia" w:cs="Times New Roman"/>
                <w:sz w:val="21"/>
                <w:szCs w:val="21"/>
                <w:lang w:val="lt-LT"/>
              </w:rPr>
            </w:pPr>
            <w:r w:rsidRPr="003878A7">
              <w:rPr>
                <w:rFonts w:eastAsia="Georgia" w:cs="Times New Roman"/>
                <w:color w:val="000000"/>
                <w:sz w:val="21"/>
                <w:szCs w:val="21"/>
                <w:lang w:val="lt-LT"/>
              </w:rPr>
              <w:t>610,3</w:t>
            </w:r>
          </w:p>
        </w:tc>
        <w:tc>
          <w:tcPr>
            <w:tcW w:w="1250" w:type="pct"/>
            <w:vAlign w:val="center"/>
          </w:tcPr>
          <w:p w14:paraId="3F1D82E2" w14:textId="77777777" w:rsidR="00253597" w:rsidRPr="003878A7" w:rsidRDefault="00253597" w:rsidP="007812ED">
            <w:pPr>
              <w:spacing w:before="0" w:after="0"/>
              <w:ind w:firstLine="0"/>
              <w:contextualSpacing/>
              <w:jc w:val="center"/>
              <w:rPr>
                <w:rFonts w:eastAsia="Georgia" w:cs="Times New Roman"/>
                <w:sz w:val="21"/>
                <w:szCs w:val="21"/>
                <w:lang w:val="lt-LT"/>
              </w:rPr>
            </w:pPr>
            <w:r w:rsidRPr="003878A7">
              <w:rPr>
                <w:rFonts w:eastAsia="Georgia" w:cs="Times New Roman"/>
                <w:color w:val="000000"/>
                <w:sz w:val="21"/>
                <w:szCs w:val="21"/>
                <w:lang w:val="lt-LT"/>
              </w:rPr>
              <w:t>109,8</w:t>
            </w:r>
          </w:p>
        </w:tc>
        <w:tc>
          <w:tcPr>
            <w:tcW w:w="1250" w:type="pct"/>
            <w:vAlign w:val="center"/>
          </w:tcPr>
          <w:p w14:paraId="6A32FDB4" w14:textId="77777777" w:rsidR="00253597" w:rsidRPr="003878A7" w:rsidRDefault="00253597" w:rsidP="007812ED">
            <w:pPr>
              <w:spacing w:before="0" w:after="0"/>
              <w:ind w:left="26" w:firstLine="0"/>
              <w:contextualSpacing/>
              <w:jc w:val="center"/>
              <w:rPr>
                <w:rFonts w:eastAsia="Georgia" w:cs="Times New Roman"/>
                <w:sz w:val="21"/>
                <w:szCs w:val="21"/>
                <w:lang w:val="lt-LT"/>
              </w:rPr>
            </w:pPr>
            <w:r w:rsidRPr="003878A7">
              <w:rPr>
                <w:rFonts w:eastAsia="Georgia" w:cs="Times New Roman"/>
                <w:color w:val="000000"/>
                <w:sz w:val="21"/>
                <w:szCs w:val="21"/>
                <w:lang w:val="lt-LT"/>
              </w:rPr>
              <w:t>500,5</w:t>
            </w:r>
          </w:p>
        </w:tc>
      </w:tr>
      <w:tr w:rsidR="00253597" w:rsidRPr="003878A7" w14:paraId="294F5108" w14:textId="77777777" w:rsidTr="00157D9E">
        <w:trPr>
          <w:trHeight w:val="590"/>
        </w:trPr>
        <w:tc>
          <w:tcPr>
            <w:tcW w:w="1250" w:type="pct"/>
            <w:vAlign w:val="center"/>
            <w:hideMark/>
          </w:tcPr>
          <w:p w14:paraId="2D7160EF" w14:textId="77777777" w:rsidR="00253597" w:rsidRPr="003878A7" w:rsidRDefault="00253597" w:rsidP="007812ED">
            <w:pPr>
              <w:spacing w:before="0" w:after="0"/>
              <w:ind w:left="17" w:firstLine="0"/>
              <w:contextualSpacing/>
              <w:jc w:val="left"/>
              <w:rPr>
                <w:rFonts w:eastAsia="Georgia" w:cs="Times New Roman"/>
                <w:bCs/>
                <w:sz w:val="21"/>
                <w:szCs w:val="21"/>
                <w:lang w:val="lt-LT"/>
              </w:rPr>
            </w:pPr>
            <w:r w:rsidRPr="003878A7">
              <w:rPr>
                <w:rFonts w:eastAsia="Georgia" w:cs="Times New Roman"/>
                <w:bCs/>
                <w:sz w:val="21"/>
                <w:szCs w:val="21"/>
                <w:lang w:val="lt-LT"/>
              </w:rPr>
              <w:t>Savivaldybės pastatų modernizavimas</w:t>
            </w:r>
          </w:p>
        </w:tc>
        <w:tc>
          <w:tcPr>
            <w:tcW w:w="1250" w:type="pct"/>
            <w:vAlign w:val="center"/>
          </w:tcPr>
          <w:p w14:paraId="71A06D24" w14:textId="77777777" w:rsidR="00253597" w:rsidRPr="003878A7" w:rsidRDefault="00253597" w:rsidP="007812ED">
            <w:pPr>
              <w:spacing w:before="0" w:after="0"/>
              <w:ind w:firstLine="0"/>
              <w:contextualSpacing/>
              <w:jc w:val="center"/>
              <w:rPr>
                <w:rFonts w:eastAsia="Georgia" w:cs="Times New Roman"/>
                <w:sz w:val="21"/>
                <w:szCs w:val="21"/>
                <w:lang w:val="lt-LT"/>
              </w:rPr>
            </w:pPr>
            <w:r w:rsidRPr="003878A7">
              <w:rPr>
                <w:rFonts w:eastAsia="Georgia" w:cs="Times New Roman"/>
                <w:color w:val="000000"/>
                <w:sz w:val="21"/>
                <w:szCs w:val="21"/>
                <w:lang w:val="lt-LT"/>
              </w:rPr>
              <w:t>298,6</w:t>
            </w:r>
          </w:p>
        </w:tc>
        <w:tc>
          <w:tcPr>
            <w:tcW w:w="1250" w:type="pct"/>
            <w:vAlign w:val="center"/>
          </w:tcPr>
          <w:p w14:paraId="3287E063" w14:textId="77777777" w:rsidR="00253597" w:rsidRPr="003878A7" w:rsidRDefault="00253597" w:rsidP="007812ED">
            <w:pPr>
              <w:spacing w:before="0" w:after="0"/>
              <w:ind w:firstLine="0"/>
              <w:contextualSpacing/>
              <w:jc w:val="center"/>
              <w:rPr>
                <w:rFonts w:eastAsia="Georgia" w:cs="Times New Roman"/>
                <w:sz w:val="21"/>
                <w:szCs w:val="21"/>
                <w:lang w:val="lt-LT"/>
              </w:rPr>
            </w:pPr>
            <w:r w:rsidRPr="003878A7">
              <w:rPr>
                <w:rFonts w:eastAsia="Georgia" w:cs="Times New Roman"/>
                <w:color w:val="000000"/>
                <w:sz w:val="21"/>
                <w:szCs w:val="21"/>
                <w:lang w:val="lt-LT"/>
              </w:rPr>
              <w:t>18,1</w:t>
            </w:r>
          </w:p>
        </w:tc>
        <w:tc>
          <w:tcPr>
            <w:tcW w:w="1250" w:type="pct"/>
            <w:vAlign w:val="center"/>
          </w:tcPr>
          <w:p w14:paraId="21B7F56E" w14:textId="77777777" w:rsidR="00253597" w:rsidRPr="003878A7" w:rsidRDefault="00253597" w:rsidP="007812ED">
            <w:pPr>
              <w:spacing w:before="0" w:after="0"/>
              <w:ind w:left="26" w:firstLine="0"/>
              <w:contextualSpacing/>
              <w:jc w:val="center"/>
              <w:rPr>
                <w:rFonts w:eastAsia="Georgia" w:cs="Times New Roman"/>
                <w:sz w:val="21"/>
                <w:szCs w:val="21"/>
                <w:lang w:val="lt-LT"/>
              </w:rPr>
            </w:pPr>
            <w:r w:rsidRPr="003878A7">
              <w:rPr>
                <w:rFonts w:eastAsia="Georgia" w:cs="Times New Roman"/>
                <w:color w:val="000000"/>
                <w:sz w:val="21"/>
                <w:szCs w:val="21"/>
                <w:lang w:val="lt-LT"/>
              </w:rPr>
              <w:t>280,5</w:t>
            </w:r>
          </w:p>
        </w:tc>
      </w:tr>
      <w:tr w:rsidR="00253597" w:rsidRPr="003878A7" w14:paraId="25249CDE" w14:textId="77777777" w:rsidTr="00157D9E">
        <w:tc>
          <w:tcPr>
            <w:tcW w:w="1250" w:type="pct"/>
            <w:vAlign w:val="center"/>
            <w:hideMark/>
          </w:tcPr>
          <w:p w14:paraId="62E4721A" w14:textId="77777777" w:rsidR="00253597" w:rsidRPr="003878A7" w:rsidRDefault="00253597" w:rsidP="007812ED">
            <w:pPr>
              <w:spacing w:before="0" w:after="0"/>
              <w:ind w:left="17" w:firstLine="0"/>
              <w:contextualSpacing/>
              <w:jc w:val="left"/>
              <w:rPr>
                <w:rFonts w:eastAsia="Georgia" w:cs="Times New Roman"/>
                <w:bCs/>
                <w:sz w:val="21"/>
                <w:szCs w:val="21"/>
                <w:lang w:val="lt-LT"/>
              </w:rPr>
            </w:pPr>
            <w:r w:rsidRPr="003878A7">
              <w:rPr>
                <w:rFonts w:eastAsia="Georgia" w:cs="Times New Roman"/>
                <w:bCs/>
                <w:sz w:val="21"/>
                <w:szCs w:val="21"/>
                <w:lang w:val="lt-LT"/>
              </w:rPr>
              <w:t>Daugiabučių modernizavimas</w:t>
            </w:r>
          </w:p>
        </w:tc>
        <w:tc>
          <w:tcPr>
            <w:tcW w:w="1250" w:type="pct"/>
            <w:vAlign w:val="center"/>
          </w:tcPr>
          <w:p w14:paraId="70FA333F" w14:textId="77777777" w:rsidR="00253597" w:rsidRPr="003878A7" w:rsidRDefault="00253597" w:rsidP="007812ED">
            <w:pPr>
              <w:spacing w:before="0" w:after="0"/>
              <w:ind w:firstLine="0"/>
              <w:contextualSpacing/>
              <w:jc w:val="center"/>
              <w:rPr>
                <w:rFonts w:eastAsia="Georgia" w:cs="Times New Roman"/>
                <w:sz w:val="21"/>
                <w:szCs w:val="21"/>
                <w:lang w:val="lt-LT"/>
              </w:rPr>
            </w:pPr>
            <w:r w:rsidRPr="003878A7">
              <w:rPr>
                <w:rFonts w:eastAsia="Georgia" w:cs="Times New Roman"/>
                <w:color w:val="000000"/>
                <w:sz w:val="21"/>
                <w:szCs w:val="21"/>
                <w:lang w:val="lt-LT"/>
              </w:rPr>
              <w:t>955</w:t>
            </w:r>
          </w:p>
        </w:tc>
        <w:tc>
          <w:tcPr>
            <w:tcW w:w="1250" w:type="pct"/>
            <w:vAlign w:val="center"/>
          </w:tcPr>
          <w:p w14:paraId="498CF5FE" w14:textId="77777777" w:rsidR="00253597" w:rsidRPr="003878A7" w:rsidRDefault="00253597" w:rsidP="007812ED">
            <w:pPr>
              <w:spacing w:before="0" w:after="0"/>
              <w:ind w:firstLine="0"/>
              <w:contextualSpacing/>
              <w:jc w:val="center"/>
              <w:rPr>
                <w:rFonts w:eastAsia="Georgia" w:cs="Times New Roman"/>
                <w:sz w:val="21"/>
                <w:szCs w:val="21"/>
                <w:lang w:val="lt-LT"/>
              </w:rPr>
            </w:pPr>
            <w:r w:rsidRPr="003878A7">
              <w:rPr>
                <w:rFonts w:eastAsia="Georgia" w:cs="Times New Roman"/>
                <w:color w:val="000000"/>
                <w:sz w:val="21"/>
                <w:szCs w:val="21"/>
                <w:lang w:val="lt-LT"/>
              </w:rPr>
              <w:t>4632</w:t>
            </w:r>
          </w:p>
        </w:tc>
        <w:tc>
          <w:tcPr>
            <w:tcW w:w="1250" w:type="pct"/>
            <w:vAlign w:val="center"/>
          </w:tcPr>
          <w:p w14:paraId="3FC5DFB9" w14:textId="77777777" w:rsidR="00253597" w:rsidRPr="003878A7" w:rsidRDefault="00253597" w:rsidP="007812ED">
            <w:pPr>
              <w:spacing w:before="0" w:after="0"/>
              <w:ind w:left="26" w:firstLine="0"/>
              <w:contextualSpacing/>
              <w:jc w:val="center"/>
              <w:rPr>
                <w:rFonts w:eastAsia="Georgia" w:cs="Times New Roman"/>
                <w:sz w:val="21"/>
                <w:szCs w:val="21"/>
                <w:lang w:val="lt-LT"/>
              </w:rPr>
            </w:pPr>
            <w:r w:rsidRPr="003878A7">
              <w:rPr>
                <w:rFonts w:eastAsia="Georgia" w:cs="Times New Roman"/>
                <w:color w:val="000000"/>
                <w:sz w:val="21"/>
                <w:szCs w:val="21"/>
                <w:lang w:val="lt-LT"/>
              </w:rPr>
              <w:t>323</w:t>
            </w:r>
          </w:p>
        </w:tc>
      </w:tr>
      <w:tr w:rsidR="00253597" w:rsidRPr="003878A7" w14:paraId="62ED7699" w14:textId="77777777" w:rsidTr="00157D9E">
        <w:tc>
          <w:tcPr>
            <w:tcW w:w="1250" w:type="pct"/>
            <w:vAlign w:val="center"/>
            <w:hideMark/>
          </w:tcPr>
          <w:p w14:paraId="08A2B044" w14:textId="77777777" w:rsidR="00253597" w:rsidRPr="003878A7" w:rsidRDefault="00253597" w:rsidP="007812ED">
            <w:pPr>
              <w:spacing w:before="0" w:after="0"/>
              <w:ind w:left="17" w:firstLine="0"/>
              <w:contextualSpacing/>
              <w:jc w:val="left"/>
              <w:rPr>
                <w:rFonts w:eastAsia="Georgia" w:cs="Times New Roman"/>
                <w:bCs/>
                <w:sz w:val="21"/>
                <w:szCs w:val="21"/>
                <w:lang w:val="lt-LT"/>
              </w:rPr>
            </w:pPr>
            <w:r w:rsidRPr="003878A7">
              <w:rPr>
                <w:rFonts w:eastAsia="Georgia" w:cs="Times New Roman"/>
                <w:bCs/>
                <w:sz w:val="21"/>
                <w:szCs w:val="21"/>
                <w:lang w:val="lt-LT"/>
              </w:rPr>
              <w:t>Gatvių apšvietimo tinklo modernizavimas</w:t>
            </w:r>
          </w:p>
        </w:tc>
        <w:tc>
          <w:tcPr>
            <w:tcW w:w="1250" w:type="pct"/>
            <w:vAlign w:val="center"/>
          </w:tcPr>
          <w:p w14:paraId="6450DC58" w14:textId="77777777" w:rsidR="00253597" w:rsidRPr="003878A7" w:rsidRDefault="00253597" w:rsidP="007812ED">
            <w:pPr>
              <w:spacing w:before="0" w:after="0"/>
              <w:ind w:firstLine="0"/>
              <w:contextualSpacing/>
              <w:jc w:val="center"/>
              <w:rPr>
                <w:rFonts w:eastAsia="Georgia" w:cs="Times New Roman"/>
                <w:sz w:val="21"/>
                <w:szCs w:val="21"/>
                <w:lang w:val="lt-LT"/>
              </w:rPr>
            </w:pPr>
            <w:r w:rsidRPr="003878A7">
              <w:rPr>
                <w:rFonts w:eastAsia="Georgia" w:cs="Times New Roman"/>
                <w:color w:val="000000"/>
                <w:sz w:val="21"/>
                <w:szCs w:val="21"/>
                <w:lang w:val="lt-LT"/>
              </w:rPr>
              <w:t>119,4</w:t>
            </w:r>
          </w:p>
        </w:tc>
        <w:tc>
          <w:tcPr>
            <w:tcW w:w="1250" w:type="pct"/>
            <w:vAlign w:val="center"/>
          </w:tcPr>
          <w:p w14:paraId="0D220C4A" w14:textId="77777777" w:rsidR="00253597" w:rsidRPr="003878A7" w:rsidRDefault="00253597" w:rsidP="007812ED">
            <w:pPr>
              <w:spacing w:before="0" w:after="0"/>
              <w:ind w:firstLine="0"/>
              <w:contextualSpacing/>
              <w:jc w:val="center"/>
              <w:rPr>
                <w:rFonts w:eastAsia="Georgia" w:cs="Times New Roman"/>
                <w:sz w:val="21"/>
                <w:szCs w:val="21"/>
                <w:lang w:val="lt-LT"/>
              </w:rPr>
            </w:pPr>
            <w:r w:rsidRPr="003878A7">
              <w:rPr>
                <w:rFonts w:eastAsia="Georgia" w:cs="Times New Roman"/>
                <w:color w:val="000000"/>
                <w:sz w:val="21"/>
                <w:szCs w:val="21"/>
                <w:lang w:val="lt-LT"/>
              </w:rPr>
              <w:t>18,0</w:t>
            </w:r>
          </w:p>
        </w:tc>
        <w:tc>
          <w:tcPr>
            <w:tcW w:w="1250" w:type="pct"/>
            <w:vAlign w:val="center"/>
          </w:tcPr>
          <w:p w14:paraId="6E3E3112" w14:textId="77777777" w:rsidR="00253597" w:rsidRPr="003878A7" w:rsidRDefault="00253597" w:rsidP="007812ED">
            <w:pPr>
              <w:spacing w:before="0" w:after="0"/>
              <w:ind w:left="26" w:firstLine="0"/>
              <w:contextualSpacing/>
              <w:jc w:val="center"/>
              <w:rPr>
                <w:rFonts w:eastAsia="Georgia" w:cs="Times New Roman"/>
                <w:sz w:val="21"/>
                <w:szCs w:val="21"/>
                <w:lang w:val="lt-LT"/>
              </w:rPr>
            </w:pPr>
            <w:r w:rsidRPr="003878A7">
              <w:rPr>
                <w:rFonts w:eastAsia="Georgia" w:cs="Times New Roman"/>
                <w:color w:val="000000"/>
                <w:sz w:val="21"/>
                <w:szCs w:val="21"/>
                <w:lang w:val="lt-LT"/>
              </w:rPr>
              <w:t>101,4</w:t>
            </w:r>
          </w:p>
        </w:tc>
      </w:tr>
    </w:tbl>
    <w:p w14:paraId="7A012EFB" w14:textId="77777777" w:rsidR="007812ED" w:rsidRPr="003878A7" w:rsidRDefault="007812ED" w:rsidP="007812ED">
      <w:pPr>
        <w:spacing w:after="0"/>
        <w:rPr>
          <w:rFonts w:cs="Times New Roman"/>
          <w:sz w:val="20"/>
          <w:szCs w:val="20"/>
        </w:rPr>
      </w:pPr>
      <w:r w:rsidRPr="003878A7">
        <w:rPr>
          <w:rFonts w:cs="Times New Roman"/>
          <w:sz w:val="20"/>
          <w:szCs w:val="20"/>
        </w:rPr>
        <w:t>Šaltinis: sudaryta Vertintojų</w:t>
      </w:r>
    </w:p>
    <w:p w14:paraId="698CAC99" w14:textId="6F5E4BDE" w:rsidR="0001301C" w:rsidRPr="003878A7" w:rsidRDefault="00253597" w:rsidP="007812ED">
      <w:pPr>
        <w:rPr>
          <w:rFonts w:cs="Times New Roman"/>
        </w:rPr>
      </w:pPr>
      <w:r w:rsidRPr="003878A7">
        <w:rPr>
          <w:rFonts w:cs="Times New Roman"/>
        </w:rPr>
        <w:t>Rinkos nepakankamumo priežastys gali būti labai įvairios, susijusios tiek su paklausos, tiek su pasiūlos puse, taip pat susijusios su pačių projektų esme, pavyzdžiui, gyvybingumo stokos problemos. Dėl šių atsiradusių priežasčių nėra įgyvendinami/pasiekiami energijos taupymo tikslai be valstybės įsikišimo (t.</w:t>
      </w:r>
      <w:r w:rsidR="007812ED" w:rsidRPr="003878A7">
        <w:rPr>
          <w:rFonts w:cs="Times New Roman"/>
        </w:rPr>
        <w:t xml:space="preserve"> </w:t>
      </w:r>
      <w:r w:rsidRPr="003878A7">
        <w:rPr>
          <w:rFonts w:cs="Times New Roman"/>
        </w:rPr>
        <w:t xml:space="preserve">y. jeigu projektai būtų finansuojami tik iš rinkoje esančių finansavimo šaltinių), tačiau ir viešųjų išteklių </w:t>
      </w:r>
      <w:r w:rsidRPr="003878A7">
        <w:rPr>
          <w:rFonts w:cs="Times New Roman"/>
        </w:rPr>
        <w:lastRenderedPageBreak/>
        <w:t xml:space="preserve">padengti susidariusiems investicijų poreikiams nepakanka.  </w:t>
      </w:r>
      <w:r w:rsidR="00061B8B" w:rsidRPr="003878A7">
        <w:rPr>
          <w:rFonts w:cs="Times New Roman"/>
        </w:rPr>
        <w:t>2 priede</w:t>
      </w:r>
      <w:r w:rsidRPr="003878A7">
        <w:rPr>
          <w:rFonts w:cs="Times New Roman"/>
        </w:rPr>
        <w:t xml:space="preserve"> aptariama, dėl kokių priežasčių susidaro lentelėje identifikuoti rinkos trūkumai </w:t>
      </w:r>
      <w:r w:rsidR="00A22453" w:rsidRPr="003878A7">
        <w:rPr>
          <w:rFonts w:cs="Times New Roman"/>
        </w:rPr>
        <w:t>EE</w:t>
      </w:r>
      <w:r w:rsidRPr="003878A7">
        <w:rPr>
          <w:rFonts w:cs="Times New Roman"/>
        </w:rPr>
        <w:t xml:space="preserve"> projektų finansavimui.  </w:t>
      </w:r>
    </w:p>
    <w:p w14:paraId="50C0E86E" w14:textId="2DD34E36" w:rsidR="00792FEF" w:rsidRPr="003878A7" w:rsidRDefault="00792FEF" w:rsidP="00CB66B8">
      <w:pPr>
        <w:pStyle w:val="Heading1"/>
        <w:numPr>
          <w:ilvl w:val="0"/>
          <w:numId w:val="3"/>
        </w:numPr>
        <w:rPr>
          <w:rFonts w:cs="Times New Roman"/>
        </w:rPr>
      </w:pPr>
      <w:bookmarkStart w:id="14" w:name="_Toc62131225"/>
      <w:bookmarkStart w:id="15" w:name="_Toc70532863"/>
      <w:r w:rsidRPr="003878A7">
        <w:rPr>
          <w:rFonts w:cs="Times New Roman"/>
        </w:rPr>
        <w:t xml:space="preserve">FP pridėtinės vertės ir suderinamumo </w:t>
      </w:r>
      <w:bookmarkEnd w:id="14"/>
      <w:r w:rsidR="00272B4E" w:rsidRPr="003878A7">
        <w:rPr>
          <w:rFonts w:cs="Times New Roman"/>
        </w:rPr>
        <w:t>vertinimas</w:t>
      </w:r>
      <w:bookmarkEnd w:id="15"/>
    </w:p>
    <w:p w14:paraId="1E6C30FB" w14:textId="7447731A" w:rsidR="00061B8B" w:rsidRPr="003878A7" w:rsidRDefault="00F14CE2" w:rsidP="00061B8B">
      <w:pPr>
        <w:rPr>
          <w:rFonts w:cs="Times New Roman"/>
        </w:rPr>
      </w:pPr>
      <w:r w:rsidRPr="003878A7">
        <w:rPr>
          <w:rFonts w:cs="Times New Roman"/>
        </w:rPr>
        <w:t>Remiantis galiojančia šilumos kainų nustatymo metodika</w:t>
      </w:r>
      <w:r w:rsidRPr="003878A7">
        <w:rPr>
          <w:rFonts w:cs="Times New Roman"/>
          <w:vertAlign w:val="superscript"/>
        </w:rPr>
        <w:footnoteReference w:id="5"/>
      </w:r>
      <w:r w:rsidRPr="003878A7">
        <w:rPr>
          <w:rFonts w:cs="Times New Roman"/>
        </w:rPr>
        <w:t xml:space="preserve">, ilgalaikio turto vertės dalį, sukurtą už ES </w:t>
      </w:r>
      <w:r w:rsidR="00A22453" w:rsidRPr="003878A7">
        <w:rPr>
          <w:rFonts w:cs="Times New Roman"/>
        </w:rPr>
        <w:t>S</w:t>
      </w:r>
      <w:r w:rsidR="00920443" w:rsidRPr="003878A7">
        <w:rPr>
          <w:rFonts w:cs="Times New Roman"/>
        </w:rPr>
        <w:t>F</w:t>
      </w:r>
      <w:r w:rsidRPr="003878A7">
        <w:rPr>
          <w:rFonts w:cs="Times New Roman"/>
        </w:rPr>
        <w:t xml:space="preserve"> lėšas, dotacijas ir subsidijas yra draudžiama įtraukti į šilumos kainų tarifus, todėl investicijų sąnaudos statant naujas biokurą naudojančias elektrines, kurios nemaža dalimi subsidijuojamos ES paramos ir dotacijų lėšomis neatsispindi šilumos kainose. </w:t>
      </w:r>
      <w:r w:rsidR="00920443" w:rsidRPr="003878A7">
        <w:rPr>
          <w:rFonts w:cs="Times New Roman"/>
        </w:rPr>
        <w:t>I</w:t>
      </w:r>
      <w:r w:rsidRPr="003878A7">
        <w:rPr>
          <w:rFonts w:cs="Times New Roman"/>
        </w:rPr>
        <w:t>lgesnėje perspektyvoje sumažėjus ES paramai, tikėtina, jog investicijos bus vykdomos įmonių nuosavomis ar skolintomis lėšomis ir atsispindės šilumos kainoje. Taip pat</w:t>
      </w:r>
      <w:r w:rsidR="00A22453" w:rsidRPr="003878A7">
        <w:rPr>
          <w:rFonts w:cs="Times New Roman"/>
        </w:rPr>
        <w:t>,</w:t>
      </w:r>
      <w:r w:rsidRPr="003878A7">
        <w:rPr>
          <w:rFonts w:cs="Times New Roman"/>
        </w:rPr>
        <w:t xml:space="preserve"> vertėtų apsvarstyti uždavinių </w:t>
      </w:r>
      <w:r w:rsidR="00A22453" w:rsidRPr="003878A7">
        <w:rPr>
          <w:rFonts w:cs="Times New Roman"/>
        </w:rPr>
        <w:t>VP</w:t>
      </w:r>
      <w:r w:rsidRPr="003878A7">
        <w:rPr>
          <w:rFonts w:cs="Times New Roman"/>
        </w:rPr>
        <w:t xml:space="preserve"> suderinamumą, siekiant skatinti </w:t>
      </w:r>
      <w:r w:rsidR="00920443" w:rsidRPr="003878A7">
        <w:rPr>
          <w:rFonts w:cs="Times New Roman"/>
        </w:rPr>
        <w:t>EE</w:t>
      </w:r>
      <w:r w:rsidRPr="003878A7">
        <w:rPr>
          <w:rFonts w:cs="Times New Roman"/>
        </w:rPr>
        <w:t xml:space="preserve"> ir didinti alternatyvių energijos išteklių panaudojimą, nes šilumos kainos subsidijavimas per biokuro</w:t>
      </w:r>
      <w:r w:rsidR="00920443" w:rsidRPr="003878A7">
        <w:rPr>
          <w:rFonts w:cs="Times New Roman"/>
        </w:rPr>
        <w:t xml:space="preserve"> naudojimo skatinimo</w:t>
      </w:r>
      <w:r w:rsidRPr="003878A7">
        <w:rPr>
          <w:rFonts w:cs="Times New Roman"/>
        </w:rPr>
        <w:t xml:space="preserve"> projektus mažina daugiabučių, viešųjų pastatų ir gatvių apšvietimo renovacijos projektų patrauklumą.</w:t>
      </w:r>
    </w:p>
    <w:p w14:paraId="1D7A1BBC" w14:textId="41AF6848" w:rsidR="00E728D4" w:rsidRPr="003878A7" w:rsidRDefault="00E728D4" w:rsidP="00B22949">
      <w:pPr>
        <w:pStyle w:val="Heading2"/>
        <w:numPr>
          <w:ilvl w:val="1"/>
          <w:numId w:val="3"/>
        </w:numPr>
        <w:ind w:left="709" w:hanging="425"/>
        <w:rPr>
          <w:rFonts w:cs="Times New Roman"/>
        </w:rPr>
      </w:pPr>
      <w:bookmarkStart w:id="16" w:name="_Toc70532864"/>
      <w:r w:rsidRPr="003878A7">
        <w:rPr>
          <w:rFonts w:cs="Times New Roman"/>
        </w:rPr>
        <w:t>Kiekybinės pridėtinės vertės vertinimas</w:t>
      </w:r>
      <w:bookmarkEnd w:id="16"/>
    </w:p>
    <w:p w14:paraId="73E4FB04" w14:textId="2287D72D" w:rsidR="00E728D4" w:rsidRPr="003878A7" w:rsidRDefault="00B22949" w:rsidP="00B22949">
      <w:pPr>
        <w:pStyle w:val="Heading3"/>
        <w:ind w:firstLine="426"/>
        <w:rPr>
          <w:rFonts w:cs="Times New Roman"/>
        </w:rPr>
      </w:pPr>
      <w:bookmarkStart w:id="17" w:name="_Toc25594681"/>
      <w:bookmarkStart w:id="18" w:name="_Toc70532865"/>
      <w:r w:rsidRPr="003878A7">
        <w:rPr>
          <w:rFonts w:cs="Times New Roman"/>
        </w:rPr>
        <w:t xml:space="preserve">3.1.1 </w:t>
      </w:r>
      <w:r w:rsidR="00E728D4" w:rsidRPr="003878A7">
        <w:rPr>
          <w:rFonts w:cs="Times New Roman"/>
        </w:rPr>
        <w:t>Daugiabučių modernizavimo</w:t>
      </w:r>
      <w:r w:rsidR="009D5BB7" w:rsidRPr="003878A7">
        <w:rPr>
          <w:rFonts w:cs="Times New Roman"/>
        </w:rPr>
        <w:t xml:space="preserve"> </w:t>
      </w:r>
      <w:r w:rsidR="009E3F40" w:rsidRPr="003878A7">
        <w:rPr>
          <w:rFonts w:cs="Times New Roman"/>
        </w:rPr>
        <w:t>projektų</w:t>
      </w:r>
      <w:r w:rsidR="00E728D4" w:rsidRPr="003878A7">
        <w:rPr>
          <w:rFonts w:cs="Times New Roman"/>
        </w:rPr>
        <w:t xml:space="preserve"> </w:t>
      </w:r>
      <w:bookmarkEnd w:id="17"/>
      <w:r w:rsidR="009D5BB7" w:rsidRPr="003878A7">
        <w:rPr>
          <w:rFonts w:cs="Times New Roman"/>
        </w:rPr>
        <w:t>sukuriama kiekybinė pridėtinė vertė</w:t>
      </w:r>
      <w:bookmarkEnd w:id="18"/>
    </w:p>
    <w:p w14:paraId="1DB838ED" w14:textId="3C8466DA" w:rsidR="00480B9F" w:rsidRPr="003878A7" w:rsidRDefault="009D5BB7" w:rsidP="00480B9F">
      <w:pPr>
        <w:rPr>
          <w:rFonts w:cs="Times New Roman"/>
        </w:rPr>
      </w:pPr>
      <w:r w:rsidRPr="003878A7">
        <w:rPr>
          <w:rFonts w:cs="Times New Roman"/>
        </w:rPr>
        <w:t xml:space="preserve">Atlikus investicijų į daugiabučių modernizavimo projektus </w:t>
      </w:r>
      <w:r w:rsidR="00480B9F" w:rsidRPr="003878A7">
        <w:rPr>
          <w:rFonts w:cs="Times New Roman"/>
        </w:rPr>
        <w:t>pirminių ir antrinių šaltinių analizę</w:t>
      </w:r>
      <w:r w:rsidRPr="003878A7">
        <w:rPr>
          <w:rFonts w:cs="Times New Roman"/>
        </w:rPr>
        <w:t xml:space="preserve"> buvo nustatyta</w:t>
      </w:r>
      <w:r w:rsidR="00480B9F" w:rsidRPr="003878A7">
        <w:rPr>
          <w:rFonts w:cs="Times New Roman"/>
        </w:rPr>
        <w:t>, kad š</w:t>
      </w:r>
      <w:r w:rsidR="00E728D4" w:rsidRPr="003878A7">
        <w:rPr>
          <w:rFonts w:cs="Times New Roman"/>
        </w:rPr>
        <w:t>ilumos sutaupymai po modernizavimo skiriasi tar</w:t>
      </w:r>
      <w:r w:rsidR="00A22453" w:rsidRPr="003878A7">
        <w:rPr>
          <w:rFonts w:cs="Times New Roman"/>
        </w:rPr>
        <w:t>p</w:t>
      </w:r>
      <w:r w:rsidR="00E728D4" w:rsidRPr="003878A7">
        <w:rPr>
          <w:rFonts w:cs="Times New Roman"/>
        </w:rPr>
        <w:t xml:space="preserve"> skirtingų projektų, tačiau dauguma užbaigtų projektų gerokai viršija minimalų 40 proc. sutaupymų slenkstį. </w:t>
      </w:r>
      <w:r w:rsidR="008F2BC7" w:rsidRPr="003878A7">
        <w:rPr>
          <w:rFonts w:cs="Times New Roman"/>
        </w:rPr>
        <w:t xml:space="preserve">VšĮ „Būsto energijos taupymo agentūra“ (toliau – </w:t>
      </w:r>
      <w:r w:rsidR="00E728D4" w:rsidRPr="003878A7">
        <w:rPr>
          <w:rFonts w:cs="Times New Roman"/>
        </w:rPr>
        <w:t>BETA</w:t>
      </w:r>
      <w:r w:rsidR="008F2BC7" w:rsidRPr="003878A7">
        <w:rPr>
          <w:rFonts w:cs="Times New Roman"/>
        </w:rPr>
        <w:t>)</w:t>
      </w:r>
      <w:r w:rsidR="00E728D4" w:rsidRPr="003878A7">
        <w:rPr>
          <w:rFonts w:cs="Times New Roman"/>
        </w:rPr>
        <w:t xml:space="preserve"> pateikti duomenys rodo, kad vidutiniškai po renovacijos daugiabutis namas sutaupo 64 proc. šilumos energijos (skaičiavimuose naudotas konservatyvesnis suapvalintas 60 proc. rodiklis). Detalesni BETA renovuotų daugiabučių namų tyrimo duomenys rodo, kad nemaža modernizavimo projektų dalis sutaupo gerokai daugiau nei 60 proc. šilumos energijos – 11 proc. visų 2015 metais modernizuotų daugiabučių sutaupė 70 ir daugiau procentų šilumos energijos.</w:t>
      </w:r>
    </w:p>
    <w:p w14:paraId="7991C80F" w14:textId="0539AB2A" w:rsidR="00480B9F" w:rsidRPr="003878A7" w:rsidRDefault="00480B9F" w:rsidP="00480B9F">
      <w:pPr>
        <w:rPr>
          <w:rFonts w:cs="Times New Roman"/>
        </w:rPr>
      </w:pPr>
      <w:r w:rsidRPr="003878A7">
        <w:rPr>
          <w:rFonts w:cs="Times New Roman"/>
        </w:rPr>
        <w:t xml:space="preserve">Taip pat, siekiant įvertinti investicijų poreikį buvo atliktos skirtingos jautrumo analizės, vertinančios sutaupytos energijos ir subsidijos poreikį, šilumos kainos ir galimo sutaupymo santykio ir kt. </w:t>
      </w:r>
      <w:r w:rsidR="002A6D88" w:rsidRPr="003878A7">
        <w:rPr>
          <w:rFonts w:cs="Times New Roman"/>
        </w:rPr>
        <w:t>j</w:t>
      </w:r>
      <w:r w:rsidRPr="003878A7">
        <w:rPr>
          <w:rFonts w:cs="Times New Roman"/>
        </w:rPr>
        <w:t>autrumo analizės atskleidė, kad jei daugiabučiai būtų ir toliau modernizuojami taikant 30 proc. subsidiją</w:t>
      </w:r>
      <w:r w:rsidR="00A22453" w:rsidRPr="003878A7">
        <w:rPr>
          <w:rFonts w:cs="Times New Roman"/>
        </w:rPr>
        <w:t>, finansuojamas</w:t>
      </w:r>
      <w:r w:rsidRPr="003878A7">
        <w:rPr>
          <w:rFonts w:cs="Times New Roman"/>
        </w:rPr>
        <w:t xml:space="preserve"> projektas atsipirktų per apytiksliai 20 </w:t>
      </w:r>
      <w:r w:rsidR="00A22453" w:rsidRPr="003878A7">
        <w:rPr>
          <w:rFonts w:cs="Times New Roman"/>
        </w:rPr>
        <w:t xml:space="preserve">m., </w:t>
      </w:r>
      <w:r w:rsidRPr="003878A7">
        <w:rPr>
          <w:rFonts w:cs="Times New Roman"/>
        </w:rPr>
        <w:t xml:space="preserve">jeigu šilumos energijos sutaupymai siektų apie 70-75 proc. Pastarųjų metų patirtis rodo, kad toks paramos dydis užtikrina didelį gyventojų susidomėjimą modernizacija ir pakankamą projektų srautą bei pakankamą projektų atsiperkamumą. </w:t>
      </w:r>
      <w:r w:rsidR="00A22453" w:rsidRPr="003878A7">
        <w:rPr>
          <w:rFonts w:cs="Times New Roman"/>
        </w:rPr>
        <w:t>Atsižvelgiant</w:t>
      </w:r>
      <w:r w:rsidRPr="003878A7">
        <w:rPr>
          <w:rFonts w:cs="Times New Roman"/>
        </w:rPr>
        <w:t xml:space="preserve"> į aukščiau pateiktą apibendrinimą, rekomenduojame daugiabučių namų modernizavimo projektams ir toliau taikyti 30 proc. subsidiją</w:t>
      </w:r>
    </w:p>
    <w:p w14:paraId="04210F08" w14:textId="7417A42E" w:rsidR="009D5BB7" w:rsidRPr="003878A7" w:rsidRDefault="00480B9F" w:rsidP="00A22453">
      <w:pPr>
        <w:rPr>
          <w:rFonts w:cs="Times New Roman"/>
        </w:rPr>
      </w:pPr>
      <w:r w:rsidRPr="003878A7">
        <w:rPr>
          <w:rFonts w:cs="Times New Roman"/>
        </w:rPr>
        <w:t xml:space="preserve">Šilumos sutaupymai yra tik viena iš daugiabučių modernizacijos naudų. Kitos naudos, tokios kaip nekilnojamojo turto kainos išaugimas, patogesnė, sveikesnė gyvenamoji aplinka ir kiti panašūs veiksniai, kiekybiškai nebuvo vertinti. </w:t>
      </w:r>
    </w:p>
    <w:p w14:paraId="5D2D03C7" w14:textId="328C836A" w:rsidR="00E728D4" w:rsidRPr="003878A7" w:rsidRDefault="00B22949" w:rsidP="00B22949">
      <w:pPr>
        <w:pStyle w:val="Heading3"/>
        <w:ind w:firstLine="426"/>
        <w:rPr>
          <w:rFonts w:cs="Times New Roman"/>
        </w:rPr>
      </w:pPr>
      <w:bookmarkStart w:id="19" w:name="_Toc402352625"/>
      <w:bookmarkStart w:id="20" w:name="_Toc25594682"/>
      <w:bookmarkStart w:id="21" w:name="_Toc70532866"/>
      <w:r w:rsidRPr="003878A7">
        <w:rPr>
          <w:rFonts w:cs="Times New Roman"/>
        </w:rPr>
        <w:t xml:space="preserve">3.1.2 </w:t>
      </w:r>
      <w:r w:rsidR="00E728D4" w:rsidRPr="003878A7">
        <w:rPr>
          <w:rFonts w:cs="Times New Roman"/>
        </w:rPr>
        <w:t>Viešųjų pastatų renovacijos jautrumo analizė</w:t>
      </w:r>
      <w:bookmarkEnd w:id="19"/>
      <w:bookmarkEnd w:id="20"/>
      <w:bookmarkEnd w:id="21"/>
    </w:p>
    <w:p w14:paraId="7CA4F76D" w14:textId="67DB8CCB" w:rsidR="00562B6F" w:rsidRDefault="00562B6F" w:rsidP="002A6D88">
      <w:r>
        <w:t xml:space="preserve">Viešųjų pastatų, įskaitant savivaldybių pastatus, renovacija yra vienas iš </w:t>
      </w:r>
      <w:r w:rsidR="00F332D0">
        <w:t>uždavinių</w:t>
      </w:r>
      <w:r>
        <w:t xml:space="preserve">, siekiant padidinti EE. </w:t>
      </w:r>
      <w:r w:rsidR="00F332D0">
        <w:t xml:space="preserve">Neįsibėgėjęs viešųjų pastatų renovacijos procesas sudaro prielaidas ieškoti kompleksinių sprendimų, tokių kaip paskolos ir subsidijos derinimas bei papildoma pagalba, </w:t>
      </w:r>
      <w:r w:rsidR="00F332D0" w:rsidRPr="00F332D0">
        <w:t>pavyzdžiui teikiant pagalbą projektų pasiruošimo etape, leidžiant savo lėšomis atlikti remonto darbus nesusijusius su energiniu efektyvumu, atsižvelgiant į didesnių lėšų poreikį perkant ESCO paslaugas ir kt.</w:t>
      </w:r>
    </w:p>
    <w:p w14:paraId="0EA88B4F" w14:textId="6F49C8B0" w:rsidR="002A6D88" w:rsidRPr="003878A7" w:rsidRDefault="002A6D88" w:rsidP="002A6D88">
      <w:r w:rsidRPr="003878A7">
        <w:t xml:space="preserve">Siekiant išsiaiškinti ar teikiant lengvatines paskolas viešųjų pastatų renovavimui reikalinga ir subsidija (siekiant, kad investicijos pastato renovacijai atsipirktų per 20 m. paskolos laikotarpį) buvo atlikta jautrumo analizė. Jautrumų analizės metu buvo nustatyta: </w:t>
      </w:r>
    </w:p>
    <w:p w14:paraId="74FE32BE" w14:textId="24F40247" w:rsidR="002A6D88" w:rsidRPr="003878A7" w:rsidRDefault="002A6D88" w:rsidP="002A6D88">
      <w:pPr>
        <w:pStyle w:val="ListParagraph"/>
        <w:numPr>
          <w:ilvl w:val="0"/>
          <w:numId w:val="21"/>
        </w:numPr>
      </w:pPr>
      <w:r w:rsidRPr="003878A7">
        <w:t>Pasiekus 40 proc. šilumos energijos sutaupymus ir projektams teikiant 20 proc. subsidiją, tipinio viešojo pastato renovacijos projektas atsiperka per 18,6 metų;</w:t>
      </w:r>
    </w:p>
    <w:p w14:paraId="14568C9C" w14:textId="2CD55695" w:rsidR="002A6D88" w:rsidRPr="003878A7" w:rsidRDefault="002A6D88" w:rsidP="002A6D88">
      <w:pPr>
        <w:pStyle w:val="ListParagraph"/>
        <w:numPr>
          <w:ilvl w:val="0"/>
          <w:numId w:val="21"/>
        </w:numPr>
      </w:pPr>
      <w:r w:rsidRPr="003878A7">
        <w:t xml:space="preserve">Didesnės energijos kainos lemia greitesnį projektų atsipirkimą. Dėl įvairių šilumos ūkio infrastruktūros planuojamų modernizavimo projektų, mažesnių gamtinių išteklių kainų, šilumos kaina neturėtų augti, tačiau dabartinė geopolitinė situacija bei stiprėjantis JAV dolerio kursas (pagrindinė atsiskaitymo už energetinius išteklius valiuta) prieš eurą, gali lemti padidėjusias </w:t>
      </w:r>
      <w:r w:rsidRPr="003878A7">
        <w:lastRenderedPageBreak/>
        <w:t>šilumos energijos kainas. Lentelėje esantys duomenys nurodo, jog kainai esant 0,085 Eur už vieną kWh (ir kainai augant apie 3 proc. kiekvienais metais) ir projektams teikiant papildomą 20 proc. subsidiją, tipinio viešojo pastato renovacijos projektas atsipirks per 18.1 metus.</w:t>
      </w:r>
    </w:p>
    <w:p w14:paraId="0F675D23" w14:textId="35F6F40F" w:rsidR="002A6D88" w:rsidRPr="003878A7" w:rsidRDefault="002A6D88" w:rsidP="002A6D88">
      <w:pPr>
        <w:pStyle w:val="ListParagraph"/>
        <w:numPr>
          <w:ilvl w:val="0"/>
          <w:numId w:val="21"/>
        </w:numPr>
      </w:pPr>
      <w:r w:rsidRPr="003878A7">
        <w:t>Pagal pateiktus duomenis matyti, kad tipiniai viešųjų pastatų renovacijos projektai, sutaupant 40 proc. šilumos energijos, tik kainai esant 0,10 Eur/kWh atsipirktų per 19.6 metus. Siekiant kad projektas atsipirktų per 20 m. paskolos laikotarpį energijos kainai esant pastoviai, projektas turėtų pasiekti bent 50 proc. sutaupymus. Jei energijos kaina atitiks šios ex ante dalies prielaidas, projektai be subsidijos atsipirks per 23,2 metus, o kainai išlikus 2013-2014 metų lygyje (0,077 Eur/kWh) atsipirktų per 26.2 metus.</w:t>
      </w:r>
    </w:p>
    <w:p w14:paraId="12343132" w14:textId="6C4AFEE9" w:rsidR="002A6D88" w:rsidRPr="003878A7" w:rsidRDefault="002A6D88" w:rsidP="002A6D88">
      <w:pPr>
        <w:pStyle w:val="ListParagraph"/>
        <w:numPr>
          <w:ilvl w:val="0"/>
          <w:numId w:val="21"/>
        </w:numPr>
      </w:pPr>
      <w:r w:rsidRPr="003878A7">
        <w:t>Esant 20 proc. subsidijos elementui ir 3 proc. šilumos kainos metiniam augimui viešųjų pastatų renovacijos projektai atsipirktų per maždaug 18,6 metų laikotarpį. Tuo tarpu be subsidijos elemento tokių projektų atsipirkimo laikotarpis išsitęstų iki 23,8 metų. Šilumos kainai neaugant ir paliekant 20 proc. subsidijos elementą projektas galėtų atsipirkti per 25,8 metus. Tuo tarpu be subsidijos elemento tokių projektų atsipirkimo laikotarpis išsitęstų iki 33,5 metų.</w:t>
      </w:r>
    </w:p>
    <w:p w14:paraId="077266C7" w14:textId="6330C0EC" w:rsidR="002A6D88" w:rsidRDefault="002A6D88" w:rsidP="002A6D88">
      <w:r w:rsidRPr="003878A7">
        <w:t>Remiantis jautrumo analizės duomenimis, daroma išvada, jog teikiant 20 proc. subsidiją projektams viešųjų pastatų renovacijos projektai atsipirks per 20 m. paskolos laikotarpį. Šie skaičiavimai buvo atlikti naudojant vidutinius pastatų ploto, reikalingų investicijų, energijos suvartojimo ir sutaupymo, šilumos energijos kainos ir kt., dydžius, todėl tikėtina praktikoje konkretiems pastatams būtų reikalinga ir mažesnė nei 20 proc. subsidija.</w:t>
      </w:r>
    </w:p>
    <w:p w14:paraId="6066025D" w14:textId="38F55114" w:rsidR="007F7032" w:rsidRDefault="007F7032" w:rsidP="007F7032">
      <w:r>
        <w:t xml:space="preserve">Visgi, renkantis kokybine prasme tinkamiausią finansavimo būdą reikia atsižvelgti į skirtingus GNG ir įvertinti jų galimybes skolintis. </w:t>
      </w:r>
      <w:r w:rsidRPr="007F7032">
        <w:t xml:space="preserve">Centrinės valdžios pastatams renovuoti tiesioginis paskolų teikimas yra apribotas teisinių aplinkybių, kadangi biudžetinės įstaigos negali skolintis savo vardu. Centrinės valdžios vardu paskolas imti gali tik </w:t>
      </w:r>
      <w:r>
        <w:t>FM</w:t>
      </w:r>
      <w:r w:rsidRPr="007F7032">
        <w:t xml:space="preserve">, todėl siekiant to išvengti yra siūlomi scenarijai, kai paskolos suteikiamos per ESCO įmones arba, kai nėra teisinių apribojimų (pavyzdžiui, viešosioms įstaigoms) paskolos teikiamos tiesiogiai </w:t>
      </w:r>
      <w:r>
        <w:t>GNG</w:t>
      </w:r>
      <w:r w:rsidRPr="007F7032">
        <w:t xml:space="preserve">.  </w:t>
      </w:r>
      <w:r>
        <w:t>Skirtingai nei centrinės valdžios pastatų savininkų skolinimasis, savivaldybių skolinimasis nėra apribotas teisinės bazės, tačiau savivaldybių skola yra kontroliuojama, todėl per didelis įsiskolinimas dažnu atveju gali tapti kiūtimi pasiskolinti tam tikrų projektų įgyvendinimui. Atsižvelgiant į tai, siūlomi keli scenarijai: (1) projektą įgyvendina ir paskolą ima ESCO įmonė; (2) savivaldybės skolinasi pačios (esant galimybėms); (3) paskolos teikiamos savivaldybių paskirtiesiems subjektams savivaldybių naudai.</w:t>
      </w:r>
    </w:p>
    <w:p w14:paraId="220B31A1" w14:textId="0E322736" w:rsidR="00E728D4" w:rsidRPr="003878A7" w:rsidRDefault="00E728D4" w:rsidP="00B22949">
      <w:pPr>
        <w:pStyle w:val="Heading2"/>
        <w:numPr>
          <w:ilvl w:val="1"/>
          <w:numId w:val="3"/>
        </w:numPr>
        <w:ind w:left="709" w:hanging="425"/>
        <w:rPr>
          <w:rFonts w:cs="Times New Roman"/>
        </w:rPr>
      </w:pPr>
      <w:bookmarkStart w:id="22" w:name="_Toc70532867"/>
      <w:r w:rsidRPr="003878A7">
        <w:rPr>
          <w:rFonts w:cs="Times New Roman"/>
        </w:rPr>
        <w:t>Kokybinis pridėtinės vertės vertinimas</w:t>
      </w:r>
      <w:bookmarkEnd w:id="22"/>
    </w:p>
    <w:p w14:paraId="467FF444" w14:textId="12F26A17" w:rsidR="00480B9F" w:rsidRPr="003878A7" w:rsidRDefault="00480B9F" w:rsidP="002A6D88">
      <w:pPr>
        <w:rPr>
          <w:rFonts w:cs="Times New Roman"/>
        </w:rPr>
      </w:pPr>
      <w:r w:rsidRPr="003878A7">
        <w:rPr>
          <w:rFonts w:cs="Times New Roman"/>
        </w:rPr>
        <w:t xml:space="preserve">Pastaraisiais metais stebėtos </w:t>
      </w:r>
      <w:r w:rsidR="009E3F40" w:rsidRPr="003878A7">
        <w:rPr>
          <w:rFonts w:cs="Times New Roman"/>
        </w:rPr>
        <w:t xml:space="preserve">subsidijavimo šilumos gamybos ir tiekimo sektoriui </w:t>
      </w:r>
      <w:r w:rsidRPr="003878A7">
        <w:rPr>
          <w:rFonts w:cs="Times New Roman"/>
        </w:rPr>
        <w:t>tendencijos</w:t>
      </w:r>
      <w:r w:rsidR="009E3F40" w:rsidRPr="003878A7">
        <w:rPr>
          <w:rFonts w:cs="Times New Roman"/>
        </w:rPr>
        <w:t xml:space="preserve"> </w:t>
      </w:r>
      <w:r w:rsidRPr="003878A7">
        <w:rPr>
          <w:rFonts w:cs="Times New Roman"/>
        </w:rPr>
        <w:t>galėjo turėti neigiamą įtaką kiekybiniams daugiabučių namų</w:t>
      </w:r>
      <w:r w:rsidR="002A6D88" w:rsidRPr="003878A7">
        <w:rPr>
          <w:rFonts w:cs="Times New Roman"/>
        </w:rPr>
        <w:t xml:space="preserve"> ir viešųjų pastatų</w:t>
      </w:r>
      <w:r w:rsidRPr="003878A7">
        <w:rPr>
          <w:rFonts w:cs="Times New Roman"/>
        </w:rPr>
        <w:t xml:space="preserve"> modernizacijos projektų atsipirkimo rodikliams</w:t>
      </w:r>
      <w:r w:rsidR="009E3F40" w:rsidRPr="003878A7">
        <w:rPr>
          <w:rFonts w:cs="Times New Roman"/>
        </w:rPr>
        <w:t xml:space="preserve">. Visgi, svarbu pabrėžti, kad </w:t>
      </w:r>
      <w:r w:rsidR="002A6D88" w:rsidRPr="003878A7">
        <w:rPr>
          <w:rFonts w:cs="Times New Roman"/>
        </w:rPr>
        <w:t>pastatų ir apšvietimo</w:t>
      </w:r>
      <w:r w:rsidRPr="003878A7">
        <w:rPr>
          <w:rFonts w:cs="Times New Roman"/>
        </w:rPr>
        <w:t xml:space="preserve"> renovacijos projektai atneša </w:t>
      </w:r>
      <w:r w:rsidR="009E3F40" w:rsidRPr="003878A7">
        <w:rPr>
          <w:rFonts w:cs="Times New Roman"/>
        </w:rPr>
        <w:t xml:space="preserve">ir </w:t>
      </w:r>
      <w:r w:rsidRPr="003878A7">
        <w:rPr>
          <w:rFonts w:cs="Times New Roman"/>
        </w:rPr>
        <w:t xml:space="preserve">kokybinės naudos, tokios kaip padidėjusi nekilnojamojo turto kaina, higienos normų užtikrinimas, komfortas ir estetinis pastato vaizdas. </w:t>
      </w:r>
    </w:p>
    <w:p w14:paraId="78DCB4B7" w14:textId="1F941459" w:rsidR="002A6D88" w:rsidRPr="003878A7" w:rsidRDefault="002A6D88" w:rsidP="002A6D88">
      <w:pPr>
        <w:rPr>
          <w:rFonts w:cs="Times New Roman"/>
        </w:rPr>
      </w:pPr>
      <w:r w:rsidRPr="003878A7">
        <w:rPr>
          <w:sz w:val="20"/>
          <w:szCs w:val="20"/>
        </w:rPr>
        <w:t>Kokybinis pridėtinės vertės vertinimas atliktas integruojant ir papildant PwC studijos informaciją. Kokybinis pridėtinės vertės vertinimas yra pateikiamas stiprybių-silpnybių-grėsmių-galimybių (toliau – SSGG) matricos form</w:t>
      </w:r>
      <w:r w:rsidR="00AC7864" w:rsidRPr="003878A7">
        <w:rPr>
          <w:sz w:val="20"/>
          <w:szCs w:val="20"/>
        </w:rPr>
        <w:t>a ir yra analizuojamas FP taikymo kontekste.</w:t>
      </w:r>
    </w:p>
    <w:p w14:paraId="7EB096DB" w14:textId="5CF14CD1" w:rsidR="002A6D88" w:rsidRPr="003878A7" w:rsidRDefault="00B22949" w:rsidP="00B22949">
      <w:pPr>
        <w:pStyle w:val="Heading3"/>
        <w:ind w:firstLine="426"/>
        <w:rPr>
          <w:rFonts w:cs="Times New Roman"/>
        </w:rPr>
      </w:pPr>
      <w:bookmarkStart w:id="23" w:name="_Toc70532868"/>
      <w:r w:rsidRPr="003878A7">
        <w:rPr>
          <w:rFonts w:cs="Times New Roman"/>
        </w:rPr>
        <w:t xml:space="preserve">3.2.1 </w:t>
      </w:r>
      <w:r w:rsidR="002A6D88" w:rsidRPr="003878A7">
        <w:rPr>
          <w:rFonts w:cs="Times New Roman"/>
        </w:rPr>
        <w:t>Daugiabučių modernizavimo projektų sukuriama kokybinė pridėtinė vertė</w:t>
      </w:r>
      <w:bookmarkEnd w:id="23"/>
    </w:p>
    <w:p w14:paraId="5EF112EB" w14:textId="525AC23B" w:rsidR="00AC7864" w:rsidRPr="003878A7" w:rsidRDefault="00AC7864" w:rsidP="00AC7864">
      <w:pPr>
        <w:ind w:firstLine="0"/>
        <w:rPr>
          <w:rFonts w:cs="Times New Roman"/>
          <w:i/>
          <w:iCs/>
        </w:rPr>
      </w:pPr>
      <w:r w:rsidRPr="003878A7">
        <w:rPr>
          <w:rFonts w:cs="Times New Roman"/>
          <w:i/>
          <w:iCs/>
        </w:rPr>
        <w:t>Lentelė Nr. 5. FP taikymo daugiabučių modernizavimo srityje SSGG analizė</w:t>
      </w:r>
    </w:p>
    <w:tbl>
      <w:tblPr>
        <w:tblStyle w:val="TableGrid"/>
        <w:tblW w:w="0" w:type="auto"/>
        <w:tblLook w:val="04A0" w:firstRow="1" w:lastRow="0" w:firstColumn="1" w:lastColumn="0" w:noHBand="0" w:noVBand="1"/>
      </w:tblPr>
      <w:tblGrid>
        <w:gridCol w:w="4927"/>
        <w:gridCol w:w="4927"/>
      </w:tblGrid>
      <w:tr w:rsidR="002A6D88" w:rsidRPr="003878A7" w14:paraId="5A0C2825" w14:textId="77777777" w:rsidTr="002A6D88">
        <w:tc>
          <w:tcPr>
            <w:tcW w:w="4927" w:type="dxa"/>
          </w:tcPr>
          <w:p w14:paraId="6581A97F" w14:textId="4EA0F6BC" w:rsidR="002A6D88" w:rsidRPr="003878A7" w:rsidRDefault="002A6D88" w:rsidP="002A6D88">
            <w:pPr>
              <w:ind w:firstLine="0"/>
              <w:rPr>
                <w:rFonts w:cs="Times New Roman"/>
                <w:b/>
                <w:bCs/>
                <w:sz w:val="21"/>
                <w:szCs w:val="21"/>
                <w:lang w:val="lt-LT"/>
              </w:rPr>
            </w:pPr>
            <w:r w:rsidRPr="003878A7">
              <w:rPr>
                <w:rFonts w:cs="Times New Roman"/>
                <w:b/>
                <w:bCs/>
                <w:sz w:val="21"/>
                <w:szCs w:val="21"/>
                <w:lang w:val="lt-LT"/>
              </w:rPr>
              <w:t>Stiprybės</w:t>
            </w:r>
          </w:p>
          <w:p w14:paraId="3A50621A" w14:textId="77777777" w:rsidR="002A6D88" w:rsidRPr="003878A7" w:rsidRDefault="002A6D88" w:rsidP="00222DE5">
            <w:pPr>
              <w:pStyle w:val="Default"/>
              <w:numPr>
                <w:ilvl w:val="0"/>
                <w:numId w:val="28"/>
              </w:numPr>
              <w:ind w:left="426"/>
              <w:jc w:val="both"/>
              <w:rPr>
                <w:sz w:val="21"/>
                <w:szCs w:val="21"/>
                <w:lang w:val="lt-LT"/>
              </w:rPr>
            </w:pPr>
            <w:r w:rsidRPr="003878A7">
              <w:rPr>
                <w:sz w:val="21"/>
                <w:szCs w:val="21"/>
                <w:lang w:val="lt-LT"/>
              </w:rPr>
              <w:t xml:space="preserve">Aiškus investicijų grįžimo šaltinis – energijos sutaupymai </w:t>
            </w:r>
          </w:p>
          <w:p w14:paraId="31CF3F82" w14:textId="77777777" w:rsidR="002A6D88" w:rsidRPr="003878A7" w:rsidRDefault="002A6D88" w:rsidP="00222DE5">
            <w:pPr>
              <w:pStyle w:val="Default"/>
              <w:numPr>
                <w:ilvl w:val="0"/>
                <w:numId w:val="28"/>
              </w:numPr>
              <w:ind w:left="426"/>
              <w:jc w:val="both"/>
              <w:rPr>
                <w:sz w:val="21"/>
                <w:szCs w:val="21"/>
                <w:lang w:val="lt-LT"/>
              </w:rPr>
            </w:pPr>
            <w:r w:rsidRPr="003878A7">
              <w:rPr>
                <w:sz w:val="21"/>
                <w:szCs w:val="21"/>
                <w:lang w:val="lt-LT"/>
              </w:rPr>
              <w:t xml:space="preserve">JESSICA KF įgyvendinimo metu įgyta patirtis – tiek valstybės institucijų, tiek finansinių tarpininkų </w:t>
            </w:r>
          </w:p>
          <w:p w14:paraId="295A9596" w14:textId="76C421F5" w:rsidR="002A6D88" w:rsidRPr="003878A7" w:rsidRDefault="002A6D88" w:rsidP="00222DE5">
            <w:pPr>
              <w:pStyle w:val="Default"/>
              <w:numPr>
                <w:ilvl w:val="0"/>
                <w:numId w:val="28"/>
              </w:numPr>
              <w:ind w:left="426"/>
              <w:jc w:val="both"/>
              <w:rPr>
                <w:sz w:val="21"/>
                <w:szCs w:val="21"/>
                <w:lang w:val="lt-LT"/>
              </w:rPr>
            </w:pPr>
            <w:r w:rsidRPr="003878A7">
              <w:rPr>
                <w:sz w:val="21"/>
                <w:szCs w:val="21"/>
                <w:lang w:val="lt-LT"/>
              </w:rPr>
              <w:t xml:space="preserve">Politinis palaikymas </w:t>
            </w:r>
          </w:p>
          <w:p w14:paraId="132957E3" w14:textId="09D4198E" w:rsidR="002A6D88" w:rsidRPr="003878A7" w:rsidRDefault="002A6D88" w:rsidP="00222DE5">
            <w:pPr>
              <w:pStyle w:val="Default"/>
              <w:numPr>
                <w:ilvl w:val="0"/>
                <w:numId w:val="28"/>
              </w:numPr>
              <w:ind w:left="426"/>
              <w:jc w:val="both"/>
              <w:rPr>
                <w:sz w:val="21"/>
                <w:szCs w:val="21"/>
                <w:lang w:val="lt-LT"/>
              </w:rPr>
            </w:pPr>
            <w:r w:rsidRPr="003878A7">
              <w:rPr>
                <w:sz w:val="21"/>
                <w:szCs w:val="21"/>
                <w:lang w:val="lt-LT"/>
              </w:rPr>
              <w:t xml:space="preserve">Didėjantis gyventojų sąmoningumas </w:t>
            </w:r>
          </w:p>
          <w:p w14:paraId="341D6260" w14:textId="76A3279C" w:rsidR="002A6D88" w:rsidRPr="003878A7" w:rsidRDefault="002A6D88" w:rsidP="00222DE5">
            <w:pPr>
              <w:pStyle w:val="Default"/>
              <w:numPr>
                <w:ilvl w:val="0"/>
                <w:numId w:val="28"/>
              </w:numPr>
              <w:ind w:left="426"/>
              <w:jc w:val="both"/>
              <w:rPr>
                <w:sz w:val="21"/>
                <w:szCs w:val="21"/>
                <w:lang w:val="lt-LT"/>
              </w:rPr>
            </w:pPr>
            <w:r w:rsidRPr="003878A7">
              <w:rPr>
                <w:sz w:val="21"/>
                <w:szCs w:val="21"/>
                <w:lang w:val="lt-LT"/>
              </w:rPr>
              <w:t xml:space="preserve">Palengvinti centralizuoti viešieji pirkimai </w:t>
            </w:r>
          </w:p>
          <w:p w14:paraId="6653DE94" w14:textId="1116BBB7" w:rsidR="002A6D88" w:rsidRPr="003878A7" w:rsidRDefault="002A6D88" w:rsidP="00222DE5">
            <w:pPr>
              <w:pStyle w:val="Default"/>
              <w:numPr>
                <w:ilvl w:val="0"/>
                <w:numId w:val="28"/>
              </w:numPr>
              <w:ind w:left="426"/>
              <w:jc w:val="both"/>
              <w:rPr>
                <w:sz w:val="21"/>
                <w:szCs w:val="21"/>
                <w:lang w:val="lt-LT"/>
              </w:rPr>
            </w:pPr>
            <w:r w:rsidRPr="003878A7">
              <w:rPr>
                <w:sz w:val="21"/>
                <w:szCs w:val="21"/>
                <w:lang w:val="lt-LT"/>
              </w:rPr>
              <w:t xml:space="preserve">Energijos auditas, investiciniai planai ir energetiniai sertifikatai leidžia įvertinti renovacijos darbų kokybę </w:t>
            </w:r>
          </w:p>
          <w:p w14:paraId="3A8ECE93" w14:textId="23B430C9" w:rsidR="002A6D88" w:rsidRPr="003878A7" w:rsidRDefault="002A6D88" w:rsidP="00222DE5">
            <w:pPr>
              <w:pStyle w:val="Default"/>
              <w:numPr>
                <w:ilvl w:val="0"/>
                <w:numId w:val="28"/>
              </w:numPr>
              <w:ind w:left="426"/>
              <w:jc w:val="both"/>
              <w:rPr>
                <w:sz w:val="21"/>
                <w:szCs w:val="21"/>
                <w:lang w:val="lt-LT"/>
              </w:rPr>
            </w:pPr>
            <w:r w:rsidRPr="003878A7">
              <w:rPr>
                <w:sz w:val="21"/>
                <w:szCs w:val="21"/>
                <w:lang w:val="lt-LT"/>
              </w:rPr>
              <w:lastRenderedPageBreak/>
              <w:t xml:space="preserve">Suformuotas projektų kiekis (angl. </w:t>
            </w:r>
            <w:proofErr w:type="spellStart"/>
            <w:r w:rsidRPr="003878A7">
              <w:rPr>
                <w:i/>
                <w:iCs/>
                <w:sz w:val="21"/>
                <w:szCs w:val="21"/>
                <w:lang w:val="lt-LT"/>
              </w:rPr>
              <w:t>pipeline</w:t>
            </w:r>
            <w:proofErr w:type="spellEnd"/>
            <w:r w:rsidRPr="003878A7">
              <w:rPr>
                <w:i/>
                <w:iCs/>
                <w:sz w:val="21"/>
                <w:szCs w:val="21"/>
                <w:lang w:val="lt-LT"/>
              </w:rPr>
              <w:t xml:space="preserve">) </w:t>
            </w:r>
          </w:p>
          <w:p w14:paraId="1397AC15" w14:textId="34EC1200" w:rsidR="002A6D88" w:rsidRPr="003878A7" w:rsidRDefault="002A6D88" w:rsidP="00222DE5">
            <w:pPr>
              <w:pStyle w:val="Default"/>
              <w:numPr>
                <w:ilvl w:val="0"/>
                <w:numId w:val="28"/>
              </w:numPr>
              <w:ind w:left="426"/>
              <w:jc w:val="both"/>
              <w:rPr>
                <w:sz w:val="21"/>
                <w:szCs w:val="21"/>
                <w:lang w:val="lt-LT"/>
              </w:rPr>
            </w:pPr>
            <w:r w:rsidRPr="003878A7">
              <w:rPr>
                <w:sz w:val="21"/>
                <w:szCs w:val="21"/>
                <w:lang w:val="lt-LT"/>
              </w:rPr>
              <w:t xml:space="preserve">Tinkamai ir efektyviai išnaudojamos daugiabučių gyvenamųjų namų bendrojo naudojimo objektų administratorių funkcijos </w:t>
            </w:r>
          </w:p>
          <w:p w14:paraId="42E887B6" w14:textId="5E37788C" w:rsidR="002A6D88" w:rsidRPr="003878A7" w:rsidRDefault="002A6D88" w:rsidP="00222DE5">
            <w:pPr>
              <w:pStyle w:val="Default"/>
              <w:numPr>
                <w:ilvl w:val="0"/>
                <w:numId w:val="28"/>
              </w:numPr>
              <w:ind w:left="426"/>
              <w:jc w:val="both"/>
              <w:rPr>
                <w:sz w:val="21"/>
                <w:szCs w:val="21"/>
                <w:lang w:val="lt-LT"/>
              </w:rPr>
            </w:pPr>
            <w:r w:rsidRPr="003878A7">
              <w:rPr>
                <w:sz w:val="21"/>
                <w:szCs w:val="21"/>
                <w:lang w:val="lt-LT"/>
              </w:rPr>
              <w:t xml:space="preserve">Didėjantis istorinių duomenų kiekis, leidžiantis tiksliau prognozuoti ir vertinti šių projektų finansavimo ir įgyvendinimo galimybes </w:t>
            </w:r>
          </w:p>
        </w:tc>
        <w:tc>
          <w:tcPr>
            <w:tcW w:w="4927" w:type="dxa"/>
          </w:tcPr>
          <w:p w14:paraId="3B83F05E" w14:textId="102679CB" w:rsidR="002A6D88" w:rsidRPr="003878A7" w:rsidRDefault="002A6D88" w:rsidP="002A6D88">
            <w:pPr>
              <w:ind w:firstLine="0"/>
              <w:rPr>
                <w:rFonts w:cs="Times New Roman"/>
                <w:b/>
                <w:bCs/>
                <w:sz w:val="21"/>
                <w:szCs w:val="21"/>
                <w:lang w:val="lt-LT"/>
              </w:rPr>
            </w:pPr>
            <w:r w:rsidRPr="003878A7">
              <w:rPr>
                <w:rFonts w:cs="Times New Roman"/>
                <w:b/>
                <w:bCs/>
                <w:sz w:val="21"/>
                <w:szCs w:val="21"/>
                <w:lang w:val="lt-LT"/>
              </w:rPr>
              <w:lastRenderedPageBreak/>
              <w:t>Silpnybės</w:t>
            </w:r>
          </w:p>
          <w:p w14:paraId="4FA92130" w14:textId="77777777" w:rsidR="002A6D88" w:rsidRPr="003878A7" w:rsidRDefault="002A6D88" w:rsidP="00222DE5">
            <w:pPr>
              <w:pStyle w:val="Default"/>
              <w:numPr>
                <w:ilvl w:val="0"/>
                <w:numId w:val="29"/>
              </w:numPr>
              <w:ind w:left="454"/>
              <w:jc w:val="both"/>
              <w:rPr>
                <w:sz w:val="21"/>
                <w:szCs w:val="21"/>
                <w:lang w:val="lt-LT"/>
              </w:rPr>
            </w:pPr>
            <w:r w:rsidRPr="003878A7">
              <w:rPr>
                <w:sz w:val="21"/>
                <w:szCs w:val="21"/>
                <w:lang w:val="lt-LT"/>
              </w:rPr>
              <w:t xml:space="preserve">Ilgas sutarčių su finansiniais tarpininkais derinimas </w:t>
            </w:r>
          </w:p>
          <w:p w14:paraId="266AFC84" w14:textId="53243F4C" w:rsidR="002A6D88" w:rsidRPr="003878A7" w:rsidRDefault="002A6D88" w:rsidP="00222DE5">
            <w:pPr>
              <w:pStyle w:val="Default"/>
              <w:numPr>
                <w:ilvl w:val="0"/>
                <w:numId w:val="29"/>
              </w:numPr>
              <w:ind w:left="454"/>
              <w:jc w:val="both"/>
              <w:rPr>
                <w:sz w:val="21"/>
                <w:szCs w:val="21"/>
                <w:lang w:val="lt-LT"/>
              </w:rPr>
            </w:pPr>
            <w:r w:rsidRPr="003878A7">
              <w:rPr>
                <w:sz w:val="21"/>
                <w:szCs w:val="21"/>
                <w:lang w:val="lt-LT"/>
              </w:rPr>
              <w:t xml:space="preserve">Didelis galutinių naudos gavėjų kiekis viename daugiabutyje </w:t>
            </w:r>
          </w:p>
          <w:p w14:paraId="716611C4" w14:textId="18263F9D" w:rsidR="002A6D88" w:rsidRPr="003878A7" w:rsidRDefault="002A6D88" w:rsidP="00222DE5">
            <w:pPr>
              <w:pStyle w:val="Default"/>
              <w:numPr>
                <w:ilvl w:val="0"/>
                <w:numId w:val="29"/>
              </w:numPr>
              <w:ind w:left="454"/>
              <w:jc w:val="both"/>
              <w:rPr>
                <w:sz w:val="21"/>
                <w:szCs w:val="21"/>
                <w:lang w:val="lt-LT"/>
              </w:rPr>
            </w:pPr>
            <w:r w:rsidRPr="003878A7">
              <w:rPr>
                <w:sz w:val="21"/>
                <w:szCs w:val="21"/>
                <w:lang w:val="lt-LT"/>
              </w:rPr>
              <w:t xml:space="preserve">Skirtingos kredito istorijos (ne visi paskolos gavėjai yra patikimi mokėtojai) </w:t>
            </w:r>
          </w:p>
          <w:p w14:paraId="73C486C8" w14:textId="0E473B8C" w:rsidR="002A6D88" w:rsidRPr="003878A7" w:rsidRDefault="002A6D88" w:rsidP="00222DE5">
            <w:pPr>
              <w:pStyle w:val="Default"/>
              <w:numPr>
                <w:ilvl w:val="0"/>
                <w:numId w:val="29"/>
              </w:numPr>
              <w:ind w:left="454"/>
              <w:jc w:val="both"/>
              <w:rPr>
                <w:sz w:val="21"/>
                <w:szCs w:val="21"/>
                <w:lang w:val="lt-LT"/>
              </w:rPr>
            </w:pPr>
            <w:r w:rsidRPr="003878A7">
              <w:rPr>
                <w:sz w:val="21"/>
                <w:szCs w:val="21"/>
                <w:lang w:val="lt-LT"/>
              </w:rPr>
              <w:t xml:space="preserve">Dalis energetinio efektyvumo priemonių įdiegta gyventojų iniciatyva jau anksčiau (mažėja projekto atsiperkamumas) </w:t>
            </w:r>
          </w:p>
          <w:p w14:paraId="5573AD27" w14:textId="468F6A75" w:rsidR="002A6D88" w:rsidRPr="003878A7" w:rsidRDefault="002A6D88" w:rsidP="00222DE5">
            <w:pPr>
              <w:pStyle w:val="Default"/>
              <w:numPr>
                <w:ilvl w:val="0"/>
                <w:numId w:val="29"/>
              </w:numPr>
              <w:ind w:left="454"/>
              <w:jc w:val="both"/>
              <w:rPr>
                <w:sz w:val="21"/>
                <w:szCs w:val="21"/>
                <w:lang w:val="lt-LT"/>
              </w:rPr>
            </w:pPr>
            <w:r w:rsidRPr="003878A7">
              <w:rPr>
                <w:sz w:val="21"/>
                <w:szCs w:val="21"/>
                <w:lang w:val="lt-LT"/>
              </w:rPr>
              <w:t xml:space="preserve">Skirtingo tipo savininkai daugiabutyje (pvz. </w:t>
            </w:r>
            <w:r w:rsidRPr="003878A7">
              <w:rPr>
                <w:sz w:val="21"/>
                <w:szCs w:val="21"/>
                <w:lang w:val="lt-LT"/>
              </w:rPr>
              <w:lastRenderedPageBreak/>
              <w:t xml:space="preserve">įmonės, socialiai remtini asmenys) </w:t>
            </w:r>
          </w:p>
          <w:p w14:paraId="51C68CCE" w14:textId="57E49A9C" w:rsidR="002A6D88" w:rsidRPr="003878A7" w:rsidRDefault="002A6D88" w:rsidP="00222DE5">
            <w:pPr>
              <w:pStyle w:val="Default"/>
              <w:numPr>
                <w:ilvl w:val="0"/>
                <w:numId w:val="29"/>
              </w:numPr>
              <w:ind w:left="454"/>
              <w:jc w:val="both"/>
              <w:rPr>
                <w:sz w:val="21"/>
                <w:szCs w:val="21"/>
                <w:lang w:val="lt-LT"/>
              </w:rPr>
            </w:pPr>
            <w:r w:rsidRPr="003878A7">
              <w:rPr>
                <w:sz w:val="21"/>
                <w:szCs w:val="21"/>
                <w:lang w:val="lt-LT"/>
              </w:rPr>
              <w:t xml:space="preserve">Papildomos valstybės paramos poreikis projektų finansiniam atsiperkamumui užtikrinti </w:t>
            </w:r>
          </w:p>
          <w:p w14:paraId="49149A4B" w14:textId="092AEBB3" w:rsidR="002A6D88" w:rsidRPr="003878A7" w:rsidRDefault="002A6D88" w:rsidP="00222DE5">
            <w:pPr>
              <w:pStyle w:val="Default"/>
              <w:numPr>
                <w:ilvl w:val="0"/>
                <w:numId w:val="29"/>
              </w:numPr>
              <w:ind w:left="454"/>
              <w:jc w:val="both"/>
              <w:rPr>
                <w:sz w:val="21"/>
                <w:szCs w:val="21"/>
                <w:lang w:val="lt-LT"/>
              </w:rPr>
            </w:pPr>
            <w:r w:rsidRPr="003878A7">
              <w:rPr>
                <w:sz w:val="21"/>
                <w:szCs w:val="21"/>
                <w:lang w:val="lt-LT"/>
              </w:rPr>
              <w:t xml:space="preserve">Pirkimai mažiausios kainos būdu gali įtakoti darbų kokybę ir mažinti renovacijos patrauklumą </w:t>
            </w:r>
          </w:p>
          <w:p w14:paraId="6DAB2736" w14:textId="11187146" w:rsidR="002A6D88" w:rsidRPr="003878A7" w:rsidRDefault="002A6D88" w:rsidP="002A6D88">
            <w:pPr>
              <w:ind w:firstLine="0"/>
              <w:rPr>
                <w:rFonts w:cs="Times New Roman"/>
                <w:sz w:val="21"/>
                <w:szCs w:val="21"/>
                <w:lang w:val="lt-LT"/>
              </w:rPr>
            </w:pPr>
          </w:p>
        </w:tc>
      </w:tr>
      <w:tr w:rsidR="002A6D88" w:rsidRPr="003878A7" w14:paraId="6FDB7B68" w14:textId="77777777" w:rsidTr="002A6D88">
        <w:tc>
          <w:tcPr>
            <w:tcW w:w="4927" w:type="dxa"/>
          </w:tcPr>
          <w:p w14:paraId="6C198E27" w14:textId="77777777" w:rsidR="002A6D88" w:rsidRPr="003878A7" w:rsidRDefault="002A6D88" w:rsidP="002A6D88">
            <w:pPr>
              <w:ind w:firstLine="0"/>
              <w:rPr>
                <w:rFonts w:cs="Times New Roman"/>
                <w:b/>
                <w:bCs/>
                <w:sz w:val="21"/>
                <w:szCs w:val="21"/>
                <w:lang w:val="lt-LT"/>
              </w:rPr>
            </w:pPr>
            <w:r w:rsidRPr="003878A7">
              <w:rPr>
                <w:rFonts w:cs="Times New Roman"/>
                <w:b/>
                <w:bCs/>
                <w:sz w:val="21"/>
                <w:szCs w:val="21"/>
                <w:lang w:val="lt-LT"/>
              </w:rPr>
              <w:lastRenderedPageBreak/>
              <w:t>Galimybės</w:t>
            </w:r>
          </w:p>
          <w:p w14:paraId="4E11525E" w14:textId="3239BD22" w:rsidR="002A6D88" w:rsidRPr="003878A7" w:rsidRDefault="002A6D88" w:rsidP="00222DE5">
            <w:pPr>
              <w:pStyle w:val="ListParagraph"/>
              <w:numPr>
                <w:ilvl w:val="0"/>
                <w:numId w:val="31"/>
              </w:numPr>
              <w:spacing w:before="0" w:after="0"/>
              <w:ind w:left="425" w:hanging="357"/>
              <w:rPr>
                <w:rFonts w:cs="Times New Roman"/>
                <w:sz w:val="21"/>
                <w:szCs w:val="21"/>
                <w:lang w:val="lt-LT"/>
              </w:rPr>
            </w:pPr>
            <w:r w:rsidRPr="003878A7">
              <w:rPr>
                <w:rFonts w:cs="Times New Roman"/>
                <w:sz w:val="21"/>
                <w:szCs w:val="21"/>
                <w:lang w:val="lt-LT"/>
              </w:rPr>
              <w:t xml:space="preserve">Galimybės pritraukti privačius investuotojus </w:t>
            </w:r>
          </w:p>
          <w:p w14:paraId="0991B618" w14:textId="68359A5E" w:rsidR="002A6D88" w:rsidRPr="003878A7" w:rsidRDefault="002A6D88" w:rsidP="00222DE5">
            <w:pPr>
              <w:pStyle w:val="Default"/>
              <w:numPr>
                <w:ilvl w:val="0"/>
                <w:numId w:val="31"/>
              </w:numPr>
              <w:ind w:left="425" w:hanging="357"/>
              <w:jc w:val="both"/>
              <w:rPr>
                <w:sz w:val="21"/>
                <w:szCs w:val="21"/>
                <w:lang w:val="lt-LT"/>
              </w:rPr>
            </w:pPr>
            <w:r w:rsidRPr="003878A7">
              <w:rPr>
                <w:sz w:val="21"/>
                <w:szCs w:val="21"/>
                <w:lang w:val="lt-LT"/>
              </w:rPr>
              <w:t xml:space="preserve">Galimybės sumažinti papildomą valstybės paramą </w:t>
            </w:r>
          </w:p>
          <w:p w14:paraId="3603774F" w14:textId="43FA567F" w:rsidR="002A6D88" w:rsidRPr="003878A7" w:rsidRDefault="002A6D88" w:rsidP="00222DE5">
            <w:pPr>
              <w:pStyle w:val="Default"/>
              <w:numPr>
                <w:ilvl w:val="0"/>
                <w:numId w:val="31"/>
              </w:numPr>
              <w:ind w:left="425" w:hanging="357"/>
              <w:jc w:val="both"/>
              <w:rPr>
                <w:sz w:val="21"/>
                <w:szCs w:val="21"/>
                <w:lang w:val="lt-LT"/>
              </w:rPr>
            </w:pPr>
            <w:r w:rsidRPr="003878A7">
              <w:rPr>
                <w:sz w:val="21"/>
                <w:szCs w:val="21"/>
                <w:lang w:val="lt-LT"/>
              </w:rPr>
              <w:t xml:space="preserve">Grįžtantys pinigų srautai gali būti pakartotinai naudojami projektų finansavimui </w:t>
            </w:r>
          </w:p>
          <w:p w14:paraId="3E04DB34" w14:textId="0CC84508" w:rsidR="002A6D88" w:rsidRPr="003878A7" w:rsidRDefault="002A6D88" w:rsidP="00222DE5">
            <w:pPr>
              <w:pStyle w:val="Default"/>
              <w:numPr>
                <w:ilvl w:val="0"/>
                <w:numId w:val="31"/>
              </w:numPr>
              <w:ind w:left="425" w:hanging="357"/>
              <w:jc w:val="both"/>
              <w:rPr>
                <w:sz w:val="21"/>
                <w:szCs w:val="21"/>
                <w:lang w:val="lt-LT"/>
              </w:rPr>
            </w:pPr>
            <w:r w:rsidRPr="003878A7">
              <w:rPr>
                <w:sz w:val="21"/>
                <w:szCs w:val="21"/>
                <w:lang w:val="lt-LT"/>
              </w:rPr>
              <w:t xml:space="preserve">Viešųjų pirkimų paprastinimas </w:t>
            </w:r>
          </w:p>
          <w:p w14:paraId="5B5A3AFF" w14:textId="5C47D59F" w:rsidR="002A6D88" w:rsidRPr="003878A7" w:rsidRDefault="002A6D88" w:rsidP="00222DE5">
            <w:pPr>
              <w:pStyle w:val="Default"/>
              <w:numPr>
                <w:ilvl w:val="0"/>
                <w:numId w:val="31"/>
              </w:numPr>
              <w:ind w:left="425" w:hanging="357"/>
              <w:jc w:val="both"/>
              <w:rPr>
                <w:sz w:val="21"/>
                <w:szCs w:val="21"/>
                <w:lang w:val="lt-LT"/>
              </w:rPr>
            </w:pPr>
            <w:r w:rsidRPr="003878A7">
              <w:rPr>
                <w:sz w:val="21"/>
                <w:szCs w:val="21"/>
                <w:lang w:val="lt-LT"/>
              </w:rPr>
              <w:t xml:space="preserve">Kompleksinės renovacijos įgyvendinimas praplečiant remtinas finansuoti projektų veiklas ir priemones </w:t>
            </w:r>
          </w:p>
          <w:p w14:paraId="2F963210" w14:textId="5110F883" w:rsidR="002A6D88" w:rsidRPr="003878A7" w:rsidRDefault="002A6D88" w:rsidP="00222DE5">
            <w:pPr>
              <w:pStyle w:val="Default"/>
              <w:numPr>
                <w:ilvl w:val="0"/>
                <w:numId w:val="31"/>
              </w:numPr>
              <w:ind w:left="425" w:hanging="357"/>
              <w:jc w:val="both"/>
              <w:rPr>
                <w:sz w:val="21"/>
                <w:szCs w:val="21"/>
                <w:lang w:val="lt-LT"/>
              </w:rPr>
            </w:pPr>
            <w:r w:rsidRPr="003878A7">
              <w:rPr>
                <w:sz w:val="21"/>
                <w:szCs w:val="21"/>
                <w:lang w:val="lt-LT"/>
              </w:rPr>
              <w:t xml:space="preserve">Modelio lankstumo didinimas </w:t>
            </w:r>
          </w:p>
          <w:p w14:paraId="300B5918" w14:textId="7FF25979" w:rsidR="002A6D88" w:rsidRPr="003878A7" w:rsidRDefault="002A6D88" w:rsidP="00222DE5">
            <w:pPr>
              <w:pStyle w:val="Default"/>
              <w:numPr>
                <w:ilvl w:val="0"/>
                <w:numId w:val="31"/>
              </w:numPr>
              <w:ind w:left="425" w:hanging="357"/>
              <w:jc w:val="both"/>
              <w:rPr>
                <w:sz w:val="21"/>
                <w:szCs w:val="21"/>
                <w:lang w:val="lt-LT"/>
              </w:rPr>
            </w:pPr>
            <w:r w:rsidRPr="003878A7">
              <w:rPr>
                <w:sz w:val="21"/>
                <w:szCs w:val="21"/>
                <w:lang w:val="lt-LT"/>
              </w:rPr>
              <w:t xml:space="preserve">Administracinės naštos mažinimas </w:t>
            </w:r>
          </w:p>
          <w:p w14:paraId="3E65B9EC" w14:textId="5923D767" w:rsidR="002A6D88" w:rsidRPr="003878A7" w:rsidRDefault="002A6D88" w:rsidP="00222DE5">
            <w:pPr>
              <w:pStyle w:val="Default"/>
              <w:numPr>
                <w:ilvl w:val="0"/>
                <w:numId w:val="31"/>
              </w:numPr>
              <w:ind w:left="425" w:hanging="357"/>
              <w:jc w:val="both"/>
              <w:rPr>
                <w:sz w:val="21"/>
                <w:szCs w:val="21"/>
                <w:lang w:val="lt-LT"/>
              </w:rPr>
            </w:pPr>
            <w:r w:rsidRPr="003878A7">
              <w:rPr>
                <w:sz w:val="21"/>
                <w:szCs w:val="21"/>
                <w:lang w:val="lt-LT"/>
              </w:rPr>
              <w:t xml:space="preserve">Viešinimo ir informacijos sklaidos gerinimas </w:t>
            </w:r>
          </w:p>
          <w:p w14:paraId="1F6CF214" w14:textId="2F1B1F03" w:rsidR="002A6D88" w:rsidRPr="003878A7" w:rsidRDefault="002A6D88" w:rsidP="002A6D88">
            <w:pPr>
              <w:ind w:firstLine="0"/>
              <w:rPr>
                <w:rFonts w:cs="Times New Roman"/>
                <w:sz w:val="21"/>
                <w:szCs w:val="21"/>
                <w:lang w:val="lt-LT"/>
              </w:rPr>
            </w:pPr>
          </w:p>
        </w:tc>
        <w:tc>
          <w:tcPr>
            <w:tcW w:w="4927" w:type="dxa"/>
          </w:tcPr>
          <w:p w14:paraId="3F49E3C1" w14:textId="74D986BD" w:rsidR="002A6D88" w:rsidRPr="003878A7" w:rsidRDefault="002A6D88" w:rsidP="00222DE5">
            <w:pPr>
              <w:ind w:firstLine="0"/>
              <w:rPr>
                <w:rFonts w:cs="Times New Roman"/>
                <w:b/>
                <w:bCs/>
                <w:sz w:val="21"/>
                <w:szCs w:val="21"/>
                <w:lang w:val="lt-LT"/>
              </w:rPr>
            </w:pPr>
            <w:r w:rsidRPr="003878A7">
              <w:rPr>
                <w:rFonts w:cs="Times New Roman"/>
                <w:b/>
                <w:bCs/>
                <w:sz w:val="21"/>
                <w:szCs w:val="21"/>
                <w:lang w:val="lt-LT"/>
              </w:rPr>
              <w:t>Grėsmės</w:t>
            </w:r>
          </w:p>
          <w:p w14:paraId="10B33A68" w14:textId="77777777" w:rsidR="002A6D88" w:rsidRPr="003878A7" w:rsidRDefault="002A6D88" w:rsidP="00222DE5">
            <w:pPr>
              <w:pStyle w:val="Default"/>
              <w:numPr>
                <w:ilvl w:val="0"/>
                <w:numId w:val="30"/>
              </w:numPr>
              <w:ind w:left="454"/>
              <w:jc w:val="both"/>
              <w:rPr>
                <w:sz w:val="21"/>
                <w:szCs w:val="21"/>
                <w:lang w:val="lt-LT"/>
              </w:rPr>
            </w:pPr>
            <w:r w:rsidRPr="003878A7">
              <w:rPr>
                <w:sz w:val="21"/>
                <w:szCs w:val="21"/>
                <w:lang w:val="lt-LT"/>
              </w:rPr>
              <w:t xml:space="preserve">Besikeičiantys techniniai reikalavimai daugiabučiams pastatams </w:t>
            </w:r>
          </w:p>
          <w:p w14:paraId="46D472B6" w14:textId="3A4DD057" w:rsidR="002A6D88" w:rsidRPr="003878A7" w:rsidRDefault="002A6D88" w:rsidP="00222DE5">
            <w:pPr>
              <w:pStyle w:val="Default"/>
              <w:numPr>
                <w:ilvl w:val="0"/>
                <w:numId w:val="30"/>
              </w:numPr>
              <w:ind w:left="454"/>
              <w:jc w:val="both"/>
              <w:rPr>
                <w:sz w:val="21"/>
                <w:szCs w:val="21"/>
                <w:lang w:val="lt-LT"/>
              </w:rPr>
            </w:pPr>
            <w:r w:rsidRPr="003878A7">
              <w:rPr>
                <w:sz w:val="21"/>
                <w:szCs w:val="21"/>
                <w:lang w:val="lt-LT"/>
              </w:rPr>
              <w:t xml:space="preserve">Priklausomybė nuo ekonominės statybos sektoriaus situacijos </w:t>
            </w:r>
          </w:p>
          <w:p w14:paraId="5F417C2B" w14:textId="36441E0D" w:rsidR="002A6D88" w:rsidRPr="003878A7" w:rsidRDefault="002A6D88" w:rsidP="00222DE5">
            <w:pPr>
              <w:pStyle w:val="Default"/>
              <w:numPr>
                <w:ilvl w:val="0"/>
                <w:numId w:val="30"/>
              </w:numPr>
              <w:ind w:left="454"/>
              <w:jc w:val="both"/>
              <w:rPr>
                <w:sz w:val="21"/>
                <w:szCs w:val="21"/>
                <w:lang w:val="lt-LT"/>
              </w:rPr>
            </w:pPr>
            <w:r w:rsidRPr="003878A7">
              <w:rPr>
                <w:sz w:val="21"/>
                <w:szCs w:val="21"/>
                <w:lang w:val="lt-LT"/>
              </w:rPr>
              <w:t xml:space="preserve">Ribotas rangovų skaičius </w:t>
            </w:r>
          </w:p>
          <w:p w14:paraId="6E456578" w14:textId="678365F8" w:rsidR="002A6D88" w:rsidRPr="003878A7" w:rsidRDefault="002A6D88" w:rsidP="00222DE5">
            <w:pPr>
              <w:pStyle w:val="Default"/>
              <w:numPr>
                <w:ilvl w:val="0"/>
                <w:numId w:val="30"/>
              </w:numPr>
              <w:ind w:left="454"/>
              <w:jc w:val="both"/>
              <w:rPr>
                <w:sz w:val="21"/>
                <w:szCs w:val="21"/>
                <w:lang w:val="lt-LT"/>
              </w:rPr>
            </w:pPr>
            <w:r w:rsidRPr="003878A7">
              <w:rPr>
                <w:sz w:val="21"/>
                <w:szCs w:val="21"/>
                <w:lang w:val="lt-LT"/>
              </w:rPr>
              <w:t xml:space="preserve">Didelės renovacijos projektų paklausos nulemtas statybos darbų kainų augimas </w:t>
            </w:r>
          </w:p>
          <w:p w14:paraId="7752A35A" w14:textId="0CF8F5F2" w:rsidR="002A6D88" w:rsidRPr="003878A7" w:rsidRDefault="002A6D88" w:rsidP="00222DE5">
            <w:pPr>
              <w:pStyle w:val="Default"/>
              <w:numPr>
                <w:ilvl w:val="0"/>
                <w:numId w:val="30"/>
              </w:numPr>
              <w:ind w:left="454"/>
              <w:jc w:val="both"/>
              <w:rPr>
                <w:sz w:val="21"/>
                <w:szCs w:val="21"/>
                <w:lang w:val="lt-LT"/>
              </w:rPr>
            </w:pPr>
            <w:r w:rsidRPr="003878A7">
              <w:rPr>
                <w:sz w:val="21"/>
                <w:szCs w:val="21"/>
                <w:lang w:val="lt-LT"/>
              </w:rPr>
              <w:t xml:space="preserve">Subsidijuojamos šildymo išlaidos </w:t>
            </w:r>
          </w:p>
          <w:p w14:paraId="3851B027" w14:textId="0947963A" w:rsidR="002A6D88" w:rsidRPr="003878A7" w:rsidRDefault="002A6D88" w:rsidP="00222DE5">
            <w:pPr>
              <w:pStyle w:val="Default"/>
              <w:numPr>
                <w:ilvl w:val="0"/>
                <w:numId w:val="30"/>
              </w:numPr>
              <w:ind w:left="454"/>
              <w:jc w:val="both"/>
              <w:rPr>
                <w:sz w:val="21"/>
                <w:szCs w:val="21"/>
                <w:lang w:val="lt-LT"/>
              </w:rPr>
            </w:pPr>
            <w:r w:rsidRPr="003878A7">
              <w:rPr>
                <w:sz w:val="21"/>
                <w:szCs w:val="21"/>
                <w:lang w:val="lt-LT"/>
              </w:rPr>
              <w:t xml:space="preserve">Politinė ir teisinės bazės pasikeitimų rizika </w:t>
            </w:r>
          </w:p>
          <w:p w14:paraId="30DF96C5" w14:textId="2B056E4B" w:rsidR="002A6D88" w:rsidRPr="003878A7" w:rsidRDefault="002A6D88" w:rsidP="00222DE5">
            <w:pPr>
              <w:pStyle w:val="Default"/>
              <w:numPr>
                <w:ilvl w:val="0"/>
                <w:numId w:val="30"/>
              </w:numPr>
              <w:ind w:left="454"/>
              <w:jc w:val="both"/>
              <w:rPr>
                <w:sz w:val="21"/>
                <w:szCs w:val="21"/>
                <w:lang w:val="lt-LT"/>
              </w:rPr>
            </w:pPr>
            <w:r w:rsidRPr="003878A7">
              <w:rPr>
                <w:sz w:val="21"/>
                <w:szCs w:val="21"/>
                <w:lang w:val="lt-LT"/>
              </w:rPr>
              <w:t xml:space="preserve">Ribotas, nepakankamas finansavimas </w:t>
            </w:r>
          </w:p>
          <w:p w14:paraId="0CA7CBCD" w14:textId="5E723C2B" w:rsidR="002A6D88" w:rsidRPr="003878A7" w:rsidRDefault="002A6D88" w:rsidP="00222DE5">
            <w:pPr>
              <w:pStyle w:val="Default"/>
              <w:numPr>
                <w:ilvl w:val="0"/>
                <w:numId w:val="30"/>
              </w:numPr>
              <w:ind w:left="454"/>
              <w:jc w:val="both"/>
              <w:rPr>
                <w:sz w:val="21"/>
                <w:szCs w:val="21"/>
                <w:lang w:val="lt-LT"/>
              </w:rPr>
            </w:pPr>
            <w:r w:rsidRPr="003878A7">
              <w:rPr>
                <w:sz w:val="21"/>
                <w:szCs w:val="21"/>
                <w:lang w:val="lt-LT"/>
              </w:rPr>
              <w:t xml:space="preserve">Nepakankama kokybės kontrolė </w:t>
            </w:r>
          </w:p>
          <w:p w14:paraId="1C422ED9" w14:textId="110ED23B" w:rsidR="002A6D88" w:rsidRPr="003878A7" w:rsidRDefault="002A6D88" w:rsidP="00222DE5">
            <w:pPr>
              <w:pStyle w:val="Default"/>
              <w:numPr>
                <w:ilvl w:val="0"/>
                <w:numId w:val="30"/>
              </w:numPr>
              <w:ind w:left="454"/>
              <w:jc w:val="both"/>
              <w:rPr>
                <w:sz w:val="21"/>
                <w:szCs w:val="21"/>
                <w:lang w:val="lt-LT"/>
              </w:rPr>
            </w:pPr>
            <w:r w:rsidRPr="003878A7">
              <w:rPr>
                <w:sz w:val="21"/>
                <w:szCs w:val="21"/>
                <w:lang w:val="lt-LT"/>
              </w:rPr>
              <w:t xml:space="preserve">Rizika nesuvaldyti didelio projektų srauto </w:t>
            </w:r>
          </w:p>
          <w:p w14:paraId="320BF73A" w14:textId="29A16F81" w:rsidR="002A6D88" w:rsidRPr="003878A7" w:rsidRDefault="002A6D88" w:rsidP="00222DE5">
            <w:pPr>
              <w:pStyle w:val="Default"/>
              <w:numPr>
                <w:ilvl w:val="0"/>
                <w:numId w:val="30"/>
              </w:numPr>
              <w:ind w:left="454"/>
              <w:jc w:val="both"/>
              <w:rPr>
                <w:sz w:val="21"/>
                <w:szCs w:val="21"/>
                <w:lang w:val="lt-LT"/>
              </w:rPr>
            </w:pPr>
            <w:r w:rsidRPr="003878A7">
              <w:rPr>
                <w:sz w:val="21"/>
                <w:szCs w:val="21"/>
                <w:lang w:val="lt-LT"/>
              </w:rPr>
              <w:t xml:space="preserve">Dėl gyventojų emigracijos ir migracijos į didesnius miestus liekantys bešeimininkiai butai </w:t>
            </w:r>
          </w:p>
          <w:p w14:paraId="10182EFC" w14:textId="6C823202" w:rsidR="002A6D88" w:rsidRPr="003878A7" w:rsidRDefault="002A6D88" w:rsidP="00222DE5">
            <w:pPr>
              <w:pStyle w:val="Default"/>
              <w:numPr>
                <w:ilvl w:val="0"/>
                <w:numId w:val="30"/>
              </w:numPr>
              <w:ind w:left="454"/>
              <w:jc w:val="both"/>
              <w:rPr>
                <w:sz w:val="21"/>
                <w:szCs w:val="21"/>
                <w:lang w:val="lt-LT"/>
              </w:rPr>
            </w:pPr>
            <w:r w:rsidRPr="003878A7">
              <w:rPr>
                <w:sz w:val="21"/>
                <w:szCs w:val="21"/>
                <w:lang w:val="lt-LT"/>
              </w:rPr>
              <w:t xml:space="preserve">Dėl mažėjančio seno planavimo butų patrauklumo, renovuojamuose pastatuose lieka mažesnes pajamas gaunantys gyventojai </w:t>
            </w:r>
          </w:p>
          <w:p w14:paraId="318FAC8D" w14:textId="4F0B78DD" w:rsidR="002A6D88" w:rsidRPr="003878A7" w:rsidRDefault="002A6D88" w:rsidP="002A6D88">
            <w:pPr>
              <w:ind w:firstLine="0"/>
              <w:rPr>
                <w:rFonts w:cs="Times New Roman"/>
                <w:sz w:val="21"/>
                <w:szCs w:val="21"/>
                <w:lang w:val="lt-LT"/>
              </w:rPr>
            </w:pPr>
          </w:p>
        </w:tc>
      </w:tr>
    </w:tbl>
    <w:p w14:paraId="690BCD6A" w14:textId="77777777" w:rsidR="00AC7864" w:rsidRPr="003878A7" w:rsidRDefault="00AC7864" w:rsidP="00AC7864">
      <w:pPr>
        <w:spacing w:after="0"/>
        <w:rPr>
          <w:rFonts w:cs="Times New Roman"/>
          <w:sz w:val="20"/>
          <w:szCs w:val="20"/>
        </w:rPr>
      </w:pPr>
      <w:r w:rsidRPr="003878A7">
        <w:rPr>
          <w:rFonts w:cs="Times New Roman"/>
          <w:sz w:val="20"/>
          <w:szCs w:val="20"/>
        </w:rPr>
        <w:t>Šaltinis: sudaryta Vertintojų</w:t>
      </w:r>
    </w:p>
    <w:p w14:paraId="00F2E0D4" w14:textId="103D212C" w:rsidR="002A6D88" w:rsidRPr="003878A7" w:rsidRDefault="00B22949" w:rsidP="00B22949">
      <w:pPr>
        <w:pStyle w:val="Heading3"/>
        <w:ind w:firstLine="426"/>
        <w:rPr>
          <w:rFonts w:cs="Times New Roman"/>
        </w:rPr>
      </w:pPr>
      <w:bookmarkStart w:id="24" w:name="_Toc70532869"/>
      <w:r w:rsidRPr="003878A7">
        <w:rPr>
          <w:rFonts w:cs="Times New Roman"/>
        </w:rPr>
        <w:t xml:space="preserve">3.2.2 </w:t>
      </w:r>
      <w:r w:rsidR="001217D6">
        <w:rPr>
          <w:rFonts w:cs="Times New Roman"/>
        </w:rPr>
        <w:t>V</w:t>
      </w:r>
      <w:r w:rsidR="002A6D88" w:rsidRPr="003878A7">
        <w:rPr>
          <w:rFonts w:cs="Times New Roman"/>
        </w:rPr>
        <w:t>iešųjų pastatų modernizavimo projektų sukuriama kokybinė pridėtinė vertė</w:t>
      </w:r>
      <w:bookmarkEnd w:id="24"/>
    </w:p>
    <w:p w14:paraId="754590DB" w14:textId="3060747D" w:rsidR="00AC7864" w:rsidRPr="003878A7" w:rsidRDefault="00AC7864" w:rsidP="00AC7864">
      <w:pPr>
        <w:ind w:firstLine="0"/>
        <w:rPr>
          <w:rFonts w:cs="Times New Roman"/>
          <w:i/>
          <w:iCs/>
        </w:rPr>
      </w:pPr>
      <w:r w:rsidRPr="003878A7">
        <w:rPr>
          <w:rFonts w:cs="Times New Roman"/>
          <w:i/>
          <w:iCs/>
        </w:rPr>
        <w:t>Lentelė Nr.</w:t>
      </w:r>
      <w:r w:rsidR="006D7B19">
        <w:rPr>
          <w:rFonts w:cs="Times New Roman"/>
          <w:i/>
          <w:iCs/>
        </w:rPr>
        <w:t xml:space="preserve"> </w:t>
      </w:r>
      <w:r w:rsidRPr="003878A7">
        <w:rPr>
          <w:rFonts w:cs="Times New Roman"/>
          <w:i/>
          <w:iCs/>
        </w:rPr>
        <w:t>6. FP taikymo viešųjų centrinės valdžios</w:t>
      </w:r>
      <w:r w:rsidR="00222DE5" w:rsidRPr="003878A7">
        <w:rPr>
          <w:rFonts w:cs="Times New Roman"/>
          <w:i/>
          <w:iCs/>
        </w:rPr>
        <w:t xml:space="preserve"> pastatų </w:t>
      </w:r>
      <w:r w:rsidR="003878A7" w:rsidRPr="003878A7">
        <w:rPr>
          <w:rFonts w:cs="Times New Roman"/>
          <w:i/>
          <w:iCs/>
        </w:rPr>
        <w:t>renovavimo</w:t>
      </w:r>
      <w:r w:rsidRPr="003878A7">
        <w:rPr>
          <w:rFonts w:cs="Times New Roman"/>
          <w:i/>
          <w:iCs/>
        </w:rPr>
        <w:t xml:space="preserve"> ir savivaldybių viešųjų pastatų modernizavimo srityje SSGG analizė</w:t>
      </w:r>
    </w:p>
    <w:tbl>
      <w:tblPr>
        <w:tblStyle w:val="TableGrid"/>
        <w:tblW w:w="0" w:type="auto"/>
        <w:tblLook w:val="04A0" w:firstRow="1" w:lastRow="0" w:firstColumn="1" w:lastColumn="0" w:noHBand="0" w:noVBand="1"/>
      </w:tblPr>
      <w:tblGrid>
        <w:gridCol w:w="4927"/>
        <w:gridCol w:w="4927"/>
      </w:tblGrid>
      <w:tr w:rsidR="00AC7864" w:rsidRPr="003878A7" w14:paraId="2EB7D307" w14:textId="77777777" w:rsidTr="00AC7864">
        <w:tc>
          <w:tcPr>
            <w:tcW w:w="4927" w:type="dxa"/>
          </w:tcPr>
          <w:p w14:paraId="74B41878" w14:textId="18C3F7AE" w:rsidR="00AC7864" w:rsidRPr="003878A7" w:rsidRDefault="00AC7864" w:rsidP="00222DE5">
            <w:pPr>
              <w:pStyle w:val="Default"/>
              <w:jc w:val="both"/>
              <w:rPr>
                <w:rFonts w:cstheme="minorBidi"/>
                <w:b/>
                <w:bCs/>
                <w:color w:val="auto"/>
                <w:sz w:val="21"/>
                <w:szCs w:val="21"/>
                <w:lang w:val="lt-LT"/>
              </w:rPr>
            </w:pPr>
            <w:r w:rsidRPr="003878A7">
              <w:rPr>
                <w:rFonts w:cstheme="minorBidi"/>
                <w:b/>
                <w:bCs/>
                <w:color w:val="auto"/>
                <w:sz w:val="21"/>
                <w:szCs w:val="21"/>
                <w:lang w:val="lt-LT"/>
              </w:rPr>
              <w:t>Stiprybės</w:t>
            </w:r>
          </w:p>
          <w:p w14:paraId="3C1BAB54" w14:textId="77777777" w:rsidR="00AC7864" w:rsidRPr="003878A7" w:rsidRDefault="00AC7864" w:rsidP="00222DE5">
            <w:pPr>
              <w:pStyle w:val="Default"/>
              <w:numPr>
                <w:ilvl w:val="0"/>
                <w:numId w:val="34"/>
              </w:numPr>
              <w:ind w:left="426"/>
              <w:jc w:val="both"/>
              <w:rPr>
                <w:sz w:val="21"/>
                <w:szCs w:val="21"/>
                <w:lang w:val="lt-LT"/>
              </w:rPr>
            </w:pPr>
            <w:r w:rsidRPr="003878A7">
              <w:rPr>
                <w:sz w:val="21"/>
                <w:szCs w:val="21"/>
                <w:lang w:val="lt-LT"/>
              </w:rPr>
              <w:t xml:space="preserve">Aiškus investicijų atsiperkamumo šaltinis </w:t>
            </w:r>
          </w:p>
          <w:p w14:paraId="0C88998C" w14:textId="1D336394" w:rsidR="00AC7864" w:rsidRPr="003878A7" w:rsidRDefault="00AC7864" w:rsidP="00222DE5">
            <w:pPr>
              <w:pStyle w:val="Default"/>
              <w:numPr>
                <w:ilvl w:val="0"/>
                <w:numId w:val="34"/>
              </w:numPr>
              <w:ind w:left="426"/>
              <w:jc w:val="both"/>
              <w:rPr>
                <w:sz w:val="21"/>
                <w:szCs w:val="21"/>
                <w:lang w:val="lt-LT"/>
              </w:rPr>
            </w:pPr>
            <w:r w:rsidRPr="003878A7">
              <w:rPr>
                <w:sz w:val="21"/>
                <w:szCs w:val="21"/>
                <w:lang w:val="lt-LT"/>
              </w:rPr>
              <w:t xml:space="preserve">Politinis palaikymas ir strateginių dokumentų kryptingumas </w:t>
            </w:r>
          </w:p>
          <w:p w14:paraId="6F775624" w14:textId="62D34370" w:rsidR="00AC7864" w:rsidRPr="003878A7" w:rsidRDefault="00AC7864" w:rsidP="00222DE5">
            <w:pPr>
              <w:pStyle w:val="Default"/>
              <w:numPr>
                <w:ilvl w:val="0"/>
                <w:numId w:val="34"/>
              </w:numPr>
              <w:ind w:left="426"/>
              <w:jc w:val="both"/>
              <w:rPr>
                <w:sz w:val="21"/>
                <w:szCs w:val="21"/>
                <w:lang w:val="lt-LT"/>
              </w:rPr>
            </w:pPr>
            <w:r w:rsidRPr="003878A7">
              <w:rPr>
                <w:sz w:val="21"/>
                <w:szCs w:val="21"/>
                <w:lang w:val="lt-LT"/>
              </w:rPr>
              <w:t xml:space="preserve">Aiški ir koncentruota pastatų nuosavybė </w:t>
            </w:r>
          </w:p>
          <w:p w14:paraId="50308B74" w14:textId="6B190140" w:rsidR="00AC7864" w:rsidRPr="003878A7" w:rsidRDefault="00AC7864" w:rsidP="00222DE5">
            <w:pPr>
              <w:pStyle w:val="Default"/>
              <w:numPr>
                <w:ilvl w:val="0"/>
                <w:numId w:val="34"/>
              </w:numPr>
              <w:ind w:left="426"/>
              <w:jc w:val="both"/>
              <w:rPr>
                <w:sz w:val="21"/>
                <w:szCs w:val="21"/>
                <w:lang w:val="lt-LT"/>
              </w:rPr>
            </w:pPr>
            <w:r w:rsidRPr="003878A7">
              <w:rPr>
                <w:sz w:val="21"/>
                <w:szCs w:val="21"/>
                <w:lang w:val="lt-LT"/>
              </w:rPr>
              <w:t xml:space="preserve">Rengiami techniniai dokumentai leidžia tinkamai įvertinti pastato energetines savybes ir rezultatus po projekto užbaigimo </w:t>
            </w:r>
          </w:p>
          <w:p w14:paraId="7162BC07" w14:textId="18413622" w:rsidR="00AC7864" w:rsidRPr="003878A7" w:rsidRDefault="00AC7864" w:rsidP="00222DE5">
            <w:pPr>
              <w:pStyle w:val="Default"/>
              <w:numPr>
                <w:ilvl w:val="0"/>
                <w:numId w:val="34"/>
              </w:numPr>
              <w:ind w:left="426"/>
              <w:jc w:val="both"/>
              <w:rPr>
                <w:sz w:val="21"/>
                <w:szCs w:val="21"/>
                <w:lang w:val="lt-LT"/>
              </w:rPr>
            </w:pPr>
            <w:r w:rsidRPr="003878A7">
              <w:rPr>
                <w:sz w:val="21"/>
                <w:szCs w:val="21"/>
                <w:lang w:val="lt-LT"/>
              </w:rPr>
              <w:t xml:space="preserve">ES direktyviniai reikalavimai sąlygojantys renovacijos privalomumą </w:t>
            </w:r>
          </w:p>
          <w:p w14:paraId="648EF092" w14:textId="77777777" w:rsidR="00AC7864" w:rsidRPr="003878A7" w:rsidRDefault="00AC7864" w:rsidP="00222DE5">
            <w:pPr>
              <w:spacing w:before="0" w:after="0"/>
              <w:ind w:firstLine="0"/>
              <w:rPr>
                <w:sz w:val="21"/>
                <w:szCs w:val="21"/>
                <w:lang w:val="lt-LT"/>
              </w:rPr>
            </w:pPr>
          </w:p>
        </w:tc>
        <w:tc>
          <w:tcPr>
            <w:tcW w:w="4927" w:type="dxa"/>
          </w:tcPr>
          <w:p w14:paraId="62B8E884" w14:textId="0413D8FF" w:rsidR="00AC7864" w:rsidRPr="003878A7" w:rsidRDefault="00AC7864" w:rsidP="00222DE5">
            <w:pPr>
              <w:pStyle w:val="Default"/>
              <w:jc w:val="both"/>
              <w:rPr>
                <w:rFonts w:cstheme="minorBidi"/>
                <w:b/>
                <w:bCs/>
                <w:color w:val="auto"/>
                <w:sz w:val="21"/>
                <w:szCs w:val="21"/>
                <w:lang w:val="lt-LT"/>
              </w:rPr>
            </w:pPr>
            <w:r w:rsidRPr="003878A7">
              <w:rPr>
                <w:rFonts w:cstheme="minorBidi"/>
                <w:b/>
                <w:bCs/>
                <w:color w:val="auto"/>
                <w:sz w:val="21"/>
                <w:szCs w:val="21"/>
                <w:lang w:val="lt-LT"/>
              </w:rPr>
              <w:t>Silpnybės</w:t>
            </w:r>
          </w:p>
          <w:p w14:paraId="6ABCF70D" w14:textId="77777777" w:rsidR="00AC7864" w:rsidRPr="003878A7" w:rsidRDefault="00AC7864" w:rsidP="00222DE5">
            <w:pPr>
              <w:pStyle w:val="Default"/>
              <w:numPr>
                <w:ilvl w:val="0"/>
                <w:numId w:val="33"/>
              </w:numPr>
              <w:ind w:left="454"/>
              <w:jc w:val="both"/>
              <w:rPr>
                <w:sz w:val="21"/>
                <w:szCs w:val="21"/>
                <w:lang w:val="lt-LT"/>
              </w:rPr>
            </w:pPr>
            <w:r w:rsidRPr="003878A7">
              <w:rPr>
                <w:sz w:val="21"/>
                <w:szCs w:val="21"/>
                <w:lang w:val="lt-LT"/>
              </w:rPr>
              <w:t xml:space="preserve">Ribota pastatų renovacijos finansavimo panaudojant finansinius instrumentus patirtis </w:t>
            </w:r>
          </w:p>
          <w:p w14:paraId="6E5EAB86" w14:textId="123DB481" w:rsidR="00AC7864" w:rsidRPr="003878A7" w:rsidRDefault="00AC7864" w:rsidP="00222DE5">
            <w:pPr>
              <w:pStyle w:val="Default"/>
              <w:numPr>
                <w:ilvl w:val="0"/>
                <w:numId w:val="33"/>
              </w:numPr>
              <w:ind w:left="454"/>
              <w:jc w:val="both"/>
              <w:rPr>
                <w:sz w:val="21"/>
                <w:szCs w:val="21"/>
                <w:lang w:val="lt-LT"/>
              </w:rPr>
            </w:pPr>
            <w:r w:rsidRPr="003878A7">
              <w:rPr>
                <w:sz w:val="21"/>
                <w:szCs w:val="21"/>
                <w:lang w:val="lt-LT"/>
              </w:rPr>
              <w:t xml:space="preserve">Pastate dirbančių darbuotojų </w:t>
            </w:r>
            <w:proofErr w:type="spellStart"/>
            <w:r w:rsidRPr="003878A7">
              <w:rPr>
                <w:sz w:val="21"/>
                <w:szCs w:val="21"/>
                <w:lang w:val="lt-LT"/>
              </w:rPr>
              <w:t>nesuinteresuotumas</w:t>
            </w:r>
            <w:proofErr w:type="spellEnd"/>
            <w:r w:rsidRPr="003878A7">
              <w:rPr>
                <w:sz w:val="21"/>
                <w:szCs w:val="21"/>
                <w:lang w:val="lt-LT"/>
              </w:rPr>
              <w:t xml:space="preserve"> taupyti energiją, nes tiesiogiai nėra jaučiama energijos kaštų našta </w:t>
            </w:r>
          </w:p>
          <w:p w14:paraId="40E732E9" w14:textId="65C9DA2D" w:rsidR="00AC7864" w:rsidRPr="003878A7" w:rsidRDefault="00AC7864" w:rsidP="00222DE5">
            <w:pPr>
              <w:pStyle w:val="Default"/>
              <w:numPr>
                <w:ilvl w:val="0"/>
                <w:numId w:val="33"/>
              </w:numPr>
              <w:ind w:left="454"/>
              <w:jc w:val="both"/>
              <w:rPr>
                <w:sz w:val="21"/>
                <w:szCs w:val="21"/>
                <w:lang w:val="lt-LT"/>
              </w:rPr>
            </w:pPr>
            <w:r w:rsidRPr="003878A7">
              <w:rPr>
                <w:sz w:val="21"/>
                <w:szCs w:val="21"/>
                <w:lang w:val="lt-LT"/>
              </w:rPr>
              <w:t xml:space="preserve">Nepakankami duomenys apie pastatų energetines savybes (ne visi pastatai turi energetinio efektyvumo sertifikatus) </w:t>
            </w:r>
          </w:p>
          <w:p w14:paraId="0098D89C" w14:textId="75E4CEEB" w:rsidR="00AC7864" w:rsidRPr="003878A7" w:rsidRDefault="00AC7864" w:rsidP="00222DE5">
            <w:pPr>
              <w:pStyle w:val="Default"/>
              <w:numPr>
                <w:ilvl w:val="0"/>
                <w:numId w:val="33"/>
              </w:numPr>
              <w:ind w:left="454"/>
              <w:jc w:val="both"/>
              <w:rPr>
                <w:sz w:val="21"/>
                <w:szCs w:val="21"/>
                <w:lang w:val="lt-LT"/>
              </w:rPr>
            </w:pPr>
            <w:r w:rsidRPr="003878A7">
              <w:rPr>
                <w:sz w:val="21"/>
                <w:szCs w:val="21"/>
                <w:lang w:val="lt-LT"/>
              </w:rPr>
              <w:t xml:space="preserve">Diversifikuotas pastatų fondas, kurį sudaro labai įvairaus tipo pastatai pasižymintys skirtingu atsiperkamumu </w:t>
            </w:r>
          </w:p>
          <w:p w14:paraId="02BA827C" w14:textId="526CF37F" w:rsidR="00AC7864" w:rsidRPr="003878A7" w:rsidRDefault="00AC7864" w:rsidP="00222DE5">
            <w:pPr>
              <w:pStyle w:val="Default"/>
              <w:numPr>
                <w:ilvl w:val="0"/>
                <w:numId w:val="33"/>
              </w:numPr>
              <w:ind w:left="454"/>
              <w:jc w:val="both"/>
              <w:rPr>
                <w:sz w:val="21"/>
                <w:szCs w:val="21"/>
                <w:lang w:val="lt-LT"/>
              </w:rPr>
            </w:pPr>
            <w:r w:rsidRPr="003878A7">
              <w:rPr>
                <w:sz w:val="21"/>
                <w:szCs w:val="21"/>
                <w:lang w:val="lt-LT"/>
              </w:rPr>
              <w:t xml:space="preserve">Prasta savivaldybių finansinė padėtis bei taikomi skolinimosi limitai </w:t>
            </w:r>
          </w:p>
          <w:p w14:paraId="482C9029" w14:textId="2618E53E" w:rsidR="00AC7864" w:rsidRPr="003878A7" w:rsidRDefault="00AC7864" w:rsidP="00222DE5">
            <w:pPr>
              <w:pStyle w:val="Default"/>
              <w:numPr>
                <w:ilvl w:val="0"/>
                <w:numId w:val="33"/>
              </w:numPr>
              <w:ind w:left="454"/>
              <w:jc w:val="both"/>
              <w:rPr>
                <w:sz w:val="21"/>
                <w:szCs w:val="21"/>
                <w:lang w:val="lt-LT"/>
              </w:rPr>
            </w:pPr>
            <w:r w:rsidRPr="003878A7">
              <w:rPr>
                <w:sz w:val="21"/>
                <w:szCs w:val="21"/>
                <w:lang w:val="lt-LT"/>
              </w:rPr>
              <w:t xml:space="preserve">Mažėjantis gyventojų skaičius nedidelių miestų teritorijose </w:t>
            </w:r>
          </w:p>
          <w:p w14:paraId="70A35450" w14:textId="5F0C9A1F" w:rsidR="00AC7864" w:rsidRPr="003878A7" w:rsidRDefault="00AC7864" w:rsidP="00222DE5">
            <w:pPr>
              <w:pStyle w:val="Default"/>
              <w:numPr>
                <w:ilvl w:val="0"/>
                <w:numId w:val="33"/>
              </w:numPr>
              <w:ind w:left="454"/>
              <w:jc w:val="both"/>
              <w:rPr>
                <w:sz w:val="21"/>
                <w:szCs w:val="21"/>
                <w:lang w:val="lt-LT"/>
              </w:rPr>
            </w:pPr>
            <w:r w:rsidRPr="003878A7">
              <w:rPr>
                <w:sz w:val="21"/>
                <w:szCs w:val="21"/>
                <w:lang w:val="lt-LT"/>
              </w:rPr>
              <w:t xml:space="preserve">Renovuotas pastatas gali prarasti savo aktualumą jo savininkui ilguoju laikotarpiu </w:t>
            </w:r>
          </w:p>
          <w:p w14:paraId="44E6635E" w14:textId="6194394F" w:rsidR="00AC7864" w:rsidRPr="003878A7" w:rsidRDefault="00AC7864" w:rsidP="00222DE5">
            <w:pPr>
              <w:pStyle w:val="Default"/>
              <w:numPr>
                <w:ilvl w:val="0"/>
                <w:numId w:val="33"/>
              </w:numPr>
              <w:ind w:left="454"/>
              <w:jc w:val="both"/>
              <w:rPr>
                <w:sz w:val="21"/>
                <w:szCs w:val="21"/>
                <w:lang w:val="lt-LT"/>
              </w:rPr>
            </w:pPr>
            <w:r w:rsidRPr="003878A7">
              <w:rPr>
                <w:sz w:val="21"/>
                <w:szCs w:val="21"/>
                <w:lang w:val="lt-LT"/>
              </w:rPr>
              <w:t xml:space="preserve">Viešieji pastatai anksčiau buvo renovuojami subsidijų būdu </w:t>
            </w:r>
          </w:p>
          <w:p w14:paraId="557EF2FA" w14:textId="322A7FB0" w:rsidR="00AC7864" w:rsidRPr="003878A7" w:rsidRDefault="00AC7864" w:rsidP="00222DE5">
            <w:pPr>
              <w:pStyle w:val="Default"/>
              <w:numPr>
                <w:ilvl w:val="0"/>
                <w:numId w:val="33"/>
              </w:numPr>
              <w:ind w:left="454"/>
              <w:jc w:val="both"/>
              <w:rPr>
                <w:sz w:val="21"/>
                <w:szCs w:val="21"/>
                <w:lang w:val="lt-LT"/>
              </w:rPr>
            </w:pPr>
            <w:r w:rsidRPr="003878A7">
              <w:rPr>
                <w:sz w:val="21"/>
                <w:szCs w:val="21"/>
                <w:lang w:val="lt-LT"/>
              </w:rPr>
              <w:t xml:space="preserve">Lėtas ESCO projektų įgyvendinimas </w:t>
            </w:r>
          </w:p>
          <w:p w14:paraId="5AB00B8C" w14:textId="3485746D" w:rsidR="00AC7864" w:rsidRPr="003878A7" w:rsidRDefault="00AC7864" w:rsidP="00222DE5">
            <w:pPr>
              <w:pStyle w:val="Default"/>
              <w:numPr>
                <w:ilvl w:val="0"/>
                <w:numId w:val="33"/>
              </w:numPr>
              <w:ind w:left="454"/>
              <w:jc w:val="both"/>
              <w:rPr>
                <w:sz w:val="21"/>
                <w:szCs w:val="21"/>
                <w:lang w:val="lt-LT"/>
              </w:rPr>
            </w:pPr>
            <w:r w:rsidRPr="003878A7">
              <w:rPr>
                <w:sz w:val="21"/>
                <w:szCs w:val="21"/>
                <w:lang w:val="lt-LT"/>
              </w:rPr>
              <w:t xml:space="preserve">EUROSTAT varžantis skolinimosi traktavimas </w:t>
            </w:r>
            <w:r w:rsidRPr="003878A7">
              <w:rPr>
                <w:sz w:val="21"/>
                <w:szCs w:val="21"/>
                <w:lang w:val="lt-LT"/>
              </w:rPr>
              <w:lastRenderedPageBreak/>
              <w:t xml:space="preserve">skolinantis energijos efektyvumo projektams </w:t>
            </w:r>
          </w:p>
        </w:tc>
      </w:tr>
      <w:tr w:rsidR="00AC7864" w:rsidRPr="003878A7" w14:paraId="20026446" w14:textId="77777777" w:rsidTr="00AC7864">
        <w:tc>
          <w:tcPr>
            <w:tcW w:w="4927" w:type="dxa"/>
          </w:tcPr>
          <w:p w14:paraId="617F2E25" w14:textId="5E4A3CD4" w:rsidR="00AC7864" w:rsidRPr="003878A7" w:rsidRDefault="00AC7864" w:rsidP="00222DE5">
            <w:pPr>
              <w:pStyle w:val="Default"/>
              <w:jc w:val="both"/>
              <w:rPr>
                <w:rFonts w:cstheme="minorBidi"/>
                <w:b/>
                <w:bCs/>
                <w:color w:val="auto"/>
                <w:sz w:val="21"/>
                <w:szCs w:val="21"/>
                <w:lang w:val="lt-LT"/>
              </w:rPr>
            </w:pPr>
            <w:r w:rsidRPr="003878A7">
              <w:rPr>
                <w:rFonts w:cstheme="minorBidi"/>
                <w:b/>
                <w:bCs/>
                <w:color w:val="auto"/>
                <w:sz w:val="21"/>
                <w:szCs w:val="21"/>
                <w:lang w:val="lt-LT"/>
              </w:rPr>
              <w:lastRenderedPageBreak/>
              <w:t>Galimybės</w:t>
            </w:r>
          </w:p>
          <w:p w14:paraId="671A2984" w14:textId="77777777" w:rsidR="00AC7864" w:rsidRPr="003878A7" w:rsidRDefault="00AC7864" w:rsidP="00222DE5">
            <w:pPr>
              <w:pStyle w:val="Default"/>
              <w:numPr>
                <w:ilvl w:val="0"/>
                <w:numId w:val="35"/>
              </w:numPr>
              <w:ind w:left="426"/>
              <w:jc w:val="both"/>
              <w:rPr>
                <w:sz w:val="21"/>
                <w:szCs w:val="21"/>
                <w:lang w:val="lt-LT"/>
              </w:rPr>
            </w:pPr>
            <w:r w:rsidRPr="003878A7">
              <w:rPr>
                <w:sz w:val="21"/>
                <w:szCs w:val="21"/>
                <w:lang w:val="lt-LT"/>
              </w:rPr>
              <w:t xml:space="preserve">Neišnaudotos galimybės taikyti ESCO modelį </w:t>
            </w:r>
          </w:p>
          <w:p w14:paraId="71B79241" w14:textId="25DAC78B" w:rsidR="00AC7864" w:rsidRPr="003878A7" w:rsidRDefault="00AC7864" w:rsidP="00222DE5">
            <w:pPr>
              <w:pStyle w:val="Default"/>
              <w:numPr>
                <w:ilvl w:val="0"/>
                <w:numId w:val="35"/>
              </w:numPr>
              <w:ind w:left="426"/>
              <w:jc w:val="both"/>
              <w:rPr>
                <w:sz w:val="21"/>
                <w:szCs w:val="21"/>
                <w:lang w:val="lt-LT"/>
              </w:rPr>
            </w:pPr>
            <w:r w:rsidRPr="003878A7">
              <w:rPr>
                <w:sz w:val="21"/>
                <w:szCs w:val="21"/>
                <w:lang w:val="lt-LT"/>
              </w:rPr>
              <w:t xml:space="preserve">Privataus sektoriaus įtraukimas </w:t>
            </w:r>
          </w:p>
          <w:p w14:paraId="2A72B7A2" w14:textId="2BB0375E" w:rsidR="00AC7864" w:rsidRPr="003878A7" w:rsidRDefault="00AC7864" w:rsidP="00222DE5">
            <w:pPr>
              <w:pStyle w:val="Default"/>
              <w:numPr>
                <w:ilvl w:val="0"/>
                <w:numId w:val="35"/>
              </w:numPr>
              <w:ind w:left="426"/>
              <w:jc w:val="both"/>
              <w:rPr>
                <w:sz w:val="21"/>
                <w:szCs w:val="21"/>
                <w:lang w:val="lt-LT"/>
              </w:rPr>
            </w:pPr>
            <w:r w:rsidRPr="003878A7">
              <w:rPr>
                <w:sz w:val="21"/>
                <w:szCs w:val="21"/>
                <w:lang w:val="lt-LT"/>
              </w:rPr>
              <w:t xml:space="preserve">Energijos efektyvumo priemonių derinimas su kitomis priemonėmis, tokiomis kaip </w:t>
            </w:r>
            <w:proofErr w:type="spellStart"/>
            <w:r w:rsidRPr="003878A7">
              <w:rPr>
                <w:sz w:val="21"/>
                <w:szCs w:val="21"/>
                <w:lang w:val="lt-LT"/>
              </w:rPr>
              <w:t>gerbūvio</w:t>
            </w:r>
            <w:proofErr w:type="spellEnd"/>
            <w:r w:rsidRPr="003878A7">
              <w:rPr>
                <w:sz w:val="21"/>
                <w:szCs w:val="21"/>
                <w:lang w:val="lt-LT"/>
              </w:rPr>
              <w:t xml:space="preserve"> sutvarkymas, rekonstrukcija pritaikant pastatą pagal poreikius </w:t>
            </w:r>
          </w:p>
          <w:p w14:paraId="0DFB8A9C" w14:textId="5D97B531" w:rsidR="00AC7864" w:rsidRPr="003878A7" w:rsidRDefault="00AC7864" w:rsidP="00222DE5">
            <w:pPr>
              <w:pStyle w:val="Default"/>
              <w:numPr>
                <w:ilvl w:val="0"/>
                <w:numId w:val="35"/>
              </w:numPr>
              <w:ind w:left="426"/>
              <w:jc w:val="both"/>
              <w:rPr>
                <w:sz w:val="21"/>
                <w:szCs w:val="21"/>
                <w:lang w:val="lt-LT"/>
              </w:rPr>
            </w:pPr>
            <w:r w:rsidRPr="003878A7">
              <w:rPr>
                <w:sz w:val="21"/>
                <w:szCs w:val="21"/>
                <w:lang w:val="lt-LT"/>
              </w:rPr>
              <w:t xml:space="preserve">Galimybė įtraukti centralizuotą turto valdytoją į ilgojo laikotarpio pastatų fondo strategijos vertinimą </w:t>
            </w:r>
          </w:p>
          <w:p w14:paraId="06014476" w14:textId="7987C359" w:rsidR="00AC7864" w:rsidRPr="003878A7" w:rsidRDefault="00AC7864" w:rsidP="00222DE5">
            <w:pPr>
              <w:pStyle w:val="Default"/>
              <w:numPr>
                <w:ilvl w:val="0"/>
                <w:numId w:val="35"/>
              </w:numPr>
              <w:ind w:left="426"/>
              <w:jc w:val="both"/>
              <w:rPr>
                <w:sz w:val="21"/>
                <w:szCs w:val="21"/>
                <w:lang w:val="lt-LT"/>
              </w:rPr>
            </w:pPr>
            <w:r w:rsidRPr="003878A7">
              <w:rPr>
                <w:sz w:val="21"/>
                <w:szCs w:val="21"/>
                <w:lang w:val="lt-LT"/>
              </w:rPr>
              <w:t xml:space="preserve">Pakartotinai panaudojamos grįžusios lėšos </w:t>
            </w:r>
          </w:p>
          <w:p w14:paraId="5D276CDD" w14:textId="77777777" w:rsidR="00AC7864" w:rsidRPr="003878A7" w:rsidRDefault="00AC7864" w:rsidP="00222DE5">
            <w:pPr>
              <w:spacing w:before="0" w:after="0"/>
              <w:ind w:firstLine="0"/>
              <w:rPr>
                <w:sz w:val="21"/>
                <w:szCs w:val="21"/>
                <w:lang w:val="lt-LT"/>
              </w:rPr>
            </w:pPr>
          </w:p>
        </w:tc>
        <w:tc>
          <w:tcPr>
            <w:tcW w:w="4927" w:type="dxa"/>
          </w:tcPr>
          <w:p w14:paraId="3D6CC22B" w14:textId="6E311F5B" w:rsidR="00AC7864" w:rsidRPr="003878A7" w:rsidRDefault="00AC7864" w:rsidP="00222DE5">
            <w:pPr>
              <w:pStyle w:val="Default"/>
              <w:jc w:val="both"/>
              <w:rPr>
                <w:rFonts w:cstheme="minorBidi"/>
                <w:b/>
                <w:bCs/>
                <w:color w:val="auto"/>
                <w:sz w:val="21"/>
                <w:szCs w:val="21"/>
                <w:lang w:val="lt-LT"/>
              </w:rPr>
            </w:pPr>
            <w:r w:rsidRPr="003878A7">
              <w:rPr>
                <w:rFonts w:cstheme="minorBidi"/>
                <w:b/>
                <w:bCs/>
                <w:color w:val="auto"/>
                <w:sz w:val="21"/>
                <w:szCs w:val="21"/>
                <w:lang w:val="lt-LT"/>
              </w:rPr>
              <w:t>Grėsmės</w:t>
            </w:r>
          </w:p>
          <w:p w14:paraId="1061CF94" w14:textId="77777777" w:rsidR="00AC7864" w:rsidRPr="003878A7" w:rsidRDefault="00AC7864" w:rsidP="00222DE5">
            <w:pPr>
              <w:pStyle w:val="Default"/>
              <w:numPr>
                <w:ilvl w:val="0"/>
                <w:numId w:val="32"/>
              </w:numPr>
              <w:ind w:left="454"/>
              <w:jc w:val="both"/>
              <w:rPr>
                <w:sz w:val="21"/>
                <w:szCs w:val="21"/>
                <w:lang w:val="lt-LT"/>
              </w:rPr>
            </w:pPr>
            <w:r w:rsidRPr="003878A7">
              <w:rPr>
                <w:sz w:val="21"/>
                <w:szCs w:val="21"/>
                <w:lang w:val="lt-LT"/>
              </w:rPr>
              <w:t xml:space="preserve">Ribotas ar nepakankamas finansavimas </w:t>
            </w:r>
          </w:p>
          <w:p w14:paraId="13652015" w14:textId="00A0EB89" w:rsidR="00AC7864" w:rsidRPr="003878A7" w:rsidRDefault="00AC7864" w:rsidP="00222DE5">
            <w:pPr>
              <w:pStyle w:val="Default"/>
              <w:numPr>
                <w:ilvl w:val="0"/>
                <w:numId w:val="32"/>
              </w:numPr>
              <w:ind w:left="454"/>
              <w:jc w:val="both"/>
              <w:rPr>
                <w:sz w:val="21"/>
                <w:szCs w:val="21"/>
                <w:lang w:val="lt-LT"/>
              </w:rPr>
            </w:pPr>
            <w:r w:rsidRPr="003878A7">
              <w:rPr>
                <w:sz w:val="21"/>
                <w:szCs w:val="21"/>
                <w:lang w:val="lt-LT"/>
              </w:rPr>
              <w:t xml:space="preserve">Politinė ir teisinės bazės keitimo rizika </w:t>
            </w:r>
          </w:p>
          <w:p w14:paraId="298C8BC3" w14:textId="07E17C1F" w:rsidR="00AC7864" w:rsidRPr="003878A7" w:rsidRDefault="00AC7864" w:rsidP="00222DE5">
            <w:pPr>
              <w:pStyle w:val="Default"/>
              <w:numPr>
                <w:ilvl w:val="0"/>
                <w:numId w:val="32"/>
              </w:numPr>
              <w:ind w:left="454"/>
              <w:jc w:val="both"/>
              <w:rPr>
                <w:sz w:val="21"/>
                <w:szCs w:val="21"/>
                <w:lang w:val="lt-LT"/>
              </w:rPr>
            </w:pPr>
            <w:r w:rsidRPr="003878A7">
              <w:rPr>
                <w:sz w:val="21"/>
                <w:szCs w:val="21"/>
                <w:lang w:val="lt-LT"/>
              </w:rPr>
              <w:t xml:space="preserve">Įtaka valstybės biudžeto deficito ir valstybės skolos rodikliams </w:t>
            </w:r>
          </w:p>
          <w:p w14:paraId="0FDA9248" w14:textId="3005795E" w:rsidR="00AC7864" w:rsidRPr="003878A7" w:rsidRDefault="00AC7864" w:rsidP="00222DE5">
            <w:pPr>
              <w:pStyle w:val="Default"/>
              <w:numPr>
                <w:ilvl w:val="0"/>
                <w:numId w:val="32"/>
              </w:numPr>
              <w:ind w:left="454"/>
              <w:jc w:val="both"/>
              <w:rPr>
                <w:sz w:val="21"/>
                <w:szCs w:val="21"/>
                <w:lang w:val="lt-LT"/>
              </w:rPr>
            </w:pPr>
            <w:r w:rsidRPr="003878A7">
              <w:rPr>
                <w:sz w:val="21"/>
                <w:szCs w:val="21"/>
                <w:lang w:val="lt-LT"/>
              </w:rPr>
              <w:t xml:space="preserve">Pastato poreikio ilguoju laikotarpiu įvertinimas </w:t>
            </w:r>
          </w:p>
          <w:p w14:paraId="4F2A90D9" w14:textId="783C1968" w:rsidR="00AC7864" w:rsidRPr="003878A7" w:rsidRDefault="00AC7864" w:rsidP="00222DE5">
            <w:pPr>
              <w:pStyle w:val="Default"/>
              <w:numPr>
                <w:ilvl w:val="0"/>
                <w:numId w:val="32"/>
              </w:numPr>
              <w:ind w:left="454"/>
              <w:jc w:val="both"/>
              <w:rPr>
                <w:sz w:val="21"/>
                <w:szCs w:val="21"/>
                <w:lang w:val="lt-LT"/>
              </w:rPr>
            </w:pPr>
            <w:r w:rsidRPr="003878A7">
              <w:rPr>
                <w:sz w:val="21"/>
                <w:szCs w:val="21"/>
                <w:lang w:val="lt-LT"/>
              </w:rPr>
              <w:t xml:space="preserve">Priklausomybė nuo ekonominės statybų sektoriaus situacijos </w:t>
            </w:r>
          </w:p>
          <w:p w14:paraId="2F03B39E" w14:textId="20378D35" w:rsidR="00AC7864" w:rsidRPr="003878A7" w:rsidRDefault="00AC7864" w:rsidP="00222DE5">
            <w:pPr>
              <w:pStyle w:val="Default"/>
              <w:numPr>
                <w:ilvl w:val="0"/>
                <w:numId w:val="32"/>
              </w:numPr>
              <w:ind w:left="454"/>
              <w:jc w:val="both"/>
              <w:rPr>
                <w:sz w:val="21"/>
                <w:szCs w:val="21"/>
                <w:lang w:val="lt-LT"/>
              </w:rPr>
            </w:pPr>
            <w:r w:rsidRPr="003878A7">
              <w:rPr>
                <w:sz w:val="21"/>
                <w:szCs w:val="21"/>
                <w:lang w:val="lt-LT"/>
              </w:rPr>
              <w:t xml:space="preserve">Ribotas rangovų skaičius </w:t>
            </w:r>
          </w:p>
          <w:p w14:paraId="3C0E859F" w14:textId="08434C3B" w:rsidR="00AC7864" w:rsidRPr="003878A7" w:rsidRDefault="00AC7864" w:rsidP="00222DE5">
            <w:pPr>
              <w:pStyle w:val="Default"/>
              <w:numPr>
                <w:ilvl w:val="0"/>
                <w:numId w:val="32"/>
              </w:numPr>
              <w:ind w:left="454"/>
              <w:jc w:val="both"/>
              <w:rPr>
                <w:sz w:val="21"/>
                <w:szCs w:val="21"/>
                <w:lang w:val="lt-LT"/>
              </w:rPr>
            </w:pPr>
            <w:r w:rsidRPr="003878A7">
              <w:rPr>
                <w:sz w:val="21"/>
                <w:szCs w:val="21"/>
                <w:lang w:val="lt-LT"/>
              </w:rPr>
              <w:t xml:space="preserve">Didelės renovacijos projektų paklausos nulemtas statybos darbų kainų augimas </w:t>
            </w:r>
          </w:p>
          <w:p w14:paraId="1428FAB5" w14:textId="07378A60" w:rsidR="00AC7864" w:rsidRPr="003878A7" w:rsidRDefault="00AC7864" w:rsidP="00222DE5">
            <w:pPr>
              <w:pStyle w:val="Default"/>
              <w:numPr>
                <w:ilvl w:val="0"/>
                <w:numId w:val="32"/>
              </w:numPr>
              <w:ind w:left="454"/>
              <w:jc w:val="both"/>
              <w:rPr>
                <w:sz w:val="21"/>
                <w:szCs w:val="21"/>
                <w:lang w:val="lt-LT"/>
              </w:rPr>
            </w:pPr>
            <w:r w:rsidRPr="003878A7">
              <w:rPr>
                <w:sz w:val="21"/>
                <w:szCs w:val="21"/>
                <w:lang w:val="lt-LT"/>
              </w:rPr>
              <w:t xml:space="preserve">Besikeičiantys techniniai reikalavimai pastatams </w:t>
            </w:r>
          </w:p>
          <w:p w14:paraId="4C883266" w14:textId="3D26A700" w:rsidR="00AC7864" w:rsidRPr="003878A7" w:rsidRDefault="00AC7864" w:rsidP="00222DE5">
            <w:pPr>
              <w:pStyle w:val="Default"/>
              <w:numPr>
                <w:ilvl w:val="0"/>
                <w:numId w:val="32"/>
              </w:numPr>
              <w:ind w:left="454"/>
              <w:jc w:val="both"/>
              <w:rPr>
                <w:sz w:val="21"/>
                <w:szCs w:val="21"/>
                <w:lang w:val="lt-LT"/>
              </w:rPr>
            </w:pPr>
            <w:r w:rsidRPr="003878A7">
              <w:rPr>
                <w:sz w:val="21"/>
                <w:szCs w:val="21"/>
                <w:lang w:val="lt-LT"/>
              </w:rPr>
              <w:t xml:space="preserve">Nepakankama renovacijos kokybės kontrolė </w:t>
            </w:r>
          </w:p>
        </w:tc>
      </w:tr>
    </w:tbl>
    <w:p w14:paraId="04D441F0" w14:textId="77777777" w:rsidR="00AC7864" w:rsidRPr="003878A7" w:rsidRDefault="00AC7864" w:rsidP="00AC7864">
      <w:pPr>
        <w:spacing w:after="0"/>
        <w:rPr>
          <w:rFonts w:cs="Times New Roman"/>
          <w:sz w:val="20"/>
          <w:szCs w:val="20"/>
        </w:rPr>
      </w:pPr>
      <w:r w:rsidRPr="003878A7">
        <w:rPr>
          <w:rFonts w:cs="Times New Roman"/>
          <w:sz w:val="20"/>
          <w:szCs w:val="20"/>
        </w:rPr>
        <w:t>Šaltinis: sudaryta Vertintojų</w:t>
      </w:r>
    </w:p>
    <w:p w14:paraId="03E3814A" w14:textId="7B3EFDEA" w:rsidR="002A6D88" w:rsidRPr="003878A7" w:rsidRDefault="00B22949" w:rsidP="00B22949">
      <w:pPr>
        <w:pStyle w:val="Heading3"/>
        <w:ind w:firstLine="426"/>
        <w:rPr>
          <w:rFonts w:cs="Times New Roman"/>
        </w:rPr>
      </w:pPr>
      <w:bookmarkStart w:id="25" w:name="_Toc70532870"/>
      <w:r w:rsidRPr="003878A7">
        <w:rPr>
          <w:rFonts w:cs="Times New Roman"/>
        </w:rPr>
        <w:t xml:space="preserve">3.2.3 </w:t>
      </w:r>
      <w:r w:rsidR="002A6D88" w:rsidRPr="003878A7">
        <w:rPr>
          <w:rFonts w:cs="Times New Roman"/>
        </w:rPr>
        <w:t>Gatvės apšvietimo modernizavimo projektų sukuriama kokybinė pridėtinė vertė</w:t>
      </w:r>
      <w:bookmarkEnd w:id="25"/>
    </w:p>
    <w:p w14:paraId="73DB7B15" w14:textId="35DA7CE2" w:rsidR="00AC7864" w:rsidRPr="003878A7" w:rsidRDefault="00AC7864" w:rsidP="00AC7864">
      <w:pPr>
        <w:ind w:firstLine="0"/>
        <w:rPr>
          <w:rFonts w:cs="Times New Roman"/>
          <w:i/>
          <w:iCs/>
        </w:rPr>
      </w:pPr>
      <w:r w:rsidRPr="003878A7">
        <w:rPr>
          <w:rFonts w:cs="Times New Roman"/>
          <w:i/>
          <w:iCs/>
        </w:rPr>
        <w:t>Lentelė Nr.</w:t>
      </w:r>
      <w:r w:rsidR="006D7B19">
        <w:rPr>
          <w:rFonts w:cs="Times New Roman"/>
          <w:i/>
          <w:iCs/>
        </w:rPr>
        <w:t xml:space="preserve"> 7</w:t>
      </w:r>
      <w:r w:rsidRPr="003878A7">
        <w:rPr>
          <w:rFonts w:cs="Times New Roman"/>
          <w:i/>
          <w:iCs/>
        </w:rPr>
        <w:t>. FP taikymo gatvių apšvietimo pastatų modernizavimo srityje SSGG analizė</w:t>
      </w:r>
    </w:p>
    <w:tbl>
      <w:tblPr>
        <w:tblStyle w:val="TableGrid"/>
        <w:tblW w:w="0" w:type="auto"/>
        <w:tblLook w:val="04A0" w:firstRow="1" w:lastRow="0" w:firstColumn="1" w:lastColumn="0" w:noHBand="0" w:noVBand="1"/>
      </w:tblPr>
      <w:tblGrid>
        <w:gridCol w:w="4927"/>
        <w:gridCol w:w="4927"/>
      </w:tblGrid>
      <w:tr w:rsidR="00AC7864" w:rsidRPr="003878A7" w14:paraId="382EA581" w14:textId="77777777" w:rsidTr="00AC7864">
        <w:tc>
          <w:tcPr>
            <w:tcW w:w="4927" w:type="dxa"/>
          </w:tcPr>
          <w:p w14:paraId="189779F5" w14:textId="6AB87BE6" w:rsidR="00AC7864" w:rsidRPr="003878A7" w:rsidRDefault="00AC7864" w:rsidP="00222DE5">
            <w:pPr>
              <w:spacing w:before="0" w:after="0"/>
              <w:ind w:firstLine="0"/>
              <w:rPr>
                <w:rFonts w:cs="Times New Roman"/>
                <w:b/>
                <w:bCs/>
                <w:sz w:val="21"/>
                <w:szCs w:val="21"/>
                <w:lang w:val="lt-LT"/>
              </w:rPr>
            </w:pPr>
            <w:r w:rsidRPr="003878A7">
              <w:rPr>
                <w:rFonts w:cs="Times New Roman"/>
                <w:b/>
                <w:bCs/>
                <w:sz w:val="21"/>
                <w:szCs w:val="21"/>
                <w:lang w:val="lt-LT"/>
              </w:rPr>
              <w:t>Stiprybės</w:t>
            </w:r>
          </w:p>
          <w:p w14:paraId="062E585E" w14:textId="77777777" w:rsidR="00AC7864" w:rsidRPr="003878A7" w:rsidRDefault="00AC7864" w:rsidP="00222DE5">
            <w:pPr>
              <w:pStyle w:val="Default"/>
              <w:numPr>
                <w:ilvl w:val="0"/>
                <w:numId w:val="38"/>
              </w:numPr>
              <w:ind w:left="426"/>
              <w:jc w:val="both"/>
              <w:rPr>
                <w:sz w:val="21"/>
                <w:szCs w:val="21"/>
                <w:lang w:val="lt-LT"/>
              </w:rPr>
            </w:pPr>
            <w:r w:rsidRPr="003878A7">
              <w:rPr>
                <w:sz w:val="21"/>
                <w:szCs w:val="21"/>
                <w:lang w:val="lt-LT"/>
              </w:rPr>
              <w:t xml:space="preserve">Įgyvendinus projektus pasiekiamas greitas ir didelis energijos efektyvumas </w:t>
            </w:r>
          </w:p>
          <w:p w14:paraId="3B00AFA4" w14:textId="46C533D3" w:rsidR="00AC7864" w:rsidRPr="003878A7" w:rsidRDefault="00AC7864" w:rsidP="00222DE5">
            <w:pPr>
              <w:pStyle w:val="Default"/>
              <w:numPr>
                <w:ilvl w:val="0"/>
                <w:numId w:val="38"/>
              </w:numPr>
              <w:ind w:left="426"/>
              <w:jc w:val="both"/>
              <w:rPr>
                <w:sz w:val="21"/>
                <w:szCs w:val="21"/>
                <w:lang w:val="lt-LT"/>
              </w:rPr>
            </w:pPr>
            <w:r w:rsidRPr="003878A7">
              <w:rPr>
                <w:sz w:val="21"/>
                <w:szCs w:val="21"/>
                <w:lang w:val="lt-LT"/>
              </w:rPr>
              <w:t xml:space="preserve">Aukštas projektų atsiperkamumas lyginant su kitais energijos vartojimo efektyvumo projektais </w:t>
            </w:r>
          </w:p>
          <w:p w14:paraId="245F07D6" w14:textId="46519071" w:rsidR="00AC7864" w:rsidRPr="003878A7" w:rsidRDefault="00AC7864" w:rsidP="00222DE5">
            <w:pPr>
              <w:pStyle w:val="Default"/>
              <w:numPr>
                <w:ilvl w:val="0"/>
                <w:numId w:val="38"/>
              </w:numPr>
              <w:ind w:left="426"/>
              <w:jc w:val="both"/>
              <w:rPr>
                <w:sz w:val="21"/>
                <w:szCs w:val="21"/>
                <w:lang w:val="lt-LT"/>
              </w:rPr>
            </w:pPr>
            <w:r w:rsidRPr="003878A7">
              <w:rPr>
                <w:sz w:val="21"/>
                <w:szCs w:val="21"/>
                <w:lang w:val="lt-LT"/>
              </w:rPr>
              <w:t xml:space="preserve">Centralizuota gatvių apšvietimo tinklų kontrolė </w:t>
            </w:r>
          </w:p>
          <w:p w14:paraId="6CBC6DBD" w14:textId="3BA0B04E" w:rsidR="00AC7864" w:rsidRPr="003878A7" w:rsidRDefault="00AC7864" w:rsidP="00222DE5">
            <w:pPr>
              <w:pStyle w:val="Default"/>
              <w:numPr>
                <w:ilvl w:val="0"/>
                <w:numId w:val="38"/>
              </w:numPr>
              <w:ind w:left="426"/>
              <w:jc w:val="both"/>
              <w:rPr>
                <w:sz w:val="21"/>
                <w:szCs w:val="21"/>
                <w:lang w:val="lt-LT"/>
              </w:rPr>
            </w:pPr>
            <w:r w:rsidRPr="003878A7">
              <w:rPr>
                <w:sz w:val="21"/>
                <w:szCs w:val="21"/>
                <w:lang w:val="lt-LT"/>
              </w:rPr>
              <w:t xml:space="preserve">Galima remtis Vilniaus miesto gatvių apšvietimo modernizavimo projektu </w:t>
            </w:r>
          </w:p>
          <w:p w14:paraId="1F79B9D5" w14:textId="67D3AD83" w:rsidR="00AC7864" w:rsidRPr="003878A7" w:rsidRDefault="00AC7864" w:rsidP="00222DE5">
            <w:pPr>
              <w:spacing w:before="0" w:after="0"/>
              <w:ind w:firstLine="0"/>
              <w:rPr>
                <w:rFonts w:cs="Times New Roman"/>
                <w:sz w:val="21"/>
                <w:szCs w:val="21"/>
                <w:lang w:val="lt-LT"/>
              </w:rPr>
            </w:pPr>
          </w:p>
        </w:tc>
        <w:tc>
          <w:tcPr>
            <w:tcW w:w="4927" w:type="dxa"/>
          </w:tcPr>
          <w:p w14:paraId="2BC1A10F" w14:textId="225D2746" w:rsidR="00AC7864" w:rsidRPr="003878A7" w:rsidRDefault="00AC7864" w:rsidP="00222DE5">
            <w:pPr>
              <w:spacing w:before="0" w:after="0"/>
              <w:ind w:firstLine="0"/>
              <w:rPr>
                <w:rFonts w:cs="Times New Roman"/>
                <w:b/>
                <w:bCs/>
                <w:sz w:val="21"/>
                <w:szCs w:val="21"/>
                <w:lang w:val="lt-LT"/>
              </w:rPr>
            </w:pPr>
            <w:r w:rsidRPr="003878A7">
              <w:rPr>
                <w:rFonts w:cs="Times New Roman"/>
                <w:b/>
                <w:bCs/>
                <w:sz w:val="21"/>
                <w:szCs w:val="21"/>
                <w:lang w:val="lt-LT"/>
              </w:rPr>
              <w:t>Silpnybės</w:t>
            </w:r>
          </w:p>
          <w:p w14:paraId="3E4C8641" w14:textId="77777777" w:rsidR="00AC7864" w:rsidRPr="003878A7" w:rsidRDefault="00AC7864" w:rsidP="00222DE5">
            <w:pPr>
              <w:pStyle w:val="Default"/>
              <w:numPr>
                <w:ilvl w:val="0"/>
                <w:numId w:val="37"/>
              </w:numPr>
              <w:ind w:left="454"/>
              <w:jc w:val="both"/>
              <w:rPr>
                <w:sz w:val="21"/>
                <w:szCs w:val="21"/>
                <w:lang w:val="lt-LT"/>
              </w:rPr>
            </w:pPr>
            <w:r w:rsidRPr="003878A7">
              <w:rPr>
                <w:sz w:val="21"/>
                <w:szCs w:val="21"/>
                <w:lang w:val="lt-LT"/>
              </w:rPr>
              <w:t xml:space="preserve">Infrastruktūra savivaldybėse nėra pilnai inventorizuota (neaiški tiksli infrastruktūra ir jos būklė) </w:t>
            </w:r>
          </w:p>
          <w:p w14:paraId="2F44AA60" w14:textId="251C5561" w:rsidR="00AC7864" w:rsidRPr="003878A7" w:rsidRDefault="00AC7864" w:rsidP="00222DE5">
            <w:pPr>
              <w:pStyle w:val="Default"/>
              <w:numPr>
                <w:ilvl w:val="0"/>
                <w:numId w:val="37"/>
              </w:numPr>
              <w:ind w:left="454"/>
              <w:jc w:val="both"/>
              <w:rPr>
                <w:sz w:val="21"/>
                <w:szCs w:val="21"/>
                <w:lang w:val="lt-LT"/>
              </w:rPr>
            </w:pPr>
            <w:r w:rsidRPr="003878A7">
              <w:rPr>
                <w:sz w:val="21"/>
                <w:szCs w:val="21"/>
                <w:lang w:val="lt-LT"/>
              </w:rPr>
              <w:t xml:space="preserve">Ribota patirtis panašių projektų valdyme savivaldybėse Bloga savivaldybių finansinė būklė (ribotos skolinimosi galimybės) </w:t>
            </w:r>
          </w:p>
          <w:p w14:paraId="1BDAE923" w14:textId="40E3CBCD" w:rsidR="00AC7864" w:rsidRPr="003878A7" w:rsidRDefault="00AC7864" w:rsidP="00222DE5">
            <w:pPr>
              <w:spacing w:before="0" w:after="0"/>
              <w:ind w:firstLine="0"/>
              <w:rPr>
                <w:rFonts w:cs="Times New Roman"/>
                <w:sz w:val="21"/>
                <w:szCs w:val="21"/>
                <w:lang w:val="lt-LT"/>
              </w:rPr>
            </w:pPr>
          </w:p>
        </w:tc>
      </w:tr>
      <w:tr w:rsidR="00AC7864" w:rsidRPr="003878A7" w14:paraId="34874E49" w14:textId="77777777" w:rsidTr="00AC7864">
        <w:tc>
          <w:tcPr>
            <w:tcW w:w="4927" w:type="dxa"/>
          </w:tcPr>
          <w:p w14:paraId="1AD0A87B" w14:textId="3E7BB08A" w:rsidR="00AC7864" w:rsidRPr="003878A7" w:rsidRDefault="00AC7864" w:rsidP="00222DE5">
            <w:pPr>
              <w:spacing w:before="0" w:after="0"/>
              <w:ind w:firstLine="0"/>
              <w:rPr>
                <w:rFonts w:cs="Times New Roman"/>
                <w:b/>
                <w:bCs/>
                <w:sz w:val="21"/>
                <w:szCs w:val="21"/>
                <w:lang w:val="lt-LT"/>
              </w:rPr>
            </w:pPr>
            <w:r w:rsidRPr="003878A7">
              <w:rPr>
                <w:rFonts w:cs="Times New Roman"/>
                <w:b/>
                <w:bCs/>
                <w:sz w:val="21"/>
                <w:szCs w:val="21"/>
                <w:lang w:val="lt-LT"/>
              </w:rPr>
              <w:t>Galimybės</w:t>
            </w:r>
          </w:p>
          <w:p w14:paraId="51DC3DCA" w14:textId="7C22170A" w:rsidR="00AC7864" w:rsidRPr="003878A7" w:rsidRDefault="00AC7864" w:rsidP="00222DE5">
            <w:pPr>
              <w:pStyle w:val="Default"/>
              <w:numPr>
                <w:ilvl w:val="0"/>
                <w:numId w:val="39"/>
              </w:numPr>
              <w:ind w:left="426"/>
              <w:jc w:val="both"/>
              <w:rPr>
                <w:sz w:val="21"/>
                <w:szCs w:val="21"/>
                <w:lang w:val="lt-LT"/>
              </w:rPr>
            </w:pPr>
            <w:r w:rsidRPr="003878A7">
              <w:rPr>
                <w:sz w:val="21"/>
                <w:szCs w:val="21"/>
                <w:lang w:val="lt-LT"/>
              </w:rPr>
              <w:t xml:space="preserve">Privačių partnerių susidomėjimas </w:t>
            </w:r>
          </w:p>
          <w:p w14:paraId="093B56B0" w14:textId="613253AD" w:rsidR="00AC7864" w:rsidRPr="003878A7" w:rsidRDefault="00AC7864" w:rsidP="00222DE5">
            <w:pPr>
              <w:pStyle w:val="Default"/>
              <w:numPr>
                <w:ilvl w:val="0"/>
                <w:numId w:val="39"/>
              </w:numPr>
              <w:ind w:left="426"/>
              <w:jc w:val="both"/>
              <w:rPr>
                <w:sz w:val="21"/>
                <w:szCs w:val="21"/>
                <w:lang w:val="lt-LT"/>
              </w:rPr>
            </w:pPr>
            <w:r w:rsidRPr="003878A7">
              <w:rPr>
                <w:sz w:val="21"/>
                <w:szCs w:val="21"/>
                <w:lang w:val="lt-LT"/>
              </w:rPr>
              <w:t xml:space="preserve">Didelė patirtis įvairiose šalyse, daug prieinamų gerosios praktikos pavyzdžių </w:t>
            </w:r>
          </w:p>
          <w:p w14:paraId="44794B6B" w14:textId="223F7E83" w:rsidR="00AC7864" w:rsidRPr="003878A7" w:rsidRDefault="00AC7864" w:rsidP="00222DE5">
            <w:pPr>
              <w:pStyle w:val="Default"/>
              <w:numPr>
                <w:ilvl w:val="0"/>
                <w:numId w:val="39"/>
              </w:numPr>
              <w:ind w:left="426"/>
              <w:jc w:val="both"/>
              <w:rPr>
                <w:sz w:val="21"/>
                <w:szCs w:val="21"/>
                <w:lang w:val="lt-LT"/>
              </w:rPr>
            </w:pPr>
            <w:r w:rsidRPr="003878A7">
              <w:rPr>
                <w:sz w:val="21"/>
                <w:szCs w:val="21"/>
                <w:lang w:val="lt-LT"/>
              </w:rPr>
              <w:t xml:space="preserve">Galimybė kompleksiškai įgyvendinti projektus, apjungiant kelių miestų gatvių apšvietimo tinklus į vieną projektą </w:t>
            </w:r>
          </w:p>
          <w:p w14:paraId="70900BC5" w14:textId="7B198165" w:rsidR="00AC7864" w:rsidRPr="003878A7" w:rsidRDefault="00AC7864" w:rsidP="00222DE5">
            <w:pPr>
              <w:pStyle w:val="Default"/>
              <w:numPr>
                <w:ilvl w:val="0"/>
                <w:numId w:val="39"/>
              </w:numPr>
              <w:ind w:left="426"/>
              <w:jc w:val="both"/>
              <w:rPr>
                <w:sz w:val="21"/>
                <w:szCs w:val="21"/>
                <w:lang w:val="lt-LT"/>
              </w:rPr>
            </w:pPr>
            <w:r w:rsidRPr="003878A7">
              <w:rPr>
                <w:sz w:val="21"/>
                <w:szCs w:val="21"/>
                <w:lang w:val="lt-LT"/>
              </w:rPr>
              <w:t xml:space="preserve">Galimybė įgyvendinti ESCO modelį </w:t>
            </w:r>
          </w:p>
        </w:tc>
        <w:tc>
          <w:tcPr>
            <w:tcW w:w="4927" w:type="dxa"/>
          </w:tcPr>
          <w:p w14:paraId="0FF70D3D" w14:textId="2A3084A3" w:rsidR="00AC7864" w:rsidRPr="003878A7" w:rsidRDefault="00AC7864" w:rsidP="00222DE5">
            <w:pPr>
              <w:spacing w:before="0" w:after="0"/>
              <w:ind w:firstLine="0"/>
              <w:rPr>
                <w:rFonts w:cs="Times New Roman"/>
                <w:b/>
                <w:bCs/>
                <w:sz w:val="21"/>
                <w:szCs w:val="21"/>
                <w:lang w:val="lt-LT"/>
              </w:rPr>
            </w:pPr>
            <w:r w:rsidRPr="003878A7">
              <w:rPr>
                <w:rFonts w:cs="Times New Roman"/>
                <w:b/>
                <w:bCs/>
                <w:sz w:val="21"/>
                <w:szCs w:val="21"/>
                <w:lang w:val="lt-LT"/>
              </w:rPr>
              <w:t>Grėsmės</w:t>
            </w:r>
          </w:p>
          <w:p w14:paraId="13C3A804" w14:textId="77777777" w:rsidR="00AC7864" w:rsidRPr="003878A7" w:rsidRDefault="00AC7864" w:rsidP="00222DE5">
            <w:pPr>
              <w:pStyle w:val="Default"/>
              <w:numPr>
                <w:ilvl w:val="0"/>
                <w:numId w:val="36"/>
              </w:numPr>
              <w:ind w:left="454"/>
              <w:jc w:val="both"/>
              <w:rPr>
                <w:sz w:val="21"/>
                <w:szCs w:val="21"/>
                <w:lang w:val="lt-LT"/>
              </w:rPr>
            </w:pPr>
            <w:r w:rsidRPr="003878A7">
              <w:rPr>
                <w:sz w:val="21"/>
                <w:szCs w:val="21"/>
                <w:lang w:val="lt-LT"/>
              </w:rPr>
              <w:t xml:space="preserve">Ribotas įmonių, galinčių dalyvauti, skaičius </w:t>
            </w:r>
          </w:p>
          <w:p w14:paraId="54116689" w14:textId="265F3FE9" w:rsidR="00AC7864" w:rsidRPr="003878A7" w:rsidRDefault="00AC7864" w:rsidP="00222DE5">
            <w:pPr>
              <w:pStyle w:val="Default"/>
              <w:numPr>
                <w:ilvl w:val="0"/>
                <w:numId w:val="36"/>
              </w:numPr>
              <w:ind w:left="454"/>
              <w:jc w:val="both"/>
              <w:rPr>
                <w:sz w:val="21"/>
                <w:szCs w:val="21"/>
                <w:lang w:val="lt-LT"/>
              </w:rPr>
            </w:pPr>
            <w:r w:rsidRPr="003878A7">
              <w:rPr>
                <w:sz w:val="21"/>
                <w:szCs w:val="21"/>
                <w:lang w:val="lt-LT"/>
              </w:rPr>
              <w:t xml:space="preserve">Ribotas ar nepakankamas finansavimas </w:t>
            </w:r>
          </w:p>
          <w:p w14:paraId="3A9781BE" w14:textId="044AA3D4" w:rsidR="00AC7864" w:rsidRPr="003878A7" w:rsidRDefault="00AC7864" w:rsidP="00222DE5">
            <w:pPr>
              <w:pStyle w:val="Default"/>
              <w:numPr>
                <w:ilvl w:val="0"/>
                <w:numId w:val="36"/>
              </w:numPr>
              <w:ind w:left="454"/>
              <w:jc w:val="both"/>
              <w:rPr>
                <w:sz w:val="21"/>
                <w:szCs w:val="21"/>
                <w:lang w:val="lt-LT"/>
              </w:rPr>
            </w:pPr>
            <w:r w:rsidRPr="003878A7">
              <w:rPr>
                <w:sz w:val="21"/>
                <w:szCs w:val="21"/>
                <w:lang w:val="lt-LT"/>
              </w:rPr>
              <w:t xml:space="preserve">Politinė ir teisinės bazės keitimo rizika </w:t>
            </w:r>
          </w:p>
          <w:p w14:paraId="61207076" w14:textId="6F0FCBBD" w:rsidR="00AC7864" w:rsidRPr="003878A7" w:rsidRDefault="00AC7864" w:rsidP="00222DE5">
            <w:pPr>
              <w:spacing w:before="0" w:after="0"/>
              <w:ind w:firstLine="0"/>
              <w:rPr>
                <w:rFonts w:cs="Times New Roman"/>
                <w:sz w:val="21"/>
                <w:szCs w:val="21"/>
                <w:lang w:val="lt-LT"/>
              </w:rPr>
            </w:pPr>
          </w:p>
        </w:tc>
      </w:tr>
    </w:tbl>
    <w:p w14:paraId="5DF25347" w14:textId="77777777" w:rsidR="00AC7864" w:rsidRDefault="00AC7864" w:rsidP="00AC7864">
      <w:pPr>
        <w:spacing w:after="0"/>
        <w:rPr>
          <w:rFonts w:cs="Times New Roman"/>
          <w:sz w:val="20"/>
          <w:szCs w:val="20"/>
        </w:rPr>
      </w:pPr>
      <w:r w:rsidRPr="003878A7">
        <w:rPr>
          <w:rFonts w:cs="Times New Roman"/>
          <w:sz w:val="20"/>
          <w:szCs w:val="20"/>
        </w:rPr>
        <w:t>Šaltinis: sudaryta Vertintojų</w:t>
      </w:r>
    </w:p>
    <w:p w14:paraId="57A9AD5F" w14:textId="3471A263" w:rsidR="00FB2107" w:rsidRPr="003878A7" w:rsidRDefault="00FB2107" w:rsidP="00B22949">
      <w:pPr>
        <w:pStyle w:val="Heading2"/>
        <w:numPr>
          <w:ilvl w:val="1"/>
          <w:numId w:val="3"/>
        </w:numPr>
        <w:ind w:left="709" w:hanging="425"/>
        <w:rPr>
          <w:rFonts w:cs="Times New Roman"/>
        </w:rPr>
      </w:pPr>
      <w:bookmarkStart w:id="26" w:name="_Toc70532871"/>
      <w:r w:rsidRPr="003878A7">
        <w:rPr>
          <w:rFonts w:cs="Times New Roman"/>
        </w:rPr>
        <w:t>Suderinamumo vertinimas</w:t>
      </w:r>
      <w:bookmarkEnd w:id="26"/>
    </w:p>
    <w:p w14:paraId="066F7068" w14:textId="3B68A859" w:rsidR="00AC7864" w:rsidRPr="003878A7" w:rsidRDefault="00AC7864" w:rsidP="00AC7864">
      <w:r w:rsidRPr="003878A7">
        <w:rPr>
          <w:sz w:val="20"/>
          <w:szCs w:val="20"/>
        </w:rPr>
        <w:t>Šio skyriaus tikslas yra išsiaiškinti, kaip siūlomos FP dera su kitomis viešųjų intervencijų formomis, ar toje pačioje rinkoje FP nepersidengia su kitomis viešųjų intervencijų formomis, o jei persidengia, ar neatsiranda prieštaravimai ir ar skirtingos viešosios intervencijos formos viena kitai nekliudo ir nedaro reikšmingos įtakos.</w:t>
      </w:r>
    </w:p>
    <w:p w14:paraId="7563B48E" w14:textId="050F5CCC" w:rsidR="00A22453" w:rsidRPr="003878A7" w:rsidRDefault="00B22949" w:rsidP="00B22949">
      <w:pPr>
        <w:pStyle w:val="Heading3"/>
        <w:ind w:firstLine="426"/>
        <w:rPr>
          <w:rFonts w:cs="Times New Roman"/>
        </w:rPr>
      </w:pPr>
      <w:bookmarkStart w:id="27" w:name="_Toc70532872"/>
      <w:r w:rsidRPr="003878A7">
        <w:rPr>
          <w:rFonts w:cs="Times New Roman"/>
        </w:rPr>
        <w:t xml:space="preserve">3.3.1 </w:t>
      </w:r>
      <w:r w:rsidR="00A22453" w:rsidRPr="003878A7">
        <w:rPr>
          <w:rFonts w:cs="Times New Roman"/>
        </w:rPr>
        <w:t xml:space="preserve">Daugiabučių modernizavimo projektų </w:t>
      </w:r>
      <w:r w:rsidR="00D94E34" w:rsidRPr="003878A7">
        <w:rPr>
          <w:rFonts w:cs="Times New Roman"/>
        </w:rPr>
        <w:t>suderinamumas su kitomis viešųjų intervencijų formomis</w:t>
      </w:r>
      <w:bookmarkEnd w:id="27"/>
    </w:p>
    <w:p w14:paraId="30750940" w14:textId="19F5C6DE" w:rsidR="00D94E34" w:rsidRDefault="00AC7864" w:rsidP="00AC7864">
      <w:pPr>
        <w:rPr>
          <w:rFonts w:cs="Times New Roman"/>
        </w:rPr>
      </w:pPr>
      <w:r w:rsidRPr="003878A7">
        <w:t xml:space="preserve">Daugiabučių pastatų modernizavimui per pastaruosius JESSICA KF įgyvendinimo metus buvo taikomos FP. 2014-2020 m. periodu yra rekomenduojama tęsti FP taikymą, kadangi tokia projektų finansavimo forma yra efektyvi, sudaro galimybes pritraukti privačius išteklius ir generuoja grįžtančias lėšas. FP taip pat buvo derinamos su kitomis viešųjų intervencijų formomis. </w:t>
      </w:r>
      <w:r w:rsidR="00D94E34" w:rsidRPr="003878A7">
        <w:rPr>
          <w:rFonts w:cs="Times New Roman"/>
        </w:rPr>
        <w:t>Viešųjų intervencijų formos, kurios buvo nukreiptos į būsto sektorių, yra aptariamos žemiau</w:t>
      </w:r>
      <w:r w:rsidRPr="003878A7">
        <w:rPr>
          <w:rFonts w:cs="Times New Roman"/>
        </w:rPr>
        <w:t>.</w:t>
      </w:r>
    </w:p>
    <w:p w14:paraId="04DAE12F" w14:textId="13DECC76" w:rsidR="006D7B19" w:rsidRPr="006D7B19" w:rsidRDefault="006D7B19" w:rsidP="006D7B19">
      <w:pPr>
        <w:ind w:firstLine="0"/>
        <w:rPr>
          <w:rFonts w:cs="Times New Roman"/>
          <w:i/>
          <w:iCs/>
        </w:rPr>
      </w:pPr>
      <w:r w:rsidRPr="003878A7">
        <w:rPr>
          <w:rFonts w:cs="Times New Roman"/>
          <w:i/>
          <w:iCs/>
        </w:rPr>
        <w:t>Lentelė Nr.</w:t>
      </w:r>
      <w:r>
        <w:rPr>
          <w:rFonts w:cs="Times New Roman"/>
          <w:i/>
          <w:iCs/>
        </w:rPr>
        <w:t xml:space="preserve"> 8</w:t>
      </w:r>
      <w:r w:rsidRPr="003878A7">
        <w:rPr>
          <w:rFonts w:cs="Times New Roman"/>
          <w:i/>
          <w:iCs/>
        </w:rPr>
        <w:t xml:space="preserve">. </w:t>
      </w:r>
      <w:r>
        <w:rPr>
          <w:rFonts w:cs="Times New Roman"/>
          <w:i/>
          <w:iCs/>
        </w:rPr>
        <w:t>Suderinamumo analizė</w:t>
      </w:r>
    </w:p>
    <w:tbl>
      <w:tblPr>
        <w:tblStyle w:val="TableGrid"/>
        <w:tblW w:w="0" w:type="auto"/>
        <w:tblLook w:val="04A0" w:firstRow="1" w:lastRow="0" w:firstColumn="1" w:lastColumn="0" w:noHBand="0" w:noVBand="1"/>
      </w:tblPr>
      <w:tblGrid>
        <w:gridCol w:w="1809"/>
        <w:gridCol w:w="8045"/>
      </w:tblGrid>
      <w:tr w:rsidR="00AC7864" w:rsidRPr="003878A7" w14:paraId="61F369B0" w14:textId="77777777" w:rsidTr="00477162">
        <w:tc>
          <w:tcPr>
            <w:tcW w:w="1809" w:type="dxa"/>
          </w:tcPr>
          <w:p w14:paraId="039AE639" w14:textId="249325FA" w:rsidR="00AC7864" w:rsidRPr="003878A7" w:rsidRDefault="00477162" w:rsidP="00AC7864">
            <w:pPr>
              <w:ind w:firstLine="0"/>
              <w:rPr>
                <w:rFonts w:cs="Times New Roman"/>
                <w:b/>
                <w:bCs/>
                <w:sz w:val="21"/>
                <w:szCs w:val="21"/>
                <w:lang w:val="lt-LT"/>
              </w:rPr>
            </w:pPr>
            <w:r w:rsidRPr="003878A7">
              <w:rPr>
                <w:rFonts w:cs="Times New Roman"/>
                <w:b/>
                <w:bCs/>
                <w:sz w:val="21"/>
                <w:szCs w:val="21"/>
                <w:lang w:val="lt-LT"/>
              </w:rPr>
              <w:t>Viešųjų investicijų tipas</w:t>
            </w:r>
          </w:p>
        </w:tc>
        <w:tc>
          <w:tcPr>
            <w:tcW w:w="8045" w:type="dxa"/>
          </w:tcPr>
          <w:p w14:paraId="687EC25D" w14:textId="2B14F293" w:rsidR="00AC7864" w:rsidRPr="003878A7" w:rsidRDefault="00477162" w:rsidP="00AC7864">
            <w:pPr>
              <w:ind w:firstLine="0"/>
              <w:rPr>
                <w:rFonts w:cs="Times New Roman"/>
                <w:b/>
                <w:bCs/>
                <w:sz w:val="21"/>
                <w:szCs w:val="21"/>
                <w:lang w:val="lt-LT"/>
              </w:rPr>
            </w:pPr>
            <w:r w:rsidRPr="003878A7">
              <w:rPr>
                <w:rFonts w:cs="Times New Roman"/>
                <w:b/>
                <w:bCs/>
                <w:sz w:val="21"/>
                <w:szCs w:val="21"/>
                <w:lang w:val="lt-LT"/>
              </w:rPr>
              <w:t>Paaiškinimas</w:t>
            </w:r>
          </w:p>
        </w:tc>
      </w:tr>
      <w:tr w:rsidR="00AC7864" w:rsidRPr="003878A7" w14:paraId="1511B4BC" w14:textId="77777777" w:rsidTr="00477162">
        <w:tc>
          <w:tcPr>
            <w:tcW w:w="1809" w:type="dxa"/>
          </w:tcPr>
          <w:p w14:paraId="522A6119" w14:textId="79EA9C16" w:rsidR="00AC7864" w:rsidRPr="003878A7" w:rsidRDefault="00AC7864" w:rsidP="00AC7864">
            <w:pPr>
              <w:ind w:firstLine="0"/>
              <w:rPr>
                <w:rFonts w:cs="Times New Roman"/>
                <w:sz w:val="21"/>
                <w:szCs w:val="21"/>
                <w:lang w:val="lt-LT"/>
              </w:rPr>
            </w:pPr>
            <w:r w:rsidRPr="003878A7">
              <w:rPr>
                <w:rFonts w:cs="Times New Roman"/>
                <w:sz w:val="21"/>
                <w:szCs w:val="21"/>
                <w:lang w:val="lt-LT"/>
              </w:rPr>
              <w:t xml:space="preserve">Techninio </w:t>
            </w:r>
            <w:r w:rsidRPr="003878A7">
              <w:rPr>
                <w:rFonts w:cs="Times New Roman"/>
                <w:sz w:val="21"/>
                <w:szCs w:val="21"/>
                <w:lang w:val="lt-LT"/>
              </w:rPr>
              <w:lastRenderedPageBreak/>
              <w:t>projekto kompensacija</w:t>
            </w:r>
          </w:p>
        </w:tc>
        <w:tc>
          <w:tcPr>
            <w:tcW w:w="8045" w:type="dxa"/>
          </w:tcPr>
          <w:p w14:paraId="3EDBE5F5" w14:textId="784384AB" w:rsidR="00AC7864" w:rsidRPr="003878A7" w:rsidRDefault="00477162" w:rsidP="00AC7864">
            <w:pPr>
              <w:ind w:firstLine="0"/>
              <w:rPr>
                <w:rFonts w:cs="Times New Roman"/>
                <w:sz w:val="21"/>
                <w:szCs w:val="21"/>
                <w:lang w:val="lt-LT"/>
              </w:rPr>
            </w:pPr>
            <w:r w:rsidRPr="003878A7">
              <w:rPr>
                <w:rFonts w:cs="Times New Roman"/>
                <w:sz w:val="21"/>
                <w:szCs w:val="21"/>
                <w:lang w:val="lt-LT"/>
              </w:rPr>
              <w:lastRenderedPageBreak/>
              <w:t xml:space="preserve">GNG kompensuojama 100% faktinių išlaidų, tenkančių atnaujinimo (modernizavimo) </w:t>
            </w:r>
            <w:r w:rsidRPr="003878A7">
              <w:rPr>
                <w:rFonts w:cs="Times New Roman"/>
                <w:sz w:val="21"/>
                <w:szCs w:val="21"/>
                <w:lang w:val="lt-LT"/>
              </w:rPr>
              <w:lastRenderedPageBreak/>
              <w:t>projektui ar jo daliai parengti, jeigu atnaujinimo (modernizavimo) projekto ar jo dalies parengimo sutartis sudaryta iki 2015 m. spalio 1 d. Jeigu atnaujinimo (modernizavimo) projekto ar jo dalies parengimo sutartis sudaryta po 2015 m. spalio 1 d., butų ir kitų patalpų savininkams apmokama arba kompensuojama 50% išlaidų. Už statybos techninę priežiūrą, vykdytą daugiabučio namo atnaujinimo (modernizavimo) projekto įgyvendinimo laikotarpiu iki 2016 m. gruodžio 31 d., butų ir kitų patalpų savininkams apmokama arba kompensuojama 100% faktinių išlaidų. Valstybės paramos daugiabučiams namams atnaujinti (modernizuoti) redakcijoje, galiojančioje nuo 2017-11-01 d. numatyta, kad valstybės parama teikiama „apmokant  arba kompensuojant 100 procentu ne didesnę kaip Vyriausybės nustatyto dydžio išlaidų dalį atnaujinimo projektui ar jo daliai parengti, įskaitant atnaujinimo projekto vykdymo priežiūrą ir atnaujinimo projekto ekspertizės, kai ji privaloma pagal Statybos įstatymą, atlikimą, kai Vyriausybės ar jos įgaliotos institucijos nustatyta tvarka parengtą investicijų planą patvirtina butų ir kitų patalpų savininkai“.</w:t>
            </w:r>
          </w:p>
        </w:tc>
      </w:tr>
      <w:tr w:rsidR="00AC7864" w:rsidRPr="003878A7" w14:paraId="42D3F156" w14:textId="77777777" w:rsidTr="00477162">
        <w:tc>
          <w:tcPr>
            <w:tcW w:w="1809" w:type="dxa"/>
          </w:tcPr>
          <w:p w14:paraId="634F43C5" w14:textId="1ACDFD4A" w:rsidR="00AC7864" w:rsidRPr="003878A7" w:rsidRDefault="00477162" w:rsidP="00AC7864">
            <w:pPr>
              <w:ind w:firstLine="0"/>
              <w:rPr>
                <w:rFonts w:cs="Times New Roman"/>
                <w:sz w:val="21"/>
                <w:szCs w:val="21"/>
                <w:lang w:val="lt-LT"/>
              </w:rPr>
            </w:pPr>
            <w:r w:rsidRPr="003878A7">
              <w:rPr>
                <w:rFonts w:cs="Times New Roman"/>
                <w:sz w:val="21"/>
                <w:szCs w:val="21"/>
                <w:lang w:val="lt-LT"/>
              </w:rPr>
              <w:lastRenderedPageBreak/>
              <w:t>Paskolų įmokų kompensacijos</w:t>
            </w:r>
          </w:p>
        </w:tc>
        <w:tc>
          <w:tcPr>
            <w:tcW w:w="8045" w:type="dxa"/>
          </w:tcPr>
          <w:p w14:paraId="72E7D499" w14:textId="5DAABDFA" w:rsidR="00AC7864" w:rsidRPr="003878A7" w:rsidRDefault="00477162" w:rsidP="00AC7864">
            <w:pPr>
              <w:ind w:firstLine="0"/>
              <w:rPr>
                <w:rFonts w:cs="Times New Roman"/>
                <w:sz w:val="21"/>
                <w:szCs w:val="21"/>
                <w:lang w:val="lt-LT"/>
              </w:rPr>
            </w:pPr>
            <w:r w:rsidRPr="003878A7">
              <w:rPr>
                <w:rFonts w:cs="Times New Roman"/>
                <w:sz w:val="21"/>
                <w:szCs w:val="21"/>
                <w:lang w:val="lt-LT"/>
              </w:rPr>
              <w:t xml:space="preserve">Kompensuojamos asmenims, turintiems teisę į būsto šildymo išlaidų kompensaciją, ir savivaldybėms, turinčioms nuosavybės teisę į gyvenamąsias patalpas atnaujinamame name. Be to, atsisakius dalyvauti renovacijos procese gyventojams, turintiems teisę gauti kompensaciją už šildymą, ji mažinama 50%, o nuo kito šildymo sezono būsto šildymo išlaidų kompensacija neskiriama, bet ne ilgiau kaip 3 metų šildymo sezonus nuo šių aplinkybių atsiradimo. Ši nuostata įtvirtinta Lietuvos Respublikos piniginės socialinės paramos nepasiturintiems gyventojams įstatymo 21 str. 12 d. </w:t>
            </w:r>
          </w:p>
        </w:tc>
      </w:tr>
      <w:tr w:rsidR="00AC7864" w:rsidRPr="003878A7" w14:paraId="485D8533" w14:textId="77777777" w:rsidTr="00477162">
        <w:tc>
          <w:tcPr>
            <w:tcW w:w="1809" w:type="dxa"/>
          </w:tcPr>
          <w:p w14:paraId="57DE3E8B" w14:textId="64083F27" w:rsidR="00AC7864" w:rsidRPr="003878A7" w:rsidRDefault="00477162" w:rsidP="00AC7864">
            <w:pPr>
              <w:ind w:firstLine="0"/>
              <w:rPr>
                <w:rFonts w:cs="Times New Roman"/>
                <w:sz w:val="21"/>
                <w:szCs w:val="21"/>
                <w:lang w:val="lt-LT"/>
              </w:rPr>
            </w:pPr>
            <w:r w:rsidRPr="003878A7">
              <w:rPr>
                <w:rFonts w:cs="Times New Roman"/>
                <w:sz w:val="21"/>
                <w:szCs w:val="21"/>
                <w:lang w:val="lt-LT"/>
              </w:rPr>
              <w:t>EE dalies investicijų kompensacija</w:t>
            </w:r>
          </w:p>
        </w:tc>
        <w:tc>
          <w:tcPr>
            <w:tcW w:w="8045" w:type="dxa"/>
          </w:tcPr>
          <w:p w14:paraId="04122D39" w14:textId="5D17532B" w:rsidR="00AC7864" w:rsidRPr="003878A7" w:rsidRDefault="00477162" w:rsidP="00AC7864">
            <w:pPr>
              <w:ind w:firstLine="0"/>
              <w:rPr>
                <w:rFonts w:cs="Times New Roman"/>
                <w:sz w:val="21"/>
                <w:szCs w:val="21"/>
                <w:lang w:val="lt-LT"/>
              </w:rPr>
            </w:pPr>
            <w:r w:rsidRPr="003878A7">
              <w:rPr>
                <w:rFonts w:cs="Times New Roman"/>
                <w:sz w:val="21"/>
                <w:szCs w:val="21"/>
                <w:lang w:val="lt-LT"/>
              </w:rPr>
              <w:t>Klimato kaitos specialiosios programos lėšomis teikiama papildoma valstybės parama, daugiabučio namo butų ir kitų patalpų savininkams įgyvendinantiems nuo 2009 rugsėjo 20 d. iki 2014 m. gruodžio 31 d. parengtą daugiabučio namo atnaujinimo (modernizavimo) projektą (investicinį planą), kompensuojant dalį EE priemonių investicijų, jeigu įgyvendinus projektą pasiekiama ne mažesnė kaip D pastato energinio naudingumo klasė ir skaičiuojamosios šiluminės energijos sąnaudos sumažinamos ne mažiau kaip 40%. Kompensuojama nuo 20 iki 25% tokių investicijų. Taip pat Klimato kaitos specialiosios programos lėšomis teikiama papildoma valstybės parama, daugiabučio namo butų ir kitų patalpų savininkams nuo 2015 sausio 1 d. parengusiems ir įgyvendinantiems daugiabučio namo atnaujinimo (modernizavimo) projektą (investicinį planą), kompensuojant dalį EE priemonių investicijų, jeigu įgyvendinus projektą pasiekiama ne mažesnė kaip C pastato energinio naudingumo klasė ir skaičiuojamosios šiluminės energijos sąnaudos sumažinamos ne mažiau kaip 40%. Kompensuojama 20% tokių investicijų, jei jeigu daugiabučio namo atnaujinimo (modernizavimo) projektas įgyvendintas iki 2017 m. gruodžio 31 d. ir 15% tokių investicijų, jei daugiabučio namo atnaujinimo (modernizavimo) projektas įgyvendintas po 2017 m. gruodžio 31 d., bet ne vėliau kaip iki 2020 m. gruodžio 31 d. (nuostata buvo pakeista 2017-11-01 patvirtinus naują Valstybės paramos daugiabučiams namams atnaujinti (modernizuoti) įstatymo redakciją).</w:t>
            </w:r>
          </w:p>
        </w:tc>
      </w:tr>
      <w:tr w:rsidR="00477162" w:rsidRPr="003878A7" w14:paraId="4228EA44" w14:textId="77777777" w:rsidTr="00477162">
        <w:tc>
          <w:tcPr>
            <w:tcW w:w="1809" w:type="dxa"/>
          </w:tcPr>
          <w:p w14:paraId="083C7B88" w14:textId="4458713E" w:rsidR="00477162" w:rsidRPr="003878A7" w:rsidRDefault="00477162" w:rsidP="00AC7864">
            <w:pPr>
              <w:ind w:firstLine="0"/>
              <w:rPr>
                <w:rFonts w:cs="Times New Roman"/>
                <w:sz w:val="21"/>
                <w:szCs w:val="21"/>
                <w:lang w:val="lt-LT"/>
              </w:rPr>
            </w:pPr>
            <w:r w:rsidRPr="003878A7">
              <w:rPr>
                <w:rFonts w:cs="Times New Roman"/>
                <w:sz w:val="21"/>
                <w:szCs w:val="21"/>
                <w:lang w:val="lt-LT"/>
              </w:rPr>
              <w:t>PVM lengvatinis tarifas šildymui</w:t>
            </w:r>
          </w:p>
        </w:tc>
        <w:tc>
          <w:tcPr>
            <w:tcW w:w="8045" w:type="dxa"/>
          </w:tcPr>
          <w:p w14:paraId="135BC1DD" w14:textId="6DCD6904" w:rsidR="00477162" w:rsidRPr="003878A7" w:rsidRDefault="00477162" w:rsidP="00477162">
            <w:pPr>
              <w:ind w:firstLine="0"/>
              <w:rPr>
                <w:rFonts w:cs="Times New Roman"/>
                <w:sz w:val="21"/>
                <w:szCs w:val="21"/>
                <w:lang w:val="lt-LT"/>
              </w:rPr>
            </w:pPr>
            <w:r w:rsidRPr="003878A7">
              <w:rPr>
                <w:rFonts w:cs="Times New Roman"/>
                <w:sz w:val="21"/>
                <w:szCs w:val="21"/>
                <w:lang w:val="lt-LT"/>
              </w:rPr>
              <w:t>Taikomas lengvatinis 9% PVM tarifas šilumos energijai, tiekiamai gyvenamosioms patalpoms šildyti pagal PVM įstatymo 19 str. 3 d. 1 p.  Po paskutinių PVM įstatymo pakeitimų PVM lengvatinis tarifas šildymui galioja neribotą laiką.</w:t>
            </w:r>
          </w:p>
        </w:tc>
      </w:tr>
      <w:tr w:rsidR="00477162" w:rsidRPr="003878A7" w14:paraId="4E972A4C" w14:textId="77777777" w:rsidTr="00477162">
        <w:tc>
          <w:tcPr>
            <w:tcW w:w="1809" w:type="dxa"/>
          </w:tcPr>
          <w:p w14:paraId="07A1C068" w14:textId="4B533099" w:rsidR="00477162" w:rsidRPr="003878A7" w:rsidRDefault="00477162" w:rsidP="00AC7864">
            <w:pPr>
              <w:ind w:firstLine="0"/>
              <w:rPr>
                <w:rFonts w:cs="Times New Roman"/>
                <w:sz w:val="21"/>
                <w:szCs w:val="21"/>
                <w:lang w:val="lt-LT"/>
              </w:rPr>
            </w:pPr>
            <w:r w:rsidRPr="003878A7">
              <w:rPr>
                <w:rFonts w:cs="Times New Roman"/>
                <w:sz w:val="21"/>
                <w:szCs w:val="21"/>
                <w:lang w:val="lt-LT"/>
              </w:rPr>
              <w:t>Subsidijos socialinio būsto plėtrai ir daugiabučių namų renovacijai probleminėse teritorijose</w:t>
            </w:r>
          </w:p>
        </w:tc>
        <w:tc>
          <w:tcPr>
            <w:tcW w:w="8045" w:type="dxa"/>
          </w:tcPr>
          <w:p w14:paraId="635F0030" w14:textId="4D864B78" w:rsidR="00477162" w:rsidRPr="003878A7" w:rsidRDefault="00477162" w:rsidP="00477162">
            <w:pPr>
              <w:ind w:firstLine="0"/>
              <w:rPr>
                <w:rFonts w:cs="Times New Roman"/>
                <w:sz w:val="21"/>
                <w:szCs w:val="21"/>
                <w:lang w:val="lt-LT"/>
              </w:rPr>
            </w:pPr>
            <w:r w:rsidRPr="003878A7">
              <w:rPr>
                <w:rFonts w:cs="Times New Roman"/>
                <w:sz w:val="21"/>
                <w:szCs w:val="21"/>
                <w:lang w:val="lt-LT"/>
              </w:rPr>
              <w:t>2007-2013 m. ES finansiniu laikotarpiu per Vidaus reikalų ministerijos administruojamas ES SF priemones buvo remiama socialinio būsto plėtra ir daugiabučių namų renovacija probleminėse teritorijose. Šios VRM priemonės buvo įgyvendinamos subsidijų forma, tačiau pažymėtina, kad JESSICA KF ir VRM priemonės buvo įgyvendinamos skirtingose to paties sektoriaus srityse ir siekė skirtingų tikslų.</w:t>
            </w:r>
          </w:p>
        </w:tc>
      </w:tr>
      <w:tr w:rsidR="00477162" w:rsidRPr="003878A7" w14:paraId="040CC5FB" w14:textId="77777777" w:rsidTr="00477162">
        <w:tc>
          <w:tcPr>
            <w:tcW w:w="1809" w:type="dxa"/>
          </w:tcPr>
          <w:p w14:paraId="43D84E86" w14:textId="49F7FAF1" w:rsidR="00477162" w:rsidRPr="003878A7" w:rsidRDefault="00477162" w:rsidP="00AC7864">
            <w:pPr>
              <w:ind w:firstLine="0"/>
              <w:rPr>
                <w:rFonts w:cs="Times New Roman"/>
                <w:sz w:val="21"/>
                <w:szCs w:val="21"/>
                <w:lang w:val="lt-LT"/>
              </w:rPr>
            </w:pPr>
            <w:r w:rsidRPr="003878A7">
              <w:rPr>
                <w:rFonts w:cs="Times New Roman"/>
                <w:sz w:val="21"/>
                <w:szCs w:val="21"/>
                <w:lang w:val="lt-LT"/>
              </w:rPr>
              <w:t xml:space="preserve">JESSICA KF paskolos daugiabučių modernizavimo projektų </w:t>
            </w:r>
            <w:r w:rsidRPr="003878A7">
              <w:rPr>
                <w:rFonts w:cs="Times New Roman"/>
                <w:sz w:val="21"/>
                <w:szCs w:val="21"/>
                <w:lang w:val="lt-LT"/>
              </w:rPr>
              <w:lastRenderedPageBreak/>
              <w:t>įgyvendinimui buvo teikiamos lengvatinėmis sąlygomis</w:t>
            </w:r>
          </w:p>
        </w:tc>
        <w:tc>
          <w:tcPr>
            <w:tcW w:w="8045" w:type="dxa"/>
          </w:tcPr>
          <w:p w14:paraId="5C495348" w14:textId="08917B6B" w:rsidR="00477162" w:rsidRPr="003878A7" w:rsidRDefault="00477162" w:rsidP="00477162">
            <w:pPr>
              <w:ind w:firstLine="0"/>
              <w:rPr>
                <w:rFonts w:cs="Times New Roman"/>
                <w:sz w:val="21"/>
                <w:szCs w:val="21"/>
                <w:lang w:val="lt-LT"/>
              </w:rPr>
            </w:pPr>
            <w:r w:rsidRPr="003878A7">
              <w:rPr>
                <w:rFonts w:cs="Times New Roman"/>
                <w:sz w:val="21"/>
                <w:szCs w:val="21"/>
                <w:lang w:val="lt-LT"/>
              </w:rPr>
              <w:lastRenderedPageBreak/>
              <w:t>2014-2020 m. paskolų daugiabučių modernizavimo projektų įgyvendinimui teikimas tęsiamas JESSICA II fondų fondo (toliau – FF) bei DNMF lėšomis. Tai viešosios intervencijos forma, kadangi finansuotojai rinkoje daugiabučių modernizavimo projektus laiko vartojamosiomis paskolomis, nereikalauja užstato, bet siūlo didesnes palūkanų normas</w:t>
            </w:r>
          </w:p>
        </w:tc>
      </w:tr>
    </w:tbl>
    <w:p w14:paraId="3DA22FEC" w14:textId="77777777" w:rsidR="00477162" w:rsidRPr="003878A7" w:rsidRDefault="00477162" w:rsidP="00477162">
      <w:pPr>
        <w:spacing w:after="0"/>
        <w:rPr>
          <w:rFonts w:cs="Times New Roman"/>
          <w:sz w:val="20"/>
          <w:szCs w:val="20"/>
        </w:rPr>
      </w:pPr>
      <w:r w:rsidRPr="003878A7">
        <w:rPr>
          <w:rFonts w:cs="Times New Roman"/>
          <w:sz w:val="20"/>
          <w:szCs w:val="20"/>
        </w:rPr>
        <w:lastRenderedPageBreak/>
        <w:t>Šaltinis: sudaryta Vertintojų</w:t>
      </w:r>
    </w:p>
    <w:p w14:paraId="552B62F6" w14:textId="7CAED9BF" w:rsidR="00477162" w:rsidRPr="003878A7" w:rsidRDefault="00B22949" w:rsidP="00B22949">
      <w:pPr>
        <w:pStyle w:val="Heading3"/>
        <w:ind w:firstLine="426"/>
        <w:rPr>
          <w:rFonts w:cs="Times New Roman"/>
        </w:rPr>
      </w:pPr>
      <w:bookmarkStart w:id="28" w:name="_Toc70532873"/>
      <w:r w:rsidRPr="003878A7">
        <w:rPr>
          <w:rFonts w:cs="Times New Roman"/>
        </w:rPr>
        <w:t xml:space="preserve">3.3.2 </w:t>
      </w:r>
      <w:r w:rsidR="00477162" w:rsidRPr="003878A7">
        <w:rPr>
          <w:rFonts w:cs="Times New Roman"/>
        </w:rPr>
        <w:t>Viešųjų pastatų modernizavimo projektų suderinamumas su kitomis viešųjų intervencijų formomis</w:t>
      </w:r>
      <w:bookmarkEnd w:id="28"/>
    </w:p>
    <w:p w14:paraId="59D99BAF" w14:textId="14420947" w:rsidR="00477162" w:rsidRPr="003878A7" w:rsidRDefault="00477162" w:rsidP="00477162">
      <w:r w:rsidRPr="003878A7">
        <w:t>Viešųjų pastatų modernizavimas 2007-2013 m. periodu buvo įgyvendinamas per Ūkio ministerijos administruojamas ES SF priemones. Šios priemonės buvo įgyvendinamos subsidijų forma. 2014-2020 m. periodu per FP bus finansuojama viešųjų pastatų renovacija ir siekiama didinti pastatų energetinį efektyvumą. Tačiau verta paminėti ir kitokias priemones, susijusias su viešųjų pastatų atnaujinimu.</w:t>
      </w:r>
    </w:p>
    <w:p w14:paraId="0C366E2E" w14:textId="35E74567" w:rsidR="00477162" w:rsidRPr="003878A7" w:rsidRDefault="00477162" w:rsidP="00477162">
      <w:r w:rsidRPr="003878A7">
        <w:t>FM ir EM kartu su suinteresuotomis institucijomis išanalizavo</w:t>
      </w:r>
      <w:r w:rsidRPr="003878A7">
        <w:rPr>
          <w:rStyle w:val="FootnoteReference"/>
        </w:rPr>
        <w:footnoteReference w:id="6"/>
      </w:r>
      <w:r w:rsidRPr="003878A7">
        <w:t xml:space="preserve"> grąžintinos subsidijos modelį viešųjų pastatų modernizavimui. Grąžintina subsidija – tai toks subsidijos teikimo modelis, kuomet paramos gavėjas per finansavimo sutartyje numatytą laiką turi grąžinti gautą lėšų sumą. Grąžintina parama savo veikimo principais panaši į beprocentę paskolą. Apsprendus grąžintinos paramos modelį viešųjų pastatų modernizavimui, grąžintina parama būtų taikoma tam tikriems pastatams. Pažymėtina, jog tiek grąžintinos paramos, tiek FP taikymo tikslinė grupė yra ta pati – centrinės valdžios viešieji pastatai, todėl kyla rizika, kad šios dvi priemonės gali persidengti ir konkuruoti tarpusavyje. Siekiant to išvengti privaloma suformuluoti aiškius ir griežtus kriterijus, kuriais remiantis yra apsprendžiama, ar pastatui taikoma grąžintina parama, ar finansinė priemonė.</w:t>
      </w:r>
    </w:p>
    <w:p w14:paraId="1F2D99E1" w14:textId="34F9C01F" w:rsidR="00477162" w:rsidRPr="003878A7" w:rsidRDefault="00477162" w:rsidP="00477162">
      <w:r w:rsidRPr="003878A7">
        <w:t>Pagal VP 7.1 prioritetą planuojama remti senų viešųjų ar komercinės paskirties pastatų atnaujinimą miestų vietovėse, pritaikant juos naudojimui. Nors tai siejasi su VP 4.3 prioriteto viešųjų pastatų atnaujinimo veiklomis, šių priemonių tikslai ir tikslinės GNG yra skirtingos, todėl šios viešųjų intervencijų formos nekonkuruos tarpusavyje ir nepersidengs.</w:t>
      </w:r>
    </w:p>
    <w:p w14:paraId="7181C4A6" w14:textId="1CBD134C" w:rsidR="00477162" w:rsidRPr="003878A7" w:rsidRDefault="00477162" w:rsidP="00477162">
      <w:r w:rsidRPr="003878A7">
        <w:t>Dar viena viešųjų intervencijų forma viešųjų pastatų modernizavimo srityje yra Klimato kaitos programa. Klimato kaitos programos lėšomis gali būti remiamas viešųjų pastatų modernizavimas, tačiau, analogiškai kaip ir daugiabučiuose, FP ir parama iš Klimato kaitos programos yra derinama tarpusavyje. Taip užtikrinama, kad priemonės viena kitą papildo, o ne konkuruoja tarpusavyje.</w:t>
      </w:r>
    </w:p>
    <w:p w14:paraId="283A3702" w14:textId="0E862D41" w:rsidR="00477162" w:rsidRPr="003878A7" w:rsidRDefault="00B22949" w:rsidP="00B22949">
      <w:pPr>
        <w:pStyle w:val="Heading3"/>
        <w:ind w:firstLine="426"/>
        <w:rPr>
          <w:rFonts w:cs="Times New Roman"/>
        </w:rPr>
      </w:pPr>
      <w:bookmarkStart w:id="29" w:name="_Toc70532874"/>
      <w:r w:rsidRPr="003878A7">
        <w:rPr>
          <w:rFonts w:cs="Times New Roman"/>
        </w:rPr>
        <w:t xml:space="preserve">3.3.3 </w:t>
      </w:r>
      <w:r w:rsidR="00477162" w:rsidRPr="003878A7">
        <w:rPr>
          <w:rFonts w:cs="Times New Roman"/>
        </w:rPr>
        <w:t>Gatvių apšvietimo modernizavimo projektų suderinamumas su kitomis viešųjų intervencijų formomis</w:t>
      </w:r>
      <w:bookmarkEnd w:id="29"/>
    </w:p>
    <w:p w14:paraId="0291DE0E" w14:textId="6C00CFBD" w:rsidR="00AC7864" w:rsidRDefault="00477162" w:rsidP="00477162">
      <w:r w:rsidRPr="003878A7">
        <w:t>Gatvių apšvietimo projektai 2007-2013 m. ES finansiniu laikotarpiu remiami nebuvo, kitokių viešosios intervencijos formų šiai sričiai nėra, todėl planuojami remti gatvių apšvietimo modernizavimo projektai neturi būti derinami su kitomis viešųjų intervencijų formomis.</w:t>
      </w:r>
    </w:p>
    <w:p w14:paraId="6E619BD6" w14:textId="78309EA5" w:rsidR="00095C84" w:rsidRPr="003878A7" w:rsidRDefault="00095C84" w:rsidP="00B22949">
      <w:pPr>
        <w:pStyle w:val="Heading1"/>
        <w:numPr>
          <w:ilvl w:val="0"/>
          <w:numId w:val="3"/>
        </w:numPr>
        <w:rPr>
          <w:rFonts w:cs="Times New Roman"/>
        </w:rPr>
      </w:pPr>
      <w:bookmarkStart w:id="30" w:name="_Toc62131231"/>
      <w:bookmarkStart w:id="31" w:name="_Toc70532875"/>
      <w:r w:rsidRPr="003878A7">
        <w:rPr>
          <w:rFonts w:cs="Times New Roman"/>
        </w:rPr>
        <w:t>Papildomų viešųjų ir privačiųjų lėšų apskaičiavimas</w:t>
      </w:r>
      <w:bookmarkEnd w:id="30"/>
      <w:bookmarkEnd w:id="31"/>
    </w:p>
    <w:p w14:paraId="01FFBDA5" w14:textId="7C3A073C" w:rsidR="005C4B70" w:rsidRPr="003878A7" w:rsidRDefault="005C4B70" w:rsidP="005C4B70">
      <w:pPr>
        <w:rPr>
          <w:rFonts w:cs="Times New Roman"/>
        </w:rPr>
      </w:pPr>
      <w:r w:rsidRPr="003878A7">
        <w:rPr>
          <w:rFonts w:cs="Times New Roman"/>
        </w:rPr>
        <w:t xml:space="preserve">Šiame skyriuje identifikuojamos ir analizuojamos galimybės pritraukti privačias lėšas finansuojant daugiabučių, </w:t>
      </w:r>
      <w:r w:rsidR="00477162" w:rsidRPr="003878A7">
        <w:rPr>
          <w:rFonts w:cs="Times New Roman"/>
        </w:rPr>
        <w:t xml:space="preserve">centrinės valdžios </w:t>
      </w:r>
      <w:r w:rsidRPr="003878A7">
        <w:rPr>
          <w:rFonts w:cs="Times New Roman"/>
        </w:rPr>
        <w:t>viešųjų pastatų ir gatvių apšvietimo atnaujinimo projektus.</w:t>
      </w:r>
    </w:p>
    <w:p w14:paraId="0496C5C8" w14:textId="5356B3B8" w:rsidR="00152D1A" w:rsidRPr="003878A7" w:rsidRDefault="00152D1A" w:rsidP="00B22949">
      <w:pPr>
        <w:pStyle w:val="Heading2"/>
        <w:numPr>
          <w:ilvl w:val="1"/>
          <w:numId w:val="3"/>
        </w:numPr>
        <w:ind w:left="709" w:hanging="425"/>
        <w:rPr>
          <w:rFonts w:cs="Times New Roman"/>
        </w:rPr>
      </w:pPr>
      <w:bookmarkStart w:id="32" w:name="_Toc70532876"/>
      <w:r w:rsidRPr="003878A7">
        <w:rPr>
          <w:rFonts w:cs="Times New Roman"/>
        </w:rPr>
        <w:t>Lėšų šaltinių identifikavimas</w:t>
      </w:r>
      <w:bookmarkEnd w:id="32"/>
    </w:p>
    <w:p w14:paraId="13807AC1" w14:textId="254F02C0" w:rsidR="00152D1A" w:rsidRPr="003878A7" w:rsidRDefault="00152D1A" w:rsidP="00152D1A">
      <w:pPr>
        <w:ind w:firstLine="0"/>
        <w:rPr>
          <w:rFonts w:cs="Times New Roman"/>
          <w:i/>
          <w:iCs/>
        </w:rPr>
      </w:pPr>
      <w:r w:rsidRPr="003878A7">
        <w:rPr>
          <w:rFonts w:cs="Times New Roman"/>
          <w:i/>
          <w:iCs/>
        </w:rPr>
        <w:t xml:space="preserve">Lentelė Nr. </w:t>
      </w:r>
      <w:r w:rsidR="006D7B19">
        <w:rPr>
          <w:rFonts w:cs="Times New Roman"/>
          <w:i/>
          <w:iCs/>
        </w:rPr>
        <w:t>9.</w:t>
      </w:r>
      <w:r w:rsidRPr="003878A7">
        <w:rPr>
          <w:rFonts w:cs="Times New Roman"/>
          <w:i/>
          <w:iCs/>
        </w:rPr>
        <w:t xml:space="preserve"> Lėšų šaltinių identifikavimas</w:t>
      </w:r>
    </w:p>
    <w:tbl>
      <w:tblPr>
        <w:tblStyle w:val="TableGrid"/>
        <w:tblW w:w="5000" w:type="pct"/>
        <w:tblLook w:val="04A0" w:firstRow="1" w:lastRow="0" w:firstColumn="1" w:lastColumn="0" w:noHBand="0" w:noVBand="1"/>
      </w:tblPr>
      <w:tblGrid>
        <w:gridCol w:w="2836"/>
        <w:gridCol w:w="7018"/>
      </w:tblGrid>
      <w:tr w:rsidR="005C4B70" w:rsidRPr="003878A7" w14:paraId="1891ACD9" w14:textId="77777777" w:rsidTr="0078357A">
        <w:tc>
          <w:tcPr>
            <w:tcW w:w="1439" w:type="pct"/>
          </w:tcPr>
          <w:p w14:paraId="74C5E468" w14:textId="77777777" w:rsidR="005C4B70" w:rsidRPr="003878A7" w:rsidRDefault="005C4B70" w:rsidP="005459DB">
            <w:pPr>
              <w:pStyle w:val="BodyText"/>
              <w:spacing w:after="0" w:line="240" w:lineRule="auto"/>
              <w:rPr>
                <w:b/>
                <w:bCs/>
                <w:sz w:val="21"/>
                <w:szCs w:val="21"/>
                <w:lang w:val="lt-LT"/>
              </w:rPr>
            </w:pPr>
            <w:r w:rsidRPr="003878A7">
              <w:rPr>
                <w:b/>
                <w:bCs/>
                <w:sz w:val="21"/>
                <w:szCs w:val="21"/>
                <w:lang w:val="lt-LT"/>
              </w:rPr>
              <w:t>Papildomi finansavimo šaltiniai</w:t>
            </w:r>
          </w:p>
        </w:tc>
        <w:tc>
          <w:tcPr>
            <w:tcW w:w="3561" w:type="pct"/>
          </w:tcPr>
          <w:p w14:paraId="66D871C6" w14:textId="77777777" w:rsidR="005C4B70" w:rsidRPr="003878A7" w:rsidRDefault="005C4B70" w:rsidP="005459DB">
            <w:pPr>
              <w:pStyle w:val="BodyText"/>
              <w:spacing w:after="0" w:line="240" w:lineRule="auto"/>
              <w:rPr>
                <w:b/>
                <w:bCs/>
                <w:sz w:val="21"/>
                <w:szCs w:val="21"/>
                <w:lang w:val="lt-LT"/>
              </w:rPr>
            </w:pPr>
            <w:r w:rsidRPr="003878A7">
              <w:rPr>
                <w:b/>
                <w:bCs/>
                <w:sz w:val="21"/>
                <w:szCs w:val="21"/>
                <w:lang w:val="lt-LT"/>
              </w:rPr>
              <w:t>Trumpas aprašymas</w:t>
            </w:r>
          </w:p>
        </w:tc>
      </w:tr>
      <w:tr w:rsidR="005C4B70" w:rsidRPr="003878A7" w14:paraId="3BCB0803" w14:textId="77777777" w:rsidTr="0078357A">
        <w:tc>
          <w:tcPr>
            <w:tcW w:w="1439" w:type="pct"/>
          </w:tcPr>
          <w:p w14:paraId="27A0B43C" w14:textId="77777777" w:rsidR="005C4B70" w:rsidRPr="003878A7" w:rsidRDefault="005C4B70" w:rsidP="005459DB">
            <w:pPr>
              <w:pStyle w:val="BodyText"/>
              <w:spacing w:after="0" w:line="240" w:lineRule="auto"/>
              <w:rPr>
                <w:b/>
                <w:sz w:val="21"/>
                <w:szCs w:val="21"/>
                <w:lang w:val="lt-LT"/>
              </w:rPr>
            </w:pPr>
            <w:r w:rsidRPr="003878A7">
              <w:rPr>
                <w:b/>
                <w:sz w:val="21"/>
                <w:szCs w:val="21"/>
                <w:lang w:val="lt-LT"/>
              </w:rPr>
              <w:t xml:space="preserve">Kitos valstybės paramos programos </w:t>
            </w:r>
          </w:p>
        </w:tc>
        <w:tc>
          <w:tcPr>
            <w:tcW w:w="3561" w:type="pct"/>
          </w:tcPr>
          <w:p w14:paraId="1B64C42C" w14:textId="20B2C0F8" w:rsidR="00D94E34" w:rsidRPr="003878A7" w:rsidRDefault="005C4B70" w:rsidP="000E0914">
            <w:pPr>
              <w:pStyle w:val="BodyText"/>
              <w:spacing w:after="0" w:line="240" w:lineRule="auto"/>
              <w:rPr>
                <w:sz w:val="21"/>
                <w:szCs w:val="21"/>
                <w:lang w:val="lt-LT"/>
              </w:rPr>
            </w:pPr>
            <w:r w:rsidRPr="003878A7">
              <w:rPr>
                <w:sz w:val="21"/>
                <w:szCs w:val="21"/>
                <w:lang w:val="lt-LT"/>
              </w:rPr>
              <w:t xml:space="preserve">Klimato Kaitos Fondas, administruojamas </w:t>
            </w:r>
            <w:r w:rsidR="00152D1A" w:rsidRPr="003878A7">
              <w:rPr>
                <w:sz w:val="21"/>
                <w:szCs w:val="21"/>
                <w:lang w:val="lt-LT"/>
              </w:rPr>
              <w:t>AM.</w:t>
            </w:r>
            <w:r w:rsidR="000E0914" w:rsidRPr="003878A7">
              <w:rPr>
                <w:sz w:val="21"/>
                <w:szCs w:val="21"/>
                <w:lang w:val="lt-LT"/>
              </w:rPr>
              <w:t xml:space="preserve"> </w:t>
            </w:r>
          </w:p>
          <w:p w14:paraId="5B2F2C80" w14:textId="1A6E7AAB" w:rsidR="00152D1A" w:rsidRPr="003878A7" w:rsidRDefault="000E0914" w:rsidP="000E0914">
            <w:pPr>
              <w:pStyle w:val="BodyText"/>
              <w:spacing w:after="0" w:line="240" w:lineRule="auto"/>
              <w:rPr>
                <w:sz w:val="21"/>
                <w:szCs w:val="21"/>
                <w:lang w:val="lt-LT"/>
              </w:rPr>
            </w:pPr>
            <w:r w:rsidRPr="003878A7">
              <w:rPr>
                <w:sz w:val="21"/>
                <w:szCs w:val="21"/>
                <w:lang w:val="lt-LT"/>
              </w:rPr>
              <w:t xml:space="preserve">Remiantis </w:t>
            </w:r>
            <w:r w:rsidR="00152D1A" w:rsidRPr="003878A7">
              <w:rPr>
                <w:sz w:val="21"/>
                <w:szCs w:val="21"/>
                <w:lang w:val="lt-LT"/>
              </w:rPr>
              <w:t>pakoreguoto</w:t>
            </w:r>
            <w:r w:rsidRPr="003878A7">
              <w:rPr>
                <w:sz w:val="21"/>
                <w:szCs w:val="21"/>
                <w:lang w:val="lt-LT"/>
              </w:rPr>
              <w:t>mis</w:t>
            </w:r>
            <w:r w:rsidR="00152D1A" w:rsidRPr="003878A7">
              <w:rPr>
                <w:sz w:val="21"/>
                <w:szCs w:val="21"/>
                <w:lang w:val="lt-LT"/>
              </w:rPr>
              <w:t xml:space="preserve"> valstybės paramos daugiabučių namų modernizavimui teikimo taisykl</w:t>
            </w:r>
            <w:r w:rsidRPr="003878A7">
              <w:rPr>
                <w:sz w:val="21"/>
                <w:szCs w:val="21"/>
                <w:lang w:val="lt-LT"/>
              </w:rPr>
              <w:t>ėmis</w:t>
            </w:r>
            <w:r w:rsidR="00152D1A" w:rsidRPr="003878A7">
              <w:rPr>
                <w:sz w:val="21"/>
                <w:szCs w:val="21"/>
                <w:lang w:val="lt-LT"/>
              </w:rPr>
              <w:t xml:space="preserve">, valstybės parama yra palaipsniui mažinama. </w:t>
            </w:r>
          </w:p>
        </w:tc>
      </w:tr>
      <w:tr w:rsidR="005C4B70" w:rsidRPr="003878A7" w14:paraId="65D8A362" w14:textId="77777777" w:rsidTr="0078357A">
        <w:tc>
          <w:tcPr>
            <w:tcW w:w="1439" w:type="pct"/>
          </w:tcPr>
          <w:p w14:paraId="76FF28F0" w14:textId="77777777" w:rsidR="005C4B70" w:rsidRPr="003878A7" w:rsidRDefault="005C4B70" w:rsidP="005459DB">
            <w:pPr>
              <w:pStyle w:val="BodyText"/>
              <w:spacing w:after="0" w:line="240" w:lineRule="auto"/>
              <w:rPr>
                <w:b/>
                <w:sz w:val="21"/>
                <w:szCs w:val="21"/>
                <w:lang w:val="lt-LT"/>
              </w:rPr>
            </w:pPr>
            <w:r w:rsidRPr="003878A7">
              <w:rPr>
                <w:b/>
                <w:sz w:val="21"/>
                <w:szCs w:val="21"/>
                <w:lang w:val="lt-LT"/>
              </w:rPr>
              <w:t>ES programos</w:t>
            </w:r>
          </w:p>
        </w:tc>
        <w:tc>
          <w:tcPr>
            <w:tcW w:w="3561" w:type="pct"/>
          </w:tcPr>
          <w:p w14:paraId="0E5BA26C" w14:textId="77777777" w:rsidR="000C2D2B" w:rsidRPr="003878A7" w:rsidRDefault="005C4B70" w:rsidP="000C2D2B">
            <w:pPr>
              <w:pStyle w:val="BodyText"/>
              <w:spacing w:after="0" w:line="240" w:lineRule="auto"/>
              <w:rPr>
                <w:sz w:val="21"/>
                <w:szCs w:val="21"/>
                <w:lang w:val="lt-LT"/>
              </w:rPr>
            </w:pPr>
            <w:r w:rsidRPr="003878A7">
              <w:rPr>
                <w:sz w:val="21"/>
                <w:szCs w:val="21"/>
                <w:lang w:val="lt-LT"/>
              </w:rPr>
              <w:t>Europos infrastruktūros priemonė (angl. CEF)</w:t>
            </w:r>
          </w:p>
          <w:p w14:paraId="42A6BBA2" w14:textId="77777777" w:rsidR="000C2D2B" w:rsidRPr="003878A7" w:rsidRDefault="005C4B70" w:rsidP="000C2D2B">
            <w:pPr>
              <w:pStyle w:val="BodyText"/>
              <w:spacing w:after="0" w:line="240" w:lineRule="auto"/>
              <w:rPr>
                <w:sz w:val="21"/>
                <w:szCs w:val="21"/>
                <w:lang w:val="lt-LT"/>
              </w:rPr>
            </w:pPr>
            <w:r w:rsidRPr="003878A7">
              <w:rPr>
                <w:sz w:val="21"/>
                <w:szCs w:val="21"/>
                <w:lang w:val="lt-LT"/>
              </w:rPr>
              <w:t>Pažangi energetika Europai (angl. IEE)</w:t>
            </w:r>
          </w:p>
          <w:p w14:paraId="660E9FF5" w14:textId="77777777" w:rsidR="000C2D2B" w:rsidRPr="003878A7" w:rsidRDefault="005C4B70" w:rsidP="000C2D2B">
            <w:pPr>
              <w:pStyle w:val="BodyText"/>
              <w:spacing w:after="0" w:line="240" w:lineRule="auto"/>
              <w:rPr>
                <w:sz w:val="21"/>
                <w:szCs w:val="21"/>
                <w:lang w:val="lt-LT"/>
              </w:rPr>
            </w:pPr>
            <w:r w:rsidRPr="003878A7">
              <w:rPr>
                <w:sz w:val="21"/>
                <w:szCs w:val="21"/>
                <w:lang w:val="lt-LT"/>
              </w:rPr>
              <w:t>Horizontas 2020</w:t>
            </w:r>
          </w:p>
          <w:p w14:paraId="23F9E61F" w14:textId="77777777" w:rsidR="000C2D2B" w:rsidRPr="003878A7" w:rsidRDefault="005C4B70" w:rsidP="000C2D2B">
            <w:pPr>
              <w:pStyle w:val="BodyText"/>
              <w:spacing w:after="0" w:line="240" w:lineRule="auto"/>
              <w:rPr>
                <w:sz w:val="21"/>
                <w:szCs w:val="21"/>
                <w:lang w:val="lt-LT"/>
              </w:rPr>
            </w:pPr>
            <w:r w:rsidRPr="003878A7">
              <w:rPr>
                <w:sz w:val="21"/>
                <w:szCs w:val="21"/>
                <w:lang w:val="lt-LT"/>
              </w:rPr>
              <w:lastRenderedPageBreak/>
              <w:t>EBI-ELENA, KfW-ELENA</w:t>
            </w:r>
          </w:p>
          <w:p w14:paraId="2AC0BDE7" w14:textId="77777777" w:rsidR="000C2D2B" w:rsidRPr="003878A7" w:rsidRDefault="005C4B70" w:rsidP="000C2D2B">
            <w:pPr>
              <w:pStyle w:val="BodyText"/>
              <w:spacing w:after="0" w:line="240" w:lineRule="auto"/>
              <w:rPr>
                <w:sz w:val="21"/>
                <w:szCs w:val="21"/>
                <w:lang w:val="lt-LT"/>
              </w:rPr>
            </w:pPr>
            <w:r w:rsidRPr="003878A7">
              <w:rPr>
                <w:sz w:val="21"/>
                <w:szCs w:val="21"/>
                <w:lang w:val="lt-LT"/>
              </w:rPr>
              <w:t>LIFE+</w:t>
            </w:r>
            <w:r w:rsidR="00D94E34" w:rsidRPr="003878A7">
              <w:rPr>
                <w:sz w:val="21"/>
                <w:szCs w:val="21"/>
                <w:lang w:val="lt-LT"/>
              </w:rPr>
              <w:t xml:space="preserve"> </w:t>
            </w:r>
            <w:r w:rsidRPr="003878A7">
              <w:rPr>
                <w:sz w:val="21"/>
                <w:szCs w:val="21"/>
                <w:lang w:val="lt-LT"/>
              </w:rPr>
              <w:t>Programa (2014-2020)</w:t>
            </w:r>
          </w:p>
          <w:p w14:paraId="35D274D3" w14:textId="7FB6BE62" w:rsidR="005C4B70" w:rsidRPr="003878A7" w:rsidRDefault="005C4B70" w:rsidP="000C2D2B">
            <w:pPr>
              <w:pStyle w:val="BodyText"/>
              <w:spacing w:after="0" w:line="240" w:lineRule="auto"/>
              <w:rPr>
                <w:sz w:val="21"/>
                <w:szCs w:val="21"/>
                <w:lang w:val="lt-LT"/>
              </w:rPr>
            </w:pPr>
            <w:proofErr w:type="spellStart"/>
            <w:r w:rsidRPr="003878A7">
              <w:rPr>
                <w:sz w:val="21"/>
                <w:szCs w:val="21"/>
                <w:lang w:val="lt-LT"/>
              </w:rPr>
              <w:t>Marguerite</w:t>
            </w:r>
            <w:proofErr w:type="spellEnd"/>
            <w:r w:rsidR="000C2D2B" w:rsidRPr="003878A7">
              <w:rPr>
                <w:sz w:val="21"/>
                <w:szCs w:val="21"/>
                <w:lang w:val="lt-LT"/>
              </w:rPr>
              <w:t xml:space="preserve"> </w:t>
            </w:r>
            <w:r w:rsidRPr="003878A7">
              <w:rPr>
                <w:sz w:val="21"/>
                <w:szCs w:val="21"/>
                <w:lang w:val="lt-LT"/>
              </w:rPr>
              <w:t>fondas</w:t>
            </w:r>
          </w:p>
        </w:tc>
      </w:tr>
      <w:tr w:rsidR="005C4B70" w:rsidRPr="003878A7" w14:paraId="20F18CB8" w14:textId="77777777" w:rsidTr="0078357A">
        <w:tc>
          <w:tcPr>
            <w:tcW w:w="1439" w:type="pct"/>
          </w:tcPr>
          <w:p w14:paraId="4300D38C" w14:textId="77777777" w:rsidR="005C4B70" w:rsidRPr="003878A7" w:rsidRDefault="005C4B70" w:rsidP="005459DB">
            <w:pPr>
              <w:pStyle w:val="BodyText"/>
              <w:spacing w:after="0" w:line="240" w:lineRule="auto"/>
              <w:rPr>
                <w:b/>
                <w:sz w:val="21"/>
                <w:szCs w:val="21"/>
                <w:lang w:val="lt-LT"/>
              </w:rPr>
            </w:pPr>
            <w:r w:rsidRPr="003878A7">
              <w:rPr>
                <w:b/>
                <w:sz w:val="21"/>
                <w:szCs w:val="21"/>
                <w:lang w:val="lt-LT"/>
              </w:rPr>
              <w:lastRenderedPageBreak/>
              <w:t>Privatus sektorius</w:t>
            </w:r>
          </w:p>
        </w:tc>
        <w:tc>
          <w:tcPr>
            <w:tcW w:w="3561" w:type="pct"/>
          </w:tcPr>
          <w:p w14:paraId="73184E25" w14:textId="77777777" w:rsidR="000E0914" w:rsidRPr="003878A7" w:rsidRDefault="005C4B70" w:rsidP="000C2D2B">
            <w:pPr>
              <w:pStyle w:val="BodyText"/>
              <w:spacing w:after="0" w:line="240" w:lineRule="auto"/>
              <w:rPr>
                <w:sz w:val="21"/>
                <w:szCs w:val="21"/>
                <w:lang w:val="lt-LT"/>
              </w:rPr>
            </w:pPr>
            <w:r w:rsidRPr="003878A7">
              <w:rPr>
                <w:sz w:val="21"/>
                <w:szCs w:val="21"/>
                <w:lang w:val="lt-LT"/>
              </w:rPr>
              <w:t>Tarptautin</w:t>
            </w:r>
            <w:r w:rsidR="000E0914" w:rsidRPr="003878A7">
              <w:rPr>
                <w:sz w:val="21"/>
                <w:szCs w:val="21"/>
                <w:lang w:val="lt-LT"/>
              </w:rPr>
              <w:t>ių</w:t>
            </w:r>
            <w:r w:rsidRPr="003878A7">
              <w:rPr>
                <w:sz w:val="21"/>
                <w:szCs w:val="21"/>
                <w:lang w:val="lt-LT"/>
              </w:rPr>
              <w:t xml:space="preserve"> finansin</w:t>
            </w:r>
            <w:r w:rsidR="000E0914" w:rsidRPr="003878A7">
              <w:rPr>
                <w:sz w:val="21"/>
                <w:szCs w:val="21"/>
                <w:lang w:val="lt-LT"/>
              </w:rPr>
              <w:t>ių</w:t>
            </w:r>
            <w:r w:rsidRPr="003878A7">
              <w:rPr>
                <w:sz w:val="21"/>
                <w:szCs w:val="21"/>
                <w:lang w:val="lt-LT"/>
              </w:rPr>
              <w:t xml:space="preserve"> institucij</w:t>
            </w:r>
            <w:r w:rsidR="000E0914" w:rsidRPr="003878A7">
              <w:rPr>
                <w:sz w:val="21"/>
                <w:szCs w:val="21"/>
                <w:lang w:val="lt-LT"/>
              </w:rPr>
              <w:t>ų</w:t>
            </w:r>
            <w:r w:rsidRPr="003878A7">
              <w:rPr>
                <w:sz w:val="21"/>
                <w:szCs w:val="21"/>
                <w:lang w:val="lt-LT"/>
              </w:rPr>
              <w:t xml:space="preserve"> (EPRB, ŠIB, EIB)</w:t>
            </w:r>
            <w:r w:rsidR="000E0914" w:rsidRPr="003878A7">
              <w:rPr>
                <w:sz w:val="21"/>
                <w:szCs w:val="21"/>
                <w:lang w:val="lt-LT"/>
              </w:rPr>
              <w:t xml:space="preserve"> investicijos</w:t>
            </w:r>
          </w:p>
          <w:p w14:paraId="787650AB" w14:textId="77777777" w:rsidR="000E0914" w:rsidRPr="003878A7" w:rsidRDefault="005C4B70" w:rsidP="000C2D2B">
            <w:pPr>
              <w:pStyle w:val="BodyText"/>
              <w:spacing w:after="0" w:line="240" w:lineRule="auto"/>
              <w:rPr>
                <w:sz w:val="21"/>
                <w:szCs w:val="21"/>
                <w:lang w:val="lt-LT"/>
              </w:rPr>
            </w:pPr>
            <w:r w:rsidRPr="003878A7">
              <w:rPr>
                <w:sz w:val="21"/>
                <w:szCs w:val="21"/>
                <w:lang w:val="lt-LT"/>
              </w:rPr>
              <w:t>ESCO</w:t>
            </w:r>
          </w:p>
          <w:p w14:paraId="30CD0E6A" w14:textId="77777777" w:rsidR="000E0914" w:rsidRPr="003878A7" w:rsidRDefault="000E0914" w:rsidP="000C2D2B">
            <w:pPr>
              <w:pStyle w:val="BodyText"/>
              <w:spacing w:after="0" w:line="240" w:lineRule="auto"/>
              <w:rPr>
                <w:sz w:val="21"/>
                <w:szCs w:val="21"/>
                <w:lang w:val="lt-LT"/>
              </w:rPr>
            </w:pPr>
            <w:r w:rsidRPr="003878A7">
              <w:rPr>
                <w:sz w:val="21"/>
                <w:szCs w:val="21"/>
                <w:lang w:val="lt-LT"/>
              </w:rPr>
              <w:t>K</w:t>
            </w:r>
            <w:r w:rsidR="005C4B70" w:rsidRPr="003878A7">
              <w:rPr>
                <w:sz w:val="21"/>
                <w:szCs w:val="21"/>
                <w:lang w:val="lt-LT"/>
              </w:rPr>
              <w:t>omerciniai bankai</w:t>
            </w:r>
          </w:p>
          <w:p w14:paraId="11C07FBF" w14:textId="17A6730C" w:rsidR="005C4B70" w:rsidRPr="003878A7" w:rsidRDefault="000E0914" w:rsidP="000C2D2B">
            <w:pPr>
              <w:pStyle w:val="BodyText"/>
              <w:spacing w:after="0" w:line="240" w:lineRule="auto"/>
              <w:rPr>
                <w:sz w:val="21"/>
                <w:szCs w:val="21"/>
                <w:lang w:val="lt-LT"/>
              </w:rPr>
            </w:pPr>
            <w:r w:rsidRPr="003878A7">
              <w:rPr>
                <w:sz w:val="21"/>
                <w:szCs w:val="21"/>
                <w:lang w:val="lt-LT"/>
              </w:rPr>
              <w:t>I</w:t>
            </w:r>
            <w:r w:rsidR="005C4B70" w:rsidRPr="003878A7">
              <w:rPr>
                <w:sz w:val="21"/>
                <w:szCs w:val="21"/>
                <w:lang w:val="lt-LT"/>
              </w:rPr>
              <w:t xml:space="preserve">nfrastruktūros fondai investuojantys į energetikos efektyvumo sritį </w:t>
            </w:r>
            <w:r w:rsidRPr="003878A7">
              <w:rPr>
                <w:sz w:val="21"/>
                <w:szCs w:val="21"/>
                <w:lang w:val="lt-LT"/>
              </w:rPr>
              <w:t>(</w:t>
            </w:r>
            <w:proofErr w:type="spellStart"/>
            <w:r w:rsidRPr="003878A7">
              <w:rPr>
                <w:sz w:val="21"/>
                <w:szCs w:val="21"/>
                <w:lang w:val="lt-LT"/>
              </w:rPr>
              <w:t>BaltCap</w:t>
            </w:r>
            <w:proofErr w:type="spellEnd"/>
            <w:r w:rsidRPr="003878A7">
              <w:rPr>
                <w:sz w:val="21"/>
                <w:szCs w:val="21"/>
                <w:lang w:val="lt-LT"/>
              </w:rPr>
              <w:t xml:space="preserve"> infrastruktūros fondas, </w:t>
            </w:r>
            <w:proofErr w:type="spellStart"/>
            <w:r w:rsidRPr="003878A7">
              <w:rPr>
                <w:sz w:val="21"/>
                <w:szCs w:val="21"/>
                <w:lang w:val="lt-LT"/>
              </w:rPr>
              <w:t>Lords</w:t>
            </w:r>
            <w:proofErr w:type="spellEnd"/>
            <w:r w:rsidRPr="003878A7">
              <w:rPr>
                <w:sz w:val="21"/>
                <w:szCs w:val="21"/>
                <w:lang w:val="lt-LT"/>
              </w:rPr>
              <w:t xml:space="preserve"> LB Energy </w:t>
            </w:r>
            <w:proofErr w:type="spellStart"/>
            <w:r w:rsidRPr="003878A7">
              <w:rPr>
                <w:sz w:val="21"/>
                <w:szCs w:val="21"/>
                <w:lang w:val="lt-LT"/>
              </w:rPr>
              <w:t>and</w:t>
            </w:r>
            <w:proofErr w:type="spellEnd"/>
            <w:r w:rsidRPr="003878A7">
              <w:rPr>
                <w:sz w:val="21"/>
                <w:szCs w:val="21"/>
                <w:lang w:val="lt-LT"/>
              </w:rPr>
              <w:t xml:space="preserve"> </w:t>
            </w:r>
            <w:proofErr w:type="spellStart"/>
            <w:r w:rsidRPr="003878A7">
              <w:rPr>
                <w:sz w:val="21"/>
                <w:szCs w:val="21"/>
                <w:lang w:val="lt-LT"/>
              </w:rPr>
              <w:t>Infrastructure</w:t>
            </w:r>
            <w:proofErr w:type="spellEnd"/>
            <w:r w:rsidRPr="003878A7">
              <w:rPr>
                <w:sz w:val="21"/>
                <w:szCs w:val="21"/>
                <w:lang w:val="lt-LT"/>
              </w:rPr>
              <w:t xml:space="preserve"> SME </w:t>
            </w:r>
            <w:proofErr w:type="spellStart"/>
            <w:r w:rsidRPr="003878A7">
              <w:rPr>
                <w:sz w:val="21"/>
                <w:szCs w:val="21"/>
                <w:lang w:val="lt-LT"/>
              </w:rPr>
              <w:t>Fund</w:t>
            </w:r>
            <w:proofErr w:type="spellEnd"/>
            <w:r w:rsidRPr="003878A7">
              <w:rPr>
                <w:sz w:val="21"/>
                <w:szCs w:val="21"/>
                <w:lang w:val="lt-LT"/>
              </w:rPr>
              <w:t>, Baltijos energetikos ir infrastruktūros fondas)</w:t>
            </w:r>
          </w:p>
        </w:tc>
      </w:tr>
      <w:tr w:rsidR="005C4B70" w:rsidRPr="003878A7" w14:paraId="0E0BBEEA" w14:textId="77777777" w:rsidTr="0078357A">
        <w:tc>
          <w:tcPr>
            <w:tcW w:w="1439" w:type="pct"/>
          </w:tcPr>
          <w:p w14:paraId="6DB02983" w14:textId="77777777" w:rsidR="005C4B70" w:rsidRPr="003878A7" w:rsidRDefault="005C4B70" w:rsidP="005459DB">
            <w:pPr>
              <w:pStyle w:val="BodyText"/>
              <w:spacing w:after="0" w:line="240" w:lineRule="auto"/>
              <w:rPr>
                <w:b/>
                <w:sz w:val="21"/>
                <w:szCs w:val="21"/>
                <w:lang w:val="lt-LT"/>
              </w:rPr>
            </w:pPr>
            <w:r w:rsidRPr="003878A7">
              <w:rPr>
                <w:b/>
                <w:sz w:val="21"/>
                <w:szCs w:val="21"/>
                <w:lang w:val="lt-LT"/>
              </w:rPr>
              <w:t>Grįžtančios lėšos</w:t>
            </w:r>
          </w:p>
        </w:tc>
        <w:tc>
          <w:tcPr>
            <w:tcW w:w="3561" w:type="pct"/>
          </w:tcPr>
          <w:p w14:paraId="1A35690C" w14:textId="4C971BBA" w:rsidR="005C4B70" w:rsidRPr="003878A7" w:rsidRDefault="005C4B70" w:rsidP="005459DB">
            <w:pPr>
              <w:pStyle w:val="BodyText"/>
              <w:spacing w:after="0" w:line="240" w:lineRule="auto"/>
              <w:rPr>
                <w:sz w:val="21"/>
                <w:szCs w:val="21"/>
                <w:lang w:val="lt-LT"/>
              </w:rPr>
            </w:pPr>
            <w:r w:rsidRPr="003878A7">
              <w:rPr>
                <w:sz w:val="21"/>
                <w:szCs w:val="21"/>
                <w:lang w:val="lt-LT"/>
              </w:rPr>
              <w:t xml:space="preserve">Lėšos grįžusios per </w:t>
            </w:r>
            <w:r w:rsidR="000C2D2B" w:rsidRPr="003878A7">
              <w:rPr>
                <w:sz w:val="21"/>
                <w:szCs w:val="21"/>
                <w:lang w:val="lt-LT"/>
              </w:rPr>
              <w:t>FP</w:t>
            </w:r>
            <w:r w:rsidRPr="003878A7">
              <w:rPr>
                <w:sz w:val="21"/>
                <w:szCs w:val="21"/>
                <w:lang w:val="lt-LT"/>
              </w:rPr>
              <w:t xml:space="preserve"> įgyvendintas ankstesniame laikotarpyje, pvz. JESSICA KF, DNMF ir kt. </w:t>
            </w:r>
          </w:p>
        </w:tc>
      </w:tr>
    </w:tbl>
    <w:p w14:paraId="5ECA531F" w14:textId="77777777" w:rsidR="00152D1A" w:rsidRPr="003878A7" w:rsidRDefault="00152D1A" w:rsidP="00152D1A">
      <w:pPr>
        <w:spacing w:after="0"/>
        <w:rPr>
          <w:rFonts w:cs="Times New Roman"/>
          <w:sz w:val="20"/>
          <w:szCs w:val="20"/>
        </w:rPr>
      </w:pPr>
      <w:bookmarkStart w:id="33" w:name="_Toc25594677"/>
      <w:r w:rsidRPr="003878A7">
        <w:rPr>
          <w:rFonts w:cs="Times New Roman"/>
          <w:sz w:val="20"/>
          <w:szCs w:val="20"/>
        </w:rPr>
        <w:t>Šaltinis: sudaryta Vertintojų</w:t>
      </w:r>
    </w:p>
    <w:p w14:paraId="1D0294A6" w14:textId="6ADEF9BD" w:rsidR="005C4B70" w:rsidRPr="003878A7" w:rsidRDefault="005459DB" w:rsidP="00B22949">
      <w:pPr>
        <w:pStyle w:val="Heading2"/>
        <w:tabs>
          <w:tab w:val="left" w:pos="0"/>
        </w:tabs>
        <w:ind w:firstLine="284"/>
        <w:rPr>
          <w:rFonts w:cs="Times New Roman"/>
        </w:rPr>
      </w:pPr>
      <w:bookmarkStart w:id="34" w:name="_Toc70532877"/>
      <w:r w:rsidRPr="003878A7">
        <w:rPr>
          <w:rFonts w:cs="Times New Roman"/>
        </w:rPr>
        <w:t>4.</w:t>
      </w:r>
      <w:r w:rsidR="00152D1A" w:rsidRPr="003878A7">
        <w:rPr>
          <w:rFonts w:cs="Times New Roman"/>
        </w:rPr>
        <w:t>2</w:t>
      </w:r>
      <w:r w:rsidRPr="003878A7">
        <w:rPr>
          <w:rFonts w:cs="Times New Roman"/>
        </w:rPr>
        <w:t xml:space="preserve"> </w:t>
      </w:r>
      <w:r w:rsidR="005C4B70" w:rsidRPr="003878A7">
        <w:rPr>
          <w:rFonts w:cs="Times New Roman"/>
        </w:rPr>
        <w:t>Skatinamųjų elementų  įvertinimas</w:t>
      </w:r>
      <w:bookmarkEnd w:id="33"/>
      <w:bookmarkEnd w:id="34"/>
    </w:p>
    <w:p w14:paraId="42E6FD3E" w14:textId="103C519D" w:rsidR="005C4B70" w:rsidRPr="003878A7" w:rsidRDefault="005C4B70" w:rsidP="000E0914">
      <w:pPr>
        <w:rPr>
          <w:rFonts w:cs="Times New Roman"/>
        </w:rPr>
      </w:pPr>
      <w:r w:rsidRPr="003878A7">
        <w:rPr>
          <w:rFonts w:cs="Times New Roman"/>
        </w:rPr>
        <w:t xml:space="preserve">Komercinių bankų, tarptautinių finansų institucijų, pensijų fondų apklausų metu buvo išsakytas susidomėjimas investuoti į </w:t>
      </w:r>
      <w:r w:rsidR="000E0914" w:rsidRPr="003878A7">
        <w:rPr>
          <w:rFonts w:cs="Times New Roman"/>
        </w:rPr>
        <w:t>EE</w:t>
      </w:r>
      <w:r w:rsidRPr="003878A7">
        <w:rPr>
          <w:rFonts w:cs="Times New Roman"/>
        </w:rPr>
        <w:t xml:space="preserve"> didinimo srities projektus. Nors šie investuotojai jau dabar prisideda prie pastatų energinio efektyvumo modernizavimo projektų (Šiaulių Bankas – Jessica II, E</w:t>
      </w:r>
      <w:r w:rsidR="00FD523F" w:rsidRPr="003878A7">
        <w:rPr>
          <w:rFonts w:cs="Times New Roman"/>
        </w:rPr>
        <w:t>PR</w:t>
      </w:r>
      <w:r w:rsidRPr="003878A7">
        <w:rPr>
          <w:rFonts w:cs="Times New Roman"/>
        </w:rPr>
        <w:t xml:space="preserve">B - DNMF), vis dėlto tai daugiausiai vyksta daugiabučių namų sektoriuje, kuriame jau yra susidaręs pakankamas projektų srautas, yra prieinama šių projektų kredito istorija, galima gana tiksliai įvertinti tokių projektų finansavimo rizikas. Privačių investicijų stygius yra taip pat sąlygotas tokių veiksnių kaip investicijų grąžos istorijos trūkumas, informacijos asimetrija, gerosios praktikos pavyzdžių trūkumas, reguliavimo apribojimai, maža projektų vertė ir kiekis ir kita. </w:t>
      </w:r>
    </w:p>
    <w:p w14:paraId="43895262" w14:textId="3ED988C4" w:rsidR="005C4B70" w:rsidRPr="003878A7" w:rsidRDefault="005C4B70" w:rsidP="000E0914">
      <w:pPr>
        <w:rPr>
          <w:rFonts w:cs="Times New Roman"/>
        </w:rPr>
      </w:pPr>
      <w:r w:rsidRPr="003878A7">
        <w:rPr>
          <w:rFonts w:cs="Times New Roman"/>
        </w:rPr>
        <w:t>Toliau šiame skyriuje yra nurodytos įvairios potencialių investuotojų skatinimo priemonės, kurios galėtų padėti pritraukti privačias investicijas bei kartu su ES</w:t>
      </w:r>
      <w:r w:rsidR="000E0914" w:rsidRPr="003878A7">
        <w:rPr>
          <w:rFonts w:cs="Times New Roman"/>
        </w:rPr>
        <w:t xml:space="preserve"> SF</w:t>
      </w:r>
      <w:r w:rsidRPr="003878A7">
        <w:rPr>
          <w:rFonts w:cs="Times New Roman"/>
        </w:rPr>
        <w:t xml:space="preserve"> fondų lėšomis sukurti didesnį sverto efektą, tuo pačiu ir projektų multiplikatorių. Skatinimo priemonės yra sugrupuotos pagal tai, į kokį lygmenį būtų siekiama pritraukti privačias lėšas. </w:t>
      </w:r>
    </w:p>
    <w:p w14:paraId="1C645CED" w14:textId="4FF46223" w:rsidR="000E0914" w:rsidRPr="003878A7" w:rsidRDefault="000E0914" w:rsidP="000E0914">
      <w:pPr>
        <w:ind w:firstLine="0"/>
        <w:rPr>
          <w:rFonts w:cs="Times New Roman"/>
          <w:i/>
          <w:iCs/>
        </w:rPr>
      </w:pPr>
      <w:r w:rsidRPr="003878A7">
        <w:rPr>
          <w:rFonts w:cs="Times New Roman"/>
          <w:i/>
          <w:iCs/>
        </w:rPr>
        <w:t xml:space="preserve">Lentelė Nr. </w:t>
      </w:r>
      <w:r w:rsidR="006D7B19">
        <w:rPr>
          <w:rFonts w:cs="Times New Roman"/>
          <w:i/>
          <w:iCs/>
        </w:rPr>
        <w:t>10.</w:t>
      </w:r>
      <w:r w:rsidRPr="003878A7">
        <w:rPr>
          <w:rFonts w:cs="Times New Roman"/>
          <w:i/>
          <w:iCs/>
        </w:rPr>
        <w:t xml:space="preserve"> Skatinamosios priemonės pritraukti papildomą finansavimą</w:t>
      </w:r>
    </w:p>
    <w:tbl>
      <w:tblPr>
        <w:tblStyle w:val="TableGrid"/>
        <w:tblW w:w="0" w:type="auto"/>
        <w:tblLook w:val="04A0" w:firstRow="1" w:lastRow="0" w:firstColumn="1" w:lastColumn="0" w:noHBand="0" w:noVBand="1"/>
      </w:tblPr>
      <w:tblGrid>
        <w:gridCol w:w="2518"/>
        <w:gridCol w:w="7336"/>
      </w:tblGrid>
      <w:tr w:rsidR="005C4B70" w:rsidRPr="003878A7" w14:paraId="3DF054A5" w14:textId="77777777" w:rsidTr="009E3F40">
        <w:tc>
          <w:tcPr>
            <w:tcW w:w="2518" w:type="dxa"/>
          </w:tcPr>
          <w:p w14:paraId="4BE8F1C9" w14:textId="20ED371E" w:rsidR="005C4B70" w:rsidRPr="003878A7" w:rsidRDefault="005C4B70" w:rsidP="009E3F40">
            <w:pPr>
              <w:spacing w:before="0" w:after="0"/>
              <w:ind w:firstLine="0"/>
              <w:rPr>
                <w:rFonts w:cs="Times New Roman"/>
                <w:b/>
                <w:bCs/>
                <w:sz w:val="21"/>
                <w:szCs w:val="21"/>
                <w:lang w:val="lt-LT"/>
              </w:rPr>
            </w:pPr>
            <w:r w:rsidRPr="003878A7">
              <w:rPr>
                <w:rFonts w:cs="Times New Roman"/>
                <w:b/>
                <w:bCs/>
                <w:sz w:val="21"/>
                <w:szCs w:val="21"/>
                <w:lang w:val="lt-LT"/>
              </w:rPr>
              <w:t>Skatinamasis lygmuo</w:t>
            </w:r>
          </w:p>
        </w:tc>
        <w:tc>
          <w:tcPr>
            <w:tcW w:w="7336" w:type="dxa"/>
          </w:tcPr>
          <w:p w14:paraId="4290894E" w14:textId="35D0B9D6" w:rsidR="005C4B70" w:rsidRPr="003878A7" w:rsidRDefault="005C4B70" w:rsidP="009E3F40">
            <w:pPr>
              <w:spacing w:before="0" w:after="0"/>
              <w:ind w:firstLine="0"/>
              <w:rPr>
                <w:rFonts w:cs="Times New Roman"/>
                <w:b/>
                <w:bCs/>
                <w:sz w:val="21"/>
                <w:szCs w:val="21"/>
                <w:lang w:val="lt-LT"/>
              </w:rPr>
            </w:pPr>
            <w:r w:rsidRPr="003878A7">
              <w:rPr>
                <w:rFonts w:cs="Times New Roman"/>
                <w:b/>
                <w:bCs/>
                <w:sz w:val="21"/>
                <w:szCs w:val="21"/>
                <w:lang w:val="lt-LT"/>
              </w:rPr>
              <w:t>Skatinamosios priemonės</w:t>
            </w:r>
          </w:p>
        </w:tc>
      </w:tr>
      <w:tr w:rsidR="005C4B70" w:rsidRPr="003878A7" w14:paraId="1893CE49" w14:textId="77777777" w:rsidTr="009E3F40">
        <w:tc>
          <w:tcPr>
            <w:tcW w:w="2518" w:type="dxa"/>
          </w:tcPr>
          <w:p w14:paraId="47EC1994" w14:textId="64174E28" w:rsidR="005C4B70" w:rsidRPr="003878A7" w:rsidRDefault="00D94E34" w:rsidP="009E3F40">
            <w:pPr>
              <w:spacing w:before="0" w:after="0"/>
              <w:ind w:firstLine="0"/>
              <w:rPr>
                <w:rFonts w:cs="Times New Roman"/>
                <w:sz w:val="21"/>
                <w:szCs w:val="21"/>
                <w:lang w:val="lt-LT"/>
              </w:rPr>
            </w:pPr>
            <w:r w:rsidRPr="003878A7">
              <w:rPr>
                <w:rFonts w:cs="Times New Roman"/>
                <w:sz w:val="21"/>
                <w:szCs w:val="21"/>
                <w:lang w:val="lt-LT"/>
              </w:rPr>
              <w:t>FF</w:t>
            </w:r>
            <w:r w:rsidR="005C4B70" w:rsidRPr="003878A7">
              <w:rPr>
                <w:rFonts w:cs="Times New Roman"/>
                <w:sz w:val="21"/>
                <w:szCs w:val="21"/>
                <w:lang w:val="lt-LT"/>
              </w:rPr>
              <w:t xml:space="preserve"> lygis</w:t>
            </w:r>
          </w:p>
        </w:tc>
        <w:tc>
          <w:tcPr>
            <w:tcW w:w="7336" w:type="dxa"/>
          </w:tcPr>
          <w:p w14:paraId="431EC470" w14:textId="77777777" w:rsidR="005C4B70" w:rsidRPr="003878A7" w:rsidRDefault="005C4B70" w:rsidP="00CB66B8">
            <w:pPr>
              <w:pStyle w:val="ListParagraph"/>
              <w:numPr>
                <w:ilvl w:val="0"/>
                <w:numId w:val="9"/>
              </w:numPr>
              <w:autoSpaceDE w:val="0"/>
              <w:autoSpaceDN w:val="0"/>
              <w:adjustRightInd w:val="0"/>
              <w:spacing w:before="0" w:after="0"/>
              <w:ind w:left="467"/>
              <w:rPr>
                <w:rFonts w:cs="Times New Roman"/>
                <w:sz w:val="21"/>
                <w:szCs w:val="21"/>
                <w:lang w:val="lt-LT"/>
              </w:rPr>
            </w:pPr>
            <w:r w:rsidRPr="003878A7">
              <w:rPr>
                <w:rFonts w:cs="Times New Roman"/>
                <w:sz w:val="21"/>
                <w:szCs w:val="21"/>
                <w:lang w:val="lt-LT"/>
              </w:rPr>
              <w:t xml:space="preserve">asimetrinis rizikos prisiėmimas; </w:t>
            </w:r>
          </w:p>
          <w:p w14:paraId="0E62DF4C" w14:textId="77777777" w:rsidR="005C4B70" w:rsidRPr="003878A7" w:rsidRDefault="005C4B70" w:rsidP="00CB66B8">
            <w:pPr>
              <w:pStyle w:val="ListParagraph"/>
              <w:numPr>
                <w:ilvl w:val="0"/>
                <w:numId w:val="9"/>
              </w:numPr>
              <w:autoSpaceDE w:val="0"/>
              <w:autoSpaceDN w:val="0"/>
              <w:adjustRightInd w:val="0"/>
              <w:spacing w:before="0" w:after="0"/>
              <w:ind w:left="467"/>
              <w:rPr>
                <w:rFonts w:cs="Times New Roman"/>
                <w:sz w:val="21"/>
                <w:szCs w:val="21"/>
                <w:lang w:val="lt-LT"/>
              </w:rPr>
            </w:pPr>
            <w:r w:rsidRPr="003878A7">
              <w:rPr>
                <w:rFonts w:cs="Times New Roman"/>
                <w:sz w:val="21"/>
                <w:szCs w:val="21"/>
                <w:lang w:val="lt-LT"/>
              </w:rPr>
              <w:t>asimetrinis pelno pasidalijimas;</w:t>
            </w:r>
          </w:p>
          <w:p w14:paraId="021D1B96" w14:textId="77777777" w:rsidR="005C4B70" w:rsidRPr="003878A7" w:rsidRDefault="005C4B70" w:rsidP="00CB66B8">
            <w:pPr>
              <w:pStyle w:val="ListParagraph"/>
              <w:numPr>
                <w:ilvl w:val="0"/>
                <w:numId w:val="9"/>
              </w:numPr>
              <w:autoSpaceDE w:val="0"/>
              <w:autoSpaceDN w:val="0"/>
              <w:adjustRightInd w:val="0"/>
              <w:spacing w:before="0" w:after="0"/>
              <w:ind w:left="467"/>
              <w:rPr>
                <w:rFonts w:cs="Times New Roman"/>
                <w:sz w:val="21"/>
                <w:szCs w:val="21"/>
                <w:lang w:val="lt-LT"/>
              </w:rPr>
            </w:pPr>
            <w:r w:rsidRPr="003878A7">
              <w:rPr>
                <w:rFonts w:cs="Times New Roman"/>
                <w:sz w:val="21"/>
                <w:szCs w:val="21"/>
                <w:lang w:val="lt-LT"/>
              </w:rPr>
              <w:t>ateities pinigų srautų perpardavimas su diskonto norma;</w:t>
            </w:r>
          </w:p>
          <w:p w14:paraId="31B80D14" w14:textId="77777777" w:rsidR="005C4B70" w:rsidRPr="003878A7" w:rsidRDefault="005C4B70" w:rsidP="00CB66B8">
            <w:pPr>
              <w:pStyle w:val="ListParagraph"/>
              <w:numPr>
                <w:ilvl w:val="0"/>
                <w:numId w:val="9"/>
              </w:numPr>
              <w:autoSpaceDE w:val="0"/>
              <w:autoSpaceDN w:val="0"/>
              <w:adjustRightInd w:val="0"/>
              <w:spacing w:before="0" w:after="0"/>
              <w:ind w:left="467"/>
              <w:rPr>
                <w:rFonts w:cs="Times New Roman"/>
                <w:sz w:val="21"/>
                <w:szCs w:val="21"/>
                <w:lang w:val="lt-LT"/>
              </w:rPr>
            </w:pPr>
            <w:r w:rsidRPr="003878A7">
              <w:rPr>
                <w:rFonts w:cs="Times New Roman"/>
                <w:sz w:val="21"/>
                <w:szCs w:val="21"/>
                <w:lang w:val="lt-LT"/>
              </w:rPr>
              <w:t>suteikiama galimybė išpirkti geriausius rezultatus pasiekusių projektų ateities pinigų srautus;</w:t>
            </w:r>
          </w:p>
          <w:p w14:paraId="7CDA8BF6" w14:textId="77777777" w:rsidR="005C4B70" w:rsidRPr="003878A7" w:rsidRDefault="005C4B70" w:rsidP="00CB66B8">
            <w:pPr>
              <w:pStyle w:val="ListParagraph"/>
              <w:numPr>
                <w:ilvl w:val="0"/>
                <w:numId w:val="9"/>
              </w:numPr>
              <w:autoSpaceDE w:val="0"/>
              <w:autoSpaceDN w:val="0"/>
              <w:adjustRightInd w:val="0"/>
              <w:spacing w:before="0" w:after="0"/>
              <w:ind w:left="467"/>
              <w:rPr>
                <w:rFonts w:cs="Times New Roman"/>
                <w:sz w:val="21"/>
                <w:szCs w:val="21"/>
                <w:lang w:val="lt-LT"/>
              </w:rPr>
            </w:pPr>
            <w:r w:rsidRPr="003878A7">
              <w:rPr>
                <w:rFonts w:cs="Times New Roman"/>
                <w:sz w:val="21"/>
                <w:szCs w:val="21"/>
                <w:lang w:val="lt-LT"/>
              </w:rPr>
              <w:t>išperkamų ateities piniginių srautų garantijos;</w:t>
            </w:r>
          </w:p>
          <w:p w14:paraId="67384916" w14:textId="77777777" w:rsidR="005C4B70" w:rsidRPr="003878A7" w:rsidRDefault="005C4B70" w:rsidP="00CB66B8">
            <w:pPr>
              <w:pStyle w:val="ListParagraph"/>
              <w:numPr>
                <w:ilvl w:val="0"/>
                <w:numId w:val="9"/>
              </w:numPr>
              <w:autoSpaceDE w:val="0"/>
              <w:autoSpaceDN w:val="0"/>
              <w:adjustRightInd w:val="0"/>
              <w:spacing w:before="0" w:after="0"/>
              <w:ind w:left="467"/>
              <w:rPr>
                <w:rFonts w:cs="Times New Roman"/>
                <w:sz w:val="21"/>
                <w:szCs w:val="21"/>
                <w:lang w:val="lt-LT"/>
              </w:rPr>
            </w:pPr>
            <w:r w:rsidRPr="003878A7">
              <w:rPr>
                <w:rFonts w:cs="Times New Roman"/>
                <w:sz w:val="21"/>
                <w:szCs w:val="21"/>
                <w:lang w:val="lt-LT"/>
              </w:rPr>
              <w:t>mokestinės priemonių mažinimo taikymas;</w:t>
            </w:r>
          </w:p>
          <w:p w14:paraId="479E2239" w14:textId="09806DC5" w:rsidR="005C4B70" w:rsidRPr="003878A7" w:rsidRDefault="005C4B70" w:rsidP="00CB66B8">
            <w:pPr>
              <w:pStyle w:val="ListParagraph"/>
              <w:numPr>
                <w:ilvl w:val="0"/>
                <w:numId w:val="9"/>
              </w:numPr>
              <w:autoSpaceDE w:val="0"/>
              <w:autoSpaceDN w:val="0"/>
              <w:adjustRightInd w:val="0"/>
              <w:spacing w:before="0" w:after="0"/>
              <w:ind w:left="467"/>
              <w:rPr>
                <w:rFonts w:cs="Times New Roman"/>
                <w:sz w:val="21"/>
                <w:szCs w:val="21"/>
                <w:lang w:val="lt-LT"/>
              </w:rPr>
            </w:pPr>
            <w:r w:rsidRPr="003878A7">
              <w:rPr>
                <w:rFonts w:cs="Times New Roman"/>
                <w:sz w:val="21"/>
                <w:szCs w:val="21"/>
                <w:lang w:val="lt-LT"/>
              </w:rPr>
              <w:t>įvairus šių variantų derinys.</w:t>
            </w:r>
          </w:p>
        </w:tc>
      </w:tr>
      <w:tr w:rsidR="005C4B70" w:rsidRPr="003878A7" w14:paraId="0FEB1EFE" w14:textId="77777777" w:rsidTr="009E3F40">
        <w:tc>
          <w:tcPr>
            <w:tcW w:w="2518" w:type="dxa"/>
          </w:tcPr>
          <w:p w14:paraId="795D775F" w14:textId="0860C4C7" w:rsidR="005C4B70" w:rsidRPr="003878A7" w:rsidRDefault="005C4B70" w:rsidP="009E3F40">
            <w:pPr>
              <w:spacing w:before="0" w:after="0"/>
              <w:ind w:firstLine="0"/>
              <w:rPr>
                <w:rFonts w:cs="Times New Roman"/>
                <w:sz w:val="21"/>
                <w:szCs w:val="21"/>
                <w:lang w:val="lt-LT"/>
              </w:rPr>
            </w:pPr>
            <w:r w:rsidRPr="003878A7">
              <w:rPr>
                <w:rFonts w:cs="Times New Roman"/>
                <w:sz w:val="21"/>
                <w:szCs w:val="21"/>
                <w:lang w:val="lt-LT"/>
              </w:rPr>
              <w:t>FT lygmuo</w:t>
            </w:r>
          </w:p>
        </w:tc>
        <w:tc>
          <w:tcPr>
            <w:tcW w:w="7336" w:type="dxa"/>
          </w:tcPr>
          <w:p w14:paraId="5A948E2D" w14:textId="77777777" w:rsidR="005C4B70" w:rsidRPr="003878A7" w:rsidRDefault="005C4B70" w:rsidP="00CB66B8">
            <w:pPr>
              <w:pStyle w:val="ListParagraph"/>
              <w:numPr>
                <w:ilvl w:val="0"/>
                <w:numId w:val="9"/>
              </w:numPr>
              <w:autoSpaceDE w:val="0"/>
              <w:autoSpaceDN w:val="0"/>
              <w:adjustRightInd w:val="0"/>
              <w:spacing w:before="0" w:after="0"/>
              <w:ind w:left="467"/>
              <w:rPr>
                <w:rFonts w:cs="Times New Roman"/>
                <w:sz w:val="21"/>
                <w:szCs w:val="21"/>
                <w:lang w:val="lt-LT"/>
              </w:rPr>
            </w:pPr>
            <w:r w:rsidRPr="003878A7">
              <w:rPr>
                <w:rFonts w:cs="Times New Roman"/>
                <w:sz w:val="21"/>
                <w:szCs w:val="21"/>
                <w:lang w:val="lt-LT"/>
              </w:rPr>
              <w:t>garantijų teikimas (individualių ir portfelinių);</w:t>
            </w:r>
          </w:p>
          <w:p w14:paraId="101F47F7" w14:textId="77777777" w:rsidR="005C4B70" w:rsidRPr="003878A7" w:rsidRDefault="005C4B70" w:rsidP="00CB66B8">
            <w:pPr>
              <w:pStyle w:val="ListParagraph"/>
              <w:numPr>
                <w:ilvl w:val="0"/>
                <w:numId w:val="9"/>
              </w:numPr>
              <w:autoSpaceDE w:val="0"/>
              <w:autoSpaceDN w:val="0"/>
              <w:adjustRightInd w:val="0"/>
              <w:spacing w:before="0" w:after="0"/>
              <w:ind w:left="467"/>
              <w:rPr>
                <w:rFonts w:cs="Times New Roman"/>
                <w:sz w:val="21"/>
                <w:szCs w:val="21"/>
                <w:lang w:val="lt-LT"/>
              </w:rPr>
            </w:pPr>
            <w:r w:rsidRPr="003878A7">
              <w:rPr>
                <w:rFonts w:cs="Times New Roman"/>
                <w:sz w:val="21"/>
                <w:szCs w:val="21"/>
                <w:lang w:val="lt-LT"/>
              </w:rPr>
              <w:t>paskolų palūkanų kompensavimas;</w:t>
            </w:r>
          </w:p>
          <w:p w14:paraId="1B188CA0" w14:textId="77777777" w:rsidR="005C4B70" w:rsidRPr="003878A7" w:rsidRDefault="005C4B70" w:rsidP="00CB66B8">
            <w:pPr>
              <w:pStyle w:val="ListParagraph"/>
              <w:numPr>
                <w:ilvl w:val="0"/>
                <w:numId w:val="9"/>
              </w:numPr>
              <w:autoSpaceDE w:val="0"/>
              <w:autoSpaceDN w:val="0"/>
              <w:adjustRightInd w:val="0"/>
              <w:spacing w:before="0" w:after="0"/>
              <w:ind w:left="467"/>
              <w:rPr>
                <w:rFonts w:cs="Times New Roman"/>
                <w:sz w:val="21"/>
                <w:szCs w:val="21"/>
                <w:lang w:val="lt-LT"/>
              </w:rPr>
            </w:pPr>
            <w:r w:rsidRPr="003878A7">
              <w:rPr>
                <w:rFonts w:cs="Times New Roman"/>
                <w:sz w:val="21"/>
                <w:szCs w:val="21"/>
                <w:lang w:val="lt-LT"/>
              </w:rPr>
              <w:t>techninės pagalbos teikimas;</w:t>
            </w:r>
          </w:p>
          <w:p w14:paraId="17D78AF4" w14:textId="77777777" w:rsidR="005C4B70" w:rsidRPr="003878A7" w:rsidRDefault="005C4B70" w:rsidP="00CB66B8">
            <w:pPr>
              <w:pStyle w:val="ListParagraph"/>
              <w:numPr>
                <w:ilvl w:val="0"/>
                <w:numId w:val="9"/>
              </w:numPr>
              <w:autoSpaceDE w:val="0"/>
              <w:autoSpaceDN w:val="0"/>
              <w:adjustRightInd w:val="0"/>
              <w:spacing w:before="0" w:after="0"/>
              <w:ind w:left="467"/>
              <w:rPr>
                <w:rFonts w:cs="Times New Roman"/>
                <w:sz w:val="21"/>
                <w:szCs w:val="21"/>
                <w:lang w:val="lt-LT"/>
              </w:rPr>
            </w:pPr>
            <w:r w:rsidRPr="003878A7">
              <w:rPr>
                <w:rFonts w:cs="Times New Roman"/>
                <w:sz w:val="21"/>
                <w:szCs w:val="21"/>
                <w:lang w:val="lt-LT"/>
              </w:rPr>
              <w:t>administravimo mokesčio mokėjimas;</w:t>
            </w:r>
          </w:p>
          <w:p w14:paraId="42FA684A" w14:textId="6F1BB2EA" w:rsidR="005C4B70" w:rsidRPr="003878A7" w:rsidRDefault="005C4B70" w:rsidP="00CB66B8">
            <w:pPr>
              <w:pStyle w:val="ListParagraph"/>
              <w:numPr>
                <w:ilvl w:val="0"/>
                <w:numId w:val="9"/>
              </w:numPr>
              <w:autoSpaceDE w:val="0"/>
              <w:autoSpaceDN w:val="0"/>
              <w:adjustRightInd w:val="0"/>
              <w:spacing w:before="0" w:after="0"/>
              <w:ind w:left="467"/>
              <w:rPr>
                <w:rFonts w:cs="Times New Roman"/>
                <w:sz w:val="21"/>
                <w:szCs w:val="21"/>
                <w:lang w:val="lt-LT"/>
              </w:rPr>
            </w:pPr>
            <w:r w:rsidRPr="003878A7">
              <w:rPr>
                <w:rFonts w:cs="Times New Roman"/>
                <w:sz w:val="21"/>
                <w:szCs w:val="21"/>
                <w:lang w:val="lt-LT"/>
              </w:rPr>
              <w:t>paskolos dalies suteikimas iš ES</w:t>
            </w:r>
            <w:r w:rsidR="008F2BC7" w:rsidRPr="003878A7">
              <w:rPr>
                <w:rFonts w:cs="Times New Roman"/>
                <w:sz w:val="21"/>
                <w:szCs w:val="21"/>
                <w:lang w:val="lt-LT"/>
              </w:rPr>
              <w:t xml:space="preserve"> SF</w:t>
            </w:r>
            <w:r w:rsidRPr="003878A7">
              <w:rPr>
                <w:rFonts w:cs="Times New Roman"/>
                <w:sz w:val="21"/>
                <w:szCs w:val="21"/>
                <w:lang w:val="lt-LT"/>
              </w:rPr>
              <w:t xml:space="preserve"> fondų lėšų, dalies – iš </w:t>
            </w:r>
            <w:r w:rsidR="000C2D2B" w:rsidRPr="003878A7">
              <w:rPr>
                <w:rFonts w:cs="Times New Roman"/>
                <w:sz w:val="21"/>
                <w:szCs w:val="21"/>
                <w:lang w:val="lt-LT"/>
              </w:rPr>
              <w:t>FP</w:t>
            </w:r>
            <w:r w:rsidRPr="003878A7">
              <w:rPr>
                <w:rFonts w:cs="Times New Roman"/>
                <w:sz w:val="21"/>
                <w:szCs w:val="21"/>
                <w:lang w:val="lt-LT"/>
              </w:rPr>
              <w:t xml:space="preserve"> įgyvendinančios institucijos lėšų;</w:t>
            </w:r>
          </w:p>
          <w:p w14:paraId="1B7FBAD3" w14:textId="46BF0951" w:rsidR="005C4B70" w:rsidRPr="003878A7" w:rsidRDefault="005C4B70" w:rsidP="00CB66B8">
            <w:pPr>
              <w:pStyle w:val="ListParagraph"/>
              <w:numPr>
                <w:ilvl w:val="0"/>
                <w:numId w:val="9"/>
              </w:numPr>
              <w:autoSpaceDE w:val="0"/>
              <w:autoSpaceDN w:val="0"/>
              <w:adjustRightInd w:val="0"/>
              <w:spacing w:before="0" w:after="0"/>
              <w:ind w:left="467"/>
              <w:rPr>
                <w:rFonts w:cs="Times New Roman"/>
                <w:sz w:val="21"/>
                <w:szCs w:val="21"/>
                <w:lang w:val="lt-LT"/>
              </w:rPr>
            </w:pPr>
            <w:r w:rsidRPr="003878A7">
              <w:rPr>
                <w:rFonts w:cs="Times New Roman"/>
                <w:sz w:val="21"/>
                <w:szCs w:val="21"/>
                <w:lang w:val="lt-LT"/>
              </w:rPr>
              <w:t xml:space="preserve">asimetrinis rizikos prisiėmimas, kai </w:t>
            </w:r>
            <w:r w:rsidR="000C2D2B" w:rsidRPr="003878A7">
              <w:rPr>
                <w:rFonts w:cs="Times New Roman"/>
                <w:sz w:val="21"/>
                <w:szCs w:val="21"/>
                <w:lang w:val="lt-LT"/>
              </w:rPr>
              <w:t>FT</w:t>
            </w:r>
            <w:r w:rsidRPr="003878A7">
              <w:rPr>
                <w:rFonts w:cs="Times New Roman"/>
                <w:sz w:val="21"/>
                <w:szCs w:val="21"/>
                <w:lang w:val="lt-LT"/>
              </w:rPr>
              <w:t xml:space="preserve"> dalyvauja ir savo lėšomis;</w:t>
            </w:r>
          </w:p>
          <w:p w14:paraId="11B961D7" w14:textId="12D9A3A3" w:rsidR="005C4B70" w:rsidRPr="003878A7" w:rsidRDefault="005C4B70" w:rsidP="00CB66B8">
            <w:pPr>
              <w:pStyle w:val="ListParagraph"/>
              <w:numPr>
                <w:ilvl w:val="0"/>
                <w:numId w:val="9"/>
              </w:numPr>
              <w:autoSpaceDE w:val="0"/>
              <w:autoSpaceDN w:val="0"/>
              <w:adjustRightInd w:val="0"/>
              <w:spacing w:before="0" w:after="0"/>
              <w:ind w:left="467"/>
              <w:rPr>
                <w:rFonts w:cs="Times New Roman"/>
                <w:sz w:val="21"/>
                <w:szCs w:val="21"/>
                <w:lang w:val="lt-LT"/>
              </w:rPr>
            </w:pPr>
            <w:r w:rsidRPr="003878A7">
              <w:rPr>
                <w:rFonts w:cs="Times New Roman"/>
                <w:sz w:val="21"/>
                <w:szCs w:val="21"/>
                <w:lang w:val="lt-LT"/>
              </w:rPr>
              <w:t>šių priemonių derinys.</w:t>
            </w:r>
          </w:p>
        </w:tc>
      </w:tr>
      <w:tr w:rsidR="005C4B70" w:rsidRPr="003878A7" w14:paraId="2620548F" w14:textId="77777777" w:rsidTr="009E3F40">
        <w:tc>
          <w:tcPr>
            <w:tcW w:w="2518" w:type="dxa"/>
          </w:tcPr>
          <w:p w14:paraId="4A10BE5B" w14:textId="2340813E" w:rsidR="005C4B70" w:rsidRPr="003878A7" w:rsidRDefault="005C4B70" w:rsidP="009E3F40">
            <w:pPr>
              <w:spacing w:before="0" w:after="0"/>
              <w:ind w:firstLine="0"/>
              <w:rPr>
                <w:rFonts w:cs="Times New Roman"/>
                <w:sz w:val="21"/>
                <w:szCs w:val="21"/>
                <w:lang w:val="lt-LT"/>
              </w:rPr>
            </w:pPr>
            <w:r w:rsidRPr="003878A7">
              <w:rPr>
                <w:rFonts w:cs="Times New Roman"/>
                <w:sz w:val="21"/>
                <w:szCs w:val="21"/>
                <w:lang w:val="lt-LT"/>
              </w:rPr>
              <w:t>GNG lygmuo</w:t>
            </w:r>
          </w:p>
        </w:tc>
        <w:tc>
          <w:tcPr>
            <w:tcW w:w="7336" w:type="dxa"/>
          </w:tcPr>
          <w:p w14:paraId="56560F25" w14:textId="77777777" w:rsidR="005C4B70" w:rsidRPr="003878A7" w:rsidRDefault="005C4B70" w:rsidP="00CB66B8">
            <w:pPr>
              <w:pStyle w:val="ListParagraph"/>
              <w:numPr>
                <w:ilvl w:val="0"/>
                <w:numId w:val="9"/>
              </w:numPr>
              <w:autoSpaceDE w:val="0"/>
              <w:autoSpaceDN w:val="0"/>
              <w:adjustRightInd w:val="0"/>
              <w:spacing w:before="0" w:after="0"/>
              <w:ind w:left="467"/>
              <w:rPr>
                <w:rFonts w:cs="Times New Roman"/>
                <w:sz w:val="21"/>
                <w:szCs w:val="21"/>
                <w:lang w:val="lt-LT"/>
              </w:rPr>
            </w:pPr>
            <w:r w:rsidRPr="003878A7">
              <w:rPr>
                <w:rFonts w:cs="Times New Roman"/>
                <w:sz w:val="21"/>
                <w:szCs w:val="21"/>
                <w:lang w:val="lt-LT"/>
              </w:rPr>
              <w:t xml:space="preserve">žemesnių negu rinkos, fiksuotų palūkanų taikymas; </w:t>
            </w:r>
          </w:p>
          <w:p w14:paraId="3E8FF01C" w14:textId="77777777" w:rsidR="005C4B70" w:rsidRPr="003878A7" w:rsidRDefault="005C4B70" w:rsidP="00CB66B8">
            <w:pPr>
              <w:pStyle w:val="ListParagraph"/>
              <w:numPr>
                <w:ilvl w:val="0"/>
                <w:numId w:val="9"/>
              </w:numPr>
              <w:autoSpaceDE w:val="0"/>
              <w:autoSpaceDN w:val="0"/>
              <w:adjustRightInd w:val="0"/>
              <w:spacing w:before="0" w:after="0"/>
              <w:ind w:left="467"/>
              <w:rPr>
                <w:rFonts w:cs="Times New Roman"/>
                <w:sz w:val="21"/>
                <w:szCs w:val="21"/>
                <w:lang w:val="lt-LT"/>
              </w:rPr>
            </w:pPr>
            <w:r w:rsidRPr="003878A7">
              <w:rPr>
                <w:rFonts w:cs="Times New Roman"/>
                <w:sz w:val="21"/>
                <w:szCs w:val="21"/>
                <w:lang w:val="lt-LT"/>
              </w:rPr>
              <w:t>subsidijų teikimas projekto dalies finansavimui;</w:t>
            </w:r>
          </w:p>
          <w:p w14:paraId="32FB2AB4" w14:textId="59348B3F" w:rsidR="005C4B70" w:rsidRPr="003878A7" w:rsidRDefault="005C4B70" w:rsidP="00CB66B8">
            <w:pPr>
              <w:pStyle w:val="ListParagraph"/>
              <w:numPr>
                <w:ilvl w:val="0"/>
                <w:numId w:val="9"/>
              </w:numPr>
              <w:autoSpaceDE w:val="0"/>
              <w:autoSpaceDN w:val="0"/>
              <w:adjustRightInd w:val="0"/>
              <w:spacing w:before="0" w:after="0"/>
              <w:ind w:left="467"/>
              <w:rPr>
                <w:rFonts w:cs="Times New Roman"/>
                <w:sz w:val="21"/>
                <w:szCs w:val="21"/>
                <w:lang w:val="lt-LT"/>
              </w:rPr>
            </w:pPr>
            <w:r w:rsidRPr="003878A7">
              <w:rPr>
                <w:rFonts w:cs="Times New Roman"/>
                <w:sz w:val="21"/>
                <w:szCs w:val="21"/>
                <w:lang w:val="lt-LT"/>
              </w:rPr>
              <w:t xml:space="preserve">palūkanų kompensavimas </w:t>
            </w:r>
            <w:r w:rsidR="00FD523F" w:rsidRPr="003878A7">
              <w:rPr>
                <w:rFonts w:cs="Times New Roman"/>
                <w:sz w:val="21"/>
                <w:szCs w:val="21"/>
                <w:lang w:val="lt-LT"/>
              </w:rPr>
              <w:t>GNG</w:t>
            </w:r>
            <w:r w:rsidRPr="003878A7">
              <w:rPr>
                <w:rFonts w:cs="Times New Roman"/>
                <w:sz w:val="21"/>
                <w:szCs w:val="21"/>
                <w:lang w:val="lt-LT"/>
              </w:rPr>
              <w:t xml:space="preserve"> (</w:t>
            </w:r>
            <w:r w:rsidR="00FD523F" w:rsidRPr="003878A7">
              <w:rPr>
                <w:rFonts w:cs="Times New Roman"/>
                <w:sz w:val="21"/>
                <w:szCs w:val="21"/>
                <w:lang w:val="lt-LT"/>
              </w:rPr>
              <w:t>GNG</w:t>
            </w:r>
            <w:r w:rsidRPr="003878A7">
              <w:rPr>
                <w:rFonts w:cs="Times New Roman"/>
                <w:sz w:val="21"/>
                <w:szCs w:val="21"/>
                <w:lang w:val="lt-LT"/>
              </w:rPr>
              <w:t xml:space="preserve"> suteikiant galimybę naudotis geresnėmis sąlygomis, t.</w:t>
            </w:r>
            <w:r w:rsidR="00477162" w:rsidRPr="003878A7">
              <w:rPr>
                <w:rFonts w:cs="Times New Roman"/>
                <w:sz w:val="21"/>
                <w:szCs w:val="21"/>
                <w:lang w:val="lt-LT"/>
              </w:rPr>
              <w:t xml:space="preserve"> </w:t>
            </w:r>
            <w:r w:rsidRPr="003878A7">
              <w:rPr>
                <w:rFonts w:cs="Times New Roman"/>
                <w:sz w:val="21"/>
                <w:szCs w:val="21"/>
                <w:lang w:val="lt-LT"/>
              </w:rPr>
              <w:t>y. palūkanomis ir terminais);</w:t>
            </w:r>
          </w:p>
          <w:p w14:paraId="68A20EA2" w14:textId="77777777" w:rsidR="005C4B70" w:rsidRPr="003878A7" w:rsidRDefault="005C4B70" w:rsidP="00CB66B8">
            <w:pPr>
              <w:pStyle w:val="ListParagraph"/>
              <w:numPr>
                <w:ilvl w:val="0"/>
                <w:numId w:val="9"/>
              </w:numPr>
              <w:autoSpaceDE w:val="0"/>
              <w:autoSpaceDN w:val="0"/>
              <w:adjustRightInd w:val="0"/>
              <w:spacing w:before="0" w:after="0"/>
              <w:ind w:left="467"/>
              <w:rPr>
                <w:rFonts w:cs="Times New Roman"/>
                <w:sz w:val="21"/>
                <w:szCs w:val="21"/>
                <w:lang w:val="lt-LT"/>
              </w:rPr>
            </w:pPr>
            <w:r w:rsidRPr="003878A7">
              <w:rPr>
                <w:rFonts w:cs="Times New Roman"/>
                <w:sz w:val="21"/>
                <w:szCs w:val="21"/>
                <w:lang w:val="lt-LT"/>
              </w:rPr>
              <w:t>ilgesnio negu rinkoje esančio termino paskoloms taikymas;</w:t>
            </w:r>
          </w:p>
          <w:p w14:paraId="2C18557D" w14:textId="77777777" w:rsidR="005C4B70" w:rsidRPr="003878A7" w:rsidRDefault="005C4B70" w:rsidP="00CB66B8">
            <w:pPr>
              <w:pStyle w:val="ListParagraph"/>
              <w:numPr>
                <w:ilvl w:val="0"/>
                <w:numId w:val="9"/>
              </w:numPr>
              <w:autoSpaceDE w:val="0"/>
              <w:autoSpaceDN w:val="0"/>
              <w:adjustRightInd w:val="0"/>
              <w:spacing w:before="0" w:after="0"/>
              <w:ind w:left="467"/>
              <w:rPr>
                <w:rFonts w:cs="Times New Roman"/>
                <w:sz w:val="21"/>
                <w:szCs w:val="21"/>
                <w:lang w:val="lt-LT"/>
              </w:rPr>
            </w:pPr>
            <w:r w:rsidRPr="003878A7">
              <w:rPr>
                <w:rFonts w:cs="Times New Roman"/>
                <w:sz w:val="21"/>
                <w:szCs w:val="21"/>
                <w:lang w:val="lt-LT"/>
              </w:rPr>
              <w:t>užstato nereikalavimas;</w:t>
            </w:r>
          </w:p>
          <w:p w14:paraId="77888DB0" w14:textId="77777777" w:rsidR="009E3F40" w:rsidRPr="003878A7" w:rsidRDefault="005C4B70" w:rsidP="00CB66B8">
            <w:pPr>
              <w:pStyle w:val="ListParagraph"/>
              <w:numPr>
                <w:ilvl w:val="0"/>
                <w:numId w:val="9"/>
              </w:numPr>
              <w:autoSpaceDE w:val="0"/>
              <w:autoSpaceDN w:val="0"/>
              <w:adjustRightInd w:val="0"/>
              <w:spacing w:before="0" w:after="0"/>
              <w:ind w:left="467"/>
              <w:rPr>
                <w:rFonts w:cs="Times New Roman"/>
                <w:sz w:val="21"/>
                <w:szCs w:val="21"/>
                <w:lang w:val="lt-LT"/>
              </w:rPr>
            </w:pPr>
            <w:r w:rsidRPr="003878A7">
              <w:rPr>
                <w:rFonts w:cs="Times New Roman"/>
                <w:sz w:val="21"/>
                <w:szCs w:val="21"/>
                <w:lang w:val="lt-LT"/>
              </w:rPr>
              <w:t>papildoma parama renovacijos dokumentų parengimui ir įgyvendinimo administravimui;</w:t>
            </w:r>
          </w:p>
          <w:p w14:paraId="7F6378DB" w14:textId="69E7AA99" w:rsidR="005C4B70" w:rsidRPr="003878A7" w:rsidRDefault="005C4B70" w:rsidP="00CB66B8">
            <w:pPr>
              <w:pStyle w:val="ListParagraph"/>
              <w:numPr>
                <w:ilvl w:val="0"/>
                <w:numId w:val="9"/>
              </w:numPr>
              <w:autoSpaceDE w:val="0"/>
              <w:autoSpaceDN w:val="0"/>
              <w:adjustRightInd w:val="0"/>
              <w:spacing w:before="0" w:after="0"/>
              <w:ind w:left="467"/>
              <w:rPr>
                <w:rFonts w:cs="Times New Roman"/>
                <w:sz w:val="21"/>
                <w:szCs w:val="21"/>
                <w:lang w:val="lt-LT"/>
              </w:rPr>
            </w:pPr>
            <w:r w:rsidRPr="003878A7">
              <w:rPr>
                <w:rFonts w:cs="Times New Roman"/>
                <w:sz w:val="21"/>
                <w:szCs w:val="21"/>
                <w:lang w:val="lt-LT"/>
              </w:rPr>
              <w:t>įvairus šių variantų derinys.</w:t>
            </w:r>
          </w:p>
        </w:tc>
      </w:tr>
    </w:tbl>
    <w:p w14:paraId="3726883F" w14:textId="77777777" w:rsidR="000E0914" w:rsidRPr="003878A7" w:rsidRDefault="000E0914" w:rsidP="000E0914">
      <w:pPr>
        <w:spacing w:after="0"/>
        <w:rPr>
          <w:rFonts w:cs="Times New Roman"/>
          <w:sz w:val="20"/>
          <w:szCs w:val="20"/>
        </w:rPr>
      </w:pPr>
      <w:r w:rsidRPr="003878A7">
        <w:rPr>
          <w:rFonts w:cs="Times New Roman"/>
          <w:sz w:val="20"/>
          <w:szCs w:val="20"/>
        </w:rPr>
        <w:lastRenderedPageBreak/>
        <w:t>Šaltinis: sudaryta Vertintojų</w:t>
      </w:r>
    </w:p>
    <w:p w14:paraId="069B103B" w14:textId="0E38F5DF" w:rsidR="005C4B70" w:rsidRPr="003878A7" w:rsidRDefault="005C4B70" w:rsidP="005C4B70">
      <w:pPr>
        <w:rPr>
          <w:rFonts w:cs="Times New Roman"/>
        </w:rPr>
      </w:pPr>
      <w:r w:rsidRPr="003878A7">
        <w:rPr>
          <w:rFonts w:cs="Times New Roman"/>
        </w:rPr>
        <w:t xml:space="preserve">Už </w:t>
      </w:r>
      <w:r w:rsidR="000E0914" w:rsidRPr="003878A7">
        <w:rPr>
          <w:rFonts w:cs="Times New Roman"/>
        </w:rPr>
        <w:t>FP</w:t>
      </w:r>
      <w:r w:rsidRPr="003878A7">
        <w:rPr>
          <w:rFonts w:cs="Times New Roman"/>
        </w:rPr>
        <w:t xml:space="preserve"> įgyvendinimą </w:t>
      </w:r>
      <w:r w:rsidR="000E0914" w:rsidRPr="003878A7">
        <w:rPr>
          <w:rFonts w:cs="Times New Roman"/>
        </w:rPr>
        <w:t>FF</w:t>
      </w:r>
      <w:r w:rsidRPr="003878A7">
        <w:rPr>
          <w:rFonts w:cs="Times New Roman"/>
        </w:rPr>
        <w:t xml:space="preserve"> valdytojui ir </w:t>
      </w:r>
      <w:r w:rsidR="000E0914" w:rsidRPr="003878A7">
        <w:rPr>
          <w:rFonts w:cs="Times New Roman"/>
        </w:rPr>
        <w:t>FT</w:t>
      </w:r>
      <w:r w:rsidRPr="003878A7">
        <w:rPr>
          <w:rFonts w:cs="Times New Roman"/>
        </w:rPr>
        <w:t xml:space="preserve"> gali būti mokamas valdymo mokestis. Šio valdymo mokesčio mokėjimo principai ir dydžiai apibrėžti Deleguoto reglamento 12 ir 13 straipsniuose.</w:t>
      </w:r>
    </w:p>
    <w:p w14:paraId="257739D1" w14:textId="1E2417AD" w:rsidR="006C4A18" w:rsidRPr="003878A7" w:rsidRDefault="00B22949" w:rsidP="00B22949">
      <w:pPr>
        <w:pStyle w:val="Heading2"/>
        <w:tabs>
          <w:tab w:val="left" w:pos="0"/>
        </w:tabs>
        <w:ind w:firstLine="284"/>
        <w:rPr>
          <w:rFonts w:cs="Times New Roman"/>
        </w:rPr>
      </w:pPr>
      <w:bookmarkStart w:id="35" w:name="_Toc402352635"/>
      <w:bookmarkStart w:id="36" w:name="_Toc25594692"/>
      <w:bookmarkStart w:id="37" w:name="_Toc70532878"/>
      <w:r w:rsidRPr="003878A7">
        <w:rPr>
          <w:rFonts w:cs="Times New Roman"/>
        </w:rPr>
        <w:t xml:space="preserve">4.3 </w:t>
      </w:r>
      <w:r w:rsidR="006C4A18" w:rsidRPr="003878A7">
        <w:rPr>
          <w:rFonts w:cs="Times New Roman"/>
        </w:rPr>
        <w:t>Sverto efekto skaičiavimas</w:t>
      </w:r>
      <w:bookmarkEnd w:id="35"/>
      <w:bookmarkEnd w:id="36"/>
      <w:bookmarkEnd w:id="37"/>
    </w:p>
    <w:p w14:paraId="69F1DE11" w14:textId="757C08E8" w:rsidR="006C4A18" w:rsidRPr="003878A7" w:rsidRDefault="006C4A18" w:rsidP="006C4A18">
      <w:pPr>
        <w:rPr>
          <w:rFonts w:cs="Times New Roman"/>
        </w:rPr>
      </w:pPr>
      <w:r w:rsidRPr="003878A7">
        <w:rPr>
          <w:rFonts w:cs="Times New Roman"/>
        </w:rPr>
        <w:t xml:space="preserve">Remiantis Bendrųjų nuostatų reglamentu sverto efektas privalo būti skaičiuojamas kaip lėšų </w:t>
      </w:r>
      <w:r w:rsidR="00D94E34" w:rsidRPr="003878A7">
        <w:rPr>
          <w:rFonts w:cs="Times New Roman"/>
        </w:rPr>
        <w:t>GNG</w:t>
      </w:r>
      <w:r w:rsidRPr="003878A7">
        <w:rPr>
          <w:rFonts w:cs="Times New Roman"/>
        </w:rPr>
        <w:t xml:space="preserve"> sumos santykis su asignuotomis ES SF lėšomis specifinei FP.</w:t>
      </w:r>
      <w:r w:rsidR="00543EE2">
        <w:rPr>
          <w:rFonts w:cs="Times New Roman"/>
        </w:rPr>
        <w:t xml:space="preserve"> </w:t>
      </w:r>
      <w:r w:rsidR="00543EE2" w:rsidRPr="00543EE2">
        <w:rPr>
          <w:rFonts w:cs="Times New Roman"/>
        </w:rPr>
        <w:t>Pateikti skaičiavimai rodo, kad didžiausi sverto rodikliai pasiekiami, kai yra taikomas asimetrinio rizikos pasidalijimo modeliu paremtas</w:t>
      </w:r>
      <w:r w:rsidR="00543EE2">
        <w:rPr>
          <w:rFonts w:cs="Times New Roman"/>
        </w:rPr>
        <w:t xml:space="preserve"> modernizavimo paskolų teikimas per platformą. </w:t>
      </w:r>
    </w:p>
    <w:p w14:paraId="7F676C4E" w14:textId="65AF89BD" w:rsidR="006C4A18" w:rsidRPr="003878A7" w:rsidRDefault="006C4A18" w:rsidP="006C4A18">
      <w:pPr>
        <w:ind w:firstLine="0"/>
        <w:rPr>
          <w:rFonts w:cs="Times New Roman"/>
          <w:i/>
          <w:iCs/>
        </w:rPr>
      </w:pPr>
      <w:r w:rsidRPr="003878A7">
        <w:rPr>
          <w:rFonts w:cs="Times New Roman"/>
          <w:i/>
          <w:iCs/>
        </w:rPr>
        <w:t xml:space="preserve">Lentelė Nr. </w:t>
      </w:r>
      <w:r w:rsidR="006D7B19">
        <w:rPr>
          <w:rFonts w:cs="Times New Roman"/>
          <w:i/>
          <w:iCs/>
        </w:rPr>
        <w:t>11.</w:t>
      </w:r>
      <w:r w:rsidRPr="003878A7">
        <w:rPr>
          <w:rFonts w:cs="Times New Roman"/>
          <w:i/>
          <w:iCs/>
        </w:rPr>
        <w:t xml:space="preserve"> Daugiabučių modernizavimo finansavimo sverto efekto rodikliai pagal atskirus scenarijus</w:t>
      </w:r>
    </w:p>
    <w:tbl>
      <w:tblPr>
        <w:tblStyle w:val="TableGrid"/>
        <w:tblW w:w="5000" w:type="pct"/>
        <w:tblLook w:val="04A0" w:firstRow="1" w:lastRow="0" w:firstColumn="1" w:lastColumn="0" w:noHBand="0" w:noVBand="1"/>
      </w:tblPr>
      <w:tblGrid>
        <w:gridCol w:w="7627"/>
        <w:gridCol w:w="2227"/>
      </w:tblGrid>
      <w:tr w:rsidR="006C4A18" w:rsidRPr="003878A7" w14:paraId="5C20414D" w14:textId="77777777" w:rsidTr="006C4A18">
        <w:tc>
          <w:tcPr>
            <w:tcW w:w="3870" w:type="pct"/>
            <w:hideMark/>
          </w:tcPr>
          <w:p w14:paraId="1C03D6B4" w14:textId="77777777" w:rsidR="006C4A18" w:rsidRPr="003878A7" w:rsidRDefault="006C4A18" w:rsidP="006C4A18">
            <w:pPr>
              <w:keepNext/>
              <w:tabs>
                <w:tab w:val="left" w:pos="614"/>
                <w:tab w:val="center" w:pos="3341"/>
              </w:tabs>
              <w:spacing w:before="0" w:after="0"/>
              <w:ind w:firstLine="0"/>
              <w:rPr>
                <w:rFonts w:cs="Times New Roman"/>
                <w:b/>
                <w:bCs/>
                <w:sz w:val="21"/>
                <w:szCs w:val="21"/>
                <w:lang w:val="lt-LT"/>
              </w:rPr>
            </w:pPr>
            <w:r w:rsidRPr="003878A7">
              <w:rPr>
                <w:rFonts w:cs="Times New Roman"/>
                <w:b/>
                <w:bCs/>
                <w:sz w:val="21"/>
                <w:szCs w:val="21"/>
                <w:lang w:val="lt-LT"/>
              </w:rPr>
              <w:t>Scenarijai</w:t>
            </w:r>
          </w:p>
        </w:tc>
        <w:tc>
          <w:tcPr>
            <w:tcW w:w="1130" w:type="pct"/>
          </w:tcPr>
          <w:p w14:paraId="5A507834" w14:textId="77777777" w:rsidR="006C4A18" w:rsidRPr="003878A7" w:rsidRDefault="006C4A18" w:rsidP="006C4A18">
            <w:pPr>
              <w:keepNext/>
              <w:tabs>
                <w:tab w:val="left" w:pos="614"/>
                <w:tab w:val="center" w:pos="3341"/>
              </w:tabs>
              <w:spacing w:before="0" w:after="0"/>
              <w:ind w:firstLine="0"/>
              <w:jc w:val="center"/>
              <w:rPr>
                <w:rFonts w:cs="Times New Roman"/>
                <w:b/>
                <w:bCs/>
                <w:sz w:val="21"/>
                <w:szCs w:val="21"/>
                <w:lang w:val="lt-LT"/>
              </w:rPr>
            </w:pPr>
            <w:r w:rsidRPr="003878A7">
              <w:rPr>
                <w:rFonts w:cs="Times New Roman"/>
                <w:b/>
                <w:bCs/>
                <w:sz w:val="21"/>
                <w:szCs w:val="21"/>
                <w:lang w:val="lt-LT"/>
              </w:rPr>
              <w:t>Sverto efektas</w:t>
            </w:r>
          </w:p>
        </w:tc>
      </w:tr>
      <w:tr w:rsidR="006C4A18" w:rsidRPr="003878A7" w14:paraId="6D909F9E" w14:textId="77777777" w:rsidTr="006C4A18">
        <w:tc>
          <w:tcPr>
            <w:tcW w:w="3870" w:type="pct"/>
            <w:hideMark/>
          </w:tcPr>
          <w:p w14:paraId="5C75FBB7" w14:textId="77777777" w:rsidR="006C4A18" w:rsidRPr="003878A7" w:rsidRDefault="006C4A18" w:rsidP="006C4A18">
            <w:pPr>
              <w:keepNext/>
              <w:spacing w:before="0" w:after="0"/>
              <w:ind w:firstLine="0"/>
              <w:rPr>
                <w:rFonts w:cs="Times New Roman"/>
                <w:bCs/>
                <w:sz w:val="21"/>
                <w:szCs w:val="21"/>
                <w:lang w:val="lt-LT"/>
              </w:rPr>
            </w:pPr>
            <w:r w:rsidRPr="003878A7">
              <w:rPr>
                <w:rFonts w:cs="Times New Roman"/>
                <w:bCs/>
                <w:sz w:val="21"/>
                <w:szCs w:val="21"/>
                <w:lang w:val="lt-LT"/>
              </w:rPr>
              <w:t xml:space="preserve">Lengvatinių paskolų teikimas </w:t>
            </w:r>
          </w:p>
        </w:tc>
        <w:tc>
          <w:tcPr>
            <w:tcW w:w="1130" w:type="pct"/>
          </w:tcPr>
          <w:p w14:paraId="35468608" w14:textId="77777777" w:rsidR="006C4A18" w:rsidRPr="003878A7" w:rsidRDefault="006C4A18" w:rsidP="006C4A18">
            <w:pPr>
              <w:keepNext/>
              <w:spacing w:before="0" w:after="0"/>
              <w:ind w:firstLine="0"/>
              <w:jc w:val="center"/>
              <w:rPr>
                <w:rFonts w:cs="Times New Roman"/>
                <w:sz w:val="21"/>
                <w:szCs w:val="21"/>
                <w:lang w:val="lt-LT"/>
              </w:rPr>
            </w:pPr>
            <w:r w:rsidRPr="003878A7">
              <w:rPr>
                <w:rFonts w:cs="Times New Roman"/>
                <w:sz w:val="21"/>
                <w:szCs w:val="21"/>
                <w:lang w:val="lt-LT"/>
              </w:rPr>
              <w:t>1,24</w:t>
            </w:r>
          </w:p>
        </w:tc>
      </w:tr>
      <w:tr w:rsidR="006C4A18" w:rsidRPr="003878A7" w14:paraId="4169AFEE" w14:textId="77777777" w:rsidTr="006C4A18">
        <w:tc>
          <w:tcPr>
            <w:tcW w:w="3870" w:type="pct"/>
            <w:hideMark/>
          </w:tcPr>
          <w:p w14:paraId="604871DF" w14:textId="14520EC4" w:rsidR="006C4A18" w:rsidRPr="003878A7" w:rsidRDefault="006C4A18" w:rsidP="006C4A18">
            <w:pPr>
              <w:spacing w:before="0" w:after="0"/>
              <w:ind w:firstLine="0"/>
              <w:rPr>
                <w:rFonts w:cs="Times New Roman"/>
                <w:bCs/>
                <w:sz w:val="21"/>
                <w:szCs w:val="21"/>
                <w:lang w:val="lt-LT"/>
              </w:rPr>
            </w:pPr>
            <w:r w:rsidRPr="003878A7">
              <w:rPr>
                <w:rFonts w:cs="Times New Roman"/>
                <w:bCs/>
                <w:sz w:val="21"/>
                <w:szCs w:val="21"/>
                <w:lang w:val="lt-LT"/>
              </w:rPr>
              <w:t xml:space="preserve">Dalis </w:t>
            </w:r>
            <w:r w:rsidR="000C2D2B" w:rsidRPr="003878A7">
              <w:rPr>
                <w:rFonts w:cs="Times New Roman"/>
                <w:bCs/>
                <w:sz w:val="21"/>
                <w:szCs w:val="21"/>
                <w:lang w:val="lt-LT"/>
              </w:rPr>
              <w:t>FP</w:t>
            </w:r>
            <w:r w:rsidRPr="003878A7">
              <w:rPr>
                <w:rFonts w:cs="Times New Roman"/>
                <w:bCs/>
                <w:sz w:val="21"/>
                <w:szCs w:val="21"/>
                <w:lang w:val="lt-LT"/>
              </w:rPr>
              <w:t xml:space="preserve"> lėšų nukreipiama į paskolų modelį, o dalis į garantijų priemonę (palyginamosios prielaidos)</w:t>
            </w:r>
          </w:p>
        </w:tc>
        <w:tc>
          <w:tcPr>
            <w:tcW w:w="1130" w:type="pct"/>
          </w:tcPr>
          <w:p w14:paraId="5645736B" w14:textId="77777777" w:rsidR="006C4A18" w:rsidRPr="003878A7" w:rsidRDefault="006C4A18" w:rsidP="006C4A18">
            <w:pPr>
              <w:spacing w:before="0" w:after="0"/>
              <w:ind w:firstLine="0"/>
              <w:jc w:val="center"/>
              <w:rPr>
                <w:rFonts w:cs="Times New Roman"/>
                <w:sz w:val="21"/>
                <w:szCs w:val="21"/>
                <w:lang w:val="lt-LT"/>
              </w:rPr>
            </w:pPr>
            <w:r w:rsidRPr="003878A7">
              <w:rPr>
                <w:rFonts w:cs="Times New Roman"/>
                <w:sz w:val="21"/>
                <w:szCs w:val="21"/>
                <w:lang w:val="lt-LT"/>
              </w:rPr>
              <w:t>2,64</w:t>
            </w:r>
          </w:p>
        </w:tc>
      </w:tr>
      <w:tr w:rsidR="006C4A18" w:rsidRPr="003878A7" w14:paraId="2493BCFD" w14:textId="77777777" w:rsidTr="006C4A18">
        <w:trPr>
          <w:trHeight w:val="319"/>
        </w:trPr>
        <w:tc>
          <w:tcPr>
            <w:tcW w:w="3870" w:type="pct"/>
            <w:hideMark/>
          </w:tcPr>
          <w:p w14:paraId="0E8F120F" w14:textId="77777777" w:rsidR="006C4A18" w:rsidRPr="003878A7" w:rsidRDefault="006C4A18" w:rsidP="006C4A18">
            <w:pPr>
              <w:spacing w:before="0" w:after="0"/>
              <w:ind w:firstLine="0"/>
              <w:rPr>
                <w:rFonts w:cs="Times New Roman"/>
                <w:bCs/>
                <w:sz w:val="21"/>
                <w:szCs w:val="21"/>
                <w:lang w:val="lt-LT"/>
              </w:rPr>
            </w:pPr>
            <w:r w:rsidRPr="003878A7">
              <w:rPr>
                <w:rFonts w:cs="Times New Roman"/>
                <w:bCs/>
                <w:sz w:val="21"/>
                <w:szCs w:val="21"/>
                <w:lang w:val="lt-LT"/>
              </w:rPr>
              <w:t>Visos lėšos panaudojamos garantijoms</w:t>
            </w:r>
          </w:p>
        </w:tc>
        <w:tc>
          <w:tcPr>
            <w:tcW w:w="1130" w:type="pct"/>
          </w:tcPr>
          <w:p w14:paraId="21B47FB3" w14:textId="77777777" w:rsidR="006C4A18" w:rsidRPr="003878A7" w:rsidRDefault="006C4A18" w:rsidP="006C4A18">
            <w:pPr>
              <w:spacing w:before="0" w:after="0"/>
              <w:ind w:firstLine="0"/>
              <w:jc w:val="center"/>
              <w:rPr>
                <w:rFonts w:cs="Times New Roman"/>
                <w:sz w:val="21"/>
                <w:szCs w:val="21"/>
                <w:lang w:val="lt-LT"/>
              </w:rPr>
            </w:pPr>
            <w:r w:rsidRPr="003878A7">
              <w:rPr>
                <w:rFonts w:cs="Times New Roman"/>
                <w:sz w:val="21"/>
                <w:szCs w:val="21"/>
                <w:lang w:val="lt-LT"/>
              </w:rPr>
              <w:t>3,14</w:t>
            </w:r>
          </w:p>
        </w:tc>
      </w:tr>
      <w:tr w:rsidR="006C4A18" w:rsidRPr="003878A7" w14:paraId="0450C7D8" w14:textId="77777777" w:rsidTr="006C4A18">
        <w:tc>
          <w:tcPr>
            <w:tcW w:w="3870" w:type="pct"/>
          </w:tcPr>
          <w:p w14:paraId="52C5E9E9" w14:textId="77777777" w:rsidR="006C4A18" w:rsidRPr="003878A7" w:rsidRDefault="006C4A18" w:rsidP="006C4A18">
            <w:pPr>
              <w:spacing w:before="0" w:after="0"/>
              <w:ind w:firstLine="0"/>
              <w:rPr>
                <w:rFonts w:cs="Times New Roman"/>
                <w:bCs/>
                <w:sz w:val="21"/>
                <w:szCs w:val="21"/>
                <w:lang w:val="lt-LT"/>
              </w:rPr>
            </w:pPr>
            <w:r w:rsidRPr="003878A7">
              <w:rPr>
                <w:rFonts w:cs="Times New Roman"/>
                <w:bCs/>
                <w:sz w:val="21"/>
                <w:szCs w:val="21"/>
                <w:lang w:val="lt-LT"/>
              </w:rPr>
              <w:t>Paskolų teikimas taikant asimetrinį rizikos pasidalijimo modelį</w:t>
            </w:r>
          </w:p>
        </w:tc>
        <w:tc>
          <w:tcPr>
            <w:tcW w:w="1130" w:type="pct"/>
          </w:tcPr>
          <w:p w14:paraId="0DAB6BBC" w14:textId="77777777" w:rsidR="006C4A18" w:rsidRPr="003878A7" w:rsidRDefault="006C4A18" w:rsidP="006C4A18">
            <w:pPr>
              <w:spacing w:before="0" w:after="0"/>
              <w:ind w:firstLine="0"/>
              <w:jc w:val="center"/>
              <w:rPr>
                <w:rFonts w:cs="Times New Roman"/>
                <w:sz w:val="21"/>
                <w:szCs w:val="21"/>
                <w:lang w:val="lt-LT"/>
              </w:rPr>
            </w:pPr>
            <w:r w:rsidRPr="003878A7">
              <w:rPr>
                <w:rFonts w:cs="Times New Roman"/>
                <w:sz w:val="21"/>
                <w:szCs w:val="21"/>
                <w:lang w:val="lt-LT"/>
              </w:rPr>
              <w:t>3,57</w:t>
            </w:r>
          </w:p>
        </w:tc>
      </w:tr>
      <w:tr w:rsidR="006C4A18" w:rsidRPr="003878A7" w14:paraId="150F8E01" w14:textId="77777777" w:rsidTr="006C4A18">
        <w:tc>
          <w:tcPr>
            <w:tcW w:w="3870" w:type="pct"/>
          </w:tcPr>
          <w:p w14:paraId="2A0F53F4" w14:textId="6902509C" w:rsidR="006C4A18" w:rsidRPr="003878A7" w:rsidRDefault="006C4A18" w:rsidP="006C4A18">
            <w:pPr>
              <w:spacing w:before="0" w:after="0"/>
              <w:ind w:firstLine="0"/>
              <w:rPr>
                <w:rFonts w:cs="Times New Roman"/>
                <w:bCs/>
                <w:sz w:val="21"/>
                <w:szCs w:val="21"/>
                <w:lang w:val="lt-LT"/>
              </w:rPr>
            </w:pPr>
            <w:r w:rsidRPr="003878A7">
              <w:rPr>
                <w:rFonts w:cs="Times New Roman"/>
                <w:bCs/>
                <w:sz w:val="21"/>
                <w:szCs w:val="21"/>
                <w:lang w:val="lt-LT"/>
              </w:rPr>
              <w:t xml:space="preserve">Dalis </w:t>
            </w:r>
            <w:r w:rsidR="000C2D2B" w:rsidRPr="003878A7">
              <w:rPr>
                <w:rFonts w:cs="Times New Roman"/>
                <w:bCs/>
                <w:sz w:val="21"/>
                <w:szCs w:val="21"/>
                <w:lang w:val="lt-LT"/>
              </w:rPr>
              <w:t>FP</w:t>
            </w:r>
            <w:r w:rsidRPr="003878A7">
              <w:rPr>
                <w:rFonts w:cs="Times New Roman"/>
                <w:bCs/>
                <w:sz w:val="21"/>
                <w:szCs w:val="21"/>
                <w:lang w:val="lt-LT"/>
              </w:rPr>
              <w:t xml:space="preserve"> lėšų nukreipiama į paskolų modelį, o dalis į garantijų priemonę su galimybe išpirkti ateities finansinius srautus</w:t>
            </w:r>
          </w:p>
        </w:tc>
        <w:tc>
          <w:tcPr>
            <w:tcW w:w="1130" w:type="pct"/>
          </w:tcPr>
          <w:p w14:paraId="2914911B" w14:textId="77777777" w:rsidR="006C4A18" w:rsidRPr="003878A7" w:rsidRDefault="006C4A18" w:rsidP="006C4A18">
            <w:pPr>
              <w:spacing w:before="0" w:after="0"/>
              <w:ind w:firstLine="0"/>
              <w:jc w:val="center"/>
              <w:rPr>
                <w:rFonts w:cs="Times New Roman"/>
                <w:sz w:val="21"/>
                <w:szCs w:val="21"/>
                <w:lang w:val="lt-LT"/>
              </w:rPr>
            </w:pPr>
            <w:r w:rsidRPr="003878A7">
              <w:rPr>
                <w:rFonts w:cs="Times New Roman"/>
                <w:sz w:val="21"/>
                <w:szCs w:val="21"/>
                <w:lang w:val="lt-LT"/>
              </w:rPr>
              <w:t>2,59</w:t>
            </w:r>
          </w:p>
        </w:tc>
      </w:tr>
      <w:tr w:rsidR="006C4A18" w:rsidRPr="003878A7" w14:paraId="44635C45" w14:textId="77777777" w:rsidTr="006C4A18">
        <w:tc>
          <w:tcPr>
            <w:tcW w:w="3870" w:type="pct"/>
          </w:tcPr>
          <w:p w14:paraId="10C783FF" w14:textId="77777777" w:rsidR="006C4A18" w:rsidRPr="003878A7" w:rsidRDefault="006C4A18" w:rsidP="006C4A18">
            <w:pPr>
              <w:spacing w:before="0" w:after="0"/>
              <w:ind w:firstLine="0"/>
              <w:rPr>
                <w:rFonts w:cs="Times New Roman"/>
                <w:bCs/>
                <w:sz w:val="21"/>
                <w:szCs w:val="21"/>
                <w:lang w:val="lt-LT"/>
              </w:rPr>
            </w:pPr>
            <w:r w:rsidRPr="003878A7">
              <w:rPr>
                <w:rFonts w:cs="Times New Roman"/>
                <w:bCs/>
                <w:sz w:val="21"/>
                <w:szCs w:val="21"/>
                <w:lang w:val="lt-LT"/>
              </w:rPr>
              <w:t>Modernizavimo paskolų teikimas per platformą</w:t>
            </w:r>
          </w:p>
        </w:tc>
        <w:tc>
          <w:tcPr>
            <w:tcW w:w="1130" w:type="pct"/>
          </w:tcPr>
          <w:p w14:paraId="511F99FD" w14:textId="77777777" w:rsidR="006C4A18" w:rsidRPr="003878A7" w:rsidRDefault="006C4A18" w:rsidP="006C4A18">
            <w:pPr>
              <w:spacing w:before="0" w:after="0"/>
              <w:ind w:firstLine="0"/>
              <w:jc w:val="center"/>
              <w:rPr>
                <w:rFonts w:cs="Times New Roman"/>
                <w:sz w:val="21"/>
                <w:szCs w:val="21"/>
                <w:lang w:val="lt-LT"/>
              </w:rPr>
            </w:pPr>
            <w:r w:rsidRPr="003878A7">
              <w:rPr>
                <w:rFonts w:cs="Times New Roman"/>
                <w:sz w:val="21"/>
                <w:szCs w:val="21"/>
                <w:lang w:val="lt-LT"/>
              </w:rPr>
              <w:t>5,00</w:t>
            </w:r>
          </w:p>
        </w:tc>
      </w:tr>
    </w:tbl>
    <w:p w14:paraId="10E646A9" w14:textId="77777777" w:rsidR="006C4A18" w:rsidRPr="003878A7" w:rsidRDefault="006C4A18" w:rsidP="006C4A18">
      <w:pPr>
        <w:spacing w:after="0"/>
        <w:rPr>
          <w:rFonts w:cs="Times New Roman"/>
          <w:sz w:val="20"/>
          <w:szCs w:val="20"/>
        </w:rPr>
      </w:pPr>
      <w:r w:rsidRPr="003878A7">
        <w:rPr>
          <w:rFonts w:cs="Times New Roman"/>
          <w:sz w:val="20"/>
          <w:szCs w:val="20"/>
        </w:rPr>
        <w:t>Šaltinis: sudaryta Vertintojų</w:t>
      </w:r>
    </w:p>
    <w:p w14:paraId="16886C7D" w14:textId="0B3D49C4" w:rsidR="006C4A18" w:rsidRPr="003878A7" w:rsidRDefault="00484910" w:rsidP="00223C11">
      <w:pPr>
        <w:rPr>
          <w:rFonts w:cs="Times New Roman"/>
        </w:rPr>
      </w:pPr>
      <w:r w:rsidRPr="003878A7">
        <w:rPr>
          <w:rFonts w:cs="Times New Roman"/>
        </w:rPr>
        <w:t>Apačioje</w:t>
      </w:r>
      <w:r w:rsidR="006C4A18" w:rsidRPr="003878A7">
        <w:rPr>
          <w:rFonts w:cs="Times New Roman"/>
        </w:rPr>
        <w:t xml:space="preserve"> </w:t>
      </w:r>
      <w:r w:rsidRPr="003878A7">
        <w:rPr>
          <w:rFonts w:cs="Times New Roman"/>
        </w:rPr>
        <w:t xml:space="preserve">esančioje lentelėje pateikti </w:t>
      </w:r>
      <w:r w:rsidR="006C4A18" w:rsidRPr="003878A7">
        <w:rPr>
          <w:rFonts w:cs="Times New Roman"/>
        </w:rPr>
        <w:t xml:space="preserve">apskaičiuoti sverto efekto rodikliai centrinės valdžios </w:t>
      </w:r>
      <w:r w:rsidR="004318EC" w:rsidRPr="003878A7">
        <w:rPr>
          <w:rFonts w:cs="Times New Roman"/>
        </w:rPr>
        <w:t>viešųjų</w:t>
      </w:r>
      <w:r w:rsidR="006C4A18" w:rsidRPr="003878A7">
        <w:rPr>
          <w:rFonts w:cs="Times New Roman"/>
        </w:rPr>
        <w:t xml:space="preserve"> pastatų</w:t>
      </w:r>
      <w:r w:rsidR="004318EC" w:rsidRPr="003878A7">
        <w:rPr>
          <w:rFonts w:cs="Times New Roman"/>
        </w:rPr>
        <w:t xml:space="preserve"> ir</w:t>
      </w:r>
      <w:r w:rsidR="006C4A18" w:rsidRPr="003878A7">
        <w:rPr>
          <w:rFonts w:cs="Times New Roman"/>
        </w:rPr>
        <w:t xml:space="preserve"> gatvių apšvietimo renovacijai </w:t>
      </w:r>
      <w:r w:rsidRPr="003878A7">
        <w:rPr>
          <w:rFonts w:cs="Times New Roman"/>
        </w:rPr>
        <w:t>remiantis identifikuotais FP įgyvendinimo scenarijais.</w:t>
      </w:r>
    </w:p>
    <w:p w14:paraId="63748E04" w14:textId="692AFA18" w:rsidR="006C4A18" w:rsidRPr="003878A7" w:rsidRDefault="006C4A18" w:rsidP="006C4A18">
      <w:pPr>
        <w:ind w:firstLine="0"/>
        <w:rPr>
          <w:rFonts w:cs="Times New Roman"/>
          <w:i/>
          <w:iCs/>
        </w:rPr>
      </w:pPr>
      <w:r w:rsidRPr="003878A7">
        <w:rPr>
          <w:rFonts w:cs="Times New Roman"/>
          <w:i/>
          <w:iCs/>
        </w:rPr>
        <w:t xml:space="preserve">Lentelė Nr. </w:t>
      </w:r>
      <w:r w:rsidR="006D7B19">
        <w:rPr>
          <w:rFonts w:cs="Times New Roman"/>
          <w:i/>
          <w:iCs/>
        </w:rPr>
        <w:t>12.</w:t>
      </w:r>
      <w:r w:rsidRPr="003878A7">
        <w:rPr>
          <w:rFonts w:cs="Times New Roman"/>
          <w:i/>
          <w:iCs/>
        </w:rPr>
        <w:t xml:space="preserve"> Centrinės valdžios pastatų ir gatvių apšvietimo renovacijos finansavimo sverto efekto rodikliai pagal atskirus scenarijus</w:t>
      </w:r>
    </w:p>
    <w:tbl>
      <w:tblPr>
        <w:tblStyle w:val="TableGrid"/>
        <w:tblW w:w="5000" w:type="pct"/>
        <w:tblLook w:val="04A0" w:firstRow="1" w:lastRow="0" w:firstColumn="1" w:lastColumn="0" w:noHBand="0" w:noVBand="1"/>
      </w:tblPr>
      <w:tblGrid>
        <w:gridCol w:w="5218"/>
        <w:gridCol w:w="2318"/>
        <w:gridCol w:w="2318"/>
      </w:tblGrid>
      <w:tr w:rsidR="004318EC" w:rsidRPr="003878A7" w14:paraId="4631FA41" w14:textId="77777777" w:rsidTr="004318EC">
        <w:tc>
          <w:tcPr>
            <w:tcW w:w="2648" w:type="pct"/>
            <w:hideMark/>
          </w:tcPr>
          <w:p w14:paraId="1DAC8DCB" w14:textId="77777777" w:rsidR="004318EC" w:rsidRPr="003878A7" w:rsidRDefault="004318EC" w:rsidP="004318EC">
            <w:pPr>
              <w:keepNext/>
              <w:tabs>
                <w:tab w:val="left" w:pos="614"/>
                <w:tab w:val="center" w:pos="3341"/>
              </w:tabs>
              <w:spacing w:before="0" w:after="0"/>
              <w:ind w:firstLine="0"/>
              <w:rPr>
                <w:rFonts w:cs="Times New Roman"/>
                <w:b/>
                <w:bCs/>
                <w:sz w:val="21"/>
                <w:szCs w:val="21"/>
                <w:lang w:val="lt-LT"/>
              </w:rPr>
            </w:pPr>
            <w:r w:rsidRPr="003878A7">
              <w:rPr>
                <w:rFonts w:cs="Times New Roman"/>
                <w:b/>
                <w:bCs/>
                <w:sz w:val="21"/>
                <w:szCs w:val="21"/>
                <w:lang w:val="lt-LT"/>
              </w:rPr>
              <w:t>Scenarijai</w:t>
            </w:r>
          </w:p>
        </w:tc>
        <w:tc>
          <w:tcPr>
            <w:tcW w:w="1176" w:type="pct"/>
          </w:tcPr>
          <w:p w14:paraId="3AD6B3CD" w14:textId="2639E44A" w:rsidR="004318EC" w:rsidRPr="003878A7" w:rsidDel="00BF3EBD" w:rsidRDefault="004318EC" w:rsidP="004318EC">
            <w:pPr>
              <w:keepNext/>
              <w:spacing w:before="0" w:after="0"/>
              <w:ind w:firstLine="0"/>
              <w:jc w:val="center"/>
              <w:rPr>
                <w:rFonts w:cs="Times New Roman"/>
                <w:b/>
                <w:bCs/>
                <w:sz w:val="21"/>
                <w:szCs w:val="21"/>
                <w:lang w:val="lt-LT"/>
              </w:rPr>
            </w:pPr>
            <w:r w:rsidRPr="003878A7">
              <w:rPr>
                <w:rFonts w:cs="Times New Roman"/>
                <w:b/>
                <w:bCs/>
                <w:sz w:val="21"/>
                <w:szCs w:val="21"/>
                <w:lang w:val="lt-LT"/>
              </w:rPr>
              <w:t>Sverto rodiklis: viešųjų pastatų modernizavimas</w:t>
            </w:r>
          </w:p>
        </w:tc>
        <w:tc>
          <w:tcPr>
            <w:tcW w:w="1176" w:type="pct"/>
          </w:tcPr>
          <w:p w14:paraId="7FC8675B" w14:textId="74C37B5A" w:rsidR="004318EC" w:rsidRPr="003878A7" w:rsidDel="00BF3EBD" w:rsidRDefault="004318EC" w:rsidP="004318EC">
            <w:pPr>
              <w:keepNext/>
              <w:spacing w:before="0" w:after="0"/>
              <w:ind w:firstLine="0"/>
              <w:jc w:val="center"/>
              <w:rPr>
                <w:rFonts w:cs="Times New Roman"/>
                <w:b/>
                <w:bCs/>
                <w:sz w:val="21"/>
                <w:szCs w:val="21"/>
                <w:lang w:val="lt-LT"/>
              </w:rPr>
            </w:pPr>
            <w:r w:rsidRPr="003878A7">
              <w:rPr>
                <w:rFonts w:cs="Times New Roman"/>
                <w:b/>
                <w:bCs/>
                <w:sz w:val="21"/>
                <w:szCs w:val="21"/>
                <w:lang w:val="lt-LT"/>
              </w:rPr>
              <w:t>Sverto rodiklis: gatvių apšvietimo modernizavimas</w:t>
            </w:r>
          </w:p>
        </w:tc>
      </w:tr>
      <w:tr w:rsidR="004318EC" w:rsidRPr="003878A7" w14:paraId="78F5988A" w14:textId="77777777" w:rsidTr="006C4A18">
        <w:tc>
          <w:tcPr>
            <w:tcW w:w="2648" w:type="pct"/>
            <w:hideMark/>
          </w:tcPr>
          <w:p w14:paraId="4E0E9503" w14:textId="77777777" w:rsidR="004318EC" w:rsidRPr="003878A7" w:rsidRDefault="004318EC" w:rsidP="004318EC">
            <w:pPr>
              <w:keepNext/>
              <w:spacing w:before="0" w:after="0"/>
              <w:ind w:firstLine="0"/>
              <w:rPr>
                <w:rFonts w:cs="Times New Roman"/>
                <w:bCs/>
                <w:sz w:val="21"/>
                <w:szCs w:val="21"/>
                <w:lang w:val="lt-LT"/>
              </w:rPr>
            </w:pPr>
            <w:r w:rsidRPr="003878A7">
              <w:rPr>
                <w:rFonts w:cs="Times New Roman"/>
                <w:bCs/>
                <w:sz w:val="21"/>
                <w:szCs w:val="21"/>
                <w:lang w:val="lt-LT"/>
              </w:rPr>
              <w:t>Paskola</w:t>
            </w:r>
          </w:p>
        </w:tc>
        <w:tc>
          <w:tcPr>
            <w:tcW w:w="1176" w:type="pct"/>
          </w:tcPr>
          <w:p w14:paraId="2077738D" w14:textId="77777777" w:rsidR="004318EC" w:rsidRPr="003878A7" w:rsidDel="00BF3EBD" w:rsidRDefault="004318EC" w:rsidP="004318EC">
            <w:pPr>
              <w:keepNext/>
              <w:spacing w:before="0" w:after="0"/>
              <w:ind w:firstLine="0"/>
              <w:jc w:val="center"/>
              <w:rPr>
                <w:rFonts w:cs="Times New Roman"/>
                <w:sz w:val="21"/>
                <w:szCs w:val="21"/>
                <w:lang w:val="lt-LT"/>
              </w:rPr>
            </w:pPr>
            <w:r w:rsidRPr="003878A7">
              <w:rPr>
                <w:rFonts w:cs="Times New Roman"/>
                <w:sz w:val="21"/>
                <w:szCs w:val="21"/>
                <w:lang w:val="lt-LT"/>
              </w:rPr>
              <w:t>1,05</w:t>
            </w:r>
          </w:p>
        </w:tc>
        <w:tc>
          <w:tcPr>
            <w:tcW w:w="1176" w:type="pct"/>
          </w:tcPr>
          <w:p w14:paraId="2198AB6F" w14:textId="77777777" w:rsidR="004318EC" w:rsidRPr="003878A7" w:rsidRDefault="004318EC" w:rsidP="004318EC">
            <w:pPr>
              <w:keepNext/>
              <w:spacing w:before="0" w:after="0"/>
              <w:ind w:firstLine="0"/>
              <w:jc w:val="center"/>
              <w:rPr>
                <w:rFonts w:cs="Times New Roman"/>
                <w:sz w:val="21"/>
                <w:szCs w:val="21"/>
                <w:lang w:val="lt-LT"/>
              </w:rPr>
            </w:pPr>
            <w:r w:rsidRPr="003878A7">
              <w:rPr>
                <w:rFonts w:cs="Times New Roman"/>
                <w:sz w:val="21"/>
                <w:szCs w:val="21"/>
                <w:lang w:val="lt-LT"/>
              </w:rPr>
              <w:t>1,05</w:t>
            </w:r>
          </w:p>
        </w:tc>
      </w:tr>
      <w:tr w:rsidR="004318EC" w:rsidRPr="003878A7" w14:paraId="22CEE577" w14:textId="77777777" w:rsidTr="006C4A18">
        <w:tc>
          <w:tcPr>
            <w:tcW w:w="2648" w:type="pct"/>
            <w:hideMark/>
          </w:tcPr>
          <w:p w14:paraId="00E9D076" w14:textId="77777777" w:rsidR="004318EC" w:rsidRPr="003878A7" w:rsidRDefault="004318EC" w:rsidP="004318EC">
            <w:pPr>
              <w:keepNext/>
              <w:spacing w:before="0" w:after="0"/>
              <w:ind w:firstLine="0"/>
              <w:rPr>
                <w:rFonts w:cs="Times New Roman"/>
                <w:bCs/>
                <w:sz w:val="21"/>
                <w:szCs w:val="21"/>
                <w:lang w:val="lt-LT"/>
              </w:rPr>
            </w:pPr>
            <w:r w:rsidRPr="003878A7">
              <w:rPr>
                <w:rFonts w:cs="Times New Roman"/>
                <w:bCs/>
                <w:sz w:val="21"/>
                <w:szCs w:val="21"/>
                <w:lang w:val="lt-LT"/>
              </w:rPr>
              <w:t>Paskolų teikimas taikant paskolų išpirkimo modelį</w:t>
            </w:r>
          </w:p>
        </w:tc>
        <w:tc>
          <w:tcPr>
            <w:tcW w:w="1176" w:type="pct"/>
          </w:tcPr>
          <w:p w14:paraId="24EEE8C1" w14:textId="77777777" w:rsidR="004318EC" w:rsidRPr="003878A7" w:rsidDel="00BF3EBD" w:rsidRDefault="004318EC" w:rsidP="004318EC">
            <w:pPr>
              <w:keepNext/>
              <w:spacing w:before="0" w:after="0"/>
              <w:ind w:firstLine="0"/>
              <w:jc w:val="center"/>
              <w:rPr>
                <w:rFonts w:cs="Times New Roman"/>
                <w:sz w:val="21"/>
                <w:szCs w:val="21"/>
                <w:lang w:val="lt-LT"/>
              </w:rPr>
            </w:pPr>
            <w:r w:rsidRPr="003878A7">
              <w:rPr>
                <w:rFonts w:cs="Times New Roman"/>
                <w:sz w:val="21"/>
                <w:szCs w:val="21"/>
                <w:lang w:val="lt-LT"/>
              </w:rPr>
              <w:t>2,03</w:t>
            </w:r>
          </w:p>
        </w:tc>
        <w:tc>
          <w:tcPr>
            <w:tcW w:w="1176" w:type="pct"/>
          </w:tcPr>
          <w:p w14:paraId="7C63FC31" w14:textId="77777777" w:rsidR="004318EC" w:rsidRPr="003878A7" w:rsidRDefault="004318EC" w:rsidP="004318EC">
            <w:pPr>
              <w:keepNext/>
              <w:spacing w:before="0" w:after="0"/>
              <w:ind w:firstLine="0"/>
              <w:jc w:val="center"/>
              <w:rPr>
                <w:rFonts w:cs="Times New Roman"/>
                <w:sz w:val="21"/>
                <w:szCs w:val="21"/>
                <w:lang w:val="lt-LT"/>
              </w:rPr>
            </w:pPr>
            <w:r w:rsidRPr="003878A7">
              <w:rPr>
                <w:rFonts w:cs="Times New Roman"/>
                <w:sz w:val="21"/>
                <w:szCs w:val="21"/>
                <w:lang w:val="lt-LT"/>
              </w:rPr>
              <w:t>1,82</w:t>
            </w:r>
          </w:p>
        </w:tc>
      </w:tr>
      <w:tr w:rsidR="004318EC" w:rsidRPr="003878A7" w14:paraId="27CBBA97" w14:textId="77777777" w:rsidTr="006C4A18">
        <w:tc>
          <w:tcPr>
            <w:tcW w:w="2648" w:type="pct"/>
            <w:hideMark/>
          </w:tcPr>
          <w:p w14:paraId="7645D99F" w14:textId="77777777" w:rsidR="004318EC" w:rsidRPr="003878A7" w:rsidRDefault="004318EC" w:rsidP="004318EC">
            <w:pPr>
              <w:spacing w:before="0" w:after="0"/>
              <w:ind w:firstLine="0"/>
              <w:rPr>
                <w:rFonts w:cs="Times New Roman"/>
                <w:bCs/>
                <w:sz w:val="21"/>
                <w:szCs w:val="21"/>
                <w:lang w:val="lt-LT"/>
              </w:rPr>
            </w:pPr>
            <w:r w:rsidRPr="003878A7">
              <w:rPr>
                <w:rFonts w:cs="Times New Roman"/>
                <w:bCs/>
                <w:sz w:val="21"/>
                <w:szCs w:val="21"/>
                <w:lang w:val="lt-LT"/>
              </w:rPr>
              <w:t xml:space="preserve">Paskolų teikimas taikant asimetrinio rizikos pasidalijimo modelį </w:t>
            </w:r>
          </w:p>
        </w:tc>
        <w:tc>
          <w:tcPr>
            <w:tcW w:w="1176" w:type="pct"/>
          </w:tcPr>
          <w:p w14:paraId="70BAAF55" w14:textId="77777777" w:rsidR="004318EC" w:rsidRPr="003878A7" w:rsidDel="00BF3EBD" w:rsidRDefault="004318EC" w:rsidP="004318EC">
            <w:pPr>
              <w:spacing w:before="0" w:after="0"/>
              <w:ind w:firstLine="0"/>
              <w:jc w:val="center"/>
              <w:rPr>
                <w:rFonts w:cs="Times New Roman"/>
                <w:sz w:val="21"/>
                <w:szCs w:val="21"/>
                <w:lang w:val="lt-LT"/>
              </w:rPr>
            </w:pPr>
            <w:r w:rsidRPr="003878A7">
              <w:rPr>
                <w:rFonts w:cs="Times New Roman"/>
                <w:sz w:val="21"/>
                <w:szCs w:val="21"/>
                <w:lang w:val="lt-LT"/>
              </w:rPr>
              <w:t>1,71</w:t>
            </w:r>
          </w:p>
        </w:tc>
        <w:tc>
          <w:tcPr>
            <w:tcW w:w="1176" w:type="pct"/>
          </w:tcPr>
          <w:p w14:paraId="44E53269" w14:textId="77777777" w:rsidR="004318EC" w:rsidRPr="003878A7" w:rsidRDefault="004318EC" w:rsidP="004318EC">
            <w:pPr>
              <w:spacing w:before="0" w:after="0"/>
              <w:ind w:firstLine="0"/>
              <w:jc w:val="center"/>
              <w:rPr>
                <w:rFonts w:cs="Times New Roman"/>
                <w:sz w:val="21"/>
                <w:szCs w:val="21"/>
                <w:lang w:val="lt-LT"/>
              </w:rPr>
            </w:pPr>
            <w:r w:rsidRPr="003878A7">
              <w:rPr>
                <w:rFonts w:cs="Times New Roman"/>
                <w:sz w:val="21"/>
                <w:szCs w:val="21"/>
                <w:lang w:val="lt-LT"/>
              </w:rPr>
              <w:t>3,26</w:t>
            </w:r>
          </w:p>
        </w:tc>
      </w:tr>
      <w:tr w:rsidR="004318EC" w:rsidRPr="003878A7" w14:paraId="582DDCDD" w14:textId="77777777" w:rsidTr="006C4A18">
        <w:tc>
          <w:tcPr>
            <w:tcW w:w="2648" w:type="pct"/>
            <w:hideMark/>
          </w:tcPr>
          <w:p w14:paraId="4DC20188" w14:textId="77777777" w:rsidR="004318EC" w:rsidRPr="003878A7" w:rsidRDefault="004318EC" w:rsidP="004318EC">
            <w:pPr>
              <w:spacing w:before="0" w:after="0"/>
              <w:ind w:firstLine="0"/>
              <w:rPr>
                <w:rFonts w:cs="Times New Roman"/>
                <w:bCs/>
                <w:sz w:val="21"/>
                <w:szCs w:val="21"/>
                <w:lang w:val="lt-LT"/>
              </w:rPr>
            </w:pPr>
            <w:r w:rsidRPr="003878A7">
              <w:rPr>
                <w:rFonts w:cs="Times New Roman"/>
                <w:bCs/>
                <w:sz w:val="21"/>
                <w:szCs w:val="21"/>
                <w:lang w:val="lt-LT"/>
              </w:rPr>
              <w:t>Garantija</w:t>
            </w:r>
          </w:p>
        </w:tc>
        <w:tc>
          <w:tcPr>
            <w:tcW w:w="1176" w:type="pct"/>
          </w:tcPr>
          <w:p w14:paraId="26C18D9B" w14:textId="77777777" w:rsidR="004318EC" w:rsidRPr="003878A7" w:rsidDel="00BF3EBD" w:rsidRDefault="004318EC" w:rsidP="004318EC">
            <w:pPr>
              <w:spacing w:before="0" w:after="0"/>
              <w:ind w:firstLine="0"/>
              <w:jc w:val="center"/>
              <w:rPr>
                <w:rFonts w:cs="Times New Roman"/>
                <w:sz w:val="21"/>
                <w:szCs w:val="21"/>
                <w:lang w:val="lt-LT"/>
              </w:rPr>
            </w:pPr>
            <w:r w:rsidRPr="003878A7">
              <w:rPr>
                <w:rFonts w:cs="Times New Roman"/>
                <w:sz w:val="21"/>
                <w:szCs w:val="21"/>
                <w:lang w:val="lt-LT"/>
              </w:rPr>
              <w:t>3,13</w:t>
            </w:r>
          </w:p>
        </w:tc>
        <w:tc>
          <w:tcPr>
            <w:tcW w:w="1176" w:type="pct"/>
          </w:tcPr>
          <w:p w14:paraId="6A624CEC" w14:textId="77777777" w:rsidR="004318EC" w:rsidRPr="003878A7" w:rsidRDefault="004318EC" w:rsidP="004318EC">
            <w:pPr>
              <w:spacing w:before="0" w:after="0"/>
              <w:ind w:firstLine="0"/>
              <w:jc w:val="center"/>
              <w:rPr>
                <w:rFonts w:cs="Times New Roman"/>
                <w:sz w:val="21"/>
                <w:szCs w:val="21"/>
                <w:lang w:val="lt-LT"/>
              </w:rPr>
            </w:pPr>
            <w:r w:rsidRPr="003878A7">
              <w:rPr>
                <w:rFonts w:cs="Times New Roman"/>
                <w:sz w:val="21"/>
                <w:szCs w:val="21"/>
                <w:lang w:val="lt-LT"/>
              </w:rPr>
              <w:t>3,42</w:t>
            </w:r>
          </w:p>
        </w:tc>
      </w:tr>
    </w:tbl>
    <w:p w14:paraId="5EFF8C88" w14:textId="77777777" w:rsidR="006C4A18" w:rsidRPr="003878A7" w:rsidRDefault="006C4A18" w:rsidP="006C4A18">
      <w:pPr>
        <w:spacing w:after="0"/>
        <w:rPr>
          <w:rFonts w:cs="Times New Roman"/>
          <w:sz w:val="20"/>
          <w:szCs w:val="20"/>
        </w:rPr>
      </w:pPr>
      <w:r w:rsidRPr="003878A7">
        <w:rPr>
          <w:rFonts w:cs="Times New Roman"/>
          <w:sz w:val="20"/>
          <w:szCs w:val="20"/>
        </w:rPr>
        <w:t>Šaltinis: sudaryta Vertintojų</w:t>
      </w:r>
    </w:p>
    <w:p w14:paraId="48BC0657" w14:textId="48D0E75D" w:rsidR="00484910" w:rsidRPr="003878A7" w:rsidRDefault="00484910" w:rsidP="00223C11">
      <w:pPr>
        <w:rPr>
          <w:rFonts w:cs="Times New Roman"/>
        </w:rPr>
      </w:pPr>
      <w:r w:rsidRPr="003878A7">
        <w:rPr>
          <w:rFonts w:cs="Times New Roman"/>
        </w:rPr>
        <w:t xml:space="preserve">Apačioje esančioje lentelėje pateikti apskaičiuoti sverto efekto rodikliai </w:t>
      </w:r>
      <w:r w:rsidR="00223C11" w:rsidRPr="003878A7">
        <w:rPr>
          <w:rFonts w:cs="Times New Roman"/>
        </w:rPr>
        <w:t>savivaldybės</w:t>
      </w:r>
      <w:r w:rsidRPr="003878A7">
        <w:rPr>
          <w:rFonts w:cs="Times New Roman"/>
        </w:rPr>
        <w:t xml:space="preserve"> pastatų renovacijai remiantis identifikuotais FP įgyvendinimo scenarijais.</w:t>
      </w:r>
    </w:p>
    <w:p w14:paraId="2C125BE7" w14:textId="3BF16940" w:rsidR="006C4A18" w:rsidRPr="003878A7" w:rsidRDefault="006C4A18" w:rsidP="006C4A18">
      <w:pPr>
        <w:ind w:firstLine="0"/>
        <w:rPr>
          <w:rFonts w:cs="Times New Roman"/>
          <w:i/>
          <w:iCs/>
        </w:rPr>
      </w:pPr>
      <w:r w:rsidRPr="003878A7">
        <w:rPr>
          <w:rFonts w:cs="Times New Roman"/>
          <w:i/>
          <w:iCs/>
        </w:rPr>
        <w:t xml:space="preserve">Lentelė Nr. </w:t>
      </w:r>
      <w:r w:rsidR="006D7B19">
        <w:rPr>
          <w:rFonts w:cs="Times New Roman"/>
          <w:i/>
          <w:iCs/>
        </w:rPr>
        <w:t>13.</w:t>
      </w:r>
      <w:r w:rsidRPr="003878A7">
        <w:rPr>
          <w:rFonts w:cs="Times New Roman"/>
          <w:i/>
          <w:iCs/>
        </w:rPr>
        <w:t xml:space="preserve"> Savivaldybių viešųjų pastatų modernizavimo finansinio sverto efekto rodikliai pagal atskirus scenarijus</w:t>
      </w:r>
    </w:p>
    <w:tbl>
      <w:tblPr>
        <w:tblStyle w:val="TableGrid"/>
        <w:tblW w:w="5000" w:type="pct"/>
        <w:tblLook w:val="04A0" w:firstRow="1" w:lastRow="0" w:firstColumn="1" w:lastColumn="0" w:noHBand="0" w:noVBand="1"/>
      </w:tblPr>
      <w:tblGrid>
        <w:gridCol w:w="7467"/>
        <w:gridCol w:w="2387"/>
      </w:tblGrid>
      <w:tr w:rsidR="006C4A18" w:rsidRPr="003878A7" w14:paraId="34EC84F5" w14:textId="77777777" w:rsidTr="006C4A18">
        <w:tc>
          <w:tcPr>
            <w:tcW w:w="3789" w:type="pct"/>
            <w:hideMark/>
          </w:tcPr>
          <w:p w14:paraId="47A96056" w14:textId="77777777" w:rsidR="006C4A18" w:rsidRPr="003878A7" w:rsidRDefault="006C4A18" w:rsidP="006C4A18">
            <w:pPr>
              <w:keepNext/>
              <w:tabs>
                <w:tab w:val="left" w:pos="614"/>
                <w:tab w:val="center" w:pos="3341"/>
              </w:tabs>
              <w:spacing w:before="0" w:after="0"/>
              <w:ind w:firstLine="0"/>
              <w:rPr>
                <w:rFonts w:cs="Times New Roman"/>
                <w:b/>
                <w:bCs/>
                <w:sz w:val="21"/>
                <w:szCs w:val="21"/>
                <w:lang w:val="lt-LT"/>
              </w:rPr>
            </w:pPr>
            <w:r w:rsidRPr="003878A7">
              <w:rPr>
                <w:rFonts w:cs="Times New Roman"/>
                <w:b/>
                <w:bCs/>
                <w:sz w:val="21"/>
                <w:szCs w:val="21"/>
                <w:lang w:val="lt-LT"/>
              </w:rPr>
              <w:t>Scenarijai</w:t>
            </w:r>
          </w:p>
        </w:tc>
        <w:tc>
          <w:tcPr>
            <w:tcW w:w="1211" w:type="pct"/>
          </w:tcPr>
          <w:p w14:paraId="47E19A62" w14:textId="77777777" w:rsidR="006C4A18" w:rsidRPr="003878A7" w:rsidRDefault="006C4A18" w:rsidP="006C4A18">
            <w:pPr>
              <w:keepNext/>
              <w:tabs>
                <w:tab w:val="left" w:pos="614"/>
                <w:tab w:val="center" w:pos="3341"/>
              </w:tabs>
              <w:spacing w:before="0" w:after="0"/>
              <w:ind w:firstLine="0"/>
              <w:jc w:val="center"/>
              <w:rPr>
                <w:rFonts w:cs="Times New Roman"/>
                <w:b/>
                <w:bCs/>
                <w:sz w:val="21"/>
                <w:szCs w:val="21"/>
                <w:lang w:val="lt-LT"/>
              </w:rPr>
            </w:pPr>
            <w:r w:rsidRPr="003878A7">
              <w:rPr>
                <w:rFonts w:cs="Times New Roman"/>
                <w:b/>
                <w:bCs/>
                <w:sz w:val="21"/>
                <w:szCs w:val="21"/>
                <w:lang w:val="lt-LT"/>
              </w:rPr>
              <w:t>Sverto efektas</w:t>
            </w:r>
          </w:p>
        </w:tc>
      </w:tr>
      <w:tr w:rsidR="006C4A18" w:rsidRPr="003878A7" w14:paraId="4C3AB68F" w14:textId="77777777" w:rsidTr="006C4A18">
        <w:tc>
          <w:tcPr>
            <w:tcW w:w="3789" w:type="pct"/>
            <w:hideMark/>
          </w:tcPr>
          <w:p w14:paraId="70B57F4C" w14:textId="77777777" w:rsidR="006C4A18" w:rsidRPr="003878A7" w:rsidRDefault="006C4A18" w:rsidP="006C4A18">
            <w:pPr>
              <w:keepNext/>
              <w:spacing w:before="0" w:after="0"/>
              <w:ind w:firstLine="0"/>
              <w:rPr>
                <w:rFonts w:cs="Times New Roman"/>
                <w:sz w:val="21"/>
                <w:szCs w:val="21"/>
                <w:lang w:val="lt-LT"/>
              </w:rPr>
            </w:pPr>
            <w:r w:rsidRPr="003878A7">
              <w:rPr>
                <w:rFonts w:cs="Times New Roman"/>
                <w:sz w:val="21"/>
                <w:szCs w:val="21"/>
                <w:lang w:val="lt-LT"/>
              </w:rPr>
              <w:t>Paskola</w:t>
            </w:r>
          </w:p>
        </w:tc>
        <w:tc>
          <w:tcPr>
            <w:tcW w:w="1211" w:type="pct"/>
          </w:tcPr>
          <w:p w14:paraId="7DE16DB5" w14:textId="77777777" w:rsidR="006C4A18" w:rsidRPr="003878A7" w:rsidRDefault="006C4A18" w:rsidP="006C4A18">
            <w:pPr>
              <w:keepNext/>
              <w:spacing w:before="0" w:after="0"/>
              <w:ind w:firstLine="0"/>
              <w:jc w:val="center"/>
              <w:rPr>
                <w:rFonts w:cs="Times New Roman"/>
                <w:sz w:val="21"/>
                <w:szCs w:val="21"/>
                <w:lang w:val="lt-LT"/>
              </w:rPr>
            </w:pPr>
            <w:r w:rsidRPr="003878A7">
              <w:rPr>
                <w:rFonts w:cs="Times New Roman"/>
                <w:sz w:val="21"/>
                <w:szCs w:val="21"/>
                <w:lang w:val="lt-LT"/>
              </w:rPr>
              <w:t>1,13</w:t>
            </w:r>
          </w:p>
        </w:tc>
      </w:tr>
      <w:tr w:rsidR="006C4A18" w:rsidRPr="003878A7" w14:paraId="267DA3CA" w14:textId="77777777" w:rsidTr="006C4A18">
        <w:tc>
          <w:tcPr>
            <w:tcW w:w="3789" w:type="pct"/>
            <w:hideMark/>
          </w:tcPr>
          <w:p w14:paraId="037A64E5" w14:textId="77777777" w:rsidR="006C4A18" w:rsidRPr="003878A7" w:rsidRDefault="006C4A18" w:rsidP="006C4A18">
            <w:pPr>
              <w:keepNext/>
              <w:spacing w:before="0" w:after="0"/>
              <w:ind w:firstLine="0"/>
              <w:rPr>
                <w:rFonts w:cs="Times New Roman"/>
                <w:sz w:val="21"/>
                <w:szCs w:val="21"/>
                <w:lang w:val="lt-LT"/>
              </w:rPr>
            </w:pPr>
            <w:r w:rsidRPr="003878A7">
              <w:rPr>
                <w:rFonts w:cs="Times New Roman"/>
                <w:sz w:val="21"/>
                <w:szCs w:val="21"/>
                <w:lang w:val="lt-LT"/>
              </w:rPr>
              <w:t>Paskolų teikimas taikant paskolų išpirkimo modelį</w:t>
            </w:r>
          </w:p>
        </w:tc>
        <w:tc>
          <w:tcPr>
            <w:tcW w:w="1211" w:type="pct"/>
          </w:tcPr>
          <w:p w14:paraId="097D499C" w14:textId="77777777" w:rsidR="006C4A18" w:rsidRPr="003878A7" w:rsidRDefault="006C4A18" w:rsidP="006C4A18">
            <w:pPr>
              <w:keepNext/>
              <w:spacing w:before="0" w:after="0"/>
              <w:ind w:firstLine="0"/>
              <w:jc w:val="center"/>
              <w:rPr>
                <w:rFonts w:cs="Times New Roman"/>
                <w:sz w:val="21"/>
                <w:szCs w:val="21"/>
                <w:lang w:val="lt-LT"/>
              </w:rPr>
            </w:pPr>
            <w:r w:rsidRPr="003878A7">
              <w:rPr>
                <w:rFonts w:cs="Times New Roman"/>
                <w:sz w:val="21"/>
                <w:szCs w:val="21"/>
                <w:lang w:val="lt-LT"/>
              </w:rPr>
              <w:t>1,45</w:t>
            </w:r>
          </w:p>
        </w:tc>
      </w:tr>
      <w:tr w:rsidR="006C4A18" w:rsidRPr="003878A7" w14:paraId="0CED6623" w14:textId="77777777" w:rsidTr="006C4A18">
        <w:tc>
          <w:tcPr>
            <w:tcW w:w="3789" w:type="pct"/>
            <w:hideMark/>
          </w:tcPr>
          <w:p w14:paraId="3D01461D" w14:textId="77777777" w:rsidR="006C4A18" w:rsidRPr="003878A7" w:rsidRDefault="006C4A18" w:rsidP="006C4A18">
            <w:pPr>
              <w:spacing w:before="0" w:after="0"/>
              <w:ind w:firstLine="0"/>
              <w:rPr>
                <w:rFonts w:cs="Times New Roman"/>
                <w:sz w:val="21"/>
                <w:szCs w:val="21"/>
                <w:lang w:val="lt-LT"/>
              </w:rPr>
            </w:pPr>
            <w:r w:rsidRPr="003878A7">
              <w:rPr>
                <w:rFonts w:cs="Times New Roman"/>
                <w:sz w:val="21"/>
                <w:szCs w:val="21"/>
                <w:lang w:val="lt-LT"/>
              </w:rPr>
              <w:t xml:space="preserve">Paskolų teikimas taikant asimetrinio rizikos pasidalijimo modelį </w:t>
            </w:r>
          </w:p>
        </w:tc>
        <w:tc>
          <w:tcPr>
            <w:tcW w:w="1211" w:type="pct"/>
          </w:tcPr>
          <w:p w14:paraId="74EB962E" w14:textId="77777777" w:rsidR="006C4A18" w:rsidRPr="003878A7" w:rsidRDefault="006C4A18" w:rsidP="006C4A18">
            <w:pPr>
              <w:spacing w:before="0" w:after="0"/>
              <w:ind w:firstLine="0"/>
              <w:jc w:val="center"/>
              <w:rPr>
                <w:rFonts w:cs="Times New Roman"/>
                <w:sz w:val="21"/>
                <w:szCs w:val="21"/>
                <w:lang w:val="lt-LT"/>
              </w:rPr>
            </w:pPr>
            <w:r w:rsidRPr="003878A7">
              <w:rPr>
                <w:rFonts w:cs="Times New Roman"/>
                <w:sz w:val="21"/>
                <w:szCs w:val="21"/>
                <w:lang w:val="lt-LT"/>
              </w:rPr>
              <w:t>2,02</w:t>
            </w:r>
          </w:p>
        </w:tc>
      </w:tr>
      <w:tr w:rsidR="006C4A18" w:rsidRPr="003878A7" w14:paraId="755346AB" w14:textId="77777777" w:rsidTr="006C4A18">
        <w:tc>
          <w:tcPr>
            <w:tcW w:w="3789" w:type="pct"/>
            <w:hideMark/>
          </w:tcPr>
          <w:p w14:paraId="0A741746" w14:textId="77777777" w:rsidR="006C4A18" w:rsidRPr="003878A7" w:rsidRDefault="006C4A18" w:rsidP="006C4A18">
            <w:pPr>
              <w:spacing w:before="0" w:after="0"/>
              <w:ind w:firstLine="0"/>
              <w:rPr>
                <w:rFonts w:cs="Times New Roman"/>
                <w:sz w:val="21"/>
                <w:szCs w:val="21"/>
                <w:lang w:val="lt-LT"/>
              </w:rPr>
            </w:pPr>
            <w:r w:rsidRPr="003878A7">
              <w:rPr>
                <w:rFonts w:cs="Times New Roman"/>
                <w:sz w:val="21"/>
                <w:szCs w:val="21"/>
                <w:lang w:val="lt-LT"/>
              </w:rPr>
              <w:t>Garantija</w:t>
            </w:r>
          </w:p>
        </w:tc>
        <w:tc>
          <w:tcPr>
            <w:tcW w:w="1211" w:type="pct"/>
          </w:tcPr>
          <w:p w14:paraId="22AD81A4" w14:textId="77777777" w:rsidR="006C4A18" w:rsidRPr="003878A7" w:rsidRDefault="006C4A18" w:rsidP="006C4A18">
            <w:pPr>
              <w:spacing w:before="0" w:after="0"/>
              <w:ind w:firstLine="0"/>
              <w:jc w:val="center"/>
              <w:rPr>
                <w:rFonts w:cs="Times New Roman"/>
                <w:sz w:val="21"/>
                <w:szCs w:val="21"/>
                <w:lang w:val="lt-LT"/>
              </w:rPr>
            </w:pPr>
            <w:r w:rsidRPr="003878A7">
              <w:rPr>
                <w:rFonts w:cs="Times New Roman"/>
                <w:sz w:val="21"/>
                <w:szCs w:val="21"/>
                <w:lang w:val="lt-LT"/>
              </w:rPr>
              <w:t>3,77</w:t>
            </w:r>
          </w:p>
        </w:tc>
      </w:tr>
    </w:tbl>
    <w:p w14:paraId="2992AEAD" w14:textId="77777777" w:rsidR="006C4A18" w:rsidRPr="003878A7" w:rsidRDefault="006C4A18" w:rsidP="006C4A18">
      <w:pPr>
        <w:spacing w:after="0"/>
        <w:rPr>
          <w:rFonts w:cs="Times New Roman"/>
          <w:sz w:val="20"/>
          <w:szCs w:val="20"/>
        </w:rPr>
      </w:pPr>
      <w:r w:rsidRPr="003878A7">
        <w:rPr>
          <w:rFonts w:cs="Times New Roman"/>
          <w:sz w:val="20"/>
          <w:szCs w:val="20"/>
        </w:rPr>
        <w:t>Šaltinis: sudaryta Vertintojų</w:t>
      </w:r>
    </w:p>
    <w:p w14:paraId="3A3D3478" w14:textId="5DD90D0E" w:rsidR="006C4A18" w:rsidRPr="003878A7" w:rsidRDefault="006C4A18" w:rsidP="006C4A18">
      <w:pPr>
        <w:rPr>
          <w:rFonts w:cs="Times New Roman"/>
        </w:rPr>
      </w:pPr>
      <w:r w:rsidRPr="003878A7">
        <w:rPr>
          <w:rFonts w:cs="Times New Roman"/>
        </w:rPr>
        <w:t xml:space="preserve">Skaičiavimai rodo, jog savivaldybių viešųjų pastatų renovacijos atveju didžiausias sverto efekto rodiklis pasiekiamas visas lėšas nukreipus garantijų priemonės įgyvendinimui (sverto efekto rodiklis 3,77). Antras pagal dydį sverto efekto rodiklis pasiekiamas, kai turimo lėšos įnešamos į rizikos pasidalijimo fondą. </w:t>
      </w:r>
      <w:r w:rsidR="00484910" w:rsidRPr="003878A7">
        <w:rPr>
          <w:rFonts w:cs="Times New Roman"/>
        </w:rPr>
        <w:t>Visgi, p</w:t>
      </w:r>
      <w:r w:rsidRPr="003878A7">
        <w:rPr>
          <w:rFonts w:cs="Times New Roman"/>
        </w:rPr>
        <w:t xml:space="preserve">asirinkimas vertinant tik sverto efektą nėra racionalus, todėl </w:t>
      </w:r>
      <w:r w:rsidR="00484910" w:rsidRPr="003878A7">
        <w:rPr>
          <w:rFonts w:cs="Times New Roman"/>
        </w:rPr>
        <w:t xml:space="preserve">sverto efekto skaičiavimas yra </w:t>
      </w:r>
      <w:r w:rsidRPr="003878A7">
        <w:rPr>
          <w:rFonts w:cs="Times New Roman"/>
        </w:rPr>
        <w:t>vertinamas tik kaip vienas iš kriterijų.</w:t>
      </w:r>
    </w:p>
    <w:p w14:paraId="47B2CD02" w14:textId="7A620E6E" w:rsidR="00C56D32" w:rsidRPr="003878A7" w:rsidRDefault="00C56D32" w:rsidP="00B22949">
      <w:pPr>
        <w:pStyle w:val="Heading1"/>
        <w:numPr>
          <w:ilvl w:val="0"/>
          <w:numId w:val="3"/>
        </w:numPr>
        <w:rPr>
          <w:rFonts w:cs="Times New Roman"/>
        </w:rPr>
      </w:pPr>
      <w:bookmarkStart w:id="38" w:name="_Toc62131239"/>
      <w:bookmarkStart w:id="39" w:name="_Toc70532879"/>
      <w:r w:rsidRPr="003878A7">
        <w:rPr>
          <w:rFonts w:cs="Times New Roman"/>
        </w:rPr>
        <w:lastRenderedPageBreak/>
        <w:t>Ankstesnių ir dabartinių priemonių palyginimas</w:t>
      </w:r>
      <w:bookmarkEnd w:id="38"/>
      <w:bookmarkEnd w:id="39"/>
    </w:p>
    <w:p w14:paraId="54FD6689" w14:textId="6696721D" w:rsidR="002C31C8" w:rsidRPr="003878A7" w:rsidRDefault="002C31C8" w:rsidP="002C31C8">
      <w:pPr>
        <w:rPr>
          <w:rFonts w:cs="Times New Roman"/>
        </w:rPr>
      </w:pPr>
      <w:r w:rsidRPr="003878A7">
        <w:rPr>
          <w:rFonts w:cs="Times New Roman"/>
        </w:rPr>
        <w:t xml:space="preserve">Šioje </w:t>
      </w:r>
      <w:r w:rsidR="006C4A18" w:rsidRPr="003878A7">
        <w:rPr>
          <w:rFonts w:cs="Times New Roman"/>
        </w:rPr>
        <w:t>Vertinimo</w:t>
      </w:r>
      <w:r w:rsidRPr="003878A7">
        <w:rPr>
          <w:rFonts w:cs="Times New Roman"/>
        </w:rPr>
        <w:t xml:space="preserve"> dalyje apžvelgiama </w:t>
      </w:r>
      <w:r w:rsidR="006C4A18" w:rsidRPr="003878A7">
        <w:rPr>
          <w:rFonts w:cs="Times New Roman"/>
        </w:rPr>
        <w:t>FP</w:t>
      </w:r>
      <w:r w:rsidRPr="003878A7">
        <w:rPr>
          <w:rFonts w:cs="Times New Roman"/>
        </w:rPr>
        <w:t xml:space="preserve"> įgyvendinimo patirtis orientuojantis į </w:t>
      </w:r>
      <w:r w:rsidR="00251B01" w:rsidRPr="003878A7">
        <w:rPr>
          <w:rFonts w:cs="Times New Roman"/>
        </w:rPr>
        <w:t>FP</w:t>
      </w:r>
      <w:r w:rsidRPr="003878A7">
        <w:rPr>
          <w:rFonts w:cs="Times New Roman"/>
        </w:rPr>
        <w:t xml:space="preserve">, finansuojančias projektus </w:t>
      </w:r>
      <w:r w:rsidR="00CF06EF" w:rsidRPr="003878A7">
        <w:rPr>
          <w:rFonts w:cs="Times New Roman"/>
        </w:rPr>
        <w:t>EE</w:t>
      </w:r>
      <w:r w:rsidRPr="003878A7">
        <w:rPr>
          <w:rFonts w:cs="Times New Roman"/>
        </w:rPr>
        <w:t xml:space="preserve">/atsinaujinančių energijos išteklių sektoriuose, remiantis informacijos šaltiniais, kurie nurodyti 2014-2020 m. periodo </w:t>
      </w:r>
      <w:r w:rsidR="000C2D2B" w:rsidRPr="003878A7">
        <w:rPr>
          <w:rFonts w:cs="Times New Roman"/>
        </w:rPr>
        <w:t>FP</w:t>
      </w:r>
      <w:r w:rsidRPr="003878A7">
        <w:rPr>
          <w:rFonts w:cs="Times New Roman"/>
        </w:rPr>
        <w:t xml:space="preserve"> ex-ante vertinimo metodikoje, ir kitais šaltiniais. </w:t>
      </w:r>
    </w:p>
    <w:p w14:paraId="56636783" w14:textId="358BD148" w:rsidR="00251B01" w:rsidRPr="003878A7" w:rsidRDefault="00251B01" w:rsidP="00CB66B8">
      <w:pPr>
        <w:pStyle w:val="Heading2"/>
        <w:numPr>
          <w:ilvl w:val="1"/>
          <w:numId w:val="15"/>
        </w:numPr>
        <w:rPr>
          <w:rFonts w:cs="Times New Roman"/>
        </w:rPr>
      </w:pPr>
      <w:bookmarkStart w:id="40" w:name="_Toc70532880"/>
      <w:r w:rsidRPr="003878A7">
        <w:rPr>
          <w:rFonts w:cs="Times New Roman"/>
        </w:rPr>
        <w:t>Įgyta patirtis ir atvejų studijos</w:t>
      </w:r>
      <w:bookmarkEnd w:id="40"/>
    </w:p>
    <w:p w14:paraId="3083B5FD" w14:textId="739A1CD3" w:rsidR="00251B01" w:rsidRPr="003878A7" w:rsidRDefault="00251B01" w:rsidP="00645EF5">
      <w:pPr>
        <w:rPr>
          <w:rFonts w:cs="Times New Roman"/>
        </w:rPr>
      </w:pPr>
      <w:r w:rsidRPr="003878A7">
        <w:rPr>
          <w:rFonts w:cs="Times New Roman"/>
        </w:rPr>
        <w:t>Identifikuojant išmoktas pamokas buvo išanalizuot</w:t>
      </w:r>
      <w:r w:rsidR="00645EF5" w:rsidRPr="003878A7">
        <w:rPr>
          <w:rFonts w:cs="Times New Roman"/>
        </w:rPr>
        <w:t xml:space="preserve">i įvairūs dokumentai ir studijos, įskaitant </w:t>
      </w:r>
      <w:r w:rsidRPr="003878A7">
        <w:rPr>
          <w:rFonts w:cs="Times New Roman"/>
        </w:rPr>
        <w:t>Europos Audito Rūmų 2012 m. speciali</w:t>
      </w:r>
      <w:r w:rsidR="00645EF5" w:rsidRPr="003878A7">
        <w:rPr>
          <w:rFonts w:cs="Times New Roman"/>
        </w:rPr>
        <w:t>ąją</w:t>
      </w:r>
      <w:r w:rsidRPr="003878A7">
        <w:rPr>
          <w:rFonts w:cs="Times New Roman"/>
        </w:rPr>
        <w:t xml:space="preserve"> ataskait</w:t>
      </w:r>
      <w:r w:rsidR="00645EF5" w:rsidRPr="003878A7">
        <w:rPr>
          <w:rFonts w:cs="Times New Roman"/>
        </w:rPr>
        <w:t>ą</w:t>
      </w:r>
      <w:r w:rsidRPr="003878A7">
        <w:rPr>
          <w:rFonts w:cs="Times New Roman"/>
          <w:vertAlign w:val="superscript"/>
        </w:rPr>
        <w:footnoteReference w:id="7"/>
      </w:r>
      <w:r w:rsidRPr="003878A7">
        <w:rPr>
          <w:rFonts w:cs="Times New Roman"/>
        </w:rPr>
        <w:t>;</w:t>
      </w:r>
      <w:r w:rsidR="00645EF5" w:rsidRPr="003878A7">
        <w:rPr>
          <w:rFonts w:cs="Times New Roman"/>
        </w:rPr>
        <w:t xml:space="preserve"> </w:t>
      </w:r>
      <w:r w:rsidRPr="003878A7">
        <w:rPr>
          <w:rFonts w:cs="Times New Roman"/>
        </w:rPr>
        <w:t>DG REGIO 2013 m. rugsėjo 19 d. metin</w:t>
      </w:r>
      <w:r w:rsidR="00645EF5" w:rsidRPr="003878A7">
        <w:rPr>
          <w:rFonts w:cs="Times New Roman"/>
        </w:rPr>
        <w:t>ę</w:t>
      </w:r>
      <w:r w:rsidRPr="003878A7">
        <w:rPr>
          <w:rFonts w:cs="Times New Roman"/>
        </w:rPr>
        <w:t xml:space="preserve"> ataskait</w:t>
      </w:r>
      <w:r w:rsidR="00645EF5" w:rsidRPr="003878A7">
        <w:rPr>
          <w:rFonts w:cs="Times New Roman"/>
        </w:rPr>
        <w:t>ą</w:t>
      </w:r>
      <w:r w:rsidRPr="003878A7">
        <w:rPr>
          <w:rFonts w:cs="Times New Roman"/>
        </w:rPr>
        <w:t xml:space="preserve"> apie </w:t>
      </w:r>
      <w:r w:rsidR="00645EF5" w:rsidRPr="003878A7">
        <w:rPr>
          <w:rFonts w:cs="Times New Roman"/>
        </w:rPr>
        <w:t>FP</w:t>
      </w:r>
      <w:r w:rsidRPr="003878A7">
        <w:rPr>
          <w:rFonts w:cs="Times New Roman"/>
        </w:rPr>
        <w:t xml:space="preserve"> įgyvendinimo pažangą</w:t>
      </w:r>
      <w:r w:rsidR="00645EF5" w:rsidRPr="003878A7">
        <w:rPr>
          <w:rFonts w:cs="Times New Roman"/>
        </w:rPr>
        <w:t>, L</w:t>
      </w:r>
      <w:r w:rsidR="00484910" w:rsidRPr="003878A7">
        <w:rPr>
          <w:rFonts w:cs="Times New Roman"/>
        </w:rPr>
        <w:t>R</w:t>
      </w:r>
      <w:r w:rsidR="00645EF5" w:rsidRPr="003878A7">
        <w:rPr>
          <w:rFonts w:cs="Times New Roman"/>
        </w:rPr>
        <w:t xml:space="preserve"> valstybės kontrolės valstybinio audito ataskaitos</w:t>
      </w:r>
      <w:r w:rsidR="00645EF5" w:rsidRPr="003878A7">
        <w:rPr>
          <w:rStyle w:val="FootnoteReference"/>
          <w:rFonts w:cs="Times New Roman"/>
        </w:rPr>
        <w:footnoteReference w:id="8"/>
      </w:r>
      <w:r w:rsidR="00645EF5" w:rsidRPr="003878A7">
        <w:rPr>
          <w:rFonts w:cs="Times New Roman"/>
        </w:rPr>
        <w:t>;</w:t>
      </w:r>
      <w:r w:rsidRPr="003878A7">
        <w:rPr>
          <w:rFonts w:cs="Times New Roman"/>
        </w:rPr>
        <w:t xml:space="preserve"> </w:t>
      </w:r>
      <w:r w:rsidR="00645EF5" w:rsidRPr="003878A7">
        <w:rPr>
          <w:rFonts w:cs="Times New Roman"/>
        </w:rPr>
        <w:t>EK</w:t>
      </w:r>
      <w:r w:rsidRPr="003878A7">
        <w:rPr>
          <w:rFonts w:cs="Times New Roman"/>
        </w:rPr>
        <w:t xml:space="preserve"> tarnybų darbo dokumentas</w:t>
      </w:r>
      <w:r w:rsidRPr="003878A7">
        <w:rPr>
          <w:rFonts w:cs="Times New Roman"/>
          <w:vertAlign w:val="superscript"/>
        </w:rPr>
        <w:footnoteReference w:id="9"/>
      </w:r>
      <w:r w:rsidRPr="003878A7">
        <w:rPr>
          <w:rFonts w:cs="Times New Roman"/>
        </w:rPr>
        <w:t xml:space="preserve">; </w:t>
      </w:r>
      <w:r w:rsidR="00645EF5" w:rsidRPr="003878A7">
        <w:rPr>
          <w:rFonts w:cs="Times New Roman"/>
        </w:rPr>
        <w:t>EK</w:t>
      </w:r>
      <w:r w:rsidRPr="003878A7">
        <w:rPr>
          <w:rFonts w:cs="Times New Roman"/>
        </w:rPr>
        <w:t>, EIB ir CEB ataskaita „JESSICA įgyvendinimo finansinis valdymas, garantijų priemonių projektavimas</w:t>
      </w:r>
      <w:r w:rsidR="00484910" w:rsidRPr="003878A7">
        <w:rPr>
          <w:rFonts w:cs="Times New Roman"/>
        </w:rPr>
        <w:t>“</w:t>
      </w:r>
      <w:r w:rsidRPr="003878A7">
        <w:rPr>
          <w:rFonts w:cs="Times New Roman"/>
          <w:vertAlign w:val="superscript"/>
        </w:rPr>
        <w:footnoteReference w:id="10"/>
      </w:r>
      <w:r w:rsidRPr="003878A7">
        <w:rPr>
          <w:rFonts w:cs="Times New Roman"/>
        </w:rPr>
        <w:t>; EIB apžvalga „Energijos sektoriaus miestų plėtros fondai</w:t>
      </w:r>
      <w:r w:rsidR="00484910" w:rsidRPr="003878A7">
        <w:rPr>
          <w:rFonts w:cs="Times New Roman"/>
        </w:rPr>
        <w:t>“</w:t>
      </w:r>
      <w:r w:rsidRPr="003878A7">
        <w:rPr>
          <w:rFonts w:cs="Times New Roman"/>
          <w:vertAlign w:val="superscript"/>
        </w:rPr>
        <w:footnoteReference w:id="11"/>
      </w:r>
      <w:r w:rsidRPr="003878A7">
        <w:rPr>
          <w:rFonts w:cs="Times New Roman"/>
        </w:rPr>
        <w:t>; Europos Komisijos, EIB ir ETVB ataskaita „JESSICA iniciatyva būsto sektoriuje“</w:t>
      </w:r>
      <w:r w:rsidRPr="003878A7">
        <w:rPr>
          <w:rFonts w:cs="Times New Roman"/>
          <w:vertAlign w:val="superscript"/>
        </w:rPr>
        <w:footnoteReference w:id="12"/>
      </w:r>
      <w:r w:rsidRPr="003878A7">
        <w:rPr>
          <w:rFonts w:cs="Times New Roman"/>
        </w:rPr>
        <w:t xml:space="preserve"> ir t. t.</w:t>
      </w:r>
    </w:p>
    <w:p w14:paraId="1BE11436" w14:textId="1A88369D" w:rsidR="00251B01" w:rsidRPr="003878A7" w:rsidRDefault="00645EF5" w:rsidP="00645EF5">
      <w:pPr>
        <w:pStyle w:val="Heading2"/>
        <w:rPr>
          <w:rFonts w:cs="Times New Roman"/>
        </w:rPr>
      </w:pPr>
      <w:bookmarkStart w:id="41" w:name="_Toc70532881"/>
      <w:r w:rsidRPr="003878A7">
        <w:rPr>
          <w:rFonts w:cs="Times New Roman"/>
        </w:rPr>
        <w:t>5.</w:t>
      </w:r>
      <w:r w:rsidR="00484910" w:rsidRPr="003878A7">
        <w:rPr>
          <w:rFonts w:cs="Times New Roman"/>
        </w:rPr>
        <w:t>2</w:t>
      </w:r>
      <w:r w:rsidRPr="003878A7">
        <w:rPr>
          <w:rFonts w:cs="Times New Roman"/>
        </w:rPr>
        <w:t xml:space="preserve"> Lyginamoji išmoktų pamokų analizė</w:t>
      </w:r>
      <w:bookmarkEnd w:id="41"/>
    </w:p>
    <w:p w14:paraId="014B7CA3" w14:textId="77777777" w:rsidR="00645EF5" w:rsidRPr="003878A7" w:rsidRDefault="00251B01" w:rsidP="00251B01">
      <w:pPr>
        <w:rPr>
          <w:rFonts w:cs="Times New Roman"/>
        </w:rPr>
      </w:pPr>
      <w:r w:rsidRPr="003878A7">
        <w:rPr>
          <w:rFonts w:cs="Times New Roman"/>
        </w:rPr>
        <w:t>Identifikuojant aktualias išmoktas pamokas taip pat buvo atlikta išsami trijų atvejų studijų analizė. Analizei buvo pasirinkti</w:t>
      </w:r>
      <w:r w:rsidR="00645EF5" w:rsidRPr="003878A7">
        <w:rPr>
          <w:rFonts w:cs="Times New Roman"/>
        </w:rPr>
        <w:t>:</w:t>
      </w:r>
    </w:p>
    <w:p w14:paraId="3A4055FD" w14:textId="29D74C1E" w:rsidR="00645EF5" w:rsidRPr="003878A7" w:rsidRDefault="00251B01" w:rsidP="00CB66B8">
      <w:pPr>
        <w:pStyle w:val="ListParagraph"/>
        <w:numPr>
          <w:ilvl w:val="0"/>
          <w:numId w:val="10"/>
        </w:numPr>
        <w:rPr>
          <w:rFonts w:cs="Times New Roman"/>
        </w:rPr>
      </w:pPr>
      <w:r w:rsidRPr="003878A7">
        <w:rPr>
          <w:rFonts w:cs="Times New Roman"/>
        </w:rPr>
        <w:t>JESSICA KF Lietuvoje</w:t>
      </w:r>
      <w:r w:rsidR="00645EF5" w:rsidRPr="003878A7">
        <w:rPr>
          <w:rFonts w:cs="Times New Roman"/>
        </w:rPr>
        <w:t xml:space="preserve"> – naudingas dėl specifinių teisinės ir socialinės aplinkos aspektų, kurių nebūtų galima identifikuoti analizuojant kitų valstybių patirtį. </w:t>
      </w:r>
    </w:p>
    <w:p w14:paraId="7FAECCD5" w14:textId="77514109" w:rsidR="00645EF5" w:rsidRPr="003878A7" w:rsidRDefault="00251B01" w:rsidP="00CB66B8">
      <w:pPr>
        <w:pStyle w:val="ListParagraph"/>
        <w:numPr>
          <w:ilvl w:val="0"/>
          <w:numId w:val="10"/>
        </w:numPr>
        <w:rPr>
          <w:rFonts w:cs="Times New Roman"/>
        </w:rPr>
      </w:pPr>
      <w:r w:rsidRPr="003878A7">
        <w:rPr>
          <w:rFonts w:cs="Times New Roman"/>
        </w:rPr>
        <w:t>Energijos efektyvumo ir atsinaujinančių išteklių fondas Bulgarijoje (</w:t>
      </w:r>
      <w:r w:rsidR="00CF06EF" w:rsidRPr="003878A7">
        <w:rPr>
          <w:rFonts w:cs="Times New Roman"/>
        </w:rPr>
        <w:t xml:space="preserve">toliau – </w:t>
      </w:r>
      <w:r w:rsidRPr="003878A7">
        <w:rPr>
          <w:rFonts w:cs="Times New Roman"/>
        </w:rPr>
        <w:t>EERSF)</w:t>
      </w:r>
      <w:r w:rsidR="000354F2" w:rsidRPr="003878A7">
        <w:rPr>
          <w:rFonts w:cs="Times New Roman"/>
        </w:rPr>
        <w:t xml:space="preserve"> – naudingas </w:t>
      </w:r>
      <w:r w:rsidR="000354F2" w:rsidRPr="003878A7">
        <w:rPr>
          <w:rFonts w:cs="Times New Roman"/>
          <w:sz w:val="20"/>
          <w:szCs w:val="20"/>
        </w:rPr>
        <w:t>dėl ESCO teikiamų garantijų bei dėl pamokų, kurias galima išmokti iš priemonių, finansuojamų be struktūrinių fondų pagalbos</w:t>
      </w:r>
    </w:p>
    <w:p w14:paraId="46A5A8C2" w14:textId="0A6585E9" w:rsidR="000354F2" w:rsidRPr="003878A7" w:rsidRDefault="00251B01" w:rsidP="00CB66B8">
      <w:pPr>
        <w:pStyle w:val="ListParagraph"/>
        <w:numPr>
          <w:ilvl w:val="0"/>
          <w:numId w:val="10"/>
        </w:numPr>
        <w:rPr>
          <w:rFonts w:cs="Times New Roman"/>
        </w:rPr>
      </w:pPr>
      <w:r w:rsidRPr="003878A7">
        <w:rPr>
          <w:rFonts w:cs="Times New Roman"/>
        </w:rPr>
        <w:t>Londono energetinio efektyvumo fondas Jungtinėje Karalystėje (</w:t>
      </w:r>
      <w:r w:rsidR="00CF06EF" w:rsidRPr="003878A7">
        <w:rPr>
          <w:rFonts w:cs="Times New Roman"/>
        </w:rPr>
        <w:t xml:space="preserve">toliau – </w:t>
      </w:r>
      <w:r w:rsidRPr="003878A7">
        <w:rPr>
          <w:rFonts w:cs="Times New Roman"/>
        </w:rPr>
        <w:t>LEEF)</w:t>
      </w:r>
      <w:r w:rsidR="000354F2" w:rsidRPr="003878A7">
        <w:rPr>
          <w:rFonts w:cs="Times New Roman"/>
        </w:rPr>
        <w:t xml:space="preserve"> – pasirinktas dėl </w:t>
      </w:r>
      <w:r w:rsidR="000354F2" w:rsidRPr="003878A7">
        <w:rPr>
          <w:rFonts w:cs="Times New Roman"/>
          <w:sz w:val="20"/>
          <w:szCs w:val="20"/>
        </w:rPr>
        <w:t>Jungtinės Karalystės patirties įgyvendinant ES SF finansuojamus projektus. LEEF buvo vienas pirmųjų miestų plėtros fondų, pradėjusių veikti 2007-2013 m. periodu, ir yra geras fondo kaip nepriklausomo juridinio asmens steigimo pavyzdys. Fondas pasižymi efektyvia valdymo struktūra, kurioje dalyvauja viešos ir privačios institucijos.</w:t>
      </w:r>
    </w:p>
    <w:p w14:paraId="7147430C" w14:textId="149A9A18" w:rsidR="006C6AC6" w:rsidRPr="003878A7" w:rsidRDefault="006C6AC6" w:rsidP="006C6AC6">
      <w:pPr>
        <w:ind w:firstLine="0"/>
        <w:rPr>
          <w:rFonts w:cs="Times New Roman"/>
          <w:i/>
          <w:iCs/>
        </w:rPr>
      </w:pPr>
      <w:r w:rsidRPr="003878A7">
        <w:rPr>
          <w:rFonts w:cs="Times New Roman"/>
          <w:i/>
          <w:iCs/>
        </w:rPr>
        <w:t xml:space="preserve">Lentelė Nr. </w:t>
      </w:r>
      <w:r w:rsidR="006D7B19">
        <w:rPr>
          <w:rFonts w:cs="Times New Roman"/>
          <w:i/>
          <w:iCs/>
        </w:rPr>
        <w:t>14</w:t>
      </w:r>
      <w:r w:rsidR="001568A2" w:rsidRPr="003878A7">
        <w:rPr>
          <w:rFonts w:cs="Times New Roman"/>
          <w:i/>
          <w:iCs/>
        </w:rPr>
        <w:t>. Išmoktos pamokos pagal analizei pasirinktus fondus</w:t>
      </w:r>
      <w:r w:rsidRPr="003878A7">
        <w:rPr>
          <w:rFonts w:cs="Times New Roman"/>
          <w:i/>
          <w:iCs/>
        </w:rPr>
        <w:t xml:space="preserve"> </w:t>
      </w:r>
    </w:p>
    <w:tbl>
      <w:tblPr>
        <w:tblStyle w:val="TableGrid"/>
        <w:tblW w:w="5000" w:type="pct"/>
        <w:tblLook w:val="04A0" w:firstRow="1" w:lastRow="0" w:firstColumn="1" w:lastColumn="0" w:noHBand="0" w:noVBand="1"/>
      </w:tblPr>
      <w:tblGrid>
        <w:gridCol w:w="3084"/>
        <w:gridCol w:w="6770"/>
      </w:tblGrid>
      <w:tr w:rsidR="00902D59" w:rsidRPr="003878A7" w14:paraId="65B6C0E8" w14:textId="77777777" w:rsidTr="00F80AF2">
        <w:tc>
          <w:tcPr>
            <w:tcW w:w="1565" w:type="pct"/>
          </w:tcPr>
          <w:p w14:paraId="735FA39E" w14:textId="233A0937" w:rsidR="00902D59" w:rsidRPr="003878A7" w:rsidRDefault="00902D59" w:rsidP="005F26FF">
            <w:pPr>
              <w:pStyle w:val="Pagrindinispaprastastekstas"/>
              <w:spacing w:after="0"/>
              <w:rPr>
                <w:rFonts w:ascii="Times New Roman" w:hAnsi="Times New Roman"/>
                <w:b/>
                <w:bCs/>
                <w:sz w:val="21"/>
                <w:szCs w:val="21"/>
                <w:lang w:val="lt-LT"/>
              </w:rPr>
            </w:pPr>
            <w:r w:rsidRPr="003878A7">
              <w:rPr>
                <w:rFonts w:ascii="Times New Roman" w:hAnsi="Times New Roman"/>
                <w:b/>
                <w:bCs/>
                <w:sz w:val="21"/>
                <w:szCs w:val="21"/>
                <w:lang w:val="lt-LT"/>
              </w:rPr>
              <w:t xml:space="preserve">Fondo pavadinimas </w:t>
            </w:r>
          </w:p>
        </w:tc>
        <w:tc>
          <w:tcPr>
            <w:tcW w:w="3435" w:type="pct"/>
          </w:tcPr>
          <w:p w14:paraId="3708BFE7" w14:textId="176E4937" w:rsidR="00902D59" w:rsidRPr="003878A7" w:rsidRDefault="00902D59" w:rsidP="005F26FF">
            <w:pPr>
              <w:pStyle w:val="Pagrindinispaprastastekstas"/>
              <w:spacing w:after="0"/>
              <w:rPr>
                <w:rFonts w:ascii="Times New Roman" w:hAnsi="Times New Roman"/>
                <w:b/>
                <w:bCs/>
                <w:sz w:val="21"/>
                <w:szCs w:val="21"/>
                <w:lang w:val="lt-LT"/>
              </w:rPr>
            </w:pPr>
            <w:r w:rsidRPr="003878A7">
              <w:rPr>
                <w:rFonts w:ascii="Times New Roman" w:hAnsi="Times New Roman"/>
                <w:b/>
                <w:bCs/>
                <w:sz w:val="21"/>
                <w:szCs w:val="21"/>
                <w:lang w:val="lt-LT"/>
              </w:rPr>
              <w:t>Išmoktos pamokos</w:t>
            </w:r>
          </w:p>
        </w:tc>
      </w:tr>
      <w:tr w:rsidR="00902D59" w:rsidRPr="003878A7" w14:paraId="371EB6C7" w14:textId="77777777" w:rsidTr="00F80AF2">
        <w:tc>
          <w:tcPr>
            <w:tcW w:w="1565" w:type="pct"/>
          </w:tcPr>
          <w:p w14:paraId="3A79DB89" w14:textId="77777777" w:rsidR="00CF06EF" w:rsidRPr="003878A7" w:rsidRDefault="00902D59" w:rsidP="005F26FF">
            <w:pPr>
              <w:pStyle w:val="Pagrindinispaprastastekstas"/>
              <w:spacing w:after="0"/>
              <w:rPr>
                <w:rFonts w:ascii="Times New Roman" w:hAnsi="Times New Roman"/>
                <w:b/>
                <w:bCs/>
                <w:sz w:val="21"/>
                <w:szCs w:val="21"/>
                <w:lang w:val="lt-LT"/>
              </w:rPr>
            </w:pPr>
            <w:r w:rsidRPr="003878A7">
              <w:rPr>
                <w:rFonts w:ascii="Times New Roman" w:hAnsi="Times New Roman"/>
                <w:b/>
                <w:bCs/>
                <w:sz w:val="21"/>
                <w:szCs w:val="21"/>
                <w:lang w:val="lt-LT"/>
              </w:rPr>
              <w:t xml:space="preserve">JESSICA KF (Lietuva) </w:t>
            </w:r>
          </w:p>
          <w:p w14:paraId="6DB6D724" w14:textId="0338F0C8" w:rsidR="00902D59" w:rsidRPr="003878A7" w:rsidRDefault="00902D59" w:rsidP="005F26FF">
            <w:pPr>
              <w:pStyle w:val="Pagrindinispaprastastekstas"/>
              <w:spacing w:after="0"/>
              <w:rPr>
                <w:rFonts w:ascii="Times New Roman" w:hAnsi="Times New Roman"/>
                <w:b/>
                <w:bCs/>
                <w:sz w:val="21"/>
                <w:szCs w:val="21"/>
                <w:lang w:val="lt-LT"/>
              </w:rPr>
            </w:pPr>
            <w:r w:rsidRPr="003878A7">
              <w:rPr>
                <w:rFonts w:ascii="Times New Roman" w:hAnsi="Times New Roman"/>
                <w:sz w:val="21"/>
                <w:szCs w:val="21"/>
                <w:lang w:val="lt-LT"/>
              </w:rPr>
              <w:t>Tikslas:</w:t>
            </w:r>
            <w:r w:rsidRPr="003878A7">
              <w:rPr>
                <w:rFonts w:ascii="Times New Roman" w:hAnsi="Times New Roman"/>
                <w:b/>
                <w:bCs/>
                <w:sz w:val="21"/>
                <w:szCs w:val="21"/>
                <w:lang w:val="lt-LT"/>
              </w:rPr>
              <w:t xml:space="preserve"> </w:t>
            </w:r>
            <w:r w:rsidRPr="003878A7">
              <w:rPr>
                <w:rFonts w:ascii="Times New Roman" w:hAnsi="Times New Roman"/>
                <w:sz w:val="21"/>
                <w:szCs w:val="21"/>
                <w:lang w:val="lt-LT"/>
              </w:rPr>
              <w:t>1) skatinti daugiabučių namų savininkus atnaujinti (modernizuoti) daugiabučius namus, didinant energinį jų naudingumą;</w:t>
            </w:r>
            <w:r w:rsidR="005F26FF" w:rsidRPr="003878A7">
              <w:rPr>
                <w:rFonts w:ascii="Times New Roman" w:hAnsi="Times New Roman"/>
                <w:sz w:val="21"/>
                <w:szCs w:val="21"/>
                <w:lang w:val="lt-LT"/>
              </w:rPr>
              <w:t xml:space="preserve"> </w:t>
            </w:r>
            <w:r w:rsidRPr="003878A7">
              <w:rPr>
                <w:rFonts w:ascii="Times New Roman" w:hAnsi="Times New Roman"/>
                <w:sz w:val="21"/>
                <w:szCs w:val="21"/>
                <w:lang w:val="lt-LT"/>
              </w:rPr>
              <w:t>2) modernizuoti bendrabučius, pastatytus pagal iki 1993 metų galiojusius statybos techninius normatyvus, pagerinti studentų bei mokinių gyvenimo sąlygas, taupyti energiją</w:t>
            </w:r>
          </w:p>
          <w:p w14:paraId="2064E5B9" w14:textId="77777777" w:rsidR="00902D59" w:rsidRPr="003878A7" w:rsidRDefault="00902D59" w:rsidP="005F26FF">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FP: lengvatinės paskolos</w:t>
            </w:r>
          </w:p>
          <w:p w14:paraId="2F1362C4" w14:textId="3ECAF02F" w:rsidR="00902D59" w:rsidRPr="003878A7" w:rsidRDefault="00902D59" w:rsidP="005F26FF">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 xml:space="preserve">GNG: </w:t>
            </w:r>
            <w:r w:rsidR="005F26FF" w:rsidRPr="003878A7">
              <w:rPr>
                <w:rFonts w:ascii="Times New Roman" w:hAnsi="Times New Roman"/>
                <w:sz w:val="21"/>
                <w:szCs w:val="21"/>
                <w:lang w:val="lt-LT"/>
              </w:rPr>
              <w:t>b</w:t>
            </w:r>
            <w:r w:rsidRPr="003878A7">
              <w:rPr>
                <w:rFonts w:ascii="Times New Roman" w:hAnsi="Times New Roman"/>
                <w:sz w:val="21"/>
                <w:szCs w:val="21"/>
                <w:lang w:val="lt-LT"/>
              </w:rPr>
              <w:t xml:space="preserve">utų ir patalpų savininkai, atstovaujami daugiabučio namo bendrojo naudojimo objektų valdytojo, daugiabučio namo </w:t>
            </w:r>
            <w:r w:rsidRPr="003878A7">
              <w:rPr>
                <w:rFonts w:ascii="Times New Roman" w:hAnsi="Times New Roman"/>
                <w:sz w:val="21"/>
                <w:szCs w:val="21"/>
                <w:lang w:val="lt-LT"/>
              </w:rPr>
              <w:lastRenderedPageBreak/>
              <w:t>bendrojo naudojimo objektų valdytojai, daugiabučių namų savininkų bendrijos, savivaldybių administracijos, universitetai</w:t>
            </w:r>
          </w:p>
        </w:tc>
        <w:tc>
          <w:tcPr>
            <w:tcW w:w="3435" w:type="pct"/>
          </w:tcPr>
          <w:p w14:paraId="39FAE1C5" w14:textId="77777777" w:rsidR="00902D59" w:rsidRPr="003878A7" w:rsidRDefault="00902D59" w:rsidP="00CB66B8">
            <w:pPr>
              <w:pStyle w:val="Pagrindinispaprastastekstas"/>
              <w:numPr>
                <w:ilvl w:val="0"/>
                <w:numId w:val="11"/>
              </w:numPr>
              <w:spacing w:after="0"/>
              <w:ind w:left="360"/>
              <w:rPr>
                <w:rFonts w:ascii="Times New Roman" w:hAnsi="Times New Roman"/>
                <w:sz w:val="21"/>
                <w:szCs w:val="21"/>
                <w:lang w:val="lt-LT"/>
              </w:rPr>
            </w:pPr>
            <w:r w:rsidRPr="003878A7">
              <w:rPr>
                <w:rFonts w:ascii="Times New Roman" w:hAnsi="Times New Roman"/>
                <w:sz w:val="21"/>
                <w:szCs w:val="21"/>
                <w:lang w:val="lt-LT"/>
              </w:rPr>
              <w:lastRenderedPageBreak/>
              <w:t>Įgyvendinant projektus, siekiama sutaupyti, todėl projektai yra skaičiuojami pagal minimalius reikalavimus, kurie yra numatyti techniniame plane. Tai viena iš priežasčių dėl susidarančio skirtumo tarp lūkesčių ir realių rezultatų įgyvendinus projektą.</w:t>
            </w:r>
          </w:p>
          <w:p w14:paraId="48D6A422" w14:textId="77777777" w:rsidR="00902D59" w:rsidRPr="003878A7" w:rsidRDefault="00902D59" w:rsidP="00CB66B8">
            <w:pPr>
              <w:pStyle w:val="ListParagraph"/>
              <w:numPr>
                <w:ilvl w:val="0"/>
                <w:numId w:val="11"/>
              </w:numPr>
              <w:spacing w:before="0" w:after="0"/>
              <w:ind w:left="360"/>
              <w:rPr>
                <w:rFonts w:cs="Times New Roman"/>
                <w:sz w:val="21"/>
                <w:szCs w:val="21"/>
                <w:lang w:val="lt-LT"/>
              </w:rPr>
            </w:pPr>
            <w:r w:rsidRPr="003878A7">
              <w:rPr>
                <w:rFonts w:cs="Times New Roman"/>
                <w:sz w:val="21"/>
                <w:szCs w:val="21"/>
                <w:lang w:val="lt-LT"/>
              </w:rPr>
              <w:t xml:space="preserve">Sukurtos standartinės formos ir pavyzdiniai dokumentai ženkliai prisidėjo prie daugiabučių namų atnaujinimo projektų įgyvendinimo proceso supaprastinimo, patrauklumo ir skaidrumo didinimo. Ypač svarbus yra taisyklių ir teisinės bazės pastovumas, kuris didina pasitikėjimą visa daugiabučių atnaujinimo programa. </w:t>
            </w:r>
          </w:p>
          <w:p w14:paraId="7EFAFF44" w14:textId="77777777" w:rsidR="00902D59" w:rsidRPr="003878A7" w:rsidRDefault="00902D59" w:rsidP="00CB66B8">
            <w:pPr>
              <w:pStyle w:val="ListParagraph"/>
              <w:numPr>
                <w:ilvl w:val="0"/>
                <w:numId w:val="11"/>
              </w:numPr>
              <w:spacing w:before="0" w:after="0"/>
              <w:ind w:left="360"/>
              <w:rPr>
                <w:rFonts w:cs="Times New Roman"/>
                <w:sz w:val="21"/>
                <w:szCs w:val="21"/>
                <w:lang w:val="lt-LT"/>
              </w:rPr>
            </w:pPr>
            <w:r w:rsidRPr="003878A7">
              <w:rPr>
                <w:rFonts w:cs="Times New Roman"/>
                <w:sz w:val="21"/>
                <w:szCs w:val="21"/>
                <w:lang w:val="lt-LT"/>
              </w:rPr>
              <w:t>Rekomenduotina praktika yra parengiamųjų projekto darbų finansavimas sąskaitų apmokėjimo būdu deklaruojant patirtas, bet dar neapmokėtas išlaidas. Taip pat pasiteisino praktika, kai daugiabučių namų atnaujinimo projektuose nebuvo taikomas reikalavimas užstatyti turtą, bei susiekti paskolą su renovuotinu turtu.</w:t>
            </w:r>
          </w:p>
          <w:p w14:paraId="21B4FB70" w14:textId="41B4CC7F" w:rsidR="00902D59" w:rsidRPr="003878A7" w:rsidRDefault="00902D59" w:rsidP="00CB66B8">
            <w:pPr>
              <w:pStyle w:val="ListParagraph"/>
              <w:numPr>
                <w:ilvl w:val="0"/>
                <w:numId w:val="11"/>
              </w:numPr>
              <w:spacing w:before="0" w:after="0"/>
              <w:ind w:left="360"/>
              <w:rPr>
                <w:rFonts w:cs="Times New Roman"/>
                <w:sz w:val="21"/>
                <w:szCs w:val="21"/>
                <w:lang w:val="lt-LT"/>
              </w:rPr>
            </w:pPr>
            <w:r w:rsidRPr="003878A7">
              <w:rPr>
                <w:rFonts w:cs="Times New Roman"/>
                <w:sz w:val="21"/>
                <w:szCs w:val="21"/>
                <w:lang w:val="lt-LT"/>
              </w:rPr>
              <w:t xml:space="preserve">Atliekant viešąjį pirkimą per CPO buvo identifikuotas avanso poreikis. </w:t>
            </w:r>
            <w:r w:rsidRPr="003878A7">
              <w:rPr>
                <w:rFonts w:cs="Times New Roman"/>
                <w:sz w:val="21"/>
                <w:szCs w:val="21"/>
                <w:lang w:val="lt-LT"/>
              </w:rPr>
              <w:lastRenderedPageBreak/>
              <w:t>Nors teisinėje bazėje ir numatyta galimybė statybinėms įmonėms sumokėti iki 30 proc. avansą, perkant per CPO tokios galimybės nėra. Todėl visos statybų sutartys buvo perkamos be avanso, o statybininkams trūko apyvartinių lėšų.</w:t>
            </w:r>
          </w:p>
        </w:tc>
      </w:tr>
      <w:tr w:rsidR="00902D59" w:rsidRPr="003878A7" w14:paraId="64DE582E" w14:textId="77777777" w:rsidTr="00F80AF2">
        <w:tc>
          <w:tcPr>
            <w:tcW w:w="1565" w:type="pct"/>
          </w:tcPr>
          <w:p w14:paraId="11690AD7" w14:textId="77777777" w:rsidR="00902D59" w:rsidRPr="003878A7" w:rsidRDefault="00902D59" w:rsidP="005F26FF">
            <w:pPr>
              <w:pStyle w:val="Pagrindinispaprastastekstas"/>
              <w:spacing w:after="0"/>
              <w:rPr>
                <w:rFonts w:ascii="Times New Roman" w:hAnsi="Times New Roman"/>
                <w:b/>
                <w:bCs/>
                <w:sz w:val="21"/>
                <w:szCs w:val="21"/>
                <w:lang w:val="lt-LT"/>
              </w:rPr>
            </w:pPr>
            <w:r w:rsidRPr="003878A7">
              <w:rPr>
                <w:rFonts w:ascii="Times New Roman" w:hAnsi="Times New Roman"/>
                <w:b/>
                <w:bCs/>
                <w:sz w:val="21"/>
                <w:szCs w:val="21"/>
                <w:lang w:val="lt-LT"/>
              </w:rPr>
              <w:lastRenderedPageBreak/>
              <w:t>EERSF (Bulgarija)</w:t>
            </w:r>
          </w:p>
          <w:p w14:paraId="16D1433A" w14:textId="6D7029FC" w:rsidR="005F26FF" w:rsidRPr="003878A7" w:rsidRDefault="005F26FF" w:rsidP="005F26FF">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 xml:space="preserve">Tikslas: palengvinti </w:t>
            </w:r>
            <w:r w:rsidR="00CF06EF" w:rsidRPr="003878A7">
              <w:rPr>
                <w:rFonts w:ascii="Times New Roman" w:hAnsi="Times New Roman"/>
                <w:sz w:val="21"/>
                <w:szCs w:val="21"/>
                <w:lang w:val="lt-LT"/>
              </w:rPr>
              <w:t>EE</w:t>
            </w:r>
            <w:r w:rsidRPr="003878A7">
              <w:rPr>
                <w:rFonts w:ascii="Times New Roman" w:hAnsi="Times New Roman"/>
                <w:sz w:val="21"/>
                <w:szCs w:val="21"/>
                <w:lang w:val="lt-LT"/>
              </w:rPr>
              <w:t xml:space="preserve"> investicijas bei paskatinti </w:t>
            </w:r>
            <w:r w:rsidR="00CF06EF" w:rsidRPr="003878A7">
              <w:rPr>
                <w:rFonts w:ascii="Times New Roman" w:hAnsi="Times New Roman"/>
                <w:sz w:val="21"/>
                <w:szCs w:val="21"/>
                <w:lang w:val="lt-LT"/>
              </w:rPr>
              <w:t>EE</w:t>
            </w:r>
            <w:r w:rsidRPr="003878A7">
              <w:rPr>
                <w:rFonts w:ascii="Times New Roman" w:hAnsi="Times New Roman"/>
                <w:sz w:val="21"/>
                <w:szCs w:val="21"/>
                <w:lang w:val="lt-LT"/>
              </w:rPr>
              <w:t xml:space="preserve"> sektoriaus rinkos plėtrą ir atsinaujinančių energijos išteklių projektų įgyvendinimą</w:t>
            </w:r>
          </w:p>
          <w:p w14:paraId="3DDB08A0" w14:textId="77777777" w:rsidR="005F26FF" w:rsidRPr="003878A7" w:rsidRDefault="005F26FF" w:rsidP="005F26FF">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FP: paskolos, dalinės garantijos ir ESCO portfelinės garantijos</w:t>
            </w:r>
          </w:p>
          <w:p w14:paraId="3056C7E3" w14:textId="6FDE5CA1" w:rsidR="005F26FF" w:rsidRPr="003878A7" w:rsidRDefault="005F26FF" w:rsidP="005F26FF">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GNG: savivaldybės, verslo įmonės, universitetai, ligoninės ir pan.</w:t>
            </w:r>
          </w:p>
        </w:tc>
        <w:tc>
          <w:tcPr>
            <w:tcW w:w="3435" w:type="pct"/>
          </w:tcPr>
          <w:p w14:paraId="47D8EC84" w14:textId="0B8865FC" w:rsidR="00902D59" w:rsidRPr="003878A7" w:rsidRDefault="005F26FF" w:rsidP="00CB66B8">
            <w:pPr>
              <w:pStyle w:val="Pagrindinispaprastastekstas"/>
              <w:numPr>
                <w:ilvl w:val="0"/>
                <w:numId w:val="11"/>
              </w:numPr>
              <w:spacing w:after="0"/>
              <w:ind w:left="360"/>
              <w:rPr>
                <w:rFonts w:ascii="Times New Roman" w:hAnsi="Times New Roman"/>
                <w:sz w:val="21"/>
                <w:szCs w:val="21"/>
                <w:lang w:val="lt-LT"/>
              </w:rPr>
            </w:pPr>
            <w:r w:rsidRPr="003878A7">
              <w:rPr>
                <w:rFonts w:ascii="Times New Roman" w:hAnsi="Times New Roman"/>
                <w:sz w:val="21"/>
                <w:szCs w:val="21"/>
                <w:lang w:val="lt-LT"/>
              </w:rPr>
              <w:t>S</w:t>
            </w:r>
            <w:r w:rsidR="00902D59" w:rsidRPr="003878A7">
              <w:rPr>
                <w:rFonts w:ascii="Times New Roman" w:hAnsi="Times New Roman"/>
                <w:sz w:val="21"/>
                <w:szCs w:val="21"/>
                <w:lang w:val="lt-LT"/>
              </w:rPr>
              <w:t>varbu tinkamą dėmesį skirti informacijos sklaidos veikloms, taip pat aktyviai bendradarbiauti su tikslinėmis grupėmis, kurioms skirti fondo produktai</w:t>
            </w:r>
          </w:p>
          <w:p w14:paraId="7BBB78EC" w14:textId="39242555" w:rsidR="00902D59" w:rsidRPr="003878A7" w:rsidRDefault="00902D59" w:rsidP="00CB66B8">
            <w:pPr>
              <w:numPr>
                <w:ilvl w:val="0"/>
                <w:numId w:val="11"/>
              </w:numPr>
              <w:spacing w:before="0" w:after="0"/>
              <w:ind w:left="360"/>
              <w:rPr>
                <w:rFonts w:eastAsia="Times New Roman" w:cs="Times New Roman"/>
                <w:sz w:val="21"/>
                <w:szCs w:val="21"/>
                <w:lang w:val="lt-LT"/>
              </w:rPr>
            </w:pPr>
            <w:r w:rsidRPr="003878A7">
              <w:rPr>
                <w:rFonts w:eastAsia="Times New Roman" w:cs="Times New Roman"/>
                <w:sz w:val="21"/>
                <w:szCs w:val="21"/>
                <w:lang w:val="lt-LT"/>
              </w:rPr>
              <w:t xml:space="preserve">Pastebėtas neigiamas tame pačiame sektoriuje vykdomų viešųjų intervencijų/kitų </w:t>
            </w:r>
            <w:r w:rsidR="005F26FF" w:rsidRPr="003878A7">
              <w:rPr>
                <w:rFonts w:eastAsia="Times New Roman" w:cs="Times New Roman"/>
                <w:sz w:val="21"/>
                <w:szCs w:val="21"/>
                <w:lang w:val="lt-LT"/>
              </w:rPr>
              <w:t>FP</w:t>
            </w:r>
            <w:r w:rsidRPr="003878A7">
              <w:rPr>
                <w:rFonts w:eastAsia="Times New Roman" w:cs="Times New Roman"/>
                <w:sz w:val="21"/>
                <w:szCs w:val="21"/>
                <w:lang w:val="lt-LT"/>
              </w:rPr>
              <w:t xml:space="preserve"> poveikis EERSF produktų paklausai (ypač pagal Bulgarijos </w:t>
            </w:r>
            <w:r w:rsidR="005F26FF" w:rsidRPr="003878A7">
              <w:rPr>
                <w:rFonts w:eastAsia="Times New Roman" w:cs="Times New Roman"/>
                <w:sz w:val="21"/>
                <w:szCs w:val="21"/>
                <w:lang w:val="lt-LT"/>
              </w:rPr>
              <w:t>ES SF</w:t>
            </w:r>
            <w:r w:rsidRPr="003878A7">
              <w:rPr>
                <w:rFonts w:eastAsia="Times New Roman" w:cs="Times New Roman"/>
                <w:sz w:val="21"/>
                <w:szCs w:val="21"/>
                <w:lang w:val="lt-LT"/>
              </w:rPr>
              <w:t xml:space="preserve"> veiksmų programas skiriamų subsidijų). </w:t>
            </w:r>
            <w:r w:rsidR="005F26FF" w:rsidRPr="003878A7">
              <w:rPr>
                <w:rFonts w:eastAsia="Times New Roman" w:cs="Times New Roman"/>
                <w:sz w:val="21"/>
                <w:szCs w:val="21"/>
                <w:lang w:val="lt-LT"/>
              </w:rPr>
              <w:t>R</w:t>
            </w:r>
            <w:r w:rsidRPr="003878A7">
              <w:rPr>
                <w:rFonts w:eastAsia="Times New Roman" w:cs="Times New Roman"/>
                <w:sz w:val="21"/>
                <w:szCs w:val="21"/>
                <w:lang w:val="lt-LT"/>
              </w:rPr>
              <w:t xml:space="preserve">ekomenduotina įvertinti konkuruojančių </w:t>
            </w:r>
            <w:r w:rsidR="005F26FF" w:rsidRPr="003878A7">
              <w:rPr>
                <w:rFonts w:eastAsia="Times New Roman" w:cs="Times New Roman"/>
                <w:sz w:val="21"/>
                <w:szCs w:val="21"/>
                <w:lang w:val="lt-LT"/>
              </w:rPr>
              <w:t>FP</w:t>
            </w:r>
            <w:r w:rsidRPr="003878A7">
              <w:rPr>
                <w:rFonts w:eastAsia="Times New Roman" w:cs="Times New Roman"/>
                <w:sz w:val="21"/>
                <w:szCs w:val="21"/>
                <w:lang w:val="lt-LT"/>
              </w:rPr>
              <w:t xml:space="preserve"> sukūrimo naudą, bei kitas intervencijos priemones skirtas tikslinei rinkai.</w:t>
            </w:r>
          </w:p>
          <w:p w14:paraId="4028C0A0" w14:textId="1C2D8BC7" w:rsidR="00902D59" w:rsidRPr="003878A7" w:rsidRDefault="00902D59" w:rsidP="00CB66B8">
            <w:pPr>
              <w:numPr>
                <w:ilvl w:val="0"/>
                <w:numId w:val="11"/>
              </w:numPr>
              <w:spacing w:before="0" w:after="0"/>
              <w:ind w:left="360"/>
              <w:rPr>
                <w:rFonts w:eastAsia="Times New Roman" w:cs="Times New Roman"/>
                <w:sz w:val="21"/>
                <w:szCs w:val="21"/>
                <w:lang w:val="lt-LT"/>
              </w:rPr>
            </w:pPr>
            <w:r w:rsidRPr="003878A7">
              <w:rPr>
                <w:rFonts w:eastAsia="Times New Roman" w:cs="Times New Roman"/>
                <w:sz w:val="21"/>
                <w:szCs w:val="21"/>
                <w:lang w:val="lt-LT"/>
              </w:rPr>
              <w:t>Siūlomų produktų trukmė turėtų būti nustatoma atsižvelgiant į projektų specifiką ir atsipirkimo laiką.</w:t>
            </w:r>
          </w:p>
          <w:p w14:paraId="216481C8" w14:textId="45741EDE" w:rsidR="00902D59" w:rsidRPr="003878A7" w:rsidRDefault="005F26FF" w:rsidP="00CB66B8">
            <w:pPr>
              <w:numPr>
                <w:ilvl w:val="0"/>
                <w:numId w:val="11"/>
              </w:numPr>
              <w:spacing w:before="0" w:after="0"/>
              <w:ind w:left="360"/>
              <w:rPr>
                <w:rFonts w:eastAsia="Times New Roman" w:cs="Times New Roman"/>
                <w:sz w:val="21"/>
                <w:szCs w:val="21"/>
                <w:lang w:val="lt-LT"/>
              </w:rPr>
            </w:pPr>
            <w:r w:rsidRPr="003878A7">
              <w:rPr>
                <w:rFonts w:eastAsia="Times New Roman" w:cs="Times New Roman"/>
                <w:sz w:val="21"/>
                <w:szCs w:val="21"/>
                <w:lang w:val="lt-LT"/>
              </w:rPr>
              <w:t>P</w:t>
            </w:r>
            <w:r w:rsidR="00902D59" w:rsidRPr="003878A7">
              <w:rPr>
                <w:rFonts w:eastAsia="Times New Roman" w:cs="Times New Roman"/>
                <w:sz w:val="21"/>
                <w:szCs w:val="21"/>
                <w:lang w:val="lt-LT"/>
              </w:rPr>
              <w:t>latus įvairių organizacijų ir ekspertų įtraukimas į fondo valdymo struktūrą</w:t>
            </w:r>
            <w:r w:rsidRPr="003878A7">
              <w:rPr>
                <w:rFonts w:eastAsia="Times New Roman" w:cs="Times New Roman"/>
                <w:sz w:val="21"/>
                <w:szCs w:val="21"/>
                <w:lang w:val="lt-LT"/>
              </w:rPr>
              <w:t xml:space="preserve"> </w:t>
            </w:r>
            <w:r w:rsidR="00902D59" w:rsidRPr="003878A7">
              <w:rPr>
                <w:rFonts w:eastAsia="Times New Roman" w:cs="Times New Roman"/>
                <w:sz w:val="21"/>
                <w:szCs w:val="21"/>
                <w:lang w:val="lt-LT"/>
              </w:rPr>
              <w:t>padeda suformuoti įvairiapusišką poziciją, įvertinti poveikį skirtingoms interesų grupėms.</w:t>
            </w:r>
          </w:p>
          <w:p w14:paraId="6A51F2D9" w14:textId="70BA178F" w:rsidR="00902D59" w:rsidRPr="003878A7" w:rsidRDefault="005F26FF" w:rsidP="00CB66B8">
            <w:pPr>
              <w:numPr>
                <w:ilvl w:val="0"/>
                <w:numId w:val="11"/>
              </w:numPr>
              <w:spacing w:before="0" w:after="0"/>
              <w:ind w:left="360"/>
              <w:rPr>
                <w:rFonts w:eastAsia="Times New Roman" w:cs="Times New Roman"/>
                <w:sz w:val="21"/>
                <w:szCs w:val="21"/>
                <w:lang w:val="lt-LT"/>
              </w:rPr>
            </w:pPr>
            <w:r w:rsidRPr="003878A7">
              <w:rPr>
                <w:rFonts w:eastAsia="Times New Roman" w:cs="Times New Roman"/>
                <w:sz w:val="21"/>
                <w:szCs w:val="21"/>
                <w:lang w:val="lt-LT"/>
              </w:rPr>
              <w:t>V</w:t>
            </w:r>
            <w:r w:rsidR="00902D59" w:rsidRPr="003878A7">
              <w:rPr>
                <w:rFonts w:eastAsia="Times New Roman" w:cs="Times New Roman"/>
                <w:sz w:val="21"/>
                <w:szCs w:val="21"/>
                <w:lang w:val="lt-LT"/>
              </w:rPr>
              <w:t>yriausybės parama</w:t>
            </w:r>
            <w:r w:rsidRPr="003878A7">
              <w:rPr>
                <w:rFonts w:eastAsia="Times New Roman" w:cs="Times New Roman"/>
                <w:sz w:val="21"/>
                <w:szCs w:val="21"/>
                <w:lang w:val="lt-LT"/>
              </w:rPr>
              <w:t xml:space="preserve"> yra </w:t>
            </w:r>
            <w:r w:rsidR="00902D59" w:rsidRPr="003878A7">
              <w:rPr>
                <w:rFonts w:eastAsia="Times New Roman" w:cs="Times New Roman"/>
                <w:sz w:val="21"/>
                <w:szCs w:val="21"/>
                <w:lang w:val="lt-LT"/>
              </w:rPr>
              <w:t>ypač</w:t>
            </w:r>
            <w:r w:rsidRPr="003878A7">
              <w:rPr>
                <w:rFonts w:eastAsia="Times New Roman" w:cs="Times New Roman"/>
                <w:sz w:val="21"/>
                <w:szCs w:val="21"/>
                <w:lang w:val="lt-LT"/>
              </w:rPr>
              <w:t xml:space="preserve"> svarbi</w:t>
            </w:r>
            <w:r w:rsidR="00902D59" w:rsidRPr="003878A7">
              <w:rPr>
                <w:rFonts w:eastAsia="Times New Roman" w:cs="Times New Roman"/>
                <w:sz w:val="21"/>
                <w:szCs w:val="21"/>
                <w:lang w:val="lt-LT"/>
              </w:rPr>
              <w:t xml:space="preserve"> jei organizacija ar priemonė yra nauja. Taip pat prie sėkmės ženkliai prisideda patikima ir aiški teisinė bazė. Tai ypač aktualu kalbant apie ESCO rinkos plėtrą.</w:t>
            </w:r>
          </w:p>
        </w:tc>
      </w:tr>
      <w:tr w:rsidR="00902D59" w:rsidRPr="003878A7" w14:paraId="5098FC80" w14:textId="77777777" w:rsidTr="00F80AF2">
        <w:tc>
          <w:tcPr>
            <w:tcW w:w="1565" w:type="pct"/>
          </w:tcPr>
          <w:p w14:paraId="3CA04BD5" w14:textId="231172F4" w:rsidR="00902D59" w:rsidRPr="003878A7" w:rsidRDefault="00902D59" w:rsidP="005F26FF">
            <w:pPr>
              <w:pStyle w:val="Pagrindinispaprastastekstas"/>
              <w:spacing w:after="0"/>
              <w:rPr>
                <w:rFonts w:ascii="Times New Roman" w:hAnsi="Times New Roman"/>
                <w:b/>
                <w:bCs/>
                <w:sz w:val="21"/>
                <w:szCs w:val="21"/>
                <w:lang w:val="lt-LT"/>
              </w:rPr>
            </w:pPr>
            <w:r w:rsidRPr="003878A7">
              <w:rPr>
                <w:rFonts w:ascii="Times New Roman" w:hAnsi="Times New Roman"/>
                <w:b/>
                <w:bCs/>
                <w:sz w:val="21"/>
                <w:szCs w:val="21"/>
                <w:lang w:val="lt-LT"/>
              </w:rPr>
              <w:t>LEEF (</w:t>
            </w:r>
            <w:r w:rsidR="00485624" w:rsidRPr="003878A7">
              <w:rPr>
                <w:rFonts w:ascii="Times New Roman" w:hAnsi="Times New Roman"/>
                <w:b/>
                <w:bCs/>
                <w:sz w:val="21"/>
                <w:szCs w:val="21"/>
                <w:lang w:val="lt-LT"/>
              </w:rPr>
              <w:t>Jungtinė Karalystė</w:t>
            </w:r>
            <w:r w:rsidRPr="003878A7">
              <w:rPr>
                <w:rFonts w:ascii="Times New Roman" w:hAnsi="Times New Roman"/>
                <w:b/>
                <w:bCs/>
                <w:sz w:val="21"/>
                <w:szCs w:val="21"/>
                <w:lang w:val="lt-LT"/>
              </w:rPr>
              <w:t>)</w:t>
            </w:r>
          </w:p>
          <w:p w14:paraId="0BA1B2A2" w14:textId="5BB0805C" w:rsidR="00902D59" w:rsidRPr="003878A7" w:rsidRDefault="00902D59" w:rsidP="005F26FF">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 xml:space="preserve">Tikslas: </w:t>
            </w:r>
            <w:r w:rsidR="005F26FF" w:rsidRPr="003878A7">
              <w:rPr>
                <w:rFonts w:ascii="Times New Roman" w:hAnsi="Times New Roman"/>
                <w:sz w:val="21"/>
                <w:szCs w:val="21"/>
                <w:lang w:val="lt-LT"/>
              </w:rPr>
              <w:t>skatinti investicijas į energijos vartojimo efektyvumo didinimo priemones privataus ir viešojo sektoriaus pastatuose</w:t>
            </w:r>
          </w:p>
          <w:p w14:paraId="31C9241A" w14:textId="77777777" w:rsidR="005F26FF" w:rsidRPr="003878A7" w:rsidRDefault="005F26FF" w:rsidP="005F26FF">
            <w:pPr>
              <w:pStyle w:val="Pagrindinispaprastastekstas"/>
              <w:spacing w:after="0"/>
              <w:rPr>
                <w:rFonts w:ascii="Times New Roman" w:hAnsi="Times New Roman"/>
                <w:sz w:val="21"/>
                <w:szCs w:val="21"/>
                <w:lang w:val="lt-LT"/>
              </w:rPr>
            </w:pPr>
            <w:r w:rsidRPr="003878A7">
              <w:rPr>
                <w:rFonts w:ascii="Times New Roman" w:hAnsi="Times New Roman"/>
                <w:sz w:val="21"/>
                <w:szCs w:val="21"/>
                <w:lang w:val="lt-LT"/>
              </w:rPr>
              <w:t>FP: pirmaeilių (privilegijuotųjų) paskolų bei tarpinio pobūdžio paskolų</w:t>
            </w:r>
            <w:r w:rsidRPr="003878A7">
              <w:rPr>
                <w:rStyle w:val="FootnoteReference"/>
                <w:rFonts w:ascii="Times New Roman" w:hAnsi="Times New Roman"/>
                <w:sz w:val="21"/>
                <w:szCs w:val="21"/>
                <w:lang w:val="lt-LT"/>
              </w:rPr>
              <w:footnoteReference w:id="13"/>
            </w:r>
            <w:r w:rsidRPr="003878A7">
              <w:rPr>
                <w:rFonts w:ascii="Times New Roman" w:hAnsi="Times New Roman"/>
                <w:sz w:val="21"/>
                <w:szCs w:val="21"/>
                <w:lang w:val="lt-LT"/>
              </w:rPr>
              <w:t xml:space="preserve"> (laikantis ES SF fondų programos reikalavimų)</w:t>
            </w:r>
          </w:p>
          <w:p w14:paraId="7A9F46C4" w14:textId="77777777" w:rsidR="005F26FF" w:rsidRPr="003878A7" w:rsidRDefault="005F26FF" w:rsidP="005F26FF">
            <w:pPr>
              <w:keepNext/>
              <w:spacing w:before="0" w:after="0"/>
              <w:ind w:firstLine="0"/>
              <w:rPr>
                <w:rFonts w:cs="Times New Roman"/>
                <w:sz w:val="21"/>
                <w:szCs w:val="21"/>
                <w:lang w:val="lt-LT"/>
              </w:rPr>
            </w:pPr>
            <w:r w:rsidRPr="003878A7">
              <w:rPr>
                <w:rFonts w:cs="Times New Roman"/>
                <w:sz w:val="21"/>
                <w:szCs w:val="21"/>
                <w:lang w:val="lt-LT"/>
              </w:rPr>
              <w:t>GNG: yra viešojo sektoriaus organizacijos, pvz., vietos savivaldos institucijos, universitetai, privatus sektorius, pvz., ESCO, statybų rangovai, patalpų savininkai. Taip pat LEEF gali investuoti į bendrų įmonių</w:t>
            </w:r>
            <w:r w:rsidRPr="003878A7">
              <w:rPr>
                <w:rStyle w:val="FootnoteReference"/>
                <w:rFonts w:cs="Times New Roman"/>
                <w:sz w:val="21"/>
                <w:szCs w:val="21"/>
                <w:lang w:val="lt-LT"/>
              </w:rPr>
              <w:footnoteReference w:id="14"/>
            </w:r>
            <w:r w:rsidRPr="003878A7">
              <w:rPr>
                <w:rFonts w:cs="Times New Roman"/>
                <w:sz w:val="21"/>
                <w:szCs w:val="21"/>
                <w:lang w:val="lt-LT"/>
              </w:rPr>
              <w:t>, specialios paskirties įmonių valdomus projektus, viešo ir privataus sektorių partnerystės būdu įgyvendinamus projektus.</w:t>
            </w:r>
          </w:p>
          <w:p w14:paraId="40E9C563" w14:textId="4B6AC889" w:rsidR="005F26FF" w:rsidRPr="003878A7" w:rsidRDefault="005F26FF" w:rsidP="005F26FF">
            <w:pPr>
              <w:pStyle w:val="Pagrindinispaprastastekstas"/>
              <w:spacing w:after="0"/>
              <w:rPr>
                <w:rFonts w:ascii="Times New Roman" w:hAnsi="Times New Roman"/>
                <w:sz w:val="21"/>
                <w:szCs w:val="21"/>
                <w:lang w:val="lt-LT"/>
              </w:rPr>
            </w:pPr>
          </w:p>
        </w:tc>
        <w:tc>
          <w:tcPr>
            <w:tcW w:w="3435" w:type="pct"/>
          </w:tcPr>
          <w:p w14:paraId="01046AB6" w14:textId="77777777" w:rsidR="00485624" w:rsidRPr="003878A7" w:rsidRDefault="00485624" w:rsidP="00CB66B8">
            <w:pPr>
              <w:pStyle w:val="Pagrindinispaprastastekstas"/>
              <w:numPr>
                <w:ilvl w:val="0"/>
                <w:numId w:val="11"/>
              </w:numPr>
              <w:spacing w:after="0"/>
              <w:ind w:left="360"/>
              <w:rPr>
                <w:rFonts w:ascii="Times New Roman" w:hAnsi="Times New Roman"/>
                <w:sz w:val="21"/>
                <w:szCs w:val="21"/>
                <w:lang w:val="lt-LT"/>
              </w:rPr>
            </w:pPr>
            <w:r w:rsidRPr="003878A7">
              <w:rPr>
                <w:rFonts w:ascii="Times New Roman" w:hAnsi="Times New Roman"/>
                <w:sz w:val="21"/>
                <w:szCs w:val="21"/>
                <w:lang w:val="lt-LT"/>
              </w:rPr>
              <w:t>B</w:t>
            </w:r>
            <w:r w:rsidR="00902D59" w:rsidRPr="003878A7">
              <w:rPr>
                <w:rFonts w:ascii="Times New Roman" w:hAnsi="Times New Roman"/>
                <w:sz w:val="21"/>
                <w:szCs w:val="21"/>
                <w:lang w:val="lt-LT"/>
              </w:rPr>
              <w:t xml:space="preserve">ūtina tiksliai įsivertinti rinkos situaciją ir remiantis šiuo vertinimu apibrėžti konkrečias siūlomo produkto sąlygas (kainą, trukmę, tikslines grupes ir t. t.). </w:t>
            </w:r>
          </w:p>
          <w:p w14:paraId="6FF04CA1" w14:textId="217E791F" w:rsidR="00902D59" w:rsidRPr="003878A7" w:rsidRDefault="00902D59" w:rsidP="00CB66B8">
            <w:pPr>
              <w:pStyle w:val="Pagrindinispaprastastekstas"/>
              <w:numPr>
                <w:ilvl w:val="0"/>
                <w:numId w:val="11"/>
              </w:numPr>
              <w:spacing w:after="0"/>
              <w:ind w:left="360"/>
              <w:rPr>
                <w:rFonts w:ascii="Times New Roman" w:hAnsi="Times New Roman"/>
                <w:sz w:val="21"/>
                <w:szCs w:val="21"/>
                <w:lang w:val="lt-LT"/>
              </w:rPr>
            </w:pPr>
            <w:r w:rsidRPr="003878A7">
              <w:rPr>
                <w:rFonts w:ascii="Times New Roman" w:hAnsi="Times New Roman"/>
                <w:sz w:val="21"/>
                <w:szCs w:val="21"/>
                <w:lang w:val="lt-LT"/>
              </w:rPr>
              <w:t>Už fondo valdymą atsakinga struktūra turi būti pajėgi priimti nepriklausomus, kompetentingus ir patikimus sprendimus.</w:t>
            </w:r>
          </w:p>
          <w:p w14:paraId="471DC2F2" w14:textId="77777777" w:rsidR="00485624" w:rsidRPr="003878A7" w:rsidRDefault="00902D59" w:rsidP="00CB66B8">
            <w:pPr>
              <w:pStyle w:val="Pagrindinispaprastastekstas"/>
              <w:numPr>
                <w:ilvl w:val="0"/>
                <w:numId w:val="11"/>
              </w:numPr>
              <w:spacing w:after="0"/>
              <w:ind w:left="360"/>
              <w:rPr>
                <w:rFonts w:ascii="Times New Roman" w:hAnsi="Times New Roman"/>
                <w:sz w:val="21"/>
                <w:szCs w:val="21"/>
                <w:lang w:val="lt-LT"/>
              </w:rPr>
            </w:pPr>
            <w:r w:rsidRPr="003878A7">
              <w:rPr>
                <w:rFonts w:ascii="Times New Roman" w:hAnsi="Times New Roman"/>
                <w:sz w:val="21"/>
                <w:szCs w:val="21"/>
                <w:lang w:val="lt-LT"/>
              </w:rPr>
              <w:t xml:space="preserve">Svarbus aktyvus bendradarbiavimas su </w:t>
            </w:r>
            <w:r w:rsidR="00485624" w:rsidRPr="003878A7">
              <w:rPr>
                <w:rFonts w:ascii="Times New Roman" w:hAnsi="Times New Roman"/>
                <w:sz w:val="21"/>
                <w:szCs w:val="21"/>
                <w:lang w:val="lt-LT"/>
              </w:rPr>
              <w:t>EK</w:t>
            </w:r>
            <w:r w:rsidRPr="003878A7">
              <w:rPr>
                <w:rFonts w:ascii="Times New Roman" w:hAnsi="Times New Roman"/>
                <w:sz w:val="21"/>
                <w:szCs w:val="21"/>
                <w:lang w:val="lt-LT"/>
              </w:rPr>
              <w:t xml:space="preserve">, ypač sprendžiant klausimus, susijusius su </w:t>
            </w:r>
            <w:r w:rsidR="00485624" w:rsidRPr="003878A7">
              <w:rPr>
                <w:rFonts w:ascii="Times New Roman" w:hAnsi="Times New Roman"/>
                <w:sz w:val="21"/>
                <w:szCs w:val="21"/>
                <w:lang w:val="lt-LT"/>
              </w:rPr>
              <w:t>FP</w:t>
            </w:r>
            <w:r w:rsidRPr="003878A7">
              <w:rPr>
                <w:rFonts w:ascii="Times New Roman" w:hAnsi="Times New Roman"/>
                <w:sz w:val="21"/>
                <w:szCs w:val="21"/>
                <w:lang w:val="lt-LT"/>
              </w:rPr>
              <w:t xml:space="preserve"> įgyvendinimu bei papildomų subsidijų teikimu pasirinktame modelyje.</w:t>
            </w:r>
          </w:p>
          <w:p w14:paraId="7665CF80" w14:textId="522DEE5A" w:rsidR="00902D59" w:rsidRPr="003878A7" w:rsidRDefault="00485624" w:rsidP="00CB66B8">
            <w:pPr>
              <w:pStyle w:val="Pagrindinispaprastastekstas"/>
              <w:numPr>
                <w:ilvl w:val="0"/>
                <w:numId w:val="11"/>
              </w:numPr>
              <w:spacing w:after="0"/>
              <w:ind w:left="360"/>
              <w:rPr>
                <w:rFonts w:ascii="Times New Roman" w:hAnsi="Times New Roman"/>
                <w:sz w:val="21"/>
                <w:szCs w:val="21"/>
                <w:lang w:val="lt-LT"/>
              </w:rPr>
            </w:pPr>
            <w:r w:rsidRPr="003878A7">
              <w:rPr>
                <w:rFonts w:ascii="Times New Roman" w:hAnsi="Times New Roman"/>
                <w:sz w:val="21"/>
                <w:szCs w:val="21"/>
                <w:lang w:val="lt-LT"/>
              </w:rPr>
              <w:t>D</w:t>
            </w:r>
            <w:r w:rsidR="00902D59" w:rsidRPr="003878A7">
              <w:rPr>
                <w:rFonts w:ascii="Times New Roman" w:hAnsi="Times New Roman"/>
                <w:sz w:val="21"/>
                <w:szCs w:val="21"/>
                <w:lang w:val="lt-LT"/>
              </w:rPr>
              <w:t>ėmesys turėtų būti skiriamas papildomo privataus finansavimo pritraukimui tiek fondo, tiek ir konkrečių projektų lygiu. Kita vertus, dėl privačių lėšų kainos gali mažėti paskolų patrauklumas. LEEF lėšos yra pigios, bet susietos su privačiomis lėšomis – pabrangsta. Tai gali turėti neigiamą poveikį produktų konkurencingumui.</w:t>
            </w:r>
          </w:p>
          <w:p w14:paraId="493638C4" w14:textId="77777777" w:rsidR="00902D59" w:rsidRPr="003878A7" w:rsidRDefault="00902D59" w:rsidP="00CB66B8">
            <w:pPr>
              <w:pStyle w:val="Pagrindinispaprastastekstas"/>
              <w:numPr>
                <w:ilvl w:val="0"/>
                <w:numId w:val="11"/>
              </w:numPr>
              <w:spacing w:after="0"/>
              <w:ind w:left="360"/>
              <w:rPr>
                <w:rFonts w:ascii="Times New Roman" w:hAnsi="Times New Roman"/>
                <w:sz w:val="21"/>
                <w:szCs w:val="21"/>
                <w:lang w:val="lt-LT"/>
              </w:rPr>
            </w:pPr>
            <w:r w:rsidRPr="003878A7">
              <w:rPr>
                <w:rFonts w:ascii="Times New Roman" w:hAnsi="Times New Roman"/>
                <w:sz w:val="21"/>
                <w:szCs w:val="21"/>
                <w:lang w:val="lt-LT"/>
              </w:rPr>
              <w:t>Modelio kūrimo procesas užtruko ilgiau nei planuota. 2007-2013 m. Londono ERPF veiksmų programa buvo patvirtinta 2007 m. gruodį. Nuo šios datos iki pirmos investicijos praėjo 4 metai. Miestų plėtros fondai pradėjo veikti praėjus 30 mėnesių po kontroliuojančiojo fondo įsteigimo. Buvo tikimasi, kad pirmojo miesto plėtros fondo valdytojo atrankos metu įgyta patirtis bus pritaikyta kituose pirkimuose ir dėl to jie vyks greičiau ir paprasčiau. Tačiau LGF atveju miesto plėtros fondai turi unikalią struktūrą, todėl buvo būtina adaptacija siekiant atspindėti skirtumus.</w:t>
            </w:r>
          </w:p>
          <w:p w14:paraId="402C802F" w14:textId="77777777" w:rsidR="00902D59" w:rsidRPr="003878A7" w:rsidRDefault="00902D59" w:rsidP="00CB66B8">
            <w:pPr>
              <w:pStyle w:val="Pagrindinispaprastastekstas"/>
              <w:numPr>
                <w:ilvl w:val="0"/>
                <w:numId w:val="11"/>
              </w:numPr>
              <w:spacing w:after="0"/>
              <w:ind w:left="360"/>
              <w:rPr>
                <w:rFonts w:ascii="Times New Roman" w:hAnsi="Times New Roman"/>
                <w:sz w:val="21"/>
                <w:szCs w:val="21"/>
                <w:lang w:val="lt-LT"/>
              </w:rPr>
            </w:pPr>
            <w:r w:rsidRPr="003878A7">
              <w:rPr>
                <w:rFonts w:ascii="Times New Roman" w:hAnsi="Times New Roman"/>
                <w:sz w:val="21"/>
                <w:szCs w:val="21"/>
                <w:lang w:val="lt-LT"/>
              </w:rPr>
              <w:t>Projektai, ne visada atitinka fondo reikalavimus, todėl kartais nesusidaro prognozuotas projektų srautas. Siekiant sumažinti šią riziką reikia užtikrinant aktyvesnį darbą su potencialiais projektais iki fondo veiklos pradžios. Taip pat padėtų didesnis fondo įgyvendinimo taisyklių lankstumas siekiant prisitaikyti prie kintančių rinkos sąlygų.</w:t>
            </w:r>
          </w:p>
          <w:p w14:paraId="063E61C5" w14:textId="5C502852" w:rsidR="00902D59" w:rsidRPr="003878A7" w:rsidRDefault="00485624" w:rsidP="00CB66B8">
            <w:pPr>
              <w:pStyle w:val="Pagrindinispaprastastekstas"/>
              <w:numPr>
                <w:ilvl w:val="0"/>
                <w:numId w:val="11"/>
              </w:numPr>
              <w:spacing w:after="0"/>
              <w:ind w:left="360"/>
              <w:rPr>
                <w:rFonts w:ascii="Times New Roman" w:hAnsi="Times New Roman"/>
                <w:sz w:val="21"/>
                <w:szCs w:val="21"/>
                <w:lang w:val="lt-LT"/>
              </w:rPr>
            </w:pPr>
            <w:r w:rsidRPr="003878A7">
              <w:rPr>
                <w:rFonts w:ascii="Times New Roman" w:hAnsi="Times New Roman"/>
                <w:sz w:val="21"/>
                <w:szCs w:val="21"/>
                <w:lang w:val="lt-LT"/>
              </w:rPr>
              <w:t>S</w:t>
            </w:r>
            <w:r w:rsidR="00902D59" w:rsidRPr="003878A7">
              <w:rPr>
                <w:rFonts w:ascii="Times New Roman" w:hAnsi="Times New Roman"/>
                <w:sz w:val="21"/>
                <w:szCs w:val="21"/>
                <w:lang w:val="lt-LT"/>
              </w:rPr>
              <w:t>varbu tinkamai suplanuoti viešinimo veiklas ir skirti joms pakankamus žmogiškuosius ir finansinius išteklius.</w:t>
            </w:r>
          </w:p>
          <w:p w14:paraId="22397C1D" w14:textId="4BAAA63A" w:rsidR="00902D59" w:rsidRPr="003878A7" w:rsidRDefault="00902D59" w:rsidP="00CB66B8">
            <w:pPr>
              <w:pStyle w:val="Pagrindinispaprastastekstas"/>
              <w:numPr>
                <w:ilvl w:val="0"/>
                <w:numId w:val="11"/>
              </w:numPr>
              <w:spacing w:after="0"/>
              <w:ind w:left="360"/>
              <w:rPr>
                <w:rFonts w:ascii="Times New Roman" w:hAnsi="Times New Roman"/>
                <w:sz w:val="21"/>
                <w:szCs w:val="21"/>
                <w:lang w:val="lt-LT"/>
              </w:rPr>
            </w:pPr>
            <w:r w:rsidRPr="003878A7">
              <w:rPr>
                <w:rFonts w:ascii="Times New Roman" w:hAnsi="Times New Roman"/>
                <w:sz w:val="21"/>
                <w:szCs w:val="21"/>
                <w:lang w:val="lt-LT"/>
              </w:rPr>
              <w:t xml:space="preserve">Papildoma pridėtinė nauda gali būti sukurta identifikavus ir sukūrus efektyvų bendradarbiavimo mechanizmą su kitomis </w:t>
            </w:r>
            <w:r w:rsidR="00485624" w:rsidRPr="003878A7">
              <w:rPr>
                <w:rFonts w:ascii="Times New Roman" w:hAnsi="Times New Roman"/>
                <w:sz w:val="21"/>
                <w:szCs w:val="21"/>
                <w:lang w:val="lt-LT"/>
              </w:rPr>
              <w:t>FP.</w:t>
            </w:r>
          </w:p>
          <w:p w14:paraId="17C3E0EF" w14:textId="72B4BD21" w:rsidR="00902D59" w:rsidRPr="003878A7" w:rsidRDefault="00902D59" w:rsidP="00CB66B8">
            <w:pPr>
              <w:pStyle w:val="Pagrindinispaprastastekstas"/>
              <w:numPr>
                <w:ilvl w:val="0"/>
                <w:numId w:val="11"/>
              </w:numPr>
              <w:spacing w:after="0"/>
              <w:ind w:left="360"/>
              <w:rPr>
                <w:rFonts w:ascii="Times New Roman" w:hAnsi="Times New Roman"/>
                <w:sz w:val="21"/>
                <w:szCs w:val="21"/>
                <w:lang w:val="lt-LT"/>
              </w:rPr>
            </w:pPr>
            <w:r w:rsidRPr="003878A7">
              <w:rPr>
                <w:rFonts w:ascii="Times New Roman" w:hAnsi="Times New Roman"/>
                <w:sz w:val="21"/>
                <w:szCs w:val="21"/>
                <w:lang w:val="lt-LT"/>
              </w:rPr>
              <w:t xml:space="preserve">Vienas didžiausių iššūkių LEEF buvo ERPF taisyklių, kurios iš principo buvo skirtos subsidijoms, taikymas komercinei aplinkai. </w:t>
            </w:r>
            <w:r w:rsidR="00485624" w:rsidRPr="003878A7">
              <w:rPr>
                <w:rFonts w:ascii="Times New Roman" w:hAnsi="Times New Roman"/>
                <w:sz w:val="21"/>
                <w:szCs w:val="21"/>
                <w:lang w:val="lt-LT"/>
              </w:rPr>
              <w:t>ES SF</w:t>
            </w:r>
            <w:r w:rsidRPr="003878A7">
              <w:rPr>
                <w:rFonts w:ascii="Times New Roman" w:hAnsi="Times New Roman"/>
                <w:sz w:val="21"/>
                <w:szCs w:val="21"/>
                <w:lang w:val="lt-LT"/>
              </w:rPr>
              <w:t xml:space="preserve"> fondams taikomos nuostatos pasižymi nelankstumu ir papildomomis sąlygomis, t. </w:t>
            </w:r>
            <w:r w:rsidRPr="003878A7">
              <w:rPr>
                <w:rFonts w:ascii="Times New Roman" w:hAnsi="Times New Roman"/>
                <w:sz w:val="21"/>
                <w:szCs w:val="21"/>
                <w:lang w:val="lt-LT"/>
              </w:rPr>
              <w:lastRenderedPageBreak/>
              <w:t xml:space="preserve">y. buvo siūloma komercinė paskola, kuri apipinta papildomais reikalavimais. </w:t>
            </w:r>
          </w:p>
        </w:tc>
      </w:tr>
    </w:tbl>
    <w:p w14:paraId="37AE3803" w14:textId="7946C06E" w:rsidR="002C31C8" w:rsidRPr="003878A7" w:rsidRDefault="005F26FF" w:rsidP="00072F55">
      <w:pPr>
        <w:spacing w:after="0"/>
        <w:rPr>
          <w:rFonts w:cs="Times New Roman"/>
          <w:sz w:val="20"/>
          <w:szCs w:val="20"/>
        </w:rPr>
      </w:pPr>
      <w:r w:rsidRPr="003878A7">
        <w:rPr>
          <w:rFonts w:cs="Times New Roman"/>
          <w:sz w:val="20"/>
          <w:szCs w:val="20"/>
        </w:rPr>
        <w:lastRenderedPageBreak/>
        <w:t>Šaltinis: sudaryta Vertintojų</w:t>
      </w:r>
    </w:p>
    <w:p w14:paraId="17F242BA" w14:textId="2D11D4AA" w:rsidR="0075229B" w:rsidRPr="003878A7" w:rsidRDefault="0075229B" w:rsidP="00CB66B8">
      <w:pPr>
        <w:pStyle w:val="Heading1"/>
        <w:numPr>
          <w:ilvl w:val="0"/>
          <w:numId w:val="15"/>
        </w:numPr>
        <w:rPr>
          <w:rFonts w:cs="Times New Roman"/>
        </w:rPr>
      </w:pPr>
      <w:bookmarkStart w:id="42" w:name="_Toc62131241"/>
      <w:bookmarkStart w:id="43" w:name="_Toc70532882"/>
      <w:r w:rsidRPr="003878A7">
        <w:rPr>
          <w:rFonts w:cs="Times New Roman"/>
        </w:rPr>
        <w:t>Investavimo strategija</w:t>
      </w:r>
      <w:bookmarkEnd w:id="42"/>
      <w:bookmarkEnd w:id="43"/>
    </w:p>
    <w:p w14:paraId="381F69EE" w14:textId="77777777" w:rsidR="007C42E8" w:rsidRPr="003878A7" w:rsidRDefault="007C42E8" w:rsidP="009D258E">
      <w:pPr>
        <w:rPr>
          <w:rFonts w:cs="Times New Roman"/>
        </w:rPr>
      </w:pPr>
      <w:r w:rsidRPr="003878A7">
        <w:rPr>
          <w:rFonts w:cs="Times New Roman"/>
        </w:rPr>
        <w:t xml:space="preserve">Šioje Investavimo strategijoje yra išskiriamos trys investavimo strategijos: daugiabučių modernizavimo investavimo strategija, viešųjų pastatų ir gatvių apšvietimo modernizavimo investavimo strategija, savivaldybių viešųjų pastatų modernizavimo investavimo strategija. </w:t>
      </w:r>
    </w:p>
    <w:p w14:paraId="523340E8" w14:textId="27864D95" w:rsidR="00104241" w:rsidRPr="003878A7" w:rsidRDefault="005459DB" w:rsidP="005459DB">
      <w:pPr>
        <w:pStyle w:val="Heading2"/>
        <w:rPr>
          <w:rFonts w:cs="Times New Roman"/>
        </w:rPr>
      </w:pPr>
      <w:bookmarkStart w:id="44" w:name="_Toc25594722"/>
      <w:bookmarkStart w:id="45" w:name="_Toc70532883"/>
      <w:r w:rsidRPr="003878A7">
        <w:rPr>
          <w:rFonts w:cs="Times New Roman"/>
        </w:rPr>
        <w:t xml:space="preserve">6.1 </w:t>
      </w:r>
      <w:r w:rsidR="00104241" w:rsidRPr="003878A7">
        <w:rPr>
          <w:rFonts w:cs="Times New Roman"/>
        </w:rPr>
        <w:t>Daugiabučių namų modernizavimo investavimo strategija</w:t>
      </w:r>
      <w:bookmarkEnd w:id="44"/>
      <w:bookmarkEnd w:id="45"/>
    </w:p>
    <w:p w14:paraId="0FFA3C46" w14:textId="097B3E01" w:rsidR="00104241" w:rsidRPr="003878A7" w:rsidRDefault="00104241" w:rsidP="009D258E">
      <w:pPr>
        <w:rPr>
          <w:rFonts w:cs="Times New Roman"/>
        </w:rPr>
      </w:pPr>
      <w:r w:rsidRPr="003878A7">
        <w:rPr>
          <w:rFonts w:cs="Times New Roman"/>
        </w:rPr>
        <w:t xml:space="preserve">Pradinėje ataskaitoje įvertinta, jog siekiant pasiekti užsibrėžtus rezultatus, Lietuvoje per 2014-2020 metų programavimo laikotarpį reikia daugiabučių renovacijai skirti daugiau kaip 1,3 mlrd. </w:t>
      </w:r>
      <w:r w:rsidR="00266AE2" w:rsidRPr="003878A7">
        <w:rPr>
          <w:rFonts w:cs="Times New Roman"/>
        </w:rPr>
        <w:t>Eur</w:t>
      </w:r>
      <w:r w:rsidRPr="003878A7">
        <w:rPr>
          <w:rFonts w:cs="Times New Roman"/>
        </w:rPr>
        <w:t xml:space="preserve">, tačiau išnagrinėjus visus rinkoje prieinamus finansavimo šaltinius (įskaitant ir </w:t>
      </w:r>
      <w:r w:rsidR="009D258E" w:rsidRPr="003878A7">
        <w:rPr>
          <w:rFonts w:cs="Times New Roman"/>
        </w:rPr>
        <w:t>ES SF</w:t>
      </w:r>
      <w:r w:rsidRPr="003878A7">
        <w:rPr>
          <w:rFonts w:cs="Times New Roman"/>
        </w:rPr>
        <w:t xml:space="preserve"> fondų lėšas) bendras finansavimas daugiabučių renovacijai yra nepakankamas. Siekiant tęsti 2009 m. sukurto JESSICA KF veiklas, 2014-2020 m. periodu iš </w:t>
      </w:r>
      <w:r w:rsidR="009D258E" w:rsidRPr="003878A7">
        <w:rPr>
          <w:rFonts w:cs="Times New Roman"/>
        </w:rPr>
        <w:t>ES SF</w:t>
      </w:r>
      <w:r w:rsidRPr="003878A7">
        <w:rPr>
          <w:rFonts w:cs="Times New Roman"/>
        </w:rPr>
        <w:t xml:space="preserve"> fondų lėšų daugiabučių namų renovacijai buvo numatyta skirti apie 280,9 mln. eurų, vėliau šis skaičius peržiūrėtas ir padidintas iki 314 mln. Tačiau net ir papildomai vertinant grįžtančias JESSICA KF lėšas, poreikis investicijoms yra daugiau negu kelis kartus didesnis.</w:t>
      </w:r>
      <w:r w:rsidR="009D258E" w:rsidRPr="003878A7">
        <w:rPr>
          <w:rFonts w:cs="Times New Roman"/>
        </w:rPr>
        <w:t xml:space="preserve"> </w:t>
      </w:r>
      <w:r w:rsidRPr="003878A7">
        <w:rPr>
          <w:rFonts w:cs="Times New Roman"/>
        </w:rPr>
        <w:t xml:space="preserve">Siekiant finansuoti daugiau projektų, būtina finansavimą teikti ne subsidijų, bet grįžtančias lėšas generuojančių ir privačias lėšas pritraukiančių </w:t>
      </w:r>
      <w:r w:rsidR="006C6AC6" w:rsidRPr="003878A7">
        <w:rPr>
          <w:rFonts w:cs="Times New Roman"/>
        </w:rPr>
        <w:t>FP</w:t>
      </w:r>
      <w:r w:rsidRPr="003878A7">
        <w:rPr>
          <w:rFonts w:cs="Times New Roman"/>
        </w:rPr>
        <w:t xml:space="preserve"> pagrindu. </w:t>
      </w:r>
    </w:p>
    <w:p w14:paraId="0007D2D2" w14:textId="1AC87DDF" w:rsidR="006C6AC6" w:rsidRDefault="00104241" w:rsidP="00104241">
      <w:pPr>
        <w:rPr>
          <w:rFonts w:cs="Times New Roman"/>
        </w:rPr>
      </w:pPr>
      <w:r w:rsidRPr="003878A7">
        <w:rPr>
          <w:rFonts w:cs="Times New Roman"/>
        </w:rPr>
        <w:t xml:space="preserve">Siekiant parinkti optimaliausią finansinį produktą daugiabučių modernizavimo projektų finansavimui, buvo įvertinti </w:t>
      </w:r>
      <w:r w:rsidR="006C6AC6" w:rsidRPr="003878A7">
        <w:rPr>
          <w:rFonts w:cs="Times New Roman"/>
        </w:rPr>
        <w:t xml:space="preserve">iš viso </w:t>
      </w:r>
      <w:r w:rsidRPr="003878A7">
        <w:rPr>
          <w:rFonts w:cs="Times New Roman"/>
        </w:rPr>
        <w:t>šeši scenarijai</w:t>
      </w:r>
      <w:r w:rsidR="006C6AC6" w:rsidRPr="003878A7">
        <w:rPr>
          <w:rFonts w:cs="Times New Roman"/>
        </w:rPr>
        <w:t>, iš kurių keturių scenarijų atveju buvo nagrinėjami pagrindiniai finansinių produktų tipai</w:t>
      </w:r>
      <w:r w:rsidR="009D258E" w:rsidRPr="003878A7">
        <w:rPr>
          <w:rFonts w:cs="Times New Roman"/>
        </w:rPr>
        <w:t xml:space="preserve">: (1) paskolų teikimo; (2) paskolų teikimo taikant paskolų išpirkimo modelį; (3) paskolų teikimo, taikant asimetrinės rizikos pasidalijimo modelį; (4) garantijų teikimo; </w:t>
      </w:r>
      <w:r w:rsidR="006C6AC6" w:rsidRPr="003878A7">
        <w:rPr>
          <w:rFonts w:cs="Times New Roman"/>
        </w:rPr>
        <w:t xml:space="preserve">ir du scenarijai, indikuojantys skirtingų finansinių produktų derinimą: </w:t>
      </w:r>
      <w:r w:rsidR="009D258E" w:rsidRPr="003878A7">
        <w:rPr>
          <w:rFonts w:cs="Times New Roman"/>
        </w:rPr>
        <w:t>(5) dalį lėšų nukreipiant į paskolų modelį ir dalį į garantijų FP; (6) dalį lėšų nukreipiant  į paskolų modelį dalis į garantijų priemonę su galimybę ateityje išpirkti ateities finansinius srautus</w:t>
      </w:r>
      <w:r w:rsidRPr="003878A7">
        <w:rPr>
          <w:rFonts w:cs="Times New Roman"/>
        </w:rPr>
        <w:t xml:space="preserve">. </w:t>
      </w:r>
    </w:p>
    <w:p w14:paraId="5760F59D" w14:textId="34F82915" w:rsidR="00411D55" w:rsidRDefault="00411D55" w:rsidP="00411D55">
      <w:pPr>
        <w:rPr>
          <w:rFonts w:cs="Times New Roman"/>
        </w:rPr>
      </w:pPr>
      <w:r w:rsidRPr="00411D55">
        <w:rPr>
          <w:rFonts w:cs="Times New Roman"/>
        </w:rPr>
        <w:t xml:space="preserve">Nors garantijų teikimo priemonė 2016 m. ir 2018 m. ex ante ataskaitose buvo įvertinta kaip patraukli alternatyva, įgalinanti pritraukti papildomas privačias lėšas, tačiau derybų dėl </w:t>
      </w:r>
      <w:r>
        <w:rPr>
          <w:rFonts w:cs="Times New Roman"/>
        </w:rPr>
        <w:t>FT</w:t>
      </w:r>
      <w:r w:rsidRPr="00411D55">
        <w:rPr>
          <w:rFonts w:cs="Times New Roman"/>
        </w:rPr>
        <w:t xml:space="preserve"> atrankos proceso metu dalis paaiškėjo, kad bankai žymiai palankiau vertina galimybes suteikti papildomą finansavimą iš savo lėšų modernizavimo projektams, Modernizavimo paskolų administravimo procesą pavedant tretiesiems asmenims (šalims).</w:t>
      </w:r>
      <w:r>
        <w:rPr>
          <w:rFonts w:cs="Times New Roman"/>
        </w:rPr>
        <w:t xml:space="preserve"> Dėl šių priežasčių garantijų FP nėra analizuojama.</w:t>
      </w:r>
    </w:p>
    <w:p w14:paraId="74BBD03E" w14:textId="77777777" w:rsidR="00F16400" w:rsidRPr="00F16400" w:rsidRDefault="00411D55" w:rsidP="00F16400">
      <w:pPr>
        <w:rPr>
          <w:rFonts w:cs="Times New Roman"/>
        </w:rPr>
      </w:pPr>
      <w:r>
        <w:rPr>
          <w:rFonts w:cs="Times New Roman"/>
        </w:rPr>
        <w:t>Vertinimo tikslinimo metu buvo pasiūlyta</w:t>
      </w:r>
      <w:r w:rsidR="00575E63">
        <w:rPr>
          <w:rFonts w:cs="Times New Roman"/>
        </w:rPr>
        <w:t xml:space="preserve"> dar vienas alternatyvus finansavimo scenarijus – modernizavimo paskolų teikimas per platformą. </w:t>
      </w:r>
      <w:r w:rsidR="00F16400" w:rsidRPr="00F16400">
        <w:rPr>
          <w:rFonts w:cs="Times New Roman"/>
        </w:rPr>
        <w:t>ESI fondų lėšos yra nukreipiamos į naujai sukurtą juridinio asmens statusą turinčią paskolų teikimo platformą, veikiančią suformuojant tris nuostolių ir rizikos pasidalinimo lygius.</w:t>
      </w:r>
    </w:p>
    <w:p w14:paraId="2F4CEC56" w14:textId="6430C824" w:rsidR="00411D55" w:rsidRPr="00411D55" w:rsidRDefault="00411D55" w:rsidP="00411D55">
      <w:pPr>
        <w:rPr>
          <w:rFonts w:cs="Times New Roman"/>
        </w:rPr>
      </w:pPr>
    </w:p>
    <w:p w14:paraId="221BEF50" w14:textId="15ACCFB0" w:rsidR="00BF623D" w:rsidRPr="003878A7" w:rsidRDefault="00BF623D" w:rsidP="00BF623D">
      <w:pPr>
        <w:ind w:firstLine="0"/>
        <w:rPr>
          <w:rFonts w:cs="Times New Roman"/>
          <w:i/>
          <w:iCs/>
        </w:rPr>
      </w:pPr>
      <w:r w:rsidRPr="003878A7">
        <w:rPr>
          <w:rFonts w:cs="Times New Roman"/>
          <w:i/>
          <w:iCs/>
        </w:rPr>
        <w:t>Lentelė Nr. 1</w:t>
      </w:r>
      <w:r w:rsidR="006D7B19">
        <w:rPr>
          <w:rFonts w:cs="Times New Roman"/>
          <w:i/>
          <w:iCs/>
        </w:rPr>
        <w:t>5</w:t>
      </w:r>
      <w:r w:rsidRPr="003878A7">
        <w:rPr>
          <w:rFonts w:cs="Times New Roman"/>
          <w:i/>
          <w:iCs/>
        </w:rPr>
        <w:t xml:space="preserve">. Finansinių produktų taikymo alternatyvų analizė </w:t>
      </w:r>
    </w:p>
    <w:tbl>
      <w:tblPr>
        <w:tblStyle w:val="TableGrid"/>
        <w:tblW w:w="5000" w:type="pct"/>
        <w:tblLook w:val="04A0" w:firstRow="1" w:lastRow="0" w:firstColumn="1" w:lastColumn="0" w:noHBand="0" w:noVBand="1"/>
      </w:tblPr>
      <w:tblGrid>
        <w:gridCol w:w="2550"/>
        <w:gridCol w:w="3500"/>
        <w:gridCol w:w="3804"/>
      </w:tblGrid>
      <w:tr w:rsidR="006C6AC6" w:rsidRPr="003878A7" w14:paraId="6A4906A2" w14:textId="77777777" w:rsidTr="001568A2">
        <w:tc>
          <w:tcPr>
            <w:tcW w:w="1294" w:type="pct"/>
          </w:tcPr>
          <w:p w14:paraId="76F0872D" w14:textId="77777777" w:rsidR="006C6AC6" w:rsidRPr="003878A7" w:rsidRDefault="006C6AC6" w:rsidP="001568A2">
            <w:pPr>
              <w:spacing w:before="0" w:after="0"/>
              <w:ind w:firstLine="0"/>
              <w:rPr>
                <w:rStyle w:val="hps"/>
                <w:rFonts w:cs="Times New Roman"/>
                <w:b/>
                <w:bCs/>
                <w:sz w:val="21"/>
                <w:szCs w:val="21"/>
                <w:lang w:val="lt-LT"/>
              </w:rPr>
            </w:pPr>
            <w:r w:rsidRPr="003878A7">
              <w:rPr>
                <w:rStyle w:val="hps"/>
                <w:rFonts w:cs="Times New Roman"/>
                <w:b/>
                <w:bCs/>
                <w:sz w:val="21"/>
                <w:szCs w:val="21"/>
                <w:lang w:val="lt-LT"/>
              </w:rPr>
              <w:t>Scenarijus</w:t>
            </w:r>
          </w:p>
        </w:tc>
        <w:tc>
          <w:tcPr>
            <w:tcW w:w="1776" w:type="pct"/>
          </w:tcPr>
          <w:p w14:paraId="047EC343" w14:textId="77777777" w:rsidR="006C6AC6" w:rsidRPr="003878A7" w:rsidRDefault="006C6AC6" w:rsidP="001568A2">
            <w:pPr>
              <w:spacing w:before="0" w:after="0"/>
              <w:ind w:firstLine="0"/>
              <w:rPr>
                <w:rStyle w:val="hps"/>
                <w:rFonts w:cs="Times New Roman"/>
                <w:b/>
                <w:bCs/>
                <w:sz w:val="21"/>
                <w:szCs w:val="21"/>
                <w:lang w:val="lt-LT"/>
              </w:rPr>
            </w:pPr>
            <w:r w:rsidRPr="003878A7">
              <w:rPr>
                <w:rStyle w:val="hps"/>
                <w:rFonts w:cs="Times New Roman"/>
                <w:b/>
                <w:bCs/>
                <w:sz w:val="21"/>
                <w:szCs w:val="21"/>
                <w:lang w:val="lt-LT"/>
              </w:rPr>
              <w:t>Privalumai</w:t>
            </w:r>
          </w:p>
        </w:tc>
        <w:tc>
          <w:tcPr>
            <w:tcW w:w="1930" w:type="pct"/>
          </w:tcPr>
          <w:p w14:paraId="0E1582D6" w14:textId="77777777" w:rsidR="006C6AC6" w:rsidRPr="003878A7" w:rsidRDefault="006C6AC6" w:rsidP="001568A2">
            <w:pPr>
              <w:spacing w:before="0" w:after="0"/>
              <w:ind w:firstLine="0"/>
              <w:rPr>
                <w:rStyle w:val="hps"/>
                <w:rFonts w:cs="Times New Roman"/>
                <w:b/>
                <w:bCs/>
                <w:sz w:val="21"/>
                <w:szCs w:val="21"/>
                <w:lang w:val="lt-LT"/>
              </w:rPr>
            </w:pPr>
            <w:r w:rsidRPr="003878A7">
              <w:rPr>
                <w:rStyle w:val="hps"/>
                <w:rFonts w:cs="Times New Roman"/>
                <w:b/>
                <w:bCs/>
                <w:sz w:val="21"/>
                <w:szCs w:val="21"/>
                <w:lang w:val="lt-LT"/>
              </w:rPr>
              <w:t>Trūkumai</w:t>
            </w:r>
          </w:p>
        </w:tc>
      </w:tr>
      <w:tr w:rsidR="006C6AC6" w:rsidRPr="003878A7" w14:paraId="4BAF64A1" w14:textId="77777777" w:rsidTr="001568A2">
        <w:tc>
          <w:tcPr>
            <w:tcW w:w="1294" w:type="pct"/>
          </w:tcPr>
          <w:p w14:paraId="0E906C37" w14:textId="2D9B8A17" w:rsidR="006C6AC6" w:rsidRPr="003878A7" w:rsidRDefault="006C6AC6" w:rsidP="003878A7">
            <w:pPr>
              <w:pStyle w:val="ListParagraph"/>
              <w:numPr>
                <w:ilvl w:val="0"/>
                <w:numId w:val="19"/>
              </w:numPr>
              <w:spacing w:before="0" w:after="0"/>
              <w:ind w:left="284"/>
              <w:rPr>
                <w:rStyle w:val="hps"/>
                <w:rFonts w:cs="Times New Roman"/>
                <w:color w:val="222222"/>
                <w:sz w:val="21"/>
                <w:szCs w:val="21"/>
                <w:lang w:val="lt-LT"/>
              </w:rPr>
            </w:pPr>
            <w:r w:rsidRPr="003878A7">
              <w:rPr>
                <w:rStyle w:val="hps"/>
                <w:rFonts w:cs="Times New Roman"/>
                <w:color w:val="222222"/>
                <w:sz w:val="21"/>
                <w:szCs w:val="21"/>
                <w:lang w:val="lt-LT"/>
              </w:rPr>
              <w:t xml:space="preserve">Paskolų </w:t>
            </w:r>
            <w:r w:rsidR="002711A4">
              <w:rPr>
                <w:rStyle w:val="hps"/>
                <w:rFonts w:cs="Times New Roman"/>
                <w:color w:val="222222"/>
                <w:sz w:val="21"/>
                <w:szCs w:val="21"/>
                <w:lang w:val="lt-LT"/>
              </w:rPr>
              <w:t>t</w:t>
            </w:r>
            <w:proofErr w:type="spellStart"/>
            <w:r w:rsidR="002711A4">
              <w:rPr>
                <w:rStyle w:val="hps"/>
                <w:rFonts w:cs="Times New Roman"/>
                <w:color w:val="222222"/>
                <w:sz w:val="21"/>
                <w:szCs w:val="21"/>
              </w:rPr>
              <w:t>eikimas</w:t>
            </w:r>
            <w:proofErr w:type="spellEnd"/>
          </w:p>
        </w:tc>
        <w:tc>
          <w:tcPr>
            <w:tcW w:w="1776" w:type="pct"/>
          </w:tcPr>
          <w:p w14:paraId="55943B04" w14:textId="2EAB4F1C" w:rsidR="006C6AC6" w:rsidRPr="003878A7" w:rsidRDefault="006C6AC6" w:rsidP="00CB66B8">
            <w:pPr>
              <w:pStyle w:val="ListParagraph"/>
              <w:numPr>
                <w:ilvl w:val="0"/>
                <w:numId w:val="17"/>
              </w:numPr>
              <w:spacing w:before="0" w:after="0"/>
              <w:ind w:left="425"/>
              <w:jc w:val="left"/>
              <w:rPr>
                <w:rStyle w:val="hps"/>
                <w:rFonts w:cs="Times New Roman"/>
                <w:color w:val="222222"/>
                <w:sz w:val="21"/>
                <w:szCs w:val="21"/>
                <w:lang w:val="lt-LT"/>
              </w:rPr>
            </w:pPr>
            <w:r w:rsidRPr="003878A7">
              <w:rPr>
                <w:rStyle w:val="hps"/>
                <w:rFonts w:cs="Times New Roman"/>
                <w:color w:val="222222"/>
                <w:sz w:val="21"/>
                <w:szCs w:val="21"/>
                <w:lang w:val="lt-LT"/>
              </w:rPr>
              <w:t>Paprasčiausia, žinomiausia ir rinkoje suprantamiausia finansavimo forma</w:t>
            </w:r>
          </w:p>
          <w:p w14:paraId="32A8FBC5" w14:textId="63420A51" w:rsidR="006C6AC6" w:rsidRPr="003878A7" w:rsidRDefault="006C6AC6" w:rsidP="00CB66B8">
            <w:pPr>
              <w:pStyle w:val="ListParagraph"/>
              <w:numPr>
                <w:ilvl w:val="0"/>
                <w:numId w:val="17"/>
              </w:numPr>
              <w:spacing w:before="0" w:after="0"/>
              <w:ind w:left="425"/>
              <w:jc w:val="left"/>
              <w:rPr>
                <w:rStyle w:val="hps"/>
                <w:rFonts w:cs="Times New Roman"/>
                <w:color w:val="222222"/>
                <w:sz w:val="21"/>
                <w:szCs w:val="21"/>
                <w:lang w:val="lt-LT"/>
              </w:rPr>
            </w:pPr>
            <w:r w:rsidRPr="003878A7">
              <w:rPr>
                <w:rStyle w:val="hps"/>
                <w:rFonts w:cs="Times New Roman"/>
                <w:color w:val="222222"/>
                <w:sz w:val="21"/>
                <w:szCs w:val="21"/>
                <w:lang w:val="lt-LT"/>
              </w:rPr>
              <w:t xml:space="preserve">Patirtis administruojant panašias </w:t>
            </w:r>
            <w:r w:rsidR="000C2D2B" w:rsidRPr="003878A7">
              <w:rPr>
                <w:rStyle w:val="hps"/>
                <w:rFonts w:cs="Times New Roman"/>
                <w:color w:val="222222"/>
                <w:sz w:val="21"/>
                <w:szCs w:val="21"/>
                <w:lang w:val="lt-LT"/>
              </w:rPr>
              <w:t>F</w:t>
            </w:r>
            <w:r w:rsidR="000C2D2B" w:rsidRPr="003878A7">
              <w:rPr>
                <w:rStyle w:val="hps"/>
                <w:color w:val="222222"/>
                <w:sz w:val="21"/>
                <w:szCs w:val="21"/>
                <w:lang w:val="lt-LT"/>
              </w:rPr>
              <w:t>P</w:t>
            </w:r>
            <w:r w:rsidRPr="003878A7">
              <w:rPr>
                <w:rStyle w:val="hps"/>
                <w:rFonts w:cs="Times New Roman"/>
                <w:color w:val="222222"/>
                <w:sz w:val="21"/>
                <w:szCs w:val="21"/>
                <w:lang w:val="lt-LT"/>
              </w:rPr>
              <w:t xml:space="preserve"> (JESSICA)</w:t>
            </w:r>
          </w:p>
          <w:p w14:paraId="17CF7CF3" w14:textId="77777777" w:rsidR="006C6AC6" w:rsidRPr="003878A7" w:rsidRDefault="006C6AC6" w:rsidP="00AA5F12">
            <w:pPr>
              <w:spacing w:before="0" w:after="0"/>
              <w:ind w:left="425" w:firstLine="0"/>
              <w:rPr>
                <w:rStyle w:val="hps"/>
                <w:rFonts w:cs="Times New Roman"/>
                <w:color w:val="222222"/>
                <w:sz w:val="21"/>
                <w:szCs w:val="21"/>
                <w:lang w:val="lt-LT"/>
              </w:rPr>
            </w:pPr>
          </w:p>
        </w:tc>
        <w:tc>
          <w:tcPr>
            <w:tcW w:w="1930" w:type="pct"/>
          </w:tcPr>
          <w:p w14:paraId="0DF93B97" w14:textId="7D06AEF9" w:rsidR="006C6AC6" w:rsidRPr="003878A7" w:rsidRDefault="006C6AC6" w:rsidP="00CB66B8">
            <w:pPr>
              <w:pStyle w:val="ListParagraph"/>
              <w:numPr>
                <w:ilvl w:val="0"/>
                <w:numId w:val="17"/>
              </w:numPr>
              <w:spacing w:before="0" w:after="0"/>
              <w:ind w:left="425"/>
              <w:jc w:val="left"/>
              <w:rPr>
                <w:rStyle w:val="hps"/>
                <w:rFonts w:cs="Times New Roman"/>
                <w:color w:val="222222"/>
                <w:sz w:val="21"/>
                <w:szCs w:val="21"/>
                <w:lang w:val="lt-LT"/>
              </w:rPr>
            </w:pPr>
            <w:r w:rsidRPr="003878A7">
              <w:rPr>
                <w:rStyle w:val="hps"/>
                <w:rFonts w:cs="Times New Roman"/>
                <w:color w:val="222222"/>
                <w:sz w:val="21"/>
                <w:szCs w:val="21"/>
                <w:lang w:val="lt-LT"/>
              </w:rPr>
              <w:t>Santykinai lėtas lėšų grįžimas ir pakartotinis panaudojimas</w:t>
            </w:r>
          </w:p>
          <w:p w14:paraId="2D6FC402" w14:textId="04738371" w:rsidR="006C6AC6" w:rsidRPr="003878A7" w:rsidRDefault="006C6AC6" w:rsidP="00CB66B8">
            <w:pPr>
              <w:pStyle w:val="ListParagraph"/>
              <w:numPr>
                <w:ilvl w:val="0"/>
                <w:numId w:val="17"/>
              </w:numPr>
              <w:spacing w:before="0" w:after="0"/>
              <w:ind w:left="425"/>
              <w:jc w:val="left"/>
              <w:rPr>
                <w:rStyle w:val="hps"/>
                <w:rFonts w:cs="Times New Roman"/>
                <w:color w:val="222222"/>
                <w:sz w:val="21"/>
                <w:szCs w:val="21"/>
                <w:lang w:val="lt-LT"/>
              </w:rPr>
            </w:pPr>
            <w:r w:rsidRPr="003878A7">
              <w:rPr>
                <w:rStyle w:val="hps"/>
                <w:rFonts w:cs="Times New Roman"/>
                <w:color w:val="222222"/>
                <w:sz w:val="21"/>
                <w:szCs w:val="21"/>
                <w:lang w:val="lt-LT"/>
              </w:rPr>
              <w:t>Gali atsirasti prievolė vertinti kiekvieną namo savininką atskirai susiduriant su asmens duomenų valdymo reikalavimų iššūkiais</w:t>
            </w:r>
          </w:p>
          <w:p w14:paraId="33BF4463" w14:textId="6E991B3C" w:rsidR="006C6AC6" w:rsidRPr="003878A7" w:rsidRDefault="006C6AC6" w:rsidP="00CB66B8">
            <w:pPr>
              <w:pStyle w:val="ListParagraph"/>
              <w:numPr>
                <w:ilvl w:val="0"/>
                <w:numId w:val="17"/>
              </w:numPr>
              <w:spacing w:before="0" w:after="0"/>
              <w:ind w:left="425"/>
              <w:jc w:val="left"/>
              <w:rPr>
                <w:rStyle w:val="hps"/>
                <w:rFonts w:cs="Times New Roman"/>
                <w:color w:val="222222"/>
                <w:sz w:val="21"/>
                <w:szCs w:val="21"/>
                <w:lang w:val="lt-LT"/>
              </w:rPr>
            </w:pPr>
            <w:r w:rsidRPr="003878A7">
              <w:rPr>
                <w:rStyle w:val="hps"/>
                <w:rFonts w:cs="Times New Roman"/>
                <w:color w:val="222222"/>
                <w:sz w:val="21"/>
                <w:szCs w:val="21"/>
                <w:lang w:val="lt-LT"/>
              </w:rPr>
              <w:t xml:space="preserve">Netaikant papildomų </w:t>
            </w:r>
            <w:r w:rsidR="001568A2" w:rsidRPr="003878A7">
              <w:rPr>
                <w:rStyle w:val="hps"/>
                <w:rFonts w:cs="Times New Roman"/>
                <w:color w:val="222222"/>
                <w:sz w:val="21"/>
                <w:szCs w:val="21"/>
                <w:lang w:val="lt-LT"/>
              </w:rPr>
              <w:t>s</w:t>
            </w:r>
            <w:r w:rsidR="001568A2" w:rsidRPr="003878A7">
              <w:rPr>
                <w:rStyle w:val="hps"/>
                <w:color w:val="222222"/>
                <w:sz w:val="21"/>
                <w:szCs w:val="21"/>
                <w:lang w:val="lt-LT"/>
              </w:rPr>
              <w:t>katinimo</w:t>
            </w:r>
            <w:r w:rsidRPr="003878A7">
              <w:rPr>
                <w:rStyle w:val="hps"/>
                <w:rFonts w:cs="Times New Roman"/>
                <w:color w:val="222222"/>
                <w:sz w:val="21"/>
                <w:szCs w:val="21"/>
                <w:lang w:val="lt-LT"/>
              </w:rPr>
              <w:t xml:space="preserve"> priemonių mažesnis potencialas pritraukti papildomų lėšų dėl didesnės rizikos bankams</w:t>
            </w:r>
          </w:p>
        </w:tc>
      </w:tr>
      <w:tr w:rsidR="006C6AC6" w:rsidRPr="003878A7" w14:paraId="101576B2" w14:textId="77777777" w:rsidTr="001568A2">
        <w:tc>
          <w:tcPr>
            <w:tcW w:w="1294" w:type="pct"/>
          </w:tcPr>
          <w:p w14:paraId="22B44616" w14:textId="433DE6BF" w:rsidR="006C6AC6" w:rsidRPr="003878A7" w:rsidRDefault="006C6AC6" w:rsidP="003878A7">
            <w:pPr>
              <w:pStyle w:val="ListParagraph"/>
              <w:numPr>
                <w:ilvl w:val="0"/>
                <w:numId w:val="19"/>
              </w:numPr>
              <w:spacing w:before="0" w:after="0"/>
              <w:ind w:left="284"/>
              <w:rPr>
                <w:rStyle w:val="hps"/>
                <w:rFonts w:cs="Times New Roman"/>
                <w:color w:val="222222"/>
                <w:sz w:val="21"/>
                <w:szCs w:val="21"/>
                <w:lang w:val="lt-LT"/>
              </w:rPr>
            </w:pPr>
            <w:r w:rsidRPr="003878A7">
              <w:rPr>
                <w:rStyle w:val="hps"/>
                <w:rFonts w:cs="Times New Roman"/>
                <w:color w:val="222222"/>
                <w:sz w:val="21"/>
                <w:szCs w:val="21"/>
                <w:lang w:val="lt-LT"/>
              </w:rPr>
              <w:t>Paskolos teikimas taikant paskolų išpirkimo modelį</w:t>
            </w:r>
          </w:p>
        </w:tc>
        <w:tc>
          <w:tcPr>
            <w:tcW w:w="1776" w:type="pct"/>
          </w:tcPr>
          <w:p w14:paraId="78F18C69" w14:textId="5E374344" w:rsidR="006C6AC6" w:rsidRPr="003878A7" w:rsidRDefault="006C6AC6" w:rsidP="00CB66B8">
            <w:pPr>
              <w:pStyle w:val="ListParagraph"/>
              <w:numPr>
                <w:ilvl w:val="0"/>
                <w:numId w:val="17"/>
              </w:numPr>
              <w:spacing w:before="0" w:after="0"/>
              <w:ind w:left="425"/>
              <w:jc w:val="left"/>
              <w:rPr>
                <w:rStyle w:val="hps"/>
                <w:rFonts w:cs="Times New Roman"/>
                <w:color w:val="222222"/>
                <w:sz w:val="21"/>
                <w:szCs w:val="21"/>
                <w:lang w:val="lt-LT"/>
              </w:rPr>
            </w:pPr>
            <w:r w:rsidRPr="003878A7">
              <w:rPr>
                <w:rStyle w:val="hps"/>
                <w:rFonts w:cs="Times New Roman"/>
                <w:color w:val="222222"/>
                <w:sz w:val="21"/>
                <w:szCs w:val="21"/>
                <w:lang w:val="lt-LT"/>
              </w:rPr>
              <w:t>Visi išvardinti aukščiau</w:t>
            </w:r>
          </w:p>
          <w:p w14:paraId="65A490DA" w14:textId="77777777" w:rsidR="006C6AC6" w:rsidRPr="003878A7" w:rsidRDefault="006C6AC6" w:rsidP="00CB66B8">
            <w:pPr>
              <w:pStyle w:val="ListParagraph"/>
              <w:numPr>
                <w:ilvl w:val="0"/>
                <w:numId w:val="17"/>
              </w:numPr>
              <w:spacing w:before="0" w:after="0"/>
              <w:ind w:left="425"/>
              <w:jc w:val="left"/>
              <w:rPr>
                <w:rStyle w:val="hps"/>
                <w:rFonts w:cs="Times New Roman"/>
                <w:color w:val="222222"/>
                <w:sz w:val="21"/>
                <w:szCs w:val="21"/>
                <w:lang w:val="lt-LT"/>
              </w:rPr>
            </w:pPr>
            <w:r w:rsidRPr="003878A7">
              <w:rPr>
                <w:rStyle w:val="hps"/>
                <w:rFonts w:cs="Times New Roman"/>
                <w:color w:val="222222"/>
                <w:sz w:val="21"/>
                <w:szCs w:val="21"/>
                <w:lang w:val="lt-LT"/>
              </w:rPr>
              <w:t xml:space="preserve">Paspartintas lėšų reinvestavimas  </w:t>
            </w:r>
          </w:p>
          <w:p w14:paraId="7555ED02" w14:textId="77777777" w:rsidR="006C6AC6" w:rsidRPr="003878A7" w:rsidRDefault="006C6AC6" w:rsidP="00CB66B8">
            <w:pPr>
              <w:pStyle w:val="ListParagraph"/>
              <w:numPr>
                <w:ilvl w:val="0"/>
                <w:numId w:val="17"/>
              </w:numPr>
              <w:spacing w:before="0" w:after="0"/>
              <w:ind w:left="425"/>
              <w:jc w:val="left"/>
              <w:rPr>
                <w:rStyle w:val="hps"/>
                <w:rFonts w:cs="Times New Roman"/>
                <w:color w:val="222222"/>
                <w:sz w:val="21"/>
                <w:szCs w:val="21"/>
                <w:lang w:val="lt-LT"/>
              </w:rPr>
            </w:pPr>
            <w:r w:rsidRPr="003878A7">
              <w:rPr>
                <w:rStyle w:val="hps"/>
                <w:rFonts w:cs="Times New Roman"/>
                <w:color w:val="222222"/>
                <w:sz w:val="21"/>
                <w:szCs w:val="21"/>
                <w:lang w:val="lt-LT"/>
              </w:rPr>
              <w:t xml:space="preserve">Sumažinama lėšų praradimo rizika </w:t>
            </w:r>
          </w:p>
        </w:tc>
        <w:tc>
          <w:tcPr>
            <w:tcW w:w="1930" w:type="pct"/>
          </w:tcPr>
          <w:p w14:paraId="7C72628E" w14:textId="77777777" w:rsidR="006C6AC6" w:rsidRPr="003878A7" w:rsidRDefault="006C6AC6" w:rsidP="00CB66B8">
            <w:pPr>
              <w:pStyle w:val="ListParagraph"/>
              <w:numPr>
                <w:ilvl w:val="0"/>
                <w:numId w:val="17"/>
              </w:numPr>
              <w:spacing w:before="0" w:after="0"/>
              <w:ind w:left="425"/>
              <w:jc w:val="left"/>
              <w:rPr>
                <w:rStyle w:val="hps"/>
                <w:rFonts w:cs="Times New Roman"/>
                <w:color w:val="222222"/>
                <w:sz w:val="21"/>
                <w:szCs w:val="21"/>
                <w:lang w:val="lt-LT"/>
              </w:rPr>
            </w:pPr>
            <w:r w:rsidRPr="003878A7">
              <w:rPr>
                <w:rStyle w:val="hps"/>
                <w:rFonts w:cs="Times New Roman"/>
                <w:color w:val="222222"/>
                <w:sz w:val="21"/>
                <w:szCs w:val="21"/>
                <w:lang w:val="lt-LT"/>
              </w:rPr>
              <w:t>Privalo susiformuoti pakankamas projektų srautas norint taikyti tokį modelį</w:t>
            </w:r>
          </w:p>
          <w:p w14:paraId="4B3BD31A" w14:textId="77777777" w:rsidR="006C6AC6" w:rsidRPr="003878A7" w:rsidRDefault="006C6AC6" w:rsidP="00CB66B8">
            <w:pPr>
              <w:pStyle w:val="ListParagraph"/>
              <w:numPr>
                <w:ilvl w:val="0"/>
                <w:numId w:val="17"/>
              </w:numPr>
              <w:spacing w:before="0" w:after="0"/>
              <w:ind w:left="425"/>
              <w:jc w:val="left"/>
              <w:rPr>
                <w:rStyle w:val="hps"/>
                <w:rFonts w:cs="Times New Roman"/>
                <w:color w:val="222222"/>
                <w:sz w:val="21"/>
                <w:szCs w:val="21"/>
                <w:lang w:val="lt-LT"/>
              </w:rPr>
            </w:pPr>
            <w:r w:rsidRPr="003878A7">
              <w:rPr>
                <w:rStyle w:val="hps"/>
                <w:rFonts w:cs="Times New Roman"/>
                <w:color w:val="222222"/>
                <w:sz w:val="21"/>
                <w:szCs w:val="21"/>
                <w:lang w:val="lt-LT"/>
              </w:rPr>
              <w:t>Reikalaujantis laiko procesas</w:t>
            </w:r>
          </w:p>
          <w:p w14:paraId="511E6D7A" w14:textId="77777777" w:rsidR="006C6AC6" w:rsidRPr="003878A7" w:rsidRDefault="006C6AC6" w:rsidP="00CB66B8">
            <w:pPr>
              <w:pStyle w:val="ListParagraph"/>
              <w:numPr>
                <w:ilvl w:val="0"/>
                <w:numId w:val="17"/>
              </w:numPr>
              <w:spacing w:before="0" w:after="0"/>
              <w:ind w:left="425"/>
              <w:jc w:val="left"/>
              <w:rPr>
                <w:rStyle w:val="hps"/>
                <w:rFonts w:cs="Times New Roman"/>
                <w:color w:val="222222"/>
                <w:sz w:val="21"/>
                <w:szCs w:val="21"/>
                <w:lang w:val="lt-LT"/>
              </w:rPr>
            </w:pPr>
            <w:r w:rsidRPr="003878A7">
              <w:rPr>
                <w:rStyle w:val="hps"/>
                <w:rFonts w:cs="Times New Roman"/>
                <w:color w:val="222222"/>
                <w:sz w:val="21"/>
                <w:szCs w:val="21"/>
                <w:lang w:val="lt-LT"/>
              </w:rPr>
              <w:lastRenderedPageBreak/>
              <w:t>Lietuvoje nėra tokio modelio pavyzdžių</w:t>
            </w:r>
          </w:p>
          <w:p w14:paraId="175AC3C7" w14:textId="77777777" w:rsidR="006C6AC6" w:rsidRPr="003878A7" w:rsidRDefault="006C6AC6" w:rsidP="00CB66B8">
            <w:pPr>
              <w:pStyle w:val="ListParagraph"/>
              <w:numPr>
                <w:ilvl w:val="0"/>
                <w:numId w:val="17"/>
              </w:numPr>
              <w:spacing w:before="0" w:after="0"/>
              <w:ind w:left="425"/>
              <w:jc w:val="left"/>
              <w:rPr>
                <w:rStyle w:val="hps"/>
                <w:rFonts w:cs="Times New Roman"/>
                <w:color w:val="222222"/>
                <w:sz w:val="21"/>
                <w:szCs w:val="21"/>
                <w:lang w:val="lt-LT"/>
              </w:rPr>
            </w:pPr>
            <w:r w:rsidRPr="003878A7">
              <w:rPr>
                <w:rStyle w:val="hps"/>
                <w:rFonts w:cs="Times New Roman"/>
                <w:color w:val="222222"/>
                <w:sz w:val="21"/>
                <w:szCs w:val="21"/>
                <w:lang w:val="lt-LT"/>
              </w:rPr>
              <w:t>Reikalingas išankstinis investuotojų įtraukimas, siekiant, kad paskolos tiktų perpirkimui</w:t>
            </w:r>
          </w:p>
        </w:tc>
      </w:tr>
      <w:tr w:rsidR="006C6AC6" w:rsidRPr="003878A7" w14:paraId="6839E5AB" w14:textId="77777777" w:rsidTr="001568A2">
        <w:tc>
          <w:tcPr>
            <w:tcW w:w="1294" w:type="pct"/>
          </w:tcPr>
          <w:p w14:paraId="2277567E" w14:textId="3D507937" w:rsidR="006C6AC6" w:rsidRPr="003878A7" w:rsidRDefault="006C6AC6" w:rsidP="003878A7">
            <w:pPr>
              <w:pStyle w:val="ListParagraph"/>
              <w:numPr>
                <w:ilvl w:val="0"/>
                <w:numId w:val="19"/>
              </w:numPr>
              <w:spacing w:before="0" w:after="0"/>
              <w:ind w:left="284"/>
              <w:rPr>
                <w:rStyle w:val="hps"/>
                <w:rFonts w:cs="Times New Roman"/>
                <w:color w:val="222222"/>
                <w:sz w:val="21"/>
                <w:szCs w:val="21"/>
                <w:lang w:val="lt-LT"/>
              </w:rPr>
            </w:pPr>
            <w:r w:rsidRPr="003878A7">
              <w:rPr>
                <w:rStyle w:val="hps"/>
                <w:rFonts w:cs="Times New Roman"/>
                <w:color w:val="222222"/>
                <w:sz w:val="21"/>
                <w:szCs w:val="21"/>
                <w:lang w:val="lt-LT"/>
              </w:rPr>
              <w:lastRenderedPageBreak/>
              <w:t>Paskolų teikimas taikant asimetrinės rizikos pasidalijimo modelį</w:t>
            </w:r>
          </w:p>
        </w:tc>
        <w:tc>
          <w:tcPr>
            <w:tcW w:w="1776" w:type="pct"/>
          </w:tcPr>
          <w:p w14:paraId="573DF2B8" w14:textId="6477737A" w:rsidR="006C6AC6" w:rsidRPr="003878A7" w:rsidRDefault="006C6AC6" w:rsidP="00CB66B8">
            <w:pPr>
              <w:pStyle w:val="ListParagraph"/>
              <w:numPr>
                <w:ilvl w:val="0"/>
                <w:numId w:val="17"/>
              </w:numPr>
              <w:spacing w:before="0" w:after="0"/>
              <w:ind w:left="425"/>
              <w:jc w:val="left"/>
              <w:rPr>
                <w:rStyle w:val="hps"/>
                <w:rFonts w:cs="Times New Roman"/>
                <w:color w:val="222222"/>
                <w:sz w:val="21"/>
                <w:szCs w:val="21"/>
                <w:lang w:val="lt-LT"/>
              </w:rPr>
            </w:pPr>
            <w:r w:rsidRPr="003878A7">
              <w:rPr>
                <w:rStyle w:val="hps"/>
                <w:rFonts w:cs="Times New Roman"/>
                <w:color w:val="222222"/>
                <w:sz w:val="21"/>
                <w:szCs w:val="21"/>
                <w:lang w:val="lt-LT"/>
              </w:rPr>
              <w:t xml:space="preserve">Skatina asimetrinį rizikų pasidalijimą, naudojant </w:t>
            </w:r>
            <w:r w:rsidR="00AA5F12" w:rsidRPr="003878A7">
              <w:rPr>
                <w:rStyle w:val="hps"/>
                <w:rFonts w:cs="Times New Roman"/>
                <w:color w:val="222222"/>
                <w:sz w:val="21"/>
                <w:szCs w:val="21"/>
                <w:lang w:val="lt-LT"/>
              </w:rPr>
              <w:t>ES SF</w:t>
            </w:r>
            <w:r w:rsidRPr="003878A7">
              <w:rPr>
                <w:rStyle w:val="hps"/>
                <w:rFonts w:cs="Times New Roman"/>
                <w:color w:val="222222"/>
                <w:sz w:val="21"/>
                <w:szCs w:val="21"/>
                <w:lang w:val="lt-LT"/>
              </w:rPr>
              <w:t xml:space="preserve"> lėšas pirmiems nuostoliams dengti, o tai leidžia lengviau pritraukti privatų kapitalą</w:t>
            </w:r>
          </w:p>
          <w:p w14:paraId="7E95599A" w14:textId="77777777" w:rsidR="006C6AC6" w:rsidRPr="003878A7" w:rsidRDefault="006C6AC6" w:rsidP="00CB66B8">
            <w:pPr>
              <w:pStyle w:val="ListParagraph"/>
              <w:numPr>
                <w:ilvl w:val="0"/>
                <w:numId w:val="17"/>
              </w:numPr>
              <w:spacing w:before="0" w:after="0"/>
              <w:ind w:left="425"/>
              <w:jc w:val="left"/>
              <w:rPr>
                <w:rStyle w:val="hps"/>
                <w:rFonts w:cs="Times New Roman"/>
                <w:color w:val="222222"/>
                <w:sz w:val="21"/>
                <w:szCs w:val="21"/>
                <w:lang w:val="lt-LT"/>
              </w:rPr>
            </w:pPr>
            <w:r w:rsidRPr="003878A7">
              <w:rPr>
                <w:rStyle w:val="hps"/>
                <w:rFonts w:cs="Times New Roman"/>
                <w:color w:val="222222"/>
                <w:sz w:val="21"/>
                <w:szCs w:val="21"/>
                <w:lang w:val="lt-LT"/>
              </w:rPr>
              <w:t>Dėl didesnio rizikų prisiėmimo viešosiomis lėšomis galima tikėtis geresnių rezultatų</w:t>
            </w:r>
          </w:p>
          <w:p w14:paraId="429B6434" w14:textId="77777777" w:rsidR="006C6AC6" w:rsidRPr="003878A7" w:rsidRDefault="006C6AC6" w:rsidP="00CB66B8">
            <w:pPr>
              <w:pStyle w:val="ListParagraph"/>
              <w:numPr>
                <w:ilvl w:val="0"/>
                <w:numId w:val="17"/>
              </w:numPr>
              <w:spacing w:before="0" w:after="0"/>
              <w:ind w:left="425"/>
              <w:jc w:val="left"/>
              <w:rPr>
                <w:rStyle w:val="hps"/>
                <w:rFonts w:cs="Times New Roman"/>
                <w:color w:val="222222"/>
                <w:sz w:val="21"/>
                <w:szCs w:val="21"/>
                <w:lang w:val="lt-LT"/>
              </w:rPr>
            </w:pPr>
            <w:r w:rsidRPr="003878A7">
              <w:rPr>
                <w:rStyle w:val="hps"/>
                <w:rFonts w:cs="Times New Roman"/>
                <w:color w:val="222222"/>
                <w:sz w:val="21"/>
                <w:szCs w:val="21"/>
                <w:lang w:val="lt-LT"/>
              </w:rPr>
              <w:t>Ribojama privačių rinkos dalyvių rizika skatina papildomų lėšų pritraukimą</w:t>
            </w:r>
          </w:p>
          <w:p w14:paraId="5E5FF116" w14:textId="3934954A" w:rsidR="006C6AC6" w:rsidRPr="003878A7" w:rsidRDefault="006C6AC6" w:rsidP="00CB66B8">
            <w:pPr>
              <w:pStyle w:val="ListParagraph"/>
              <w:numPr>
                <w:ilvl w:val="0"/>
                <w:numId w:val="17"/>
              </w:numPr>
              <w:spacing w:before="0" w:after="0"/>
              <w:ind w:left="425"/>
              <w:jc w:val="left"/>
              <w:rPr>
                <w:rStyle w:val="hps"/>
                <w:rFonts w:cs="Times New Roman"/>
                <w:color w:val="222222"/>
                <w:sz w:val="21"/>
                <w:szCs w:val="21"/>
                <w:lang w:val="lt-LT"/>
              </w:rPr>
            </w:pPr>
            <w:r w:rsidRPr="003878A7">
              <w:rPr>
                <w:rStyle w:val="hps"/>
                <w:rFonts w:cs="Times New Roman"/>
                <w:color w:val="222222"/>
                <w:sz w:val="21"/>
                <w:szCs w:val="21"/>
                <w:lang w:val="lt-LT"/>
              </w:rPr>
              <w:t>Lietuvoje yra sėkmingų tokio modelio pavyzdžių (</w:t>
            </w:r>
            <w:r w:rsidR="00AA5F12" w:rsidRPr="003878A7">
              <w:rPr>
                <w:rStyle w:val="hps"/>
                <w:rFonts w:cs="Times New Roman"/>
                <w:color w:val="222222"/>
                <w:sz w:val="21"/>
                <w:szCs w:val="21"/>
                <w:lang w:val="lt-LT"/>
              </w:rPr>
              <w:t>INVEGA</w:t>
            </w:r>
            <w:r w:rsidRPr="003878A7">
              <w:rPr>
                <w:rStyle w:val="hps"/>
                <w:rFonts w:cs="Times New Roman"/>
                <w:color w:val="222222"/>
                <w:sz w:val="21"/>
                <w:szCs w:val="21"/>
                <w:lang w:val="lt-LT"/>
              </w:rPr>
              <w:t>, JESSICA)</w:t>
            </w:r>
          </w:p>
        </w:tc>
        <w:tc>
          <w:tcPr>
            <w:tcW w:w="1930" w:type="pct"/>
          </w:tcPr>
          <w:p w14:paraId="21B0BCCD" w14:textId="77777777" w:rsidR="006C6AC6" w:rsidRPr="003878A7" w:rsidRDefault="006C6AC6" w:rsidP="00CB66B8">
            <w:pPr>
              <w:pStyle w:val="ListParagraph"/>
              <w:numPr>
                <w:ilvl w:val="0"/>
                <w:numId w:val="17"/>
              </w:numPr>
              <w:spacing w:before="0" w:after="0"/>
              <w:ind w:left="425"/>
              <w:jc w:val="left"/>
              <w:rPr>
                <w:rStyle w:val="hps"/>
                <w:rFonts w:cs="Times New Roman"/>
                <w:color w:val="222222"/>
                <w:sz w:val="21"/>
                <w:szCs w:val="21"/>
                <w:lang w:val="lt-LT"/>
              </w:rPr>
            </w:pPr>
            <w:r w:rsidRPr="003878A7">
              <w:rPr>
                <w:rStyle w:val="hps"/>
                <w:rFonts w:cs="Times New Roman"/>
                <w:color w:val="222222"/>
                <w:sz w:val="21"/>
                <w:szCs w:val="21"/>
                <w:lang w:val="lt-LT"/>
              </w:rPr>
              <w:t>Valstybė prisiima didžiausią projektų riziką, dėl ko atsiranda didesnis potencialas mažėti viešųjų lėšų apimčiai</w:t>
            </w:r>
          </w:p>
          <w:p w14:paraId="1447B5DA" w14:textId="77777777" w:rsidR="006C6AC6" w:rsidRPr="003878A7" w:rsidRDefault="006C6AC6" w:rsidP="00CB66B8">
            <w:pPr>
              <w:pStyle w:val="ListParagraph"/>
              <w:numPr>
                <w:ilvl w:val="0"/>
                <w:numId w:val="17"/>
              </w:numPr>
              <w:spacing w:before="0" w:after="0"/>
              <w:ind w:left="425"/>
              <w:jc w:val="left"/>
              <w:rPr>
                <w:rStyle w:val="hps"/>
                <w:rFonts w:cs="Times New Roman"/>
                <w:color w:val="222222"/>
                <w:sz w:val="21"/>
                <w:szCs w:val="21"/>
                <w:lang w:val="lt-LT"/>
              </w:rPr>
            </w:pPr>
            <w:r w:rsidRPr="003878A7">
              <w:rPr>
                <w:rStyle w:val="hps"/>
                <w:rFonts w:cs="Times New Roman"/>
                <w:color w:val="222222"/>
                <w:sz w:val="21"/>
                <w:szCs w:val="21"/>
                <w:lang w:val="lt-LT"/>
              </w:rPr>
              <w:t>Sudėtingi valstybės pagalbos derinimo elementai</w:t>
            </w:r>
          </w:p>
          <w:p w14:paraId="228BCCBB" w14:textId="7004B2ED" w:rsidR="006C6AC6" w:rsidRPr="003878A7" w:rsidRDefault="006C6AC6" w:rsidP="00CB66B8">
            <w:pPr>
              <w:pStyle w:val="ListParagraph"/>
              <w:numPr>
                <w:ilvl w:val="0"/>
                <w:numId w:val="17"/>
              </w:numPr>
              <w:spacing w:before="0" w:after="0"/>
              <w:ind w:left="425"/>
              <w:jc w:val="left"/>
              <w:rPr>
                <w:rStyle w:val="hps"/>
                <w:rFonts w:cs="Times New Roman"/>
                <w:color w:val="222222"/>
                <w:sz w:val="21"/>
                <w:szCs w:val="21"/>
                <w:lang w:val="lt-LT"/>
              </w:rPr>
            </w:pPr>
            <w:r w:rsidRPr="003878A7">
              <w:rPr>
                <w:rStyle w:val="hps"/>
                <w:rFonts w:cs="Times New Roman"/>
                <w:color w:val="222222"/>
                <w:sz w:val="21"/>
                <w:szCs w:val="21"/>
                <w:lang w:val="lt-LT"/>
              </w:rPr>
              <w:t>Nusprendus teikti subsidiją iš fondo lėšų, tikėtina, jog bankai mažintų savo prisidėjimo dalį</w:t>
            </w:r>
          </w:p>
        </w:tc>
      </w:tr>
      <w:tr w:rsidR="006C6AC6" w:rsidRPr="003878A7" w14:paraId="33BA0AFB" w14:textId="77777777" w:rsidTr="001568A2">
        <w:tc>
          <w:tcPr>
            <w:tcW w:w="1294" w:type="pct"/>
          </w:tcPr>
          <w:p w14:paraId="01CCF03D" w14:textId="1522B79D" w:rsidR="006C6AC6" w:rsidRPr="003878A7" w:rsidRDefault="006C6AC6" w:rsidP="003878A7">
            <w:pPr>
              <w:pStyle w:val="ListParagraph"/>
              <w:numPr>
                <w:ilvl w:val="0"/>
                <w:numId w:val="19"/>
              </w:numPr>
              <w:spacing w:before="0" w:after="0"/>
              <w:ind w:left="284"/>
              <w:rPr>
                <w:rStyle w:val="hps"/>
                <w:rFonts w:cs="Times New Roman"/>
                <w:color w:val="222222"/>
                <w:sz w:val="21"/>
                <w:szCs w:val="21"/>
                <w:lang w:val="lt-LT"/>
              </w:rPr>
            </w:pPr>
            <w:r w:rsidRPr="003878A7">
              <w:rPr>
                <w:rStyle w:val="hps"/>
                <w:rFonts w:cs="Times New Roman"/>
                <w:color w:val="222222"/>
                <w:sz w:val="21"/>
                <w:szCs w:val="21"/>
                <w:lang w:val="lt-LT"/>
              </w:rPr>
              <w:t>Dalis lėšų nukreipiama  į paskolų modelį dalis į garantijų priemonę</w:t>
            </w:r>
          </w:p>
        </w:tc>
        <w:tc>
          <w:tcPr>
            <w:tcW w:w="1776" w:type="pct"/>
          </w:tcPr>
          <w:p w14:paraId="2E291460" w14:textId="77777777" w:rsidR="006C6AC6" w:rsidRPr="003878A7" w:rsidRDefault="006C6AC6" w:rsidP="00CB66B8">
            <w:pPr>
              <w:pStyle w:val="ListParagraph"/>
              <w:numPr>
                <w:ilvl w:val="0"/>
                <w:numId w:val="17"/>
              </w:numPr>
              <w:spacing w:before="0" w:after="0"/>
              <w:ind w:left="425"/>
              <w:jc w:val="left"/>
              <w:rPr>
                <w:rStyle w:val="hps"/>
                <w:rFonts w:cs="Times New Roman"/>
                <w:color w:val="222222"/>
                <w:sz w:val="21"/>
                <w:szCs w:val="21"/>
                <w:lang w:val="lt-LT"/>
              </w:rPr>
            </w:pPr>
            <w:r w:rsidRPr="003878A7">
              <w:rPr>
                <w:rStyle w:val="hps"/>
                <w:rFonts w:cs="Times New Roman"/>
                <w:color w:val="222222"/>
                <w:sz w:val="21"/>
                <w:szCs w:val="21"/>
                <w:lang w:val="lt-LT"/>
              </w:rPr>
              <w:t>Galima taikyti „dviejų greičių“ metodą: pradžioje įgyvendinti rinkoje gerai žinomą paskolų priemonę ir pasitvirtinusią bei tinkamai pasirengti garantijų priemonės įgyvendinimui.</w:t>
            </w:r>
          </w:p>
          <w:p w14:paraId="78FF73E7" w14:textId="77777777" w:rsidR="006C6AC6" w:rsidRPr="003878A7" w:rsidRDefault="006C6AC6" w:rsidP="00CB66B8">
            <w:pPr>
              <w:pStyle w:val="ListParagraph"/>
              <w:numPr>
                <w:ilvl w:val="0"/>
                <w:numId w:val="17"/>
              </w:numPr>
              <w:spacing w:before="0" w:after="0"/>
              <w:ind w:left="425"/>
              <w:jc w:val="left"/>
              <w:rPr>
                <w:rStyle w:val="hps"/>
                <w:rFonts w:cs="Times New Roman"/>
                <w:color w:val="222222"/>
                <w:sz w:val="21"/>
                <w:szCs w:val="21"/>
                <w:lang w:val="lt-LT"/>
              </w:rPr>
            </w:pPr>
            <w:r w:rsidRPr="003878A7">
              <w:rPr>
                <w:rStyle w:val="hps"/>
                <w:rFonts w:cs="Times New Roman"/>
                <w:color w:val="222222"/>
                <w:sz w:val="21"/>
                <w:szCs w:val="21"/>
                <w:lang w:val="lt-LT"/>
              </w:rPr>
              <w:t>Bankai, kiti privatūs investuotojai gali pasirinkti sau priimtinesnę priemonę, kurioje norėtų dalyvauti</w:t>
            </w:r>
          </w:p>
          <w:p w14:paraId="7B0E4B44" w14:textId="77777777" w:rsidR="006C6AC6" w:rsidRPr="003878A7" w:rsidRDefault="006C6AC6" w:rsidP="00AA5F12">
            <w:pPr>
              <w:spacing w:before="0" w:after="0"/>
              <w:ind w:left="425" w:firstLine="0"/>
              <w:rPr>
                <w:rStyle w:val="hps"/>
                <w:rFonts w:cs="Times New Roman"/>
                <w:color w:val="222222"/>
                <w:sz w:val="21"/>
                <w:szCs w:val="21"/>
                <w:lang w:val="lt-LT"/>
              </w:rPr>
            </w:pPr>
          </w:p>
        </w:tc>
        <w:tc>
          <w:tcPr>
            <w:tcW w:w="1930" w:type="pct"/>
          </w:tcPr>
          <w:p w14:paraId="6E6A74B3" w14:textId="77777777" w:rsidR="006C6AC6" w:rsidRPr="003878A7" w:rsidRDefault="006C6AC6" w:rsidP="00CB66B8">
            <w:pPr>
              <w:pStyle w:val="ListParagraph"/>
              <w:numPr>
                <w:ilvl w:val="0"/>
                <w:numId w:val="17"/>
              </w:numPr>
              <w:spacing w:before="0" w:after="0"/>
              <w:ind w:left="425"/>
              <w:jc w:val="left"/>
              <w:rPr>
                <w:rStyle w:val="hps"/>
                <w:rFonts w:cs="Times New Roman"/>
                <w:color w:val="222222"/>
                <w:sz w:val="21"/>
                <w:szCs w:val="21"/>
                <w:lang w:val="lt-LT"/>
              </w:rPr>
            </w:pPr>
            <w:r w:rsidRPr="003878A7">
              <w:rPr>
                <w:rStyle w:val="hps"/>
                <w:rFonts w:cs="Times New Roman"/>
                <w:color w:val="222222"/>
                <w:sz w:val="21"/>
                <w:szCs w:val="21"/>
                <w:lang w:val="lt-LT"/>
              </w:rPr>
              <w:t>Pakankamai sudėtinga administravimo schema</w:t>
            </w:r>
          </w:p>
          <w:p w14:paraId="050BE0C1" w14:textId="77777777" w:rsidR="006C6AC6" w:rsidRPr="003878A7" w:rsidRDefault="006C6AC6" w:rsidP="00CB66B8">
            <w:pPr>
              <w:pStyle w:val="ListParagraph"/>
              <w:numPr>
                <w:ilvl w:val="0"/>
                <w:numId w:val="17"/>
              </w:numPr>
              <w:spacing w:before="0" w:after="0"/>
              <w:ind w:left="425"/>
              <w:jc w:val="left"/>
              <w:rPr>
                <w:rStyle w:val="hps"/>
                <w:rFonts w:cs="Times New Roman"/>
                <w:color w:val="222222"/>
                <w:sz w:val="21"/>
                <w:szCs w:val="21"/>
                <w:lang w:val="lt-LT"/>
              </w:rPr>
            </w:pPr>
            <w:r w:rsidRPr="003878A7">
              <w:rPr>
                <w:rStyle w:val="hps"/>
                <w:rFonts w:cs="Times New Roman"/>
                <w:color w:val="222222"/>
                <w:sz w:val="21"/>
                <w:szCs w:val="21"/>
                <w:lang w:val="lt-LT"/>
              </w:rPr>
              <w:t>Atskiroms dalims taikomi tiek anksčiau nagrinėti paskolų, tiek garantijų trūkumai.</w:t>
            </w:r>
          </w:p>
        </w:tc>
      </w:tr>
      <w:tr w:rsidR="006C6AC6" w:rsidRPr="003878A7" w14:paraId="7E64985A" w14:textId="77777777" w:rsidTr="001568A2">
        <w:tc>
          <w:tcPr>
            <w:tcW w:w="1294" w:type="pct"/>
          </w:tcPr>
          <w:p w14:paraId="034401E0" w14:textId="0456BEBA" w:rsidR="006C6AC6" w:rsidRPr="003878A7" w:rsidRDefault="006C6AC6" w:rsidP="003878A7">
            <w:pPr>
              <w:pStyle w:val="ListParagraph"/>
              <w:numPr>
                <w:ilvl w:val="0"/>
                <w:numId w:val="19"/>
              </w:numPr>
              <w:spacing w:before="0" w:after="0"/>
              <w:ind w:left="284"/>
              <w:rPr>
                <w:rStyle w:val="hps"/>
                <w:rFonts w:cs="Times New Roman"/>
                <w:color w:val="222222"/>
                <w:sz w:val="21"/>
                <w:szCs w:val="21"/>
                <w:lang w:val="lt-LT"/>
              </w:rPr>
            </w:pPr>
            <w:bookmarkStart w:id="46" w:name="_Hlk65598967"/>
            <w:bookmarkStart w:id="47" w:name="_GoBack"/>
            <w:r w:rsidRPr="003878A7">
              <w:rPr>
                <w:rStyle w:val="hps"/>
                <w:rFonts w:cs="Times New Roman"/>
                <w:color w:val="222222"/>
                <w:sz w:val="21"/>
                <w:szCs w:val="21"/>
                <w:lang w:val="lt-LT"/>
              </w:rPr>
              <w:t>Dalis</w:t>
            </w:r>
            <w:bookmarkEnd w:id="47"/>
            <w:r w:rsidRPr="003878A7">
              <w:rPr>
                <w:rStyle w:val="hps"/>
                <w:rFonts w:cs="Times New Roman"/>
                <w:color w:val="222222"/>
                <w:sz w:val="21"/>
                <w:szCs w:val="21"/>
                <w:lang w:val="lt-LT"/>
              </w:rPr>
              <w:t xml:space="preserve"> lėšų nukreipiama  į paskolų modelį dalis į garantijų priemonę su galimybę ateityje išpirkti ateities finansinius srautus</w:t>
            </w:r>
            <w:bookmarkEnd w:id="46"/>
          </w:p>
        </w:tc>
        <w:tc>
          <w:tcPr>
            <w:tcW w:w="1776" w:type="pct"/>
          </w:tcPr>
          <w:p w14:paraId="1AC15FC4" w14:textId="77777777" w:rsidR="001568A2" w:rsidRPr="003878A7" w:rsidRDefault="006C6AC6" w:rsidP="00CB66B8">
            <w:pPr>
              <w:pStyle w:val="ListParagraph"/>
              <w:numPr>
                <w:ilvl w:val="0"/>
                <w:numId w:val="17"/>
              </w:numPr>
              <w:spacing w:before="0" w:after="0"/>
              <w:ind w:left="425"/>
              <w:jc w:val="left"/>
              <w:rPr>
                <w:rStyle w:val="hps"/>
                <w:rFonts w:cs="Times New Roman"/>
                <w:color w:val="222222"/>
                <w:sz w:val="21"/>
                <w:szCs w:val="21"/>
                <w:lang w:val="lt-LT"/>
              </w:rPr>
            </w:pPr>
            <w:r w:rsidRPr="003878A7">
              <w:rPr>
                <w:rStyle w:val="hps"/>
                <w:rFonts w:cs="Times New Roman"/>
                <w:color w:val="222222"/>
                <w:sz w:val="21"/>
                <w:szCs w:val="21"/>
                <w:lang w:val="lt-LT"/>
              </w:rPr>
              <w:t>Išnaudoja tiek paskolų ir garantijų priemonių privalomus</w:t>
            </w:r>
          </w:p>
          <w:p w14:paraId="5B41D05F" w14:textId="245CE4C7" w:rsidR="006C6AC6" w:rsidRPr="003878A7" w:rsidRDefault="006C6AC6" w:rsidP="00CB66B8">
            <w:pPr>
              <w:pStyle w:val="ListParagraph"/>
              <w:numPr>
                <w:ilvl w:val="0"/>
                <w:numId w:val="17"/>
              </w:numPr>
              <w:spacing w:before="0" w:after="0"/>
              <w:ind w:left="425"/>
              <w:jc w:val="left"/>
              <w:rPr>
                <w:rStyle w:val="hps"/>
                <w:rFonts w:cs="Times New Roman"/>
                <w:color w:val="222222"/>
                <w:sz w:val="21"/>
                <w:szCs w:val="21"/>
                <w:lang w:val="lt-LT"/>
              </w:rPr>
            </w:pPr>
            <w:r w:rsidRPr="003878A7">
              <w:rPr>
                <w:rStyle w:val="hps"/>
                <w:rFonts w:cs="Times New Roman"/>
                <w:color w:val="222222"/>
                <w:sz w:val="21"/>
                <w:szCs w:val="21"/>
                <w:lang w:val="lt-LT"/>
              </w:rPr>
              <w:t xml:space="preserve">Paspartintas lėšų reinvestavimas  (paskolų dalies) </w:t>
            </w:r>
          </w:p>
          <w:p w14:paraId="06E3B112" w14:textId="77777777" w:rsidR="006C6AC6" w:rsidRPr="003878A7" w:rsidRDefault="006C6AC6" w:rsidP="00AA5F12">
            <w:pPr>
              <w:pStyle w:val="ListParagraph"/>
              <w:spacing w:before="0" w:after="0"/>
              <w:ind w:left="425" w:firstLine="0"/>
              <w:rPr>
                <w:rStyle w:val="hps"/>
                <w:rFonts w:cs="Times New Roman"/>
                <w:color w:val="222222"/>
                <w:sz w:val="21"/>
                <w:szCs w:val="21"/>
                <w:lang w:val="lt-LT"/>
              </w:rPr>
            </w:pPr>
          </w:p>
        </w:tc>
        <w:tc>
          <w:tcPr>
            <w:tcW w:w="1930" w:type="pct"/>
          </w:tcPr>
          <w:p w14:paraId="680CA9DF" w14:textId="77777777" w:rsidR="006C6AC6" w:rsidRPr="003878A7" w:rsidRDefault="006C6AC6" w:rsidP="00CB66B8">
            <w:pPr>
              <w:pStyle w:val="ListParagraph"/>
              <w:numPr>
                <w:ilvl w:val="0"/>
                <w:numId w:val="17"/>
              </w:numPr>
              <w:spacing w:before="0" w:after="0"/>
              <w:ind w:left="425"/>
              <w:jc w:val="left"/>
              <w:rPr>
                <w:rStyle w:val="hps"/>
                <w:rFonts w:cs="Times New Roman"/>
                <w:color w:val="222222"/>
                <w:sz w:val="21"/>
                <w:szCs w:val="21"/>
                <w:lang w:val="lt-LT"/>
              </w:rPr>
            </w:pPr>
            <w:r w:rsidRPr="003878A7">
              <w:rPr>
                <w:rStyle w:val="hps"/>
                <w:rFonts w:cs="Times New Roman"/>
                <w:color w:val="222222"/>
                <w:sz w:val="21"/>
                <w:szCs w:val="21"/>
                <w:lang w:val="lt-LT"/>
              </w:rPr>
              <w:t xml:space="preserve">Papildoma administracinė našta dėl sudėtingos administravimo schemos. </w:t>
            </w:r>
          </w:p>
          <w:p w14:paraId="48DDC1E7" w14:textId="77777777" w:rsidR="006C6AC6" w:rsidRPr="003878A7" w:rsidRDefault="006C6AC6" w:rsidP="00CB66B8">
            <w:pPr>
              <w:pStyle w:val="ListParagraph"/>
              <w:numPr>
                <w:ilvl w:val="0"/>
                <w:numId w:val="17"/>
              </w:numPr>
              <w:spacing w:before="0" w:after="0"/>
              <w:ind w:left="425"/>
              <w:jc w:val="left"/>
              <w:rPr>
                <w:rStyle w:val="hps"/>
                <w:rFonts w:cs="Times New Roman"/>
                <w:color w:val="222222"/>
                <w:sz w:val="21"/>
                <w:szCs w:val="21"/>
                <w:lang w:val="lt-LT"/>
              </w:rPr>
            </w:pPr>
            <w:r w:rsidRPr="003878A7">
              <w:rPr>
                <w:rStyle w:val="hps"/>
                <w:rFonts w:cs="Times New Roman"/>
                <w:color w:val="222222"/>
                <w:sz w:val="21"/>
                <w:szCs w:val="21"/>
                <w:lang w:val="lt-LT"/>
              </w:rPr>
              <w:t>Būtų susidurta su visais tiek paskolų, tiek garantijų priemonių tiek ir paskolų išpirkimo modelių trūkumais nagrinėtais anksčiau.</w:t>
            </w:r>
          </w:p>
        </w:tc>
      </w:tr>
      <w:tr w:rsidR="00575E63" w:rsidRPr="003878A7" w14:paraId="3BD7B16C" w14:textId="77777777" w:rsidTr="001568A2">
        <w:tc>
          <w:tcPr>
            <w:tcW w:w="1294" w:type="pct"/>
          </w:tcPr>
          <w:p w14:paraId="15287D8A" w14:textId="4E7F4DD2" w:rsidR="00575E63" w:rsidRPr="0025664D" w:rsidRDefault="00575E63" w:rsidP="003878A7">
            <w:pPr>
              <w:pStyle w:val="ListParagraph"/>
              <w:numPr>
                <w:ilvl w:val="0"/>
                <w:numId w:val="19"/>
              </w:numPr>
              <w:spacing w:before="0" w:after="0"/>
              <w:ind w:left="284"/>
              <w:rPr>
                <w:rStyle w:val="hps"/>
                <w:rFonts w:cs="Times New Roman"/>
                <w:color w:val="222222"/>
                <w:sz w:val="21"/>
                <w:szCs w:val="21"/>
                <w:lang w:val="lt-LT"/>
              </w:rPr>
            </w:pPr>
            <w:r w:rsidRPr="0025664D">
              <w:rPr>
                <w:rStyle w:val="hps"/>
                <w:rFonts w:cs="Times New Roman"/>
                <w:color w:val="222222"/>
                <w:sz w:val="21"/>
                <w:szCs w:val="21"/>
                <w:lang w:val="lt-LT"/>
              </w:rPr>
              <w:t>Modernizavimo paskolų teikimas per platformą</w:t>
            </w:r>
          </w:p>
        </w:tc>
        <w:tc>
          <w:tcPr>
            <w:tcW w:w="1776" w:type="pct"/>
          </w:tcPr>
          <w:p w14:paraId="2135D2A3" w14:textId="77777777" w:rsidR="00575E63" w:rsidRPr="0025664D" w:rsidRDefault="00575E63" w:rsidP="00CB66B8">
            <w:pPr>
              <w:pStyle w:val="ListParagraph"/>
              <w:numPr>
                <w:ilvl w:val="0"/>
                <w:numId w:val="17"/>
              </w:numPr>
              <w:spacing w:before="0" w:after="0"/>
              <w:ind w:left="425"/>
              <w:jc w:val="left"/>
              <w:rPr>
                <w:rStyle w:val="hps"/>
                <w:rFonts w:cs="Times New Roman"/>
                <w:color w:val="222222"/>
                <w:sz w:val="21"/>
                <w:szCs w:val="21"/>
                <w:lang w:val="lt-LT"/>
              </w:rPr>
            </w:pPr>
            <w:r w:rsidRPr="0025664D">
              <w:rPr>
                <w:rStyle w:val="hps"/>
                <w:rFonts w:cs="Times New Roman"/>
                <w:color w:val="222222"/>
                <w:sz w:val="21"/>
                <w:szCs w:val="21"/>
                <w:lang w:val="lt-LT"/>
              </w:rPr>
              <w:t>Aukštas sverto efektas</w:t>
            </w:r>
          </w:p>
          <w:p w14:paraId="4D64CD4E" w14:textId="10CBC7C7" w:rsidR="00F16400" w:rsidRPr="0025664D" w:rsidRDefault="00575E63" w:rsidP="00F16400">
            <w:pPr>
              <w:pStyle w:val="ListParagraph"/>
              <w:numPr>
                <w:ilvl w:val="0"/>
                <w:numId w:val="17"/>
              </w:numPr>
              <w:spacing w:before="0" w:after="0"/>
              <w:ind w:left="425"/>
              <w:jc w:val="left"/>
              <w:rPr>
                <w:rStyle w:val="hps"/>
                <w:rFonts w:cs="Times New Roman"/>
                <w:color w:val="222222"/>
                <w:sz w:val="21"/>
                <w:szCs w:val="21"/>
                <w:lang w:val="lt-LT"/>
              </w:rPr>
            </w:pPr>
            <w:r w:rsidRPr="0025664D">
              <w:rPr>
                <w:rStyle w:val="hps"/>
                <w:rFonts w:cs="Times New Roman"/>
                <w:color w:val="222222"/>
                <w:sz w:val="21"/>
                <w:szCs w:val="21"/>
                <w:lang w:val="lt-LT"/>
              </w:rPr>
              <w:t>Pašalina finansuotojų administravimo bei techninių IT sprendinių keitimo/įdiegimo naštą, suteikiant galimybę finansuotojams suteikti paskolas platformai</w:t>
            </w:r>
          </w:p>
        </w:tc>
        <w:tc>
          <w:tcPr>
            <w:tcW w:w="1930" w:type="pct"/>
          </w:tcPr>
          <w:p w14:paraId="59C32976" w14:textId="77777777" w:rsidR="00575E63" w:rsidRPr="0025664D" w:rsidRDefault="00575E63" w:rsidP="00CB66B8">
            <w:pPr>
              <w:pStyle w:val="ListParagraph"/>
              <w:numPr>
                <w:ilvl w:val="0"/>
                <w:numId w:val="17"/>
              </w:numPr>
              <w:spacing w:before="0" w:after="0"/>
              <w:ind w:left="425"/>
              <w:jc w:val="left"/>
              <w:rPr>
                <w:rStyle w:val="hps"/>
                <w:rFonts w:cs="Times New Roman"/>
                <w:i/>
                <w:iCs/>
                <w:color w:val="222222"/>
                <w:sz w:val="21"/>
                <w:szCs w:val="21"/>
                <w:lang w:val="lt-LT"/>
              </w:rPr>
            </w:pPr>
            <w:r w:rsidRPr="0025664D">
              <w:rPr>
                <w:rStyle w:val="hps"/>
                <w:rFonts w:cs="Times New Roman"/>
                <w:i/>
                <w:iCs/>
                <w:color w:val="222222"/>
                <w:sz w:val="21"/>
                <w:szCs w:val="21"/>
                <w:lang w:val="lt-LT"/>
              </w:rPr>
              <w:t>Vertinime nenumatyta</w:t>
            </w:r>
          </w:p>
          <w:p w14:paraId="2F250FB0" w14:textId="7CD7EA32" w:rsidR="00575E63" w:rsidRPr="0025664D" w:rsidRDefault="00575E63" w:rsidP="00CB66B8">
            <w:pPr>
              <w:pStyle w:val="ListParagraph"/>
              <w:numPr>
                <w:ilvl w:val="0"/>
                <w:numId w:val="17"/>
              </w:numPr>
              <w:spacing w:before="0" w:after="0"/>
              <w:ind w:left="425"/>
              <w:jc w:val="left"/>
              <w:rPr>
                <w:rStyle w:val="hps"/>
                <w:rFonts w:cs="Times New Roman"/>
                <w:i/>
                <w:iCs/>
                <w:color w:val="222222"/>
                <w:sz w:val="21"/>
                <w:szCs w:val="21"/>
                <w:lang w:val="lt-LT"/>
              </w:rPr>
            </w:pPr>
            <w:r w:rsidRPr="0025664D">
              <w:rPr>
                <w:rStyle w:val="hps"/>
                <w:rFonts w:cs="Times New Roman"/>
                <w:i/>
                <w:iCs/>
                <w:color w:val="222222"/>
                <w:sz w:val="21"/>
                <w:szCs w:val="21"/>
                <w:lang w:val="lt-LT"/>
              </w:rPr>
              <w:t>Kadangi jis scenarijus grįstas asimetriniu rizikos pasidalijimo modeliu, daroma prielaida, kad įgyvenant šią FP bus taikomi yra tie patys trūkumai kaip ir įgyvendinant alternatyvą Nr. 3.</w:t>
            </w:r>
          </w:p>
        </w:tc>
      </w:tr>
    </w:tbl>
    <w:p w14:paraId="344CD9AD" w14:textId="77777777" w:rsidR="001568A2" w:rsidRPr="003878A7" w:rsidRDefault="001568A2" w:rsidP="001568A2">
      <w:pPr>
        <w:spacing w:after="0"/>
        <w:rPr>
          <w:rFonts w:cs="Times New Roman"/>
          <w:sz w:val="20"/>
          <w:szCs w:val="20"/>
        </w:rPr>
      </w:pPr>
      <w:r w:rsidRPr="003878A7">
        <w:rPr>
          <w:rFonts w:cs="Times New Roman"/>
          <w:sz w:val="20"/>
          <w:szCs w:val="20"/>
        </w:rPr>
        <w:t>Šaltinis: sudaryta Vertintojų</w:t>
      </w:r>
    </w:p>
    <w:p w14:paraId="2799B23C" w14:textId="06996371" w:rsidR="00104241" w:rsidRPr="003878A7" w:rsidRDefault="00104241" w:rsidP="00104241">
      <w:pPr>
        <w:rPr>
          <w:rFonts w:cs="Times New Roman"/>
        </w:rPr>
      </w:pPr>
      <w:r w:rsidRPr="003878A7">
        <w:rPr>
          <w:rFonts w:cs="Times New Roman"/>
        </w:rPr>
        <w:t xml:space="preserve">Atsižvelgiant į kiekvienos alternatyvos kiekybinius rezultatus, privalumus ir trūkumus bei prognozuojamą lėšų poreikį priemonei įgyvendinti, siūloma </w:t>
      </w:r>
      <w:r w:rsidR="00AA5F12" w:rsidRPr="003878A7">
        <w:rPr>
          <w:rFonts w:cs="Times New Roman"/>
        </w:rPr>
        <w:t>VI</w:t>
      </w:r>
      <w:r w:rsidRPr="003878A7">
        <w:rPr>
          <w:rFonts w:cs="Times New Roman"/>
        </w:rPr>
        <w:t xml:space="preserve"> kartu su </w:t>
      </w:r>
      <w:r w:rsidR="009D258E" w:rsidRPr="003878A7">
        <w:rPr>
          <w:rFonts w:cs="Times New Roman"/>
        </w:rPr>
        <w:t>AM</w:t>
      </w:r>
      <w:r w:rsidRPr="003878A7">
        <w:rPr>
          <w:rFonts w:cs="Times New Roman"/>
        </w:rPr>
        <w:t xml:space="preserve"> taikyti vieno ar kelių modelių derinį, t.</w:t>
      </w:r>
      <w:r w:rsidR="009D258E" w:rsidRPr="003878A7">
        <w:rPr>
          <w:rFonts w:cs="Times New Roman"/>
        </w:rPr>
        <w:t xml:space="preserve"> </w:t>
      </w:r>
      <w:r w:rsidRPr="003878A7">
        <w:rPr>
          <w:rFonts w:cs="Times New Roman"/>
        </w:rPr>
        <w:t>y.:</w:t>
      </w:r>
    </w:p>
    <w:p w14:paraId="4E5765D6" w14:textId="69297F34" w:rsidR="00104241" w:rsidRPr="003878A7" w:rsidRDefault="00104241" w:rsidP="00CB66B8">
      <w:pPr>
        <w:pStyle w:val="ListParagraph"/>
        <w:numPr>
          <w:ilvl w:val="0"/>
          <w:numId w:val="18"/>
        </w:numPr>
        <w:rPr>
          <w:rFonts w:cs="Times New Roman"/>
        </w:rPr>
      </w:pPr>
      <w:r w:rsidRPr="003878A7">
        <w:rPr>
          <w:rFonts w:cs="Times New Roman"/>
        </w:rPr>
        <w:t xml:space="preserve">paskolų </w:t>
      </w:r>
      <w:r w:rsidR="009D258E" w:rsidRPr="003878A7">
        <w:rPr>
          <w:rFonts w:cs="Times New Roman"/>
        </w:rPr>
        <w:t>FP</w:t>
      </w:r>
      <w:r w:rsidRPr="003878A7">
        <w:rPr>
          <w:rFonts w:cs="Times New Roman"/>
        </w:rPr>
        <w:t xml:space="preserve"> pagal Daugiabučių scenarijų Nr.</w:t>
      </w:r>
      <w:r w:rsidR="00B22949" w:rsidRPr="003878A7">
        <w:rPr>
          <w:rFonts w:cs="Times New Roman"/>
        </w:rPr>
        <w:t xml:space="preserve"> 3</w:t>
      </w:r>
      <w:r w:rsidRPr="003878A7">
        <w:rPr>
          <w:rFonts w:cs="Times New Roman"/>
        </w:rPr>
        <w:t>, taikant asimetrinės rizikos pasidalijimo modelį;</w:t>
      </w:r>
    </w:p>
    <w:p w14:paraId="09EAABDF" w14:textId="6E8ECED1" w:rsidR="00104241" w:rsidRPr="003878A7" w:rsidRDefault="00F16400" w:rsidP="00CB66B8">
      <w:pPr>
        <w:pStyle w:val="ListParagraph"/>
        <w:numPr>
          <w:ilvl w:val="0"/>
          <w:numId w:val="18"/>
        </w:numPr>
        <w:rPr>
          <w:rFonts w:cs="Times New Roman"/>
        </w:rPr>
      </w:pPr>
      <w:r>
        <w:rPr>
          <w:rFonts w:cs="Times New Roman"/>
        </w:rPr>
        <w:t>paskolų FP per platformą</w:t>
      </w:r>
    </w:p>
    <w:p w14:paraId="6234F29A" w14:textId="2A10E9C8" w:rsidR="00AA5F12" w:rsidRPr="003878A7" w:rsidRDefault="00F16400" w:rsidP="00AA5F12">
      <w:pPr>
        <w:ind w:firstLine="0"/>
        <w:rPr>
          <w:rFonts w:cs="Times New Roman"/>
        </w:rPr>
      </w:pPr>
      <w:r>
        <w:rPr>
          <w:rFonts w:cs="Times New Roman"/>
        </w:rPr>
        <w:t>Lentelėje a</w:t>
      </w:r>
      <w:r w:rsidR="00AA5F12" w:rsidRPr="003878A7">
        <w:rPr>
          <w:rFonts w:cs="Times New Roman"/>
        </w:rPr>
        <w:t>pačioje pateiktos siūlom</w:t>
      </w:r>
      <w:r>
        <w:rPr>
          <w:rFonts w:cs="Times New Roman"/>
        </w:rPr>
        <w:t>os</w:t>
      </w:r>
      <w:r w:rsidR="00AA5F12" w:rsidRPr="003878A7">
        <w:rPr>
          <w:rFonts w:cs="Times New Roman"/>
        </w:rPr>
        <w:t xml:space="preserve"> FP – lengvatinių paskolų </w:t>
      </w:r>
      <w:r>
        <w:rPr>
          <w:rFonts w:cs="Times New Roman"/>
        </w:rPr>
        <w:t xml:space="preserve">sąlygos. </w:t>
      </w:r>
      <w:r w:rsidR="00AA5F12" w:rsidRPr="003878A7">
        <w:rPr>
          <w:rFonts w:cs="Times New Roman"/>
        </w:rPr>
        <w:t xml:space="preserve"> </w:t>
      </w:r>
    </w:p>
    <w:p w14:paraId="2DF7FC5C" w14:textId="2FD0D07C" w:rsidR="00BF623D" w:rsidRPr="003878A7" w:rsidRDefault="00BF623D" w:rsidP="00AA5F12">
      <w:pPr>
        <w:ind w:firstLine="0"/>
        <w:rPr>
          <w:rFonts w:cs="Times New Roman"/>
          <w:i/>
          <w:iCs/>
        </w:rPr>
      </w:pPr>
      <w:r w:rsidRPr="003878A7">
        <w:rPr>
          <w:rFonts w:cs="Times New Roman"/>
          <w:i/>
          <w:iCs/>
        </w:rPr>
        <w:t>Lentelė Nr. 1</w:t>
      </w:r>
      <w:r w:rsidR="006D7B19">
        <w:rPr>
          <w:rFonts w:cs="Times New Roman"/>
          <w:i/>
          <w:iCs/>
        </w:rPr>
        <w:t>6</w:t>
      </w:r>
      <w:r w:rsidRPr="003878A7">
        <w:rPr>
          <w:rFonts w:cs="Times New Roman"/>
          <w:i/>
          <w:iCs/>
        </w:rPr>
        <w:t xml:space="preserve">. Daugiabučių namų modernizavimui siūlomos taikyti </w:t>
      </w:r>
      <w:r w:rsidR="00543EE2">
        <w:rPr>
          <w:rFonts w:cs="Times New Roman"/>
          <w:i/>
          <w:iCs/>
        </w:rPr>
        <w:t xml:space="preserve">lengvatinių paskolų </w:t>
      </w:r>
      <w:r w:rsidRPr="003878A7">
        <w:rPr>
          <w:rFonts w:cs="Times New Roman"/>
          <w:i/>
          <w:iCs/>
        </w:rPr>
        <w:t>sąlygos</w:t>
      </w:r>
    </w:p>
    <w:tbl>
      <w:tblPr>
        <w:tblStyle w:val="TableGrid"/>
        <w:tblW w:w="0" w:type="auto"/>
        <w:tblLook w:val="04A0" w:firstRow="1" w:lastRow="0" w:firstColumn="1" w:lastColumn="0" w:noHBand="0" w:noVBand="1"/>
      </w:tblPr>
      <w:tblGrid>
        <w:gridCol w:w="3652"/>
        <w:gridCol w:w="6202"/>
      </w:tblGrid>
      <w:tr w:rsidR="00AA5F12" w:rsidRPr="003878A7" w14:paraId="7AF22DFE" w14:textId="77777777" w:rsidTr="00BF623D">
        <w:tc>
          <w:tcPr>
            <w:tcW w:w="3652" w:type="dxa"/>
          </w:tcPr>
          <w:p w14:paraId="2E04BA4E" w14:textId="773BCD66" w:rsidR="00AA5F12" w:rsidRPr="003878A7" w:rsidRDefault="00AA5F12" w:rsidP="00AA5F12">
            <w:pPr>
              <w:spacing w:before="0" w:after="0"/>
              <w:ind w:firstLine="0"/>
              <w:rPr>
                <w:rFonts w:cs="Times New Roman"/>
                <w:b/>
                <w:bCs/>
                <w:sz w:val="21"/>
                <w:szCs w:val="21"/>
                <w:lang w:val="lt-LT"/>
              </w:rPr>
            </w:pPr>
            <w:r w:rsidRPr="003878A7">
              <w:rPr>
                <w:rFonts w:cs="Times New Roman"/>
                <w:b/>
                <w:bCs/>
                <w:sz w:val="21"/>
                <w:szCs w:val="21"/>
                <w:lang w:val="lt-LT"/>
              </w:rPr>
              <w:t>FP sąlygos</w:t>
            </w:r>
          </w:p>
        </w:tc>
        <w:tc>
          <w:tcPr>
            <w:tcW w:w="6202" w:type="dxa"/>
          </w:tcPr>
          <w:p w14:paraId="066C11C4" w14:textId="774C9CF3" w:rsidR="00AA5F12" w:rsidRPr="003878A7" w:rsidRDefault="00AA5F12" w:rsidP="00AA5F12">
            <w:pPr>
              <w:spacing w:before="0" w:after="0"/>
              <w:ind w:firstLine="0"/>
              <w:rPr>
                <w:rFonts w:cs="Times New Roman"/>
                <w:b/>
                <w:bCs/>
                <w:sz w:val="21"/>
                <w:szCs w:val="21"/>
                <w:lang w:val="lt-LT"/>
              </w:rPr>
            </w:pPr>
            <w:r w:rsidRPr="003878A7">
              <w:rPr>
                <w:rFonts w:cs="Times New Roman"/>
                <w:b/>
                <w:bCs/>
                <w:sz w:val="21"/>
                <w:szCs w:val="21"/>
                <w:lang w:val="lt-LT"/>
              </w:rPr>
              <w:t>Lengvatinių paskolų FP</w:t>
            </w:r>
          </w:p>
        </w:tc>
      </w:tr>
      <w:tr w:rsidR="00AA5F12" w:rsidRPr="003878A7" w14:paraId="7ECAF219" w14:textId="77777777" w:rsidTr="00BF623D">
        <w:tc>
          <w:tcPr>
            <w:tcW w:w="3652" w:type="dxa"/>
          </w:tcPr>
          <w:p w14:paraId="4263C128" w14:textId="5B9A947F" w:rsidR="00AA5F12" w:rsidRPr="003878A7" w:rsidRDefault="00AA5F12" w:rsidP="00AA5F12">
            <w:pPr>
              <w:spacing w:before="0" w:after="0"/>
              <w:ind w:firstLine="0"/>
              <w:rPr>
                <w:rFonts w:cs="Times New Roman"/>
                <w:sz w:val="21"/>
                <w:szCs w:val="21"/>
                <w:lang w:val="lt-LT"/>
              </w:rPr>
            </w:pPr>
            <w:r w:rsidRPr="003878A7">
              <w:rPr>
                <w:rFonts w:cs="Times New Roman"/>
                <w:sz w:val="21"/>
                <w:szCs w:val="21"/>
                <w:lang w:val="lt-LT"/>
              </w:rPr>
              <w:t>GNG</w:t>
            </w:r>
          </w:p>
        </w:tc>
        <w:tc>
          <w:tcPr>
            <w:tcW w:w="6202" w:type="dxa"/>
          </w:tcPr>
          <w:p w14:paraId="07F5E125" w14:textId="3BEEEFFD" w:rsidR="00AA5F12" w:rsidRPr="003878A7" w:rsidRDefault="00AA5F12" w:rsidP="003878A7">
            <w:pPr>
              <w:pStyle w:val="prastasis1"/>
              <w:spacing w:before="0" w:beforeAutospacing="0" w:after="0" w:afterAutospacing="0"/>
              <w:jc w:val="both"/>
              <w:rPr>
                <w:rFonts w:eastAsiaTheme="minorHAnsi"/>
                <w:sz w:val="21"/>
                <w:szCs w:val="21"/>
                <w:lang w:val="lt-LT" w:eastAsia="en-US"/>
              </w:rPr>
            </w:pPr>
            <w:r w:rsidRPr="003878A7">
              <w:rPr>
                <w:rFonts w:eastAsiaTheme="minorHAnsi"/>
                <w:sz w:val="21"/>
                <w:szCs w:val="21"/>
                <w:lang w:val="lt-LT" w:eastAsia="en-US"/>
              </w:rPr>
              <w:t>Daugiabučio namo butų ir kitų patalpų savininkai</w:t>
            </w:r>
          </w:p>
        </w:tc>
      </w:tr>
      <w:tr w:rsidR="00AA5F12" w:rsidRPr="003878A7" w14:paraId="314BFE4E" w14:textId="77777777" w:rsidTr="00BF623D">
        <w:tc>
          <w:tcPr>
            <w:tcW w:w="3652" w:type="dxa"/>
          </w:tcPr>
          <w:p w14:paraId="54BF969A" w14:textId="1EA1A9A3" w:rsidR="00AA5F12" w:rsidRPr="003878A7" w:rsidRDefault="00AA5F12" w:rsidP="00AA5F12">
            <w:pPr>
              <w:spacing w:before="0" w:after="0"/>
              <w:ind w:firstLine="0"/>
              <w:rPr>
                <w:rFonts w:cs="Times New Roman"/>
                <w:sz w:val="21"/>
                <w:szCs w:val="21"/>
                <w:lang w:val="lt-LT"/>
              </w:rPr>
            </w:pPr>
            <w:r w:rsidRPr="003878A7">
              <w:rPr>
                <w:rFonts w:cs="Times New Roman"/>
                <w:sz w:val="21"/>
                <w:szCs w:val="21"/>
                <w:lang w:val="lt-LT"/>
              </w:rPr>
              <w:lastRenderedPageBreak/>
              <w:t>Paskolos terminas</w:t>
            </w:r>
          </w:p>
        </w:tc>
        <w:tc>
          <w:tcPr>
            <w:tcW w:w="6202" w:type="dxa"/>
          </w:tcPr>
          <w:p w14:paraId="55016351" w14:textId="2C689D78" w:rsidR="00AA5F12" w:rsidRPr="003878A7" w:rsidRDefault="00AA5F12" w:rsidP="00AA5F12">
            <w:pPr>
              <w:spacing w:before="0" w:after="0"/>
              <w:ind w:firstLine="0"/>
              <w:rPr>
                <w:rFonts w:cs="Times New Roman"/>
                <w:sz w:val="21"/>
                <w:szCs w:val="21"/>
                <w:lang w:val="lt-LT"/>
              </w:rPr>
            </w:pPr>
            <w:r w:rsidRPr="003878A7">
              <w:rPr>
                <w:rFonts w:cs="Times New Roman"/>
                <w:sz w:val="21"/>
                <w:szCs w:val="21"/>
                <w:lang w:val="lt-LT"/>
              </w:rPr>
              <w:t>20 m.</w:t>
            </w:r>
          </w:p>
        </w:tc>
      </w:tr>
      <w:tr w:rsidR="00AA5F12" w:rsidRPr="003878A7" w14:paraId="617C1C19" w14:textId="77777777" w:rsidTr="00BF623D">
        <w:tc>
          <w:tcPr>
            <w:tcW w:w="3652" w:type="dxa"/>
          </w:tcPr>
          <w:p w14:paraId="4B67D50C" w14:textId="62128433" w:rsidR="00AA5F12" w:rsidRPr="003878A7" w:rsidRDefault="00AA5F12" w:rsidP="00AA5F12">
            <w:pPr>
              <w:spacing w:before="0" w:after="0"/>
              <w:ind w:firstLine="0"/>
              <w:rPr>
                <w:rFonts w:cs="Times New Roman"/>
                <w:sz w:val="21"/>
                <w:szCs w:val="21"/>
                <w:lang w:val="lt-LT"/>
              </w:rPr>
            </w:pPr>
            <w:r w:rsidRPr="003878A7">
              <w:rPr>
                <w:rFonts w:cs="Times New Roman"/>
                <w:sz w:val="21"/>
                <w:szCs w:val="21"/>
                <w:lang w:val="lt-LT"/>
              </w:rPr>
              <w:t xml:space="preserve">Palūkanų </w:t>
            </w:r>
            <w:r w:rsidR="00F21005" w:rsidRPr="003878A7">
              <w:rPr>
                <w:rFonts w:cs="Times New Roman"/>
                <w:sz w:val="21"/>
                <w:szCs w:val="21"/>
                <w:lang w:val="lt-LT"/>
              </w:rPr>
              <w:t>norma</w:t>
            </w:r>
          </w:p>
        </w:tc>
        <w:tc>
          <w:tcPr>
            <w:tcW w:w="6202" w:type="dxa"/>
          </w:tcPr>
          <w:p w14:paraId="6964F79C" w14:textId="577712B8" w:rsidR="00AA5F12" w:rsidRPr="003878A7" w:rsidRDefault="00AA5F12" w:rsidP="00AA5F12">
            <w:pPr>
              <w:spacing w:before="0" w:after="0"/>
              <w:ind w:firstLine="0"/>
              <w:rPr>
                <w:rFonts w:cs="Times New Roman"/>
                <w:sz w:val="21"/>
                <w:szCs w:val="21"/>
                <w:lang w:val="lt-LT"/>
              </w:rPr>
            </w:pPr>
            <w:r w:rsidRPr="003878A7">
              <w:rPr>
                <w:rFonts w:eastAsiaTheme="minorHAnsi"/>
                <w:sz w:val="21"/>
                <w:szCs w:val="21"/>
                <w:lang w:val="lt-LT"/>
              </w:rPr>
              <w:t>Kaip numatyta daugiabučių modernizavimo programą reglamentuojančiuose teisės aktuose</w:t>
            </w:r>
          </w:p>
        </w:tc>
      </w:tr>
      <w:tr w:rsidR="00AA5F12" w:rsidRPr="003878A7" w14:paraId="36E5B796" w14:textId="77777777" w:rsidTr="00BF623D">
        <w:tc>
          <w:tcPr>
            <w:tcW w:w="3652" w:type="dxa"/>
          </w:tcPr>
          <w:p w14:paraId="714ED1A8" w14:textId="42D7C22B" w:rsidR="00AA5F12" w:rsidRPr="003878A7" w:rsidRDefault="00AA5F12" w:rsidP="00AA5F12">
            <w:pPr>
              <w:spacing w:before="0" w:after="0"/>
              <w:ind w:firstLine="0"/>
              <w:rPr>
                <w:rFonts w:cs="Times New Roman"/>
                <w:sz w:val="21"/>
                <w:szCs w:val="21"/>
                <w:lang w:val="lt-LT"/>
              </w:rPr>
            </w:pPr>
            <w:r w:rsidRPr="003878A7">
              <w:rPr>
                <w:rFonts w:cs="Times New Roman"/>
                <w:sz w:val="21"/>
                <w:szCs w:val="21"/>
                <w:lang w:val="lt-LT"/>
              </w:rPr>
              <w:t>Papildomos paskatos</w:t>
            </w:r>
          </w:p>
        </w:tc>
        <w:tc>
          <w:tcPr>
            <w:tcW w:w="6202" w:type="dxa"/>
          </w:tcPr>
          <w:p w14:paraId="77CE0D6B" w14:textId="335C963F" w:rsidR="00AA5F12" w:rsidRPr="003878A7" w:rsidRDefault="00AA5F12" w:rsidP="00AA5F12">
            <w:pPr>
              <w:spacing w:before="0" w:after="0"/>
              <w:ind w:firstLine="0"/>
              <w:rPr>
                <w:rFonts w:cs="Times New Roman"/>
                <w:sz w:val="21"/>
                <w:szCs w:val="21"/>
                <w:lang w:val="lt-LT"/>
              </w:rPr>
            </w:pPr>
            <w:r w:rsidRPr="003878A7">
              <w:rPr>
                <w:rFonts w:eastAsiaTheme="minorHAnsi"/>
                <w:sz w:val="21"/>
                <w:szCs w:val="21"/>
                <w:lang w:val="lt-LT"/>
              </w:rPr>
              <w:t>30% subsidija iš LR biudžeto (Klimato kaitos programa ar kiti šaltiniai) arba tokia subsidija, kokią atsižvelgiant į valstybės biudžeto ir kitų šaltinių galimybes bei rinkos situaciją nustato valstybė</w:t>
            </w:r>
          </w:p>
        </w:tc>
      </w:tr>
      <w:tr w:rsidR="00AA5F12" w:rsidRPr="003878A7" w14:paraId="1DA56D3B" w14:textId="77777777" w:rsidTr="00BF623D">
        <w:tc>
          <w:tcPr>
            <w:tcW w:w="3652" w:type="dxa"/>
          </w:tcPr>
          <w:p w14:paraId="24BDE911" w14:textId="2F413B6A" w:rsidR="00AA5F12" w:rsidRPr="003878A7" w:rsidRDefault="00AA5F12" w:rsidP="00AA5F12">
            <w:pPr>
              <w:spacing w:before="0" w:after="0"/>
              <w:ind w:firstLine="0"/>
              <w:rPr>
                <w:rFonts w:cs="Times New Roman"/>
                <w:sz w:val="21"/>
                <w:szCs w:val="21"/>
                <w:lang w:val="lt-LT"/>
              </w:rPr>
            </w:pPr>
            <w:r w:rsidRPr="003878A7">
              <w:rPr>
                <w:rFonts w:cs="Times New Roman"/>
                <w:sz w:val="21"/>
                <w:szCs w:val="21"/>
                <w:lang w:val="lt-LT"/>
              </w:rPr>
              <w:t>FP valdymo (administravimo mokestis)</w:t>
            </w:r>
          </w:p>
        </w:tc>
        <w:tc>
          <w:tcPr>
            <w:tcW w:w="6202" w:type="dxa"/>
          </w:tcPr>
          <w:p w14:paraId="24A30938" w14:textId="1058D272" w:rsidR="00AA5F12" w:rsidRPr="003878A7" w:rsidRDefault="00AA5F12" w:rsidP="00AA5F12">
            <w:pPr>
              <w:spacing w:before="0" w:after="0"/>
              <w:ind w:firstLine="0"/>
              <w:rPr>
                <w:sz w:val="21"/>
                <w:szCs w:val="21"/>
                <w:lang w:val="lt-LT"/>
              </w:rPr>
            </w:pPr>
            <w:r w:rsidRPr="003878A7">
              <w:rPr>
                <w:rFonts w:eastAsiaTheme="minorHAnsi"/>
                <w:sz w:val="21"/>
                <w:szCs w:val="21"/>
                <w:lang w:val="lt-LT"/>
              </w:rPr>
              <w:t>Nustatomi vadovaujantis Deleguoto reglamento nuostatomis</w:t>
            </w:r>
          </w:p>
        </w:tc>
      </w:tr>
    </w:tbl>
    <w:p w14:paraId="0588F548" w14:textId="77777777" w:rsidR="00BF623D" w:rsidRPr="003878A7" w:rsidRDefault="00BF623D" w:rsidP="00BF623D">
      <w:pPr>
        <w:spacing w:after="0"/>
        <w:rPr>
          <w:rFonts w:cs="Times New Roman"/>
          <w:sz w:val="20"/>
          <w:szCs w:val="20"/>
        </w:rPr>
      </w:pPr>
      <w:r w:rsidRPr="003878A7">
        <w:rPr>
          <w:rFonts w:cs="Times New Roman"/>
          <w:sz w:val="20"/>
          <w:szCs w:val="20"/>
        </w:rPr>
        <w:t>Šaltinis: sudaryta Vertintojų</w:t>
      </w:r>
    </w:p>
    <w:p w14:paraId="7A822345" w14:textId="50B2D54B" w:rsidR="00F16400" w:rsidRDefault="00F16400" w:rsidP="00D80F34">
      <w:pPr>
        <w:rPr>
          <w:rFonts w:cs="Times New Roman"/>
        </w:rPr>
      </w:pPr>
      <w:r>
        <w:rPr>
          <w:rFonts w:cs="Times New Roman"/>
        </w:rPr>
        <w:t>Lentelėje apačioje pateiktos alternatyvos Nr. 6 prielaidos</w:t>
      </w:r>
    </w:p>
    <w:p w14:paraId="552F724D" w14:textId="12F91C46" w:rsidR="00543EE2" w:rsidRPr="003878A7" w:rsidRDefault="00543EE2" w:rsidP="00543EE2">
      <w:pPr>
        <w:ind w:firstLine="0"/>
        <w:rPr>
          <w:rFonts w:cs="Times New Roman"/>
          <w:i/>
          <w:iCs/>
        </w:rPr>
      </w:pPr>
      <w:r w:rsidRPr="003878A7">
        <w:rPr>
          <w:rFonts w:cs="Times New Roman"/>
          <w:i/>
          <w:iCs/>
        </w:rPr>
        <w:t>Lentelė Nr. 1</w:t>
      </w:r>
      <w:r>
        <w:rPr>
          <w:rFonts w:cs="Times New Roman"/>
          <w:i/>
          <w:iCs/>
        </w:rPr>
        <w:t>7</w:t>
      </w:r>
      <w:r w:rsidRPr="003878A7">
        <w:rPr>
          <w:rFonts w:cs="Times New Roman"/>
          <w:i/>
          <w:iCs/>
        </w:rPr>
        <w:t xml:space="preserve">. Daugiabučių namų modernizavimui siūlomos taikyti </w:t>
      </w:r>
      <w:r>
        <w:rPr>
          <w:rFonts w:cs="Times New Roman"/>
          <w:i/>
          <w:iCs/>
        </w:rPr>
        <w:t>paskolų per platformą</w:t>
      </w:r>
      <w:r w:rsidRPr="003878A7">
        <w:rPr>
          <w:rFonts w:cs="Times New Roman"/>
          <w:i/>
          <w:iCs/>
        </w:rPr>
        <w:t xml:space="preserve"> sąlygos</w:t>
      </w:r>
    </w:p>
    <w:tbl>
      <w:tblPr>
        <w:tblStyle w:val="TableGrid"/>
        <w:tblW w:w="0" w:type="auto"/>
        <w:tblLook w:val="04A0" w:firstRow="1" w:lastRow="0" w:firstColumn="1" w:lastColumn="0" w:noHBand="0" w:noVBand="1"/>
      </w:tblPr>
      <w:tblGrid>
        <w:gridCol w:w="4671"/>
        <w:gridCol w:w="4673"/>
      </w:tblGrid>
      <w:tr w:rsidR="00F16400" w:rsidRPr="0025664D" w14:paraId="19A17374" w14:textId="77777777" w:rsidTr="0025664D">
        <w:tc>
          <w:tcPr>
            <w:tcW w:w="4671" w:type="dxa"/>
          </w:tcPr>
          <w:p w14:paraId="0EAB9982" w14:textId="77777777" w:rsidR="00F16400" w:rsidRPr="0025664D" w:rsidRDefault="00F16400" w:rsidP="00F16400">
            <w:pPr>
              <w:spacing w:before="0" w:after="0"/>
              <w:ind w:firstLine="0"/>
              <w:rPr>
                <w:rFonts w:cs="Times New Roman"/>
                <w:b/>
                <w:sz w:val="21"/>
                <w:szCs w:val="21"/>
                <w:lang w:val="lt-LT"/>
              </w:rPr>
            </w:pPr>
            <w:r w:rsidRPr="0025664D">
              <w:rPr>
                <w:rFonts w:cs="Times New Roman"/>
                <w:b/>
                <w:sz w:val="21"/>
                <w:szCs w:val="21"/>
                <w:lang w:val="lt-LT"/>
              </w:rPr>
              <w:t xml:space="preserve">Prielaidos </w:t>
            </w:r>
          </w:p>
        </w:tc>
        <w:tc>
          <w:tcPr>
            <w:tcW w:w="4673" w:type="dxa"/>
          </w:tcPr>
          <w:p w14:paraId="682CCC2B" w14:textId="77777777" w:rsidR="00F16400" w:rsidRPr="0025664D" w:rsidRDefault="00F16400" w:rsidP="00F16400">
            <w:pPr>
              <w:spacing w:before="0" w:after="0"/>
              <w:ind w:firstLine="0"/>
              <w:rPr>
                <w:rFonts w:cs="Times New Roman"/>
                <w:b/>
                <w:sz w:val="21"/>
                <w:szCs w:val="21"/>
                <w:lang w:val="lt-LT"/>
              </w:rPr>
            </w:pPr>
            <w:r w:rsidRPr="0025664D">
              <w:rPr>
                <w:rFonts w:cs="Times New Roman"/>
                <w:b/>
                <w:sz w:val="21"/>
                <w:szCs w:val="21"/>
                <w:lang w:val="lt-LT"/>
              </w:rPr>
              <w:t>Komentaras</w:t>
            </w:r>
          </w:p>
        </w:tc>
      </w:tr>
      <w:tr w:rsidR="00F16400" w:rsidRPr="0025664D" w14:paraId="785DC6AD" w14:textId="77777777" w:rsidTr="0025664D">
        <w:tc>
          <w:tcPr>
            <w:tcW w:w="4671" w:type="dxa"/>
          </w:tcPr>
          <w:p w14:paraId="0A6821B1" w14:textId="5DD3F8AB" w:rsidR="00F16400" w:rsidRPr="0025664D" w:rsidRDefault="00F16400" w:rsidP="00F16400">
            <w:pPr>
              <w:spacing w:before="0" w:after="0"/>
              <w:ind w:firstLine="0"/>
              <w:rPr>
                <w:rFonts w:cs="Times New Roman"/>
                <w:bCs/>
                <w:sz w:val="21"/>
                <w:szCs w:val="21"/>
                <w:lang w:val="lt-LT"/>
              </w:rPr>
            </w:pPr>
            <w:r w:rsidRPr="0025664D">
              <w:rPr>
                <w:rFonts w:cs="Times New Roman"/>
                <w:bCs/>
                <w:sz w:val="21"/>
                <w:szCs w:val="21"/>
                <w:lang w:val="lt-LT"/>
              </w:rPr>
              <w:t>Investuojamų ESI fondų lėšų suma</w:t>
            </w:r>
          </w:p>
        </w:tc>
        <w:tc>
          <w:tcPr>
            <w:tcW w:w="4673" w:type="dxa"/>
          </w:tcPr>
          <w:p w14:paraId="27F7A691" w14:textId="4718CDAF" w:rsidR="00F16400" w:rsidRPr="0025664D" w:rsidRDefault="00F16400" w:rsidP="00F16400">
            <w:pPr>
              <w:pStyle w:val="Default"/>
              <w:jc w:val="both"/>
              <w:rPr>
                <w:bCs/>
                <w:sz w:val="21"/>
                <w:szCs w:val="21"/>
                <w:lang w:val="lt-LT"/>
              </w:rPr>
            </w:pPr>
            <w:r w:rsidRPr="0025664D">
              <w:rPr>
                <w:bCs/>
                <w:sz w:val="21"/>
                <w:szCs w:val="21"/>
                <w:lang w:val="lt-LT"/>
              </w:rPr>
              <w:t xml:space="preserve">Ne mažiau kaip 50 mln. </w:t>
            </w:r>
            <w:r w:rsidR="00BC7F27">
              <w:rPr>
                <w:bCs/>
                <w:sz w:val="21"/>
                <w:szCs w:val="21"/>
                <w:lang w:val="lt-LT"/>
              </w:rPr>
              <w:t>Eur</w:t>
            </w:r>
          </w:p>
          <w:p w14:paraId="57E14696" w14:textId="4413E32C" w:rsidR="00F16400" w:rsidRPr="0025664D" w:rsidRDefault="00F16400" w:rsidP="00543EE2">
            <w:pPr>
              <w:pStyle w:val="Default"/>
              <w:jc w:val="both"/>
              <w:rPr>
                <w:bCs/>
                <w:sz w:val="21"/>
                <w:szCs w:val="21"/>
                <w:lang w:val="lt-LT"/>
              </w:rPr>
            </w:pPr>
            <w:r w:rsidRPr="0025664D">
              <w:rPr>
                <w:bCs/>
                <w:sz w:val="21"/>
                <w:szCs w:val="21"/>
                <w:lang w:val="lt-LT"/>
              </w:rPr>
              <w:t>Prielaida paremta Fondų fondo valdytojo ir ministerijų diskusijomis dėl galimybės perskirstyti Fondų fondo valdytojo valdomas ESI fondų lėšas ir dalį lėšų (apie 50 mln. Eurų) skirti šiame scenarijuje aprašytam finansavimo modeliui.</w:t>
            </w:r>
          </w:p>
        </w:tc>
      </w:tr>
      <w:tr w:rsidR="00F16400" w:rsidRPr="0025664D" w14:paraId="5DDD41C0" w14:textId="77777777" w:rsidTr="0025664D">
        <w:tc>
          <w:tcPr>
            <w:tcW w:w="4671" w:type="dxa"/>
          </w:tcPr>
          <w:p w14:paraId="1E6FF1A4" w14:textId="5F25EF9A" w:rsidR="00F16400" w:rsidRPr="0025664D" w:rsidRDefault="00F16400" w:rsidP="00F16400">
            <w:pPr>
              <w:spacing w:before="0" w:after="0"/>
              <w:ind w:firstLine="0"/>
              <w:rPr>
                <w:rFonts w:cs="Times New Roman"/>
                <w:bCs/>
                <w:sz w:val="21"/>
                <w:szCs w:val="21"/>
                <w:lang w:val="lt-LT"/>
              </w:rPr>
            </w:pPr>
            <w:r w:rsidRPr="0025664D">
              <w:rPr>
                <w:rFonts w:cs="Times New Roman"/>
                <w:bCs/>
                <w:sz w:val="21"/>
                <w:szCs w:val="21"/>
                <w:lang w:val="lt-LT"/>
              </w:rPr>
              <w:t>Kitos lėšos</w:t>
            </w:r>
          </w:p>
        </w:tc>
        <w:tc>
          <w:tcPr>
            <w:tcW w:w="4673" w:type="dxa"/>
          </w:tcPr>
          <w:p w14:paraId="5764A55E" w14:textId="48A19697" w:rsidR="00F16400" w:rsidRPr="0025664D" w:rsidRDefault="00F16400" w:rsidP="00F16400">
            <w:pPr>
              <w:pStyle w:val="Default"/>
              <w:jc w:val="both"/>
              <w:rPr>
                <w:bCs/>
                <w:sz w:val="21"/>
                <w:szCs w:val="21"/>
                <w:lang w:val="lt-LT"/>
              </w:rPr>
            </w:pPr>
            <w:r w:rsidRPr="0025664D">
              <w:rPr>
                <w:bCs/>
                <w:sz w:val="21"/>
                <w:szCs w:val="21"/>
                <w:lang w:val="lt-LT"/>
              </w:rPr>
              <w:t xml:space="preserve">2007-2013 m. periodo grįžtančios lėšos, kurios sudarytų apie 10 mln. </w:t>
            </w:r>
            <w:r w:rsidR="00BC7F27">
              <w:rPr>
                <w:bCs/>
                <w:sz w:val="21"/>
                <w:szCs w:val="21"/>
                <w:lang w:val="lt-LT"/>
              </w:rPr>
              <w:t>Eur</w:t>
            </w:r>
          </w:p>
          <w:p w14:paraId="4795EE21" w14:textId="2AE7DC5F" w:rsidR="00F16400" w:rsidRPr="0025664D" w:rsidRDefault="00F16400" w:rsidP="00BC7F27">
            <w:pPr>
              <w:pStyle w:val="Default"/>
              <w:jc w:val="both"/>
              <w:rPr>
                <w:bCs/>
                <w:sz w:val="21"/>
                <w:szCs w:val="21"/>
                <w:lang w:val="lt-LT"/>
              </w:rPr>
            </w:pPr>
            <w:r w:rsidRPr="0025664D">
              <w:rPr>
                <w:bCs/>
                <w:sz w:val="21"/>
                <w:szCs w:val="21"/>
                <w:lang w:val="lt-LT"/>
              </w:rPr>
              <w:t xml:space="preserve">Privačios lėšos sudarys 80 proc. visų Scenarijuje Nr. 6 nurodyto finansinio instrumento lėšų, </w:t>
            </w:r>
            <w:proofErr w:type="spellStart"/>
            <w:r w:rsidRPr="0025664D">
              <w:rPr>
                <w:bCs/>
                <w:sz w:val="21"/>
                <w:szCs w:val="21"/>
                <w:lang w:val="lt-LT"/>
              </w:rPr>
              <w:t>t.y</w:t>
            </w:r>
            <w:proofErr w:type="spellEnd"/>
            <w:r w:rsidRPr="0025664D">
              <w:rPr>
                <w:bCs/>
                <w:sz w:val="21"/>
                <w:szCs w:val="21"/>
                <w:lang w:val="lt-LT"/>
              </w:rPr>
              <w:t xml:space="preserve">. 200 mln. </w:t>
            </w:r>
            <w:r w:rsidR="00BC7F27">
              <w:rPr>
                <w:bCs/>
                <w:sz w:val="21"/>
                <w:szCs w:val="21"/>
                <w:lang w:val="lt-LT"/>
              </w:rPr>
              <w:t>Eur</w:t>
            </w:r>
            <w:r w:rsidRPr="0025664D">
              <w:rPr>
                <w:bCs/>
                <w:sz w:val="21"/>
                <w:szCs w:val="21"/>
                <w:lang w:val="lt-LT"/>
              </w:rPr>
              <w:t>.</w:t>
            </w:r>
          </w:p>
        </w:tc>
      </w:tr>
      <w:tr w:rsidR="00F16400" w:rsidRPr="0025664D" w14:paraId="4D1C9159" w14:textId="77777777" w:rsidTr="0025664D">
        <w:tc>
          <w:tcPr>
            <w:tcW w:w="4671" w:type="dxa"/>
          </w:tcPr>
          <w:p w14:paraId="61D6D6D8" w14:textId="5CE1C046" w:rsidR="00F16400" w:rsidRPr="0025664D" w:rsidRDefault="00F16400" w:rsidP="00F16400">
            <w:pPr>
              <w:spacing w:before="0" w:after="0"/>
              <w:ind w:firstLine="0"/>
              <w:rPr>
                <w:rFonts w:cs="Times New Roman"/>
                <w:bCs/>
                <w:sz w:val="21"/>
                <w:szCs w:val="21"/>
                <w:lang w:val="lt-LT"/>
              </w:rPr>
            </w:pPr>
            <w:r w:rsidRPr="0025664D">
              <w:rPr>
                <w:rFonts w:cs="Times New Roman"/>
                <w:bCs/>
                <w:sz w:val="21"/>
                <w:szCs w:val="21"/>
                <w:lang w:val="lt-LT"/>
              </w:rPr>
              <w:t>Paskolos terminas</w:t>
            </w:r>
          </w:p>
        </w:tc>
        <w:tc>
          <w:tcPr>
            <w:tcW w:w="4673" w:type="dxa"/>
          </w:tcPr>
          <w:p w14:paraId="09FD1508" w14:textId="59F32E99" w:rsidR="00F16400" w:rsidRPr="0025664D" w:rsidRDefault="00F16400" w:rsidP="00F16400">
            <w:pPr>
              <w:spacing w:before="0" w:after="0"/>
              <w:ind w:firstLine="0"/>
              <w:rPr>
                <w:rFonts w:cs="Times New Roman"/>
                <w:bCs/>
                <w:sz w:val="21"/>
                <w:szCs w:val="21"/>
                <w:lang w:val="lt-LT"/>
              </w:rPr>
            </w:pPr>
            <w:r w:rsidRPr="0025664D">
              <w:rPr>
                <w:rFonts w:cs="Times New Roman"/>
                <w:bCs/>
                <w:sz w:val="21"/>
                <w:szCs w:val="21"/>
                <w:lang w:val="lt-LT"/>
              </w:rPr>
              <w:t>Iki 20 metų.</w:t>
            </w:r>
          </w:p>
        </w:tc>
      </w:tr>
      <w:tr w:rsidR="00F16400" w:rsidRPr="0025664D" w14:paraId="7AF38E7E" w14:textId="77777777" w:rsidTr="0025664D">
        <w:tc>
          <w:tcPr>
            <w:tcW w:w="4671" w:type="dxa"/>
          </w:tcPr>
          <w:p w14:paraId="3180EA20" w14:textId="77777777" w:rsidR="00F16400" w:rsidRPr="0025664D" w:rsidRDefault="00F16400" w:rsidP="00F16400">
            <w:pPr>
              <w:pStyle w:val="Default"/>
              <w:jc w:val="both"/>
              <w:rPr>
                <w:bCs/>
                <w:sz w:val="21"/>
                <w:szCs w:val="21"/>
                <w:lang w:val="lt-LT"/>
              </w:rPr>
            </w:pPr>
            <w:r w:rsidRPr="0025664D">
              <w:rPr>
                <w:bCs/>
                <w:sz w:val="21"/>
                <w:szCs w:val="21"/>
                <w:lang w:val="lt-LT"/>
              </w:rPr>
              <w:t>Palūkanų norma</w:t>
            </w:r>
          </w:p>
          <w:p w14:paraId="39A2976E" w14:textId="77777777" w:rsidR="00F16400" w:rsidRPr="0025664D" w:rsidRDefault="00F16400" w:rsidP="00F16400">
            <w:pPr>
              <w:pStyle w:val="Default"/>
              <w:jc w:val="both"/>
              <w:rPr>
                <w:bCs/>
                <w:sz w:val="21"/>
                <w:szCs w:val="21"/>
                <w:lang w:val="lt-LT"/>
              </w:rPr>
            </w:pPr>
          </w:p>
          <w:p w14:paraId="3FCC514F" w14:textId="77777777" w:rsidR="00F16400" w:rsidRPr="0025664D" w:rsidRDefault="00F16400" w:rsidP="00F16400">
            <w:pPr>
              <w:spacing w:before="0" w:after="0"/>
              <w:ind w:firstLine="0"/>
              <w:rPr>
                <w:rFonts w:cs="Times New Roman"/>
                <w:bCs/>
                <w:sz w:val="21"/>
                <w:szCs w:val="21"/>
                <w:lang w:val="lt-LT"/>
              </w:rPr>
            </w:pPr>
          </w:p>
        </w:tc>
        <w:tc>
          <w:tcPr>
            <w:tcW w:w="4673" w:type="dxa"/>
          </w:tcPr>
          <w:p w14:paraId="1C581A3E" w14:textId="0E88CFA6" w:rsidR="00F16400" w:rsidRPr="0025664D" w:rsidRDefault="00F16400" w:rsidP="00BC7F27">
            <w:pPr>
              <w:pStyle w:val="Default"/>
              <w:jc w:val="both"/>
              <w:rPr>
                <w:bCs/>
                <w:sz w:val="21"/>
                <w:szCs w:val="21"/>
                <w:lang w:val="lt-LT"/>
              </w:rPr>
            </w:pPr>
            <w:r w:rsidRPr="0025664D">
              <w:rPr>
                <w:bCs/>
                <w:sz w:val="21"/>
                <w:szCs w:val="21"/>
                <w:lang w:val="lt-LT"/>
              </w:rPr>
              <w:t>Palūkanų norma pirmus 5 metus nuo paskolos išmokėjimo galutiniam naudos gavėjui neturėtų viršyti 3%.</w:t>
            </w:r>
          </w:p>
        </w:tc>
      </w:tr>
      <w:tr w:rsidR="00F16400" w:rsidRPr="0025664D" w14:paraId="4DE727C8" w14:textId="77777777" w:rsidTr="0025664D">
        <w:tc>
          <w:tcPr>
            <w:tcW w:w="4671" w:type="dxa"/>
          </w:tcPr>
          <w:p w14:paraId="5C00DB12" w14:textId="43A498BB" w:rsidR="00F16400" w:rsidRPr="0025664D" w:rsidRDefault="00F16400" w:rsidP="00F16400">
            <w:pPr>
              <w:spacing w:before="0" w:after="0"/>
              <w:ind w:firstLine="0"/>
              <w:rPr>
                <w:rFonts w:cs="Times New Roman"/>
                <w:bCs/>
                <w:sz w:val="21"/>
                <w:szCs w:val="21"/>
                <w:lang w:val="lt-LT"/>
              </w:rPr>
            </w:pPr>
            <w:r w:rsidRPr="0025664D">
              <w:rPr>
                <w:rFonts w:cs="Times New Roman"/>
                <w:bCs/>
                <w:sz w:val="21"/>
                <w:szCs w:val="21"/>
                <w:lang w:val="lt-LT"/>
              </w:rPr>
              <w:t>Papildomos paskatos</w:t>
            </w:r>
          </w:p>
        </w:tc>
        <w:tc>
          <w:tcPr>
            <w:tcW w:w="4673" w:type="dxa"/>
          </w:tcPr>
          <w:p w14:paraId="05EC1B7C" w14:textId="6A886B49" w:rsidR="00F16400" w:rsidRPr="0025664D" w:rsidRDefault="00F16400" w:rsidP="00BC7F27">
            <w:pPr>
              <w:pStyle w:val="Default"/>
              <w:jc w:val="both"/>
              <w:rPr>
                <w:bCs/>
                <w:sz w:val="21"/>
                <w:szCs w:val="21"/>
                <w:lang w:val="lt-LT"/>
              </w:rPr>
            </w:pPr>
            <w:r w:rsidRPr="0025664D">
              <w:rPr>
                <w:bCs/>
                <w:sz w:val="21"/>
                <w:szCs w:val="21"/>
                <w:lang w:val="lt-LT"/>
              </w:rPr>
              <w:t xml:space="preserve">Projektams, pasiekusiems ne mažesnį kaip 40 proc. sutaupymą, suteikiama 30% subsidija (papildoma valstybės parama) biudžeto lėšomis. </w:t>
            </w:r>
          </w:p>
        </w:tc>
      </w:tr>
      <w:tr w:rsidR="00F16400" w:rsidRPr="0025664D" w14:paraId="1355DAC3" w14:textId="77777777" w:rsidTr="0025664D">
        <w:tc>
          <w:tcPr>
            <w:tcW w:w="4671" w:type="dxa"/>
          </w:tcPr>
          <w:p w14:paraId="37EE054A" w14:textId="2F4945EE" w:rsidR="00F16400" w:rsidRPr="0025664D" w:rsidRDefault="00F16400" w:rsidP="00F16400">
            <w:pPr>
              <w:spacing w:before="0" w:after="0"/>
              <w:ind w:firstLine="0"/>
              <w:rPr>
                <w:rFonts w:cs="Times New Roman"/>
                <w:bCs/>
                <w:sz w:val="21"/>
                <w:szCs w:val="21"/>
                <w:lang w:val="lt-LT"/>
              </w:rPr>
            </w:pPr>
            <w:r w:rsidRPr="0025664D">
              <w:rPr>
                <w:rFonts w:cs="Times New Roman"/>
                <w:bCs/>
                <w:sz w:val="21"/>
                <w:szCs w:val="21"/>
                <w:lang w:val="lt-LT"/>
              </w:rPr>
              <w:t>Išankstinis paskolos grąžinimas</w:t>
            </w:r>
          </w:p>
          <w:p w14:paraId="414DB55C" w14:textId="77777777" w:rsidR="00F16400" w:rsidRPr="0025664D" w:rsidRDefault="00F16400" w:rsidP="00F16400">
            <w:pPr>
              <w:spacing w:before="0" w:after="0"/>
              <w:ind w:firstLine="0"/>
              <w:rPr>
                <w:rFonts w:cs="Times New Roman"/>
                <w:bCs/>
                <w:sz w:val="21"/>
                <w:szCs w:val="21"/>
                <w:lang w:val="lt-LT"/>
              </w:rPr>
            </w:pPr>
          </w:p>
        </w:tc>
        <w:tc>
          <w:tcPr>
            <w:tcW w:w="4673" w:type="dxa"/>
          </w:tcPr>
          <w:p w14:paraId="168BFC2C" w14:textId="32971EE1" w:rsidR="00F16400" w:rsidRPr="0025664D" w:rsidRDefault="00F16400" w:rsidP="00F16400">
            <w:pPr>
              <w:spacing w:before="0" w:after="0"/>
              <w:ind w:firstLine="0"/>
              <w:rPr>
                <w:rFonts w:cs="Times New Roman"/>
                <w:bCs/>
                <w:sz w:val="21"/>
                <w:szCs w:val="21"/>
                <w:lang w:val="lt-LT"/>
              </w:rPr>
            </w:pPr>
            <w:r w:rsidRPr="0025664D">
              <w:rPr>
                <w:rFonts w:cs="Times New Roman"/>
                <w:bCs/>
                <w:sz w:val="21"/>
                <w:szCs w:val="21"/>
                <w:lang w:val="lt-LT"/>
              </w:rPr>
              <w:t xml:space="preserve">10% praėjus dvejiems metams po projekto įgyvendinimo </w:t>
            </w:r>
          </w:p>
        </w:tc>
      </w:tr>
      <w:tr w:rsidR="00F16400" w:rsidRPr="0025664D" w14:paraId="67F37573" w14:textId="77777777" w:rsidTr="0025664D">
        <w:tc>
          <w:tcPr>
            <w:tcW w:w="4671" w:type="dxa"/>
          </w:tcPr>
          <w:p w14:paraId="63706697" w14:textId="7C610F5B" w:rsidR="00F16400" w:rsidRPr="0025664D" w:rsidRDefault="00F16400" w:rsidP="00F16400">
            <w:pPr>
              <w:spacing w:before="0" w:after="0"/>
              <w:ind w:firstLine="0"/>
              <w:rPr>
                <w:rFonts w:cs="Times New Roman"/>
                <w:bCs/>
                <w:sz w:val="21"/>
                <w:szCs w:val="21"/>
                <w:lang w:val="lt-LT"/>
              </w:rPr>
            </w:pPr>
            <w:bookmarkStart w:id="48" w:name="_Hlk16524493"/>
            <w:r w:rsidRPr="0025664D">
              <w:rPr>
                <w:rFonts w:cs="Times New Roman"/>
                <w:bCs/>
                <w:sz w:val="21"/>
                <w:szCs w:val="21"/>
                <w:lang w:val="lt-LT"/>
              </w:rPr>
              <w:t>Modernizavimo procese dalyvaujančio vidutinio pastato projekto investicijų vertė</w:t>
            </w:r>
            <w:bookmarkEnd w:id="48"/>
            <w:r w:rsidRPr="0025664D">
              <w:rPr>
                <w:rFonts w:cs="Times New Roman"/>
                <w:bCs/>
                <w:sz w:val="21"/>
                <w:szCs w:val="21"/>
                <w:lang w:val="lt-LT"/>
              </w:rPr>
              <w:t xml:space="preserve"> </w:t>
            </w:r>
          </w:p>
        </w:tc>
        <w:tc>
          <w:tcPr>
            <w:tcW w:w="4673" w:type="dxa"/>
          </w:tcPr>
          <w:p w14:paraId="6A1CA504" w14:textId="553C7727" w:rsidR="00F16400" w:rsidRPr="0025664D" w:rsidRDefault="00F16400" w:rsidP="00F16400">
            <w:pPr>
              <w:pStyle w:val="Default"/>
              <w:jc w:val="both"/>
              <w:rPr>
                <w:bCs/>
                <w:sz w:val="21"/>
                <w:szCs w:val="21"/>
                <w:lang w:val="lt-LT"/>
              </w:rPr>
            </w:pPr>
            <w:r w:rsidRPr="0025664D">
              <w:rPr>
                <w:bCs/>
                <w:sz w:val="21"/>
                <w:szCs w:val="21"/>
                <w:lang w:val="lt-LT"/>
              </w:rPr>
              <w:t>450 000 eurų</w:t>
            </w:r>
          </w:p>
        </w:tc>
      </w:tr>
      <w:tr w:rsidR="00F16400" w:rsidRPr="0025664D" w14:paraId="4B0CA360" w14:textId="77777777" w:rsidTr="0025664D">
        <w:tc>
          <w:tcPr>
            <w:tcW w:w="4671" w:type="dxa"/>
          </w:tcPr>
          <w:p w14:paraId="01EDA54E" w14:textId="45EA754A" w:rsidR="00F16400" w:rsidRPr="0025664D" w:rsidRDefault="00F16400" w:rsidP="00F16400">
            <w:pPr>
              <w:pStyle w:val="Default"/>
              <w:jc w:val="both"/>
              <w:rPr>
                <w:bCs/>
                <w:sz w:val="21"/>
                <w:szCs w:val="21"/>
                <w:lang w:val="lt-LT"/>
              </w:rPr>
            </w:pPr>
            <w:r w:rsidRPr="0025664D">
              <w:rPr>
                <w:bCs/>
                <w:sz w:val="21"/>
                <w:szCs w:val="21"/>
                <w:lang w:val="lt-LT"/>
              </w:rPr>
              <w:t>Palūkanų norma</w:t>
            </w:r>
          </w:p>
          <w:p w14:paraId="14EB63BA" w14:textId="77777777" w:rsidR="00F16400" w:rsidRPr="0025664D" w:rsidRDefault="00F16400" w:rsidP="00F16400">
            <w:pPr>
              <w:pStyle w:val="Default"/>
              <w:jc w:val="both"/>
              <w:rPr>
                <w:bCs/>
                <w:sz w:val="21"/>
                <w:szCs w:val="21"/>
                <w:lang w:val="lt-LT"/>
              </w:rPr>
            </w:pPr>
          </w:p>
          <w:p w14:paraId="255D8781" w14:textId="77777777" w:rsidR="00F16400" w:rsidRPr="0025664D" w:rsidRDefault="00F16400" w:rsidP="00F16400">
            <w:pPr>
              <w:pStyle w:val="Default"/>
              <w:jc w:val="both"/>
              <w:rPr>
                <w:bCs/>
                <w:sz w:val="21"/>
                <w:szCs w:val="21"/>
                <w:lang w:val="lt-LT"/>
              </w:rPr>
            </w:pPr>
          </w:p>
        </w:tc>
        <w:tc>
          <w:tcPr>
            <w:tcW w:w="4673" w:type="dxa"/>
          </w:tcPr>
          <w:p w14:paraId="543D344F" w14:textId="4562DA64" w:rsidR="00F16400" w:rsidRPr="0025664D" w:rsidRDefault="00F16400" w:rsidP="00F16400">
            <w:pPr>
              <w:pStyle w:val="Default"/>
              <w:jc w:val="both"/>
              <w:rPr>
                <w:bCs/>
                <w:sz w:val="21"/>
                <w:szCs w:val="21"/>
                <w:lang w:val="lt-LT"/>
              </w:rPr>
            </w:pPr>
            <w:r w:rsidRPr="0025664D">
              <w:rPr>
                <w:bCs/>
                <w:sz w:val="21"/>
                <w:szCs w:val="21"/>
                <w:lang w:val="lt-LT"/>
              </w:rPr>
              <w:t>Palūkanų norma pirmus 5 metus nuo paskolos išmokėjimo galutiniam naudos gavėjui neturėtų viršyti 3%.</w:t>
            </w:r>
          </w:p>
        </w:tc>
      </w:tr>
      <w:tr w:rsidR="00F16400" w:rsidRPr="0025664D" w14:paraId="043A369B" w14:textId="77777777" w:rsidTr="00BC7F27">
        <w:trPr>
          <w:trHeight w:val="323"/>
        </w:trPr>
        <w:tc>
          <w:tcPr>
            <w:tcW w:w="4671" w:type="dxa"/>
          </w:tcPr>
          <w:p w14:paraId="0B90FF01" w14:textId="1E4B2F50" w:rsidR="00F16400" w:rsidRPr="0025664D" w:rsidRDefault="00F16400" w:rsidP="00F16400">
            <w:pPr>
              <w:pStyle w:val="Default"/>
              <w:jc w:val="both"/>
              <w:rPr>
                <w:bCs/>
                <w:sz w:val="21"/>
                <w:szCs w:val="21"/>
                <w:lang w:val="lt-LT"/>
              </w:rPr>
            </w:pPr>
            <w:r w:rsidRPr="0025664D">
              <w:rPr>
                <w:bCs/>
                <w:sz w:val="21"/>
                <w:szCs w:val="21"/>
                <w:lang w:val="lt-LT"/>
              </w:rPr>
              <w:t>Siektinas įgyvendinamų projektų skaičius</w:t>
            </w:r>
          </w:p>
        </w:tc>
        <w:tc>
          <w:tcPr>
            <w:tcW w:w="4673" w:type="dxa"/>
          </w:tcPr>
          <w:p w14:paraId="37EFC3E0" w14:textId="4015A1E8" w:rsidR="00F16400" w:rsidRPr="0025664D" w:rsidRDefault="00F16400" w:rsidP="00F16400">
            <w:pPr>
              <w:pStyle w:val="Default"/>
              <w:jc w:val="both"/>
              <w:rPr>
                <w:bCs/>
                <w:sz w:val="21"/>
                <w:szCs w:val="21"/>
                <w:lang w:val="lt-LT"/>
              </w:rPr>
            </w:pPr>
            <w:r w:rsidRPr="0025664D">
              <w:rPr>
                <w:bCs/>
                <w:sz w:val="21"/>
                <w:szCs w:val="21"/>
                <w:lang w:val="lt-LT"/>
              </w:rPr>
              <w:t xml:space="preserve">~ 185 projektai per metus </w:t>
            </w:r>
          </w:p>
        </w:tc>
      </w:tr>
      <w:tr w:rsidR="00543EE2" w:rsidRPr="0025664D" w14:paraId="2052D7AE" w14:textId="77777777" w:rsidTr="0025664D">
        <w:tc>
          <w:tcPr>
            <w:tcW w:w="4671" w:type="dxa"/>
          </w:tcPr>
          <w:p w14:paraId="172BEF40" w14:textId="1BECEC75" w:rsidR="00543EE2" w:rsidRPr="0025664D" w:rsidRDefault="00543EE2" w:rsidP="00543EE2">
            <w:pPr>
              <w:pStyle w:val="Default"/>
              <w:jc w:val="both"/>
              <w:rPr>
                <w:bCs/>
                <w:sz w:val="21"/>
                <w:szCs w:val="21"/>
                <w:lang w:val="lt-LT"/>
              </w:rPr>
            </w:pPr>
            <w:r w:rsidRPr="0025664D">
              <w:rPr>
                <w:bCs/>
                <w:sz w:val="21"/>
                <w:szCs w:val="21"/>
                <w:lang w:val="lt-LT"/>
              </w:rPr>
              <w:t>FP valdymo (administravimo mokestis)</w:t>
            </w:r>
          </w:p>
        </w:tc>
        <w:tc>
          <w:tcPr>
            <w:tcW w:w="4673" w:type="dxa"/>
          </w:tcPr>
          <w:p w14:paraId="3263236D" w14:textId="5C903119" w:rsidR="00543EE2" w:rsidRPr="0025664D" w:rsidRDefault="00543EE2" w:rsidP="00543EE2">
            <w:pPr>
              <w:pStyle w:val="Default"/>
              <w:jc w:val="both"/>
              <w:rPr>
                <w:bCs/>
                <w:sz w:val="21"/>
                <w:szCs w:val="21"/>
                <w:lang w:val="lt-LT"/>
              </w:rPr>
            </w:pPr>
            <w:r w:rsidRPr="0025664D">
              <w:rPr>
                <w:rFonts w:eastAsiaTheme="minorHAnsi"/>
                <w:bCs/>
                <w:sz w:val="21"/>
                <w:szCs w:val="21"/>
                <w:lang w:val="lt-LT"/>
              </w:rPr>
              <w:t>Nustatomi vadovaujantis Deleguoto reglamento nuostatomis</w:t>
            </w:r>
          </w:p>
        </w:tc>
      </w:tr>
    </w:tbl>
    <w:p w14:paraId="00270D8B" w14:textId="77777777" w:rsidR="00543EE2" w:rsidRPr="003878A7" w:rsidRDefault="00543EE2" w:rsidP="00543EE2">
      <w:pPr>
        <w:spacing w:after="0"/>
        <w:rPr>
          <w:rFonts w:cs="Times New Roman"/>
          <w:sz w:val="20"/>
          <w:szCs w:val="20"/>
        </w:rPr>
      </w:pPr>
      <w:r w:rsidRPr="003878A7">
        <w:rPr>
          <w:rFonts w:cs="Times New Roman"/>
          <w:sz w:val="20"/>
          <w:szCs w:val="20"/>
        </w:rPr>
        <w:t>Šaltinis: sudaryta Vertintojų</w:t>
      </w:r>
    </w:p>
    <w:p w14:paraId="22E33625" w14:textId="77777777" w:rsidR="0025664D" w:rsidRDefault="00104241" w:rsidP="00D80F34">
      <w:pPr>
        <w:rPr>
          <w:rFonts w:cs="Times New Roman"/>
        </w:rPr>
      </w:pPr>
      <w:r w:rsidRPr="003878A7">
        <w:rPr>
          <w:rFonts w:cs="Times New Roman"/>
        </w:rPr>
        <w:t>Siūlom</w:t>
      </w:r>
      <w:r w:rsidR="00543EE2">
        <w:rPr>
          <w:rFonts w:cs="Times New Roman"/>
        </w:rPr>
        <w:t>os</w:t>
      </w:r>
      <w:r w:rsidR="00AA5F12" w:rsidRPr="003878A7">
        <w:rPr>
          <w:rFonts w:cs="Times New Roman"/>
        </w:rPr>
        <w:t xml:space="preserve"> FP </w:t>
      </w:r>
      <w:r w:rsidRPr="003878A7">
        <w:rPr>
          <w:rFonts w:cs="Times New Roman"/>
        </w:rPr>
        <w:t>yra pažįstam</w:t>
      </w:r>
      <w:r w:rsidR="00543EE2">
        <w:rPr>
          <w:rFonts w:cs="Times New Roman"/>
        </w:rPr>
        <w:t>os</w:t>
      </w:r>
      <w:r w:rsidRPr="003878A7">
        <w:rPr>
          <w:rFonts w:cs="Times New Roman"/>
        </w:rPr>
        <w:t xml:space="preserve"> daugeliui modelio įgyvendinime dalyvaujančių subjektų, t.</w:t>
      </w:r>
      <w:r w:rsidR="009D258E" w:rsidRPr="003878A7">
        <w:rPr>
          <w:rFonts w:cs="Times New Roman"/>
        </w:rPr>
        <w:t xml:space="preserve"> </w:t>
      </w:r>
      <w:r w:rsidRPr="003878A7">
        <w:rPr>
          <w:rFonts w:cs="Times New Roman"/>
        </w:rPr>
        <w:t xml:space="preserve">y. </w:t>
      </w:r>
      <w:r w:rsidR="00BF623D" w:rsidRPr="003878A7">
        <w:rPr>
          <w:rFonts w:cs="Times New Roman"/>
        </w:rPr>
        <w:t>VI</w:t>
      </w:r>
      <w:r w:rsidRPr="003878A7">
        <w:rPr>
          <w:rFonts w:cs="Times New Roman"/>
        </w:rPr>
        <w:t xml:space="preserve">, </w:t>
      </w:r>
      <w:r w:rsidR="009D258E" w:rsidRPr="003878A7">
        <w:rPr>
          <w:rFonts w:cs="Times New Roman"/>
        </w:rPr>
        <w:t>AM</w:t>
      </w:r>
      <w:r w:rsidRPr="003878A7">
        <w:rPr>
          <w:rFonts w:cs="Times New Roman"/>
        </w:rPr>
        <w:t xml:space="preserve">, </w:t>
      </w:r>
      <w:r w:rsidR="009D258E" w:rsidRPr="003878A7">
        <w:rPr>
          <w:rFonts w:cs="Times New Roman"/>
        </w:rPr>
        <w:t>FT</w:t>
      </w:r>
      <w:r w:rsidRPr="003878A7">
        <w:rPr>
          <w:rFonts w:cs="Times New Roman"/>
        </w:rPr>
        <w:t xml:space="preserve">, projektų vykdytojams bei </w:t>
      </w:r>
      <w:r w:rsidR="00BF623D" w:rsidRPr="003878A7">
        <w:rPr>
          <w:rFonts w:cs="Times New Roman"/>
        </w:rPr>
        <w:t>GNG</w:t>
      </w:r>
      <w:r w:rsidRPr="003878A7">
        <w:rPr>
          <w:rFonts w:cs="Times New Roman"/>
        </w:rPr>
        <w:t xml:space="preserve">. Sukaupta daugiabučių namų modernizavimo programų patirtis rodo, kad net ir nedideli finansinio produkto sąlygų pakeitimai daro ženklią įtaką </w:t>
      </w:r>
      <w:r w:rsidR="00BF623D" w:rsidRPr="003878A7">
        <w:rPr>
          <w:rFonts w:cs="Times New Roman"/>
        </w:rPr>
        <w:t>GNG</w:t>
      </w:r>
      <w:r w:rsidRPr="003878A7">
        <w:rPr>
          <w:rFonts w:cs="Times New Roman"/>
        </w:rPr>
        <w:t xml:space="preserve">, o taip pat ir </w:t>
      </w:r>
      <w:r w:rsidR="00BF623D" w:rsidRPr="003878A7">
        <w:rPr>
          <w:rFonts w:cs="Times New Roman"/>
        </w:rPr>
        <w:t>FT</w:t>
      </w:r>
      <w:r w:rsidRPr="003878A7">
        <w:rPr>
          <w:rFonts w:cs="Times New Roman"/>
        </w:rPr>
        <w:t xml:space="preserve">, suinteresuotumui dalyvauti daugiabučių namų modernizavimo programoje. Todėl rekomenduojama 2014-2020 m. </w:t>
      </w:r>
      <w:r w:rsidR="00BF623D" w:rsidRPr="003878A7">
        <w:rPr>
          <w:rFonts w:cs="Times New Roman"/>
        </w:rPr>
        <w:t>programavimo laikotarpiu</w:t>
      </w:r>
      <w:r w:rsidRPr="003878A7">
        <w:rPr>
          <w:rFonts w:cs="Times New Roman"/>
        </w:rPr>
        <w:t xml:space="preserve"> įgyvendinti tok</w:t>
      </w:r>
      <w:r w:rsidR="00543EE2">
        <w:rPr>
          <w:rFonts w:cs="Times New Roman"/>
        </w:rPr>
        <w:t>ius</w:t>
      </w:r>
      <w:r w:rsidRPr="003878A7">
        <w:rPr>
          <w:rFonts w:cs="Times New Roman"/>
        </w:rPr>
        <w:t xml:space="preserve"> finansin</w:t>
      </w:r>
      <w:r w:rsidR="00543EE2">
        <w:rPr>
          <w:rFonts w:cs="Times New Roman"/>
        </w:rPr>
        <w:t>ius</w:t>
      </w:r>
      <w:r w:rsidRPr="003878A7">
        <w:rPr>
          <w:rFonts w:cs="Times New Roman"/>
        </w:rPr>
        <w:t xml:space="preserve"> produkt</w:t>
      </w:r>
      <w:r w:rsidR="00543EE2">
        <w:rPr>
          <w:rFonts w:cs="Times New Roman"/>
        </w:rPr>
        <w:t>us</w:t>
      </w:r>
      <w:r w:rsidRPr="003878A7">
        <w:rPr>
          <w:rFonts w:cs="Times New Roman"/>
        </w:rPr>
        <w:t>, kuri</w:t>
      </w:r>
      <w:r w:rsidR="00543EE2">
        <w:rPr>
          <w:rFonts w:cs="Times New Roman"/>
        </w:rPr>
        <w:t>e</w:t>
      </w:r>
      <w:r w:rsidRPr="003878A7">
        <w:rPr>
          <w:rFonts w:cs="Times New Roman"/>
        </w:rPr>
        <w:t xml:space="preserve"> iš esmės būtų JESSICA KF finansinio produkto tęsinys</w:t>
      </w:r>
      <w:r w:rsidR="00BF623D" w:rsidRPr="003878A7">
        <w:rPr>
          <w:rFonts w:cs="Times New Roman"/>
        </w:rPr>
        <w:t xml:space="preserve">. </w:t>
      </w:r>
    </w:p>
    <w:p w14:paraId="590A7ADB" w14:textId="6F7F39EE" w:rsidR="00104241" w:rsidRPr="003878A7" w:rsidRDefault="00BC7F27" w:rsidP="00D80F34">
      <w:pPr>
        <w:rPr>
          <w:rFonts w:cs="Times New Roman"/>
        </w:rPr>
      </w:pPr>
      <w:r>
        <w:rPr>
          <w:rFonts w:cs="Times New Roman"/>
        </w:rPr>
        <w:t>D</w:t>
      </w:r>
      <w:r w:rsidR="00543EE2" w:rsidRPr="00543EE2">
        <w:rPr>
          <w:rFonts w:cs="Times New Roman"/>
        </w:rPr>
        <w:t xml:space="preserve">augiabučių renovacijos naujai rengiamų projektų finansavimui rekomenduojama modifikuota paskolos </w:t>
      </w:r>
      <w:r>
        <w:rPr>
          <w:rFonts w:cs="Times New Roman"/>
        </w:rPr>
        <w:t>FP</w:t>
      </w:r>
      <w:r w:rsidR="00543EE2" w:rsidRPr="00543EE2">
        <w:rPr>
          <w:rFonts w:cs="Times New Roman"/>
        </w:rPr>
        <w:t xml:space="preserve">, kuri iš dalies pakeistų garantijos </w:t>
      </w:r>
      <w:r w:rsidR="0025664D">
        <w:rPr>
          <w:rFonts w:cs="Times New Roman"/>
        </w:rPr>
        <w:t>FP</w:t>
      </w:r>
      <w:r w:rsidR="00104241" w:rsidRPr="003878A7">
        <w:rPr>
          <w:rFonts w:cs="Times New Roman"/>
        </w:rPr>
        <w:t xml:space="preserve">. </w:t>
      </w:r>
      <w:r w:rsidR="0025664D" w:rsidRPr="0025664D">
        <w:rPr>
          <w:rFonts w:cs="Times New Roman"/>
        </w:rPr>
        <w:t xml:space="preserve">Naujos </w:t>
      </w:r>
      <w:r>
        <w:rPr>
          <w:rFonts w:cs="Times New Roman"/>
        </w:rPr>
        <w:t>FP</w:t>
      </w:r>
      <w:r w:rsidR="0025664D" w:rsidRPr="0025664D">
        <w:rPr>
          <w:rFonts w:cs="Times New Roman"/>
        </w:rPr>
        <w:t xml:space="preserve"> sėkmės rinkoje tikimybė didesnė dėl to, kad rengiant priemonės scenarijų buvo atsižvelgta į rinkos dalyvių nurodytas pagrindines kliūtis, lėmusias menką rinkos susidomėjimą garantijos instrumentu, t.</w:t>
      </w:r>
      <w:r w:rsidR="0025664D">
        <w:rPr>
          <w:rFonts w:cs="Times New Roman"/>
        </w:rPr>
        <w:t xml:space="preserve"> </w:t>
      </w:r>
      <w:r w:rsidR="0025664D" w:rsidRPr="0025664D">
        <w:rPr>
          <w:rFonts w:cs="Times New Roman"/>
        </w:rPr>
        <w:t xml:space="preserve">y. naujų IT sprendinių įdiegimą, keitimą, neaiškią rizikos vertinimo procedūrą, vidinius administracinius bei techninius kaštus ir pan., šias kliūtis pašalinant suformavus trijų aiškių rizikos ir nuostolių pasidalinimo lygių platformą, kuri būtų finansuojama </w:t>
      </w:r>
      <w:r w:rsidR="0025664D" w:rsidRPr="0025664D">
        <w:rPr>
          <w:rFonts w:cs="Times New Roman"/>
        </w:rPr>
        <w:lastRenderedPageBreak/>
        <w:t>paprasčiausiu ir finansų įstaigoms priimtiniausiu būdu – teikiant projektų finansavimo paskolas platformai.</w:t>
      </w:r>
      <w:r w:rsidR="0025664D">
        <w:rPr>
          <w:rFonts w:cs="Times New Roman"/>
        </w:rPr>
        <w:t xml:space="preserve"> </w:t>
      </w:r>
      <w:r w:rsidR="0025664D" w:rsidRPr="0025664D">
        <w:rPr>
          <w:rFonts w:cs="Times New Roman"/>
        </w:rPr>
        <w:t xml:space="preserve">Finansinis produktas </w:t>
      </w:r>
      <w:r w:rsidR="0025664D">
        <w:rPr>
          <w:rFonts w:cs="Times New Roman"/>
        </w:rPr>
        <w:t>GNG</w:t>
      </w:r>
      <w:r w:rsidR="0025664D" w:rsidRPr="0025664D">
        <w:rPr>
          <w:rFonts w:cs="Times New Roman"/>
        </w:rPr>
        <w:t xml:space="preserve"> išliktų nepakitęs, lyginant su garantijos </w:t>
      </w:r>
      <w:r w:rsidR="0025664D">
        <w:rPr>
          <w:rFonts w:cs="Times New Roman"/>
        </w:rPr>
        <w:t>FP.</w:t>
      </w:r>
    </w:p>
    <w:p w14:paraId="13DE2013" w14:textId="2495C397" w:rsidR="00104241" w:rsidRPr="003878A7" w:rsidRDefault="00104241" w:rsidP="00D80F34">
      <w:pPr>
        <w:rPr>
          <w:rFonts w:cs="Times New Roman"/>
        </w:rPr>
      </w:pPr>
      <w:r w:rsidRPr="003878A7">
        <w:rPr>
          <w:rFonts w:cs="Times New Roman"/>
        </w:rPr>
        <w:t xml:space="preserve">Atsižvelgiant į tai, kad daugiabučių namų renovacijos procese susidaro pakankamai didelis projektų srautas, projektai yra išsisklaidę po visą šalies teritoriją, pats modernizavimo procesas yra pakankamai įsibėgėjęs ir itin svarbu užtikrinti jo tęstinumą pereinant iš 2007-2013 m. į  2014-2020 m. laikotarpį bei sklandų ir nenutrūkstamą suformuoto projektų srauto finansavimą, rekomenduojame daugiabučių modernizavimo procesui taikyti kiek įmanoma lankstesnę įgyvendinimo struktūrą, </w:t>
      </w:r>
      <w:r w:rsidR="00BF623D" w:rsidRPr="003878A7">
        <w:rPr>
          <w:rFonts w:cs="Times New Roman"/>
        </w:rPr>
        <w:t>t. y.</w:t>
      </w:r>
      <w:r w:rsidRPr="003878A7">
        <w:rPr>
          <w:rFonts w:cs="Times New Roman"/>
        </w:rPr>
        <w:t xml:space="preserve"> derinti </w:t>
      </w:r>
      <w:r w:rsidR="00D80F34" w:rsidRPr="003878A7">
        <w:rPr>
          <w:rFonts w:cs="Times New Roman"/>
        </w:rPr>
        <w:t>FF</w:t>
      </w:r>
      <w:r w:rsidRPr="003878A7">
        <w:rPr>
          <w:rFonts w:cs="Times New Roman"/>
        </w:rPr>
        <w:t xml:space="preserve"> ir </w:t>
      </w:r>
      <w:r w:rsidR="00D80F34" w:rsidRPr="003878A7">
        <w:rPr>
          <w:rFonts w:cs="Times New Roman"/>
        </w:rPr>
        <w:t>FP</w:t>
      </w:r>
      <w:r w:rsidRPr="003878A7">
        <w:rPr>
          <w:rFonts w:cs="Times New Roman"/>
        </w:rPr>
        <w:t xml:space="preserve"> struktūras. Pagal poreikį </w:t>
      </w:r>
      <w:r w:rsidR="00BF623D" w:rsidRPr="003878A7">
        <w:rPr>
          <w:rFonts w:cs="Times New Roman"/>
        </w:rPr>
        <w:t>VI</w:t>
      </w:r>
      <w:r w:rsidRPr="003878A7">
        <w:rPr>
          <w:rFonts w:cs="Times New Roman"/>
        </w:rPr>
        <w:t xml:space="preserve"> ir </w:t>
      </w:r>
      <w:r w:rsidR="00BF623D" w:rsidRPr="003878A7">
        <w:rPr>
          <w:rFonts w:cs="Times New Roman"/>
        </w:rPr>
        <w:t>AM</w:t>
      </w:r>
      <w:r w:rsidRPr="003878A7">
        <w:rPr>
          <w:rFonts w:cs="Times New Roman"/>
        </w:rPr>
        <w:t xml:space="preserve"> daugiabučių namų modernizavimo priemonių įgyvendinimui nacionaliniame lygmenyje  gali įsteigti vieną ar kelias </w:t>
      </w:r>
      <w:r w:rsidR="00BF623D" w:rsidRPr="003878A7">
        <w:rPr>
          <w:rFonts w:cs="Times New Roman"/>
        </w:rPr>
        <w:t>FP ir jų įgyvendinimui</w:t>
      </w:r>
      <w:r w:rsidRPr="003878A7">
        <w:rPr>
          <w:rFonts w:cs="Times New Roman"/>
        </w:rPr>
        <w:t xml:space="preserve"> pasitelkti vieną ar kelis fondų valdytojus.  </w:t>
      </w:r>
    </w:p>
    <w:p w14:paraId="4E53D55A" w14:textId="5DF64740" w:rsidR="0031223D" w:rsidRPr="003878A7" w:rsidRDefault="0031223D" w:rsidP="00BF623D">
      <w:pPr>
        <w:rPr>
          <w:rFonts w:cs="Times New Roman"/>
        </w:rPr>
      </w:pPr>
      <w:r w:rsidRPr="003878A7">
        <w:rPr>
          <w:rFonts w:cs="Times New Roman"/>
        </w:rPr>
        <w:t xml:space="preserve">Jautrumo analizės ir kokybinės analizės vertinimu buvo nustatyta, jog daugiabučių pastatų renovacijai reikėtų taikyti subsidiją, tačiau nebuvo diskutuojama kokio tipo turėtų būti subsidija ir </w:t>
      </w:r>
      <w:r w:rsidR="00543EE2">
        <w:rPr>
          <w:rFonts w:cs="Times New Roman"/>
        </w:rPr>
        <w:t xml:space="preserve">kokios </w:t>
      </w:r>
      <w:r w:rsidRPr="003878A7">
        <w:rPr>
          <w:rFonts w:cs="Times New Roman"/>
        </w:rPr>
        <w:t xml:space="preserve">jos derinimo galimybės su </w:t>
      </w:r>
      <w:r w:rsidR="00BF623D" w:rsidRPr="003878A7">
        <w:rPr>
          <w:rFonts w:cs="Times New Roman"/>
        </w:rPr>
        <w:t>FP</w:t>
      </w:r>
      <w:r w:rsidRPr="003878A7">
        <w:rPr>
          <w:rFonts w:cs="Times New Roman"/>
        </w:rPr>
        <w:t>. Gyventojams taip pat svarbu, jog prie mažesnių subsidijų būtų pereinama laipsniškai, kadangi tai palaikytų stabilesnį gyventojų suinteresuotumą renovacijos procesu.</w:t>
      </w:r>
      <w:r w:rsidR="00BF623D" w:rsidRPr="003878A7">
        <w:rPr>
          <w:rFonts w:cs="Times New Roman"/>
        </w:rPr>
        <w:t xml:space="preserve"> Daugiabučių modernizavimo projektams skiriama subsidija apibrėžta šią veiklą reglamentuojančiuose teisės aktuose remiantis valstybės galimybėmis tokią subsidiją teikti.</w:t>
      </w:r>
    </w:p>
    <w:p w14:paraId="56BD99DF" w14:textId="628B92BB" w:rsidR="00484910" w:rsidRPr="003878A7" w:rsidRDefault="008466C7" w:rsidP="00266AE2">
      <w:pPr>
        <w:pStyle w:val="Heading2"/>
        <w:numPr>
          <w:ilvl w:val="1"/>
          <w:numId w:val="19"/>
        </w:numPr>
      </w:pPr>
      <w:bookmarkStart w:id="49" w:name="_Toc70532884"/>
      <w:r w:rsidRPr="003878A7">
        <w:t>Centrinės valdžios viešųjų pastatų ir gatvių apšvietimo modernizavimo investavimo strategija</w:t>
      </w:r>
      <w:bookmarkEnd w:id="49"/>
      <w:r w:rsidRPr="003878A7">
        <w:cr/>
      </w:r>
      <w:bookmarkStart w:id="50" w:name="_Toc62131253"/>
    </w:p>
    <w:p w14:paraId="7AD10010" w14:textId="2C2E05A7" w:rsidR="00266AE2" w:rsidRPr="003878A7" w:rsidRDefault="00266AE2" w:rsidP="00266AE2">
      <w:pPr>
        <w:rPr>
          <w:rFonts w:cs="Times New Roman"/>
        </w:rPr>
      </w:pPr>
      <w:r w:rsidRPr="003878A7">
        <w:rPr>
          <w:rFonts w:cs="Times New Roman"/>
        </w:rPr>
        <w:t>EM turi tiesioginius įsipareigojimus dėl EE direktyvos iškeltų tikslų šalims narėms pasiekimo. Todėl viešųjų pastatų modernizavimo strategija turi būti sukurta ir išplėtota taip, kad būtų įgyvendinti visi privalomi pasiekti tikslai. Nors EE direktyva tiesioginių įpareigojimų dėl gatvių apšvietimo modernizavimo neiškelia, gatvių apšvietimo modernizavimas yra rekomenduojamas įgyvendinti pagal tuos pačius principus kaip ir viešųjų pastatų modernizavimas, t. y. įgyvendinant ESCO modelį, todėl siūloma investavimo strategiją viešųjų pastatų ir gatvių apšvietimo modernizavimui rengti bendrą. Taip bus siekiama optimizuoti šių veiklų įgyvendinimą, mažinti administracinę naštą bei dėl masto ekonomijos pasiekti didesnį efektyvumą. Žemiau yra pateikiama siūloma finansinių priemonių, kurios būtų įgyvendinamos per fondų fondą investavimo strategija.</w:t>
      </w:r>
    </w:p>
    <w:p w14:paraId="4FD261ED" w14:textId="11012AA2" w:rsidR="00266AE2" w:rsidRPr="003878A7" w:rsidRDefault="00266AE2" w:rsidP="00266AE2">
      <w:pPr>
        <w:rPr>
          <w:rFonts w:cs="Times New Roman"/>
        </w:rPr>
      </w:pPr>
      <w:r w:rsidRPr="003878A7">
        <w:rPr>
          <w:rFonts w:cs="Times New Roman"/>
        </w:rPr>
        <w:t xml:space="preserve">Šiame Vertinime buvo nustatyta, poreikis EE projektų įgyvendinimui yra žymiai didesnis nei rinkoje prieinama finansavimo pasiūla. 2.3. skyriuje identifikuotas rinkos finansavimo nepakankamumas, kuris viešųjų pastatų modernizavimui ir gatvių apšvietimo modernizavimui bendrai siekia </w:t>
      </w:r>
      <w:r w:rsidR="009B2AF3" w:rsidRPr="003878A7">
        <w:rPr>
          <w:rFonts w:cs="Times New Roman"/>
        </w:rPr>
        <w:t>601,9</w:t>
      </w:r>
      <w:r w:rsidRPr="003878A7">
        <w:rPr>
          <w:rFonts w:cs="Times New Roman"/>
        </w:rPr>
        <w:t xml:space="preserve"> mln. </w:t>
      </w:r>
      <w:r w:rsidR="009B2AF3" w:rsidRPr="003878A7">
        <w:rPr>
          <w:rFonts w:cs="Times New Roman"/>
        </w:rPr>
        <w:t>Eur</w:t>
      </w:r>
      <w:r w:rsidRPr="003878A7">
        <w:rPr>
          <w:rFonts w:cs="Times New Roman"/>
        </w:rPr>
        <w:t xml:space="preserve">. </w:t>
      </w:r>
    </w:p>
    <w:p w14:paraId="7271DF7A" w14:textId="4019788D" w:rsidR="00266AE2" w:rsidRPr="003878A7" w:rsidRDefault="00266AE2" w:rsidP="00266AE2">
      <w:pPr>
        <w:rPr>
          <w:rFonts w:cs="Times New Roman"/>
        </w:rPr>
      </w:pPr>
      <w:r w:rsidRPr="003878A7">
        <w:rPr>
          <w:rFonts w:cs="Times New Roman"/>
        </w:rPr>
        <w:t>Atsižvelgiant į tai, kad poreikis investicijoms yra dvigubai didesnis nei prieinamos lėšos, siekiant patenkinti kuo didesnį poreikį šioms investicijoms bei įgyvendinti daugiau projektų, būtina įgyvendinti ne subsidijų, bet grįžtančių lėšų finansines priemones ir modelius, pritraukiančius daugiau privačių lėšų.</w:t>
      </w:r>
    </w:p>
    <w:p w14:paraId="2C3282BB" w14:textId="23EE02AE" w:rsidR="00F277A2" w:rsidRPr="003878A7" w:rsidRDefault="00F277A2" w:rsidP="00266AE2">
      <w:pPr>
        <w:rPr>
          <w:rFonts w:cs="Times New Roman"/>
        </w:rPr>
      </w:pPr>
      <w:r w:rsidRPr="003878A7">
        <w:rPr>
          <w:rFonts w:cs="Times New Roman"/>
        </w:rPr>
        <w:t xml:space="preserve">Siekiant įvertinti skirtingų FP pritaikomumą buvo atlikta FP taikymo scenarijų analizė (žr. </w:t>
      </w:r>
      <w:r w:rsidR="00950700" w:rsidRPr="003878A7">
        <w:rPr>
          <w:rFonts w:cs="Times New Roman"/>
        </w:rPr>
        <w:t>priede 3-</w:t>
      </w:r>
      <w:r w:rsidR="00033F6C" w:rsidRPr="003878A7">
        <w:rPr>
          <w:rFonts w:cs="Times New Roman"/>
        </w:rPr>
        <w:t>4</w:t>
      </w:r>
      <w:r w:rsidR="00950700" w:rsidRPr="003878A7">
        <w:rPr>
          <w:rFonts w:cs="Times New Roman"/>
        </w:rPr>
        <w:t xml:space="preserve">). Atsižvelgiant į analizės duomenis ir kitus kokybinius ir kiekybinius rodiklius kaip nustatyta </w:t>
      </w:r>
      <w:r w:rsidR="00B22949" w:rsidRPr="003878A7">
        <w:rPr>
          <w:rFonts w:cs="Times New Roman"/>
        </w:rPr>
        <w:t>3</w:t>
      </w:r>
      <w:r w:rsidR="00950700" w:rsidRPr="003878A7">
        <w:rPr>
          <w:rFonts w:cs="Times New Roman"/>
        </w:rPr>
        <w:t xml:space="preserve"> dalyje buvo nustatyta: </w:t>
      </w:r>
    </w:p>
    <w:p w14:paraId="367013B5" w14:textId="49F85556" w:rsidR="00950700" w:rsidRPr="003878A7" w:rsidRDefault="00950700" w:rsidP="00950700">
      <w:pPr>
        <w:pStyle w:val="ListParagraph"/>
        <w:numPr>
          <w:ilvl w:val="0"/>
          <w:numId w:val="25"/>
        </w:numPr>
        <w:rPr>
          <w:rFonts w:cs="Times New Roman"/>
        </w:rPr>
      </w:pPr>
      <w:r w:rsidRPr="003878A7">
        <w:rPr>
          <w:rFonts w:cs="Times New Roman"/>
        </w:rPr>
        <w:t>Centrinės valdžios pastatų renovavimo srityje siūloma taikyti paskolų FP su galimybe pritraukti lėšas investicinio fondo lygyje. Šios FP įgyvendinimo atveju sudaromos galimybės padidinti GNG pasiekusių lėšų kiekį, atitinkamai didėja ir renovuotų pastatų plotas. Dar vienas šio scenarijaus pasirinkimo motyvas galėtų būti šio scenarijaus įgyvendinimo sparta, kadangi tokios FP struktūra VI yra gerai pažįstama. Tuo atveju jei bus nuspręsta pasirinkti FT, taip pat rekomenduojama, FP lygiu FT skatinti prisidėti savo lėšomis.</w:t>
      </w:r>
    </w:p>
    <w:p w14:paraId="56EEACEA" w14:textId="4E6119D3" w:rsidR="00950700" w:rsidRPr="003878A7" w:rsidRDefault="00950700" w:rsidP="00950700">
      <w:pPr>
        <w:pStyle w:val="ListParagraph"/>
        <w:numPr>
          <w:ilvl w:val="0"/>
          <w:numId w:val="25"/>
        </w:numPr>
        <w:rPr>
          <w:rFonts w:cs="Times New Roman"/>
        </w:rPr>
      </w:pPr>
      <w:r w:rsidRPr="003878A7">
        <w:rPr>
          <w:rFonts w:cs="Times New Roman"/>
        </w:rPr>
        <w:t>Gatvių apšvietimo modernizavimo atveju siūloma taikyti garantijų FP dėl aukštų sverto ir multiplikatoriaus efektų. Tai leidžia daryti prielaida, kad bankai labiau įsitrauks į šių projektų finansavimą, kas galimai geriau leis suprasti ESCO modelio įgyvendinimo subtilybes. Nors bankai yra identifikavę, jog garantijų finansinė priemonė yra sudėtingesnė, tačiau gatvių modernizavimo projektai demonstruoja geriausius sutaupymus, atsipirkimo laiką, bei investicijų grąžą, todėl bankų nuomone, ši sritis galėtų būti finansuojama garantijų priemonės pagalba.</w:t>
      </w:r>
    </w:p>
    <w:p w14:paraId="1668B297" w14:textId="2476E6F3" w:rsidR="00F21005" w:rsidRPr="003878A7" w:rsidRDefault="00F21005" w:rsidP="00F21005">
      <w:pPr>
        <w:rPr>
          <w:rFonts w:cs="Times New Roman"/>
        </w:rPr>
      </w:pPr>
      <w:r w:rsidRPr="003878A7">
        <w:rPr>
          <w:rFonts w:cs="Times New Roman"/>
        </w:rPr>
        <w:t>Atsižvelgiant į alternatyvų analizę apačioje yra pateikiamos siūlom</w:t>
      </w:r>
      <w:r w:rsidR="000C377E" w:rsidRPr="003878A7">
        <w:rPr>
          <w:rFonts w:cs="Times New Roman"/>
        </w:rPr>
        <w:t>ų</w:t>
      </w:r>
      <w:r w:rsidRPr="003878A7">
        <w:rPr>
          <w:rFonts w:cs="Times New Roman"/>
        </w:rPr>
        <w:t xml:space="preserve"> </w:t>
      </w:r>
      <w:r w:rsidR="000C377E" w:rsidRPr="003878A7">
        <w:rPr>
          <w:rFonts w:cs="Times New Roman"/>
        </w:rPr>
        <w:t>FP</w:t>
      </w:r>
      <w:r w:rsidRPr="003878A7">
        <w:rPr>
          <w:rFonts w:cs="Times New Roman"/>
        </w:rPr>
        <w:t xml:space="preserve"> sąlygos. </w:t>
      </w:r>
    </w:p>
    <w:p w14:paraId="0A36689E" w14:textId="6F735AB1" w:rsidR="00F21005" w:rsidRPr="003878A7" w:rsidRDefault="00F21005" w:rsidP="00F21005">
      <w:pPr>
        <w:ind w:firstLine="0"/>
        <w:rPr>
          <w:rFonts w:cs="Times New Roman"/>
          <w:i/>
          <w:iCs/>
        </w:rPr>
      </w:pPr>
      <w:r w:rsidRPr="003878A7">
        <w:rPr>
          <w:rFonts w:cs="Times New Roman"/>
          <w:i/>
          <w:iCs/>
        </w:rPr>
        <w:lastRenderedPageBreak/>
        <w:t>Lentelė Nr. 1</w:t>
      </w:r>
      <w:r w:rsidR="006D7B19">
        <w:rPr>
          <w:rFonts w:cs="Times New Roman"/>
          <w:i/>
          <w:iCs/>
        </w:rPr>
        <w:t>7</w:t>
      </w:r>
      <w:r w:rsidRPr="003878A7">
        <w:rPr>
          <w:rFonts w:cs="Times New Roman"/>
          <w:i/>
          <w:iCs/>
        </w:rPr>
        <w:t>. Centrinės valdžios viešųjų pastatų modernizavim</w:t>
      </w:r>
      <w:r w:rsidR="000C377E" w:rsidRPr="003878A7">
        <w:rPr>
          <w:rFonts w:cs="Times New Roman"/>
          <w:i/>
          <w:iCs/>
        </w:rPr>
        <w:t>ui</w:t>
      </w:r>
      <w:r w:rsidRPr="003878A7">
        <w:rPr>
          <w:rFonts w:cs="Times New Roman"/>
          <w:i/>
          <w:iCs/>
        </w:rPr>
        <w:t xml:space="preserve"> siūlomos taikyti FP sąlygos</w:t>
      </w:r>
    </w:p>
    <w:tbl>
      <w:tblPr>
        <w:tblStyle w:val="TableGrid"/>
        <w:tblW w:w="0" w:type="auto"/>
        <w:tblLook w:val="04A0" w:firstRow="1" w:lastRow="0" w:firstColumn="1" w:lastColumn="0" w:noHBand="0" w:noVBand="1"/>
      </w:tblPr>
      <w:tblGrid>
        <w:gridCol w:w="3652"/>
        <w:gridCol w:w="6202"/>
      </w:tblGrid>
      <w:tr w:rsidR="00F21005" w:rsidRPr="003878A7" w14:paraId="7E754F30" w14:textId="77777777" w:rsidTr="00F16BEC">
        <w:tc>
          <w:tcPr>
            <w:tcW w:w="3652" w:type="dxa"/>
          </w:tcPr>
          <w:p w14:paraId="6458322A" w14:textId="77777777" w:rsidR="00F21005" w:rsidRPr="003878A7" w:rsidRDefault="00F21005" w:rsidP="00F16BEC">
            <w:pPr>
              <w:spacing w:before="0" w:after="0"/>
              <w:ind w:firstLine="0"/>
              <w:rPr>
                <w:rFonts w:cs="Times New Roman"/>
                <w:b/>
                <w:bCs/>
                <w:sz w:val="21"/>
                <w:szCs w:val="21"/>
                <w:lang w:val="lt-LT"/>
              </w:rPr>
            </w:pPr>
            <w:r w:rsidRPr="003878A7">
              <w:rPr>
                <w:rFonts w:cs="Times New Roman"/>
                <w:b/>
                <w:bCs/>
                <w:sz w:val="21"/>
                <w:szCs w:val="21"/>
                <w:lang w:val="lt-LT"/>
              </w:rPr>
              <w:t>FP sąlygos</w:t>
            </w:r>
          </w:p>
        </w:tc>
        <w:tc>
          <w:tcPr>
            <w:tcW w:w="6202" w:type="dxa"/>
          </w:tcPr>
          <w:p w14:paraId="26895B03" w14:textId="77777777" w:rsidR="00F21005" w:rsidRPr="003878A7" w:rsidRDefault="00F21005" w:rsidP="00F16BEC">
            <w:pPr>
              <w:spacing w:before="0" w:after="0"/>
              <w:ind w:firstLine="0"/>
              <w:rPr>
                <w:rFonts w:cs="Times New Roman"/>
                <w:b/>
                <w:bCs/>
                <w:sz w:val="21"/>
                <w:szCs w:val="21"/>
                <w:lang w:val="lt-LT"/>
              </w:rPr>
            </w:pPr>
            <w:r w:rsidRPr="003878A7">
              <w:rPr>
                <w:rFonts w:cs="Times New Roman"/>
                <w:b/>
                <w:bCs/>
                <w:sz w:val="21"/>
                <w:szCs w:val="21"/>
                <w:lang w:val="lt-LT"/>
              </w:rPr>
              <w:t>Lengvatinių paskolų FP</w:t>
            </w:r>
          </w:p>
        </w:tc>
      </w:tr>
      <w:tr w:rsidR="00F21005" w:rsidRPr="003878A7" w14:paraId="7414F924" w14:textId="77777777" w:rsidTr="00F16BEC">
        <w:tc>
          <w:tcPr>
            <w:tcW w:w="3652" w:type="dxa"/>
          </w:tcPr>
          <w:p w14:paraId="756BE11E" w14:textId="77777777" w:rsidR="00F21005" w:rsidRPr="003878A7" w:rsidRDefault="00F21005" w:rsidP="00F16BEC">
            <w:pPr>
              <w:spacing w:before="0" w:after="0"/>
              <w:ind w:firstLine="0"/>
              <w:rPr>
                <w:rFonts w:cs="Times New Roman"/>
                <w:sz w:val="21"/>
                <w:szCs w:val="21"/>
                <w:lang w:val="lt-LT"/>
              </w:rPr>
            </w:pPr>
            <w:r w:rsidRPr="003878A7">
              <w:rPr>
                <w:rFonts w:cs="Times New Roman"/>
                <w:sz w:val="21"/>
                <w:szCs w:val="21"/>
                <w:lang w:val="lt-LT"/>
              </w:rPr>
              <w:t>GNG</w:t>
            </w:r>
          </w:p>
        </w:tc>
        <w:tc>
          <w:tcPr>
            <w:tcW w:w="6202" w:type="dxa"/>
          </w:tcPr>
          <w:p w14:paraId="3AC6B4DB" w14:textId="28EB9DC9" w:rsidR="00F21005" w:rsidRPr="003878A7" w:rsidRDefault="00F21005" w:rsidP="00F16BEC">
            <w:pPr>
              <w:spacing w:before="0" w:after="0"/>
              <w:ind w:firstLine="0"/>
              <w:rPr>
                <w:rFonts w:cs="Times New Roman"/>
                <w:sz w:val="21"/>
                <w:szCs w:val="21"/>
                <w:lang w:val="lt-LT"/>
              </w:rPr>
            </w:pPr>
            <w:r w:rsidRPr="003878A7">
              <w:rPr>
                <w:rFonts w:eastAsiaTheme="minorHAnsi" w:cs="Times New Roman"/>
                <w:sz w:val="21"/>
                <w:szCs w:val="21"/>
                <w:lang w:val="lt-LT"/>
              </w:rPr>
              <w:t>Centrinės valdžios pastatų savininkai/valdytojai</w:t>
            </w:r>
          </w:p>
        </w:tc>
      </w:tr>
      <w:tr w:rsidR="00F21005" w:rsidRPr="003878A7" w14:paraId="342A0C3E" w14:textId="77777777" w:rsidTr="00F16BEC">
        <w:tc>
          <w:tcPr>
            <w:tcW w:w="3652" w:type="dxa"/>
          </w:tcPr>
          <w:p w14:paraId="63A6D422" w14:textId="77777777" w:rsidR="00F21005" w:rsidRPr="003878A7" w:rsidRDefault="00F21005" w:rsidP="00F16BEC">
            <w:pPr>
              <w:spacing w:before="0" w:after="0"/>
              <w:ind w:firstLine="0"/>
              <w:rPr>
                <w:rFonts w:cs="Times New Roman"/>
                <w:sz w:val="21"/>
                <w:szCs w:val="21"/>
                <w:lang w:val="lt-LT"/>
              </w:rPr>
            </w:pPr>
            <w:r w:rsidRPr="003878A7">
              <w:rPr>
                <w:rFonts w:cs="Times New Roman"/>
                <w:sz w:val="21"/>
                <w:szCs w:val="21"/>
                <w:lang w:val="lt-LT"/>
              </w:rPr>
              <w:t>Paskolos terminas</w:t>
            </w:r>
          </w:p>
        </w:tc>
        <w:tc>
          <w:tcPr>
            <w:tcW w:w="6202" w:type="dxa"/>
          </w:tcPr>
          <w:p w14:paraId="12251883" w14:textId="7C9EA3FB" w:rsidR="00F21005" w:rsidRPr="003878A7" w:rsidRDefault="00F21005" w:rsidP="00F16BEC">
            <w:pPr>
              <w:spacing w:before="0" w:after="0"/>
              <w:ind w:firstLine="0"/>
              <w:rPr>
                <w:rFonts w:cs="Times New Roman"/>
                <w:sz w:val="21"/>
                <w:szCs w:val="21"/>
                <w:lang w:val="lt-LT"/>
              </w:rPr>
            </w:pPr>
            <w:r w:rsidRPr="003878A7">
              <w:rPr>
                <w:rFonts w:cs="Times New Roman"/>
                <w:sz w:val="21"/>
                <w:szCs w:val="21"/>
                <w:lang w:val="lt-LT"/>
              </w:rPr>
              <w:t>Iki 20 m.</w:t>
            </w:r>
          </w:p>
        </w:tc>
      </w:tr>
      <w:tr w:rsidR="00F21005" w:rsidRPr="003878A7" w14:paraId="21F052B4" w14:textId="77777777" w:rsidTr="00F16BEC">
        <w:tc>
          <w:tcPr>
            <w:tcW w:w="3652" w:type="dxa"/>
          </w:tcPr>
          <w:p w14:paraId="4C247845" w14:textId="5B554149" w:rsidR="00F21005" w:rsidRPr="003878A7" w:rsidRDefault="00F21005" w:rsidP="00F16BEC">
            <w:pPr>
              <w:spacing w:before="0" w:after="0"/>
              <w:ind w:firstLine="0"/>
              <w:rPr>
                <w:rFonts w:cs="Times New Roman"/>
                <w:sz w:val="21"/>
                <w:szCs w:val="21"/>
                <w:lang w:val="lt-LT"/>
              </w:rPr>
            </w:pPr>
            <w:r w:rsidRPr="003878A7">
              <w:rPr>
                <w:rFonts w:cs="Times New Roman"/>
                <w:sz w:val="21"/>
                <w:szCs w:val="21"/>
                <w:lang w:val="lt-LT"/>
              </w:rPr>
              <w:t>Palūkanų norma</w:t>
            </w:r>
          </w:p>
        </w:tc>
        <w:tc>
          <w:tcPr>
            <w:tcW w:w="6202" w:type="dxa"/>
          </w:tcPr>
          <w:p w14:paraId="2E26CF6D" w14:textId="4DA32606" w:rsidR="00F21005" w:rsidRPr="003878A7" w:rsidRDefault="00F21005" w:rsidP="00F16BEC">
            <w:pPr>
              <w:spacing w:before="0" w:after="0"/>
              <w:ind w:firstLine="0"/>
              <w:rPr>
                <w:rFonts w:cs="Times New Roman"/>
                <w:sz w:val="21"/>
                <w:szCs w:val="21"/>
                <w:lang w:val="lt-LT"/>
              </w:rPr>
            </w:pPr>
            <w:r w:rsidRPr="003878A7">
              <w:rPr>
                <w:rFonts w:eastAsiaTheme="minorHAnsi"/>
                <w:sz w:val="21"/>
                <w:szCs w:val="21"/>
                <w:lang w:val="lt-LT"/>
              </w:rPr>
              <w:t>2% + 6 mėn. EURIBOR (bet ne mažiau kaip 0%). FP (ar FF) valdytojas gali pasiūlyti fiksuoti palūkanų normą (palūkanų fiksavimas būtų paremtas rinkos sąlygomis prieinamais instrumentais). Išnaudojus ES SF lėšas papildomai gali būti taikomi papildomi finansavimo mokesčiai (susiję su papildomo finansavimo pritraukimu);</w:t>
            </w:r>
          </w:p>
        </w:tc>
      </w:tr>
      <w:tr w:rsidR="00F21005" w:rsidRPr="003878A7" w14:paraId="0FBF1145" w14:textId="77777777" w:rsidTr="00F16BEC">
        <w:tc>
          <w:tcPr>
            <w:tcW w:w="3652" w:type="dxa"/>
          </w:tcPr>
          <w:p w14:paraId="04D339F4" w14:textId="1A18977C" w:rsidR="00F21005" w:rsidRPr="003878A7" w:rsidRDefault="00F21005" w:rsidP="00F16BEC">
            <w:pPr>
              <w:spacing w:before="0" w:after="0"/>
              <w:ind w:firstLine="0"/>
              <w:rPr>
                <w:rFonts w:cs="Times New Roman"/>
                <w:sz w:val="21"/>
                <w:szCs w:val="21"/>
                <w:lang w:val="lt-LT"/>
              </w:rPr>
            </w:pPr>
            <w:r w:rsidRPr="003878A7">
              <w:rPr>
                <w:rFonts w:cs="Times New Roman"/>
                <w:sz w:val="21"/>
                <w:szCs w:val="21"/>
                <w:lang w:val="lt-LT"/>
              </w:rPr>
              <w:t>Finansavimo dydis</w:t>
            </w:r>
          </w:p>
        </w:tc>
        <w:tc>
          <w:tcPr>
            <w:tcW w:w="6202" w:type="dxa"/>
          </w:tcPr>
          <w:p w14:paraId="366304E2" w14:textId="088234DF" w:rsidR="00F21005" w:rsidRPr="003878A7" w:rsidRDefault="00F21005" w:rsidP="00F16BEC">
            <w:pPr>
              <w:spacing w:before="0" w:after="0"/>
              <w:ind w:firstLine="0"/>
              <w:rPr>
                <w:sz w:val="21"/>
                <w:szCs w:val="21"/>
                <w:lang w:val="lt-LT"/>
              </w:rPr>
            </w:pPr>
            <w:r w:rsidRPr="003878A7">
              <w:rPr>
                <w:sz w:val="21"/>
                <w:szCs w:val="21"/>
                <w:lang w:val="lt-LT"/>
              </w:rPr>
              <w:t>Iki 100 % projekto vertės, ESCO atveju iki 80% projekto vertės</w:t>
            </w:r>
          </w:p>
        </w:tc>
      </w:tr>
      <w:tr w:rsidR="00F21005" w:rsidRPr="003878A7" w14:paraId="3974E49E" w14:textId="77777777" w:rsidTr="00F16BEC">
        <w:tc>
          <w:tcPr>
            <w:tcW w:w="3652" w:type="dxa"/>
          </w:tcPr>
          <w:p w14:paraId="233F10A6" w14:textId="56E62F33" w:rsidR="00F21005" w:rsidRPr="003878A7" w:rsidRDefault="00F21005" w:rsidP="00F16BEC">
            <w:pPr>
              <w:spacing w:before="0" w:after="0"/>
              <w:ind w:firstLine="0"/>
              <w:rPr>
                <w:rFonts w:cs="Times New Roman"/>
                <w:sz w:val="21"/>
                <w:szCs w:val="21"/>
                <w:lang w:val="lt-LT"/>
              </w:rPr>
            </w:pPr>
            <w:r w:rsidRPr="003878A7">
              <w:rPr>
                <w:rFonts w:cs="Times New Roman"/>
                <w:sz w:val="21"/>
                <w:szCs w:val="21"/>
                <w:lang w:val="lt-LT"/>
              </w:rPr>
              <w:t>Kitos nuostatos</w:t>
            </w:r>
          </w:p>
        </w:tc>
        <w:tc>
          <w:tcPr>
            <w:tcW w:w="6202" w:type="dxa"/>
          </w:tcPr>
          <w:p w14:paraId="5CFC5D03" w14:textId="77777777" w:rsidR="00F21005" w:rsidRPr="003878A7" w:rsidRDefault="00F21005" w:rsidP="00F16BEC">
            <w:pPr>
              <w:spacing w:before="0" w:after="0"/>
              <w:ind w:firstLine="0"/>
              <w:rPr>
                <w:rFonts w:eastAsiaTheme="minorHAnsi"/>
                <w:sz w:val="21"/>
                <w:szCs w:val="21"/>
                <w:lang w:val="lt-LT"/>
              </w:rPr>
            </w:pPr>
            <w:r w:rsidRPr="003878A7">
              <w:rPr>
                <w:rFonts w:eastAsiaTheme="minorHAnsi"/>
                <w:sz w:val="21"/>
                <w:szCs w:val="21"/>
                <w:lang w:val="lt-LT"/>
              </w:rPr>
              <w:t>ESCO kompanijos, įgyvendinamos projektą, privalo prisidėti savomis lėšomis;</w:t>
            </w:r>
          </w:p>
          <w:p w14:paraId="102BDED1" w14:textId="5FAC8E43" w:rsidR="00F21005" w:rsidRPr="003878A7" w:rsidRDefault="00F21005" w:rsidP="00F16BEC">
            <w:pPr>
              <w:spacing w:before="0" w:after="0"/>
              <w:ind w:firstLine="0"/>
              <w:rPr>
                <w:sz w:val="21"/>
                <w:szCs w:val="21"/>
                <w:lang w:val="lt-LT"/>
              </w:rPr>
            </w:pPr>
            <w:r w:rsidRPr="003878A7">
              <w:rPr>
                <w:sz w:val="21"/>
                <w:szCs w:val="21"/>
                <w:lang w:val="lt-LT"/>
              </w:rPr>
              <w:t>Grįžtančios lėšos iš paskolų reinvestuojamos į naujus projektus</w:t>
            </w:r>
          </w:p>
          <w:p w14:paraId="456E746A" w14:textId="526913F7" w:rsidR="00F21005" w:rsidRPr="003878A7" w:rsidRDefault="00F21005" w:rsidP="00F16BEC">
            <w:pPr>
              <w:spacing w:before="0" w:after="0"/>
              <w:ind w:firstLine="0"/>
              <w:rPr>
                <w:sz w:val="21"/>
                <w:szCs w:val="21"/>
                <w:lang w:val="lt-LT"/>
              </w:rPr>
            </w:pPr>
            <w:r w:rsidRPr="003878A7">
              <w:rPr>
                <w:sz w:val="21"/>
                <w:szCs w:val="21"/>
                <w:lang w:val="lt-LT"/>
              </w:rPr>
              <w:t>Lėšos už nupirktas paskolas reinvestuojamos į naujus projektus.</w:t>
            </w:r>
          </w:p>
        </w:tc>
      </w:tr>
      <w:tr w:rsidR="000C377E" w:rsidRPr="003878A7" w14:paraId="6A5B1B31" w14:textId="77777777" w:rsidTr="00F16BEC">
        <w:tc>
          <w:tcPr>
            <w:tcW w:w="3652" w:type="dxa"/>
          </w:tcPr>
          <w:p w14:paraId="515A3D03" w14:textId="0DC556E3" w:rsidR="000C377E" w:rsidRPr="003878A7" w:rsidRDefault="000C377E" w:rsidP="00F16BEC">
            <w:pPr>
              <w:spacing w:before="0" w:after="0"/>
              <w:ind w:firstLine="0"/>
              <w:rPr>
                <w:rFonts w:cs="Times New Roman"/>
                <w:sz w:val="21"/>
                <w:szCs w:val="21"/>
                <w:lang w:val="lt-LT"/>
              </w:rPr>
            </w:pPr>
            <w:r w:rsidRPr="003878A7">
              <w:rPr>
                <w:rFonts w:cs="Times New Roman"/>
                <w:sz w:val="21"/>
                <w:szCs w:val="21"/>
                <w:lang w:val="lt-LT"/>
              </w:rPr>
              <w:t>Derinimas su subsidijomis</w:t>
            </w:r>
          </w:p>
        </w:tc>
        <w:tc>
          <w:tcPr>
            <w:tcW w:w="6202" w:type="dxa"/>
          </w:tcPr>
          <w:p w14:paraId="1AA2A8E7" w14:textId="77777777" w:rsidR="000C377E" w:rsidRPr="003878A7" w:rsidRDefault="000C377E" w:rsidP="00F16BEC">
            <w:pPr>
              <w:spacing w:before="0" w:after="0"/>
              <w:ind w:firstLine="0"/>
              <w:rPr>
                <w:sz w:val="21"/>
                <w:szCs w:val="21"/>
                <w:lang w:val="lt-LT"/>
              </w:rPr>
            </w:pPr>
            <w:r w:rsidRPr="003878A7">
              <w:rPr>
                <w:sz w:val="21"/>
                <w:szCs w:val="21"/>
                <w:lang w:val="lt-LT"/>
              </w:rPr>
              <w:t>Atlikta viešųjų pastatų energijos efektyvumo projektų jautrumo analizė, kurioje buvo nustatyta, kad šių projektų atsipirkimo per 20 m. laikotarpį užtikrinimui yra reikalinga iki 20 % subsidija.</w:t>
            </w:r>
          </w:p>
          <w:p w14:paraId="0DE3770E" w14:textId="314A9CE6" w:rsidR="008359E9" w:rsidRPr="003878A7" w:rsidRDefault="008359E9" w:rsidP="00F16BEC">
            <w:pPr>
              <w:spacing w:before="0" w:after="0"/>
              <w:ind w:firstLine="0"/>
              <w:rPr>
                <w:sz w:val="21"/>
                <w:szCs w:val="21"/>
                <w:lang w:val="lt-LT"/>
              </w:rPr>
            </w:pPr>
            <w:r w:rsidRPr="003878A7">
              <w:rPr>
                <w:sz w:val="21"/>
                <w:szCs w:val="21"/>
                <w:lang w:val="lt-LT"/>
              </w:rPr>
              <w:t xml:space="preserve">Vadovaujantis ES SF fondų teisine baze, 20 proc. parama projektams galėtų būti teikiama arba kaip subsidija, arba kaip visuotinė dotacija (angl. </w:t>
            </w:r>
            <w:proofErr w:type="spellStart"/>
            <w:r w:rsidRPr="003878A7">
              <w:rPr>
                <w:i/>
                <w:iCs/>
                <w:sz w:val="21"/>
                <w:szCs w:val="21"/>
                <w:lang w:val="lt-LT"/>
              </w:rPr>
              <w:t>global</w:t>
            </w:r>
            <w:proofErr w:type="spellEnd"/>
            <w:r w:rsidRPr="003878A7">
              <w:rPr>
                <w:i/>
                <w:iCs/>
                <w:sz w:val="21"/>
                <w:szCs w:val="21"/>
                <w:lang w:val="lt-LT"/>
              </w:rPr>
              <w:t xml:space="preserve"> </w:t>
            </w:r>
            <w:proofErr w:type="spellStart"/>
            <w:r w:rsidRPr="003878A7">
              <w:rPr>
                <w:i/>
                <w:iCs/>
                <w:sz w:val="21"/>
                <w:szCs w:val="21"/>
                <w:lang w:val="lt-LT"/>
              </w:rPr>
              <w:t>grant</w:t>
            </w:r>
            <w:proofErr w:type="spellEnd"/>
            <w:r w:rsidRPr="003878A7">
              <w:rPr>
                <w:sz w:val="21"/>
                <w:szCs w:val="21"/>
                <w:lang w:val="lt-LT"/>
              </w:rPr>
              <w:t>). Atsiradus galimybei skirti papildomą subsidiją viešųjų pastatų modernizavimui iš kitų šaltinių (pvz. Klimato kaitos programos lėšų), siūloma išnaudoti tokią galimybę siekiant sutrumpinti projektų atsipirkimo laikotarpį ir motyvuoti pastatų valdytojus aktyviau atnaujinti viešuosius pastatus, tokiu būdu prisidedant prie energijos taupymo strateginių tikslų.</w:t>
            </w:r>
          </w:p>
        </w:tc>
      </w:tr>
    </w:tbl>
    <w:p w14:paraId="547360A2" w14:textId="35E1128F" w:rsidR="00F21005" w:rsidRPr="003878A7" w:rsidRDefault="00F21005" w:rsidP="00F21005">
      <w:pPr>
        <w:spacing w:after="0"/>
        <w:ind w:firstLine="0"/>
        <w:rPr>
          <w:rFonts w:cs="Times New Roman"/>
          <w:sz w:val="20"/>
          <w:szCs w:val="20"/>
        </w:rPr>
      </w:pPr>
      <w:r w:rsidRPr="003878A7">
        <w:rPr>
          <w:noProof/>
          <w:lang w:val="en-US"/>
        </w:rPr>
        <w:drawing>
          <wp:anchor distT="0" distB="0" distL="114300" distR="114300" simplePos="0" relativeHeight="251657216" behindDoc="0" locked="0" layoutInCell="1" allowOverlap="1" wp14:anchorId="414570AD" wp14:editId="3ABA6FC6">
            <wp:simplePos x="0" y="0"/>
            <wp:positionH relativeFrom="column">
              <wp:posOffset>-3810</wp:posOffset>
            </wp:positionH>
            <wp:positionV relativeFrom="paragraph">
              <wp:posOffset>310515</wp:posOffset>
            </wp:positionV>
            <wp:extent cx="5962650" cy="14573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2650" cy="1457325"/>
                    </a:xfrm>
                    <a:prstGeom prst="rect">
                      <a:avLst/>
                    </a:prstGeom>
                    <a:noFill/>
                    <a:ln>
                      <a:noFill/>
                    </a:ln>
                  </pic:spPr>
                </pic:pic>
              </a:graphicData>
            </a:graphic>
          </wp:anchor>
        </w:drawing>
      </w:r>
      <w:r w:rsidRPr="003878A7">
        <w:rPr>
          <w:rFonts w:cs="Times New Roman"/>
          <w:sz w:val="20"/>
          <w:szCs w:val="20"/>
        </w:rPr>
        <w:t>Šaltinis: sudaryta Vertintojų</w:t>
      </w:r>
    </w:p>
    <w:p w14:paraId="7494A337" w14:textId="6D96C7AC" w:rsidR="00950700" w:rsidRPr="003878A7" w:rsidRDefault="00F21005" w:rsidP="00F21005">
      <w:pPr>
        <w:ind w:firstLine="0"/>
        <w:rPr>
          <w:rFonts w:cs="Times New Roman"/>
          <w:i/>
          <w:iCs/>
        </w:rPr>
      </w:pPr>
      <w:r w:rsidRPr="003878A7">
        <w:rPr>
          <w:rFonts w:cs="Times New Roman"/>
          <w:i/>
          <w:iCs/>
        </w:rPr>
        <w:t>Paveikslas 1</w:t>
      </w:r>
      <w:r w:rsidRPr="003878A7">
        <w:t xml:space="preserve"> </w:t>
      </w:r>
      <w:r w:rsidRPr="003878A7">
        <w:rPr>
          <w:rFonts w:cs="Times New Roman"/>
          <w:i/>
          <w:iCs/>
        </w:rPr>
        <w:t>Siūloma centrinės valdžios pastatų renovacijos, naudojant finansines priemones, schema</w:t>
      </w:r>
    </w:p>
    <w:p w14:paraId="4C7704F3" w14:textId="4E46256F" w:rsidR="00F21005" w:rsidRPr="003878A7" w:rsidRDefault="00F21005" w:rsidP="00F21005">
      <w:pPr>
        <w:ind w:firstLine="0"/>
        <w:rPr>
          <w:rFonts w:cs="Times New Roman"/>
        </w:rPr>
      </w:pPr>
    </w:p>
    <w:p w14:paraId="2EA6809E" w14:textId="250510E7" w:rsidR="000C377E" w:rsidRPr="003878A7" w:rsidRDefault="000C377E" w:rsidP="000C377E">
      <w:pPr>
        <w:ind w:firstLine="0"/>
        <w:rPr>
          <w:rFonts w:cs="Times New Roman"/>
          <w:i/>
          <w:iCs/>
        </w:rPr>
      </w:pPr>
      <w:r w:rsidRPr="003878A7">
        <w:rPr>
          <w:rFonts w:cs="Times New Roman"/>
          <w:i/>
          <w:iCs/>
        </w:rPr>
        <w:t>Lentelė Nr. 1</w:t>
      </w:r>
      <w:r w:rsidR="006D7B19">
        <w:rPr>
          <w:rFonts w:cs="Times New Roman"/>
          <w:i/>
          <w:iCs/>
        </w:rPr>
        <w:t>8</w:t>
      </w:r>
      <w:r w:rsidRPr="003878A7">
        <w:rPr>
          <w:rFonts w:cs="Times New Roman"/>
          <w:i/>
          <w:iCs/>
        </w:rPr>
        <w:t>. Gatvių apšvietimo modernizavimui siūlomos taikyti FP sąlygos</w:t>
      </w:r>
    </w:p>
    <w:tbl>
      <w:tblPr>
        <w:tblStyle w:val="TableGrid"/>
        <w:tblW w:w="0" w:type="auto"/>
        <w:tblLook w:val="04A0" w:firstRow="1" w:lastRow="0" w:firstColumn="1" w:lastColumn="0" w:noHBand="0" w:noVBand="1"/>
      </w:tblPr>
      <w:tblGrid>
        <w:gridCol w:w="3652"/>
        <w:gridCol w:w="6202"/>
      </w:tblGrid>
      <w:tr w:rsidR="000C377E" w:rsidRPr="003878A7" w14:paraId="2FB9E2FA" w14:textId="77777777" w:rsidTr="00F16BEC">
        <w:tc>
          <w:tcPr>
            <w:tcW w:w="3652" w:type="dxa"/>
          </w:tcPr>
          <w:p w14:paraId="5DBEDFAF" w14:textId="77777777" w:rsidR="000C377E" w:rsidRPr="003878A7" w:rsidRDefault="000C377E" w:rsidP="00F16BEC">
            <w:pPr>
              <w:spacing w:before="0" w:after="0"/>
              <w:ind w:firstLine="0"/>
              <w:rPr>
                <w:rFonts w:cs="Times New Roman"/>
                <w:b/>
                <w:bCs/>
                <w:sz w:val="21"/>
                <w:szCs w:val="21"/>
                <w:lang w:val="lt-LT"/>
              </w:rPr>
            </w:pPr>
            <w:r w:rsidRPr="003878A7">
              <w:rPr>
                <w:rFonts w:cs="Times New Roman"/>
                <w:b/>
                <w:bCs/>
                <w:sz w:val="21"/>
                <w:szCs w:val="21"/>
                <w:lang w:val="lt-LT"/>
              </w:rPr>
              <w:t>FP sąlygos</w:t>
            </w:r>
          </w:p>
        </w:tc>
        <w:tc>
          <w:tcPr>
            <w:tcW w:w="6202" w:type="dxa"/>
          </w:tcPr>
          <w:p w14:paraId="7E9831C2" w14:textId="6A7A7002" w:rsidR="000C377E" w:rsidRPr="003878A7" w:rsidRDefault="000C377E" w:rsidP="00F16BEC">
            <w:pPr>
              <w:spacing w:before="0" w:after="0"/>
              <w:ind w:firstLine="0"/>
              <w:rPr>
                <w:rFonts w:cs="Times New Roman"/>
                <w:b/>
                <w:bCs/>
                <w:sz w:val="21"/>
                <w:szCs w:val="21"/>
                <w:lang w:val="lt-LT"/>
              </w:rPr>
            </w:pPr>
            <w:r w:rsidRPr="003878A7">
              <w:rPr>
                <w:rFonts w:cs="Times New Roman"/>
                <w:b/>
                <w:bCs/>
                <w:sz w:val="21"/>
                <w:szCs w:val="21"/>
                <w:lang w:val="lt-LT"/>
              </w:rPr>
              <w:t>Garantijų FP</w:t>
            </w:r>
          </w:p>
        </w:tc>
      </w:tr>
      <w:tr w:rsidR="000C377E" w:rsidRPr="003878A7" w14:paraId="7F5CBCCF" w14:textId="77777777" w:rsidTr="00F16BEC">
        <w:tc>
          <w:tcPr>
            <w:tcW w:w="3652" w:type="dxa"/>
          </w:tcPr>
          <w:p w14:paraId="09456245" w14:textId="77777777" w:rsidR="000C377E" w:rsidRPr="003878A7" w:rsidRDefault="000C377E" w:rsidP="00F16BEC">
            <w:pPr>
              <w:spacing w:before="0" w:after="0"/>
              <w:ind w:firstLine="0"/>
              <w:rPr>
                <w:rFonts w:cs="Times New Roman"/>
                <w:sz w:val="21"/>
                <w:szCs w:val="21"/>
                <w:lang w:val="lt-LT"/>
              </w:rPr>
            </w:pPr>
            <w:r w:rsidRPr="003878A7">
              <w:rPr>
                <w:rFonts w:cs="Times New Roman"/>
                <w:sz w:val="21"/>
                <w:szCs w:val="21"/>
                <w:lang w:val="lt-LT"/>
              </w:rPr>
              <w:t>GNG</w:t>
            </w:r>
          </w:p>
        </w:tc>
        <w:tc>
          <w:tcPr>
            <w:tcW w:w="6202" w:type="dxa"/>
          </w:tcPr>
          <w:p w14:paraId="45D7B58D" w14:textId="55226C73" w:rsidR="000C377E" w:rsidRPr="003878A7" w:rsidRDefault="000C377E" w:rsidP="00F16BEC">
            <w:pPr>
              <w:spacing w:before="0" w:after="0"/>
              <w:ind w:firstLine="0"/>
              <w:rPr>
                <w:rFonts w:cs="Times New Roman"/>
                <w:sz w:val="21"/>
                <w:szCs w:val="21"/>
                <w:lang w:val="lt-LT"/>
              </w:rPr>
            </w:pPr>
            <w:r w:rsidRPr="003878A7">
              <w:rPr>
                <w:rFonts w:cs="Times New Roman"/>
                <w:sz w:val="21"/>
                <w:szCs w:val="21"/>
                <w:lang w:val="lt-LT"/>
              </w:rPr>
              <w:t>Savivaldybės, kurioms per tarpininkus (pvz. ESCO) teikiamos FP</w:t>
            </w:r>
          </w:p>
        </w:tc>
      </w:tr>
      <w:tr w:rsidR="000C377E" w:rsidRPr="003878A7" w14:paraId="281489F1" w14:textId="77777777" w:rsidTr="00F16BEC">
        <w:tc>
          <w:tcPr>
            <w:tcW w:w="3652" w:type="dxa"/>
          </w:tcPr>
          <w:p w14:paraId="23C44231" w14:textId="77777777" w:rsidR="000C377E" w:rsidRPr="003878A7" w:rsidRDefault="000C377E" w:rsidP="00F16BEC">
            <w:pPr>
              <w:spacing w:before="0" w:after="0"/>
              <w:ind w:firstLine="0"/>
              <w:rPr>
                <w:rFonts w:cs="Times New Roman"/>
                <w:sz w:val="21"/>
                <w:szCs w:val="21"/>
                <w:lang w:val="lt-LT"/>
              </w:rPr>
            </w:pPr>
            <w:r w:rsidRPr="003878A7">
              <w:rPr>
                <w:rFonts w:cs="Times New Roman"/>
                <w:sz w:val="21"/>
                <w:szCs w:val="21"/>
                <w:lang w:val="lt-LT"/>
              </w:rPr>
              <w:t>Paskolos terminas</w:t>
            </w:r>
          </w:p>
        </w:tc>
        <w:tc>
          <w:tcPr>
            <w:tcW w:w="6202" w:type="dxa"/>
          </w:tcPr>
          <w:p w14:paraId="3B2C2858" w14:textId="39C9C6CD" w:rsidR="000C377E" w:rsidRPr="003878A7" w:rsidRDefault="000C377E" w:rsidP="00F16BEC">
            <w:pPr>
              <w:spacing w:before="0" w:after="0"/>
              <w:ind w:firstLine="0"/>
              <w:rPr>
                <w:rFonts w:cs="Times New Roman"/>
                <w:sz w:val="21"/>
                <w:szCs w:val="21"/>
                <w:lang w:val="lt-LT"/>
              </w:rPr>
            </w:pPr>
            <w:r w:rsidRPr="003878A7">
              <w:rPr>
                <w:rFonts w:cs="Times New Roman"/>
                <w:sz w:val="21"/>
                <w:szCs w:val="21"/>
                <w:lang w:val="lt-LT"/>
              </w:rPr>
              <w:t>Iki 20 m. (tačiau tikėtina, kad esant pinigų srautų išpirkimo galimybei, komerciniai bankai suteiks tik trumpo – vidutinio laikotarpio paskolas)</w:t>
            </w:r>
          </w:p>
        </w:tc>
      </w:tr>
      <w:tr w:rsidR="000C377E" w:rsidRPr="003878A7" w14:paraId="7D7540E3" w14:textId="77777777" w:rsidTr="00F16BEC">
        <w:tc>
          <w:tcPr>
            <w:tcW w:w="3652" w:type="dxa"/>
          </w:tcPr>
          <w:p w14:paraId="05BDB303" w14:textId="6B5C7FCC" w:rsidR="000C377E" w:rsidRPr="003878A7" w:rsidRDefault="000C377E" w:rsidP="00F16BEC">
            <w:pPr>
              <w:spacing w:before="0" w:after="0"/>
              <w:ind w:firstLine="0"/>
              <w:rPr>
                <w:rFonts w:cs="Times New Roman"/>
                <w:sz w:val="21"/>
                <w:szCs w:val="21"/>
                <w:lang w:val="lt-LT"/>
              </w:rPr>
            </w:pPr>
            <w:r w:rsidRPr="003878A7">
              <w:rPr>
                <w:rFonts w:cs="Times New Roman"/>
                <w:sz w:val="21"/>
                <w:szCs w:val="21"/>
                <w:lang w:val="lt-LT"/>
              </w:rPr>
              <w:t>Garantijos dydis</w:t>
            </w:r>
          </w:p>
        </w:tc>
        <w:tc>
          <w:tcPr>
            <w:tcW w:w="6202" w:type="dxa"/>
          </w:tcPr>
          <w:p w14:paraId="598925A0" w14:textId="6BF69D7C" w:rsidR="000C377E" w:rsidRPr="003878A7" w:rsidRDefault="000C377E" w:rsidP="00F16BEC">
            <w:pPr>
              <w:spacing w:before="0" w:after="0"/>
              <w:ind w:firstLine="0"/>
              <w:rPr>
                <w:rFonts w:cs="Times New Roman"/>
                <w:sz w:val="21"/>
                <w:szCs w:val="21"/>
                <w:lang w:val="lt-LT"/>
              </w:rPr>
            </w:pPr>
            <w:r w:rsidRPr="003878A7">
              <w:rPr>
                <w:rFonts w:cs="Times New Roman"/>
                <w:sz w:val="21"/>
                <w:szCs w:val="21"/>
                <w:lang w:val="lt-LT"/>
              </w:rPr>
              <w:t>Iki 80 % paskolos sumos</w:t>
            </w:r>
          </w:p>
        </w:tc>
      </w:tr>
      <w:tr w:rsidR="000C377E" w:rsidRPr="003878A7" w14:paraId="37CDE75A" w14:textId="77777777" w:rsidTr="00F16BEC">
        <w:tc>
          <w:tcPr>
            <w:tcW w:w="3652" w:type="dxa"/>
          </w:tcPr>
          <w:p w14:paraId="36FCB173" w14:textId="522345D8" w:rsidR="000C377E" w:rsidRPr="003878A7" w:rsidRDefault="000C377E" w:rsidP="00F16BEC">
            <w:pPr>
              <w:spacing w:before="0" w:after="0"/>
              <w:ind w:firstLine="0"/>
              <w:rPr>
                <w:rFonts w:cs="Times New Roman"/>
                <w:sz w:val="21"/>
                <w:szCs w:val="21"/>
                <w:lang w:val="lt-LT"/>
              </w:rPr>
            </w:pPr>
            <w:r w:rsidRPr="003878A7">
              <w:rPr>
                <w:rFonts w:cs="Times New Roman"/>
                <w:sz w:val="21"/>
                <w:szCs w:val="21"/>
                <w:lang w:val="lt-LT"/>
              </w:rPr>
              <w:t>Garantijų tipas</w:t>
            </w:r>
          </w:p>
        </w:tc>
        <w:tc>
          <w:tcPr>
            <w:tcW w:w="6202" w:type="dxa"/>
          </w:tcPr>
          <w:p w14:paraId="17306CE2" w14:textId="204820BE" w:rsidR="000C377E" w:rsidRPr="003878A7" w:rsidRDefault="000C377E" w:rsidP="00F16BEC">
            <w:pPr>
              <w:spacing w:before="0" w:after="0"/>
              <w:ind w:firstLine="0"/>
              <w:rPr>
                <w:rFonts w:cs="Times New Roman"/>
                <w:sz w:val="21"/>
                <w:szCs w:val="21"/>
                <w:lang w:val="lt-LT"/>
              </w:rPr>
            </w:pPr>
            <w:r w:rsidRPr="003878A7">
              <w:rPr>
                <w:rFonts w:eastAsiaTheme="minorHAnsi"/>
                <w:sz w:val="21"/>
                <w:szCs w:val="21"/>
                <w:lang w:val="lt-LT"/>
              </w:rPr>
              <w:t>Portfelinė arba individuali</w:t>
            </w:r>
          </w:p>
        </w:tc>
      </w:tr>
      <w:tr w:rsidR="000C377E" w:rsidRPr="003878A7" w14:paraId="47EEC0E2" w14:textId="77777777" w:rsidTr="00F16BEC">
        <w:tc>
          <w:tcPr>
            <w:tcW w:w="3652" w:type="dxa"/>
          </w:tcPr>
          <w:p w14:paraId="51F3EB76" w14:textId="77777777" w:rsidR="000C377E" w:rsidRPr="003878A7" w:rsidRDefault="000C377E" w:rsidP="00F16BEC">
            <w:pPr>
              <w:spacing w:before="0" w:after="0"/>
              <w:ind w:firstLine="0"/>
              <w:rPr>
                <w:rFonts w:cs="Times New Roman"/>
                <w:sz w:val="21"/>
                <w:szCs w:val="21"/>
                <w:lang w:val="lt-LT"/>
              </w:rPr>
            </w:pPr>
            <w:r w:rsidRPr="003878A7">
              <w:rPr>
                <w:rFonts w:cs="Times New Roman"/>
                <w:sz w:val="21"/>
                <w:szCs w:val="21"/>
                <w:lang w:val="lt-LT"/>
              </w:rPr>
              <w:t>Kitos nuostatos</w:t>
            </w:r>
          </w:p>
        </w:tc>
        <w:tc>
          <w:tcPr>
            <w:tcW w:w="6202" w:type="dxa"/>
          </w:tcPr>
          <w:p w14:paraId="5C65C977" w14:textId="77777777" w:rsidR="000C377E" w:rsidRPr="003878A7" w:rsidRDefault="000C377E" w:rsidP="00F16BEC">
            <w:pPr>
              <w:spacing w:before="0" w:after="0"/>
              <w:ind w:firstLine="0"/>
              <w:rPr>
                <w:sz w:val="21"/>
                <w:szCs w:val="21"/>
                <w:lang w:val="lt-LT"/>
              </w:rPr>
            </w:pPr>
            <w:r w:rsidRPr="003878A7">
              <w:rPr>
                <w:sz w:val="21"/>
                <w:szCs w:val="21"/>
                <w:lang w:val="lt-LT"/>
              </w:rPr>
              <w:t>Lėšos už nupirktas paskolas reinvestuojamos į naujus projektus.</w:t>
            </w:r>
          </w:p>
        </w:tc>
      </w:tr>
      <w:tr w:rsidR="000C377E" w:rsidRPr="003878A7" w14:paraId="4CB63D0F" w14:textId="77777777" w:rsidTr="00F16BEC">
        <w:tc>
          <w:tcPr>
            <w:tcW w:w="3652" w:type="dxa"/>
          </w:tcPr>
          <w:p w14:paraId="5EF98ABB" w14:textId="7E0C5C67" w:rsidR="000C377E" w:rsidRPr="003878A7" w:rsidRDefault="000C377E" w:rsidP="00F16BEC">
            <w:pPr>
              <w:spacing w:before="0" w:after="0"/>
              <w:ind w:firstLine="0"/>
              <w:rPr>
                <w:rFonts w:cs="Times New Roman"/>
                <w:sz w:val="21"/>
                <w:szCs w:val="21"/>
                <w:lang w:val="lt-LT"/>
              </w:rPr>
            </w:pPr>
            <w:r w:rsidRPr="003878A7">
              <w:rPr>
                <w:rFonts w:cs="Times New Roman"/>
                <w:sz w:val="21"/>
                <w:szCs w:val="21"/>
                <w:lang w:val="lt-LT"/>
              </w:rPr>
              <w:t>Derinimas su subsidijomis</w:t>
            </w:r>
          </w:p>
        </w:tc>
        <w:tc>
          <w:tcPr>
            <w:tcW w:w="6202" w:type="dxa"/>
          </w:tcPr>
          <w:p w14:paraId="264C005A" w14:textId="2C89EF5B" w:rsidR="000C377E" w:rsidRPr="003878A7" w:rsidRDefault="000C377E" w:rsidP="00F16BEC">
            <w:pPr>
              <w:spacing w:before="0" w:after="0"/>
              <w:ind w:firstLine="0"/>
              <w:rPr>
                <w:sz w:val="21"/>
                <w:szCs w:val="21"/>
                <w:lang w:val="lt-LT"/>
              </w:rPr>
            </w:pPr>
            <w:r w:rsidRPr="003878A7">
              <w:rPr>
                <w:sz w:val="21"/>
                <w:szCs w:val="21"/>
                <w:lang w:val="lt-LT"/>
              </w:rPr>
              <w:t>Jautrumo analizės metu buvo nustatyta, kad gatvių apšvietimo projektų finansinis gyvybingumas ir atsiperkamumas yra pakankami, todėl gatvių apšvietimo finansavimui siūloma subsidijos neteikti.</w:t>
            </w:r>
          </w:p>
        </w:tc>
      </w:tr>
    </w:tbl>
    <w:p w14:paraId="7416ED9C" w14:textId="75AF2845" w:rsidR="000C377E" w:rsidRPr="003878A7" w:rsidRDefault="000C377E" w:rsidP="00F21005">
      <w:pPr>
        <w:ind w:firstLine="0"/>
        <w:rPr>
          <w:rFonts w:cs="Times New Roman"/>
        </w:rPr>
      </w:pPr>
      <w:r w:rsidRPr="003878A7">
        <w:rPr>
          <w:rFonts w:cs="Times New Roman"/>
          <w:sz w:val="20"/>
          <w:szCs w:val="20"/>
        </w:rPr>
        <w:t>Šaltinis: sudaryta Vertintojų</w:t>
      </w:r>
    </w:p>
    <w:p w14:paraId="37F4EDD6" w14:textId="4A5503D5" w:rsidR="000C377E" w:rsidRPr="003878A7" w:rsidRDefault="000C377E" w:rsidP="00F21005">
      <w:pPr>
        <w:ind w:firstLine="0"/>
        <w:rPr>
          <w:rFonts w:cs="Times New Roman"/>
        </w:rPr>
      </w:pPr>
    </w:p>
    <w:p w14:paraId="3A80DB18" w14:textId="367E8112" w:rsidR="000C377E" w:rsidRPr="003878A7" w:rsidRDefault="000C377E" w:rsidP="00F21005">
      <w:pPr>
        <w:ind w:firstLine="0"/>
        <w:rPr>
          <w:rFonts w:cs="Times New Roman"/>
        </w:rPr>
      </w:pPr>
      <w:r w:rsidRPr="003878A7">
        <w:rPr>
          <w:rFonts w:cs="Times New Roman"/>
          <w:noProof/>
          <w:lang w:val="en-US"/>
        </w:rPr>
        <w:lastRenderedPageBreak/>
        <w:drawing>
          <wp:inline distT="0" distB="0" distL="0" distR="0" wp14:anchorId="176C95CE" wp14:editId="6DB79290">
            <wp:extent cx="5838825" cy="2257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38825" cy="2257425"/>
                    </a:xfrm>
                    <a:prstGeom prst="rect">
                      <a:avLst/>
                    </a:prstGeom>
                    <a:noFill/>
                    <a:ln>
                      <a:noFill/>
                    </a:ln>
                  </pic:spPr>
                </pic:pic>
              </a:graphicData>
            </a:graphic>
          </wp:inline>
        </w:drawing>
      </w:r>
    </w:p>
    <w:p w14:paraId="07814C40" w14:textId="0B9B989D" w:rsidR="000C377E" w:rsidRPr="003878A7" w:rsidRDefault="000C377E" w:rsidP="000C377E">
      <w:pPr>
        <w:ind w:firstLine="0"/>
        <w:rPr>
          <w:rFonts w:cs="Times New Roman"/>
          <w:i/>
          <w:iCs/>
        </w:rPr>
      </w:pPr>
      <w:r w:rsidRPr="003878A7">
        <w:rPr>
          <w:rFonts w:cs="Times New Roman"/>
          <w:i/>
          <w:iCs/>
        </w:rPr>
        <w:t>Paveikslas 2</w:t>
      </w:r>
      <w:r w:rsidRPr="003878A7">
        <w:t xml:space="preserve"> </w:t>
      </w:r>
      <w:r w:rsidRPr="003878A7">
        <w:rPr>
          <w:rFonts w:cs="Times New Roman"/>
          <w:i/>
          <w:iCs/>
        </w:rPr>
        <w:t>Siūloma gatvių apšvietimo atnaujinimo, naudojant finansines priemones, schema</w:t>
      </w:r>
    </w:p>
    <w:p w14:paraId="0AD92B69" w14:textId="713675D5" w:rsidR="008359E9" w:rsidRPr="003878A7" w:rsidRDefault="008359E9" w:rsidP="008359E9">
      <w:pPr>
        <w:rPr>
          <w:rFonts w:cs="Times New Roman"/>
        </w:rPr>
      </w:pPr>
      <w:r w:rsidRPr="003878A7">
        <w:rPr>
          <w:rFonts w:cs="Times New Roman"/>
        </w:rPr>
        <w:t xml:space="preserve">Efektyviam FP įgyvendinimui siūloma steigti vieną fondą viešųjų pastatų ir gatvių apšvietimo modernizavimui, taip užtikrinant administracinės naštos mažinimą, mažesnį procedūrų kiekį, greitesnį lėšų skirstymą tarp sričių. </w:t>
      </w:r>
    </w:p>
    <w:p w14:paraId="04351306" w14:textId="51A605A5" w:rsidR="00033F6C" w:rsidRPr="003878A7" w:rsidRDefault="00033F6C" w:rsidP="00033F6C">
      <w:pPr>
        <w:pStyle w:val="Heading2"/>
        <w:numPr>
          <w:ilvl w:val="1"/>
          <w:numId w:val="19"/>
        </w:numPr>
      </w:pPr>
      <w:bookmarkStart w:id="51" w:name="_Toc70532885"/>
      <w:r w:rsidRPr="003878A7">
        <w:t>Savivaldybės viešųjų pastatų modernizavimo investavimo strategija</w:t>
      </w:r>
      <w:bookmarkEnd w:id="51"/>
      <w:r w:rsidRPr="003878A7">
        <w:cr/>
      </w:r>
    </w:p>
    <w:p w14:paraId="1BBAC058" w14:textId="5BE1FE4D" w:rsidR="00033F6C" w:rsidRPr="003878A7" w:rsidRDefault="00033F6C" w:rsidP="00033F6C">
      <w:r w:rsidRPr="003878A7">
        <w:t>AM, siekdama skatinti energijos efektyvumo didinimą savivaldybių viešuosiuose pastatuose, turi prisidėti prie 2014-2020 m. VP 4.3 investicinio prioriteto numatytų veiklų įgyvendinimo bei rodiklių pasiekimo. Savivaldybių viešųjų pastatų modernizavimo investavimo strategija plėtojama taip, kad optimaliai būtų įgyvendinti privalomi pasiekti tikslai ir rodikliai atsižvelgiant į šiuo metu esančią pastatų būklę.</w:t>
      </w:r>
    </w:p>
    <w:p w14:paraId="16E15E92" w14:textId="1CCBD85B" w:rsidR="00033F6C" w:rsidRPr="003878A7" w:rsidRDefault="00033F6C" w:rsidP="00033F6C">
      <w:pPr>
        <w:rPr>
          <w:rFonts w:cs="Times New Roman"/>
        </w:rPr>
      </w:pPr>
      <w:r w:rsidRPr="003878A7">
        <w:rPr>
          <w:rFonts w:cs="Times New Roman"/>
        </w:rPr>
        <w:t xml:space="preserve">Siekiant įvertinti skirtingų FP pritaikomumą buvo atlikta FP taikymo scenarijų analizė (žr. priede 5). Atsižvelgiant į analizės duomenis ir kitus kokybinius ir kiekybinius rodiklius kaip nustatyta </w:t>
      </w:r>
      <w:r w:rsidR="009B2AF3" w:rsidRPr="003878A7">
        <w:rPr>
          <w:rFonts w:cs="Times New Roman"/>
        </w:rPr>
        <w:t>3</w:t>
      </w:r>
      <w:r w:rsidRPr="003878A7">
        <w:rPr>
          <w:rFonts w:cs="Times New Roman"/>
        </w:rPr>
        <w:t xml:space="preserve"> dalyje buvo nustatyta, kad savivaldybės pastatų modernizavimo projektams, kaip ir centrinės valdžios pastatų, įgyvendinti siūloma taikyti paskolų FP su galimybe pritraukti lėšas investicinio fondo lygyje. Įvertinus du scenarijus – paskolų FP + investicinis fondas ir paskolų FP + rizikos pasidalijimo fondas –</w:t>
      </w:r>
      <w:r w:rsidR="009B2AF3" w:rsidRPr="003878A7">
        <w:rPr>
          <w:rFonts w:cs="Times New Roman"/>
        </w:rPr>
        <w:t xml:space="preserve"> </w:t>
      </w:r>
      <w:r w:rsidRPr="003878A7">
        <w:rPr>
          <w:rFonts w:cs="Times New Roman"/>
        </w:rPr>
        <w:t>rekomenduojama ministerijoms pačioms nuspręsti kurį scenarijų pasirinkti. Visgi, siūloma atsižvelgti į tai, kuris fondas (investicinis ar rizikos pasidalijimo) pradės veikti anksčiau, kaip ir kad ministerijos ar FF (arba FP) valdytojas gali pasiūlyti alternatyvų lėšų pritraukimo būdą.</w:t>
      </w:r>
    </w:p>
    <w:p w14:paraId="33CC6E2F" w14:textId="77777777" w:rsidR="00033F6C" w:rsidRPr="003878A7" w:rsidRDefault="00033F6C" w:rsidP="00033F6C">
      <w:pPr>
        <w:rPr>
          <w:rFonts w:cs="Times New Roman"/>
        </w:rPr>
      </w:pPr>
      <w:r w:rsidRPr="003878A7">
        <w:rPr>
          <w:rFonts w:cs="Times New Roman"/>
        </w:rPr>
        <w:t xml:space="preserve">Atsižvelgiant į alternatyvų analizę apačioje yra pateikiamos siūlomų FP sąlygos. </w:t>
      </w:r>
    </w:p>
    <w:p w14:paraId="44ABD4B2" w14:textId="428E69A9" w:rsidR="00033F6C" w:rsidRPr="003878A7" w:rsidRDefault="00033F6C" w:rsidP="00033F6C">
      <w:pPr>
        <w:ind w:firstLine="0"/>
        <w:rPr>
          <w:rFonts w:cs="Times New Roman"/>
          <w:i/>
          <w:iCs/>
        </w:rPr>
      </w:pPr>
      <w:r w:rsidRPr="003878A7">
        <w:rPr>
          <w:rFonts w:cs="Times New Roman"/>
          <w:i/>
          <w:iCs/>
        </w:rPr>
        <w:t>Lentelė Nr. 1</w:t>
      </w:r>
      <w:r w:rsidR="006D7B19">
        <w:rPr>
          <w:rFonts w:cs="Times New Roman"/>
          <w:i/>
          <w:iCs/>
        </w:rPr>
        <w:t>9</w:t>
      </w:r>
      <w:r w:rsidRPr="003878A7">
        <w:rPr>
          <w:rFonts w:cs="Times New Roman"/>
          <w:i/>
          <w:iCs/>
        </w:rPr>
        <w:t>. Centrinės valdžios viešųjų pastatų modernizavimui siūlomos taikyti FP sąlygos</w:t>
      </w:r>
    </w:p>
    <w:tbl>
      <w:tblPr>
        <w:tblStyle w:val="TableGrid"/>
        <w:tblW w:w="0" w:type="auto"/>
        <w:tblLook w:val="04A0" w:firstRow="1" w:lastRow="0" w:firstColumn="1" w:lastColumn="0" w:noHBand="0" w:noVBand="1"/>
      </w:tblPr>
      <w:tblGrid>
        <w:gridCol w:w="3652"/>
        <w:gridCol w:w="6202"/>
      </w:tblGrid>
      <w:tr w:rsidR="00033F6C" w:rsidRPr="003878A7" w14:paraId="45AF5157" w14:textId="77777777" w:rsidTr="00196EA6">
        <w:tc>
          <w:tcPr>
            <w:tcW w:w="3652" w:type="dxa"/>
          </w:tcPr>
          <w:p w14:paraId="0F0B7F6B" w14:textId="77777777" w:rsidR="00033F6C" w:rsidRPr="003878A7" w:rsidRDefault="00033F6C" w:rsidP="00196EA6">
            <w:pPr>
              <w:spacing w:before="0" w:after="0"/>
              <w:ind w:firstLine="0"/>
              <w:rPr>
                <w:rFonts w:cs="Times New Roman"/>
                <w:b/>
                <w:bCs/>
                <w:sz w:val="21"/>
                <w:szCs w:val="21"/>
                <w:lang w:val="lt-LT"/>
              </w:rPr>
            </w:pPr>
            <w:r w:rsidRPr="003878A7">
              <w:rPr>
                <w:rFonts w:cs="Times New Roman"/>
                <w:b/>
                <w:bCs/>
                <w:sz w:val="21"/>
                <w:szCs w:val="21"/>
                <w:lang w:val="lt-LT"/>
              </w:rPr>
              <w:t>FP sąlygos</w:t>
            </w:r>
          </w:p>
        </w:tc>
        <w:tc>
          <w:tcPr>
            <w:tcW w:w="6202" w:type="dxa"/>
          </w:tcPr>
          <w:p w14:paraId="4723DBAD" w14:textId="77777777" w:rsidR="00033F6C" w:rsidRPr="003878A7" w:rsidRDefault="00033F6C" w:rsidP="00196EA6">
            <w:pPr>
              <w:spacing w:before="0" w:after="0"/>
              <w:ind w:firstLine="0"/>
              <w:rPr>
                <w:rFonts w:cs="Times New Roman"/>
                <w:b/>
                <w:bCs/>
                <w:sz w:val="21"/>
                <w:szCs w:val="21"/>
                <w:lang w:val="lt-LT"/>
              </w:rPr>
            </w:pPr>
            <w:r w:rsidRPr="003878A7">
              <w:rPr>
                <w:rFonts w:cs="Times New Roman"/>
                <w:b/>
                <w:bCs/>
                <w:sz w:val="21"/>
                <w:szCs w:val="21"/>
                <w:lang w:val="lt-LT"/>
              </w:rPr>
              <w:t>Lengvatinių paskolų FP</w:t>
            </w:r>
          </w:p>
        </w:tc>
      </w:tr>
      <w:tr w:rsidR="00033F6C" w:rsidRPr="003878A7" w14:paraId="4E513C5A" w14:textId="77777777" w:rsidTr="00196EA6">
        <w:tc>
          <w:tcPr>
            <w:tcW w:w="3652" w:type="dxa"/>
          </w:tcPr>
          <w:p w14:paraId="71D05A1C" w14:textId="77777777" w:rsidR="00033F6C" w:rsidRPr="003878A7" w:rsidRDefault="00033F6C" w:rsidP="00196EA6">
            <w:pPr>
              <w:spacing w:before="0" w:after="0"/>
              <w:ind w:firstLine="0"/>
              <w:rPr>
                <w:rFonts w:cs="Times New Roman"/>
                <w:sz w:val="21"/>
                <w:szCs w:val="21"/>
                <w:lang w:val="lt-LT"/>
              </w:rPr>
            </w:pPr>
            <w:r w:rsidRPr="003878A7">
              <w:rPr>
                <w:rFonts w:cs="Times New Roman"/>
                <w:sz w:val="21"/>
                <w:szCs w:val="21"/>
                <w:lang w:val="lt-LT"/>
              </w:rPr>
              <w:t>GNG</w:t>
            </w:r>
          </w:p>
        </w:tc>
        <w:tc>
          <w:tcPr>
            <w:tcW w:w="6202" w:type="dxa"/>
          </w:tcPr>
          <w:p w14:paraId="460F3DEE" w14:textId="77777777" w:rsidR="00033F6C" w:rsidRPr="003878A7" w:rsidRDefault="00033F6C" w:rsidP="00196EA6">
            <w:pPr>
              <w:spacing w:before="0" w:after="0"/>
              <w:ind w:firstLine="0"/>
              <w:rPr>
                <w:sz w:val="20"/>
                <w:szCs w:val="20"/>
                <w:lang w:val="lt-LT"/>
              </w:rPr>
            </w:pPr>
            <w:r w:rsidRPr="003878A7">
              <w:rPr>
                <w:sz w:val="20"/>
                <w:szCs w:val="20"/>
                <w:lang w:val="lt-LT"/>
              </w:rPr>
              <w:t>Galimos projekto įgyvendinimo grupės:</w:t>
            </w:r>
          </w:p>
          <w:p w14:paraId="4516C8EC" w14:textId="1626F0BC" w:rsidR="00033F6C" w:rsidRPr="003878A7" w:rsidRDefault="00033F6C" w:rsidP="009B2AF3">
            <w:pPr>
              <w:pStyle w:val="ListParagraph"/>
              <w:numPr>
                <w:ilvl w:val="0"/>
                <w:numId w:val="27"/>
              </w:numPr>
              <w:spacing w:before="0" w:after="0"/>
              <w:ind w:left="461"/>
              <w:rPr>
                <w:rFonts w:cs="Times New Roman"/>
                <w:sz w:val="21"/>
                <w:szCs w:val="21"/>
                <w:lang w:val="lt-LT"/>
              </w:rPr>
            </w:pPr>
            <w:r w:rsidRPr="003878A7">
              <w:rPr>
                <w:rFonts w:cs="Times New Roman"/>
                <w:sz w:val="21"/>
                <w:szCs w:val="21"/>
                <w:lang w:val="lt-LT"/>
              </w:rPr>
              <w:t>Administratorius, t. y. įmonė, kuri vykdo savivaldybės paskirtojo administratoriaus funkciją</w:t>
            </w:r>
          </w:p>
          <w:p w14:paraId="36BA19C1" w14:textId="77777777" w:rsidR="00033F6C" w:rsidRPr="003878A7" w:rsidRDefault="00033F6C" w:rsidP="009B2AF3">
            <w:pPr>
              <w:pStyle w:val="ListParagraph"/>
              <w:numPr>
                <w:ilvl w:val="0"/>
                <w:numId w:val="27"/>
              </w:numPr>
              <w:spacing w:before="0" w:after="0"/>
              <w:ind w:left="461"/>
              <w:rPr>
                <w:rFonts w:cs="Times New Roman"/>
                <w:sz w:val="21"/>
                <w:szCs w:val="21"/>
                <w:lang w:val="lt-LT"/>
              </w:rPr>
            </w:pPr>
            <w:r w:rsidRPr="003878A7">
              <w:rPr>
                <w:rFonts w:cs="Times New Roman"/>
                <w:sz w:val="21"/>
                <w:szCs w:val="21"/>
                <w:lang w:val="lt-LT"/>
              </w:rPr>
              <w:t>Semi-ESCO, t. y. paraiškas finansavimui teikia ir projektus įgyvendina savivaldybės paskirtas administratorius</w:t>
            </w:r>
          </w:p>
          <w:p w14:paraId="5BCB0C59" w14:textId="2979B218" w:rsidR="00033F6C" w:rsidRPr="003878A7" w:rsidRDefault="00033F6C" w:rsidP="009B2AF3">
            <w:pPr>
              <w:pStyle w:val="ListParagraph"/>
              <w:numPr>
                <w:ilvl w:val="0"/>
                <w:numId w:val="27"/>
              </w:numPr>
              <w:spacing w:before="0" w:after="0"/>
              <w:ind w:left="461"/>
              <w:rPr>
                <w:rFonts w:cs="Times New Roman"/>
                <w:sz w:val="21"/>
                <w:szCs w:val="21"/>
                <w:lang w:val="lt-LT"/>
              </w:rPr>
            </w:pPr>
            <w:r w:rsidRPr="003878A7">
              <w:rPr>
                <w:rFonts w:cs="Times New Roman"/>
                <w:sz w:val="21"/>
                <w:szCs w:val="21"/>
                <w:lang w:val="lt-LT"/>
              </w:rPr>
              <w:t>ESCO įmonės, t. y. paraiškas finansavimui teikia ir projektus įgyvendina viešųjų pirkimų būdu parinktos privačios ESCO įmonės</w:t>
            </w:r>
          </w:p>
          <w:p w14:paraId="611DC667" w14:textId="15C8251A" w:rsidR="00033F6C" w:rsidRPr="003878A7" w:rsidRDefault="00033F6C" w:rsidP="00033F6C">
            <w:pPr>
              <w:spacing w:before="0" w:after="0"/>
              <w:ind w:firstLine="0"/>
              <w:rPr>
                <w:rFonts w:cs="Times New Roman"/>
                <w:sz w:val="21"/>
                <w:szCs w:val="21"/>
                <w:lang w:val="lt-LT"/>
              </w:rPr>
            </w:pPr>
            <w:r w:rsidRPr="003878A7">
              <w:rPr>
                <w:rFonts w:cs="Times New Roman"/>
                <w:sz w:val="21"/>
                <w:szCs w:val="21"/>
                <w:lang w:val="lt-LT"/>
              </w:rPr>
              <w:t>Nepriklausomai nuo to, kas bus projekto vykdytojas, galutinė projekto nauda ir rezultatai didžiąja dalimi atitenka savivaldybėms</w:t>
            </w:r>
          </w:p>
        </w:tc>
      </w:tr>
      <w:tr w:rsidR="00033F6C" w:rsidRPr="003878A7" w14:paraId="549A2DAD" w14:textId="77777777" w:rsidTr="00196EA6">
        <w:tc>
          <w:tcPr>
            <w:tcW w:w="3652" w:type="dxa"/>
          </w:tcPr>
          <w:p w14:paraId="1D8527DB" w14:textId="77777777" w:rsidR="00033F6C" w:rsidRPr="003878A7" w:rsidRDefault="00033F6C" w:rsidP="00196EA6">
            <w:pPr>
              <w:spacing w:before="0" w:after="0"/>
              <w:ind w:firstLine="0"/>
              <w:rPr>
                <w:rFonts w:cs="Times New Roman"/>
                <w:sz w:val="21"/>
                <w:szCs w:val="21"/>
                <w:lang w:val="lt-LT"/>
              </w:rPr>
            </w:pPr>
            <w:r w:rsidRPr="003878A7">
              <w:rPr>
                <w:rFonts w:cs="Times New Roman"/>
                <w:sz w:val="21"/>
                <w:szCs w:val="21"/>
                <w:lang w:val="lt-LT"/>
              </w:rPr>
              <w:t>Paskolos terminas</w:t>
            </w:r>
          </w:p>
        </w:tc>
        <w:tc>
          <w:tcPr>
            <w:tcW w:w="6202" w:type="dxa"/>
          </w:tcPr>
          <w:p w14:paraId="1856CA43" w14:textId="09C2A8B8" w:rsidR="00033F6C" w:rsidRPr="003878A7" w:rsidRDefault="00CB1F98" w:rsidP="00196EA6">
            <w:pPr>
              <w:spacing w:before="0" w:after="0"/>
              <w:ind w:firstLine="0"/>
              <w:rPr>
                <w:rFonts w:cs="Times New Roman"/>
                <w:sz w:val="21"/>
                <w:szCs w:val="21"/>
                <w:lang w:val="lt-LT"/>
              </w:rPr>
            </w:pPr>
            <w:r w:rsidRPr="003878A7">
              <w:rPr>
                <w:rFonts w:cs="Times New Roman"/>
                <w:sz w:val="21"/>
                <w:szCs w:val="21"/>
                <w:lang w:val="lt-LT"/>
              </w:rPr>
              <w:t>Iki 20 m.</w:t>
            </w:r>
          </w:p>
        </w:tc>
      </w:tr>
      <w:tr w:rsidR="00CB1F98" w:rsidRPr="003878A7" w14:paraId="4D741832" w14:textId="77777777" w:rsidTr="00196EA6">
        <w:tc>
          <w:tcPr>
            <w:tcW w:w="3652" w:type="dxa"/>
          </w:tcPr>
          <w:p w14:paraId="39D72EAC" w14:textId="77777777" w:rsidR="00CB1F98" w:rsidRPr="003878A7" w:rsidRDefault="00CB1F98" w:rsidP="00CB1F98">
            <w:pPr>
              <w:spacing w:before="0" w:after="0"/>
              <w:ind w:firstLine="0"/>
              <w:rPr>
                <w:rFonts w:cs="Times New Roman"/>
                <w:sz w:val="21"/>
                <w:szCs w:val="21"/>
                <w:lang w:val="lt-LT"/>
              </w:rPr>
            </w:pPr>
            <w:r w:rsidRPr="003878A7">
              <w:rPr>
                <w:rFonts w:cs="Times New Roman"/>
                <w:sz w:val="21"/>
                <w:szCs w:val="21"/>
                <w:lang w:val="lt-LT"/>
              </w:rPr>
              <w:t>Palūkanų norma</w:t>
            </w:r>
          </w:p>
        </w:tc>
        <w:tc>
          <w:tcPr>
            <w:tcW w:w="6202" w:type="dxa"/>
          </w:tcPr>
          <w:p w14:paraId="0F265ABF" w14:textId="7DDB5309" w:rsidR="00CB1F98" w:rsidRPr="003878A7" w:rsidRDefault="00CB1F98" w:rsidP="00CB1F98">
            <w:pPr>
              <w:spacing w:before="0" w:after="0"/>
              <w:ind w:firstLine="0"/>
              <w:rPr>
                <w:rFonts w:cs="Times New Roman"/>
                <w:sz w:val="21"/>
                <w:szCs w:val="21"/>
                <w:lang w:val="lt-LT"/>
              </w:rPr>
            </w:pPr>
            <w:r w:rsidRPr="003878A7">
              <w:rPr>
                <w:rFonts w:eastAsiaTheme="minorHAnsi"/>
                <w:sz w:val="21"/>
                <w:szCs w:val="21"/>
                <w:lang w:val="lt-LT"/>
              </w:rPr>
              <w:t>2% + 6 mėn. EURIBOR (bet ne mažiau kaip 0%). FP (ar FF) valdytojas gali pasiūlyti fiksuoti palūkanų normą (palūkanų fiksavimas būtų paremtas rinkos sąlygomis prieinamais instrumentais). Išnaudojus ES SF lėšas papildomai gali būti taikomi papildomi finansavimo mokesčiai (susiję su papildomo finansavimo pritraukimu);</w:t>
            </w:r>
          </w:p>
        </w:tc>
      </w:tr>
      <w:tr w:rsidR="00CB1F98" w:rsidRPr="003878A7" w14:paraId="2E4DD04E" w14:textId="77777777" w:rsidTr="00196EA6">
        <w:tc>
          <w:tcPr>
            <w:tcW w:w="3652" w:type="dxa"/>
          </w:tcPr>
          <w:p w14:paraId="79D10296" w14:textId="77777777" w:rsidR="00CB1F98" w:rsidRPr="003878A7" w:rsidRDefault="00CB1F98" w:rsidP="00CB1F98">
            <w:pPr>
              <w:spacing w:before="0" w:after="0"/>
              <w:ind w:firstLine="0"/>
              <w:rPr>
                <w:rFonts w:cs="Times New Roman"/>
                <w:sz w:val="21"/>
                <w:szCs w:val="21"/>
                <w:lang w:val="lt-LT"/>
              </w:rPr>
            </w:pPr>
            <w:r w:rsidRPr="003878A7">
              <w:rPr>
                <w:rFonts w:cs="Times New Roman"/>
                <w:sz w:val="21"/>
                <w:szCs w:val="21"/>
                <w:lang w:val="lt-LT"/>
              </w:rPr>
              <w:lastRenderedPageBreak/>
              <w:t>Finansavimo dydis</w:t>
            </w:r>
          </w:p>
        </w:tc>
        <w:tc>
          <w:tcPr>
            <w:tcW w:w="6202" w:type="dxa"/>
          </w:tcPr>
          <w:p w14:paraId="625D3F2F" w14:textId="2F48F817" w:rsidR="00CB1F98" w:rsidRPr="003878A7" w:rsidRDefault="00CB1F98" w:rsidP="00CB1F98">
            <w:pPr>
              <w:spacing w:before="0" w:after="0"/>
              <w:ind w:firstLine="0"/>
              <w:rPr>
                <w:sz w:val="21"/>
                <w:szCs w:val="21"/>
                <w:lang w:val="lt-LT"/>
              </w:rPr>
            </w:pPr>
            <w:r w:rsidRPr="003878A7">
              <w:rPr>
                <w:sz w:val="21"/>
                <w:szCs w:val="21"/>
                <w:lang w:val="lt-LT"/>
              </w:rPr>
              <w:t>Savivaldybėms arba jų paskirtiems subjektams teikiama iki 100 % projekto vertės; ESCO įmonėms teikiama iki 80 % projekto vertės</w:t>
            </w:r>
          </w:p>
        </w:tc>
      </w:tr>
      <w:tr w:rsidR="00CB1F98" w:rsidRPr="003878A7" w14:paraId="403D900D" w14:textId="77777777" w:rsidTr="00196EA6">
        <w:tc>
          <w:tcPr>
            <w:tcW w:w="3652" w:type="dxa"/>
          </w:tcPr>
          <w:p w14:paraId="7A3D1F31" w14:textId="77777777" w:rsidR="00CB1F98" w:rsidRPr="003878A7" w:rsidRDefault="00CB1F98" w:rsidP="00CB1F98">
            <w:pPr>
              <w:spacing w:before="0" w:after="0"/>
              <w:ind w:firstLine="0"/>
              <w:rPr>
                <w:rFonts w:cs="Times New Roman"/>
                <w:sz w:val="21"/>
                <w:szCs w:val="21"/>
                <w:lang w:val="lt-LT"/>
              </w:rPr>
            </w:pPr>
            <w:r w:rsidRPr="003878A7">
              <w:rPr>
                <w:rFonts w:cs="Times New Roman"/>
                <w:sz w:val="21"/>
                <w:szCs w:val="21"/>
                <w:lang w:val="lt-LT"/>
              </w:rPr>
              <w:t>Kitos nuostatos</w:t>
            </w:r>
          </w:p>
        </w:tc>
        <w:tc>
          <w:tcPr>
            <w:tcW w:w="6202" w:type="dxa"/>
          </w:tcPr>
          <w:p w14:paraId="4AE38C41" w14:textId="77777777" w:rsidR="00CB1F98" w:rsidRPr="003878A7" w:rsidRDefault="00CB1F98" w:rsidP="00CB1F98">
            <w:pPr>
              <w:spacing w:before="0" w:after="0"/>
              <w:ind w:firstLine="0"/>
              <w:rPr>
                <w:sz w:val="21"/>
                <w:szCs w:val="21"/>
                <w:lang w:val="lt-LT"/>
              </w:rPr>
            </w:pPr>
            <w:r w:rsidRPr="003878A7">
              <w:rPr>
                <w:sz w:val="21"/>
                <w:szCs w:val="21"/>
                <w:lang w:val="lt-LT"/>
              </w:rPr>
              <w:t>Iš savivaldybių gali būti prašomos papildomos užtikrinimo priemonės (pvz. sąskaitos įkeitimas);</w:t>
            </w:r>
          </w:p>
          <w:p w14:paraId="43D2E697" w14:textId="77777777" w:rsidR="00CB1F98" w:rsidRPr="003878A7" w:rsidRDefault="00CB1F98" w:rsidP="00CB1F98">
            <w:pPr>
              <w:spacing w:before="0" w:after="0"/>
              <w:ind w:firstLine="0"/>
              <w:rPr>
                <w:sz w:val="21"/>
                <w:szCs w:val="21"/>
                <w:lang w:val="lt-LT"/>
              </w:rPr>
            </w:pPr>
            <w:r w:rsidRPr="003878A7">
              <w:rPr>
                <w:sz w:val="21"/>
                <w:szCs w:val="21"/>
                <w:lang w:val="lt-LT"/>
              </w:rPr>
              <w:t>ESCO kompanijos, įgyvendindamos projektą, privalo prisidėti savomis lėšomis;</w:t>
            </w:r>
          </w:p>
          <w:p w14:paraId="01E4C3F0" w14:textId="66A3406D" w:rsidR="00CB1F98" w:rsidRPr="003878A7" w:rsidRDefault="00CB1F98" w:rsidP="00CB1F98">
            <w:pPr>
              <w:spacing w:before="0" w:after="0"/>
              <w:ind w:firstLine="0"/>
              <w:rPr>
                <w:sz w:val="21"/>
                <w:szCs w:val="21"/>
                <w:lang w:val="lt-LT"/>
              </w:rPr>
            </w:pPr>
            <w:r w:rsidRPr="003878A7">
              <w:rPr>
                <w:sz w:val="21"/>
                <w:szCs w:val="21"/>
                <w:lang w:val="lt-LT"/>
              </w:rPr>
              <w:t>grįžtančios lėšos iš paskolų reinvestuojamos į naujus projektus.</w:t>
            </w:r>
          </w:p>
        </w:tc>
      </w:tr>
      <w:tr w:rsidR="00CB1F98" w:rsidRPr="003878A7" w14:paraId="030913D9" w14:textId="77777777" w:rsidTr="00196EA6">
        <w:tc>
          <w:tcPr>
            <w:tcW w:w="3652" w:type="dxa"/>
          </w:tcPr>
          <w:p w14:paraId="14CC0F9B" w14:textId="77777777" w:rsidR="00CB1F98" w:rsidRPr="003878A7" w:rsidRDefault="00CB1F98" w:rsidP="00CB1F98">
            <w:pPr>
              <w:spacing w:before="0" w:after="0"/>
              <w:ind w:firstLine="0"/>
              <w:rPr>
                <w:rFonts w:cs="Times New Roman"/>
                <w:sz w:val="21"/>
                <w:szCs w:val="21"/>
                <w:lang w:val="lt-LT"/>
              </w:rPr>
            </w:pPr>
            <w:r w:rsidRPr="003878A7">
              <w:rPr>
                <w:rFonts w:cs="Times New Roman"/>
                <w:sz w:val="21"/>
                <w:szCs w:val="21"/>
                <w:lang w:val="lt-LT"/>
              </w:rPr>
              <w:t>Derinimas su subsidijomis</w:t>
            </w:r>
          </w:p>
        </w:tc>
        <w:tc>
          <w:tcPr>
            <w:tcW w:w="6202" w:type="dxa"/>
          </w:tcPr>
          <w:p w14:paraId="73A21C4E" w14:textId="3670D69D" w:rsidR="00CB1F98" w:rsidRPr="003878A7" w:rsidRDefault="00CB1F98" w:rsidP="00CB1F98">
            <w:pPr>
              <w:spacing w:before="0" w:after="0"/>
              <w:ind w:firstLine="0"/>
              <w:rPr>
                <w:sz w:val="21"/>
                <w:szCs w:val="21"/>
                <w:lang w:val="lt-LT"/>
              </w:rPr>
            </w:pPr>
            <w:r w:rsidRPr="003878A7">
              <w:rPr>
                <w:sz w:val="21"/>
                <w:szCs w:val="21"/>
                <w:lang w:val="lt-LT"/>
              </w:rPr>
              <w:t>EK yra parengusi FP ir subsidijų derinimo gaires. Šiose gairėse išdėstytų sąlygų praktinis įgyvendinimas yra ypač sudėtingas, todėl rekomenduojama atsargiai vertinti tokio derinimo galimybę.</w:t>
            </w:r>
          </w:p>
          <w:p w14:paraId="787A3325" w14:textId="12EB36F8" w:rsidR="00CB1F98" w:rsidRPr="003878A7" w:rsidRDefault="00CB1F98" w:rsidP="00CB1F98">
            <w:pPr>
              <w:spacing w:before="0" w:after="0"/>
              <w:ind w:firstLine="0"/>
              <w:rPr>
                <w:sz w:val="21"/>
                <w:szCs w:val="21"/>
                <w:lang w:val="lt-LT"/>
              </w:rPr>
            </w:pPr>
            <w:r w:rsidRPr="003878A7">
              <w:rPr>
                <w:sz w:val="21"/>
                <w:szCs w:val="21"/>
                <w:lang w:val="lt-LT"/>
              </w:rPr>
              <w:t>Pažymėtina, kad jeigu subsidija teikiama ne iš ES SF fondų lėšų, o iš kitų nacionalinių lėšų šaltinių, šios nuostatos nėra taikytinos. Atsiradus galimybei skirti papildomą subsidiją iš kitų šaltinių (pvz. Klimato kaitos programos lėšų), siūloma išnaudoti tokią galimybę siekiant sutrumpinti projektų atsipirkimo laikotarpį ir motyvuoti savivaldybes aktyviau atnaujinti viešuosius pastatus, tokiu būdu prisidedant prie energijos taupymo strateginių tikslų.</w:t>
            </w:r>
          </w:p>
        </w:tc>
      </w:tr>
    </w:tbl>
    <w:p w14:paraId="0E4B139F" w14:textId="2206B05F" w:rsidR="00033F6C" w:rsidRPr="003878A7" w:rsidRDefault="00CB1F98" w:rsidP="00033F6C">
      <w:pPr>
        <w:spacing w:after="0"/>
        <w:ind w:firstLine="0"/>
        <w:rPr>
          <w:rFonts w:cs="Times New Roman"/>
          <w:sz w:val="20"/>
          <w:szCs w:val="20"/>
        </w:rPr>
      </w:pPr>
      <w:r w:rsidRPr="003878A7">
        <w:rPr>
          <w:noProof/>
          <w:lang w:val="en-US"/>
        </w:rPr>
        <w:drawing>
          <wp:anchor distT="0" distB="0" distL="114300" distR="114300" simplePos="0" relativeHeight="251660288" behindDoc="0" locked="0" layoutInCell="1" allowOverlap="1" wp14:anchorId="5432DB34" wp14:editId="1D75D5F0">
            <wp:simplePos x="0" y="0"/>
            <wp:positionH relativeFrom="column">
              <wp:posOffset>-3810</wp:posOffset>
            </wp:positionH>
            <wp:positionV relativeFrom="paragraph">
              <wp:posOffset>239395</wp:posOffset>
            </wp:positionV>
            <wp:extent cx="5962650" cy="14668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2650" cy="1466850"/>
                    </a:xfrm>
                    <a:prstGeom prst="rect">
                      <a:avLst/>
                    </a:prstGeom>
                    <a:noFill/>
                    <a:ln>
                      <a:noFill/>
                    </a:ln>
                  </pic:spPr>
                </pic:pic>
              </a:graphicData>
            </a:graphic>
          </wp:anchor>
        </w:drawing>
      </w:r>
      <w:r w:rsidR="00033F6C" w:rsidRPr="003878A7">
        <w:rPr>
          <w:rFonts w:cs="Times New Roman"/>
          <w:sz w:val="20"/>
          <w:szCs w:val="20"/>
        </w:rPr>
        <w:t>Šaltinis: sudaryta Vertintojų</w:t>
      </w:r>
    </w:p>
    <w:p w14:paraId="1B9F6B1D" w14:textId="2F52C382" w:rsidR="00033F6C" w:rsidRPr="003878A7" w:rsidRDefault="00CB1F98" w:rsidP="00CB1F98">
      <w:pPr>
        <w:ind w:firstLine="0"/>
        <w:rPr>
          <w:rFonts w:cs="Times New Roman"/>
          <w:i/>
          <w:iCs/>
        </w:rPr>
      </w:pPr>
      <w:r w:rsidRPr="003878A7">
        <w:rPr>
          <w:rFonts w:cs="Times New Roman"/>
          <w:i/>
          <w:iCs/>
        </w:rPr>
        <w:t>Paveikslas 3</w:t>
      </w:r>
      <w:r w:rsidRPr="003878A7">
        <w:t xml:space="preserve"> </w:t>
      </w:r>
      <w:r w:rsidRPr="003878A7">
        <w:rPr>
          <w:rFonts w:cs="Times New Roman"/>
          <w:i/>
          <w:iCs/>
        </w:rPr>
        <w:t>Siūloma savivaldybių viešųjų pastatų renovacijos, naudojant finansines priemones, schema</w:t>
      </w:r>
    </w:p>
    <w:p w14:paraId="0E6B08D3" w14:textId="64123058" w:rsidR="0043024A" w:rsidRPr="003878A7" w:rsidRDefault="0043024A" w:rsidP="008359E9">
      <w:pPr>
        <w:pStyle w:val="Heading1"/>
        <w:numPr>
          <w:ilvl w:val="0"/>
          <w:numId w:val="15"/>
        </w:numPr>
        <w:rPr>
          <w:rStyle w:val="Heading1Char"/>
        </w:rPr>
      </w:pPr>
      <w:bookmarkStart w:id="52" w:name="_Toc70532886"/>
      <w:r w:rsidRPr="003878A7">
        <w:t>Laukiami rezultatai</w:t>
      </w:r>
      <w:bookmarkEnd w:id="50"/>
      <w:bookmarkEnd w:id="52"/>
    </w:p>
    <w:p w14:paraId="5A92FD4C" w14:textId="26A4D195" w:rsidR="008359E9" w:rsidRPr="003878A7" w:rsidRDefault="008359E9" w:rsidP="008359E9">
      <w:pPr>
        <w:pStyle w:val="Heading2"/>
        <w:ind w:left="567" w:firstLine="0"/>
      </w:pPr>
      <w:bookmarkStart w:id="53" w:name="_Toc70532887"/>
      <w:r w:rsidRPr="003878A7">
        <w:t>7.1 Daugiabučių namų modernizavimui siūlomų taikyti FP stebėsenos rodikliai</w:t>
      </w:r>
      <w:bookmarkEnd w:id="53"/>
    </w:p>
    <w:p w14:paraId="41E55FF7" w14:textId="281EB076" w:rsidR="00443195" w:rsidRPr="003878A7" w:rsidRDefault="00443195" w:rsidP="00443195">
      <w:pPr>
        <w:rPr>
          <w:rFonts w:cs="Times New Roman"/>
        </w:rPr>
      </w:pPr>
      <w:r w:rsidRPr="003878A7">
        <w:rPr>
          <w:rFonts w:cs="Times New Roman"/>
        </w:rPr>
        <w:t xml:space="preserve">Įgyvendinat siūlomą modelį (steigiant KŪB į kurį būtų investuojamos </w:t>
      </w:r>
      <w:r w:rsidR="0031223D" w:rsidRPr="003878A7">
        <w:rPr>
          <w:rFonts w:cs="Times New Roman"/>
        </w:rPr>
        <w:t>ES SF</w:t>
      </w:r>
      <w:r w:rsidRPr="003878A7">
        <w:rPr>
          <w:rFonts w:cs="Times New Roman"/>
        </w:rPr>
        <w:t xml:space="preserve"> fondų lėšos) vadovaujančiajai institucijai į jį įnešus 280,7 mln. </w:t>
      </w:r>
      <w:r w:rsidR="0031223D" w:rsidRPr="003878A7">
        <w:rPr>
          <w:rFonts w:cs="Times New Roman"/>
        </w:rPr>
        <w:t>Eur</w:t>
      </w:r>
      <w:r w:rsidRPr="003878A7">
        <w:rPr>
          <w:rFonts w:cs="Times New Roman"/>
        </w:rPr>
        <w:t xml:space="preserve"> sumą iš </w:t>
      </w:r>
      <w:r w:rsidR="0031223D" w:rsidRPr="003878A7">
        <w:rPr>
          <w:rFonts w:cs="Times New Roman"/>
        </w:rPr>
        <w:t>ES SF</w:t>
      </w:r>
      <w:r w:rsidRPr="003878A7">
        <w:rPr>
          <w:rFonts w:cs="Times New Roman"/>
        </w:rPr>
        <w:t xml:space="preserve"> fondų lėšų ir 67,2 mln. </w:t>
      </w:r>
      <w:r w:rsidR="0031223D" w:rsidRPr="003878A7">
        <w:rPr>
          <w:rFonts w:cs="Times New Roman"/>
        </w:rPr>
        <w:t>Eur</w:t>
      </w:r>
      <w:r w:rsidRPr="003878A7">
        <w:rPr>
          <w:rFonts w:cs="Times New Roman"/>
        </w:rPr>
        <w:t xml:space="preserve"> sumą iš grįžtančių lėšų į JESSICA KF, planuojama, kad iš investuojančių finansinių institucijų galima būtų pritraukti iki 700 mln. </w:t>
      </w:r>
      <w:r w:rsidR="0031223D" w:rsidRPr="003878A7">
        <w:rPr>
          <w:rFonts w:cs="Times New Roman"/>
        </w:rPr>
        <w:t>Eur</w:t>
      </w:r>
      <w:r w:rsidRPr="003878A7">
        <w:rPr>
          <w:rFonts w:cs="Times New Roman"/>
        </w:rPr>
        <w:t>.</w:t>
      </w:r>
    </w:p>
    <w:p w14:paraId="0BFDA000" w14:textId="7CE0658F" w:rsidR="00443195" w:rsidRPr="003878A7" w:rsidRDefault="00443195" w:rsidP="00443195">
      <w:pPr>
        <w:rPr>
          <w:rFonts w:cs="Times New Roman"/>
        </w:rPr>
      </w:pPr>
      <w:r w:rsidRPr="003878A7">
        <w:rPr>
          <w:rFonts w:cs="Times New Roman"/>
        </w:rPr>
        <w:t xml:space="preserve">Vertinant įvairius finansinius modelius daugiabučių renovacijos įgyvendinimui geriausia alternatyva buvo pasiūlyta remiantis siektinais </w:t>
      </w:r>
      <w:r w:rsidR="000C2D2B" w:rsidRPr="003878A7">
        <w:rPr>
          <w:rFonts w:cs="Times New Roman"/>
        </w:rPr>
        <w:t>FP</w:t>
      </w:r>
      <w:r w:rsidRPr="003878A7">
        <w:rPr>
          <w:rFonts w:cs="Times New Roman"/>
        </w:rPr>
        <w:t xml:space="preserve"> rezultatais: multiplikatoriaus efektu, sverto efektu, renovuojamų namų skaičiumi ir kitais rodikliais. Atsižvelgiant į tai, buvo apskaičiuoti ir </w:t>
      </w:r>
      <w:r w:rsidR="000C2D2B" w:rsidRPr="003878A7">
        <w:rPr>
          <w:rFonts w:cs="Times New Roman"/>
        </w:rPr>
        <w:t>FP</w:t>
      </w:r>
      <w:r w:rsidRPr="003878A7">
        <w:rPr>
          <w:rFonts w:cs="Times New Roman"/>
        </w:rPr>
        <w:t xml:space="preserve"> kokybiniai rezultatai, kurie prisidėti prie strateginių tikslų pasiekimo ir kurie yra pagrindinis </w:t>
      </w:r>
      <w:r w:rsidR="000C2D2B" w:rsidRPr="003878A7">
        <w:rPr>
          <w:rFonts w:cs="Times New Roman"/>
        </w:rPr>
        <w:t>FP</w:t>
      </w:r>
      <w:r w:rsidRPr="003878A7">
        <w:rPr>
          <w:rFonts w:cs="Times New Roman"/>
        </w:rPr>
        <w:t xml:space="preserve"> kūrimo motyvas.</w:t>
      </w:r>
    </w:p>
    <w:p w14:paraId="0FEBAE4F" w14:textId="03277B84" w:rsidR="00443195" w:rsidRPr="003878A7" w:rsidRDefault="00BF623D" w:rsidP="00BF623D">
      <w:pPr>
        <w:ind w:firstLine="0"/>
        <w:rPr>
          <w:rFonts w:cs="Times New Roman"/>
          <w:i/>
          <w:iCs/>
        </w:rPr>
      </w:pPr>
      <w:r w:rsidRPr="003878A7">
        <w:rPr>
          <w:rFonts w:cs="Times New Roman"/>
          <w:i/>
          <w:iCs/>
        </w:rPr>
        <w:t>Lentelė Nr. 2</w:t>
      </w:r>
      <w:r w:rsidR="006D7B19">
        <w:rPr>
          <w:rFonts w:cs="Times New Roman"/>
          <w:i/>
          <w:iCs/>
        </w:rPr>
        <w:t>0.</w:t>
      </w:r>
      <w:r w:rsidRPr="003878A7">
        <w:rPr>
          <w:rFonts w:cs="Times New Roman"/>
          <w:i/>
          <w:iCs/>
        </w:rPr>
        <w:t xml:space="preserve"> </w:t>
      </w:r>
      <w:r w:rsidR="009B2AF3" w:rsidRPr="003878A7">
        <w:rPr>
          <w:rFonts w:cs="Times New Roman"/>
          <w:i/>
          <w:iCs/>
        </w:rPr>
        <w:t>Tikėtini FP rezultatai d</w:t>
      </w:r>
      <w:r w:rsidRPr="003878A7">
        <w:rPr>
          <w:rFonts w:cs="Times New Roman"/>
          <w:i/>
          <w:iCs/>
        </w:rPr>
        <w:t>augiabučių namų modernizavimui</w:t>
      </w:r>
    </w:p>
    <w:tbl>
      <w:tblPr>
        <w:tblStyle w:val="TableGrid"/>
        <w:tblW w:w="5000" w:type="pct"/>
        <w:tblLook w:val="04A0" w:firstRow="1" w:lastRow="0" w:firstColumn="1" w:lastColumn="0" w:noHBand="0" w:noVBand="1"/>
      </w:tblPr>
      <w:tblGrid>
        <w:gridCol w:w="3284"/>
        <w:gridCol w:w="3285"/>
        <w:gridCol w:w="3285"/>
      </w:tblGrid>
      <w:tr w:rsidR="00443195" w:rsidRPr="003878A7" w14:paraId="13B9E361" w14:textId="1482B13C" w:rsidTr="0031223D">
        <w:tc>
          <w:tcPr>
            <w:tcW w:w="1666" w:type="pct"/>
          </w:tcPr>
          <w:p w14:paraId="0AF843C3" w14:textId="77777777" w:rsidR="00443195" w:rsidRPr="003878A7" w:rsidRDefault="00443195" w:rsidP="00BF623D">
            <w:pPr>
              <w:spacing w:before="0" w:after="0"/>
              <w:ind w:firstLine="0"/>
              <w:rPr>
                <w:rFonts w:cs="Times New Roman"/>
                <w:b/>
                <w:bCs/>
                <w:sz w:val="21"/>
                <w:szCs w:val="21"/>
                <w:lang w:val="lt-LT"/>
              </w:rPr>
            </w:pPr>
            <w:r w:rsidRPr="003878A7">
              <w:rPr>
                <w:rFonts w:cs="Times New Roman"/>
                <w:b/>
                <w:bCs/>
                <w:sz w:val="21"/>
                <w:szCs w:val="21"/>
                <w:lang w:val="lt-LT"/>
              </w:rPr>
              <w:t>Rodiklis</w:t>
            </w:r>
          </w:p>
        </w:tc>
        <w:tc>
          <w:tcPr>
            <w:tcW w:w="1667" w:type="pct"/>
          </w:tcPr>
          <w:p w14:paraId="714C35D3" w14:textId="77777777" w:rsidR="00443195" w:rsidRPr="003878A7" w:rsidRDefault="00443195" w:rsidP="00BF623D">
            <w:pPr>
              <w:spacing w:before="0" w:after="0"/>
              <w:ind w:firstLine="0"/>
              <w:jc w:val="center"/>
              <w:rPr>
                <w:rFonts w:cs="Times New Roman"/>
                <w:b/>
                <w:bCs/>
                <w:sz w:val="21"/>
                <w:szCs w:val="21"/>
                <w:lang w:val="lt-LT"/>
              </w:rPr>
            </w:pPr>
            <w:r w:rsidRPr="003878A7">
              <w:rPr>
                <w:rFonts w:cs="Times New Roman"/>
                <w:b/>
                <w:bCs/>
                <w:sz w:val="21"/>
                <w:szCs w:val="21"/>
                <w:lang w:val="lt-LT"/>
              </w:rPr>
              <w:t>Apskaičiuoti rezultatai</w:t>
            </w:r>
          </w:p>
        </w:tc>
        <w:tc>
          <w:tcPr>
            <w:tcW w:w="1667" w:type="pct"/>
          </w:tcPr>
          <w:p w14:paraId="74D616C5" w14:textId="33A62F33" w:rsidR="00443195" w:rsidRPr="003878A7" w:rsidRDefault="00443195" w:rsidP="00BF623D">
            <w:pPr>
              <w:spacing w:before="0" w:after="0"/>
              <w:ind w:firstLine="0"/>
              <w:jc w:val="center"/>
              <w:rPr>
                <w:rFonts w:cs="Times New Roman"/>
                <w:b/>
                <w:bCs/>
                <w:sz w:val="21"/>
                <w:szCs w:val="21"/>
                <w:lang w:val="lt-LT"/>
              </w:rPr>
            </w:pPr>
            <w:r w:rsidRPr="003878A7">
              <w:rPr>
                <w:rFonts w:cs="Times New Roman"/>
                <w:b/>
                <w:bCs/>
                <w:sz w:val="21"/>
                <w:szCs w:val="21"/>
                <w:lang w:val="lt-LT"/>
              </w:rPr>
              <w:t>Palyginimas su paklausos duomenimis</w:t>
            </w:r>
          </w:p>
        </w:tc>
      </w:tr>
      <w:tr w:rsidR="00443195" w:rsidRPr="003878A7" w14:paraId="2CC24031" w14:textId="7EBE2227" w:rsidTr="0031223D">
        <w:tc>
          <w:tcPr>
            <w:tcW w:w="1666" w:type="pct"/>
          </w:tcPr>
          <w:p w14:paraId="5D54C04D" w14:textId="77777777" w:rsidR="00443195" w:rsidRPr="003878A7" w:rsidRDefault="00443195" w:rsidP="00BF623D">
            <w:pPr>
              <w:spacing w:before="0" w:after="0"/>
              <w:ind w:firstLine="0"/>
              <w:rPr>
                <w:rFonts w:cs="Times New Roman"/>
                <w:sz w:val="21"/>
                <w:szCs w:val="21"/>
                <w:lang w:val="lt-LT"/>
              </w:rPr>
            </w:pPr>
            <w:r w:rsidRPr="003878A7">
              <w:rPr>
                <w:rFonts w:cs="Times New Roman"/>
                <w:sz w:val="21"/>
                <w:szCs w:val="21"/>
                <w:lang w:val="lt-LT"/>
              </w:rPr>
              <w:t>FP</w:t>
            </w:r>
          </w:p>
        </w:tc>
        <w:tc>
          <w:tcPr>
            <w:tcW w:w="1667" w:type="pct"/>
          </w:tcPr>
          <w:p w14:paraId="17622F6E" w14:textId="50033070" w:rsidR="00443195" w:rsidRPr="003878A7" w:rsidRDefault="00443195" w:rsidP="00BF623D">
            <w:pPr>
              <w:spacing w:before="0" w:after="0"/>
              <w:ind w:firstLine="0"/>
              <w:jc w:val="center"/>
              <w:rPr>
                <w:rFonts w:cs="Times New Roman"/>
                <w:sz w:val="21"/>
                <w:szCs w:val="21"/>
                <w:lang w:val="lt-LT"/>
              </w:rPr>
            </w:pPr>
            <w:r w:rsidRPr="003878A7">
              <w:rPr>
                <w:rFonts w:cs="Times New Roman"/>
                <w:sz w:val="21"/>
                <w:szCs w:val="21"/>
                <w:lang w:val="lt-LT"/>
              </w:rPr>
              <w:t>Paskolos daugiabučių namų renovacijai, kuriant KŪB</w:t>
            </w:r>
          </w:p>
        </w:tc>
        <w:tc>
          <w:tcPr>
            <w:tcW w:w="1667" w:type="pct"/>
          </w:tcPr>
          <w:p w14:paraId="5F313524" w14:textId="77777777" w:rsidR="00443195" w:rsidRPr="003878A7" w:rsidRDefault="00443195" w:rsidP="00BF623D">
            <w:pPr>
              <w:spacing w:before="0" w:after="0"/>
              <w:ind w:firstLine="0"/>
              <w:jc w:val="center"/>
              <w:rPr>
                <w:rFonts w:cs="Times New Roman"/>
                <w:sz w:val="21"/>
                <w:szCs w:val="21"/>
                <w:lang w:val="lt-LT"/>
              </w:rPr>
            </w:pPr>
          </w:p>
        </w:tc>
      </w:tr>
      <w:tr w:rsidR="00443195" w:rsidRPr="003878A7" w14:paraId="193EA1B5" w14:textId="45B38A6B" w:rsidTr="0031223D">
        <w:tc>
          <w:tcPr>
            <w:tcW w:w="1666" w:type="pct"/>
          </w:tcPr>
          <w:p w14:paraId="3325583D" w14:textId="77777777" w:rsidR="00443195" w:rsidRPr="003878A7" w:rsidRDefault="00443195" w:rsidP="00BF623D">
            <w:pPr>
              <w:spacing w:before="0" w:after="0"/>
              <w:ind w:firstLine="0"/>
              <w:rPr>
                <w:rFonts w:cs="Times New Roman"/>
                <w:sz w:val="21"/>
                <w:szCs w:val="21"/>
                <w:lang w:val="lt-LT"/>
              </w:rPr>
            </w:pPr>
            <w:r w:rsidRPr="003878A7">
              <w:rPr>
                <w:rFonts w:cs="Times New Roman"/>
                <w:sz w:val="21"/>
                <w:szCs w:val="21"/>
                <w:lang w:val="lt-LT"/>
              </w:rPr>
              <w:t>Finansuojanti institucija</w:t>
            </w:r>
          </w:p>
        </w:tc>
        <w:tc>
          <w:tcPr>
            <w:tcW w:w="1667" w:type="pct"/>
          </w:tcPr>
          <w:p w14:paraId="3AB6FE18" w14:textId="77777777" w:rsidR="00443195" w:rsidRPr="003878A7" w:rsidRDefault="00443195" w:rsidP="00BF623D">
            <w:pPr>
              <w:spacing w:before="0" w:after="0"/>
              <w:ind w:firstLine="0"/>
              <w:jc w:val="center"/>
              <w:rPr>
                <w:rFonts w:cs="Times New Roman"/>
                <w:sz w:val="21"/>
                <w:szCs w:val="21"/>
                <w:lang w:val="lt-LT"/>
              </w:rPr>
            </w:pPr>
            <w:r w:rsidRPr="003878A7">
              <w:rPr>
                <w:rFonts w:cs="Times New Roman"/>
                <w:sz w:val="21"/>
                <w:szCs w:val="21"/>
                <w:lang w:val="lt-LT"/>
              </w:rPr>
              <w:t>AM</w:t>
            </w:r>
          </w:p>
        </w:tc>
        <w:tc>
          <w:tcPr>
            <w:tcW w:w="1667" w:type="pct"/>
          </w:tcPr>
          <w:p w14:paraId="13D2071C" w14:textId="77777777" w:rsidR="00443195" w:rsidRPr="003878A7" w:rsidRDefault="00443195" w:rsidP="00BF623D">
            <w:pPr>
              <w:spacing w:before="0" w:after="0"/>
              <w:ind w:firstLine="0"/>
              <w:jc w:val="center"/>
              <w:rPr>
                <w:rFonts w:cs="Times New Roman"/>
                <w:sz w:val="21"/>
                <w:szCs w:val="21"/>
                <w:lang w:val="lt-LT"/>
              </w:rPr>
            </w:pPr>
          </w:p>
        </w:tc>
      </w:tr>
      <w:tr w:rsidR="00443195" w:rsidRPr="003878A7" w14:paraId="3888008D" w14:textId="4DCBDA46" w:rsidTr="0031223D">
        <w:tc>
          <w:tcPr>
            <w:tcW w:w="1666" w:type="pct"/>
          </w:tcPr>
          <w:p w14:paraId="12CE5F12" w14:textId="77777777" w:rsidR="00443195" w:rsidRPr="003878A7" w:rsidRDefault="00443195" w:rsidP="00BF623D">
            <w:pPr>
              <w:spacing w:before="0" w:after="0"/>
              <w:ind w:firstLine="0"/>
              <w:rPr>
                <w:rFonts w:cs="Times New Roman"/>
                <w:sz w:val="21"/>
                <w:szCs w:val="21"/>
                <w:lang w:val="lt-LT"/>
              </w:rPr>
            </w:pPr>
            <w:r w:rsidRPr="003878A7">
              <w:rPr>
                <w:rFonts w:cs="Times New Roman"/>
                <w:sz w:val="21"/>
                <w:szCs w:val="21"/>
                <w:lang w:val="lt-LT"/>
              </w:rPr>
              <w:t>GNG pasiekusios lėšos</w:t>
            </w:r>
          </w:p>
        </w:tc>
        <w:tc>
          <w:tcPr>
            <w:tcW w:w="1667" w:type="pct"/>
          </w:tcPr>
          <w:p w14:paraId="1221DF81" w14:textId="643D6827" w:rsidR="00443195" w:rsidRPr="003878A7" w:rsidRDefault="00443195" w:rsidP="00BF623D">
            <w:pPr>
              <w:spacing w:before="0" w:after="0"/>
              <w:ind w:firstLine="0"/>
              <w:jc w:val="center"/>
              <w:rPr>
                <w:rFonts w:cs="Times New Roman"/>
                <w:sz w:val="21"/>
                <w:szCs w:val="21"/>
                <w:lang w:val="lt-LT"/>
              </w:rPr>
            </w:pPr>
            <w:r w:rsidRPr="003878A7">
              <w:rPr>
                <w:rFonts w:cs="Times New Roman"/>
                <w:sz w:val="21"/>
                <w:szCs w:val="21"/>
                <w:lang w:val="lt-LT"/>
              </w:rPr>
              <w:t>832,0 mln. Eur</w:t>
            </w:r>
          </w:p>
        </w:tc>
        <w:tc>
          <w:tcPr>
            <w:tcW w:w="1667" w:type="pct"/>
          </w:tcPr>
          <w:p w14:paraId="208189B8" w14:textId="5BB0152B" w:rsidR="00443195" w:rsidRPr="003878A7" w:rsidRDefault="00443195" w:rsidP="00BF623D">
            <w:pPr>
              <w:spacing w:before="0" w:after="0"/>
              <w:ind w:firstLine="0"/>
              <w:jc w:val="center"/>
              <w:rPr>
                <w:rFonts w:cs="Times New Roman"/>
                <w:sz w:val="21"/>
                <w:szCs w:val="21"/>
                <w:lang w:val="lt-LT"/>
              </w:rPr>
            </w:pPr>
            <w:r w:rsidRPr="003878A7">
              <w:rPr>
                <w:rFonts w:cs="Times New Roman"/>
                <w:sz w:val="21"/>
                <w:szCs w:val="21"/>
                <w:lang w:val="lt-LT"/>
              </w:rPr>
              <w:t>1347,3 mln. Eur</w:t>
            </w:r>
          </w:p>
        </w:tc>
      </w:tr>
      <w:tr w:rsidR="00443195" w:rsidRPr="003878A7" w14:paraId="648EFE5D" w14:textId="77777777" w:rsidTr="0031223D">
        <w:tc>
          <w:tcPr>
            <w:tcW w:w="1666" w:type="pct"/>
          </w:tcPr>
          <w:p w14:paraId="33D2BE0C" w14:textId="5B74883C" w:rsidR="00443195" w:rsidRPr="003878A7" w:rsidRDefault="00443195" w:rsidP="00BF623D">
            <w:pPr>
              <w:spacing w:before="0" w:after="0"/>
              <w:ind w:firstLine="0"/>
              <w:rPr>
                <w:rFonts w:cs="Times New Roman"/>
                <w:sz w:val="21"/>
                <w:szCs w:val="21"/>
                <w:lang w:val="lt-LT"/>
              </w:rPr>
            </w:pPr>
            <w:r w:rsidRPr="003878A7">
              <w:rPr>
                <w:rFonts w:cs="Times New Roman"/>
                <w:sz w:val="21"/>
                <w:szCs w:val="21"/>
                <w:lang w:val="lt-LT"/>
              </w:rPr>
              <w:t xml:space="preserve">Pritrauktos lėšos iš privačių </w:t>
            </w:r>
            <w:r w:rsidR="00BF623D" w:rsidRPr="003878A7">
              <w:rPr>
                <w:rFonts w:cs="Times New Roman"/>
                <w:sz w:val="21"/>
                <w:szCs w:val="21"/>
                <w:lang w:val="lt-LT"/>
              </w:rPr>
              <w:t>šaltinių</w:t>
            </w:r>
          </w:p>
        </w:tc>
        <w:tc>
          <w:tcPr>
            <w:tcW w:w="1667" w:type="pct"/>
          </w:tcPr>
          <w:p w14:paraId="36D1AB60" w14:textId="3F9C5543" w:rsidR="00443195" w:rsidRPr="003878A7" w:rsidRDefault="00443195" w:rsidP="00BF623D">
            <w:pPr>
              <w:spacing w:before="0" w:after="0"/>
              <w:ind w:firstLine="0"/>
              <w:jc w:val="center"/>
              <w:rPr>
                <w:rFonts w:cs="Times New Roman"/>
                <w:sz w:val="21"/>
                <w:szCs w:val="21"/>
                <w:lang w:val="lt-LT"/>
              </w:rPr>
            </w:pPr>
            <w:r w:rsidRPr="003878A7">
              <w:rPr>
                <w:rFonts w:cs="Times New Roman"/>
                <w:sz w:val="21"/>
                <w:szCs w:val="21"/>
                <w:lang w:val="lt-LT"/>
              </w:rPr>
              <w:t>655,4 mln. Eur</w:t>
            </w:r>
          </w:p>
        </w:tc>
        <w:tc>
          <w:tcPr>
            <w:tcW w:w="1667" w:type="pct"/>
          </w:tcPr>
          <w:p w14:paraId="24A853A0" w14:textId="77777777" w:rsidR="00443195" w:rsidRPr="003878A7" w:rsidRDefault="00443195" w:rsidP="00BF623D">
            <w:pPr>
              <w:spacing w:before="0" w:after="0"/>
              <w:ind w:firstLine="0"/>
              <w:jc w:val="center"/>
              <w:rPr>
                <w:rFonts w:cs="Times New Roman"/>
                <w:sz w:val="21"/>
                <w:szCs w:val="21"/>
                <w:lang w:val="lt-LT"/>
              </w:rPr>
            </w:pPr>
          </w:p>
        </w:tc>
      </w:tr>
      <w:tr w:rsidR="00443195" w:rsidRPr="003878A7" w14:paraId="4B794F1A" w14:textId="5702C064" w:rsidTr="0031223D">
        <w:tc>
          <w:tcPr>
            <w:tcW w:w="1666" w:type="pct"/>
          </w:tcPr>
          <w:p w14:paraId="5489ECE6" w14:textId="77777777" w:rsidR="00443195" w:rsidRPr="003878A7" w:rsidRDefault="00443195" w:rsidP="00BF623D">
            <w:pPr>
              <w:spacing w:before="0" w:after="0"/>
              <w:ind w:firstLine="0"/>
              <w:rPr>
                <w:rFonts w:cs="Times New Roman"/>
                <w:sz w:val="21"/>
                <w:szCs w:val="21"/>
                <w:lang w:val="lt-LT"/>
              </w:rPr>
            </w:pPr>
            <w:r w:rsidRPr="003878A7">
              <w:rPr>
                <w:rFonts w:cs="Times New Roman"/>
                <w:sz w:val="21"/>
                <w:szCs w:val="21"/>
                <w:lang w:val="lt-LT"/>
              </w:rPr>
              <w:t>Sverto efektas</w:t>
            </w:r>
          </w:p>
        </w:tc>
        <w:tc>
          <w:tcPr>
            <w:tcW w:w="1667" w:type="pct"/>
          </w:tcPr>
          <w:p w14:paraId="4A521EED" w14:textId="39528F04" w:rsidR="00443195" w:rsidRPr="003878A7" w:rsidRDefault="00443195" w:rsidP="00BF623D">
            <w:pPr>
              <w:spacing w:before="0" w:after="0"/>
              <w:ind w:firstLine="0"/>
              <w:jc w:val="center"/>
              <w:rPr>
                <w:rFonts w:cs="Times New Roman"/>
                <w:sz w:val="21"/>
                <w:szCs w:val="21"/>
                <w:lang w:val="lt-LT"/>
              </w:rPr>
            </w:pPr>
            <w:r w:rsidRPr="003878A7">
              <w:rPr>
                <w:rFonts w:cs="Times New Roman"/>
                <w:sz w:val="21"/>
                <w:szCs w:val="21"/>
                <w:lang w:val="lt-LT"/>
              </w:rPr>
              <w:t>3,57</w:t>
            </w:r>
          </w:p>
        </w:tc>
        <w:tc>
          <w:tcPr>
            <w:tcW w:w="1667" w:type="pct"/>
          </w:tcPr>
          <w:p w14:paraId="1F9BB32B" w14:textId="77777777" w:rsidR="00443195" w:rsidRPr="003878A7" w:rsidRDefault="00443195" w:rsidP="00BF623D">
            <w:pPr>
              <w:spacing w:before="0" w:after="0"/>
              <w:ind w:firstLine="0"/>
              <w:jc w:val="center"/>
              <w:rPr>
                <w:rFonts w:cs="Times New Roman"/>
                <w:sz w:val="21"/>
                <w:szCs w:val="21"/>
                <w:lang w:val="lt-LT"/>
              </w:rPr>
            </w:pPr>
          </w:p>
        </w:tc>
      </w:tr>
      <w:tr w:rsidR="00443195" w:rsidRPr="003878A7" w14:paraId="36D9BD80" w14:textId="1A624753" w:rsidTr="0031223D">
        <w:tc>
          <w:tcPr>
            <w:tcW w:w="1666" w:type="pct"/>
          </w:tcPr>
          <w:p w14:paraId="07DC6C98" w14:textId="4430A2E7" w:rsidR="00443195" w:rsidRPr="003878A7" w:rsidRDefault="00443195" w:rsidP="00BF623D">
            <w:pPr>
              <w:spacing w:before="0" w:after="0"/>
              <w:ind w:firstLine="0"/>
              <w:rPr>
                <w:rFonts w:cs="Times New Roman"/>
                <w:sz w:val="21"/>
                <w:szCs w:val="21"/>
                <w:lang w:val="lt-LT"/>
              </w:rPr>
            </w:pPr>
            <w:r w:rsidRPr="003878A7">
              <w:rPr>
                <w:rFonts w:cs="Times New Roman"/>
                <w:sz w:val="21"/>
                <w:szCs w:val="21"/>
                <w:lang w:val="lt-LT"/>
              </w:rPr>
              <w:t xml:space="preserve">Renovuotų pastatų skaičius iki 2022 m. </w:t>
            </w:r>
          </w:p>
        </w:tc>
        <w:tc>
          <w:tcPr>
            <w:tcW w:w="1667" w:type="pct"/>
          </w:tcPr>
          <w:p w14:paraId="2E3EB606" w14:textId="500A092B" w:rsidR="00443195" w:rsidRPr="003878A7" w:rsidRDefault="00443195" w:rsidP="00BF623D">
            <w:pPr>
              <w:spacing w:before="0" w:after="0"/>
              <w:ind w:firstLine="0"/>
              <w:jc w:val="center"/>
              <w:rPr>
                <w:rFonts w:cs="Times New Roman"/>
                <w:sz w:val="21"/>
                <w:szCs w:val="21"/>
                <w:lang w:val="lt-LT"/>
              </w:rPr>
            </w:pPr>
            <w:r w:rsidRPr="003878A7">
              <w:rPr>
                <w:rFonts w:cs="Times New Roman"/>
                <w:sz w:val="21"/>
                <w:szCs w:val="21"/>
                <w:lang w:val="lt-LT"/>
              </w:rPr>
              <w:t>4473</w:t>
            </w:r>
          </w:p>
        </w:tc>
        <w:tc>
          <w:tcPr>
            <w:tcW w:w="1667" w:type="pct"/>
          </w:tcPr>
          <w:p w14:paraId="475700E9" w14:textId="7A0B81DE" w:rsidR="00443195" w:rsidRPr="003878A7" w:rsidRDefault="00443195" w:rsidP="00BF623D">
            <w:pPr>
              <w:spacing w:before="0" w:after="0"/>
              <w:ind w:firstLine="0"/>
              <w:jc w:val="center"/>
              <w:rPr>
                <w:rFonts w:cs="Times New Roman"/>
                <w:sz w:val="21"/>
                <w:szCs w:val="21"/>
                <w:lang w:val="lt-LT"/>
              </w:rPr>
            </w:pPr>
            <w:r w:rsidRPr="003878A7">
              <w:rPr>
                <w:rFonts w:cs="Times New Roman"/>
                <w:sz w:val="21"/>
                <w:szCs w:val="21"/>
                <w:lang w:val="lt-LT"/>
              </w:rPr>
              <w:t>7229</w:t>
            </w:r>
          </w:p>
        </w:tc>
      </w:tr>
      <w:tr w:rsidR="00443195" w:rsidRPr="003878A7" w14:paraId="40A181B3" w14:textId="517EB39B" w:rsidTr="0031223D">
        <w:tc>
          <w:tcPr>
            <w:tcW w:w="1666" w:type="pct"/>
          </w:tcPr>
          <w:p w14:paraId="5A47AF9D" w14:textId="77777777" w:rsidR="00443195" w:rsidRPr="003878A7" w:rsidRDefault="00443195" w:rsidP="00BF623D">
            <w:pPr>
              <w:spacing w:before="0" w:after="0"/>
              <w:ind w:firstLine="0"/>
              <w:rPr>
                <w:rFonts w:cs="Times New Roman"/>
                <w:sz w:val="21"/>
                <w:szCs w:val="21"/>
                <w:lang w:val="lt-LT"/>
              </w:rPr>
            </w:pPr>
            <w:r w:rsidRPr="003878A7">
              <w:rPr>
                <w:rFonts w:cs="Times New Roman"/>
                <w:sz w:val="21"/>
                <w:szCs w:val="21"/>
                <w:lang w:val="lt-LT"/>
              </w:rPr>
              <w:t>Renovuotų pastatų EE suvartojimo sumažėjimas, ne mažiau kaip</w:t>
            </w:r>
          </w:p>
        </w:tc>
        <w:tc>
          <w:tcPr>
            <w:tcW w:w="1667" w:type="pct"/>
          </w:tcPr>
          <w:p w14:paraId="0B290B41" w14:textId="6C95B757" w:rsidR="00443195" w:rsidRPr="003878A7" w:rsidRDefault="00443195" w:rsidP="00BF623D">
            <w:pPr>
              <w:spacing w:before="0" w:after="0"/>
              <w:ind w:firstLine="0"/>
              <w:jc w:val="center"/>
              <w:rPr>
                <w:rFonts w:cs="Times New Roman"/>
                <w:sz w:val="21"/>
                <w:szCs w:val="21"/>
                <w:lang w:val="lt-LT"/>
              </w:rPr>
            </w:pPr>
            <w:r w:rsidRPr="003878A7">
              <w:rPr>
                <w:rFonts w:cs="Times New Roman"/>
                <w:sz w:val="21"/>
                <w:szCs w:val="21"/>
                <w:lang w:val="lt-LT"/>
              </w:rPr>
              <w:t>5757 tūkst. kv. m.</w:t>
            </w:r>
          </w:p>
        </w:tc>
        <w:tc>
          <w:tcPr>
            <w:tcW w:w="1667" w:type="pct"/>
          </w:tcPr>
          <w:p w14:paraId="04BD1E4C" w14:textId="57943B9D" w:rsidR="00443195" w:rsidRPr="003878A7" w:rsidRDefault="00443195" w:rsidP="00BF623D">
            <w:pPr>
              <w:spacing w:before="0" w:after="0"/>
              <w:ind w:firstLine="0"/>
              <w:jc w:val="center"/>
              <w:rPr>
                <w:rFonts w:cs="Times New Roman"/>
                <w:sz w:val="21"/>
                <w:szCs w:val="21"/>
                <w:lang w:val="lt-LT"/>
              </w:rPr>
            </w:pPr>
            <w:r w:rsidRPr="003878A7">
              <w:rPr>
                <w:rFonts w:cs="Times New Roman"/>
                <w:sz w:val="21"/>
                <w:szCs w:val="21"/>
                <w:lang w:val="lt-LT"/>
              </w:rPr>
              <w:t>9304 tūks</w:t>
            </w:r>
            <w:r w:rsidR="003878A7">
              <w:rPr>
                <w:rFonts w:cs="Times New Roman"/>
                <w:sz w:val="21"/>
                <w:szCs w:val="21"/>
                <w:lang w:val="lt-LT"/>
              </w:rPr>
              <w:t>t</w:t>
            </w:r>
            <w:r w:rsidRPr="003878A7">
              <w:rPr>
                <w:rFonts w:cs="Times New Roman"/>
                <w:sz w:val="21"/>
                <w:szCs w:val="21"/>
                <w:lang w:val="lt-LT"/>
              </w:rPr>
              <w:t>. Eur</w:t>
            </w:r>
          </w:p>
        </w:tc>
      </w:tr>
      <w:tr w:rsidR="00443195" w:rsidRPr="003878A7" w14:paraId="36E903B3" w14:textId="42414B1E" w:rsidTr="0031223D">
        <w:tc>
          <w:tcPr>
            <w:tcW w:w="1666" w:type="pct"/>
          </w:tcPr>
          <w:p w14:paraId="0EF975A4" w14:textId="77777777" w:rsidR="00443195" w:rsidRPr="003878A7" w:rsidRDefault="00443195" w:rsidP="00BF623D">
            <w:pPr>
              <w:spacing w:before="0" w:after="0"/>
              <w:ind w:firstLine="0"/>
              <w:rPr>
                <w:rFonts w:cs="Times New Roman"/>
                <w:sz w:val="21"/>
                <w:szCs w:val="21"/>
                <w:lang w:val="lt-LT"/>
              </w:rPr>
            </w:pPr>
            <w:r w:rsidRPr="003878A7">
              <w:rPr>
                <w:rFonts w:cs="Times New Roman"/>
                <w:sz w:val="21"/>
                <w:szCs w:val="21"/>
                <w:lang w:val="lt-LT"/>
              </w:rPr>
              <w:t xml:space="preserve">Renovuotų pastatų EE suvartojimo </w:t>
            </w:r>
            <w:r w:rsidRPr="003878A7">
              <w:rPr>
                <w:rFonts w:cs="Times New Roman"/>
                <w:sz w:val="21"/>
                <w:szCs w:val="21"/>
                <w:lang w:val="lt-LT"/>
              </w:rPr>
              <w:lastRenderedPageBreak/>
              <w:t>sumažėjimas, ne mažiau kaip</w:t>
            </w:r>
          </w:p>
        </w:tc>
        <w:tc>
          <w:tcPr>
            <w:tcW w:w="1667" w:type="pct"/>
          </w:tcPr>
          <w:p w14:paraId="1322BE3E" w14:textId="77777777" w:rsidR="00443195" w:rsidRPr="003878A7" w:rsidRDefault="00443195" w:rsidP="00BF623D">
            <w:pPr>
              <w:spacing w:before="0" w:after="0"/>
              <w:ind w:firstLine="0"/>
              <w:jc w:val="center"/>
              <w:rPr>
                <w:rFonts w:cs="Times New Roman"/>
                <w:sz w:val="21"/>
                <w:szCs w:val="21"/>
                <w:lang w:val="lt-LT"/>
              </w:rPr>
            </w:pPr>
            <w:r w:rsidRPr="003878A7">
              <w:rPr>
                <w:rFonts w:cs="Times New Roman"/>
                <w:sz w:val="21"/>
                <w:szCs w:val="21"/>
                <w:lang w:val="lt-LT"/>
              </w:rPr>
              <w:lastRenderedPageBreak/>
              <w:t>40 proc.</w:t>
            </w:r>
          </w:p>
        </w:tc>
        <w:tc>
          <w:tcPr>
            <w:tcW w:w="1667" w:type="pct"/>
          </w:tcPr>
          <w:p w14:paraId="5DEB9BDB" w14:textId="39C9F2B5" w:rsidR="00443195" w:rsidRPr="003878A7" w:rsidRDefault="00443195" w:rsidP="00BF623D">
            <w:pPr>
              <w:spacing w:before="0" w:after="0"/>
              <w:ind w:firstLine="0"/>
              <w:jc w:val="center"/>
              <w:rPr>
                <w:rFonts w:cs="Times New Roman"/>
                <w:sz w:val="21"/>
                <w:szCs w:val="21"/>
                <w:lang w:val="lt-LT"/>
              </w:rPr>
            </w:pPr>
            <w:r w:rsidRPr="003878A7">
              <w:rPr>
                <w:rFonts w:cs="Times New Roman"/>
                <w:sz w:val="21"/>
                <w:szCs w:val="21"/>
                <w:lang w:val="lt-LT"/>
              </w:rPr>
              <w:t>Kuo daugiau</w:t>
            </w:r>
          </w:p>
        </w:tc>
      </w:tr>
      <w:tr w:rsidR="00443195" w:rsidRPr="003878A7" w14:paraId="32A90ECA" w14:textId="1AF8F942" w:rsidTr="0031223D">
        <w:tc>
          <w:tcPr>
            <w:tcW w:w="1666" w:type="pct"/>
          </w:tcPr>
          <w:p w14:paraId="243FC631" w14:textId="5C9404A9" w:rsidR="00443195" w:rsidRPr="003878A7" w:rsidRDefault="00443195" w:rsidP="00BF623D">
            <w:pPr>
              <w:spacing w:before="0" w:after="0"/>
              <w:ind w:firstLine="0"/>
              <w:rPr>
                <w:rFonts w:cs="Times New Roman"/>
                <w:sz w:val="21"/>
                <w:szCs w:val="21"/>
                <w:lang w:val="lt-LT"/>
              </w:rPr>
            </w:pPr>
            <w:r w:rsidRPr="003878A7">
              <w:rPr>
                <w:rFonts w:cs="Times New Roman"/>
                <w:sz w:val="21"/>
                <w:szCs w:val="21"/>
                <w:lang w:val="lt-LT"/>
              </w:rPr>
              <w:t xml:space="preserve">Pasiekta EE klasė </w:t>
            </w:r>
            <w:r w:rsidR="0031223D" w:rsidRPr="003878A7">
              <w:rPr>
                <w:rFonts w:cs="Times New Roman"/>
                <w:sz w:val="21"/>
                <w:szCs w:val="21"/>
                <w:lang w:val="lt-LT"/>
              </w:rPr>
              <w:t>renovuotuose</w:t>
            </w:r>
            <w:r w:rsidRPr="003878A7">
              <w:rPr>
                <w:rFonts w:cs="Times New Roman"/>
                <w:sz w:val="21"/>
                <w:szCs w:val="21"/>
                <w:lang w:val="lt-LT"/>
              </w:rPr>
              <w:t xml:space="preserve"> pastatuose, ne mažesnė kaip</w:t>
            </w:r>
          </w:p>
        </w:tc>
        <w:tc>
          <w:tcPr>
            <w:tcW w:w="1667" w:type="pct"/>
          </w:tcPr>
          <w:p w14:paraId="3DA30950" w14:textId="77777777" w:rsidR="00443195" w:rsidRPr="003878A7" w:rsidRDefault="00443195" w:rsidP="00BF623D">
            <w:pPr>
              <w:spacing w:before="0" w:after="0"/>
              <w:ind w:firstLine="0"/>
              <w:jc w:val="center"/>
              <w:rPr>
                <w:rFonts w:cs="Times New Roman"/>
                <w:sz w:val="21"/>
                <w:szCs w:val="21"/>
                <w:lang w:val="lt-LT"/>
              </w:rPr>
            </w:pPr>
            <w:r w:rsidRPr="003878A7">
              <w:rPr>
                <w:rFonts w:cs="Times New Roman"/>
                <w:sz w:val="21"/>
                <w:szCs w:val="21"/>
                <w:lang w:val="lt-LT"/>
              </w:rPr>
              <w:t>C</w:t>
            </w:r>
          </w:p>
        </w:tc>
        <w:tc>
          <w:tcPr>
            <w:tcW w:w="1667" w:type="pct"/>
          </w:tcPr>
          <w:p w14:paraId="5C7F1571" w14:textId="1370DD9A" w:rsidR="00443195" w:rsidRPr="003878A7" w:rsidRDefault="00443195" w:rsidP="00BF623D">
            <w:pPr>
              <w:spacing w:before="0" w:after="0"/>
              <w:ind w:firstLine="0"/>
              <w:jc w:val="center"/>
              <w:rPr>
                <w:rFonts w:cs="Times New Roman"/>
                <w:sz w:val="21"/>
                <w:szCs w:val="21"/>
                <w:lang w:val="lt-LT"/>
              </w:rPr>
            </w:pPr>
            <w:r w:rsidRPr="003878A7">
              <w:rPr>
                <w:rFonts w:cs="Times New Roman"/>
                <w:sz w:val="21"/>
                <w:szCs w:val="21"/>
                <w:lang w:val="lt-LT"/>
              </w:rPr>
              <w:t>C</w:t>
            </w:r>
          </w:p>
        </w:tc>
      </w:tr>
    </w:tbl>
    <w:p w14:paraId="2CFEA8A4" w14:textId="077554DA" w:rsidR="00BF623D" w:rsidRPr="003878A7" w:rsidRDefault="00BF623D" w:rsidP="00BF623D">
      <w:pPr>
        <w:spacing w:after="0"/>
        <w:rPr>
          <w:rFonts w:cs="Times New Roman"/>
          <w:sz w:val="20"/>
          <w:szCs w:val="20"/>
        </w:rPr>
      </w:pPr>
      <w:r w:rsidRPr="003878A7">
        <w:rPr>
          <w:rFonts w:cs="Times New Roman"/>
          <w:sz w:val="20"/>
          <w:szCs w:val="20"/>
        </w:rPr>
        <w:t>Šaltinis: sudaryta Vertintojų</w:t>
      </w:r>
    </w:p>
    <w:p w14:paraId="09BAEB94" w14:textId="1ED47DEF" w:rsidR="0025664D" w:rsidRPr="003878A7" w:rsidRDefault="0025664D" w:rsidP="0025664D">
      <w:pPr>
        <w:ind w:firstLine="0"/>
        <w:rPr>
          <w:rFonts w:cs="Times New Roman"/>
          <w:i/>
          <w:iCs/>
        </w:rPr>
      </w:pPr>
      <w:r w:rsidRPr="003878A7">
        <w:rPr>
          <w:rFonts w:cs="Times New Roman"/>
          <w:i/>
          <w:iCs/>
        </w:rPr>
        <w:t>Lentelė Nr. 2</w:t>
      </w:r>
      <w:r>
        <w:rPr>
          <w:rFonts w:cs="Times New Roman"/>
          <w:i/>
          <w:iCs/>
        </w:rPr>
        <w:t>1.</w:t>
      </w:r>
      <w:r w:rsidRPr="003878A7">
        <w:rPr>
          <w:rFonts w:cs="Times New Roman"/>
          <w:i/>
          <w:iCs/>
        </w:rPr>
        <w:t xml:space="preserve"> Tikėtini </w:t>
      </w:r>
      <w:r>
        <w:rPr>
          <w:rFonts w:cs="Times New Roman"/>
          <w:i/>
          <w:iCs/>
        </w:rPr>
        <w:t>paskolų per platformą</w:t>
      </w:r>
      <w:r w:rsidRPr="003878A7">
        <w:rPr>
          <w:rFonts w:cs="Times New Roman"/>
          <w:i/>
          <w:iCs/>
        </w:rPr>
        <w:t xml:space="preserve"> rezultatai daugiabučių namų modernizavimui</w:t>
      </w:r>
    </w:p>
    <w:tbl>
      <w:tblPr>
        <w:tblStyle w:val="TableGrid1"/>
        <w:tblW w:w="5000" w:type="pct"/>
        <w:tblLook w:val="04A0" w:firstRow="1" w:lastRow="0" w:firstColumn="1" w:lastColumn="0" w:noHBand="0" w:noVBand="1"/>
      </w:tblPr>
      <w:tblGrid>
        <w:gridCol w:w="4970"/>
        <w:gridCol w:w="4884"/>
      </w:tblGrid>
      <w:tr w:rsidR="0025664D" w:rsidRPr="0025664D" w14:paraId="552930CE" w14:textId="77777777" w:rsidTr="00BC7F27">
        <w:tc>
          <w:tcPr>
            <w:tcW w:w="2522" w:type="pct"/>
          </w:tcPr>
          <w:p w14:paraId="1D5A52E3" w14:textId="77777777" w:rsidR="0025664D" w:rsidRPr="0025664D" w:rsidRDefault="0025664D" w:rsidP="0025664D">
            <w:pPr>
              <w:spacing w:before="0" w:after="0" w:line="240" w:lineRule="atLeast"/>
              <w:ind w:firstLine="0"/>
              <w:rPr>
                <w:rFonts w:eastAsia="Calibri" w:cs="Times New Roman"/>
                <w:sz w:val="21"/>
                <w:szCs w:val="21"/>
              </w:rPr>
            </w:pPr>
            <w:r w:rsidRPr="0025664D">
              <w:rPr>
                <w:rFonts w:eastAsia="Calibri" w:cs="Times New Roman"/>
                <w:sz w:val="21"/>
                <w:szCs w:val="21"/>
              </w:rPr>
              <w:t>RPF lėšos ir iš Jessica KF grįžusios lėšos</w:t>
            </w:r>
          </w:p>
        </w:tc>
        <w:tc>
          <w:tcPr>
            <w:tcW w:w="2478" w:type="pct"/>
          </w:tcPr>
          <w:p w14:paraId="2D2A91D4" w14:textId="5D0A19CE" w:rsidR="0025664D" w:rsidRPr="0025664D" w:rsidRDefault="0025664D" w:rsidP="0025664D">
            <w:pPr>
              <w:spacing w:before="0" w:after="0" w:line="240" w:lineRule="atLeast"/>
              <w:ind w:firstLine="0"/>
              <w:rPr>
                <w:rFonts w:eastAsia="Calibri" w:cs="Times New Roman"/>
                <w:sz w:val="21"/>
                <w:szCs w:val="21"/>
              </w:rPr>
            </w:pPr>
            <w:r w:rsidRPr="0025664D">
              <w:rPr>
                <w:rFonts w:eastAsia="Calibri" w:cs="Times New Roman"/>
                <w:sz w:val="21"/>
                <w:szCs w:val="21"/>
              </w:rPr>
              <w:t>50 mln. E</w:t>
            </w:r>
            <w:r>
              <w:rPr>
                <w:rFonts w:eastAsia="Calibri" w:cs="Times New Roman"/>
                <w:sz w:val="21"/>
                <w:szCs w:val="21"/>
              </w:rPr>
              <w:t>ur</w:t>
            </w:r>
          </w:p>
        </w:tc>
      </w:tr>
      <w:tr w:rsidR="0025664D" w:rsidRPr="0025664D" w14:paraId="6622B5AD" w14:textId="77777777" w:rsidTr="00BC7F27">
        <w:tc>
          <w:tcPr>
            <w:tcW w:w="2522" w:type="pct"/>
          </w:tcPr>
          <w:p w14:paraId="284230EB" w14:textId="77777777" w:rsidR="0025664D" w:rsidRPr="0025664D" w:rsidRDefault="0025664D" w:rsidP="0025664D">
            <w:pPr>
              <w:spacing w:before="0" w:after="0" w:line="240" w:lineRule="atLeast"/>
              <w:ind w:firstLine="0"/>
              <w:rPr>
                <w:rFonts w:eastAsia="Calibri" w:cs="Times New Roman"/>
                <w:sz w:val="21"/>
                <w:szCs w:val="21"/>
              </w:rPr>
            </w:pPr>
            <w:r w:rsidRPr="0025664D">
              <w:rPr>
                <w:rFonts w:eastAsia="Calibri" w:cs="Times New Roman"/>
                <w:sz w:val="21"/>
                <w:szCs w:val="21"/>
              </w:rPr>
              <w:t>Komercinių bankų esamas/planuojamas prisidėjimas</w:t>
            </w:r>
          </w:p>
        </w:tc>
        <w:tc>
          <w:tcPr>
            <w:tcW w:w="2478" w:type="pct"/>
          </w:tcPr>
          <w:p w14:paraId="0E5B784C" w14:textId="5446820F" w:rsidR="0025664D" w:rsidRPr="0025664D" w:rsidRDefault="0025664D" w:rsidP="0025664D">
            <w:pPr>
              <w:spacing w:before="0" w:after="0" w:line="240" w:lineRule="atLeast"/>
              <w:ind w:firstLine="0"/>
              <w:rPr>
                <w:rFonts w:eastAsia="Calibri" w:cs="Times New Roman"/>
                <w:sz w:val="21"/>
                <w:szCs w:val="21"/>
              </w:rPr>
            </w:pPr>
            <w:r w:rsidRPr="0025664D">
              <w:rPr>
                <w:rFonts w:eastAsia="Calibri" w:cs="Times New Roman"/>
                <w:sz w:val="21"/>
                <w:szCs w:val="21"/>
              </w:rPr>
              <w:t>200 mln. E</w:t>
            </w:r>
            <w:r>
              <w:rPr>
                <w:rFonts w:eastAsia="Calibri" w:cs="Times New Roman"/>
                <w:sz w:val="21"/>
                <w:szCs w:val="21"/>
              </w:rPr>
              <w:t>ur</w:t>
            </w:r>
          </w:p>
        </w:tc>
      </w:tr>
      <w:tr w:rsidR="0025664D" w:rsidRPr="0025664D" w14:paraId="670168DF" w14:textId="77777777" w:rsidTr="00BC7F27">
        <w:tc>
          <w:tcPr>
            <w:tcW w:w="2522" w:type="pct"/>
          </w:tcPr>
          <w:p w14:paraId="5CA0A548" w14:textId="77777777" w:rsidR="0025664D" w:rsidRPr="0025664D" w:rsidRDefault="0025664D" w:rsidP="0025664D">
            <w:pPr>
              <w:spacing w:before="0" w:after="0" w:line="240" w:lineRule="atLeast"/>
              <w:ind w:firstLine="0"/>
              <w:rPr>
                <w:rFonts w:eastAsia="Calibri" w:cs="Times New Roman"/>
                <w:sz w:val="21"/>
                <w:szCs w:val="21"/>
              </w:rPr>
            </w:pPr>
            <w:r w:rsidRPr="0025664D">
              <w:rPr>
                <w:rFonts w:eastAsia="Calibri" w:cs="Times New Roman"/>
                <w:sz w:val="21"/>
                <w:szCs w:val="21"/>
              </w:rPr>
              <w:t>Galutinius naudos gavėjus pasiekusios lėšos</w:t>
            </w:r>
          </w:p>
        </w:tc>
        <w:tc>
          <w:tcPr>
            <w:tcW w:w="2478" w:type="pct"/>
          </w:tcPr>
          <w:p w14:paraId="19F1A987" w14:textId="3D57B0F3" w:rsidR="0025664D" w:rsidRPr="0025664D" w:rsidRDefault="0025664D" w:rsidP="0025664D">
            <w:pPr>
              <w:spacing w:before="0" w:after="0" w:line="240" w:lineRule="atLeast"/>
              <w:ind w:firstLine="0"/>
              <w:rPr>
                <w:rFonts w:eastAsia="Calibri" w:cs="Times New Roman"/>
                <w:sz w:val="21"/>
                <w:szCs w:val="21"/>
              </w:rPr>
            </w:pPr>
            <w:r w:rsidRPr="0025664D">
              <w:rPr>
                <w:rFonts w:eastAsia="Calibri" w:cs="Times New Roman"/>
                <w:sz w:val="21"/>
                <w:szCs w:val="21"/>
              </w:rPr>
              <w:t>250 mln. E</w:t>
            </w:r>
            <w:r>
              <w:rPr>
                <w:rFonts w:eastAsia="Calibri" w:cs="Times New Roman"/>
                <w:sz w:val="21"/>
                <w:szCs w:val="21"/>
              </w:rPr>
              <w:t>ur</w:t>
            </w:r>
          </w:p>
        </w:tc>
      </w:tr>
      <w:tr w:rsidR="0025664D" w:rsidRPr="0025664D" w14:paraId="21080EFD" w14:textId="77777777" w:rsidTr="00BC7F27">
        <w:tc>
          <w:tcPr>
            <w:tcW w:w="2522" w:type="pct"/>
          </w:tcPr>
          <w:p w14:paraId="3C212222" w14:textId="77777777" w:rsidR="0025664D" w:rsidRPr="0025664D" w:rsidRDefault="0025664D" w:rsidP="0025664D">
            <w:pPr>
              <w:spacing w:before="0" w:after="0" w:line="240" w:lineRule="atLeast"/>
              <w:ind w:firstLine="0"/>
              <w:rPr>
                <w:rFonts w:eastAsia="Calibri" w:cs="Times New Roman"/>
                <w:sz w:val="21"/>
                <w:szCs w:val="21"/>
              </w:rPr>
            </w:pPr>
            <w:r w:rsidRPr="0025664D">
              <w:rPr>
                <w:rFonts w:eastAsia="Calibri" w:cs="Times New Roman"/>
                <w:sz w:val="21"/>
                <w:szCs w:val="21"/>
              </w:rPr>
              <w:t>Renovuotų pastatų skaičius iki 2023 m.</w:t>
            </w:r>
          </w:p>
        </w:tc>
        <w:tc>
          <w:tcPr>
            <w:tcW w:w="2478" w:type="pct"/>
          </w:tcPr>
          <w:p w14:paraId="5E273423" w14:textId="77777777" w:rsidR="0025664D" w:rsidRPr="0025664D" w:rsidRDefault="0025664D" w:rsidP="0025664D">
            <w:pPr>
              <w:spacing w:before="0" w:after="0" w:line="240" w:lineRule="atLeast"/>
              <w:ind w:firstLine="0"/>
              <w:rPr>
                <w:rFonts w:eastAsia="Calibri" w:cs="Times New Roman"/>
                <w:sz w:val="21"/>
                <w:szCs w:val="21"/>
              </w:rPr>
            </w:pPr>
            <w:r w:rsidRPr="0025664D">
              <w:rPr>
                <w:rFonts w:eastAsia="Calibri" w:cs="Times New Roman"/>
                <w:sz w:val="21"/>
                <w:szCs w:val="21"/>
              </w:rPr>
              <w:t>550</w:t>
            </w:r>
          </w:p>
        </w:tc>
      </w:tr>
      <w:tr w:rsidR="0025664D" w:rsidRPr="0025664D" w14:paraId="35032C41" w14:textId="77777777" w:rsidTr="00BC7F27">
        <w:tc>
          <w:tcPr>
            <w:tcW w:w="2522" w:type="pct"/>
          </w:tcPr>
          <w:p w14:paraId="4D33C571" w14:textId="77777777" w:rsidR="0025664D" w:rsidRPr="0025664D" w:rsidRDefault="0025664D" w:rsidP="0025664D">
            <w:pPr>
              <w:spacing w:before="0" w:after="0" w:line="240" w:lineRule="atLeast"/>
              <w:ind w:firstLine="0"/>
              <w:rPr>
                <w:rFonts w:eastAsia="Calibri" w:cs="Times New Roman"/>
                <w:sz w:val="21"/>
                <w:szCs w:val="21"/>
              </w:rPr>
            </w:pPr>
            <w:r w:rsidRPr="0025664D">
              <w:rPr>
                <w:rFonts w:eastAsia="Calibri" w:cs="Times New Roman"/>
                <w:sz w:val="21"/>
                <w:szCs w:val="21"/>
              </w:rPr>
              <w:t>Sverto efektas</w:t>
            </w:r>
          </w:p>
        </w:tc>
        <w:tc>
          <w:tcPr>
            <w:tcW w:w="2478" w:type="pct"/>
          </w:tcPr>
          <w:p w14:paraId="562A6F78" w14:textId="77777777" w:rsidR="0025664D" w:rsidRPr="0025664D" w:rsidRDefault="0025664D" w:rsidP="0025664D">
            <w:pPr>
              <w:spacing w:before="0" w:after="0" w:line="240" w:lineRule="atLeast"/>
              <w:ind w:firstLine="0"/>
              <w:rPr>
                <w:rFonts w:eastAsia="Calibri" w:cs="Times New Roman"/>
                <w:sz w:val="21"/>
                <w:szCs w:val="21"/>
              </w:rPr>
            </w:pPr>
            <w:r w:rsidRPr="0025664D">
              <w:rPr>
                <w:rFonts w:eastAsia="Calibri" w:cs="Times New Roman"/>
                <w:sz w:val="21"/>
                <w:szCs w:val="21"/>
              </w:rPr>
              <w:t>5</w:t>
            </w:r>
          </w:p>
        </w:tc>
      </w:tr>
      <w:tr w:rsidR="0025664D" w:rsidRPr="0025664D" w14:paraId="0684B81D" w14:textId="77777777" w:rsidTr="00BC7F27">
        <w:tc>
          <w:tcPr>
            <w:tcW w:w="2522" w:type="pct"/>
          </w:tcPr>
          <w:p w14:paraId="55C59566" w14:textId="77777777" w:rsidR="0025664D" w:rsidRPr="0025664D" w:rsidRDefault="0025664D" w:rsidP="0025664D">
            <w:pPr>
              <w:spacing w:before="0" w:after="0" w:line="240" w:lineRule="atLeast"/>
              <w:ind w:firstLine="0"/>
              <w:rPr>
                <w:rFonts w:eastAsia="Calibri" w:cs="Times New Roman"/>
                <w:sz w:val="21"/>
                <w:szCs w:val="21"/>
              </w:rPr>
            </w:pPr>
            <w:r w:rsidRPr="0025664D">
              <w:rPr>
                <w:rFonts w:eastAsia="Calibri" w:cs="Times New Roman"/>
                <w:sz w:val="21"/>
                <w:szCs w:val="21"/>
              </w:rPr>
              <w:t>Renovuotų namų energijos efektyvumo suvartojimo sumažėjimas ne mažiau kaip</w:t>
            </w:r>
          </w:p>
        </w:tc>
        <w:tc>
          <w:tcPr>
            <w:tcW w:w="2478" w:type="pct"/>
          </w:tcPr>
          <w:p w14:paraId="18015774" w14:textId="77777777" w:rsidR="0025664D" w:rsidRPr="0025664D" w:rsidRDefault="0025664D" w:rsidP="0025664D">
            <w:pPr>
              <w:spacing w:before="0" w:after="0" w:line="240" w:lineRule="atLeast"/>
              <w:ind w:firstLine="0"/>
              <w:rPr>
                <w:rFonts w:eastAsia="Calibri" w:cs="Times New Roman"/>
                <w:sz w:val="21"/>
                <w:szCs w:val="21"/>
              </w:rPr>
            </w:pPr>
            <w:r w:rsidRPr="0025664D">
              <w:rPr>
                <w:rFonts w:eastAsia="Calibri" w:cs="Times New Roman"/>
                <w:sz w:val="21"/>
                <w:szCs w:val="21"/>
              </w:rPr>
              <w:t>40%</w:t>
            </w:r>
          </w:p>
        </w:tc>
      </w:tr>
      <w:tr w:rsidR="0025664D" w:rsidRPr="0025664D" w14:paraId="64C972F6" w14:textId="77777777" w:rsidTr="00BC7F27">
        <w:tc>
          <w:tcPr>
            <w:tcW w:w="2522" w:type="pct"/>
          </w:tcPr>
          <w:p w14:paraId="2C97E224" w14:textId="77777777" w:rsidR="0025664D" w:rsidRPr="0025664D" w:rsidRDefault="0025664D" w:rsidP="0025664D">
            <w:pPr>
              <w:spacing w:before="0" w:after="0" w:line="240" w:lineRule="atLeast"/>
              <w:ind w:firstLine="0"/>
              <w:rPr>
                <w:rFonts w:eastAsia="Calibri" w:cs="Times New Roman"/>
                <w:sz w:val="21"/>
                <w:szCs w:val="21"/>
              </w:rPr>
            </w:pPr>
            <w:r w:rsidRPr="0025664D">
              <w:rPr>
                <w:rFonts w:eastAsia="Calibri" w:cs="Times New Roman"/>
                <w:sz w:val="21"/>
                <w:szCs w:val="21"/>
              </w:rPr>
              <w:t xml:space="preserve">Pasiekta energetinio efektyvumo klasė ne mažiau kaip </w:t>
            </w:r>
          </w:p>
        </w:tc>
        <w:tc>
          <w:tcPr>
            <w:tcW w:w="2478" w:type="pct"/>
          </w:tcPr>
          <w:p w14:paraId="59CB3BFE" w14:textId="77777777" w:rsidR="0025664D" w:rsidRPr="0025664D" w:rsidRDefault="0025664D" w:rsidP="0025664D">
            <w:pPr>
              <w:spacing w:before="0" w:after="0" w:line="240" w:lineRule="atLeast"/>
              <w:ind w:firstLine="0"/>
              <w:rPr>
                <w:rFonts w:eastAsia="Calibri" w:cs="Times New Roman"/>
                <w:sz w:val="21"/>
                <w:szCs w:val="21"/>
              </w:rPr>
            </w:pPr>
            <w:r w:rsidRPr="0025664D">
              <w:rPr>
                <w:rFonts w:eastAsia="Calibri" w:cs="Times New Roman"/>
                <w:sz w:val="21"/>
                <w:szCs w:val="21"/>
              </w:rPr>
              <w:t>C</w:t>
            </w:r>
          </w:p>
        </w:tc>
      </w:tr>
      <w:tr w:rsidR="0025664D" w:rsidRPr="0025664D" w14:paraId="5C79B71F" w14:textId="77777777" w:rsidTr="00BC7F27">
        <w:tc>
          <w:tcPr>
            <w:tcW w:w="2522" w:type="pct"/>
          </w:tcPr>
          <w:p w14:paraId="1F4C3298" w14:textId="77777777" w:rsidR="0025664D" w:rsidRPr="0025664D" w:rsidRDefault="0025664D" w:rsidP="0025664D">
            <w:pPr>
              <w:spacing w:before="0" w:after="0" w:line="240" w:lineRule="atLeast"/>
              <w:ind w:firstLine="0"/>
              <w:rPr>
                <w:rFonts w:eastAsia="Calibri" w:cs="Times New Roman"/>
                <w:b/>
                <w:sz w:val="21"/>
                <w:szCs w:val="21"/>
              </w:rPr>
            </w:pPr>
            <w:r w:rsidRPr="0025664D">
              <w:rPr>
                <w:rFonts w:eastAsia="Calibri" w:cs="Times New Roman"/>
                <w:b/>
                <w:sz w:val="21"/>
                <w:szCs w:val="21"/>
              </w:rPr>
              <w:t>Likusi finansavimo paklausa</w:t>
            </w:r>
          </w:p>
        </w:tc>
        <w:tc>
          <w:tcPr>
            <w:tcW w:w="2478" w:type="pct"/>
          </w:tcPr>
          <w:p w14:paraId="493DA1EC" w14:textId="4727C87C" w:rsidR="0025664D" w:rsidRPr="0025664D" w:rsidRDefault="0025664D" w:rsidP="0025664D">
            <w:pPr>
              <w:spacing w:before="0" w:after="0" w:line="240" w:lineRule="atLeast"/>
              <w:ind w:firstLine="0"/>
              <w:rPr>
                <w:rFonts w:eastAsia="Calibri" w:cs="Times New Roman"/>
                <w:b/>
                <w:sz w:val="21"/>
                <w:szCs w:val="21"/>
              </w:rPr>
            </w:pPr>
            <w:r w:rsidRPr="0025664D">
              <w:rPr>
                <w:rFonts w:eastAsia="Calibri" w:cs="Times New Roman"/>
                <w:b/>
                <w:sz w:val="21"/>
                <w:szCs w:val="21"/>
              </w:rPr>
              <w:t xml:space="preserve">932 mln. EUR – 1,132 mlrd. </w:t>
            </w:r>
            <w:r>
              <w:rPr>
                <w:rFonts w:eastAsia="Calibri" w:cs="Times New Roman"/>
                <w:b/>
                <w:sz w:val="21"/>
                <w:szCs w:val="21"/>
              </w:rPr>
              <w:t>Eur</w:t>
            </w:r>
          </w:p>
        </w:tc>
      </w:tr>
    </w:tbl>
    <w:p w14:paraId="08556A4D" w14:textId="77777777" w:rsidR="0025664D" w:rsidRPr="003878A7" w:rsidRDefault="0025664D" w:rsidP="0025664D">
      <w:pPr>
        <w:spacing w:after="0"/>
        <w:rPr>
          <w:rFonts w:cs="Times New Roman"/>
          <w:sz w:val="20"/>
          <w:szCs w:val="20"/>
        </w:rPr>
      </w:pPr>
      <w:r w:rsidRPr="003878A7">
        <w:rPr>
          <w:rFonts w:cs="Times New Roman"/>
          <w:sz w:val="20"/>
          <w:szCs w:val="20"/>
        </w:rPr>
        <w:t>Šaltinis: sudaryta Vertintojų</w:t>
      </w:r>
    </w:p>
    <w:p w14:paraId="3B44F04F" w14:textId="1E8625AC" w:rsidR="00F16BEC" w:rsidRPr="003878A7" w:rsidRDefault="00F16BEC" w:rsidP="009B2AF3">
      <w:pPr>
        <w:rPr>
          <w:rFonts w:cs="Times New Roman"/>
        </w:rPr>
      </w:pPr>
      <w:r w:rsidRPr="003878A7">
        <w:rPr>
          <w:rFonts w:cs="Times New Roman"/>
        </w:rPr>
        <w:t xml:space="preserve">Daugiabučių namų modernizavimo projektais yra taip pat prisidedama ir prie Daugiabučių namų atnaujinimo (modernizavimo) programos, VP ir NENS tikslų įgyvendinimo. </w:t>
      </w:r>
    </w:p>
    <w:p w14:paraId="234359FE" w14:textId="1336C6A2" w:rsidR="009B2AF3" w:rsidRPr="003878A7" w:rsidRDefault="009B2AF3" w:rsidP="009B2AF3">
      <w:pPr>
        <w:ind w:firstLine="0"/>
        <w:rPr>
          <w:rFonts w:cs="Times New Roman"/>
          <w:i/>
          <w:iCs/>
        </w:rPr>
      </w:pPr>
      <w:r w:rsidRPr="003878A7">
        <w:rPr>
          <w:rFonts w:cs="Times New Roman"/>
          <w:i/>
          <w:iCs/>
        </w:rPr>
        <w:t>Lentelė Nr. 2</w:t>
      </w:r>
      <w:r w:rsidR="0025664D">
        <w:rPr>
          <w:rFonts w:cs="Times New Roman"/>
          <w:i/>
          <w:iCs/>
        </w:rPr>
        <w:t>2</w:t>
      </w:r>
      <w:r w:rsidR="006D7B19">
        <w:rPr>
          <w:rFonts w:cs="Times New Roman"/>
          <w:i/>
          <w:iCs/>
        </w:rPr>
        <w:t>.</w:t>
      </w:r>
      <w:r w:rsidRPr="003878A7">
        <w:rPr>
          <w:rFonts w:cs="Times New Roman"/>
          <w:i/>
          <w:iCs/>
        </w:rPr>
        <w:t xml:space="preserve"> Tikėtini daugiabučių namų modernizavimo energijos sutaupymo ir taršos mažinimo rezultatai</w:t>
      </w:r>
    </w:p>
    <w:tbl>
      <w:tblPr>
        <w:tblStyle w:val="TableGrid"/>
        <w:tblW w:w="5000" w:type="pct"/>
        <w:tblLook w:val="04A0" w:firstRow="1" w:lastRow="0" w:firstColumn="1" w:lastColumn="0" w:noHBand="0" w:noVBand="1"/>
      </w:tblPr>
      <w:tblGrid>
        <w:gridCol w:w="3469"/>
        <w:gridCol w:w="2974"/>
        <w:gridCol w:w="3411"/>
      </w:tblGrid>
      <w:tr w:rsidR="00F16BEC" w:rsidRPr="003878A7" w14:paraId="59FAA036" w14:textId="77777777" w:rsidTr="009B2AF3">
        <w:tc>
          <w:tcPr>
            <w:tcW w:w="1760" w:type="pct"/>
            <w:vAlign w:val="center"/>
          </w:tcPr>
          <w:p w14:paraId="3ED13AB6" w14:textId="77777777" w:rsidR="00F16BEC" w:rsidRPr="003878A7" w:rsidRDefault="00F16BEC" w:rsidP="003878A7">
            <w:pPr>
              <w:spacing w:before="0" w:after="0"/>
              <w:ind w:firstLine="0"/>
              <w:jc w:val="left"/>
              <w:rPr>
                <w:rFonts w:cs="Times New Roman"/>
                <w:b/>
                <w:bCs/>
                <w:sz w:val="21"/>
                <w:szCs w:val="21"/>
                <w:lang w:val="lt-LT"/>
              </w:rPr>
            </w:pPr>
            <w:r w:rsidRPr="003878A7">
              <w:rPr>
                <w:rFonts w:cs="Times New Roman"/>
                <w:b/>
                <w:bCs/>
                <w:sz w:val="21"/>
                <w:szCs w:val="21"/>
                <w:lang w:val="lt-LT"/>
              </w:rPr>
              <w:t>Rodiklis</w:t>
            </w:r>
          </w:p>
        </w:tc>
        <w:tc>
          <w:tcPr>
            <w:tcW w:w="1509" w:type="pct"/>
            <w:vAlign w:val="center"/>
          </w:tcPr>
          <w:p w14:paraId="7BC63EFE" w14:textId="77777777" w:rsidR="00F16BEC" w:rsidRPr="003878A7" w:rsidRDefault="00F16BEC" w:rsidP="003878A7">
            <w:pPr>
              <w:spacing w:before="0" w:after="0"/>
              <w:ind w:firstLine="0"/>
              <w:jc w:val="left"/>
              <w:rPr>
                <w:rFonts w:cs="Times New Roman"/>
                <w:b/>
                <w:bCs/>
                <w:sz w:val="21"/>
                <w:szCs w:val="21"/>
                <w:lang w:val="lt-LT"/>
              </w:rPr>
            </w:pPr>
            <w:r w:rsidRPr="003878A7">
              <w:rPr>
                <w:rFonts w:cs="Times New Roman"/>
                <w:b/>
                <w:bCs/>
                <w:sz w:val="21"/>
                <w:szCs w:val="21"/>
                <w:lang w:val="lt-LT"/>
              </w:rPr>
              <w:t>Mato vnt.</w:t>
            </w:r>
          </w:p>
        </w:tc>
        <w:tc>
          <w:tcPr>
            <w:tcW w:w="1731" w:type="pct"/>
            <w:vAlign w:val="center"/>
          </w:tcPr>
          <w:p w14:paraId="7F6B7F2B" w14:textId="77777777" w:rsidR="00F16BEC" w:rsidRPr="003878A7" w:rsidRDefault="00F16BEC" w:rsidP="003878A7">
            <w:pPr>
              <w:spacing w:before="0" w:after="0"/>
              <w:ind w:firstLine="0"/>
              <w:jc w:val="left"/>
              <w:rPr>
                <w:rFonts w:cs="Times New Roman"/>
                <w:b/>
                <w:bCs/>
                <w:sz w:val="21"/>
                <w:szCs w:val="21"/>
                <w:lang w:val="lt-LT"/>
              </w:rPr>
            </w:pPr>
            <w:r w:rsidRPr="003878A7">
              <w:rPr>
                <w:rFonts w:cs="Times New Roman"/>
                <w:b/>
                <w:bCs/>
                <w:sz w:val="21"/>
                <w:szCs w:val="21"/>
                <w:lang w:val="lt-LT"/>
              </w:rPr>
              <w:t>Sutaupymas</w:t>
            </w:r>
          </w:p>
        </w:tc>
      </w:tr>
      <w:tr w:rsidR="00F16BEC" w:rsidRPr="003878A7" w14:paraId="267AA3FE" w14:textId="77777777" w:rsidTr="009B2AF3">
        <w:tc>
          <w:tcPr>
            <w:tcW w:w="1760" w:type="pct"/>
            <w:vAlign w:val="center"/>
          </w:tcPr>
          <w:p w14:paraId="7EE120BD" w14:textId="77777777" w:rsidR="00F16BEC" w:rsidRPr="003878A7" w:rsidRDefault="00F16BEC" w:rsidP="003878A7">
            <w:pPr>
              <w:spacing w:before="0" w:after="0"/>
              <w:ind w:firstLine="0"/>
              <w:jc w:val="left"/>
              <w:rPr>
                <w:rFonts w:cs="Times New Roman"/>
                <w:sz w:val="21"/>
                <w:szCs w:val="21"/>
                <w:lang w:val="lt-LT"/>
              </w:rPr>
            </w:pPr>
            <w:r w:rsidRPr="003878A7">
              <w:rPr>
                <w:rFonts w:cs="Times New Roman"/>
                <w:sz w:val="21"/>
                <w:szCs w:val="21"/>
                <w:lang w:val="lt-LT"/>
              </w:rPr>
              <w:t>Sutaupytos energijos kiekis (neįskaitant 2020 m.)</w:t>
            </w:r>
          </w:p>
        </w:tc>
        <w:tc>
          <w:tcPr>
            <w:tcW w:w="1509" w:type="pct"/>
            <w:vAlign w:val="center"/>
          </w:tcPr>
          <w:p w14:paraId="1DB1ECCC" w14:textId="225E4478" w:rsidR="00F16BEC" w:rsidRPr="003878A7" w:rsidRDefault="00F16BEC" w:rsidP="003878A7">
            <w:pPr>
              <w:spacing w:before="0" w:after="0"/>
              <w:ind w:firstLine="0"/>
              <w:jc w:val="left"/>
              <w:rPr>
                <w:rFonts w:cs="Times New Roman"/>
                <w:sz w:val="21"/>
                <w:szCs w:val="21"/>
                <w:lang w:val="lt-LT"/>
              </w:rPr>
            </w:pPr>
            <w:r w:rsidRPr="003878A7">
              <w:rPr>
                <w:rFonts w:cs="Times New Roman"/>
                <w:sz w:val="21"/>
                <w:szCs w:val="21"/>
                <w:lang w:val="lt-LT"/>
              </w:rPr>
              <w:t>MWh</w:t>
            </w:r>
          </w:p>
        </w:tc>
        <w:tc>
          <w:tcPr>
            <w:tcW w:w="1731" w:type="pct"/>
            <w:vAlign w:val="center"/>
          </w:tcPr>
          <w:p w14:paraId="4DD60495" w14:textId="2EBCB0CB" w:rsidR="00F16BEC" w:rsidRPr="003878A7" w:rsidRDefault="00F16BEC" w:rsidP="003878A7">
            <w:pPr>
              <w:spacing w:before="0" w:after="0"/>
              <w:ind w:firstLine="0"/>
              <w:jc w:val="left"/>
              <w:rPr>
                <w:rFonts w:cs="Times New Roman"/>
                <w:sz w:val="21"/>
                <w:szCs w:val="21"/>
                <w:lang w:val="lt-LT"/>
              </w:rPr>
            </w:pPr>
            <w:r w:rsidRPr="003878A7">
              <w:rPr>
                <w:rFonts w:cs="Times New Roman"/>
                <w:sz w:val="21"/>
                <w:szCs w:val="21"/>
                <w:lang w:val="lt-LT"/>
              </w:rPr>
              <w:t>431,789</w:t>
            </w:r>
          </w:p>
        </w:tc>
      </w:tr>
      <w:tr w:rsidR="00F16BEC" w:rsidRPr="003878A7" w14:paraId="0F940922" w14:textId="77777777" w:rsidTr="009B2AF3">
        <w:tc>
          <w:tcPr>
            <w:tcW w:w="1760" w:type="pct"/>
            <w:vAlign w:val="center"/>
          </w:tcPr>
          <w:p w14:paraId="49F21546" w14:textId="77777777" w:rsidR="00F16BEC" w:rsidRPr="003878A7" w:rsidRDefault="00F16BEC" w:rsidP="003878A7">
            <w:pPr>
              <w:spacing w:before="0" w:after="0"/>
              <w:ind w:firstLine="0"/>
              <w:jc w:val="left"/>
              <w:rPr>
                <w:rFonts w:cs="Times New Roman"/>
                <w:sz w:val="21"/>
                <w:szCs w:val="21"/>
                <w:lang w:val="lt-LT"/>
              </w:rPr>
            </w:pPr>
            <w:r w:rsidRPr="003878A7">
              <w:rPr>
                <w:rFonts w:cs="Times New Roman"/>
                <w:sz w:val="21"/>
                <w:szCs w:val="21"/>
                <w:lang w:val="lt-LT"/>
              </w:rPr>
              <w:t>Sutaupytos energijos kiekis (įskaitant 2020 m.)</w:t>
            </w:r>
          </w:p>
        </w:tc>
        <w:tc>
          <w:tcPr>
            <w:tcW w:w="1509" w:type="pct"/>
            <w:vAlign w:val="center"/>
          </w:tcPr>
          <w:p w14:paraId="6726FBA3" w14:textId="53525C1E" w:rsidR="00F16BEC" w:rsidRPr="003878A7" w:rsidRDefault="00F16BEC" w:rsidP="003878A7">
            <w:pPr>
              <w:spacing w:before="0" w:after="0"/>
              <w:ind w:firstLine="0"/>
              <w:jc w:val="left"/>
              <w:rPr>
                <w:rFonts w:cs="Times New Roman"/>
                <w:sz w:val="21"/>
                <w:szCs w:val="21"/>
                <w:lang w:val="lt-LT"/>
              </w:rPr>
            </w:pPr>
            <w:r w:rsidRPr="003878A7">
              <w:rPr>
                <w:rFonts w:cs="Times New Roman"/>
                <w:sz w:val="21"/>
                <w:szCs w:val="21"/>
                <w:lang w:val="lt-LT"/>
              </w:rPr>
              <w:t>MWh</w:t>
            </w:r>
          </w:p>
        </w:tc>
        <w:tc>
          <w:tcPr>
            <w:tcW w:w="1731" w:type="pct"/>
            <w:vAlign w:val="center"/>
          </w:tcPr>
          <w:p w14:paraId="5D909AEB" w14:textId="750675DC" w:rsidR="00F16BEC" w:rsidRPr="003878A7" w:rsidRDefault="00F16BEC" w:rsidP="003878A7">
            <w:pPr>
              <w:spacing w:before="0" w:after="0"/>
              <w:ind w:firstLine="0"/>
              <w:jc w:val="left"/>
              <w:rPr>
                <w:rFonts w:cs="Times New Roman"/>
                <w:sz w:val="21"/>
                <w:szCs w:val="21"/>
                <w:lang w:val="lt-LT"/>
              </w:rPr>
            </w:pPr>
            <w:r w:rsidRPr="003878A7">
              <w:rPr>
                <w:rFonts w:cs="Times New Roman"/>
                <w:sz w:val="21"/>
                <w:szCs w:val="21"/>
                <w:lang w:val="lt-LT"/>
              </w:rPr>
              <w:t>672,458</w:t>
            </w:r>
          </w:p>
        </w:tc>
      </w:tr>
      <w:tr w:rsidR="00F16BEC" w:rsidRPr="003878A7" w14:paraId="02D81DF0" w14:textId="77777777" w:rsidTr="009B2AF3">
        <w:tc>
          <w:tcPr>
            <w:tcW w:w="1760" w:type="pct"/>
            <w:vAlign w:val="center"/>
          </w:tcPr>
          <w:p w14:paraId="3D2F1613" w14:textId="77777777" w:rsidR="00F16BEC" w:rsidRPr="003878A7" w:rsidRDefault="00F16BEC" w:rsidP="003878A7">
            <w:pPr>
              <w:spacing w:before="0" w:after="0"/>
              <w:ind w:firstLine="0"/>
              <w:jc w:val="left"/>
              <w:rPr>
                <w:rFonts w:cs="Times New Roman"/>
                <w:sz w:val="21"/>
                <w:szCs w:val="21"/>
                <w:lang w:val="lt-LT"/>
              </w:rPr>
            </w:pPr>
            <w:r w:rsidRPr="003878A7">
              <w:rPr>
                <w:rFonts w:cs="Times New Roman"/>
                <w:sz w:val="21"/>
                <w:szCs w:val="21"/>
                <w:lang w:val="lt-LT"/>
              </w:rPr>
              <w:t>Bendras išmetamųjų ŠESD kiekio sumažinimas (neįskaitant 2020 m.)</w:t>
            </w:r>
          </w:p>
        </w:tc>
        <w:tc>
          <w:tcPr>
            <w:tcW w:w="1509" w:type="pct"/>
            <w:vAlign w:val="center"/>
          </w:tcPr>
          <w:p w14:paraId="526E9DA2" w14:textId="77777777" w:rsidR="00F16BEC" w:rsidRPr="003878A7" w:rsidRDefault="00F16BEC" w:rsidP="003878A7">
            <w:pPr>
              <w:spacing w:before="0" w:after="0"/>
              <w:ind w:firstLine="0"/>
              <w:jc w:val="left"/>
              <w:rPr>
                <w:rFonts w:cs="Times New Roman"/>
                <w:sz w:val="21"/>
                <w:szCs w:val="21"/>
                <w:lang w:val="lt-LT"/>
              </w:rPr>
            </w:pPr>
            <w:r w:rsidRPr="003878A7">
              <w:rPr>
                <w:rFonts w:cs="Times New Roman"/>
                <w:sz w:val="21"/>
                <w:szCs w:val="21"/>
                <w:lang w:val="lt-LT"/>
              </w:rPr>
              <w:t xml:space="preserve">t CO2 </w:t>
            </w:r>
            <w:proofErr w:type="spellStart"/>
            <w:r w:rsidRPr="003878A7">
              <w:rPr>
                <w:rFonts w:cs="Times New Roman"/>
                <w:sz w:val="21"/>
                <w:szCs w:val="21"/>
                <w:lang w:val="lt-LT"/>
              </w:rPr>
              <w:t>ekv</w:t>
            </w:r>
            <w:proofErr w:type="spellEnd"/>
            <w:r w:rsidRPr="003878A7">
              <w:rPr>
                <w:rFonts w:cs="Times New Roman"/>
                <w:sz w:val="21"/>
                <w:szCs w:val="21"/>
                <w:lang w:val="lt-LT"/>
              </w:rPr>
              <w:t>.</w:t>
            </w:r>
          </w:p>
        </w:tc>
        <w:tc>
          <w:tcPr>
            <w:tcW w:w="1731" w:type="pct"/>
            <w:vAlign w:val="center"/>
          </w:tcPr>
          <w:p w14:paraId="78A23BAC" w14:textId="17FCCC02" w:rsidR="00F16BEC" w:rsidRPr="003878A7" w:rsidRDefault="00F16BEC" w:rsidP="003878A7">
            <w:pPr>
              <w:spacing w:before="0" w:after="0"/>
              <w:ind w:firstLine="0"/>
              <w:jc w:val="left"/>
              <w:rPr>
                <w:rFonts w:cs="Times New Roman"/>
                <w:sz w:val="21"/>
                <w:szCs w:val="21"/>
                <w:lang w:val="lt-LT"/>
              </w:rPr>
            </w:pPr>
            <w:r w:rsidRPr="003878A7">
              <w:rPr>
                <w:rFonts w:cs="Times New Roman"/>
                <w:sz w:val="21"/>
                <w:szCs w:val="21"/>
                <w:lang w:val="lt-LT"/>
              </w:rPr>
              <w:t>96,289</w:t>
            </w:r>
          </w:p>
        </w:tc>
      </w:tr>
      <w:tr w:rsidR="00F16BEC" w:rsidRPr="003878A7" w14:paraId="6D2CFA28" w14:textId="77777777" w:rsidTr="009B2AF3">
        <w:tc>
          <w:tcPr>
            <w:tcW w:w="1760" w:type="pct"/>
            <w:vAlign w:val="center"/>
          </w:tcPr>
          <w:p w14:paraId="5D3A1052" w14:textId="267D47BA" w:rsidR="00F16BEC" w:rsidRPr="003878A7" w:rsidRDefault="00F16BEC" w:rsidP="003878A7">
            <w:pPr>
              <w:spacing w:before="0" w:after="0"/>
              <w:ind w:firstLine="0"/>
              <w:jc w:val="left"/>
              <w:rPr>
                <w:rFonts w:cs="Times New Roman"/>
                <w:sz w:val="21"/>
                <w:szCs w:val="21"/>
                <w:lang w:val="lt-LT"/>
              </w:rPr>
            </w:pPr>
            <w:r w:rsidRPr="003878A7">
              <w:rPr>
                <w:rFonts w:cs="Times New Roman"/>
                <w:sz w:val="21"/>
                <w:szCs w:val="21"/>
                <w:lang w:val="lt-LT"/>
              </w:rPr>
              <w:t>Bendras išmetamųjų ŠESD kiekio sumažinimas (įskaitant 2020 m.)</w:t>
            </w:r>
          </w:p>
        </w:tc>
        <w:tc>
          <w:tcPr>
            <w:tcW w:w="1509" w:type="pct"/>
            <w:vAlign w:val="center"/>
          </w:tcPr>
          <w:p w14:paraId="179113ED" w14:textId="33144298" w:rsidR="00F16BEC" w:rsidRPr="003878A7" w:rsidRDefault="00F16BEC" w:rsidP="003878A7">
            <w:pPr>
              <w:spacing w:before="0" w:after="0"/>
              <w:ind w:firstLine="0"/>
              <w:jc w:val="left"/>
              <w:rPr>
                <w:rFonts w:cs="Times New Roman"/>
                <w:sz w:val="21"/>
                <w:szCs w:val="21"/>
                <w:lang w:val="lt-LT"/>
              </w:rPr>
            </w:pPr>
            <w:r w:rsidRPr="003878A7">
              <w:rPr>
                <w:rFonts w:cs="Times New Roman"/>
                <w:sz w:val="21"/>
                <w:szCs w:val="21"/>
                <w:lang w:val="lt-LT"/>
              </w:rPr>
              <w:t xml:space="preserve">t CO2 </w:t>
            </w:r>
            <w:proofErr w:type="spellStart"/>
            <w:r w:rsidRPr="003878A7">
              <w:rPr>
                <w:rFonts w:cs="Times New Roman"/>
                <w:sz w:val="21"/>
                <w:szCs w:val="21"/>
                <w:lang w:val="lt-LT"/>
              </w:rPr>
              <w:t>ekv</w:t>
            </w:r>
            <w:proofErr w:type="spellEnd"/>
            <w:r w:rsidRPr="003878A7">
              <w:rPr>
                <w:rFonts w:cs="Times New Roman"/>
                <w:sz w:val="21"/>
                <w:szCs w:val="21"/>
                <w:lang w:val="lt-LT"/>
              </w:rPr>
              <w:t>.</w:t>
            </w:r>
          </w:p>
        </w:tc>
        <w:tc>
          <w:tcPr>
            <w:tcW w:w="1731" w:type="pct"/>
            <w:vAlign w:val="center"/>
          </w:tcPr>
          <w:p w14:paraId="33B6216C" w14:textId="57A359D9" w:rsidR="00F16BEC" w:rsidRPr="003878A7" w:rsidRDefault="00F16BEC" w:rsidP="003878A7">
            <w:pPr>
              <w:spacing w:before="0" w:after="0"/>
              <w:ind w:firstLine="0"/>
              <w:jc w:val="left"/>
              <w:rPr>
                <w:rFonts w:cs="Times New Roman"/>
                <w:sz w:val="21"/>
                <w:szCs w:val="21"/>
                <w:lang w:val="lt-LT"/>
              </w:rPr>
            </w:pPr>
            <w:r w:rsidRPr="003878A7">
              <w:rPr>
                <w:rFonts w:cs="Times New Roman"/>
                <w:sz w:val="21"/>
                <w:szCs w:val="21"/>
                <w:lang w:val="lt-LT"/>
              </w:rPr>
              <w:t>149,958</w:t>
            </w:r>
          </w:p>
        </w:tc>
      </w:tr>
    </w:tbl>
    <w:p w14:paraId="27868F5B" w14:textId="77777777" w:rsidR="00033F6C" w:rsidRPr="003878A7" w:rsidRDefault="00033F6C" w:rsidP="00033F6C">
      <w:pPr>
        <w:spacing w:after="0"/>
        <w:rPr>
          <w:rFonts w:cs="Times New Roman"/>
          <w:sz w:val="20"/>
          <w:szCs w:val="20"/>
        </w:rPr>
      </w:pPr>
      <w:r w:rsidRPr="003878A7">
        <w:rPr>
          <w:rFonts w:cs="Times New Roman"/>
          <w:sz w:val="20"/>
          <w:szCs w:val="20"/>
        </w:rPr>
        <w:t>Šaltinis: sudaryta Vertintojų</w:t>
      </w:r>
    </w:p>
    <w:p w14:paraId="3DD8D45C" w14:textId="0E7664B3" w:rsidR="008359E9" w:rsidRPr="003878A7" w:rsidRDefault="008359E9" w:rsidP="00EF45C0">
      <w:pPr>
        <w:pStyle w:val="Heading2"/>
        <w:numPr>
          <w:ilvl w:val="1"/>
          <w:numId w:val="4"/>
        </w:numPr>
      </w:pPr>
      <w:bookmarkStart w:id="54" w:name="_Toc70532888"/>
      <w:r w:rsidRPr="003878A7">
        <w:t>Centrinės valdžios pastatų renovacijos ir gatvės apšvietimo modernizavimui siūlomų taikyti FP stebėsenos rodikliai</w:t>
      </w:r>
      <w:bookmarkEnd w:id="54"/>
    </w:p>
    <w:p w14:paraId="7A20DCD5" w14:textId="53570541" w:rsidR="00EF45C0" w:rsidRPr="003878A7" w:rsidRDefault="00EF45C0" w:rsidP="00EF45C0">
      <w:pPr>
        <w:ind w:firstLine="0"/>
        <w:rPr>
          <w:rFonts w:cs="Times New Roman"/>
          <w:i/>
          <w:iCs/>
        </w:rPr>
      </w:pPr>
      <w:r w:rsidRPr="003878A7">
        <w:rPr>
          <w:rFonts w:cs="Times New Roman"/>
          <w:i/>
          <w:iCs/>
        </w:rPr>
        <w:t xml:space="preserve">Lentelė Nr. </w:t>
      </w:r>
      <w:r w:rsidR="006D7B19">
        <w:rPr>
          <w:rFonts w:cs="Times New Roman"/>
          <w:i/>
          <w:iCs/>
        </w:rPr>
        <w:t>2</w:t>
      </w:r>
      <w:r w:rsidR="0025664D">
        <w:rPr>
          <w:rFonts w:cs="Times New Roman"/>
          <w:i/>
          <w:iCs/>
        </w:rPr>
        <w:t>3</w:t>
      </w:r>
      <w:r w:rsidR="006D7B19">
        <w:rPr>
          <w:rFonts w:cs="Times New Roman"/>
          <w:i/>
          <w:iCs/>
        </w:rPr>
        <w:t>.</w:t>
      </w:r>
      <w:r w:rsidRPr="003878A7">
        <w:rPr>
          <w:rFonts w:cs="Times New Roman"/>
          <w:i/>
          <w:iCs/>
        </w:rPr>
        <w:t xml:space="preserve"> </w:t>
      </w:r>
      <w:bookmarkStart w:id="55" w:name="_Hlk66185768"/>
      <w:r w:rsidRPr="003878A7">
        <w:rPr>
          <w:rFonts w:cs="Times New Roman"/>
          <w:i/>
          <w:iCs/>
        </w:rPr>
        <w:t>Tikėtini FP rezultatai centrinės valdžios pastatų renovacijai</w:t>
      </w:r>
      <w:bookmarkEnd w:id="55"/>
    </w:p>
    <w:tbl>
      <w:tblPr>
        <w:tblStyle w:val="TableGrid"/>
        <w:tblW w:w="5000" w:type="pct"/>
        <w:tblLook w:val="04A0" w:firstRow="1" w:lastRow="0" w:firstColumn="1" w:lastColumn="0" w:noHBand="0" w:noVBand="1"/>
      </w:tblPr>
      <w:tblGrid>
        <w:gridCol w:w="3284"/>
        <w:gridCol w:w="3285"/>
        <w:gridCol w:w="3285"/>
      </w:tblGrid>
      <w:tr w:rsidR="008359E9" w:rsidRPr="003878A7" w14:paraId="70A2FFF1" w14:textId="77777777" w:rsidTr="003878A7">
        <w:tc>
          <w:tcPr>
            <w:tcW w:w="1666" w:type="pct"/>
            <w:vAlign w:val="center"/>
          </w:tcPr>
          <w:p w14:paraId="69043F49" w14:textId="77777777" w:rsidR="008359E9" w:rsidRPr="003878A7" w:rsidRDefault="008359E9" w:rsidP="003878A7">
            <w:pPr>
              <w:spacing w:before="0" w:after="0"/>
              <w:ind w:firstLine="0"/>
              <w:jc w:val="left"/>
              <w:rPr>
                <w:rFonts w:cs="Times New Roman"/>
                <w:b/>
                <w:bCs/>
                <w:sz w:val="21"/>
                <w:szCs w:val="21"/>
                <w:lang w:val="lt-LT"/>
              </w:rPr>
            </w:pPr>
            <w:r w:rsidRPr="003878A7">
              <w:rPr>
                <w:rFonts w:cs="Times New Roman"/>
                <w:b/>
                <w:bCs/>
                <w:sz w:val="21"/>
                <w:szCs w:val="21"/>
                <w:lang w:val="lt-LT"/>
              </w:rPr>
              <w:t>Rodiklis</w:t>
            </w:r>
          </w:p>
        </w:tc>
        <w:tc>
          <w:tcPr>
            <w:tcW w:w="1667" w:type="pct"/>
            <w:vAlign w:val="center"/>
          </w:tcPr>
          <w:p w14:paraId="62FCBDEA" w14:textId="77777777" w:rsidR="008359E9" w:rsidRPr="003878A7" w:rsidRDefault="008359E9" w:rsidP="003878A7">
            <w:pPr>
              <w:spacing w:before="0" w:after="0"/>
              <w:ind w:firstLine="0"/>
              <w:jc w:val="center"/>
              <w:rPr>
                <w:rFonts w:cs="Times New Roman"/>
                <w:b/>
                <w:bCs/>
                <w:sz w:val="21"/>
                <w:szCs w:val="21"/>
                <w:lang w:val="lt-LT"/>
              </w:rPr>
            </w:pPr>
            <w:r w:rsidRPr="003878A7">
              <w:rPr>
                <w:rFonts w:cs="Times New Roman"/>
                <w:b/>
                <w:bCs/>
                <w:sz w:val="21"/>
                <w:szCs w:val="21"/>
                <w:lang w:val="lt-LT"/>
              </w:rPr>
              <w:t>Apskaičiuoti rezultatai</w:t>
            </w:r>
          </w:p>
        </w:tc>
        <w:tc>
          <w:tcPr>
            <w:tcW w:w="1667" w:type="pct"/>
            <w:vAlign w:val="center"/>
          </w:tcPr>
          <w:p w14:paraId="150EB784" w14:textId="77777777" w:rsidR="008359E9" w:rsidRPr="003878A7" w:rsidRDefault="008359E9" w:rsidP="003878A7">
            <w:pPr>
              <w:spacing w:before="0" w:after="0"/>
              <w:ind w:firstLine="0"/>
              <w:jc w:val="center"/>
              <w:rPr>
                <w:rFonts w:cs="Times New Roman"/>
                <w:b/>
                <w:bCs/>
                <w:sz w:val="21"/>
                <w:szCs w:val="21"/>
                <w:lang w:val="lt-LT"/>
              </w:rPr>
            </w:pPr>
            <w:r w:rsidRPr="003878A7">
              <w:rPr>
                <w:rFonts w:cs="Times New Roman"/>
                <w:b/>
                <w:bCs/>
                <w:sz w:val="21"/>
                <w:szCs w:val="21"/>
                <w:lang w:val="lt-LT"/>
              </w:rPr>
              <w:t>Palyginimas su paklausos duomenimis</w:t>
            </w:r>
          </w:p>
        </w:tc>
      </w:tr>
      <w:tr w:rsidR="008359E9" w:rsidRPr="003878A7" w14:paraId="33570242" w14:textId="77777777" w:rsidTr="003878A7">
        <w:tc>
          <w:tcPr>
            <w:tcW w:w="1666" w:type="pct"/>
            <w:vAlign w:val="center"/>
          </w:tcPr>
          <w:p w14:paraId="3841BB36" w14:textId="77777777" w:rsidR="008359E9" w:rsidRPr="003878A7" w:rsidRDefault="008359E9" w:rsidP="003878A7">
            <w:pPr>
              <w:spacing w:before="0" w:after="0"/>
              <w:ind w:firstLine="0"/>
              <w:jc w:val="left"/>
              <w:rPr>
                <w:rFonts w:cs="Times New Roman"/>
                <w:sz w:val="21"/>
                <w:szCs w:val="21"/>
                <w:lang w:val="lt-LT"/>
              </w:rPr>
            </w:pPr>
            <w:r w:rsidRPr="003878A7">
              <w:rPr>
                <w:rFonts w:cs="Times New Roman"/>
                <w:sz w:val="21"/>
                <w:szCs w:val="21"/>
                <w:lang w:val="lt-LT"/>
              </w:rPr>
              <w:t>FP</w:t>
            </w:r>
          </w:p>
        </w:tc>
        <w:tc>
          <w:tcPr>
            <w:tcW w:w="1667" w:type="pct"/>
            <w:vAlign w:val="center"/>
          </w:tcPr>
          <w:p w14:paraId="4CB7C76E" w14:textId="69C337F1" w:rsidR="008359E9" w:rsidRPr="003878A7" w:rsidRDefault="00EF45C0" w:rsidP="003878A7">
            <w:pPr>
              <w:spacing w:before="0" w:after="0"/>
              <w:ind w:firstLine="0"/>
              <w:jc w:val="center"/>
              <w:rPr>
                <w:rFonts w:cs="Times New Roman"/>
                <w:sz w:val="21"/>
                <w:szCs w:val="21"/>
                <w:lang w:val="lt-LT"/>
              </w:rPr>
            </w:pPr>
            <w:r w:rsidRPr="003878A7">
              <w:rPr>
                <w:rFonts w:cs="Times New Roman"/>
                <w:sz w:val="21"/>
                <w:szCs w:val="21"/>
                <w:lang w:val="lt-LT"/>
              </w:rPr>
              <w:t>Paskolos centrinės valdžios pastatų renovacijai. Paskolos teikiamos ESCO įmonėms arba esant galimybei tiesiogiai</w:t>
            </w:r>
          </w:p>
        </w:tc>
        <w:tc>
          <w:tcPr>
            <w:tcW w:w="1667" w:type="pct"/>
            <w:vAlign w:val="center"/>
          </w:tcPr>
          <w:p w14:paraId="416AA55F" w14:textId="0145FAC9" w:rsidR="008359E9" w:rsidRPr="003878A7" w:rsidRDefault="00EF45C0" w:rsidP="003878A7">
            <w:pPr>
              <w:spacing w:before="0" w:after="0"/>
              <w:ind w:firstLine="0"/>
              <w:jc w:val="center"/>
              <w:rPr>
                <w:rFonts w:cs="Times New Roman"/>
                <w:sz w:val="21"/>
                <w:szCs w:val="21"/>
                <w:lang w:val="lt-LT"/>
              </w:rPr>
            </w:pPr>
            <w:r w:rsidRPr="003878A7">
              <w:rPr>
                <w:rFonts w:cs="Times New Roman"/>
                <w:sz w:val="21"/>
                <w:szCs w:val="21"/>
                <w:lang w:val="lt-LT"/>
              </w:rPr>
              <w:t>-</w:t>
            </w:r>
          </w:p>
        </w:tc>
      </w:tr>
      <w:tr w:rsidR="008359E9" w:rsidRPr="003878A7" w14:paraId="53DD5015" w14:textId="77777777" w:rsidTr="003878A7">
        <w:tc>
          <w:tcPr>
            <w:tcW w:w="1666" w:type="pct"/>
            <w:vAlign w:val="center"/>
          </w:tcPr>
          <w:p w14:paraId="2BFE622A" w14:textId="77777777" w:rsidR="008359E9" w:rsidRPr="003878A7" w:rsidRDefault="008359E9" w:rsidP="003878A7">
            <w:pPr>
              <w:spacing w:before="0" w:after="0"/>
              <w:ind w:firstLine="0"/>
              <w:jc w:val="left"/>
              <w:rPr>
                <w:rFonts w:cs="Times New Roman"/>
                <w:sz w:val="21"/>
                <w:szCs w:val="21"/>
                <w:lang w:val="lt-LT"/>
              </w:rPr>
            </w:pPr>
            <w:r w:rsidRPr="003878A7">
              <w:rPr>
                <w:rFonts w:cs="Times New Roman"/>
                <w:sz w:val="21"/>
                <w:szCs w:val="21"/>
                <w:lang w:val="lt-LT"/>
              </w:rPr>
              <w:t>Finansuojanti institucija</w:t>
            </w:r>
          </w:p>
        </w:tc>
        <w:tc>
          <w:tcPr>
            <w:tcW w:w="1667" w:type="pct"/>
            <w:vAlign w:val="center"/>
          </w:tcPr>
          <w:p w14:paraId="5908A3F9" w14:textId="2437818A" w:rsidR="008359E9" w:rsidRPr="003878A7" w:rsidRDefault="00EF45C0" w:rsidP="003878A7">
            <w:pPr>
              <w:spacing w:before="0" w:after="0"/>
              <w:ind w:firstLine="0"/>
              <w:jc w:val="center"/>
              <w:rPr>
                <w:rFonts w:cs="Times New Roman"/>
                <w:sz w:val="21"/>
                <w:szCs w:val="21"/>
                <w:lang w:val="lt-LT"/>
              </w:rPr>
            </w:pPr>
            <w:r w:rsidRPr="003878A7">
              <w:rPr>
                <w:rFonts w:cs="Times New Roman"/>
                <w:sz w:val="21"/>
                <w:szCs w:val="21"/>
                <w:lang w:val="lt-LT"/>
              </w:rPr>
              <w:t>EM</w:t>
            </w:r>
          </w:p>
        </w:tc>
        <w:tc>
          <w:tcPr>
            <w:tcW w:w="1667" w:type="pct"/>
            <w:vAlign w:val="center"/>
          </w:tcPr>
          <w:p w14:paraId="3B876292" w14:textId="74B2A983" w:rsidR="008359E9" w:rsidRPr="003878A7" w:rsidRDefault="00EF45C0" w:rsidP="003878A7">
            <w:pPr>
              <w:spacing w:before="0" w:after="0"/>
              <w:ind w:firstLine="0"/>
              <w:jc w:val="center"/>
              <w:rPr>
                <w:rFonts w:cs="Times New Roman"/>
                <w:sz w:val="21"/>
                <w:szCs w:val="21"/>
                <w:lang w:val="lt-LT"/>
              </w:rPr>
            </w:pPr>
            <w:r w:rsidRPr="003878A7">
              <w:rPr>
                <w:rFonts w:cs="Times New Roman"/>
                <w:sz w:val="21"/>
                <w:szCs w:val="21"/>
                <w:lang w:val="lt-LT"/>
              </w:rPr>
              <w:t>-</w:t>
            </w:r>
          </w:p>
        </w:tc>
      </w:tr>
      <w:tr w:rsidR="008359E9" w:rsidRPr="003878A7" w14:paraId="219A29A5" w14:textId="77777777" w:rsidTr="003878A7">
        <w:tc>
          <w:tcPr>
            <w:tcW w:w="1666" w:type="pct"/>
            <w:vAlign w:val="center"/>
          </w:tcPr>
          <w:p w14:paraId="6C5615AF" w14:textId="77777777" w:rsidR="008359E9" w:rsidRPr="003878A7" w:rsidRDefault="008359E9" w:rsidP="003878A7">
            <w:pPr>
              <w:spacing w:before="0" w:after="0"/>
              <w:ind w:firstLine="0"/>
              <w:jc w:val="left"/>
              <w:rPr>
                <w:rFonts w:cs="Times New Roman"/>
                <w:sz w:val="21"/>
                <w:szCs w:val="21"/>
                <w:lang w:val="lt-LT"/>
              </w:rPr>
            </w:pPr>
            <w:r w:rsidRPr="003878A7">
              <w:rPr>
                <w:rFonts w:cs="Times New Roman"/>
                <w:sz w:val="21"/>
                <w:szCs w:val="21"/>
                <w:lang w:val="lt-LT"/>
              </w:rPr>
              <w:t>GNG pasiekusios lėšos</w:t>
            </w:r>
          </w:p>
        </w:tc>
        <w:tc>
          <w:tcPr>
            <w:tcW w:w="1667" w:type="pct"/>
            <w:vAlign w:val="center"/>
          </w:tcPr>
          <w:p w14:paraId="3D8AD588" w14:textId="60414CBD" w:rsidR="008359E9" w:rsidRPr="003878A7" w:rsidRDefault="00EF45C0" w:rsidP="003878A7">
            <w:pPr>
              <w:spacing w:before="0" w:after="0"/>
              <w:ind w:firstLine="0"/>
              <w:jc w:val="center"/>
              <w:rPr>
                <w:rFonts w:cs="Times New Roman"/>
                <w:sz w:val="21"/>
                <w:szCs w:val="21"/>
                <w:lang w:val="lt-LT"/>
              </w:rPr>
            </w:pPr>
            <w:r w:rsidRPr="003878A7">
              <w:rPr>
                <w:rFonts w:cs="Times New Roman"/>
                <w:sz w:val="21"/>
                <w:szCs w:val="21"/>
                <w:lang w:val="lt-LT"/>
              </w:rPr>
              <w:t>104,4 mln. Eur</w:t>
            </w:r>
          </w:p>
        </w:tc>
        <w:tc>
          <w:tcPr>
            <w:tcW w:w="1667" w:type="pct"/>
            <w:vAlign w:val="center"/>
          </w:tcPr>
          <w:p w14:paraId="122E9F18" w14:textId="2724B691" w:rsidR="008359E9" w:rsidRPr="003878A7" w:rsidRDefault="00EF45C0" w:rsidP="003878A7">
            <w:pPr>
              <w:spacing w:before="0" w:after="0"/>
              <w:ind w:firstLine="0"/>
              <w:jc w:val="center"/>
              <w:rPr>
                <w:rFonts w:cs="Times New Roman"/>
                <w:sz w:val="21"/>
                <w:szCs w:val="21"/>
                <w:lang w:val="lt-LT"/>
              </w:rPr>
            </w:pPr>
            <w:r w:rsidRPr="003878A7">
              <w:rPr>
                <w:rFonts w:cs="Times New Roman"/>
                <w:sz w:val="21"/>
                <w:szCs w:val="21"/>
                <w:lang w:val="lt-LT"/>
              </w:rPr>
              <w:t>169,7 mln. Eur</w:t>
            </w:r>
          </w:p>
        </w:tc>
      </w:tr>
      <w:tr w:rsidR="008359E9" w:rsidRPr="003878A7" w14:paraId="5E40CDC6" w14:textId="77777777" w:rsidTr="003878A7">
        <w:tc>
          <w:tcPr>
            <w:tcW w:w="1666" w:type="pct"/>
            <w:vAlign w:val="center"/>
          </w:tcPr>
          <w:p w14:paraId="323C752F" w14:textId="77777777" w:rsidR="008359E9" w:rsidRPr="003878A7" w:rsidRDefault="008359E9" w:rsidP="003878A7">
            <w:pPr>
              <w:spacing w:before="0" w:after="0"/>
              <w:ind w:firstLine="0"/>
              <w:jc w:val="left"/>
              <w:rPr>
                <w:rFonts w:cs="Times New Roman"/>
                <w:sz w:val="21"/>
                <w:szCs w:val="21"/>
                <w:lang w:val="lt-LT"/>
              </w:rPr>
            </w:pPr>
            <w:r w:rsidRPr="003878A7">
              <w:rPr>
                <w:rFonts w:cs="Times New Roman"/>
                <w:sz w:val="21"/>
                <w:szCs w:val="21"/>
                <w:lang w:val="lt-LT"/>
              </w:rPr>
              <w:t>Pritrauktos lėšos iš privačių šaltinių</w:t>
            </w:r>
          </w:p>
        </w:tc>
        <w:tc>
          <w:tcPr>
            <w:tcW w:w="1667" w:type="pct"/>
            <w:vAlign w:val="center"/>
          </w:tcPr>
          <w:p w14:paraId="54686889" w14:textId="55BC09DC" w:rsidR="008359E9" w:rsidRPr="003878A7" w:rsidRDefault="00EF45C0" w:rsidP="003878A7">
            <w:pPr>
              <w:spacing w:before="0" w:after="0"/>
              <w:ind w:firstLine="0"/>
              <w:jc w:val="center"/>
              <w:rPr>
                <w:rFonts w:cs="Times New Roman"/>
                <w:sz w:val="21"/>
                <w:szCs w:val="21"/>
                <w:lang w:val="lt-LT"/>
              </w:rPr>
            </w:pPr>
            <w:r w:rsidRPr="003878A7">
              <w:rPr>
                <w:rFonts w:cs="Times New Roman"/>
                <w:sz w:val="21"/>
                <w:szCs w:val="21"/>
                <w:lang w:val="lt-LT"/>
              </w:rPr>
              <w:t>57,2 mln. Eur</w:t>
            </w:r>
          </w:p>
        </w:tc>
        <w:tc>
          <w:tcPr>
            <w:tcW w:w="1667" w:type="pct"/>
            <w:vAlign w:val="center"/>
          </w:tcPr>
          <w:p w14:paraId="447F2F27" w14:textId="29D33243" w:rsidR="008359E9" w:rsidRPr="003878A7" w:rsidRDefault="00EF45C0" w:rsidP="003878A7">
            <w:pPr>
              <w:spacing w:before="0" w:after="0"/>
              <w:ind w:firstLine="0"/>
              <w:jc w:val="center"/>
              <w:rPr>
                <w:rFonts w:cs="Times New Roman"/>
                <w:sz w:val="21"/>
                <w:szCs w:val="21"/>
                <w:lang w:val="lt-LT"/>
              </w:rPr>
            </w:pPr>
            <w:r w:rsidRPr="003878A7">
              <w:rPr>
                <w:rFonts w:cs="Times New Roman"/>
                <w:sz w:val="21"/>
                <w:szCs w:val="21"/>
                <w:lang w:val="lt-LT"/>
              </w:rPr>
              <w:t>-</w:t>
            </w:r>
          </w:p>
        </w:tc>
      </w:tr>
      <w:tr w:rsidR="008359E9" w:rsidRPr="003878A7" w14:paraId="7B41213E" w14:textId="77777777" w:rsidTr="003878A7">
        <w:tc>
          <w:tcPr>
            <w:tcW w:w="1666" w:type="pct"/>
            <w:vAlign w:val="center"/>
          </w:tcPr>
          <w:p w14:paraId="77230044" w14:textId="77777777" w:rsidR="008359E9" w:rsidRPr="003878A7" w:rsidRDefault="008359E9" w:rsidP="003878A7">
            <w:pPr>
              <w:spacing w:before="0" w:after="0"/>
              <w:ind w:firstLine="0"/>
              <w:jc w:val="left"/>
              <w:rPr>
                <w:rFonts w:cs="Times New Roman"/>
                <w:sz w:val="21"/>
                <w:szCs w:val="21"/>
                <w:lang w:val="lt-LT"/>
              </w:rPr>
            </w:pPr>
            <w:r w:rsidRPr="003878A7">
              <w:rPr>
                <w:rFonts w:cs="Times New Roman"/>
                <w:sz w:val="21"/>
                <w:szCs w:val="21"/>
                <w:lang w:val="lt-LT"/>
              </w:rPr>
              <w:t>Sverto efektas</w:t>
            </w:r>
          </w:p>
        </w:tc>
        <w:tc>
          <w:tcPr>
            <w:tcW w:w="1667" w:type="pct"/>
            <w:vAlign w:val="center"/>
          </w:tcPr>
          <w:p w14:paraId="14CE1AA8" w14:textId="36471952" w:rsidR="008359E9" w:rsidRPr="003878A7" w:rsidRDefault="00EF45C0" w:rsidP="003878A7">
            <w:pPr>
              <w:spacing w:before="0" w:after="0"/>
              <w:ind w:firstLine="0"/>
              <w:jc w:val="center"/>
              <w:rPr>
                <w:rFonts w:cs="Times New Roman"/>
                <w:sz w:val="21"/>
                <w:szCs w:val="21"/>
                <w:lang w:val="lt-LT"/>
              </w:rPr>
            </w:pPr>
            <w:r w:rsidRPr="003878A7">
              <w:rPr>
                <w:rFonts w:cs="Times New Roman"/>
                <w:sz w:val="21"/>
                <w:szCs w:val="21"/>
                <w:lang w:val="lt-LT"/>
              </w:rPr>
              <w:t>1,87</w:t>
            </w:r>
          </w:p>
        </w:tc>
        <w:tc>
          <w:tcPr>
            <w:tcW w:w="1667" w:type="pct"/>
            <w:vAlign w:val="center"/>
          </w:tcPr>
          <w:p w14:paraId="41E14C83" w14:textId="60A32632" w:rsidR="008359E9" w:rsidRPr="003878A7" w:rsidRDefault="00EF45C0" w:rsidP="003878A7">
            <w:pPr>
              <w:spacing w:before="0" w:after="0"/>
              <w:ind w:firstLine="0"/>
              <w:jc w:val="center"/>
              <w:rPr>
                <w:rFonts w:cs="Times New Roman"/>
                <w:sz w:val="21"/>
                <w:szCs w:val="21"/>
                <w:lang w:val="lt-LT"/>
              </w:rPr>
            </w:pPr>
            <w:r w:rsidRPr="003878A7">
              <w:rPr>
                <w:rFonts w:cs="Times New Roman"/>
                <w:sz w:val="21"/>
                <w:szCs w:val="21"/>
                <w:lang w:val="lt-LT"/>
              </w:rPr>
              <w:t>-</w:t>
            </w:r>
          </w:p>
        </w:tc>
      </w:tr>
      <w:tr w:rsidR="008359E9" w:rsidRPr="003878A7" w14:paraId="383A50BB" w14:textId="77777777" w:rsidTr="003878A7">
        <w:tc>
          <w:tcPr>
            <w:tcW w:w="1666" w:type="pct"/>
            <w:vAlign w:val="center"/>
          </w:tcPr>
          <w:p w14:paraId="0CA537B2" w14:textId="77777777" w:rsidR="008359E9" w:rsidRPr="003878A7" w:rsidRDefault="008359E9" w:rsidP="003878A7">
            <w:pPr>
              <w:spacing w:before="0" w:after="0"/>
              <w:ind w:firstLine="0"/>
              <w:jc w:val="left"/>
              <w:rPr>
                <w:rFonts w:cs="Times New Roman"/>
                <w:sz w:val="21"/>
                <w:szCs w:val="21"/>
                <w:lang w:val="lt-LT"/>
              </w:rPr>
            </w:pPr>
            <w:r w:rsidRPr="003878A7">
              <w:rPr>
                <w:rFonts w:cs="Times New Roman"/>
                <w:sz w:val="21"/>
                <w:szCs w:val="21"/>
                <w:lang w:val="lt-LT"/>
              </w:rPr>
              <w:t xml:space="preserve">Renovuotų pastatų skaičius iki 2022 m. </w:t>
            </w:r>
          </w:p>
        </w:tc>
        <w:tc>
          <w:tcPr>
            <w:tcW w:w="1667" w:type="pct"/>
            <w:vAlign w:val="center"/>
          </w:tcPr>
          <w:p w14:paraId="395657FE" w14:textId="4AF90CF0" w:rsidR="008359E9" w:rsidRPr="003878A7" w:rsidRDefault="00EF45C0" w:rsidP="003878A7">
            <w:pPr>
              <w:spacing w:before="0" w:after="0"/>
              <w:ind w:firstLine="0"/>
              <w:jc w:val="center"/>
              <w:rPr>
                <w:rFonts w:cs="Times New Roman"/>
                <w:sz w:val="21"/>
                <w:szCs w:val="21"/>
                <w:lang w:val="lt-LT"/>
              </w:rPr>
            </w:pPr>
            <w:r w:rsidRPr="003878A7">
              <w:rPr>
                <w:rFonts w:cs="Times New Roman"/>
                <w:sz w:val="21"/>
                <w:szCs w:val="21"/>
                <w:lang w:val="lt-LT"/>
              </w:rPr>
              <w:t>459</w:t>
            </w:r>
          </w:p>
        </w:tc>
        <w:tc>
          <w:tcPr>
            <w:tcW w:w="1667" w:type="pct"/>
            <w:vAlign w:val="center"/>
          </w:tcPr>
          <w:p w14:paraId="407A8B2F" w14:textId="2EC70A2D" w:rsidR="008359E9" w:rsidRPr="003878A7" w:rsidRDefault="00EF45C0" w:rsidP="003878A7">
            <w:pPr>
              <w:spacing w:before="0" w:after="0"/>
              <w:ind w:firstLine="0"/>
              <w:jc w:val="center"/>
              <w:rPr>
                <w:rFonts w:cs="Times New Roman"/>
                <w:sz w:val="21"/>
                <w:szCs w:val="21"/>
                <w:lang w:val="lt-LT"/>
              </w:rPr>
            </w:pPr>
            <w:r w:rsidRPr="003878A7">
              <w:rPr>
                <w:rFonts w:cs="Times New Roman"/>
                <w:sz w:val="21"/>
                <w:szCs w:val="21"/>
                <w:lang w:val="lt-LT"/>
              </w:rPr>
              <w:t>837</w:t>
            </w:r>
          </w:p>
        </w:tc>
      </w:tr>
      <w:tr w:rsidR="00EF45C0" w:rsidRPr="003878A7" w14:paraId="1EC24CBC" w14:textId="77777777" w:rsidTr="003878A7">
        <w:tc>
          <w:tcPr>
            <w:tcW w:w="1666" w:type="pct"/>
            <w:vAlign w:val="center"/>
          </w:tcPr>
          <w:p w14:paraId="43A1A66B" w14:textId="0BEF0433" w:rsidR="00EF45C0" w:rsidRPr="003878A7" w:rsidRDefault="00EF45C0" w:rsidP="003878A7">
            <w:pPr>
              <w:spacing w:before="0" w:after="0"/>
              <w:ind w:firstLine="0"/>
              <w:jc w:val="left"/>
              <w:rPr>
                <w:rFonts w:cs="Times New Roman"/>
                <w:sz w:val="21"/>
                <w:szCs w:val="21"/>
                <w:lang w:val="lt-LT"/>
              </w:rPr>
            </w:pPr>
            <w:r w:rsidRPr="003878A7">
              <w:rPr>
                <w:rFonts w:cs="Times New Roman"/>
                <w:sz w:val="21"/>
                <w:szCs w:val="21"/>
                <w:lang w:val="lt-LT"/>
              </w:rPr>
              <w:t>Renovuotų pastatų plotas iki 2022 metų</w:t>
            </w:r>
          </w:p>
        </w:tc>
        <w:tc>
          <w:tcPr>
            <w:tcW w:w="1667" w:type="pct"/>
            <w:vAlign w:val="center"/>
          </w:tcPr>
          <w:p w14:paraId="2B7A20FA" w14:textId="18D1313B" w:rsidR="00EF45C0" w:rsidRPr="003878A7" w:rsidRDefault="00EF45C0" w:rsidP="003878A7">
            <w:pPr>
              <w:spacing w:before="0" w:after="0"/>
              <w:ind w:firstLine="0"/>
              <w:jc w:val="center"/>
              <w:rPr>
                <w:rFonts w:cs="Times New Roman"/>
                <w:sz w:val="21"/>
                <w:szCs w:val="21"/>
                <w:lang w:val="lt-LT"/>
              </w:rPr>
            </w:pPr>
            <w:r w:rsidRPr="003878A7">
              <w:rPr>
                <w:rFonts w:cs="Times New Roman"/>
                <w:sz w:val="21"/>
                <w:szCs w:val="21"/>
                <w:lang w:val="lt-LT"/>
              </w:rPr>
              <w:t>517,0 tūkst. kv. m.</w:t>
            </w:r>
          </w:p>
        </w:tc>
        <w:tc>
          <w:tcPr>
            <w:tcW w:w="1667" w:type="pct"/>
            <w:vAlign w:val="center"/>
          </w:tcPr>
          <w:p w14:paraId="074FE2F4" w14:textId="42A21EFC" w:rsidR="00EF45C0" w:rsidRPr="003878A7" w:rsidRDefault="00EF45C0" w:rsidP="003878A7">
            <w:pPr>
              <w:spacing w:before="0" w:after="0"/>
              <w:ind w:firstLine="0"/>
              <w:jc w:val="center"/>
              <w:rPr>
                <w:rFonts w:cs="Times New Roman"/>
                <w:sz w:val="21"/>
                <w:szCs w:val="21"/>
                <w:lang w:val="lt-LT"/>
              </w:rPr>
            </w:pPr>
            <w:r w:rsidRPr="003878A7">
              <w:rPr>
                <w:rFonts w:cs="Times New Roman"/>
                <w:sz w:val="21"/>
                <w:szCs w:val="21"/>
                <w:lang w:val="lt-LT"/>
              </w:rPr>
              <w:t>837 tūkst. kv. m.</w:t>
            </w:r>
          </w:p>
        </w:tc>
      </w:tr>
      <w:tr w:rsidR="008359E9" w:rsidRPr="003878A7" w14:paraId="479BA846" w14:textId="77777777" w:rsidTr="003878A7">
        <w:tc>
          <w:tcPr>
            <w:tcW w:w="1666" w:type="pct"/>
            <w:vAlign w:val="center"/>
          </w:tcPr>
          <w:p w14:paraId="3037FACA" w14:textId="77777777" w:rsidR="008359E9" w:rsidRPr="003878A7" w:rsidRDefault="008359E9" w:rsidP="003878A7">
            <w:pPr>
              <w:spacing w:before="0" w:after="0"/>
              <w:ind w:firstLine="0"/>
              <w:jc w:val="left"/>
              <w:rPr>
                <w:rFonts w:cs="Times New Roman"/>
                <w:sz w:val="21"/>
                <w:szCs w:val="21"/>
                <w:lang w:val="lt-LT"/>
              </w:rPr>
            </w:pPr>
            <w:r w:rsidRPr="003878A7">
              <w:rPr>
                <w:rFonts w:cs="Times New Roman"/>
                <w:sz w:val="21"/>
                <w:szCs w:val="21"/>
                <w:lang w:val="lt-LT"/>
              </w:rPr>
              <w:t>Renovuotų pastatų EE suvartojimo sumažėjimas, ne mažiau kaip</w:t>
            </w:r>
          </w:p>
        </w:tc>
        <w:tc>
          <w:tcPr>
            <w:tcW w:w="1667" w:type="pct"/>
            <w:vAlign w:val="center"/>
          </w:tcPr>
          <w:p w14:paraId="6E9CDD97" w14:textId="430A34B2" w:rsidR="008359E9" w:rsidRPr="003878A7" w:rsidRDefault="00EF45C0" w:rsidP="003878A7">
            <w:pPr>
              <w:spacing w:before="0" w:after="0"/>
              <w:ind w:firstLine="0"/>
              <w:jc w:val="center"/>
              <w:rPr>
                <w:rFonts w:cs="Times New Roman"/>
                <w:sz w:val="21"/>
                <w:szCs w:val="21"/>
                <w:lang w:val="lt-LT"/>
              </w:rPr>
            </w:pPr>
            <w:r w:rsidRPr="003878A7">
              <w:rPr>
                <w:rFonts w:cs="Times New Roman"/>
                <w:sz w:val="21"/>
                <w:szCs w:val="21"/>
                <w:lang w:val="lt-LT"/>
              </w:rPr>
              <w:t>40 proc.</w:t>
            </w:r>
          </w:p>
        </w:tc>
        <w:tc>
          <w:tcPr>
            <w:tcW w:w="1667" w:type="pct"/>
            <w:vAlign w:val="center"/>
          </w:tcPr>
          <w:p w14:paraId="12EDCB44" w14:textId="0A8B960A" w:rsidR="008359E9" w:rsidRPr="003878A7" w:rsidRDefault="00EF45C0" w:rsidP="003878A7">
            <w:pPr>
              <w:spacing w:before="0" w:after="0"/>
              <w:ind w:firstLine="0"/>
              <w:jc w:val="center"/>
              <w:rPr>
                <w:rFonts w:cs="Times New Roman"/>
                <w:sz w:val="21"/>
                <w:szCs w:val="21"/>
                <w:lang w:val="lt-LT"/>
              </w:rPr>
            </w:pPr>
            <w:r w:rsidRPr="003878A7">
              <w:rPr>
                <w:rFonts w:cs="Times New Roman"/>
                <w:sz w:val="21"/>
                <w:szCs w:val="21"/>
                <w:lang w:val="lt-LT"/>
              </w:rPr>
              <w:t>Kuo daugiau</w:t>
            </w:r>
          </w:p>
        </w:tc>
      </w:tr>
      <w:tr w:rsidR="008359E9" w:rsidRPr="003878A7" w14:paraId="0E463E9C" w14:textId="77777777" w:rsidTr="003878A7">
        <w:tc>
          <w:tcPr>
            <w:tcW w:w="1666" w:type="pct"/>
            <w:vAlign w:val="center"/>
          </w:tcPr>
          <w:p w14:paraId="46B5943A" w14:textId="77777777" w:rsidR="008359E9" w:rsidRPr="003878A7" w:rsidRDefault="008359E9" w:rsidP="003878A7">
            <w:pPr>
              <w:spacing w:before="0" w:after="0"/>
              <w:ind w:firstLine="0"/>
              <w:jc w:val="left"/>
              <w:rPr>
                <w:rFonts w:cs="Times New Roman"/>
                <w:sz w:val="21"/>
                <w:szCs w:val="21"/>
                <w:lang w:val="lt-LT"/>
              </w:rPr>
            </w:pPr>
            <w:r w:rsidRPr="003878A7">
              <w:rPr>
                <w:rFonts w:cs="Times New Roman"/>
                <w:sz w:val="21"/>
                <w:szCs w:val="21"/>
                <w:lang w:val="lt-LT"/>
              </w:rPr>
              <w:t>Pasiekta EE klasė renovuotuose pastatuose, ne mažesnė kaip</w:t>
            </w:r>
          </w:p>
        </w:tc>
        <w:tc>
          <w:tcPr>
            <w:tcW w:w="1667" w:type="pct"/>
            <w:vAlign w:val="center"/>
          </w:tcPr>
          <w:p w14:paraId="3F04623E" w14:textId="2807C1E5" w:rsidR="008359E9" w:rsidRPr="003878A7" w:rsidRDefault="00EF45C0" w:rsidP="003878A7">
            <w:pPr>
              <w:spacing w:before="0" w:after="0"/>
              <w:ind w:firstLine="0"/>
              <w:jc w:val="center"/>
              <w:rPr>
                <w:rFonts w:cs="Times New Roman"/>
                <w:sz w:val="21"/>
                <w:szCs w:val="21"/>
                <w:lang w:val="lt-LT"/>
              </w:rPr>
            </w:pPr>
            <w:r w:rsidRPr="003878A7">
              <w:rPr>
                <w:rFonts w:cs="Times New Roman"/>
                <w:sz w:val="21"/>
                <w:szCs w:val="21"/>
                <w:lang w:val="lt-LT"/>
              </w:rPr>
              <w:t>C</w:t>
            </w:r>
          </w:p>
        </w:tc>
        <w:tc>
          <w:tcPr>
            <w:tcW w:w="1667" w:type="pct"/>
            <w:vAlign w:val="center"/>
          </w:tcPr>
          <w:p w14:paraId="2639B0F4" w14:textId="4CA633E0" w:rsidR="008359E9" w:rsidRPr="003878A7" w:rsidRDefault="00EF45C0" w:rsidP="003878A7">
            <w:pPr>
              <w:spacing w:before="0" w:after="0"/>
              <w:ind w:firstLine="0"/>
              <w:jc w:val="center"/>
              <w:rPr>
                <w:rFonts w:cs="Times New Roman"/>
                <w:sz w:val="21"/>
                <w:szCs w:val="21"/>
                <w:lang w:val="lt-LT"/>
              </w:rPr>
            </w:pPr>
            <w:r w:rsidRPr="003878A7">
              <w:rPr>
                <w:rFonts w:cs="Times New Roman"/>
                <w:sz w:val="21"/>
                <w:szCs w:val="21"/>
                <w:lang w:val="lt-LT"/>
              </w:rPr>
              <w:t>C</w:t>
            </w:r>
          </w:p>
        </w:tc>
      </w:tr>
    </w:tbl>
    <w:p w14:paraId="7CC23F50" w14:textId="4A26173D" w:rsidR="008359E9" w:rsidRPr="003878A7" w:rsidRDefault="00EF45C0" w:rsidP="009B2AF3">
      <w:pPr>
        <w:spacing w:after="0"/>
        <w:rPr>
          <w:rFonts w:cs="Times New Roman"/>
          <w:sz w:val="20"/>
          <w:szCs w:val="20"/>
        </w:rPr>
      </w:pPr>
      <w:r w:rsidRPr="003878A7">
        <w:rPr>
          <w:rFonts w:cs="Times New Roman"/>
          <w:sz w:val="20"/>
          <w:szCs w:val="20"/>
        </w:rPr>
        <w:t>Šaltinis: sudaryta Vertintojų</w:t>
      </w:r>
    </w:p>
    <w:p w14:paraId="6DBD44F9" w14:textId="7E3F8305" w:rsidR="00EF45C0" w:rsidRPr="003878A7" w:rsidRDefault="00EF45C0" w:rsidP="00EF45C0">
      <w:pPr>
        <w:ind w:firstLine="0"/>
        <w:rPr>
          <w:rFonts w:cs="Times New Roman"/>
          <w:i/>
          <w:iCs/>
        </w:rPr>
      </w:pPr>
      <w:r w:rsidRPr="003878A7">
        <w:rPr>
          <w:rFonts w:cs="Times New Roman"/>
          <w:i/>
          <w:iCs/>
        </w:rPr>
        <w:lastRenderedPageBreak/>
        <w:t xml:space="preserve">Lentelė Nr. </w:t>
      </w:r>
      <w:r w:rsidR="006D7B19">
        <w:rPr>
          <w:rFonts w:cs="Times New Roman"/>
          <w:i/>
          <w:iCs/>
        </w:rPr>
        <w:t>2</w:t>
      </w:r>
      <w:r w:rsidR="0025664D">
        <w:rPr>
          <w:rFonts w:cs="Times New Roman"/>
          <w:i/>
          <w:iCs/>
        </w:rPr>
        <w:t>4</w:t>
      </w:r>
      <w:r w:rsidR="006D7B19">
        <w:rPr>
          <w:rFonts w:cs="Times New Roman"/>
          <w:i/>
          <w:iCs/>
        </w:rPr>
        <w:t>.</w:t>
      </w:r>
      <w:r w:rsidRPr="003878A7">
        <w:rPr>
          <w:rFonts w:cs="Times New Roman"/>
          <w:i/>
          <w:iCs/>
        </w:rPr>
        <w:t xml:space="preserve"> Tikėtini FP rezultatai gatvių apšvietimui</w:t>
      </w:r>
    </w:p>
    <w:tbl>
      <w:tblPr>
        <w:tblStyle w:val="TableGrid"/>
        <w:tblW w:w="5000" w:type="pct"/>
        <w:tblLook w:val="04A0" w:firstRow="1" w:lastRow="0" w:firstColumn="1" w:lastColumn="0" w:noHBand="0" w:noVBand="1"/>
      </w:tblPr>
      <w:tblGrid>
        <w:gridCol w:w="3284"/>
        <w:gridCol w:w="3285"/>
        <w:gridCol w:w="3285"/>
      </w:tblGrid>
      <w:tr w:rsidR="00EF45C0" w:rsidRPr="003878A7" w14:paraId="1A7B158F" w14:textId="77777777" w:rsidTr="003878A7">
        <w:tc>
          <w:tcPr>
            <w:tcW w:w="1666" w:type="pct"/>
            <w:vAlign w:val="center"/>
          </w:tcPr>
          <w:p w14:paraId="110C014A" w14:textId="77777777" w:rsidR="00EF45C0" w:rsidRPr="003878A7" w:rsidRDefault="00EF45C0" w:rsidP="003878A7">
            <w:pPr>
              <w:spacing w:before="0" w:after="0"/>
              <w:ind w:firstLine="0"/>
              <w:jc w:val="left"/>
              <w:rPr>
                <w:rFonts w:cs="Times New Roman"/>
                <w:b/>
                <w:bCs/>
                <w:sz w:val="21"/>
                <w:szCs w:val="21"/>
                <w:lang w:val="lt-LT"/>
              </w:rPr>
            </w:pPr>
            <w:r w:rsidRPr="003878A7">
              <w:rPr>
                <w:rFonts w:cs="Times New Roman"/>
                <w:b/>
                <w:bCs/>
                <w:sz w:val="21"/>
                <w:szCs w:val="21"/>
                <w:lang w:val="lt-LT"/>
              </w:rPr>
              <w:t>Rodiklis</w:t>
            </w:r>
          </w:p>
        </w:tc>
        <w:tc>
          <w:tcPr>
            <w:tcW w:w="1667" w:type="pct"/>
            <w:vAlign w:val="center"/>
          </w:tcPr>
          <w:p w14:paraId="149A3F0A" w14:textId="77777777" w:rsidR="00EF45C0" w:rsidRPr="003878A7" w:rsidRDefault="00EF45C0" w:rsidP="003878A7">
            <w:pPr>
              <w:spacing w:before="0" w:after="0"/>
              <w:ind w:firstLine="0"/>
              <w:jc w:val="center"/>
              <w:rPr>
                <w:rFonts w:cs="Times New Roman"/>
                <w:b/>
                <w:bCs/>
                <w:sz w:val="21"/>
                <w:szCs w:val="21"/>
                <w:lang w:val="lt-LT"/>
              </w:rPr>
            </w:pPr>
            <w:r w:rsidRPr="003878A7">
              <w:rPr>
                <w:rFonts w:cs="Times New Roman"/>
                <w:b/>
                <w:bCs/>
                <w:sz w:val="21"/>
                <w:szCs w:val="21"/>
                <w:lang w:val="lt-LT"/>
              </w:rPr>
              <w:t>Apskaičiuoti rezultatai</w:t>
            </w:r>
          </w:p>
        </w:tc>
        <w:tc>
          <w:tcPr>
            <w:tcW w:w="1667" w:type="pct"/>
            <w:vAlign w:val="center"/>
          </w:tcPr>
          <w:p w14:paraId="7C711D39" w14:textId="77777777" w:rsidR="00EF45C0" w:rsidRPr="003878A7" w:rsidRDefault="00EF45C0" w:rsidP="003878A7">
            <w:pPr>
              <w:spacing w:before="0" w:after="0"/>
              <w:ind w:firstLine="0"/>
              <w:jc w:val="center"/>
              <w:rPr>
                <w:rFonts w:cs="Times New Roman"/>
                <w:b/>
                <w:bCs/>
                <w:sz w:val="21"/>
                <w:szCs w:val="21"/>
                <w:lang w:val="lt-LT"/>
              </w:rPr>
            </w:pPr>
            <w:r w:rsidRPr="003878A7">
              <w:rPr>
                <w:rFonts w:cs="Times New Roman"/>
                <w:b/>
                <w:bCs/>
                <w:sz w:val="21"/>
                <w:szCs w:val="21"/>
                <w:lang w:val="lt-LT"/>
              </w:rPr>
              <w:t>Palyginimas su paklausos duomenimis</w:t>
            </w:r>
          </w:p>
        </w:tc>
      </w:tr>
      <w:tr w:rsidR="00EF45C0" w:rsidRPr="003878A7" w14:paraId="2291213E" w14:textId="77777777" w:rsidTr="003878A7">
        <w:tc>
          <w:tcPr>
            <w:tcW w:w="1666" w:type="pct"/>
            <w:vAlign w:val="center"/>
          </w:tcPr>
          <w:p w14:paraId="7EF6E08B" w14:textId="77777777" w:rsidR="00EF45C0" w:rsidRPr="003878A7" w:rsidRDefault="00EF45C0" w:rsidP="003878A7">
            <w:pPr>
              <w:spacing w:before="0" w:after="0"/>
              <w:ind w:firstLine="0"/>
              <w:jc w:val="left"/>
              <w:rPr>
                <w:rFonts w:cs="Times New Roman"/>
                <w:sz w:val="21"/>
                <w:szCs w:val="21"/>
                <w:lang w:val="lt-LT"/>
              </w:rPr>
            </w:pPr>
            <w:r w:rsidRPr="003878A7">
              <w:rPr>
                <w:rFonts w:cs="Times New Roman"/>
                <w:sz w:val="21"/>
                <w:szCs w:val="21"/>
                <w:lang w:val="lt-LT"/>
              </w:rPr>
              <w:t>FP</w:t>
            </w:r>
          </w:p>
        </w:tc>
        <w:tc>
          <w:tcPr>
            <w:tcW w:w="1667" w:type="pct"/>
            <w:vAlign w:val="center"/>
          </w:tcPr>
          <w:p w14:paraId="60112D47" w14:textId="5583F8FB" w:rsidR="00EF45C0" w:rsidRPr="003878A7" w:rsidRDefault="00EF45C0" w:rsidP="003878A7">
            <w:pPr>
              <w:spacing w:before="0" w:after="0"/>
              <w:ind w:firstLine="0"/>
              <w:jc w:val="center"/>
              <w:rPr>
                <w:rFonts w:cs="Times New Roman"/>
                <w:sz w:val="21"/>
                <w:szCs w:val="21"/>
                <w:lang w:val="lt-LT"/>
              </w:rPr>
            </w:pPr>
            <w:r w:rsidRPr="003878A7">
              <w:rPr>
                <w:rFonts w:cs="Times New Roman"/>
                <w:sz w:val="21"/>
                <w:szCs w:val="21"/>
                <w:lang w:val="lt-LT"/>
              </w:rPr>
              <w:t>Garantijų FP. Bankai teiks paskolas ESCO įmonėms arba tiesiogiai projektus įgyvendinantiems subjektams.</w:t>
            </w:r>
          </w:p>
        </w:tc>
        <w:tc>
          <w:tcPr>
            <w:tcW w:w="1667" w:type="pct"/>
            <w:vAlign w:val="center"/>
          </w:tcPr>
          <w:p w14:paraId="0E02F581" w14:textId="77777777" w:rsidR="00EF45C0" w:rsidRPr="003878A7" w:rsidRDefault="00EF45C0" w:rsidP="003878A7">
            <w:pPr>
              <w:spacing w:before="0" w:after="0"/>
              <w:ind w:firstLine="0"/>
              <w:jc w:val="center"/>
              <w:rPr>
                <w:rFonts w:cs="Times New Roman"/>
                <w:sz w:val="21"/>
                <w:szCs w:val="21"/>
                <w:lang w:val="lt-LT"/>
              </w:rPr>
            </w:pPr>
            <w:r w:rsidRPr="003878A7">
              <w:rPr>
                <w:rFonts w:cs="Times New Roman"/>
                <w:sz w:val="21"/>
                <w:szCs w:val="21"/>
                <w:lang w:val="lt-LT"/>
              </w:rPr>
              <w:t>-</w:t>
            </w:r>
          </w:p>
        </w:tc>
      </w:tr>
      <w:tr w:rsidR="00EF45C0" w:rsidRPr="003878A7" w14:paraId="744B4E6F" w14:textId="77777777" w:rsidTr="003878A7">
        <w:tc>
          <w:tcPr>
            <w:tcW w:w="1666" w:type="pct"/>
            <w:vAlign w:val="center"/>
          </w:tcPr>
          <w:p w14:paraId="34B51706" w14:textId="77777777" w:rsidR="00EF45C0" w:rsidRPr="003878A7" w:rsidRDefault="00EF45C0" w:rsidP="003878A7">
            <w:pPr>
              <w:spacing w:before="0" w:after="0"/>
              <w:ind w:firstLine="0"/>
              <w:jc w:val="left"/>
              <w:rPr>
                <w:rFonts w:cs="Times New Roman"/>
                <w:sz w:val="21"/>
                <w:szCs w:val="21"/>
                <w:lang w:val="lt-LT"/>
              </w:rPr>
            </w:pPr>
            <w:r w:rsidRPr="003878A7">
              <w:rPr>
                <w:rFonts w:cs="Times New Roman"/>
                <w:sz w:val="21"/>
                <w:szCs w:val="21"/>
                <w:lang w:val="lt-LT"/>
              </w:rPr>
              <w:t>Finansuojanti institucija</w:t>
            </w:r>
          </w:p>
        </w:tc>
        <w:tc>
          <w:tcPr>
            <w:tcW w:w="1667" w:type="pct"/>
            <w:vAlign w:val="center"/>
          </w:tcPr>
          <w:p w14:paraId="2241104E" w14:textId="77777777" w:rsidR="00EF45C0" w:rsidRPr="003878A7" w:rsidRDefault="00EF45C0" w:rsidP="003878A7">
            <w:pPr>
              <w:spacing w:before="0" w:after="0"/>
              <w:ind w:firstLine="0"/>
              <w:jc w:val="center"/>
              <w:rPr>
                <w:rFonts w:cs="Times New Roman"/>
                <w:sz w:val="21"/>
                <w:szCs w:val="21"/>
                <w:lang w:val="lt-LT"/>
              </w:rPr>
            </w:pPr>
            <w:r w:rsidRPr="003878A7">
              <w:rPr>
                <w:rFonts w:cs="Times New Roman"/>
                <w:sz w:val="21"/>
                <w:szCs w:val="21"/>
                <w:lang w:val="lt-LT"/>
              </w:rPr>
              <w:t>EM</w:t>
            </w:r>
          </w:p>
        </w:tc>
        <w:tc>
          <w:tcPr>
            <w:tcW w:w="1667" w:type="pct"/>
            <w:vAlign w:val="center"/>
          </w:tcPr>
          <w:p w14:paraId="351B52FC" w14:textId="77777777" w:rsidR="00EF45C0" w:rsidRPr="003878A7" w:rsidRDefault="00EF45C0" w:rsidP="003878A7">
            <w:pPr>
              <w:spacing w:before="0" w:after="0"/>
              <w:ind w:firstLine="0"/>
              <w:jc w:val="center"/>
              <w:rPr>
                <w:rFonts w:cs="Times New Roman"/>
                <w:sz w:val="21"/>
                <w:szCs w:val="21"/>
                <w:lang w:val="lt-LT"/>
              </w:rPr>
            </w:pPr>
            <w:r w:rsidRPr="003878A7">
              <w:rPr>
                <w:rFonts w:cs="Times New Roman"/>
                <w:sz w:val="21"/>
                <w:szCs w:val="21"/>
                <w:lang w:val="lt-LT"/>
              </w:rPr>
              <w:t>-</w:t>
            </w:r>
          </w:p>
        </w:tc>
      </w:tr>
      <w:tr w:rsidR="00EF45C0" w:rsidRPr="003878A7" w14:paraId="1D6ACF8A" w14:textId="77777777" w:rsidTr="003878A7">
        <w:tc>
          <w:tcPr>
            <w:tcW w:w="1666" w:type="pct"/>
            <w:vAlign w:val="center"/>
          </w:tcPr>
          <w:p w14:paraId="080CDDB5" w14:textId="77777777" w:rsidR="00EF45C0" w:rsidRPr="003878A7" w:rsidRDefault="00EF45C0" w:rsidP="003878A7">
            <w:pPr>
              <w:spacing w:before="0" w:after="0"/>
              <w:ind w:firstLine="0"/>
              <w:jc w:val="left"/>
              <w:rPr>
                <w:rFonts w:cs="Times New Roman"/>
                <w:sz w:val="21"/>
                <w:szCs w:val="21"/>
                <w:lang w:val="lt-LT"/>
              </w:rPr>
            </w:pPr>
            <w:r w:rsidRPr="003878A7">
              <w:rPr>
                <w:rFonts w:cs="Times New Roman"/>
                <w:sz w:val="21"/>
                <w:szCs w:val="21"/>
                <w:lang w:val="lt-LT"/>
              </w:rPr>
              <w:t>GNG pasiekusios lėšos</w:t>
            </w:r>
          </w:p>
        </w:tc>
        <w:tc>
          <w:tcPr>
            <w:tcW w:w="1667" w:type="pct"/>
            <w:vAlign w:val="center"/>
          </w:tcPr>
          <w:p w14:paraId="70A21316" w14:textId="14B789CA" w:rsidR="00EF45C0" w:rsidRPr="003878A7" w:rsidRDefault="00EF45C0" w:rsidP="003878A7">
            <w:pPr>
              <w:spacing w:before="0" w:after="0"/>
              <w:ind w:firstLine="0"/>
              <w:jc w:val="center"/>
              <w:rPr>
                <w:rFonts w:cs="Times New Roman"/>
                <w:sz w:val="21"/>
                <w:szCs w:val="21"/>
                <w:lang w:val="lt-LT"/>
              </w:rPr>
            </w:pPr>
            <w:r w:rsidRPr="003878A7">
              <w:rPr>
                <w:rFonts w:cs="Times New Roman"/>
                <w:sz w:val="21"/>
                <w:szCs w:val="21"/>
                <w:lang w:val="lt-LT"/>
              </w:rPr>
              <w:t>40,9 mln. Eur</w:t>
            </w:r>
          </w:p>
        </w:tc>
        <w:tc>
          <w:tcPr>
            <w:tcW w:w="1667" w:type="pct"/>
            <w:vAlign w:val="center"/>
          </w:tcPr>
          <w:p w14:paraId="14C324E3" w14:textId="337F8F7E" w:rsidR="00EF45C0" w:rsidRPr="003878A7" w:rsidRDefault="00EF45C0" w:rsidP="003878A7">
            <w:pPr>
              <w:spacing w:before="0" w:after="0"/>
              <w:ind w:firstLine="0"/>
              <w:jc w:val="center"/>
              <w:rPr>
                <w:rFonts w:cs="Times New Roman"/>
                <w:sz w:val="21"/>
                <w:szCs w:val="21"/>
                <w:lang w:val="lt-LT"/>
              </w:rPr>
            </w:pPr>
            <w:r w:rsidRPr="003878A7">
              <w:rPr>
                <w:rFonts w:cs="Times New Roman"/>
                <w:sz w:val="21"/>
                <w:szCs w:val="21"/>
                <w:lang w:val="lt-LT"/>
              </w:rPr>
              <w:t>95,1 mln. Eur</w:t>
            </w:r>
          </w:p>
        </w:tc>
      </w:tr>
      <w:tr w:rsidR="00EF45C0" w:rsidRPr="003878A7" w14:paraId="695B2729" w14:textId="77777777" w:rsidTr="003878A7">
        <w:tc>
          <w:tcPr>
            <w:tcW w:w="1666" w:type="pct"/>
            <w:vAlign w:val="center"/>
          </w:tcPr>
          <w:p w14:paraId="25A8A804" w14:textId="77777777" w:rsidR="00EF45C0" w:rsidRPr="003878A7" w:rsidRDefault="00EF45C0" w:rsidP="003878A7">
            <w:pPr>
              <w:spacing w:before="0" w:after="0"/>
              <w:ind w:firstLine="0"/>
              <w:jc w:val="left"/>
              <w:rPr>
                <w:rFonts w:cs="Times New Roman"/>
                <w:sz w:val="21"/>
                <w:szCs w:val="21"/>
                <w:lang w:val="lt-LT"/>
              </w:rPr>
            </w:pPr>
            <w:r w:rsidRPr="003878A7">
              <w:rPr>
                <w:rFonts w:cs="Times New Roman"/>
                <w:sz w:val="21"/>
                <w:szCs w:val="21"/>
                <w:lang w:val="lt-LT"/>
              </w:rPr>
              <w:t>Pritrauktos lėšos iš privačių šaltinių</w:t>
            </w:r>
          </w:p>
        </w:tc>
        <w:tc>
          <w:tcPr>
            <w:tcW w:w="1667" w:type="pct"/>
            <w:vAlign w:val="center"/>
          </w:tcPr>
          <w:p w14:paraId="524274D9" w14:textId="14F88687" w:rsidR="00EF45C0" w:rsidRPr="003878A7" w:rsidRDefault="00EF45C0" w:rsidP="003878A7">
            <w:pPr>
              <w:spacing w:before="0" w:after="0"/>
              <w:ind w:firstLine="0"/>
              <w:jc w:val="center"/>
              <w:rPr>
                <w:rFonts w:cs="Times New Roman"/>
                <w:sz w:val="21"/>
                <w:szCs w:val="21"/>
                <w:lang w:val="lt-LT"/>
              </w:rPr>
            </w:pPr>
            <w:r w:rsidRPr="003878A7">
              <w:rPr>
                <w:rFonts w:cs="Times New Roman"/>
                <w:sz w:val="21"/>
                <w:szCs w:val="21"/>
                <w:lang w:val="lt-LT"/>
              </w:rPr>
              <w:t>40,9 mln. Eur</w:t>
            </w:r>
          </w:p>
        </w:tc>
        <w:tc>
          <w:tcPr>
            <w:tcW w:w="1667" w:type="pct"/>
            <w:vAlign w:val="center"/>
          </w:tcPr>
          <w:p w14:paraId="5A89890A" w14:textId="77777777" w:rsidR="00EF45C0" w:rsidRPr="003878A7" w:rsidRDefault="00EF45C0" w:rsidP="003878A7">
            <w:pPr>
              <w:spacing w:before="0" w:after="0"/>
              <w:ind w:firstLine="0"/>
              <w:jc w:val="center"/>
              <w:rPr>
                <w:rFonts w:cs="Times New Roman"/>
                <w:sz w:val="21"/>
                <w:szCs w:val="21"/>
                <w:lang w:val="lt-LT"/>
              </w:rPr>
            </w:pPr>
            <w:r w:rsidRPr="003878A7">
              <w:rPr>
                <w:rFonts w:cs="Times New Roman"/>
                <w:sz w:val="21"/>
                <w:szCs w:val="21"/>
                <w:lang w:val="lt-LT"/>
              </w:rPr>
              <w:t>-</w:t>
            </w:r>
          </w:p>
        </w:tc>
      </w:tr>
      <w:tr w:rsidR="00EF45C0" w:rsidRPr="003878A7" w14:paraId="317C754A" w14:textId="77777777" w:rsidTr="003878A7">
        <w:tc>
          <w:tcPr>
            <w:tcW w:w="1666" w:type="pct"/>
            <w:vAlign w:val="center"/>
          </w:tcPr>
          <w:p w14:paraId="68FA4AA0" w14:textId="77777777" w:rsidR="00EF45C0" w:rsidRPr="003878A7" w:rsidRDefault="00EF45C0" w:rsidP="003878A7">
            <w:pPr>
              <w:spacing w:before="0" w:after="0"/>
              <w:ind w:firstLine="0"/>
              <w:jc w:val="left"/>
              <w:rPr>
                <w:rFonts w:cs="Times New Roman"/>
                <w:sz w:val="21"/>
                <w:szCs w:val="21"/>
                <w:lang w:val="lt-LT"/>
              </w:rPr>
            </w:pPr>
            <w:r w:rsidRPr="003878A7">
              <w:rPr>
                <w:rFonts w:cs="Times New Roman"/>
                <w:sz w:val="21"/>
                <w:szCs w:val="21"/>
                <w:lang w:val="lt-LT"/>
              </w:rPr>
              <w:t>Sverto efektas</w:t>
            </w:r>
          </w:p>
        </w:tc>
        <w:tc>
          <w:tcPr>
            <w:tcW w:w="1667" w:type="pct"/>
            <w:vAlign w:val="center"/>
          </w:tcPr>
          <w:p w14:paraId="650DCA31" w14:textId="321D6FB3" w:rsidR="00EF45C0" w:rsidRPr="003878A7" w:rsidRDefault="00EF45C0" w:rsidP="003878A7">
            <w:pPr>
              <w:spacing w:before="0" w:after="0"/>
              <w:ind w:firstLine="0"/>
              <w:jc w:val="center"/>
              <w:rPr>
                <w:rFonts w:cs="Times New Roman"/>
                <w:sz w:val="21"/>
                <w:szCs w:val="21"/>
                <w:lang w:val="lt-LT"/>
              </w:rPr>
            </w:pPr>
            <w:r w:rsidRPr="003878A7">
              <w:rPr>
                <w:rFonts w:cs="Times New Roman"/>
                <w:sz w:val="21"/>
                <w:szCs w:val="21"/>
                <w:lang w:val="lt-LT"/>
              </w:rPr>
              <w:t>3,82</w:t>
            </w:r>
          </w:p>
        </w:tc>
        <w:tc>
          <w:tcPr>
            <w:tcW w:w="1667" w:type="pct"/>
            <w:vAlign w:val="center"/>
          </w:tcPr>
          <w:p w14:paraId="5D12B37C" w14:textId="77777777" w:rsidR="00EF45C0" w:rsidRPr="003878A7" w:rsidRDefault="00EF45C0" w:rsidP="003878A7">
            <w:pPr>
              <w:spacing w:before="0" w:after="0"/>
              <w:ind w:firstLine="0"/>
              <w:jc w:val="center"/>
              <w:rPr>
                <w:rFonts w:cs="Times New Roman"/>
                <w:sz w:val="21"/>
                <w:szCs w:val="21"/>
                <w:lang w:val="lt-LT"/>
              </w:rPr>
            </w:pPr>
            <w:r w:rsidRPr="003878A7">
              <w:rPr>
                <w:rFonts w:cs="Times New Roman"/>
                <w:sz w:val="21"/>
                <w:szCs w:val="21"/>
                <w:lang w:val="lt-LT"/>
              </w:rPr>
              <w:t>-</w:t>
            </w:r>
          </w:p>
        </w:tc>
      </w:tr>
      <w:tr w:rsidR="00EF45C0" w:rsidRPr="003878A7" w14:paraId="5B382712" w14:textId="77777777" w:rsidTr="003878A7">
        <w:tc>
          <w:tcPr>
            <w:tcW w:w="1666" w:type="pct"/>
            <w:vAlign w:val="center"/>
          </w:tcPr>
          <w:p w14:paraId="0EAC582D" w14:textId="3899BADA" w:rsidR="00EF45C0" w:rsidRPr="003878A7" w:rsidRDefault="00EF45C0" w:rsidP="003878A7">
            <w:pPr>
              <w:spacing w:before="0" w:after="0"/>
              <w:ind w:firstLine="0"/>
              <w:jc w:val="left"/>
              <w:rPr>
                <w:rFonts w:cs="Times New Roman"/>
                <w:sz w:val="21"/>
                <w:szCs w:val="21"/>
                <w:lang w:val="lt-LT"/>
              </w:rPr>
            </w:pPr>
            <w:r w:rsidRPr="003878A7">
              <w:rPr>
                <w:rFonts w:cs="Times New Roman"/>
                <w:sz w:val="21"/>
                <w:szCs w:val="21"/>
                <w:lang w:val="lt-LT"/>
              </w:rPr>
              <w:t xml:space="preserve">Modernizuotų šviestuvų skaičius iki 2022 m. </w:t>
            </w:r>
          </w:p>
        </w:tc>
        <w:tc>
          <w:tcPr>
            <w:tcW w:w="1667" w:type="pct"/>
            <w:vAlign w:val="center"/>
          </w:tcPr>
          <w:p w14:paraId="04BF63FC" w14:textId="65B70B4B" w:rsidR="00EF45C0" w:rsidRPr="003878A7" w:rsidRDefault="00EF45C0" w:rsidP="003878A7">
            <w:pPr>
              <w:spacing w:before="0" w:after="0"/>
              <w:ind w:firstLine="0"/>
              <w:jc w:val="center"/>
              <w:rPr>
                <w:rFonts w:cs="Times New Roman"/>
                <w:sz w:val="21"/>
                <w:szCs w:val="21"/>
                <w:lang w:val="lt-LT"/>
              </w:rPr>
            </w:pPr>
            <w:r w:rsidRPr="003878A7">
              <w:rPr>
                <w:rFonts w:cs="Times New Roman"/>
                <w:sz w:val="21"/>
                <w:szCs w:val="21"/>
                <w:lang w:val="lt-LT"/>
              </w:rPr>
              <w:t>57 600</w:t>
            </w:r>
          </w:p>
        </w:tc>
        <w:tc>
          <w:tcPr>
            <w:tcW w:w="1667" w:type="pct"/>
            <w:vAlign w:val="center"/>
          </w:tcPr>
          <w:p w14:paraId="3D6B5F69" w14:textId="3A392E4A" w:rsidR="00EF45C0" w:rsidRPr="003878A7" w:rsidRDefault="00EF45C0" w:rsidP="003878A7">
            <w:pPr>
              <w:spacing w:before="0" w:after="0"/>
              <w:ind w:firstLine="0"/>
              <w:jc w:val="center"/>
              <w:rPr>
                <w:rFonts w:cs="Times New Roman"/>
                <w:sz w:val="21"/>
                <w:szCs w:val="21"/>
                <w:lang w:val="lt-LT"/>
              </w:rPr>
            </w:pPr>
            <w:r w:rsidRPr="003878A7">
              <w:rPr>
                <w:rFonts w:cs="Times New Roman"/>
                <w:sz w:val="21"/>
                <w:szCs w:val="21"/>
                <w:lang w:val="lt-LT"/>
              </w:rPr>
              <w:t>133 950</w:t>
            </w:r>
          </w:p>
        </w:tc>
      </w:tr>
    </w:tbl>
    <w:p w14:paraId="5B81ECD8" w14:textId="6F2738EA" w:rsidR="00EF45C0" w:rsidRPr="003878A7" w:rsidRDefault="00EF45C0" w:rsidP="009B2AF3">
      <w:pPr>
        <w:spacing w:after="0"/>
        <w:rPr>
          <w:rFonts w:cs="Times New Roman"/>
          <w:sz w:val="20"/>
          <w:szCs w:val="20"/>
        </w:rPr>
      </w:pPr>
      <w:r w:rsidRPr="003878A7">
        <w:rPr>
          <w:rFonts w:cs="Times New Roman"/>
          <w:sz w:val="20"/>
          <w:szCs w:val="20"/>
        </w:rPr>
        <w:t>Šaltinis: sudaryta Vertintojų</w:t>
      </w:r>
    </w:p>
    <w:p w14:paraId="1CADE8E7" w14:textId="49598249" w:rsidR="00F16BEC" w:rsidRPr="003878A7" w:rsidRDefault="00EF45C0" w:rsidP="009B2AF3">
      <w:pPr>
        <w:rPr>
          <w:rFonts w:cs="Times New Roman"/>
        </w:rPr>
      </w:pPr>
      <w:r w:rsidRPr="003878A7">
        <w:rPr>
          <w:rFonts w:cs="Times New Roman"/>
        </w:rPr>
        <w:t xml:space="preserve">FP įgyvendinimas taip pat prisidės prie ES ir nacionalinių strateginių tikslų įgyvendinimo. </w:t>
      </w:r>
    </w:p>
    <w:p w14:paraId="1B3A22D4" w14:textId="58FA6F10" w:rsidR="00EF45C0" w:rsidRPr="003878A7" w:rsidRDefault="00F16BEC" w:rsidP="00F16BEC">
      <w:pPr>
        <w:ind w:firstLine="0"/>
        <w:rPr>
          <w:rFonts w:cs="Times New Roman"/>
          <w:i/>
          <w:iCs/>
        </w:rPr>
      </w:pPr>
      <w:r w:rsidRPr="003878A7">
        <w:rPr>
          <w:rFonts w:cs="Times New Roman"/>
          <w:i/>
          <w:iCs/>
        </w:rPr>
        <w:t xml:space="preserve">Lentelė Nr. </w:t>
      </w:r>
      <w:r w:rsidR="006D7B19">
        <w:rPr>
          <w:rFonts w:cs="Times New Roman"/>
          <w:i/>
          <w:iCs/>
        </w:rPr>
        <w:t>2</w:t>
      </w:r>
      <w:r w:rsidR="0025664D">
        <w:rPr>
          <w:rFonts w:cs="Times New Roman"/>
          <w:i/>
          <w:iCs/>
        </w:rPr>
        <w:t>5</w:t>
      </w:r>
      <w:r w:rsidR="006D7B19">
        <w:rPr>
          <w:rFonts w:cs="Times New Roman"/>
          <w:i/>
          <w:iCs/>
        </w:rPr>
        <w:t>.</w:t>
      </w:r>
      <w:r w:rsidRPr="003878A7">
        <w:rPr>
          <w:rFonts w:cs="Times New Roman"/>
          <w:i/>
          <w:iCs/>
        </w:rPr>
        <w:t xml:space="preserve"> Tikėtini centrinės valdžios pastatų renovacijos </w:t>
      </w:r>
      <w:r w:rsidR="009B2AF3" w:rsidRPr="003878A7">
        <w:rPr>
          <w:rFonts w:cs="Times New Roman"/>
          <w:i/>
          <w:iCs/>
        </w:rPr>
        <w:t xml:space="preserve">ir gatvių apšvietimo modernizavimo </w:t>
      </w:r>
      <w:r w:rsidRPr="003878A7">
        <w:rPr>
          <w:rFonts w:cs="Times New Roman"/>
          <w:i/>
          <w:iCs/>
        </w:rPr>
        <w:t>energijos sutaupymo ir taršos mažinimo rezultatai</w:t>
      </w:r>
    </w:p>
    <w:tbl>
      <w:tblPr>
        <w:tblStyle w:val="TableGrid"/>
        <w:tblW w:w="0" w:type="auto"/>
        <w:tblLook w:val="04A0" w:firstRow="1" w:lastRow="0" w:firstColumn="1" w:lastColumn="0" w:noHBand="0" w:noVBand="1"/>
      </w:tblPr>
      <w:tblGrid>
        <w:gridCol w:w="2230"/>
        <w:gridCol w:w="1912"/>
        <w:gridCol w:w="2195"/>
        <w:gridCol w:w="1689"/>
        <w:gridCol w:w="1828"/>
      </w:tblGrid>
      <w:tr w:rsidR="00196EA6" w:rsidRPr="003878A7" w14:paraId="78563297" w14:textId="40B1E2CF" w:rsidTr="00196EA6">
        <w:tc>
          <w:tcPr>
            <w:tcW w:w="2230" w:type="dxa"/>
            <w:vMerge w:val="restart"/>
            <w:vAlign w:val="center"/>
          </w:tcPr>
          <w:p w14:paraId="62F3526F" w14:textId="2C78832F" w:rsidR="00196EA6" w:rsidRPr="003878A7" w:rsidRDefault="00196EA6" w:rsidP="00196EA6">
            <w:pPr>
              <w:spacing w:after="0"/>
              <w:ind w:firstLine="0"/>
              <w:jc w:val="left"/>
              <w:rPr>
                <w:rFonts w:cs="Times New Roman"/>
                <w:b/>
                <w:bCs/>
                <w:sz w:val="20"/>
                <w:szCs w:val="20"/>
                <w:lang w:val="lt-LT"/>
              </w:rPr>
            </w:pPr>
            <w:r w:rsidRPr="003878A7">
              <w:rPr>
                <w:rFonts w:cs="Times New Roman"/>
                <w:b/>
                <w:bCs/>
                <w:sz w:val="20"/>
                <w:szCs w:val="20"/>
                <w:lang w:val="lt-LT"/>
              </w:rPr>
              <w:t>Rodiklis</w:t>
            </w:r>
          </w:p>
        </w:tc>
        <w:tc>
          <w:tcPr>
            <w:tcW w:w="4107" w:type="dxa"/>
            <w:gridSpan w:val="2"/>
            <w:vAlign w:val="center"/>
          </w:tcPr>
          <w:p w14:paraId="5A5E8D0E" w14:textId="5AEF8F87" w:rsidR="00196EA6" w:rsidRPr="003878A7" w:rsidRDefault="00196EA6" w:rsidP="00196EA6">
            <w:pPr>
              <w:spacing w:after="0"/>
              <w:ind w:firstLine="0"/>
              <w:jc w:val="center"/>
              <w:rPr>
                <w:rFonts w:cs="Times New Roman"/>
                <w:b/>
                <w:bCs/>
                <w:sz w:val="20"/>
                <w:szCs w:val="20"/>
                <w:lang w:val="lt-LT"/>
              </w:rPr>
            </w:pPr>
            <w:r w:rsidRPr="003878A7">
              <w:rPr>
                <w:rFonts w:cs="Times New Roman"/>
                <w:b/>
                <w:bCs/>
                <w:sz w:val="20"/>
                <w:szCs w:val="20"/>
                <w:lang w:val="lt-LT"/>
              </w:rPr>
              <w:t>Centrinės vadžios pastatų renovacija</w:t>
            </w:r>
          </w:p>
        </w:tc>
        <w:tc>
          <w:tcPr>
            <w:tcW w:w="3517" w:type="dxa"/>
            <w:gridSpan w:val="2"/>
            <w:vAlign w:val="center"/>
          </w:tcPr>
          <w:p w14:paraId="0356E8EF" w14:textId="11750627" w:rsidR="00196EA6" w:rsidRPr="003878A7" w:rsidRDefault="00196EA6" w:rsidP="00196EA6">
            <w:pPr>
              <w:spacing w:after="0"/>
              <w:ind w:firstLine="0"/>
              <w:jc w:val="center"/>
              <w:rPr>
                <w:rFonts w:cs="Times New Roman"/>
                <w:b/>
                <w:bCs/>
                <w:sz w:val="20"/>
                <w:szCs w:val="20"/>
                <w:lang w:val="lt-LT"/>
              </w:rPr>
            </w:pPr>
            <w:r w:rsidRPr="003878A7">
              <w:rPr>
                <w:rFonts w:cs="Times New Roman"/>
                <w:b/>
                <w:bCs/>
                <w:sz w:val="20"/>
                <w:szCs w:val="20"/>
                <w:lang w:val="lt-LT"/>
              </w:rPr>
              <w:t>Gatvių apšvietimo modernizavimas</w:t>
            </w:r>
          </w:p>
        </w:tc>
      </w:tr>
      <w:tr w:rsidR="00196EA6" w:rsidRPr="003878A7" w14:paraId="3BD44745" w14:textId="77777777" w:rsidTr="00196EA6">
        <w:tc>
          <w:tcPr>
            <w:tcW w:w="2230" w:type="dxa"/>
            <w:vMerge/>
          </w:tcPr>
          <w:p w14:paraId="7B8C1E84" w14:textId="77777777" w:rsidR="00196EA6" w:rsidRPr="003878A7" w:rsidRDefault="00196EA6" w:rsidP="00196EA6">
            <w:pPr>
              <w:spacing w:after="0"/>
              <w:ind w:firstLine="0"/>
              <w:rPr>
                <w:rFonts w:cs="Times New Roman"/>
                <w:b/>
                <w:bCs/>
                <w:sz w:val="20"/>
                <w:szCs w:val="20"/>
                <w:lang w:val="lt-LT"/>
              </w:rPr>
            </w:pPr>
          </w:p>
        </w:tc>
        <w:tc>
          <w:tcPr>
            <w:tcW w:w="1912" w:type="dxa"/>
            <w:vAlign w:val="center"/>
          </w:tcPr>
          <w:p w14:paraId="497BB1C0" w14:textId="7EC41C41" w:rsidR="00196EA6" w:rsidRPr="003878A7" w:rsidRDefault="00196EA6" w:rsidP="00196EA6">
            <w:pPr>
              <w:spacing w:after="0"/>
              <w:ind w:firstLine="0"/>
              <w:jc w:val="center"/>
              <w:rPr>
                <w:rFonts w:cs="Times New Roman"/>
                <w:b/>
                <w:bCs/>
                <w:sz w:val="20"/>
                <w:szCs w:val="20"/>
                <w:lang w:val="lt-LT"/>
              </w:rPr>
            </w:pPr>
            <w:r w:rsidRPr="003878A7">
              <w:rPr>
                <w:rFonts w:cs="Times New Roman"/>
                <w:b/>
                <w:bCs/>
                <w:sz w:val="20"/>
                <w:szCs w:val="20"/>
                <w:lang w:val="lt-LT"/>
              </w:rPr>
              <w:t>Mato vnt.</w:t>
            </w:r>
          </w:p>
        </w:tc>
        <w:tc>
          <w:tcPr>
            <w:tcW w:w="2195" w:type="dxa"/>
            <w:vAlign w:val="center"/>
          </w:tcPr>
          <w:p w14:paraId="295F0012" w14:textId="447CD5E2" w:rsidR="00196EA6" w:rsidRPr="003878A7" w:rsidRDefault="00196EA6" w:rsidP="00196EA6">
            <w:pPr>
              <w:spacing w:after="0"/>
              <w:ind w:firstLine="0"/>
              <w:jc w:val="center"/>
              <w:rPr>
                <w:rFonts w:cs="Times New Roman"/>
                <w:b/>
                <w:bCs/>
                <w:sz w:val="20"/>
                <w:szCs w:val="20"/>
                <w:lang w:val="lt-LT"/>
              </w:rPr>
            </w:pPr>
            <w:r w:rsidRPr="003878A7">
              <w:rPr>
                <w:rFonts w:cs="Times New Roman"/>
                <w:b/>
                <w:bCs/>
                <w:sz w:val="20"/>
                <w:szCs w:val="20"/>
                <w:lang w:val="lt-LT"/>
              </w:rPr>
              <w:t>Sutaupymas</w:t>
            </w:r>
          </w:p>
        </w:tc>
        <w:tc>
          <w:tcPr>
            <w:tcW w:w="1689" w:type="dxa"/>
            <w:vAlign w:val="center"/>
          </w:tcPr>
          <w:p w14:paraId="3C928CE7" w14:textId="04262B14" w:rsidR="00196EA6" w:rsidRPr="003878A7" w:rsidRDefault="00196EA6" w:rsidP="00196EA6">
            <w:pPr>
              <w:spacing w:after="0"/>
              <w:ind w:firstLine="0"/>
              <w:jc w:val="center"/>
              <w:rPr>
                <w:rFonts w:cs="Times New Roman"/>
                <w:b/>
                <w:bCs/>
                <w:sz w:val="20"/>
                <w:szCs w:val="20"/>
                <w:lang w:val="lt-LT"/>
              </w:rPr>
            </w:pPr>
            <w:r w:rsidRPr="003878A7">
              <w:rPr>
                <w:rFonts w:cs="Times New Roman"/>
                <w:b/>
                <w:bCs/>
                <w:sz w:val="20"/>
                <w:szCs w:val="20"/>
                <w:lang w:val="lt-LT"/>
              </w:rPr>
              <w:t>Mato vnt.</w:t>
            </w:r>
          </w:p>
        </w:tc>
        <w:tc>
          <w:tcPr>
            <w:tcW w:w="1828" w:type="dxa"/>
            <w:vAlign w:val="center"/>
          </w:tcPr>
          <w:p w14:paraId="5D345601" w14:textId="474F47ED" w:rsidR="00196EA6" w:rsidRPr="003878A7" w:rsidRDefault="00196EA6" w:rsidP="00196EA6">
            <w:pPr>
              <w:spacing w:after="0"/>
              <w:ind w:firstLine="0"/>
              <w:jc w:val="center"/>
              <w:rPr>
                <w:rFonts w:cs="Times New Roman"/>
                <w:b/>
                <w:bCs/>
                <w:sz w:val="20"/>
                <w:szCs w:val="20"/>
                <w:lang w:val="lt-LT"/>
              </w:rPr>
            </w:pPr>
            <w:r w:rsidRPr="003878A7">
              <w:rPr>
                <w:rFonts w:cs="Times New Roman"/>
                <w:b/>
                <w:bCs/>
                <w:sz w:val="20"/>
                <w:szCs w:val="20"/>
                <w:lang w:val="lt-LT"/>
              </w:rPr>
              <w:t>Sutaupymas</w:t>
            </w:r>
          </w:p>
        </w:tc>
      </w:tr>
      <w:tr w:rsidR="00196EA6" w:rsidRPr="003878A7" w14:paraId="72ABCFEA" w14:textId="3832C21C" w:rsidTr="00196EA6">
        <w:tc>
          <w:tcPr>
            <w:tcW w:w="2230" w:type="dxa"/>
            <w:vAlign w:val="center"/>
          </w:tcPr>
          <w:p w14:paraId="1DDFC943" w14:textId="6907011D" w:rsidR="00196EA6" w:rsidRPr="003878A7" w:rsidRDefault="00196EA6" w:rsidP="00196EA6">
            <w:pPr>
              <w:spacing w:after="0"/>
              <w:ind w:firstLine="0"/>
              <w:jc w:val="left"/>
              <w:rPr>
                <w:rFonts w:cs="Times New Roman"/>
                <w:sz w:val="20"/>
                <w:szCs w:val="20"/>
                <w:lang w:val="lt-LT"/>
              </w:rPr>
            </w:pPr>
            <w:r w:rsidRPr="003878A7">
              <w:rPr>
                <w:rFonts w:cs="Times New Roman"/>
                <w:sz w:val="20"/>
                <w:szCs w:val="20"/>
                <w:lang w:val="lt-LT"/>
              </w:rPr>
              <w:t>Sutaupytos energijos kiekis (neįskaitant 2020 m.)</w:t>
            </w:r>
          </w:p>
        </w:tc>
        <w:tc>
          <w:tcPr>
            <w:tcW w:w="1912" w:type="dxa"/>
            <w:vAlign w:val="center"/>
          </w:tcPr>
          <w:p w14:paraId="2D38D34D" w14:textId="0C457A04" w:rsidR="00196EA6" w:rsidRPr="003878A7" w:rsidRDefault="00196EA6" w:rsidP="00196EA6">
            <w:pPr>
              <w:spacing w:after="0"/>
              <w:ind w:firstLine="0"/>
              <w:jc w:val="center"/>
              <w:rPr>
                <w:rFonts w:cs="Times New Roman"/>
                <w:sz w:val="20"/>
                <w:szCs w:val="20"/>
                <w:lang w:val="lt-LT"/>
              </w:rPr>
            </w:pPr>
            <w:proofErr w:type="spellStart"/>
            <w:r w:rsidRPr="003878A7">
              <w:rPr>
                <w:rFonts w:cs="Times New Roman"/>
                <w:sz w:val="20"/>
                <w:szCs w:val="20"/>
                <w:lang w:val="lt-LT"/>
              </w:rPr>
              <w:t>GWh</w:t>
            </w:r>
            <w:proofErr w:type="spellEnd"/>
          </w:p>
        </w:tc>
        <w:tc>
          <w:tcPr>
            <w:tcW w:w="2195" w:type="dxa"/>
            <w:vAlign w:val="center"/>
          </w:tcPr>
          <w:p w14:paraId="780F0125" w14:textId="32EA5739" w:rsidR="00196EA6" w:rsidRPr="003878A7" w:rsidRDefault="00196EA6" w:rsidP="00196EA6">
            <w:pPr>
              <w:spacing w:after="0"/>
              <w:ind w:firstLine="0"/>
              <w:jc w:val="center"/>
              <w:rPr>
                <w:rFonts w:cs="Times New Roman"/>
                <w:sz w:val="20"/>
                <w:szCs w:val="20"/>
                <w:lang w:val="lt-LT"/>
              </w:rPr>
            </w:pPr>
            <w:r w:rsidRPr="003878A7">
              <w:rPr>
                <w:rFonts w:cs="Times New Roman"/>
                <w:sz w:val="20"/>
                <w:szCs w:val="20"/>
                <w:lang w:val="lt-LT"/>
              </w:rPr>
              <w:t>117,8</w:t>
            </w:r>
          </w:p>
        </w:tc>
        <w:tc>
          <w:tcPr>
            <w:tcW w:w="1689" w:type="dxa"/>
            <w:vAlign w:val="center"/>
          </w:tcPr>
          <w:p w14:paraId="5BEF25B9" w14:textId="30502692" w:rsidR="00196EA6" w:rsidRPr="003878A7" w:rsidRDefault="00196EA6" w:rsidP="00196EA6">
            <w:pPr>
              <w:spacing w:after="0"/>
              <w:ind w:firstLine="0"/>
              <w:jc w:val="center"/>
              <w:rPr>
                <w:rFonts w:cs="Times New Roman"/>
                <w:sz w:val="20"/>
                <w:szCs w:val="20"/>
                <w:lang w:val="lt-LT"/>
              </w:rPr>
            </w:pPr>
            <w:r w:rsidRPr="003878A7">
              <w:rPr>
                <w:rFonts w:cs="Times New Roman"/>
                <w:sz w:val="20"/>
                <w:szCs w:val="20"/>
                <w:lang w:val="lt-LT"/>
              </w:rPr>
              <w:t>MWh</w:t>
            </w:r>
          </w:p>
        </w:tc>
        <w:tc>
          <w:tcPr>
            <w:tcW w:w="1828" w:type="dxa"/>
            <w:vAlign w:val="center"/>
          </w:tcPr>
          <w:p w14:paraId="0E4D893C" w14:textId="150AB29F" w:rsidR="00196EA6" w:rsidRPr="003878A7" w:rsidRDefault="00196EA6" w:rsidP="00196EA6">
            <w:pPr>
              <w:spacing w:after="0"/>
              <w:ind w:firstLine="0"/>
              <w:jc w:val="center"/>
              <w:rPr>
                <w:rFonts w:cs="Times New Roman"/>
                <w:sz w:val="20"/>
                <w:szCs w:val="20"/>
                <w:lang w:val="lt-LT"/>
              </w:rPr>
            </w:pPr>
            <w:r w:rsidRPr="003878A7">
              <w:rPr>
                <w:rFonts w:cs="Times New Roman"/>
                <w:sz w:val="20"/>
                <w:szCs w:val="20"/>
                <w:lang w:val="lt-LT"/>
              </w:rPr>
              <w:t>19,500</w:t>
            </w:r>
          </w:p>
        </w:tc>
      </w:tr>
      <w:tr w:rsidR="00196EA6" w:rsidRPr="003878A7" w14:paraId="2EA4BABB" w14:textId="4F968D33" w:rsidTr="00196EA6">
        <w:tc>
          <w:tcPr>
            <w:tcW w:w="2230" w:type="dxa"/>
            <w:vAlign w:val="center"/>
          </w:tcPr>
          <w:p w14:paraId="44543E5E" w14:textId="68B8D2CE" w:rsidR="00196EA6" w:rsidRPr="003878A7" w:rsidRDefault="00196EA6" w:rsidP="00196EA6">
            <w:pPr>
              <w:spacing w:after="0"/>
              <w:ind w:firstLine="0"/>
              <w:jc w:val="left"/>
              <w:rPr>
                <w:rFonts w:cs="Times New Roman"/>
                <w:sz w:val="20"/>
                <w:szCs w:val="20"/>
                <w:lang w:val="lt-LT"/>
              </w:rPr>
            </w:pPr>
            <w:r w:rsidRPr="003878A7">
              <w:rPr>
                <w:rFonts w:cs="Times New Roman"/>
                <w:sz w:val="20"/>
                <w:szCs w:val="20"/>
                <w:lang w:val="lt-LT"/>
              </w:rPr>
              <w:t>Sutaupytos energijos kiekis (įskaitant 2020 m.)</w:t>
            </w:r>
          </w:p>
        </w:tc>
        <w:tc>
          <w:tcPr>
            <w:tcW w:w="1912" w:type="dxa"/>
            <w:vAlign w:val="center"/>
          </w:tcPr>
          <w:p w14:paraId="6EE96773" w14:textId="13A9A72A" w:rsidR="00196EA6" w:rsidRPr="003878A7" w:rsidRDefault="00196EA6" w:rsidP="00196EA6">
            <w:pPr>
              <w:spacing w:after="0"/>
              <w:ind w:firstLine="0"/>
              <w:jc w:val="center"/>
              <w:rPr>
                <w:rFonts w:cs="Times New Roman"/>
                <w:sz w:val="20"/>
                <w:szCs w:val="20"/>
                <w:lang w:val="lt-LT"/>
              </w:rPr>
            </w:pPr>
            <w:proofErr w:type="spellStart"/>
            <w:r w:rsidRPr="003878A7">
              <w:rPr>
                <w:rFonts w:cs="Times New Roman"/>
                <w:sz w:val="20"/>
                <w:szCs w:val="20"/>
                <w:lang w:val="lt-LT"/>
              </w:rPr>
              <w:t>GWh</w:t>
            </w:r>
            <w:proofErr w:type="spellEnd"/>
          </w:p>
        </w:tc>
        <w:tc>
          <w:tcPr>
            <w:tcW w:w="2195" w:type="dxa"/>
            <w:vAlign w:val="center"/>
          </w:tcPr>
          <w:p w14:paraId="0B3295AD" w14:textId="0072154D" w:rsidR="00196EA6" w:rsidRPr="003878A7" w:rsidRDefault="00196EA6" w:rsidP="00196EA6">
            <w:pPr>
              <w:spacing w:after="0"/>
              <w:ind w:firstLine="0"/>
              <w:jc w:val="center"/>
              <w:rPr>
                <w:rFonts w:cs="Times New Roman"/>
                <w:sz w:val="20"/>
                <w:szCs w:val="20"/>
                <w:lang w:val="lt-LT"/>
              </w:rPr>
            </w:pPr>
            <w:r w:rsidRPr="003878A7">
              <w:rPr>
                <w:rFonts w:cs="Times New Roman"/>
                <w:sz w:val="20"/>
                <w:szCs w:val="20"/>
                <w:lang w:val="lt-LT"/>
              </w:rPr>
              <w:t>1766</w:t>
            </w:r>
          </w:p>
        </w:tc>
        <w:tc>
          <w:tcPr>
            <w:tcW w:w="1689" w:type="dxa"/>
            <w:vAlign w:val="center"/>
          </w:tcPr>
          <w:p w14:paraId="589BBC0B" w14:textId="3FA70A2A" w:rsidR="00196EA6" w:rsidRPr="003878A7" w:rsidRDefault="00196EA6" w:rsidP="00196EA6">
            <w:pPr>
              <w:spacing w:after="0"/>
              <w:ind w:firstLine="0"/>
              <w:jc w:val="center"/>
              <w:rPr>
                <w:rFonts w:cs="Times New Roman"/>
                <w:sz w:val="20"/>
                <w:szCs w:val="20"/>
                <w:lang w:val="lt-LT"/>
              </w:rPr>
            </w:pPr>
            <w:r w:rsidRPr="003878A7">
              <w:rPr>
                <w:rFonts w:cs="Times New Roman"/>
                <w:sz w:val="20"/>
                <w:szCs w:val="20"/>
                <w:lang w:val="lt-LT"/>
              </w:rPr>
              <w:t>MWh</w:t>
            </w:r>
          </w:p>
        </w:tc>
        <w:tc>
          <w:tcPr>
            <w:tcW w:w="1828" w:type="dxa"/>
            <w:vAlign w:val="center"/>
          </w:tcPr>
          <w:p w14:paraId="5DB3C587" w14:textId="567341CC" w:rsidR="00196EA6" w:rsidRPr="003878A7" w:rsidRDefault="00196EA6" w:rsidP="00196EA6">
            <w:pPr>
              <w:spacing w:after="0"/>
              <w:ind w:firstLine="0"/>
              <w:jc w:val="center"/>
              <w:rPr>
                <w:rFonts w:cs="Times New Roman"/>
                <w:sz w:val="20"/>
                <w:szCs w:val="20"/>
                <w:lang w:val="lt-LT"/>
              </w:rPr>
            </w:pPr>
            <w:r w:rsidRPr="003878A7">
              <w:rPr>
                <w:rFonts w:cs="Times New Roman"/>
                <w:sz w:val="20"/>
                <w:szCs w:val="20"/>
                <w:lang w:val="lt-LT"/>
              </w:rPr>
              <w:t>29,250</w:t>
            </w:r>
          </w:p>
        </w:tc>
      </w:tr>
      <w:tr w:rsidR="00196EA6" w:rsidRPr="003878A7" w14:paraId="25BCC866" w14:textId="54ADAA60" w:rsidTr="00196EA6">
        <w:tc>
          <w:tcPr>
            <w:tcW w:w="2230" w:type="dxa"/>
            <w:vAlign w:val="center"/>
          </w:tcPr>
          <w:p w14:paraId="3A9F3C64" w14:textId="46A4097E" w:rsidR="00196EA6" w:rsidRPr="003878A7" w:rsidRDefault="00196EA6" w:rsidP="00196EA6">
            <w:pPr>
              <w:spacing w:after="0"/>
              <w:ind w:firstLine="0"/>
              <w:jc w:val="left"/>
              <w:rPr>
                <w:rFonts w:cs="Times New Roman"/>
                <w:sz w:val="20"/>
                <w:szCs w:val="20"/>
                <w:lang w:val="lt-LT"/>
              </w:rPr>
            </w:pPr>
            <w:r w:rsidRPr="003878A7">
              <w:rPr>
                <w:rFonts w:cs="Times New Roman"/>
                <w:sz w:val="20"/>
                <w:szCs w:val="20"/>
                <w:lang w:val="lt-LT"/>
              </w:rPr>
              <w:t>Bendras išmetamųjų ŠESD kiekio sumažinimas (neįskaitant 2020 m.)</w:t>
            </w:r>
          </w:p>
        </w:tc>
        <w:tc>
          <w:tcPr>
            <w:tcW w:w="1912" w:type="dxa"/>
            <w:vAlign w:val="center"/>
          </w:tcPr>
          <w:p w14:paraId="09DC980E" w14:textId="05850BA3" w:rsidR="00196EA6" w:rsidRPr="003878A7" w:rsidRDefault="00196EA6" w:rsidP="00196EA6">
            <w:pPr>
              <w:spacing w:after="0"/>
              <w:ind w:firstLine="0"/>
              <w:jc w:val="center"/>
              <w:rPr>
                <w:rFonts w:cs="Times New Roman"/>
                <w:sz w:val="20"/>
                <w:szCs w:val="20"/>
                <w:lang w:val="lt-LT"/>
              </w:rPr>
            </w:pPr>
            <w:r w:rsidRPr="003878A7">
              <w:rPr>
                <w:rFonts w:cs="Times New Roman"/>
                <w:sz w:val="20"/>
                <w:szCs w:val="20"/>
                <w:lang w:val="lt-LT"/>
              </w:rPr>
              <w:t xml:space="preserve">t CO2 </w:t>
            </w:r>
            <w:proofErr w:type="spellStart"/>
            <w:r w:rsidRPr="003878A7">
              <w:rPr>
                <w:rFonts w:cs="Times New Roman"/>
                <w:sz w:val="20"/>
                <w:szCs w:val="20"/>
                <w:lang w:val="lt-LT"/>
              </w:rPr>
              <w:t>ekv</w:t>
            </w:r>
            <w:proofErr w:type="spellEnd"/>
            <w:r w:rsidRPr="003878A7">
              <w:rPr>
                <w:rFonts w:cs="Times New Roman"/>
                <w:sz w:val="20"/>
                <w:szCs w:val="20"/>
                <w:lang w:val="lt-LT"/>
              </w:rPr>
              <w:t>.</w:t>
            </w:r>
          </w:p>
        </w:tc>
        <w:tc>
          <w:tcPr>
            <w:tcW w:w="2195" w:type="dxa"/>
            <w:vAlign w:val="center"/>
          </w:tcPr>
          <w:p w14:paraId="6EC20EC0" w14:textId="25B59FD4" w:rsidR="00196EA6" w:rsidRPr="003878A7" w:rsidRDefault="00196EA6" w:rsidP="00196EA6">
            <w:pPr>
              <w:spacing w:after="0"/>
              <w:ind w:firstLine="0"/>
              <w:jc w:val="center"/>
              <w:rPr>
                <w:rFonts w:cs="Times New Roman"/>
                <w:sz w:val="20"/>
                <w:szCs w:val="20"/>
                <w:lang w:val="lt-LT"/>
              </w:rPr>
            </w:pPr>
            <w:r w:rsidRPr="003878A7">
              <w:rPr>
                <w:rFonts w:cs="Times New Roman"/>
                <w:sz w:val="20"/>
                <w:szCs w:val="20"/>
                <w:lang w:val="lt-LT"/>
              </w:rPr>
              <w:t>27436</w:t>
            </w:r>
          </w:p>
        </w:tc>
        <w:tc>
          <w:tcPr>
            <w:tcW w:w="1689" w:type="dxa"/>
            <w:vAlign w:val="center"/>
          </w:tcPr>
          <w:p w14:paraId="6A8AFDC4" w14:textId="330269E4" w:rsidR="00196EA6" w:rsidRPr="003878A7" w:rsidRDefault="00196EA6" w:rsidP="00196EA6">
            <w:pPr>
              <w:spacing w:after="0"/>
              <w:ind w:firstLine="0"/>
              <w:jc w:val="center"/>
              <w:rPr>
                <w:rFonts w:cs="Times New Roman"/>
                <w:sz w:val="20"/>
                <w:szCs w:val="20"/>
                <w:lang w:val="lt-LT"/>
              </w:rPr>
            </w:pPr>
            <w:r w:rsidRPr="003878A7">
              <w:rPr>
                <w:rFonts w:cs="Times New Roman"/>
                <w:sz w:val="20"/>
                <w:szCs w:val="20"/>
                <w:lang w:val="lt-LT"/>
              </w:rPr>
              <w:t xml:space="preserve">t CO2 </w:t>
            </w:r>
            <w:proofErr w:type="spellStart"/>
            <w:r w:rsidRPr="003878A7">
              <w:rPr>
                <w:rFonts w:cs="Times New Roman"/>
                <w:sz w:val="20"/>
                <w:szCs w:val="20"/>
                <w:lang w:val="lt-LT"/>
              </w:rPr>
              <w:t>ekv</w:t>
            </w:r>
            <w:proofErr w:type="spellEnd"/>
            <w:r w:rsidRPr="003878A7">
              <w:rPr>
                <w:rFonts w:cs="Times New Roman"/>
                <w:sz w:val="20"/>
                <w:szCs w:val="20"/>
                <w:lang w:val="lt-LT"/>
              </w:rPr>
              <w:t>.</w:t>
            </w:r>
          </w:p>
        </w:tc>
        <w:tc>
          <w:tcPr>
            <w:tcW w:w="1828" w:type="dxa"/>
            <w:vAlign w:val="center"/>
          </w:tcPr>
          <w:p w14:paraId="256E1904" w14:textId="1EB00641" w:rsidR="00196EA6" w:rsidRPr="003878A7" w:rsidRDefault="00196EA6" w:rsidP="00196EA6">
            <w:pPr>
              <w:spacing w:after="0"/>
              <w:ind w:firstLine="0"/>
              <w:jc w:val="center"/>
              <w:rPr>
                <w:rFonts w:cs="Times New Roman"/>
                <w:sz w:val="20"/>
                <w:szCs w:val="20"/>
                <w:lang w:val="lt-LT"/>
              </w:rPr>
            </w:pPr>
            <w:r w:rsidRPr="003878A7">
              <w:rPr>
                <w:rFonts w:cs="Times New Roman"/>
                <w:sz w:val="20"/>
                <w:szCs w:val="20"/>
                <w:lang w:val="lt-LT"/>
              </w:rPr>
              <w:t>13,786</w:t>
            </w:r>
          </w:p>
        </w:tc>
      </w:tr>
      <w:tr w:rsidR="00196EA6" w:rsidRPr="003878A7" w14:paraId="53348B7D" w14:textId="0BC276C3" w:rsidTr="00196EA6">
        <w:tc>
          <w:tcPr>
            <w:tcW w:w="2230" w:type="dxa"/>
            <w:vAlign w:val="center"/>
          </w:tcPr>
          <w:p w14:paraId="009C6A36" w14:textId="46AE03B2" w:rsidR="00196EA6" w:rsidRPr="003878A7" w:rsidRDefault="00196EA6" w:rsidP="00196EA6">
            <w:pPr>
              <w:spacing w:after="0"/>
              <w:ind w:firstLine="0"/>
              <w:jc w:val="left"/>
              <w:rPr>
                <w:rFonts w:cs="Times New Roman"/>
                <w:sz w:val="20"/>
                <w:szCs w:val="20"/>
                <w:lang w:val="lt-LT"/>
              </w:rPr>
            </w:pPr>
            <w:r w:rsidRPr="003878A7">
              <w:rPr>
                <w:rFonts w:cs="Times New Roman"/>
                <w:sz w:val="20"/>
                <w:szCs w:val="20"/>
                <w:lang w:val="lt-LT"/>
              </w:rPr>
              <w:t>Bendras išmetamųjų ŠESD kiekio sumažinimas (įskaitant 2020 m.)</w:t>
            </w:r>
          </w:p>
        </w:tc>
        <w:tc>
          <w:tcPr>
            <w:tcW w:w="1912" w:type="dxa"/>
            <w:vAlign w:val="center"/>
          </w:tcPr>
          <w:p w14:paraId="0BA337AB" w14:textId="2A120C89" w:rsidR="00196EA6" w:rsidRPr="003878A7" w:rsidRDefault="00196EA6" w:rsidP="00196EA6">
            <w:pPr>
              <w:spacing w:after="0"/>
              <w:ind w:firstLine="0"/>
              <w:jc w:val="center"/>
              <w:rPr>
                <w:rFonts w:cs="Times New Roman"/>
                <w:sz w:val="20"/>
                <w:szCs w:val="20"/>
                <w:lang w:val="lt-LT"/>
              </w:rPr>
            </w:pPr>
            <w:r w:rsidRPr="003878A7">
              <w:rPr>
                <w:rFonts w:cs="Times New Roman"/>
                <w:sz w:val="20"/>
                <w:szCs w:val="20"/>
                <w:lang w:val="lt-LT"/>
              </w:rPr>
              <w:t xml:space="preserve">t CO2 </w:t>
            </w:r>
            <w:proofErr w:type="spellStart"/>
            <w:r w:rsidRPr="003878A7">
              <w:rPr>
                <w:rFonts w:cs="Times New Roman"/>
                <w:sz w:val="20"/>
                <w:szCs w:val="20"/>
                <w:lang w:val="lt-LT"/>
              </w:rPr>
              <w:t>ekv</w:t>
            </w:r>
            <w:proofErr w:type="spellEnd"/>
            <w:r w:rsidRPr="003878A7">
              <w:rPr>
                <w:rFonts w:cs="Times New Roman"/>
                <w:sz w:val="20"/>
                <w:szCs w:val="20"/>
                <w:lang w:val="lt-LT"/>
              </w:rPr>
              <w:t>.</w:t>
            </w:r>
          </w:p>
        </w:tc>
        <w:tc>
          <w:tcPr>
            <w:tcW w:w="2195" w:type="dxa"/>
            <w:vAlign w:val="center"/>
          </w:tcPr>
          <w:p w14:paraId="0F9B4862" w14:textId="52C46728" w:rsidR="00196EA6" w:rsidRPr="003878A7" w:rsidRDefault="00196EA6" w:rsidP="00196EA6">
            <w:pPr>
              <w:spacing w:after="0"/>
              <w:ind w:firstLine="0"/>
              <w:jc w:val="center"/>
              <w:rPr>
                <w:rFonts w:cs="Times New Roman"/>
                <w:sz w:val="20"/>
                <w:szCs w:val="20"/>
                <w:lang w:val="lt-LT"/>
              </w:rPr>
            </w:pPr>
            <w:r w:rsidRPr="003878A7">
              <w:rPr>
                <w:rFonts w:cs="Times New Roman"/>
                <w:sz w:val="20"/>
                <w:szCs w:val="20"/>
                <w:lang w:val="lt-LT"/>
              </w:rPr>
              <w:t>41154</w:t>
            </w:r>
          </w:p>
        </w:tc>
        <w:tc>
          <w:tcPr>
            <w:tcW w:w="1689" w:type="dxa"/>
            <w:vAlign w:val="center"/>
          </w:tcPr>
          <w:p w14:paraId="49793B7B" w14:textId="7C258E54" w:rsidR="00196EA6" w:rsidRPr="003878A7" w:rsidRDefault="00196EA6" w:rsidP="00196EA6">
            <w:pPr>
              <w:spacing w:after="0"/>
              <w:ind w:firstLine="0"/>
              <w:jc w:val="center"/>
              <w:rPr>
                <w:rFonts w:cs="Times New Roman"/>
                <w:sz w:val="20"/>
                <w:szCs w:val="20"/>
                <w:lang w:val="lt-LT"/>
              </w:rPr>
            </w:pPr>
            <w:r w:rsidRPr="003878A7">
              <w:rPr>
                <w:rFonts w:cs="Times New Roman"/>
                <w:sz w:val="20"/>
                <w:szCs w:val="20"/>
                <w:lang w:val="lt-LT"/>
              </w:rPr>
              <w:t xml:space="preserve">t CO2 </w:t>
            </w:r>
            <w:proofErr w:type="spellStart"/>
            <w:r w:rsidRPr="003878A7">
              <w:rPr>
                <w:rFonts w:cs="Times New Roman"/>
                <w:sz w:val="20"/>
                <w:szCs w:val="20"/>
                <w:lang w:val="lt-LT"/>
              </w:rPr>
              <w:t>ekv</w:t>
            </w:r>
            <w:proofErr w:type="spellEnd"/>
            <w:r w:rsidRPr="003878A7">
              <w:rPr>
                <w:rFonts w:cs="Times New Roman"/>
                <w:sz w:val="20"/>
                <w:szCs w:val="20"/>
                <w:lang w:val="lt-LT"/>
              </w:rPr>
              <w:t>.</w:t>
            </w:r>
          </w:p>
        </w:tc>
        <w:tc>
          <w:tcPr>
            <w:tcW w:w="1828" w:type="dxa"/>
            <w:vAlign w:val="center"/>
          </w:tcPr>
          <w:p w14:paraId="3E52D52E" w14:textId="2D9D5291" w:rsidR="00196EA6" w:rsidRPr="003878A7" w:rsidRDefault="00196EA6" w:rsidP="00196EA6">
            <w:pPr>
              <w:spacing w:after="0"/>
              <w:ind w:firstLine="0"/>
              <w:jc w:val="center"/>
              <w:rPr>
                <w:rFonts w:cs="Times New Roman"/>
                <w:sz w:val="20"/>
                <w:szCs w:val="20"/>
                <w:lang w:val="lt-LT"/>
              </w:rPr>
            </w:pPr>
            <w:r w:rsidRPr="003878A7">
              <w:rPr>
                <w:rFonts w:cs="Times New Roman"/>
                <w:sz w:val="20"/>
                <w:szCs w:val="20"/>
                <w:lang w:val="lt-LT"/>
              </w:rPr>
              <w:t>20,679</w:t>
            </w:r>
          </w:p>
        </w:tc>
      </w:tr>
    </w:tbl>
    <w:p w14:paraId="537CE88D" w14:textId="77777777" w:rsidR="00CB1F98" w:rsidRPr="003878A7" w:rsidRDefault="00CB1F98" w:rsidP="00CB1F98">
      <w:pPr>
        <w:spacing w:after="0"/>
        <w:rPr>
          <w:rFonts w:cs="Times New Roman"/>
          <w:sz w:val="20"/>
          <w:szCs w:val="20"/>
        </w:rPr>
      </w:pPr>
      <w:r w:rsidRPr="003878A7">
        <w:rPr>
          <w:rFonts w:cs="Times New Roman"/>
          <w:sz w:val="20"/>
          <w:szCs w:val="20"/>
        </w:rPr>
        <w:t>Šaltinis: sudaryta Vertintojų</w:t>
      </w:r>
    </w:p>
    <w:p w14:paraId="5CF27AC5" w14:textId="2C5B878A" w:rsidR="00CB1F98" w:rsidRPr="003878A7" w:rsidRDefault="009B2AF3" w:rsidP="00CB1F98">
      <w:pPr>
        <w:pStyle w:val="Heading2"/>
        <w:numPr>
          <w:ilvl w:val="1"/>
          <w:numId w:val="4"/>
        </w:numPr>
      </w:pPr>
      <w:bookmarkStart w:id="56" w:name="_Toc70532889"/>
      <w:r w:rsidRPr="003878A7">
        <w:t>Savivaldybių viešųjų pastatų</w:t>
      </w:r>
      <w:r w:rsidR="00CB1F98" w:rsidRPr="003878A7">
        <w:t xml:space="preserve"> modernizavimui siūlomų taikyti FP stebėsenos rodikliai</w:t>
      </w:r>
      <w:bookmarkEnd w:id="56"/>
    </w:p>
    <w:p w14:paraId="207765C0" w14:textId="408FFF48" w:rsidR="00CB1F98" w:rsidRPr="003878A7" w:rsidRDefault="00CB1F98" w:rsidP="00CB1F98">
      <w:pPr>
        <w:ind w:firstLine="0"/>
        <w:rPr>
          <w:rFonts w:cs="Times New Roman"/>
          <w:i/>
          <w:iCs/>
        </w:rPr>
      </w:pPr>
      <w:r w:rsidRPr="003878A7">
        <w:rPr>
          <w:rFonts w:cs="Times New Roman"/>
          <w:i/>
          <w:iCs/>
        </w:rPr>
        <w:t xml:space="preserve">Lentelė Nr. </w:t>
      </w:r>
      <w:r w:rsidR="006D7B19">
        <w:rPr>
          <w:rFonts w:cs="Times New Roman"/>
          <w:i/>
          <w:iCs/>
        </w:rPr>
        <w:t>2</w:t>
      </w:r>
      <w:r w:rsidR="0025664D">
        <w:rPr>
          <w:rFonts w:cs="Times New Roman"/>
          <w:i/>
          <w:iCs/>
        </w:rPr>
        <w:t>6</w:t>
      </w:r>
      <w:r w:rsidR="006D7B19">
        <w:rPr>
          <w:rFonts w:cs="Times New Roman"/>
          <w:i/>
          <w:iCs/>
        </w:rPr>
        <w:t>.</w:t>
      </w:r>
      <w:r w:rsidRPr="003878A7">
        <w:rPr>
          <w:rFonts w:cs="Times New Roman"/>
          <w:i/>
          <w:iCs/>
        </w:rPr>
        <w:t xml:space="preserve"> Tikėtini FP rezultatai savivaldybių viešųjų pastatų modernizavimui</w:t>
      </w:r>
    </w:p>
    <w:tbl>
      <w:tblPr>
        <w:tblStyle w:val="TableGrid"/>
        <w:tblW w:w="5000" w:type="pct"/>
        <w:tblLook w:val="04A0" w:firstRow="1" w:lastRow="0" w:firstColumn="1" w:lastColumn="0" w:noHBand="0" w:noVBand="1"/>
      </w:tblPr>
      <w:tblGrid>
        <w:gridCol w:w="2463"/>
        <w:gridCol w:w="2463"/>
        <w:gridCol w:w="2464"/>
        <w:gridCol w:w="2464"/>
      </w:tblGrid>
      <w:tr w:rsidR="00CB1F98" w:rsidRPr="003878A7" w14:paraId="32009F9F" w14:textId="77777777" w:rsidTr="003878A7">
        <w:tc>
          <w:tcPr>
            <w:tcW w:w="1250" w:type="pct"/>
            <w:vAlign w:val="center"/>
          </w:tcPr>
          <w:p w14:paraId="1F874235" w14:textId="77777777" w:rsidR="00CB1F98" w:rsidRPr="003878A7" w:rsidRDefault="00CB1F98" w:rsidP="003878A7">
            <w:pPr>
              <w:spacing w:before="0" w:after="0"/>
              <w:ind w:firstLine="0"/>
              <w:jc w:val="left"/>
              <w:rPr>
                <w:rFonts w:cs="Times New Roman"/>
                <w:b/>
                <w:bCs/>
                <w:sz w:val="21"/>
                <w:szCs w:val="21"/>
                <w:lang w:val="lt-LT"/>
              </w:rPr>
            </w:pPr>
            <w:r w:rsidRPr="003878A7">
              <w:rPr>
                <w:rFonts w:cs="Times New Roman"/>
                <w:b/>
                <w:bCs/>
                <w:sz w:val="21"/>
                <w:szCs w:val="21"/>
                <w:lang w:val="lt-LT"/>
              </w:rPr>
              <w:t>Rodiklis</w:t>
            </w:r>
          </w:p>
        </w:tc>
        <w:tc>
          <w:tcPr>
            <w:tcW w:w="2500" w:type="pct"/>
            <w:gridSpan w:val="2"/>
            <w:vAlign w:val="center"/>
          </w:tcPr>
          <w:p w14:paraId="2FB90E61" w14:textId="000A03D3" w:rsidR="00CB1F98" w:rsidRPr="003878A7" w:rsidRDefault="00CB1F98" w:rsidP="003878A7">
            <w:pPr>
              <w:spacing w:before="0" w:after="0"/>
              <w:ind w:firstLine="0"/>
              <w:jc w:val="center"/>
              <w:rPr>
                <w:rFonts w:cs="Times New Roman"/>
                <w:b/>
                <w:bCs/>
                <w:sz w:val="21"/>
                <w:szCs w:val="21"/>
                <w:lang w:val="lt-LT"/>
              </w:rPr>
            </w:pPr>
            <w:r w:rsidRPr="003878A7">
              <w:rPr>
                <w:rFonts w:cs="Times New Roman"/>
                <w:b/>
                <w:bCs/>
                <w:sz w:val="21"/>
                <w:szCs w:val="21"/>
                <w:lang w:val="lt-LT"/>
              </w:rPr>
              <w:t>Apskaičiuoti rezultatai</w:t>
            </w:r>
          </w:p>
        </w:tc>
        <w:tc>
          <w:tcPr>
            <w:tcW w:w="1250" w:type="pct"/>
            <w:vAlign w:val="center"/>
          </w:tcPr>
          <w:p w14:paraId="5C6BE36C" w14:textId="52841226" w:rsidR="00CB1F98" w:rsidRPr="003878A7" w:rsidRDefault="00CB1F98" w:rsidP="003878A7">
            <w:pPr>
              <w:spacing w:before="0" w:after="0"/>
              <w:ind w:firstLine="0"/>
              <w:jc w:val="center"/>
              <w:rPr>
                <w:rFonts w:cs="Times New Roman"/>
                <w:b/>
                <w:bCs/>
                <w:sz w:val="21"/>
                <w:szCs w:val="21"/>
                <w:lang w:val="lt-LT"/>
              </w:rPr>
            </w:pPr>
            <w:r w:rsidRPr="003878A7">
              <w:rPr>
                <w:rFonts w:cs="Times New Roman"/>
                <w:b/>
                <w:bCs/>
                <w:sz w:val="21"/>
                <w:szCs w:val="21"/>
                <w:lang w:val="lt-LT"/>
              </w:rPr>
              <w:t>Palyginimas su paklausos duomenimis</w:t>
            </w:r>
          </w:p>
        </w:tc>
      </w:tr>
      <w:tr w:rsidR="00CB1F98" w:rsidRPr="003878A7" w14:paraId="60A6B18E" w14:textId="77777777" w:rsidTr="003878A7">
        <w:tc>
          <w:tcPr>
            <w:tcW w:w="1250" w:type="pct"/>
            <w:vAlign w:val="center"/>
          </w:tcPr>
          <w:p w14:paraId="5CF85420" w14:textId="77777777" w:rsidR="00CB1F98" w:rsidRPr="003878A7" w:rsidRDefault="00CB1F98" w:rsidP="003878A7">
            <w:pPr>
              <w:spacing w:before="0" w:after="0"/>
              <w:ind w:firstLine="0"/>
              <w:jc w:val="left"/>
              <w:rPr>
                <w:rFonts w:cs="Times New Roman"/>
                <w:sz w:val="21"/>
                <w:szCs w:val="21"/>
                <w:lang w:val="lt-LT"/>
              </w:rPr>
            </w:pPr>
            <w:r w:rsidRPr="003878A7">
              <w:rPr>
                <w:rFonts w:cs="Times New Roman"/>
                <w:sz w:val="21"/>
                <w:szCs w:val="21"/>
                <w:lang w:val="lt-LT"/>
              </w:rPr>
              <w:t>FP</w:t>
            </w:r>
          </w:p>
        </w:tc>
        <w:tc>
          <w:tcPr>
            <w:tcW w:w="1250" w:type="pct"/>
            <w:vAlign w:val="center"/>
          </w:tcPr>
          <w:p w14:paraId="3DC046C3" w14:textId="186E702F" w:rsidR="00CB1F98" w:rsidRPr="003878A7" w:rsidRDefault="00CB1F98" w:rsidP="003878A7">
            <w:pPr>
              <w:spacing w:before="0" w:after="0"/>
              <w:ind w:firstLine="0"/>
              <w:jc w:val="center"/>
              <w:rPr>
                <w:rFonts w:cs="Times New Roman"/>
                <w:sz w:val="21"/>
                <w:szCs w:val="21"/>
                <w:lang w:val="lt-LT"/>
              </w:rPr>
            </w:pPr>
            <w:r w:rsidRPr="003878A7">
              <w:rPr>
                <w:rFonts w:cs="Times New Roman"/>
                <w:sz w:val="21"/>
                <w:szCs w:val="21"/>
                <w:lang w:val="lt-LT"/>
              </w:rPr>
              <w:t>Paskolos savivaldybių viešųjų pastatų moderniza</w:t>
            </w:r>
            <w:r w:rsidR="006D7B19">
              <w:rPr>
                <w:rFonts w:cs="Times New Roman"/>
                <w:sz w:val="21"/>
                <w:szCs w:val="21"/>
                <w:lang w:val="lt-LT"/>
              </w:rPr>
              <w:t>vimui</w:t>
            </w:r>
            <w:r w:rsidRPr="003878A7">
              <w:rPr>
                <w:rFonts w:cs="Times New Roman"/>
                <w:sz w:val="21"/>
                <w:szCs w:val="21"/>
                <w:lang w:val="lt-LT"/>
              </w:rPr>
              <w:t>. Išperkami pinigų srautai</w:t>
            </w:r>
          </w:p>
        </w:tc>
        <w:tc>
          <w:tcPr>
            <w:tcW w:w="1250" w:type="pct"/>
            <w:vAlign w:val="center"/>
          </w:tcPr>
          <w:p w14:paraId="098E3D09" w14:textId="6DA6CD73" w:rsidR="00CB1F98" w:rsidRPr="003878A7" w:rsidRDefault="00CB1F98" w:rsidP="003878A7">
            <w:pPr>
              <w:spacing w:before="0" w:after="0"/>
              <w:ind w:firstLine="0"/>
              <w:jc w:val="center"/>
              <w:rPr>
                <w:rFonts w:cs="Times New Roman"/>
                <w:sz w:val="21"/>
                <w:szCs w:val="21"/>
                <w:lang w:val="lt-LT"/>
              </w:rPr>
            </w:pPr>
            <w:r w:rsidRPr="003878A7">
              <w:rPr>
                <w:rFonts w:cs="Times New Roman"/>
                <w:sz w:val="21"/>
                <w:szCs w:val="21"/>
                <w:lang w:val="lt-LT"/>
              </w:rPr>
              <w:t>Paskolos savivaldybių viešųjų pastatų moderniza</w:t>
            </w:r>
            <w:r w:rsidR="006D7B19">
              <w:rPr>
                <w:rFonts w:cs="Times New Roman"/>
                <w:sz w:val="21"/>
                <w:szCs w:val="21"/>
                <w:lang w:val="lt-LT"/>
              </w:rPr>
              <w:t>vimui</w:t>
            </w:r>
            <w:r w:rsidRPr="003878A7">
              <w:rPr>
                <w:rFonts w:cs="Times New Roman"/>
                <w:sz w:val="21"/>
                <w:szCs w:val="21"/>
                <w:lang w:val="lt-LT"/>
              </w:rPr>
              <w:t xml:space="preserve"> išduodamos rizikos pasidalijimo fondo apimtyje</w:t>
            </w:r>
          </w:p>
        </w:tc>
        <w:tc>
          <w:tcPr>
            <w:tcW w:w="1250" w:type="pct"/>
            <w:vAlign w:val="center"/>
          </w:tcPr>
          <w:p w14:paraId="14677957" w14:textId="69695928" w:rsidR="00CB1F98" w:rsidRPr="003878A7" w:rsidRDefault="00CB1F98" w:rsidP="003878A7">
            <w:pPr>
              <w:spacing w:before="0" w:after="0"/>
              <w:ind w:firstLine="0"/>
              <w:jc w:val="center"/>
              <w:rPr>
                <w:rFonts w:cs="Times New Roman"/>
                <w:sz w:val="21"/>
                <w:szCs w:val="21"/>
                <w:lang w:val="lt-LT"/>
              </w:rPr>
            </w:pPr>
            <w:r w:rsidRPr="003878A7">
              <w:rPr>
                <w:rFonts w:cs="Times New Roman"/>
                <w:sz w:val="21"/>
                <w:szCs w:val="21"/>
                <w:lang w:val="lt-LT"/>
              </w:rPr>
              <w:t>-</w:t>
            </w:r>
          </w:p>
        </w:tc>
      </w:tr>
      <w:tr w:rsidR="00CB1F98" w:rsidRPr="003878A7" w14:paraId="30D20101" w14:textId="77777777" w:rsidTr="003878A7">
        <w:tc>
          <w:tcPr>
            <w:tcW w:w="1250" w:type="pct"/>
            <w:vAlign w:val="center"/>
          </w:tcPr>
          <w:p w14:paraId="75F68234" w14:textId="77777777" w:rsidR="00CB1F98" w:rsidRPr="003878A7" w:rsidRDefault="00CB1F98" w:rsidP="003878A7">
            <w:pPr>
              <w:spacing w:before="0" w:after="0"/>
              <w:ind w:firstLine="0"/>
              <w:jc w:val="left"/>
              <w:rPr>
                <w:rFonts w:cs="Times New Roman"/>
                <w:sz w:val="21"/>
                <w:szCs w:val="21"/>
                <w:lang w:val="lt-LT"/>
              </w:rPr>
            </w:pPr>
            <w:r w:rsidRPr="003878A7">
              <w:rPr>
                <w:rFonts w:cs="Times New Roman"/>
                <w:sz w:val="21"/>
                <w:szCs w:val="21"/>
                <w:lang w:val="lt-LT"/>
              </w:rPr>
              <w:t>Finansuojanti institucija</w:t>
            </w:r>
          </w:p>
        </w:tc>
        <w:tc>
          <w:tcPr>
            <w:tcW w:w="1250" w:type="pct"/>
            <w:vAlign w:val="center"/>
          </w:tcPr>
          <w:p w14:paraId="0CEDFB22" w14:textId="361458F2" w:rsidR="00CB1F98" w:rsidRPr="003878A7" w:rsidRDefault="00CB1F98" w:rsidP="003878A7">
            <w:pPr>
              <w:spacing w:before="0" w:after="0"/>
              <w:ind w:firstLine="0"/>
              <w:jc w:val="center"/>
              <w:rPr>
                <w:rFonts w:cs="Times New Roman"/>
                <w:sz w:val="21"/>
                <w:szCs w:val="21"/>
                <w:lang w:val="lt-LT"/>
              </w:rPr>
            </w:pPr>
            <w:r w:rsidRPr="003878A7">
              <w:rPr>
                <w:rFonts w:cs="Times New Roman"/>
                <w:sz w:val="21"/>
                <w:szCs w:val="21"/>
                <w:lang w:val="lt-LT"/>
              </w:rPr>
              <w:t>AM</w:t>
            </w:r>
          </w:p>
        </w:tc>
        <w:tc>
          <w:tcPr>
            <w:tcW w:w="1250" w:type="pct"/>
            <w:vAlign w:val="center"/>
          </w:tcPr>
          <w:p w14:paraId="0A52C29E" w14:textId="40C1118B" w:rsidR="00CB1F98" w:rsidRPr="003878A7" w:rsidRDefault="00CB1F98" w:rsidP="003878A7">
            <w:pPr>
              <w:spacing w:before="0" w:after="0"/>
              <w:ind w:firstLine="0"/>
              <w:jc w:val="center"/>
              <w:rPr>
                <w:rFonts w:cs="Times New Roman"/>
                <w:sz w:val="21"/>
                <w:szCs w:val="21"/>
                <w:lang w:val="lt-LT"/>
              </w:rPr>
            </w:pPr>
            <w:r w:rsidRPr="003878A7">
              <w:rPr>
                <w:rFonts w:cs="Times New Roman"/>
                <w:sz w:val="21"/>
                <w:szCs w:val="21"/>
                <w:lang w:val="lt-LT"/>
              </w:rPr>
              <w:t>AM</w:t>
            </w:r>
          </w:p>
        </w:tc>
        <w:tc>
          <w:tcPr>
            <w:tcW w:w="1250" w:type="pct"/>
            <w:vAlign w:val="center"/>
          </w:tcPr>
          <w:p w14:paraId="20C7ECBE" w14:textId="30C82C28" w:rsidR="00CB1F98" w:rsidRPr="003878A7" w:rsidRDefault="00CB1F98" w:rsidP="003878A7">
            <w:pPr>
              <w:spacing w:before="0" w:after="0"/>
              <w:ind w:firstLine="0"/>
              <w:jc w:val="center"/>
              <w:rPr>
                <w:rFonts w:cs="Times New Roman"/>
                <w:sz w:val="21"/>
                <w:szCs w:val="21"/>
                <w:lang w:val="lt-LT"/>
              </w:rPr>
            </w:pPr>
            <w:r w:rsidRPr="003878A7">
              <w:rPr>
                <w:rFonts w:cs="Times New Roman"/>
                <w:sz w:val="21"/>
                <w:szCs w:val="21"/>
                <w:lang w:val="lt-LT"/>
              </w:rPr>
              <w:t>-</w:t>
            </w:r>
          </w:p>
        </w:tc>
      </w:tr>
      <w:tr w:rsidR="00CB1F98" w:rsidRPr="003878A7" w14:paraId="37B1B8EF" w14:textId="77777777" w:rsidTr="003878A7">
        <w:tc>
          <w:tcPr>
            <w:tcW w:w="1250" w:type="pct"/>
            <w:vAlign w:val="center"/>
          </w:tcPr>
          <w:p w14:paraId="037D3DE3" w14:textId="77777777" w:rsidR="00CB1F98" w:rsidRPr="003878A7" w:rsidRDefault="00CB1F98" w:rsidP="003878A7">
            <w:pPr>
              <w:spacing w:before="0" w:after="0"/>
              <w:ind w:firstLine="0"/>
              <w:jc w:val="left"/>
              <w:rPr>
                <w:rFonts w:cs="Times New Roman"/>
                <w:sz w:val="21"/>
                <w:szCs w:val="21"/>
                <w:lang w:val="lt-LT"/>
              </w:rPr>
            </w:pPr>
            <w:r w:rsidRPr="003878A7">
              <w:rPr>
                <w:rFonts w:cs="Times New Roman"/>
                <w:sz w:val="21"/>
                <w:szCs w:val="21"/>
                <w:lang w:val="lt-LT"/>
              </w:rPr>
              <w:t>GNG pasiekusios lėšos</w:t>
            </w:r>
          </w:p>
        </w:tc>
        <w:tc>
          <w:tcPr>
            <w:tcW w:w="1250" w:type="pct"/>
            <w:vAlign w:val="center"/>
          </w:tcPr>
          <w:p w14:paraId="76BBDB9E" w14:textId="0ADC11F2" w:rsidR="00CB1F98" w:rsidRPr="003878A7" w:rsidRDefault="00CB1F98" w:rsidP="003878A7">
            <w:pPr>
              <w:spacing w:before="0" w:after="0"/>
              <w:ind w:firstLine="0"/>
              <w:jc w:val="center"/>
              <w:rPr>
                <w:rFonts w:cs="Times New Roman"/>
                <w:sz w:val="21"/>
                <w:szCs w:val="21"/>
                <w:lang w:val="lt-LT"/>
              </w:rPr>
            </w:pPr>
            <w:r w:rsidRPr="003878A7">
              <w:rPr>
                <w:rFonts w:cs="Times New Roman"/>
                <w:sz w:val="21"/>
                <w:szCs w:val="21"/>
                <w:lang w:val="lt-LT"/>
              </w:rPr>
              <w:t>53,6 mln. Eur</w:t>
            </w:r>
          </w:p>
        </w:tc>
        <w:tc>
          <w:tcPr>
            <w:tcW w:w="1250" w:type="pct"/>
            <w:vAlign w:val="center"/>
          </w:tcPr>
          <w:p w14:paraId="4E586660" w14:textId="1263E7A1" w:rsidR="00CB1F98" w:rsidRPr="003878A7" w:rsidRDefault="00CB1F98" w:rsidP="003878A7">
            <w:pPr>
              <w:spacing w:before="0" w:after="0"/>
              <w:ind w:firstLine="0"/>
              <w:jc w:val="center"/>
              <w:rPr>
                <w:rFonts w:cs="Times New Roman"/>
                <w:sz w:val="21"/>
                <w:szCs w:val="21"/>
                <w:lang w:val="lt-LT"/>
              </w:rPr>
            </w:pPr>
            <w:r w:rsidRPr="003878A7">
              <w:rPr>
                <w:rFonts w:cs="Times New Roman"/>
                <w:sz w:val="21"/>
                <w:szCs w:val="21"/>
                <w:lang w:val="lt-LT"/>
              </w:rPr>
              <w:t>70,3 mln. Eur</w:t>
            </w:r>
          </w:p>
        </w:tc>
        <w:tc>
          <w:tcPr>
            <w:tcW w:w="1250" w:type="pct"/>
            <w:vAlign w:val="center"/>
          </w:tcPr>
          <w:p w14:paraId="1FE53868" w14:textId="36A11C73" w:rsidR="00CB1F98" w:rsidRPr="003878A7" w:rsidRDefault="00CB1F98" w:rsidP="003878A7">
            <w:pPr>
              <w:spacing w:before="0" w:after="0"/>
              <w:ind w:firstLine="0"/>
              <w:jc w:val="center"/>
              <w:rPr>
                <w:rFonts w:cs="Times New Roman"/>
                <w:sz w:val="21"/>
                <w:szCs w:val="21"/>
                <w:lang w:val="lt-LT"/>
              </w:rPr>
            </w:pPr>
            <w:r w:rsidRPr="003878A7">
              <w:rPr>
                <w:rFonts w:cs="Times New Roman"/>
                <w:sz w:val="21"/>
                <w:szCs w:val="21"/>
                <w:lang w:val="lt-LT"/>
              </w:rPr>
              <w:t>234,6 mln. Eur</w:t>
            </w:r>
          </w:p>
        </w:tc>
      </w:tr>
      <w:tr w:rsidR="00CB1F98" w:rsidRPr="003878A7" w14:paraId="38045C2F" w14:textId="77777777" w:rsidTr="003878A7">
        <w:tc>
          <w:tcPr>
            <w:tcW w:w="1250" w:type="pct"/>
            <w:vAlign w:val="center"/>
          </w:tcPr>
          <w:p w14:paraId="381089C8" w14:textId="77777777" w:rsidR="00CB1F98" w:rsidRPr="003878A7" w:rsidRDefault="00CB1F98" w:rsidP="003878A7">
            <w:pPr>
              <w:spacing w:before="0" w:after="0"/>
              <w:ind w:firstLine="0"/>
              <w:jc w:val="left"/>
              <w:rPr>
                <w:rFonts w:cs="Times New Roman"/>
                <w:sz w:val="21"/>
                <w:szCs w:val="21"/>
                <w:lang w:val="lt-LT"/>
              </w:rPr>
            </w:pPr>
            <w:r w:rsidRPr="003878A7">
              <w:rPr>
                <w:rFonts w:cs="Times New Roman"/>
                <w:sz w:val="21"/>
                <w:szCs w:val="21"/>
                <w:lang w:val="lt-LT"/>
              </w:rPr>
              <w:t>Pritrauktos lėšos iš privačių šaltinių</w:t>
            </w:r>
          </w:p>
        </w:tc>
        <w:tc>
          <w:tcPr>
            <w:tcW w:w="1250" w:type="pct"/>
            <w:vAlign w:val="center"/>
          </w:tcPr>
          <w:p w14:paraId="6D829924" w14:textId="64C3CD38" w:rsidR="00CB1F98" w:rsidRPr="003878A7" w:rsidRDefault="00CB1F98" w:rsidP="003878A7">
            <w:pPr>
              <w:spacing w:before="0" w:after="0"/>
              <w:ind w:firstLine="0"/>
              <w:jc w:val="center"/>
              <w:rPr>
                <w:rFonts w:cs="Times New Roman"/>
                <w:sz w:val="21"/>
                <w:szCs w:val="21"/>
                <w:lang w:val="lt-LT"/>
              </w:rPr>
            </w:pPr>
            <w:r w:rsidRPr="003878A7">
              <w:rPr>
                <w:rFonts w:cs="Times New Roman"/>
                <w:sz w:val="21"/>
                <w:szCs w:val="21"/>
                <w:lang w:val="lt-LT"/>
              </w:rPr>
              <w:t>19,6 mln. Eur</w:t>
            </w:r>
          </w:p>
        </w:tc>
        <w:tc>
          <w:tcPr>
            <w:tcW w:w="1250" w:type="pct"/>
            <w:vAlign w:val="center"/>
          </w:tcPr>
          <w:p w14:paraId="61DE86CD" w14:textId="17F9041D" w:rsidR="00CB1F98" w:rsidRPr="003878A7" w:rsidRDefault="00CB1F98" w:rsidP="003878A7">
            <w:pPr>
              <w:spacing w:before="0" w:after="0"/>
              <w:ind w:firstLine="0"/>
              <w:jc w:val="center"/>
              <w:rPr>
                <w:rFonts w:cs="Times New Roman"/>
                <w:sz w:val="21"/>
                <w:szCs w:val="21"/>
                <w:lang w:val="lt-LT"/>
              </w:rPr>
            </w:pPr>
            <w:r w:rsidRPr="003878A7">
              <w:rPr>
                <w:rFonts w:cs="Times New Roman"/>
                <w:sz w:val="21"/>
                <w:szCs w:val="21"/>
                <w:lang w:val="lt-LT"/>
              </w:rPr>
              <w:t>21,4 mln. Eur</w:t>
            </w:r>
          </w:p>
        </w:tc>
        <w:tc>
          <w:tcPr>
            <w:tcW w:w="1250" w:type="pct"/>
            <w:vAlign w:val="center"/>
          </w:tcPr>
          <w:p w14:paraId="4639F1F7" w14:textId="305C5967" w:rsidR="00CB1F98" w:rsidRPr="003878A7" w:rsidRDefault="00CB1F98" w:rsidP="003878A7">
            <w:pPr>
              <w:spacing w:before="0" w:after="0"/>
              <w:ind w:firstLine="0"/>
              <w:jc w:val="center"/>
              <w:rPr>
                <w:rFonts w:cs="Times New Roman"/>
                <w:sz w:val="21"/>
                <w:szCs w:val="21"/>
                <w:lang w:val="lt-LT"/>
              </w:rPr>
            </w:pPr>
            <w:r w:rsidRPr="003878A7">
              <w:rPr>
                <w:rFonts w:cs="Times New Roman"/>
                <w:sz w:val="21"/>
                <w:szCs w:val="21"/>
                <w:lang w:val="lt-LT"/>
              </w:rPr>
              <w:t>-</w:t>
            </w:r>
          </w:p>
        </w:tc>
      </w:tr>
      <w:tr w:rsidR="00CB1F98" w:rsidRPr="003878A7" w14:paraId="756E870B" w14:textId="77777777" w:rsidTr="003878A7">
        <w:tc>
          <w:tcPr>
            <w:tcW w:w="1250" w:type="pct"/>
            <w:vAlign w:val="center"/>
          </w:tcPr>
          <w:p w14:paraId="1A514D8B" w14:textId="77777777" w:rsidR="00CB1F98" w:rsidRPr="003878A7" w:rsidRDefault="00CB1F98" w:rsidP="003878A7">
            <w:pPr>
              <w:spacing w:before="0" w:after="0"/>
              <w:ind w:firstLine="0"/>
              <w:jc w:val="left"/>
              <w:rPr>
                <w:rFonts w:cs="Times New Roman"/>
                <w:sz w:val="21"/>
                <w:szCs w:val="21"/>
                <w:lang w:val="lt-LT"/>
              </w:rPr>
            </w:pPr>
            <w:r w:rsidRPr="003878A7">
              <w:rPr>
                <w:rFonts w:cs="Times New Roman"/>
                <w:sz w:val="21"/>
                <w:szCs w:val="21"/>
                <w:lang w:val="lt-LT"/>
              </w:rPr>
              <w:t>Sverto efektas</w:t>
            </w:r>
          </w:p>
        </w:tc>
        <w:tc>
          <w:tcPr>
            <w:tcW w:w="1250" w:type="pct"/>
            <w:vAlign w:val="center"/>
          </w:tcPr>
          <w:p w14:paraId="3C189880" w14:textId="1C4A8C74" w:rsidR="00CB1F98" w:rsidRPr="003878A7" w:rsidRDefault="00CB1F98" w:rsidP="003878A7">
            <w:pPr>
              <w:spacing w:before="0" w:after="0"/>
              <w:ind w:firstLine="0"/>
              <w:jc w:val="center"/>
              <w:rPr>
                <w:rFonts w:cs="Times New Roman"/>
                <w:sz w:val="21"/>
                <w:szCs w:val="21"/>
                <w:lang w:val="lt-LT"/>
              </w:rPr>
            </w:pPr>
            <w:r w:rsidRPr="003878A7">
              <w:rPr>
                <w:rFonts w:cs="Times New Roman"/>
                <w:sz w:val="21"/>
                <w:szCs w:val="21"/>
                <w:lang w:val="lt-LT"/>
              </w:rPr>
              <w:t>1,39</w:t>
            </w:r>
          </w:p>
        </w:tc>
        <w:tc>
          <w:tcPr>
            <w:tcW w:w="1250" w:type="pct"/>
            <w:vAlign w:val="center"/>
          </w:tcPr>
          <w:p w14:paraId="119C10EB" w14:textId="2784F9EB" w:rsidR="00CB1F98" w:rsidRPr="003878A7" w:rsidRDefault="00CB1F98" w:rsidP="003878A7">
            <w:pPr>
              <w:spacing w:before="0" w:after="0"/>
              <w:ind w:firstLine="0"/>
              <w:jc w:val="center"/>
              <w:rPr>
                <w:rFonts w:cs="Times New Roman"/>
                <w:sz w:val="21"/>
                <w:szCs w:val="21"/>
                <w:lang w:val="lt-LT"/>
              </w:rPr>
            </w:pPr>
            <w:r w:rsidRPr="003878A7">
              <w:rPr>
                <w:rFonts w:cs="Times New Roman"/>
                <w:sz w:val="21"/>
                <w:szCs w:val="21"/>
                <w:lang w:val="lt-LT"/>
              </w:rPr>
              <w:t>1,58</w:t>
            </w:r>
          </w:p>
        </w:tc>
        <w:tc>
          <w:tcPr>
            <w:tcW w:w="1250" w:type="pct"/>
            <w:vAlign w:val="center"/>
          </w:tcPr>
          <w:p w14:paraId="169F3986" w14:textId="30E66421" w:rsidR="00CB1F98" w:rsidRPr="003878A7" w:rsidRDefault="00CB1F98" w:rsidP="003878A7">
            <w:pPr>
              <w:spacing w:before="0" w:after="0"/>
              <w:ind w:firstLine="0"/>
              <w:jc w:val="center"/>
              <w:rPr>
                <w:rFonts w:cs="Times New Roman"/>
                <w:sz w:val="21"/>
                <w:szCs w:val="21"/>
                <w:lang w:val="lt-LT"/>
              </w:rPr>
            </w:pPr>
            <w:r w:rsidRPr="003878A7">
              <w:rPr>
                <w:rFonts w:cs="Times New Roman"/>
                <w:sz w:val="21"/>
                <w:szCs w:val="21"/>
                <w:lang w:val="lt-LT"/>
              </w:rPr>
              <w:t>-</w:t>
            </w:r>
          </w:p>
        </w:tc>
      </w:tr>
      <w:tr w:rsidR="00CB1F98" w:rsidRPr="003878A7" w14:paraId="345F74D8" w14:textId="77777777" w:rsidTr="003878A7">
        <w:tc>
          <w:tcPr>
            <w:tcW w:w="1250" w:type="pct"/>
            <w:vAlign w:val="center"/>
          </w:tcPr>
          <w:p w14:paraId="2C3FA822" w14:textId="77777777" w:rsidR="00CB1F98" w:rsidRPr="003878A7" w:rsidRDefault="00CB1F98" w:rsidP="003878A7">
            <w:pPr>
              <w:spacing w:before="0" w:after="0"/>
              <w:ind w:firstLine="0"/>
              <w:jc w:val="left"/>
              <w:rPr>
                <w:rFonts w:cs="Times New Roman"/>
                <w:sz w:val="21"/>
                <w:szCs w:val="21"/>
                <w:lang w:val="lt-LT"/>
              </w:rPr>
            </w:pPr>
            <w:r w:rsidRPr="003878A7">
              <w:rPr>
                <w:rFonts w:cs="Times New Roman"/>
                <w:sz w:val="21"/>
                <w:szCs w:val="21"/>
                <w:lang w:val="lt-LT"/>
              </w:rPr>
              <w:t xml:space="preserve">Renovuotų pastatų skaičius iki 2022 m. </w:t>
            </w:r>
          </w:p>
        </w:tc>
        <w:tc>
          <w:tcPr>
            <w:tcW w:w="1250" w:type="pct"/>
            <w:vAlign w:val="center"/>
          </w:tcPr>
          <w:p w14:paraId="2121F300" w14:textId="5CBB6897" w:rsidR="00CB1F98" w:rsidRPr="003878A7" w:rsidRDefault="00CB1F98" w:rsidP="003878A7">
            <w:pPr>
              <w:spacing w:before="0" w:after="0"/>
              <w:ind w:firstLine="0"/>
              <w:jc w:val="center"/>
              <w:rPr>
                <w:rFonts w:cs="Times New Roman"/>
                <w:sz w:val="21"/>
                <w:szCs w:val="21"/>
                <w:lang w:val="lt-LT"/>
              </w:rPr>
            </w:pPr>
            <w:r w:rsidRPr="003878A7">
              <w:rPr>
                <w:rFonts w:cs="Times New Roman"/>
                <w:sz w:val="21"/>
                <w:szCs w:val="21"/>
                <w:lang w:val="lt-LT"/>
              </w:rPr>
              <w:t>235</w:t>
            </w:r>
          </w:p>
        </w:tc>
        <w:tc>
          <w:tcPr>
            <w:tcW w:w="1250" w:type="pct"/>
            <w:vAlign w:val="center"/>
          </w:tcPr>
          <w:p w14:paraId="1758BE16" w14:textId="5BAFE992" w:rsidR="00CB1F98" w:rsidRPr="003878A7" w:rsidRDefault="00CB1F98" w:rsidP="003878A7">
            <w:pPr>
              <w:spacing w:before="0" w:after="0"/>
              <w:ind w:firstLine="0"/>
              <w:jc w:val="center"/>
              <w:rPr>
                <w:rFonts w:cs="Times New Roman"/>
                <w:sz w:val="21"/>
                <w:szCs w:val="21"/>
                <w:lang w:val="lt-LT"/>
              </w:rPr>
            </w:pPr>
            <w:r w:rsidRPr="003878A7">
              <w:rPr>
                <w:rFonts w:cs="Times New Roman"/>
                <w:sz w:val="21"/>
                <w:szCs w:val="21"/>
                <w:lang w:val="lt-LT"/>
              </w:rPr>
              <w:t>365</w:t>
            </w:r>
          </w:p>
        </w:tc>
        <w:tc>
          <w:tcPr>
            <w:tcW w:w="1250" w:type="pct"/>
            <w:vAlign w:val="center"/>
          </w:tcPr>
          <w:p w14:paraId="2E7407E4" w14:textId="0025B30F" w:rsidR="00CB1F98" w:rsidRPr="003878A7" w:rsidRDefault="00CB1F98" w:rsidP="003878A7">
            <w:pPr>
              <w:spacing w:before="0" w:after="0"/>
              <w:ind w:firstLine="0"/>
              <w:jc w:val="center"/>
              <w:rPr>
                <w:rFonts w:cs="Times New Roman"/>
                <w:sz w:val="21"/>
                <w:szCs w:val="21"/>
                <w:lang w:val="lt-LT"/>
              </w:rPr>
            </w:pPr>
            <w:r w:rsidRPr="003878A7">
              <w:rPr>
                <w:rFonts w:cs="Times New Roman"/>
                <w:sz w:val="21"/>
                <w:szCs w:val="21"/>
                <w:lang w:val="lt-LT"/>
              </w:rPr>
              <w:t>1027</w:t>
            </w:r>
          </w:p>
        </w:tc>
      </w:tr>
      <w:tr w:rsidR="00CB1F98" w:rsidRPr="003878A7" w14:paraId="63193833" w14:textId="77777777" w:rsidTr="003878A7">
        <w:tc>
          <w:tcPr>
            <w:tcW w:w="1250" w:type="pct"/>
            <w:vAlign w:val="center"/>
          </w:tcPr>
          <w:p w14:paraId="4D125317" w14:textId="77777777" w:rsidR="00CB1F98" w:rsidRPr="003878A7" w:rsidRDefault="00CB1F98" w:rsidP="003878A7">
            <w:pPr>
              <w:spacing w:before="0" w:after="0"/>
              <w:ind w:firstLine="0"/>
              <w:jc w:val="left"/>
              <w:rPr>
                <w:rFonts w:cs="Times New Roman"/>
                <w:sz w:val="21"/>
                <w:szCs w:val="21"/>
                <w:lang w:val="lt-LT"/>
              </w:rPr>
            </w:pPr>
            <w:r w:rsidRPr="003878A7">
              <w:rPr>
                <w:rFonts w:cs="Times New Roman"/>
                <w:sz w:val="21"/>
                <w:szCs w:val="21"/>
                <w:lang w:val="lt-LT"/>
              </w:rPr>
              <w:t xml:space="preserve">Renovuotų pastatų plotas </w:t>
            </w:r>
            <w:r w:rsidRPr="003878A7">
              <w:rPr>
                <w:rFonts w:cs="Times New Roman"/>
                <w:sz w:val="21"/>
                <w:szCs w:val="21"/>
                <w:lang w:val="lt-LT"/>
              </w:rPr>
              <w:lastRenderedPageBreak/>
              <w:t>iki 2022 metų</w:t>
            </w:r>
          </w:p>
        </w:tc>
        <w:tc>
          <w:tcPr>
            <w:tcW w:w="1250" w:type="pct"/>
            <w:vAlign w:val="center"/>
          </w:tcPr>
          <w:p w14:paraId="530A8447" w14:textId="5EC1F3BE" w:rsidR="00CB1F98" w:rsidRPr="003878A7" w:rsidRDefault="00CB1F98" w:rsidP="003878A7">
            <w:pPr>
              <w:spacing w:before="0" w:after="0"/>
              <w:ind w:firstLine="0"/>
              <w:jc w:val="center"/>
              <w:rPr>
                <w:rFonts w:cs="Times New Roman"/>
                <w:sz w:val="21"/>
                <w:szCs w:val="21"/>
                <w:lang w:val="lt-LT"/>
              </w:rPr>
            </w:pPr>
            <w:r w:rsidRPr="003878A7">
              <w:rPr>
                <w:rFonts w:cs="Times New Roman"/>
                <w:sz w:val="21"/>
                <w:szCs w:val="21"/>
                <w:lang w:val="lt-LT"/>
              </w:rPr>
              <w:lastRenderedPageBreak/>
              <w:t>264,8 tūkst. kv. m.</w:t>
            </w:r>
          </w:p>
        </w:tc>
        <w:tc>
          <w:tcPr>
            <w:tcW w:w="1250" w:type="pct"/>
            <w:vAlign w:val="center"/>
          </w:tcPr>
          <w:p w14:paraId="6F112C58" w14:textId="57D3C2D1" w:rsidR="00CB1F98" w:rsidRPr="003878A7" w:rsidRDefault="00CB1F98" w:rsidP="003878A7">
            <w:pPr>
              <w:spacing w:before="0" w:after="0"/>
              <w:ind w:firstLine="0"/>
              <w:jc w:val="center"/>
              <w:rPr>
                <w:rFonts w:cs="Times New Roman"/>
                <w:sz w:val="21"/>
                <w:szCs w:val="21"/>
                <w:lang w:val="lt-LT"/>
              </w:rPr>
            </w:pPr>
            <w:r w:rsidRPr="003878A7">
              <w:rPr>
                <w:rFonts w:cs="Times New Roman"/>
                <w:sz w:val="21"/>
                <w:szCs w:val="21"/>
                <w:lang w:val="lt-LT"/>
              </w:rPr>
              <w:t>411,1 tūkst. kv. m.</w:t>
            </w:r>
          </w:p>
        </w:tc>
        <w:tc>
          <w:tcPr>
            <w:tcW w:w="1250" w:type="pct"/>
            <w:vAlign w:val="center"/>
          </w:tcPr>
          <w:p w14:paraId="55817959" w14:textId="5B361A26" w:rsidR="00CB1F98" w:rsidRPr="003878A7" w:rsidRDefault="00CB1F98" w:rsidP="003878A7">
            <w:pPr>
              <w:spacing w:before="0" w:after="0"/>
              <w:ind w:firstLine="0"/>
              <w:jc w:val="center"/>
              <w:rPr>
                <w:rFonts w:cs="Times New Roman"/>
                <w:sz w:val="21"/>
                <w:szCs w:val="21"/>
                <w:lang w:val="lt-LT"/>
              </w:rPr>
            </w:pPr>
            <w:r w:rsidRPr="003878A7">
              <w:rPr>
                <w:rFonts w:cs="Times New Roman"/>
                <w:sz w:val="21"/>
                <w:szCs w:val="21"/>
                <w:lang w:val="lt-LT"/>
              </w:rPr>
              <w:t>1157 tūkst. kv. m.</w:t>
            </w:r>
          </w:p>
        </w:tc>
      </w:tr>
      <w:tr w:rsidR="00CB1F98" w:rsidRPr="003878A7" w14:paraId="14E60B59" w14:textId="77777777" w:rsidTr="003878A7">
        <w:tc>
          <w:tcPr>
            <w:tcW w:w="1250" w:type="pct"/>
            <w:vAlign w:val="center"/>
          </w:tcPr>
          <w:p w14:paraId="598DF9CE" w14:textId="77777777" w:rsidR="00CB1F98" w:rsidRPr="003878A7" w:rsidRDefault="00CB1F98" w:rsidP="003878A7">
            <w:pPr>
              <w:spacing w:before="0" w:after="0"/>
              <w:ind w:firstLine="0"/>
              <w:jc w:val="left"/>
              <w:rPr>
                <w:rFonts w:cs="Times New Roman"/>
                <w:sz w:val="21"/>
                <w:szCs w:val="21"/>
                <w:lang w:val="lt-LT"/>
              </w:rPr>
            </w:pPr>
            <w:r w:rsidRPr="003878A7">
              <w:rPr>
                <w:rFonts w:cs="Times New Roman"/>
                <w:sz w:val="21"/>
                <w:szCs w:val="21"/>
                <w:lang w:val="lt-LT"/>
              </w:rPr>
              <w:t>Renovuotų pastatų EE suvartojimo sumažėjimas, ne mažiau kaip</w:t>
            </w:r>
          </w:p>
        </w:tc>
        <w:tc>
          <w:tcPr>
            <w:tcW w:w="1250" w:type="pct"/>
            <w:vAlign w:val="center"/>
          </w:tcPr>
          <w:p w14:paraId="36B548A6" w14:textId="77777777" w:rsidR="00CB1F98" w:rsidRPr="003878A7" w:rsidRDefault="00CB1F98" w:rsidP="003878A7">
            <w:pPr>
              <w:spacing w:before="0" w:after="0"/>
              <w:ind w:firstLine="0"/>
              <w:jc w:val="center"/>
              <w:rPr>
                <w:rFonts w:cs="Times New Roman"/>
                <w:sz w:val="21"/>
                <w:szCs w:val="21"/>
                <w:lang w:val="lt-LT"/>
              </w:rPr>
            </w:pPr>
            <w:r w:rsidRPr="003878A7">
              <w:rPr>
                <w:rFonts w:cs="Times New Roman"/>
                <w:sz w:val="21"/>
                <w:szCs w:val="21"/>
                <w:lang w:val="lt-LT"/>
              </w:rPr>
              <w:t>40 proc.</w:t>
            </w:r>
          </w:p>
        </w:tc>
        <w:tc>
          <w:tcPr>
            <w:tcW w:w="1250" w:type="pct"/>
            <w:vAlign w:val="center"/>
          </w:tcPr>
          <w:p w14:paraId="09F1054A" w14:textId="4447F044" w:rsidR="00CB1F98" w:rsidRPr="003878A7" w:rsidRDefault="00CB1F98" w:rsidP="003878A7">
            <w:pPr>
              <w:spacing w:before="0" w:after="0"/>
              <w:ind w:firstLine="0"/>
              <w:jc w:val="center"/>
              <w:rPr>
                <w:rFonts w:cs="Times New Roman"/>
                <w:sz w:val="21"/>
                <w:szCs w:val="21"/>
                <w:lang w:val="lt-LT"/>
              </w:rPr>
            </w:pPr>
            <w:r w:rsidRPr="003878A7">
              <w:rPr>
                <w:rFonts w:cs="Times New Roman"/>
                <w:sz w:val="21"/>
                <w:szCs w:val="21"/>
                <w:lang w:val="lt-LT"/>
              </w:rPr>
              <w:t>40 proc.</w:t>
            </w:r>
          </w:p>
        </w:tc>
        <w:tc>
          <w:tcPr>
            <w:tcW w:w="1250" w:type="pct"/>
            <w:vAlign w:val="center"/>
          </w:tcPr>
          <w:p w14:paraId="63B0E8F6" w14:textId="00DF19E5" w:rsidR="00CB1F98" w:rsidRPr="003878A7" w:rsidRDefault="00CB1F98" w:rsidP="003878A7">
            <w:pPr>
              <w:spacing w:before="0" w:after="0"/>
              <w:ind w:firstLine="0"/>
              <w:jc w:val="center"/>
              <w:rPr>
                <w:rFonts w:cs="Times New Roman"/>
                <w:sz w:val="21"/>
                <w:szCs w:val="21"/>
                <w:lang w:val="lt-LT"/>
              </w:rPr>
            </w:pPr>
            <w:r w:rsidRPr="003878A7">
              <w:rPr>
                <w:rFonts w:cs="Times New Roman"/>
                <w:sz w:val="21"/>
                <w:szCs w:val="21"/>
                <w:lang w:val="lt-LT"/>
              </w:rPr>
              <w:t>Kuo daugiau</w:t>
            </w:r>
          </w:p>
        </w:tc>
      </w:tr>
      <w:tr w:rsidR="00CB1F98" w:rsidRPr="003878A7" w14:paraId="64B045BE" w14:textId="77777777" w:rsidTr="003878A7">
        <w:tc>
          <w:tcPr>
            <w:tcW w:w="1250" w:type="pct"/>
            <w:vAlign w:val="center"/>
          </w:tcPr>
          <w:p w14:paraId="584E10F9" w14:textId="77777777" w:rsidR="00CB1F98" w:rsidRPr="003878A7" w:rsidRDefault="00CB1F98" w:rsidP="003878A7">
            <w:pPr>
              <w:spacing w:before="0" w:after="0"/>
              <w:ind w:firstLine="0"/>
              <w:jc w:val="left"/>
              <w:rPr>
                <w:rFonts w:cs="Times New Roman"/>
                <w:sz w:val="21"/>
                <w:szCs w:val="21"/>
                <w:lang w:val="lt-LT"/>
              </w:rPr>
            </w:pPr>
            <w:r w:rsidRPr="003878A7">
              <w:rPr>
                <w:rFonts w:cs="Times New Roman"/>
                <w:sz w:val="21"/>
                <w:szCs w:val="21"/>
                <w:lang w:val="lt-LT"/>
              </w:rPr>
              <w:t>Pasiekta EE klasė renovuotuose pastatuose, ne mažesnė kaip</w:t>
            </w:r>
          </w:p>
        </w:tc>
        <w:tc>
          <w:tcPr>
            <w:tcW w:w="1250" w:type="pct"/>
            <w:vAlign w:val="center"/>
          </w:tcPr>
          <w:p w14:paraId="45EE10C6" w14:textId="77777777" w:rsidR="00CB1F98" w:rsidRPr="003878A7" w:rsidRDefault="00CB1F98" w:rsidP="003878A7">
            <w:pPr>
              <w:spacing w:before="0" w:after="0"/>
              <w:ind w:firstLine="0"/>
              <w:jc w:val="center"/>
              <w:rPr>
                <w:rFonts w:cs="Times New Roman"/>
                <w:sz w:val="21"/>
                <w:szCs w:val="21"/>
                <w:lang w:val="lt-LT"/>
              </w:rPr>
            </w:pPr>
            <w:r w:rsidRPr="003878A7">
              <w:rPr>
                <w:rFonts w:cs="Times New Roman"/>
                <w:sz w:val="21"/>
                <w:szCs w:val="21"/>
                <w:lang w:val="lt-LT"/>
              </w:rPr>
              <w:t>C</w:t>
            </w:r>
          </w:p>
        </w:tc>
        <w:tc>
          <w:tcPr>
            <w:tcW w:w="1250" w:type="pct"/>
            <w:vAlign w:val="center"/>
          </w:tcPr>
          <w:p w14:paraId="76D97C60" w14:textId="16D93839" w:rsidR="00CB1F98" w:rsidRPr="003878A7" w:rsidRDefault="00CB1F98" w:rsidP="003878A7">
            <w:pPr>
              <w:spacing w:before="0" w:after="0"/>
              <w:ind w:firstLine="0"/>
              <w:jc w:val="center"/>
              <w:rPr>
                <w:rFonts w:cs="Times New Roman"/>
                <w:sz w:val="21"/>
                <w:szCs w:val="21"/>
                <w:lang w:val="lt-LT"/>
              </w:rPr>
            </w:pPr>
            <w:r w:rsidRPr="003878A7">
              <w:rPr>
                <w:rFonts w:cs="Times New Roman"/>
                <w:sz w:val="21"/>
                <w:szCs w:val="21"/>
                <w:lang w:val="lt-LT"/>
              </w:rPr>
              <w:t>C</w:t>
            </w:r>
          </w:p>
        </w:tc>
        <w:tc>
          <w:tcPr>
            <w:tcW w:w="1250" w:type="pct"/>
            <w:vAlign w:val="center"/>
          </w:tcPr>
          <w:p w14:paraId="5906607B" w14:textId="7E64A9F8" w:rsidR="00CB1F98" w:rsidRPr="003878A7" w:rsidRDefault="00CB1F98" w:rsidP="003878A7">
            <w:pPr>
              <w:spacing w:before="0" w:after="0"/>
              <w:ind w:firstLine="0"/>
              <w:jc w:val="center"/>
              <w:rPr>
                <w:rFonts w:cs="Times New Roman"/>
                <w:sz w:val="21"/>
                <w:szCs w:val="21"/>
                <w:lang w:val="lt-LT"/>
              </w:rPr>
            </w:pPr>
            <w:r w:rsidRPr="003878A7">
              <w:rPr>
                <w:rFonts w:cs="Times New Roman"/>
                <w:sz w:val="21"/>
                <w:szCs w:val="21"/>
                <w:lang w:val="lt-LT"/>
              </w:rPr>
              <w:t>C</w:t>
            </w:r>
          </w:p>
        </w:tc>
      </w:tr>
    </w:tbl>
    <w:p w14:paraId="59707BEA" w14:textId="77777777" w:rsidR="00CB1F98" w:rsidRPr="003878A7" w:rsidRDefault="00CB1F98" w:rsidP="00CB1F98">
      <w:pPr>
        <w:spacing w:after="0"/>
        <w:rPr>
          <w:rFonts w:cs="Times New Roman"/>
          <w:sz w:val="20"/>
          <w:szCs w:val="20"/>
        </w:rPr>
      </w:pPr>
      <w:r w:rsidRPr="003878A7">
        <w:rPr>
          <w:rFonts w:cs="Times New Roman"/>
          <w:sz w:val="20"/>
          <w:szCs w:val="20"/>
        </w:rPr>
        <w:t>Šaltinis: sudaryta Vertintojų</w:t>
      </w:r>
    </w:p>
    <w:p w14:paraId="501E58D2" w14:textId="6E15B487" w:rsidR="008361A1" w:rsidRPr="003878A7" w:rsidRDefault="009B2AF3" w:rsidP="009B2AF3">
      <w:pPr>
        <w:ind w:firstLine="0"/>
        <w:rPr>
          <w:rFonts w:cs="Times New Roman"/>
          <w:i/>
          <w:iCs/>
        </w:rPr>
      </w:pPr>
      <w:r w:rsidRPr="003878A7">
        <w:rPr>
          <w:rFonts w:cs="Times New Roman"/>
          <w:i/>
          <w:iCs/>
        </w:rPr>
        <w:t xml:space="preserve">Lentelė Nr. </w:t>
      </w:r>
      <w:r w:rsidR="006D7B19">
        <w:rPr>
          <w:rFonts w:cs="Times New Roman"/>
          <w:i/>
          <w:iCs/>
        </w:rPr>
        <w:t>2</w:t>
      </w:r>
      <w:r w:rsidR="0025664D">
        <w:rPr>
          <w:rFonts w:cs="Times New Roman"/>
          <w:i/>
          <w:iCs/>
        </w:rPr>
        <w:t>7</w:t>
      </w:r>
      <w:r w:rsidR="006D7B19">
        <w:rPr>
          <w:rFonts w:cs="Times New Roman"/>
          <w:i/>
          <w:iCs/>
        </w:rPr>
        <w:t>.</w:t>
      </w:r>
      <w:r w:rsidRPr="003878A7">
        <w:rPr>
          <w:rFonts w:cs="Times New Roman"/>
          <w:i/>
          <w:iCs/>
        </w:rPr>
        <w:t xml:space="preserve"> Tikėtini savivaldybės viešųjų pastatų modernizavimo energijos sutaupymo ir taršos mažinimo rezultatai</w:t>
      </w:r>
    </w:p>
    <w:tbl>
      <w:tblPr>
        <w:tblStyle w:val="TableGrid"/>
        <w:tblW w:w="5000" w:type="pct"/>
        <w:tblLook w:val="04A0" w:firstRow="1" w:lastRow="0" w:firstColumn="1" w:lastColumn="0" w:noHBand="0" w:noVBand="1"/>
      </w:tblPr>
      <w:tblGrid>
        <w:gridCol w:w="3469"/>
        <w:gridCol w:w="2974"/>
        <w:gridCol w:w="3411"/>
      </w:tblGrid>
      <w:tr w:rsidR="008361A1" w:rsidRPr="003878A7" w14:paraId="543462F1" w14:textId="77777777" w:rsidTr="008361A1">
        <w:tc>
          <w:tcPr>
            <w:tcW w:w="1760" w:type="pct"/>
          </w:tcPr>
          <w:p w14:paraId="79326F16" w14:textId="77777777" w:rsidR="008361A1" w:rsidRPr="003878A7" w:rsidRDefault="008361A1" w:rsidP="00196EA6">
            <w:pPr>
              <w:spacing w:after="0"/>
              <w:ind w:firstLine="0"/>
              <w:rPr>
                <w:rFonts w:cs="Times New Roman"/>
                <w:b/>
                <w:bCs/>
                <w:sz w:val="21"/>
                <w:szCs w:val="21"/>
                <w:lang w:val="lt-LT"/>
              </w:rPr>
            </w:pPr>
            <w:r w:rsidRPr="003878A7">
              <w:rPr>
                <w:rFonts w:cs="Times New Roman"/>
                <w:b/>
                <w:bCs/>
                <w:sz w:val="21"/>
                <w:szCs w:val="21"/>
                <w:lang w:val="lt-LT"/>
              </w:rPr>
              <w:t>Rodiklis</w:t>
            </w:r>
          </w:p>
        </w:tc>
        <w:tc>
          <w:tcPr>
            <w:tcW w:w="1509" w:type="pct"/>
          </w:tcPr>
          <w:p w14:paraId="1EDCA617" w14:textId="77777777" w:rsidR="008361A1" w:rsidRPr="003878A7" w:rsidRDefault="008361A1" w:rsidP="00196EA6">
            <w:pPr>
              <w:spacing w:after="0"/>
              <w:ind w:firstLine="0"/>
              <w:rPr>
                <w:rFonts w:cs="Times New Roman"/>
                <w:b/>
                <w:bCs/>
                <w:sz w:val="21"/>
                <w:szCs w:val="21"/>
                <w:lang w:val="lt-LT"/>
              </w:rPr>
            </w:pPr>
            <w:r w:rsidRPr="003878A7">
              <w:rPr>
                <w:rFonts w:cs="Times New Roman"/>
                <w:b/>
                <w:bCs/>
                <w:sz w:val="21"/>
                <w:szCs w:val="21"/>
                <w:lang w:val="lt-LT"/>
              </w:rPr>
              <w:t>Mato vnt.</w:t>
            </w:r>
          </w:p>
        </w:tc>
        <w:tc>
          <w:tcPr>
            <w:tcW w:w="1731" w:type="pct"/>
          </w:tcPr>
          <w:p w14:paraId="11DC8704" w14:textId="77777777" w:rsidR="008361A1" w:rsidRPr="003878A7" w:rsidRDefault="008361A1" w:rsidP="00196EA6">
            <w:pPr>
              <w:spacing w:after="0"/>
              <w:ind w:firstLine="0"/>
              <w:rPr>
                <w:rFonts w:cs="Times New Roman"/>
                <w:b/>
                <w:bCs/>
                <w:sz w:val="21"/>
                <w:szCs w:val="21"/>
                <w:lang w:val="lt-LT"/>
              </w:rPr>
            </w:pPr>
            <w:r w:rsidRPr="003878A7">
              <w:rPr>
                <w:rFonts w:cs="Times New Roman"/>
                <w:b/>
                <w:bCs/>
                <w:sz w:val="21"/>
                <w:szCs w:val="21"/>
                <w:lang w:val="lt-LT"/>
              </w:rPr>
              <w:t>Sutaupymas</w:t>
            </w:r>
          </w:p>
        </w:tc>
      </w:tr>
      <w:tr w:rsidR="008361A1" w:rsidRPr="003878A7" w14:paraId="018C8540" w14:textId="77777777" w:rsidTr="008361A1">
        <w:tc>
          <w:tcPr>
            <w:tcW w:w="1760" w:type="pct"/>
            <w:vAlign w:val="center"/>
          </w:tcPr>
          <w:p w14:paraId="78C4A41E" w14:textId="6228D2F3" w:rsidR="008361A1" w:rsidRPr="003878A7" w:rsidRDefault="008361A1" w:rsidP="008361A1">
            <w:pPr>
              <w:spacing w:after="0"/>
              <w:ind w:firstLine="0"/>
              <w:jc w:val="left"/>
              <w:rPr>
                <w:rFonts w:cs="Times New Roman"/>
                <w:sz w:val="21"/>
                <w:szCs w:val="21"/>
                <w:lang w:val="lt-LT"/>
              </w:rPr>
            </w:pPr>
            <w:r w:rsidRPr="003878A7">
              <w:rPr>
                <w:rFonts w:cs="Times New Roman"/>
                <w:sz w:val="21"/>
                <w:szCs w:val="21"/>
                <w:lang w:val="lt-LT"/>
              </w:rPr>
              <w:t>Sutaupytos energijos kiekis (iki 2022 m.</w:t>
            </w:r>
          </w:p>
        </w:tc>
        <w:tc>
          <w:tcPr>
            <w:tcW w:w="1509" w:type="pct"/>
            <w:vAlign w:val="center"/>
          </w:tcPr>
          <w:p w14:paraId="2AD91AAC" w14:textId="77777777" w:rsidR="008361A1" w:rsidRPr="003878A7" w:rsidRDefault="008361A1" w:rsidP="008361A1">
            <w:pPr>
              <w:spacing w:after="0"/>
              <w:ind w:firstLine="0"/>
              <w:jc w:val="left"/>
              <w:rPr>
                <w:rFonts w:cs="Times New Roman"/>
                <w:sz w:val="21"/>
                <w:szCs w:val="21"/>
                <w:lang w:val="lt-LT"/>
              </w:rPr>
            </w:pPr>
            <w:proofErr w:type="spellStart"/>
            <w:r w:rsidRPr="003878A7">
              <w:rPr>
                <w:rFonts w:cs="Times New Roman"/>
                <w:sz w:val="21"/>
                <w:szCs w:val="21"/>
                <w:lang w:val="lt-LT"/>
              </w:rPr>
              <w:t>GWh</w:t>
            </w:r>
            <w:proofErr w:type="spellEnd"/>
          </w:p>
        </w:tc>
        <w:tc>
          <w:tcPr>
            <w:tcW w:w="1731" w:type="pct"/>
            <w:vAlign w:val="center"/>
          </w:tcPr>
          <w:p w14:paraId="65E0F10E" w14:textId="7270F977" w:rsidR="008361A1" w:rsidRPr="003878A7" w:rsidRDefault="008361A1" w:rsidP="008361A1">
            <w:pPr>
              <w:spacing w:after="0"/>
              <w:ind w:firstLine="0"/>
              <w:jc w:val="left"/>
              <w:rPr>
                <w:rFonts w:cs="Times New Roman"/>
                <w:sz w:val="21"/>
                <w:szCs w:val="21"/>
                <w:lang w:val="lt-LT"/>
              </w:rPr>
            </w:pPr>
            <w:r w:rsidRPr="003878A7">
              <w:rPr>
                <w:rFonts w:cs="Times New Roman"/>
                <w:sz w:val="21"/>
                <w:szCs w:val="21"/>
                <w:lang w:val="lt-LT"/>
              </w:rPr>
              <w:t>29,1-38,2</w:t>
            </w:r>
          </w:p>
        </w:tc>
      </w:tr>
      <w:tr w:rsidR="008361A1" w:rsidRPr="003878A7" w14:paraId="314F2118" w14:textId="77777777" w:rsidTr="008361A1">
        <w:tc>
          <w:tcPr>
            <w:tcW w:w="1760" w:type="pct"/>
            <w:vAlign w:val="center"/>
          </w:tcPr>
          <w:p w14:paraId="4E0FCBCB" w14:textId="4330FEA6" w:rsidR="008361A1" w:rsidRPr="003878A7" w:rsidRDefault="008361A1" w:rsidP="008361A1">
            <w:pPr>
              <w:spacing w:after="0"/>
              <w:ind w:firstLine="0"/>
              <w:jc w:val="left"/>
              <w:rPr>
                <w:rFonts w:cs="Times New Roman"/>
                <w:sz w:val="21"/>
                <w:szCs w:val="21"/>
                <w:lang w:val="lt-LT"/>
              </w:rPr>
            </w:pPr>
            <w:r w:rsidRPr="003878A7">
              <w:rPr>
                <w:rFonts w:cs="Times New Roman"/>
                <w:sz w:val="21"/>
                <w:szCs w:val="21"/>
                <w:lang w:val="lt-LT"/>
              </w:rPr>
              <w:t>Bendras išmetamųjų ŠESD kiekio sumažinimas (iki 2022 m.)</w:t>
            </w:r>
          </w:p>
        </w:tc>
        <w:tc>
          <w:tcPr>
            <w:tcW w:w="1509" w:type="pct"/>
            <w:vAlign w:val="center"/>
          </w:tcPr>
          <w:p w14:paraId="4F0A1777" w14:textId="77777777" w:rsidR="008361A1" w:rsidRPr="003878A7" w:rsidRDefault="008361A1" w:rsidP="008361A1">
            <w:pPr>
              <w:spacing w:after="0"/>
              <w:ind w:firstLine="0"/>
              <w:jc w:val="left"/>
              <w:rPr>
                <w:rFonts w:cs="Times New Roman"/>
                <w:sz w:val="21"/>
                <w:szCs w:val="21"/>
                <w:lang w:val="lt-LT"/>
              </w:rPr>
            </w:pPr>
            <w:r w:rsidRPr="003878A7">
              <w:rPr>
                <w:rFonts w:cs="Times New Roman"/>
                <w:sz w:val="21"/>
                <w:szCs w:val="21"/>
                <w:lang w:val="lt-LT"/>
              </w:rPr>
              <w:t xml:space="preserve">t CO2 </w:t>
            </w:r>
            <w:proofErr w:type="spellStart"/>
            <w:r w:rsidRPr="003878A7">
              <w:rPr>
                <w:rFonts w:cs="Times New Roman"/>
                <w:sz w:val="21"/>
                <w:szCs w:val="21"/>
                <w:lang w:val="lt-LT"/>
              </w:rPr>
              <w:t>ekv</w:t>
            </w:r>
            <w:proofErr w:type="spellEnd"/>
            <w:r w:rsidRPr="003878A7">
              <w:rPr>
                <w:rFonts w:cs="Times New Roman"/>
                <w:sz w:val="21"/>
                <w:szCs w:val="21"/>
                <w:lang w:val="lt-LT"/>
              </w:rPr>
              <w:t>.</w:t>
            </w:r>
          </w:p>
        </w:tc>
        <w:tc>
          <w:tcPr>
            <w:tcW w:w="1731" w:type="pct"/>
            <w:vAlign w:val="center"/>
          </w:tcPr>
          <w:p w14:paraId="51331F93" w14:textId="6E5A63F4" w:rsidR="008361A1" w:rsidRPr="003878A7" w:rsidRDefault="008361A1" w:rsidP="008361A1">
            <w:pPr>
              <w:spacing w:after="0"/>
              <w:ind w:firstLine="0"/>
              <w:jc w:val="left"/>
              <w:rPr>
                <w:rFonts w:cs="Times New Roman"/>
                <w:sz w:val="21"/>
                <w:szCs w:val="21"/>
                <w:lang w:val="lt-LT"/>
              </w:rPr>
            </w:pPr>
            <w:r w:rsidRPr="003878A7">
              <w:rPr>
                <w:rFonts w:cs="Times New Roman"/>
                <w:sz w:val="21"/>
                <w:szCs w:val="21"/>
                <w:lang w:val="lt-LT"/>
              </w:rPr>
              <w:t>6,8-8,9</w:t>
            </w:r>
          </w:p>
        </w:tc>
      </w:tr>
    </w:tbl>
    <w:p w14:paraId="053F645F" w14:textId="4DA77F66" w:rsidR="008361A1" w:rsidRPr="003878A7" w:rsidRDefault="008361A1" w:rsidP="008361A1">
      <w:pPr>
        <w:spacing w:after="0"/>
        <w:rPr>
          <w:rFonts w:cs="Times New Roman"/>
          <w:sz w:val="20"/>
          <w:szCs w:val="20"/>
        </w:rPr>
      </w:pPr>
      <w:r w:rsidRPr="003878A7">
        <w:rPr>
          <w:rFonts w:cs="Times New Roman"/>
          <w:sz w:val="20"/>
          <w:szCs w:val="20"/>
        </w:rPr>
        <w:t>Šaltinis: sudaryta Vertintojų</w:t>
      </w:r>
    </w:p>
    <w:p w14:paraId="6DD5F5DB" w14:textId="5A4B11ED" w:rsidR="0043024A" w:rsidRPr="003878A7" w:rsidRDefault="0043024A" w:rsidP="00CB66B8">
      <w:pPr>
        <w:pStyle w:val="Heading1"/>
        <w:numPr>
          <w:ilvl w:val="0"/>
          <w:numId w:val="16"/>
        </w:numPr>
        <w:rPr>
          <w:rFonts w:cs="Times New Roman"/>
        </w:rPr>
      </w:pPr>
      <w:bookmarkStart w:id="57" w:name="_Toc16513233"/>
      <w:bookmarkStart w:id="58" w:name="_Toc18010667"/>
      <w:bookmarkStart w:id="59" w:name="_Toc62131262"/>
      <w:bookmarkStart w:id="60" w:name="_Toc70532890"/>
      <w:bookmarkEnd w:id="57"/>
      <w:bookmarkEnd w:id="58"/>
      <w:r w:rsidRPr="003878A7">
        <w:rPr>
          <w:rFonts w:cs="Times New Roman"/>
        </w:rPr>
        <w:t>Nuostatos dėl ex-ante peržiūros</w:t>
      </w:r>
      <w:bookmarkEnd w:id="59"/>
      <w:bookmarkEnd w:id="60"/>
    </w:p>
    <w:p w14:paraId="4445B2EB" w14:textId="3FD9F315" w:rsidR="0043024A" w:rsidRPr="003878A7" w:rsidRDefault="0043024A" w:rsidP="00356EEA">
      <w:pPr>
        <w:rPr>
          <w:rFonts w:cs="Times New Roman"/>
        </w:rPr>
      </w:pPr>
      <w:r w:rsidRPr="003878A7">
        <w:rPr>
          <w:rFonts w:cs="Times New Roman"/>
        </w:rPr>
        <w:t xml:space="preserve">Vadovaujantis Reglamento Nr. 1303/2013 37 straipsnio 2 dalies g punktu, </w:t>
      </w:r>
      <w:r w:rsidR="007F5023" w:rsidRPr="003878A7">
        <w:rPr>
          <w:rFonts w:cs="Times New Roman"/>
        </w:rPr>
        <w:t>v</w:t>
      </w:r>
      <w:r w:rsidRPr="003878A7">
        <w:rPr>
          <w:rFonts w:cs="Times New Roman"/>
        </w:rPr>
        <w:t xml:space="preserve">ertinimas turi būti peržiūrimas ir atnaujinamas. Atsižvelgiant į tai, kad yra sunku numatyti ekonominės aplinkos pokyčius visam 2014–2020 m. programavimo laikotarpiui, ši numatyta peržiūrėjimo ir atnaujinimo sąlyga suteikia ES SF lėšų panaudojimo lankstumą. Vertinimas turi būti atnaujinamas, kai VI ir (arba) ministerija, pagal kompetenciją atsakinga už FP įgyvendinimą, mano, kad vertinimo išvados nebeatitinka rinkos sąlygų. </w:t>
      </w:r>
    </w:p>
    <w:p w14:paraId="40EDABA0" w14:textId="77777777" w:rsidR="0043024A" w:rsidRPr="003878A7" w:rsidRDefault="0043024A" w:rsidP="00356EEA">
      <w:pPr>
        <w:rPr>
          <w:rFonts w:cs="Times New Roman"/>
        </w:rPr>
      </w:pPr>
      <w:r w:rsidRPr="003878A7">
        <w:rPr>
          <w:rFonts w:cs="Times New Roman"/>
        </w:rPr>
        <w:t>Kadangi FP, kurios finansuojamos iš ES SF lėšų ir yra aprašytos vertinimo 7 dalyje, turi aiškiai apibrėžtus tikslus ir rezultatus, todėl, atsižvelgiant į tai, vertinimo atnaujinimas gali būti inicijuotas ir prieš įgyvendinant FP ir jų įgyvendinimo metu. Jeigu numatyti rezultatai</w:t>
      </w:r>
      <w:r w:rsidRPr="003878A7">
        <w:rPr>
          <w:rFonts w:cs="Times New Roman"/>
          <w:b/>
        </w:rPr>
        <w:t xml:space="preserve"> </w:t>
      </w:r>
      <w:r w:rsidRPr="003878A7">
        <w:rPr>
          <w:rFonts w:cs="Times New Roman"/>
        </w:rPr>
        <w:t>nėra pasiekti, VI ir (arba) ministerija, pagal kompetenciją atsakinga už FP įgyvendinimą, gali nuspręsti atlikti vertinimo atnaujinimą.</w:t>
      </w:r>
    </w:p>
    <w:p w14:paraId="0D481FEE" w14:textId="77777777" w:rsidR="0043024A" w:rsidRPr="003878A7" w:rsidRDefault="0043024A" w:rsidP="0043024A">
      <w:pPr>
        <w:rPr>
          <w:rFonts w:cs="Times New Roman"/>
        </w:rPr>
      </w:pPr>
      <w:r w:rsidRPr="003878A7">
        <w:rPr>
          <w:rFonts w:cs="Times New Roman"/>
        </w:rPr>
        <w:t>Atsižvelgdama į atnaujintas vertinimo išvadas, VI ir (arba) ministerija, pagal kompetenciją atsakinga už FP įgyvendinimą, turėtų imtis veiksmų, jei tai būtina, siekiant pagerinti FP atitikimą rinkos poreikiams.</w:t>
      </w:r>
    </w:p>
    <w:p w14:paraId="6DECDA4B" w14:textId="5897D31E" w:rsidR="002A319B" w:rsidRPr="003878A7" w:rsidRDefault="002A319B">
      <w:pPr>
        <w:spacing w:before="0" w:after="160" w:line="259" w:lineRule="auto"/>
        <w:ind w:firstLine="0"/>
        <w:jc w:val="left"/>
        <w:rPr>
          <w:rFonts w:cs="Times New Roman"/>
        </w:rPr>
      </w:pPr>
      <w:r w:rsidRPr="003878A7">
        <w:rPr>
          <w:rFonts w:cs="Times New Roman"/>
        </w:rPr>
        <w:br w:type="page"/>
      </w:r>
    </w:p>
    <w:p w14:paraId="4A66D067" w14:textId="015FC473" w:rsidR="004B1CBA" w:rsidRPr="003878A7" w:rsidRDefault="002A319B" w:rsidP="00B52207">
      <w:pPr>
        <w:pStyle w:val="Heading1"/>
        <w:numPr>
          <w:ilvl w:val="0"/>
          <w:numId w:val="0"/>
        </w:numPr>
        <w:ind w:left="360"/>
        <w:rPr>
          <w:rStyle w:val="CommentReference"/>
          <w:rFonts w:eastAsiaTheme="minorEastAsia" w:cs="Times New Roman"/>
          <w:b w:val="0"/>
          <w:bCs/>
          <w:color w:val="0070C0"/>
          <w:sz w:val="24"/>
          <w:szCs w:val="18"/>
        </w:rPr>
      </w:pPr>
      <w:bookmarkStart w:id="61" w:name="_Toc62131263"/>
      <w:bookmarkStart w:id="62" w:name="_Toc70532891"/>
      <w:r w:rsidRPr="003878A7">
        <w:rPr>
          <w:rFonts w:cs="Times New Roman"/>
        </w:rPr>
        <w:lastRenderedPageBreak/>
        <w:t xml:space="preserve">1 priedas. </w:t>
      </w:r>
      <w:bookmarkStart w:id="63" w:name="_Hlk531165459"/>
      <w:bookmarkStart w:id="64" w:name="_Hlk529864885"/>
      <w:bookmarkEnd w:id="61"/>
      <w:r w:rsidR="00B52207" w:rsidRPr="003878A7">
        <w:rPr>
          <w:rFonts w:cs="Times New Roman"/>
        </w:rPr>
        <w:t>Priemonės ir įsteigti fondai siekiant veiksmų programos 4 prioriteto „Energijos efektyvumo ir atsinaujinančių išteklių energijos gamybos ir naudojimo skatinimas“ 2014-2020 metais</w:t>
      </w:r>
      <w:bookmarkEnd w:id="62"/>
    </w:p>
    <w:tbl>
      <w:tblPr>
        <w:tblStyle w:val="TableGrid"/>
        <w:tblW w:w="0" w:type="auto"/>
        <w:tblLayout w:type="fixed"/>
        <w:tblLook w:val="04A0" w:firstRow="1" w:lastRow="0" w:firstColumn="1" w:lastColumn="0" w:noHBand="0" w:noVBand="1"/>
      </w:tblPr>
      <w:tblGrid>
        <w:gridCol w:w="1560"/>
        <w:gridCol w:w="3543"/>
        <w:gridCol w:w="1560"/>
        <w:gridCol w:w="1417"/>
        <w:gridCol w:w="1701"/>
      </w:tblGrid>
      <w:tr w:rsidR="00B52207" w:rsidRPr="003878A7" w14:paraId="2726CFB5" w14:textId="77777777" w:rsidTr="003878A7">
        <w:trPr>
          <w:trHeight w:val="600"/>
        </w:trPr>
        <w:tc>
          <w:tcPr>
            <w:tcW w:w="1560" w:type="dxa"/>
            <w:noWrap/>
            <w:vAlign w:val="center"/>
            <w:hideMark/>
          </w:tcPr>
          <w:p w14:paraId="6555CA6B" w14:textId="77777777" w:rsidR="00B52207" w:rsidRPr="003878A7" w:rsidRDefault="00B52207" w:rsidP="003878A7">
            <w:pPr>
              <w:spacing w:before="0" w:after="0"/>
              <w:ind w:firstLine="0"/>
              <w:jc w:val="left"/>
              <w:rPr>
                <w:rFonts w:eastAsia="Georgia" w:cs="Times New Roman"/>
                <w:b/>
                <w:bCs/>
                <w:sz w:val="21"/>
                <w:szCs w:val="21"/>
                <w:lang w:val="lt-LT"/>
              </w:rPr>
            </w:pPr>
            <w:r w:rsidRPr="003878A7">
              <w:rPr>
                <w:rFonts w:eastAsia="Georgia" w:cs="Times New Roman"/>
                <w:b/>
                <w:bCs/>
                <w:sz w:val="21"/>
                <w:szCs w:val="21"/>
                <w:lang w:val="lt-LT"/>
              </w:rPr>
              <w:t>Priemonės kodas</w:t>
            </w:r>
          </w:p>
        </w:tc>
        <w:tc>
          <w:tcPr>
            <w:tcW w:w="3543" w:type="dxa"/>
            <w:noWrap/>
            <w:vAlign w:val="center"/>
            <w:hideMark/>
          </w:tcPr>
          <w:p w14:paraId="27436442" w14:textId="77777777" w:rsidR="00B52207" w:rsidRPr="003878A7" w:rsidRDefault="00B52207" w:rsidP="003878A7">
            <w:pPr>
              <w:spacing w:before="0" w:after="0"/>
              <w:ind w:firstLine="0"/>
              <w:jc w:val="left"/>
              <w:rPr>
                <w:rFonts w:eastAsia="Georgia" w:cs="Times New Roman"/>
                <w:b/>
                <w:bCs/>
                <w:sz w:val="21"/>
                <w:szCs w:val="21"/>
                <w:lang w:val="lt-LT"/>
              </w:rPr>
            </w:pPr>
            <w:r w:rsidRPr="003878A7">
              <w:rPr>
                <w:rFonts w:eastAsia="Georgia" w:cs="Times New Roman"/>
                <w:b/>
                <w:bCs/>
                <w:sz w:val="21"/>
                <w:szCs w:val="21"/>
                <w:lang w:val="lt-LT"/>
              </w:rPr>
              <w:t>Priemonės pavadinimas</w:t>
            </w:r>
          </w:p>
        </w:tc>
        <w:tc>
          <w:tcPr>
            <w:tcW w:w="1560" w:type="dxa"/>
            <w:noWrap/>
            <w:vAlign w:val="center"/>
            <w:hideMark/>
          </w:tcPr>
          <w:p w14:paraId="5F69F557" w14:textId="77777777" w:rsidR="00B52207" w:rsidRPr="003878A7" w:rsidRDefault="00B52207" w:rsidP="003878A7">
            <w:pPr>
              <w:spacing w:before="0" w:after="0"/>
              <w:ind w:firstLine="0"/>
              <w:jc w:val="right"/>
              <w:rPr>
                <w:rFonts w:eastAsia="Georgia" w:cs="Times New Roman"/>
                <w:b/>
                <w:bCs/>
                <w:sz w:val="21"/>
                <w:szCs w:val="21"/>
                <w:lang w:val="lt-LT"/>
              </w:rPr>
            </w:pPr>
            <w:r w:rsidRPr="003878A7">
              <w:rPr>
                <w:rFonts w:eastAsia="Georgia" w:cs="Times New Roman"/>
                <w:b/>
                <w:bCs/>
                <w:sz w:val="21"/>
                <w:szCs w:val="21"/>
                <w:lang w:val="lt-LT"/>
              </w:rPr>
              <w:t>Suma, eurais</w:t>
            </w:r>
          </w:p>
        </w:tc>
        <w:tc>
          <w:tcPr>
            <w:tcW w:w="1417" w:type="dxa"/>
            <w:vAlign w:val="center"/>
            <w:hideMark/>
          </w:tcPr>
          <w:p w14:paraId="7EF601BD" w14:textId="77777777" w:rsidR="00B52207" w:rsidRPr="003878A7" w:rsidRDefault="00B52207" w:rsidP="003878A7">
            <w:pPr>
              <w:spacing w:before="0" w:after="0"/>
              <w:ind w:firstLine="0"/>
              <w:jc w:val="right"/>
              <w:rPr>
                <w:rFonts w:eastAsia="Georgia" w:cs="Times New Roman"/>
                <w:b/>
                <w:bCs/>
                <w:sz w:val="21"/>
                <w:szCs w:val="21"/>
                <w:lang w:val="lt-LT"/>
              </w:rPr>
            </w:pPr>
            <w:r w:rsidRPr="003878A7">
              <w:rPr>
                <w:rFonts w:eastAsia="Georgia" w:cs="Times New Roman"/>
                <w:b/>
                <w:bCs/>
                <w:sz w:val="21"/>
                <w:szCs w:val="21"/>
                <w:lang w:val="lt-LT"/>
              </w:rPr>
              <w:t>Išmokėta (%)</w:t>
            </w:r>
          </w:p>
        </w:tc>
        <w:tc>
          <w:tcPr>
            <w:tcW w:w="1701" w:type="dxa"/>
            <w:vAlign w:val="center"/>
            <w:hideMark/>
          </w:tcPr>
          <w:p w14:paraId="3EADA885" w14:textId="77777777" w:rsidR="00B52207" w:rsidRPr="003878A7" w:rsidRDefault="00B52207" w:rsidP="003878A7">
            <w:pPr>
              <w:spacing w:before="0" w:after="0"/>
              <w:ind w:firstLine="0"/>
              <w:jc w:val="right"/>
              <w:rPr>
                <w:rFonts w:eastAsia="Georgia" w:cs="Times New Roman"/>
                <w:b/>
                <w:bCs/>
                <w:sz w:val="21"/>
                <w:szCs w:val="21"/>
                <w:lang w:val="lt-LT"/>
              </w:rPr>
            </w:pPr>
            <w:r w:rsidRPr="003878A7">
              <w:rPr>
                <w:rFonts w:eastAsia="Georgia" w:cs="Times New Roman"/>
                <w:b/>
                <w:bCs/>
                <w:sz w:val="21"/>
                <w:szCs w:val="21"/>
                <w:lang w:val="lt-LT"/>
              </w:rPr>
              <w:t>Sutarties pasirašymo data</w:t>
            </w:r>
          </w:p>
        </w:tc>
      </w:tr>
      <w:tr w:rsidR="00B52207" w:rsidRPr="003878A7" w14:paraId="2A095B3A" w14:textId="77777777" w:rsidTr="003878A7">
        <w:trPr>
          <w:trHeight w:val="300"/>
        </w:trPr>
        <w:tc>
          <w:tcPr>
            <w:tcW w:w="1560" w:type="dxa"/>
            <w:noWrap/>
            <w:vAlign w:val="center"/>
            <w:hideMark/>
          </w:tcPr>
          <w:p w14:paraId="16FB20FB" w14:textId="77777777" w:rsidR="00B52207" w:rsidRPr="003878A7" w:rsidRDefault="00B52207" w:rsidP="003878A7">
            <w:pPr>
              <w:spacing w:before="0" w:after="0"/>
              <w:ind w:firstLine="0"/>
              <w:jc w:val="left"/>
              <w:rPr>
                <w:rFonts w:eastAsia="Georgia" w:cs="Times New Roman"/>
                <w:sz w:val="21"/>
                <w:szCs w:val="21"/>
                <w:lang w:val="lt-LT"/>
              </w:rPr>
            </w:pPr>
            <w:r w:rsidRPr="003878A7">
              <w:rPr>
                <w:rFonts w:eastAsia="Georgia" w:cs="Times New Roman"/>
                <w:sz w:val="21"/>
                <w:szCs w:val="21"/>
                <w:lang w:val="lt-LT"/>
              </w:rPr>
              <w:t>Nr. 04.3.1-VIPA-V-101</w:t>
            </w:r>
          </w:p>
        </w:tc>
        <w:tc>
          <w:tcPr>
            <w:tcW w:w="3543" w:type="dxa"/>
            <w:noWrap/>
            <w:vAlign w:val="center"/>
            <w:hideMark/>
          </w:tcPr>
          <w:p w14:paraId="3B2D08F0" w14:textId="77777777" w:rsidR="00B52207" w:rsidRPr="003878A7" w:rsidRDefault="00B52207" w:rsidP="003878A7">
            <w:pPr>
              <w:spacing w:before="0" w:after="0"/>
              <w:ind w:firstLine="0"/>
              <w:jc w:val="left"/>
              <w:rPr>
                <w:rFonts w:eastAsia="Georgia" w:cs="Times New Roman"/>
                <w:sz w:val="21"/>
                <w:szCs w:val="21"/>
                <w:lang w:val="lt-LT"/>
              </w:rPr>
            </w:pPr>
            <w:r w:rsidRPr="003878A7">
              <w:rPr>
                <w:rFonts w:eastAsia="Georgia" w:cs="Times New Roman"/>
                <w:sz w:val="21"/>
                <w:szCs w:val="21"/>
                <w:lang w:val="lt-LT"/>
              </w:rPr>
              <w:t>Valstybei nuosavybės teise priklausančių pastatų atnaujinimas</w:t>
            </w:r>
          </w:p>
        </w:tc>
        <w:tc>
          <w:tcPr>
            <w:tcW w:w="1560" w:type="dxa"/>
            <w:noWrap/>
            <w:vAlign w:val="center"/>
            <w:hideMark/>
          </w:tcPr>
          <w:p w14:paraId="49BCAB2A" w14:textId="77777777" w:rsidR="00B52207" w:rsidRPr="003878A7" w:rsidRDefault="00B52207" w:rsidP="003878A7">
            <w:pPr>
              <w:spacing w:before="0" w:after="0"/>
              <w:ind w:firstLine="0"/>
              <w:jc w:val="right"/>
              <w:rPr>
                <w:rFonts w:eastAsia="Georgia" w:cs="Times New Roman"/>
                <w:sz w:val="21"/>
                <w:szCs w:val="21"/>
                <w:lang w:val="lt-LT"/>
              </w:rPr>
            </w:pPr>
            <w:r w:rsidRPr="003878A7">
              <w:rPr>
                <w:rFonts w:eastAsia="Georgia" w:cs="Times New Roman"/>
                <w:sz w:val="21"/>
                <w:szCs w:val="21"/>
                <w:lang w:val="lt-LT"/>
              </w:rPr>
              <w:t>28 962 001</w:t>
            </w:r>
          </w:p>
        </w:tc>
        <w:tc>
          <w:tcPr>
            <w:tcW w:w="1417" w:type="dxa"/>
            <w:noWrap/>
            <w:vAlign w:val="center"/>
            <w:hideMark/>
          </w:tcPr>
          <w:p w14:paraId="65FF4B23" w14:textId="77777777" w:rsidR="00B52207" w:rsidRPr="003878A7" w:rsidRDefault="00B52207" w:rsidP="003878A7">
            <w:pPr>
              <w:spacing w:before="0" w:after="0"/>
              <w:ind w:firstLine="0"/>
              <w:jc w:val="right"/>
              <w:rPr>
                <w:rFonts w:eastAsia="Georgia" w:cs="Times New Roman"/>
                <w:sz w:val="21"/>
                <w:szCs w:val="21"/>
                <w:lang w:val="lt-LT"/>
              </w:rPr>
            </w:pPr>
            <w:r w:rsidRPr="003878A7">
              <w:rPr>
                <w:rFonts w:eastAsia="Georgia" w:cs="Times New Roman"/>
                <w:sz w:val="21"/>
                <w:szCs w:val="21"/>
                <w:lang w:val="lt-LT"/>
              </w:rPr>
              <w:t>0%</w:t>
            </w:r>
          </w:p>
        </w:tc>
        <w:tc>
          <w:tcPr>
            <w:tcW w:w="1701" w:type="dxa"/>
            <w:noWrap/>
            <w:vAlign w:val="center"/>
            <w:hideMark/>
          </w:tcPr>
          <w:p w14:paraId="0DF2789A" w14:textId="77777777" w:rsidR="00B52207" w:rsidRPr="003878A7" w:rsidRDefault="00B52207" w:rsidP="003878A7">
            <w:pPr>
              <w:spacing w:before="0" w:after="0"/>
              <w:ind w:firstLine="0"/>
              <w:jc w:val="right"/>
              <w:rPr>
                <w:rFonts w:eastAsia="Georgia" w:cs="Times New Roman"/>
                <w:sz w:val="21"/>
                <w:szCs w:val="21"/>
                <w:lang w:val="lt-LT"/>
              </w:rPr>
            </w:pPr>
            <w:r w:rsidRPr="003878A7">
              <w:rPr>
                <w:rFonts w:eastAsia="Georgia" w:cs="Times New Roman"/>
                <w:sz w:val="21"/>
                <w:szCs w:val="21"/>
                <w:lang w:val="lt-LT"/>
              </w:rPr>
              <w:t> </w:t>
            </w:r>
          </w:p>
        </w:tc>
      </w:tr>
      <w:tr w:rsidR="00B52207" w:rsidRPr="003878A7" w14:paraId="1AD9F104" w14:textId="77777777" w:rsidTr="003878A7">
        <w:trPr>
          <w:trHeight w:val="300"/>
        </w:trPr>
        <w:tc>
          <w:tcPr>
            <w:tcW w:w="1560" w:type="dxa"/>
            <w:noWrap/>
            <w:vAlign w:val="center"/>
          </w:tcPr>
          <w:p w14:paraId="43FD8B26" w14:textId="77777777" w:rsidR="00B52207" w:rsidRPr="003878A7" w:rsidRDefault="00B52207" w:rsidP="003878A7">
            <w:pPr>
              <w:spacing w:before="0" w:after="0"/>
              <w:ind w:firstLine="0"/>
              <w:jc w:val="left"/>
              <w:rPr>
                <w:rFonts w:eastAsia="Georgia" w:cs="Times New Roman"/>
                <w:sz w:val="21"/>
                <w:szCs w:val="21"/>
                <w:lang w:val="lt-LT"/>
              </w:rPr>
            </w:pPr>
            <w:r w:rsidRPr="003878A7">
              <w:rPr>
                <w:rFonts w:eastAsia="Georgia" w:cs="Times New Roman"/>
                <w:sz w:val="21"/>
                <w:szCs w:val="21"/>
                <w:lang w:val="lt-LT"/>
              </w:rPr>
              <w:t>Nr. 04.3.1-FM-F-105</w:t>
            </w:r>
          </w:p>
        </w:tc>
        <w:tc>
          <w:tcPr>
            <w:tcW w:w="3543" w:type="dxa"/>
            <w:noWrap/>
            <w:vAlign w:val="center"/>
          </w:tcPr>
          <w:p w14:paraId="70D00ACA" w14:textId="77777777" w:rsidR="00B52207" w:rsidRPr="003878A7" w:rsidRDefault="00B52207" w:rsidP="003878A7">
            <w:pPr>
              <w:spacing w:before="0" w:after="0"/>
              <w:ind w:firstLine="0"/>
              <w:jc w:val="left"/>
              <w:rPr>
                <w:rFonts w:eastAsia="Georgia" w:cs="Times New Roman"/>
                <w:sz w:val="21"/>
                <w:szCs w:val="21"/>
                <w:lang w:val="lt-LT"/>
              </w:rPr>
            </w:pPr>
            <w:r w:rsidRPr="003878A7">
              <w:rPr>
                <w:rFonts w:eastAsia="Georgia" w:cs="Times New Roman"/>
                <w:sz w:val="21"/>
                <w:szCs w:val="21"/>
                <w:lang w:val="lt-LT"/>
              </w:rPr>
              <w:t>Energijos vartojimo efektyvumo didinimas viešojoje infrastruktūroje</w:t>
            </w:r>
          </w:p>
        </w:tc>
        <w:tc>
          <w:tcPr>
            <w:tcW w:w="1560" w:type="dxa"/>
            <w:noWrap/>
            <w:vAlign w:val="center"/>
          </w:tcPr>
          <w:p w14:paraId="783AED5A" w14:textId="77777777" w:rsidR="00B52207" w:rsidRPr="003878A7" w:rsidRDefault="00B52207" w:rsidP="003878A7">
            <w:pPr>
              <w:spacing w:before="0" w:after="0"/>
              <w:ind w:firstLine="0"/>
              <w:jc w:val="right"/>
              <w:rPr>
                <w:rFonts w:eastAsia="Georgia" w:cs="Times New Roman"/>
                <w:sz w:val="21"/>
                <w:szCs w:val="21"/>
                <w:lang w:val="lt-LT"/>
              </w:rPr>
            </w:pPr>
            <w:bookmarkStart w:id="65" w:name="_Hlk496651910"/>
            <w:r w:rsidRPr="003878A7">
              <w:rPr>
                <w:rFonts w:eastAsia="Georgia" w:cs="Times New Roman"/>
                <w:sz w:val="21"/>
                <w:szCs w:val="21"/>
                <w:lang w:val="lt-LT"/>
              </w:rPr>
              <w:t>79 645 505</w:t>
            </w:r>
            <w:bookmarkEnd w:id="65"/>
          </w:p>
        </w:tc>
        <w:tc>
          <w:tcPr>
            <w:tcW w:w="1417" w:type="dxa"/>
            <w:noWrap/>
            <w:vAlign w:val="center"/>
          </w:tcPr>
          <w:p w14:paraId="07B08D36" w14:textId="77777777" w:rsidR="00B52207" w:rsidRPr="003878A7" w:rsidRDefault="00B52207" w:rsidP="003878A7">
            <w:pPr>
              <w:spacing w:before="0" w:after="0"/>
              <w:ind w:firstLine="0"/>
              <w:jc w:val="right"/>
              <w:rPr>
                <w:rFonts w:eastAsia="Georgia" w:cs="Times New Roman"/>
                <w:sz w:val="21"/>
                <w:szCs w:val="21"/>
                <w:lang w:val="lt-LT"/>
              </w:rPr>
            </w:pPr>
            <w:r w:rsidRPr="003878A7">
              <w:rPr>
                <w:rFonts w:eastAsia="Georgia" w:cs="Times New Roman"/>
                <w:sz w:val="21"/>
                <w:szCs w:val="21"/>
                <w:lang w:val="lt-LT"/>
              </w:rPr>
              <w:t>24%</w:t>
            </w:r>
          </w:p>
        </w:tc>
        <w:tc>
          <w:tcPr>
            <w:tcW w:w="1701" w:type="dxa"/>
            <w:noWrap/>
            <w:vAlign w:val="center"/>
          </w:tcPr>
          <w:p w14:paraId="1B25F94E" w14:textId="77777777" w:rsidR="00B52207" w:rsidRPr="003878A7" w:rsidRDefault="00B52207" w:rsidP="003878A7">
            <w:pPr>
              <w:spacing w:before="0" w:after="0"/>
              <w:ind w:firstLine="0"/>
              <w:jc w:val="right"/>
              <w:rPr>
                <w:rFonts w:eastAsia="Georgia" w:cs="Times New Roman"/>
                <w:sz w:val="21"/>
                <w:szCs w:val="21"/>
                <w:lang w:val="lt-LT"/>
              </w:rPr>
            </w:pPr>
          </w:p>
        </w:tc>
      </w:tr>
      <w:tr w:rsidR="00B52207" w:rsidRPr="003878A7" w14:paraId="7A80A672" w14:textId="77777777" w:rsidTr="003878A7">
        <w:trPr>
          <w:trHeight w:val="600"/>
        </w:trPr>
        <w:tc>
          <w:tcPr>
            <w:tcW w:w="1560" w:type="dxa"/>
            <w:vAlign w:val="center"/>
            <w:hideMark/>
          </w:tcPr>
          <w:p w14:paraId="35FFEB77" w14:textId="77777777" w:rsidR="00B52207" w:rsidRPr="003878A7" w:rsidRDefault="00B52207" w:rsidP="003878A7">
            <w:pPr>
              <w:spacing w:before="0" w:after="0"/>
              <w:ind w:firstLine="0"/>
              <w:jc w:val="left"/>
              <w:rPr>
                <w:rFonts w:eastAsia="Georgia" w:cs="Times New Roman"/>
                <w:sz w:val="21"/>
                <w:szCs w:val="21"/>
                <w:lang w:val="lt-LT"/>
              </w:rPr>
            </w:pPr>
            <w:r w:rsidRPr="003878A7">
              <w:rPr>
                <w:rFonts w:eastAsia="Georgia" w:cs="Times New Roman"/>
                <w:sz w:val="21"/>
                <w:szCs w:val="21"/>
                <w:lang w:val="lt-LT"/>
              </w:rPr>
              <w:t>Nr. 04.3.1-FM-F-105-01-0001</w:t>
            </w:r>
          </w:p>
        </w:tc>
        <w:tc>
          <w:tcPr>
            <w:tcW w:w="3543" w:type="dxa"/>
            <w:vAlign w:val="center"/>
            <w:hideMark/>
          </w:tcPr>
          <w:p w14:paraId="35F8F2DF" w14:textId="77777777" w:rsidR="00B52207" w:rsidRPr="003878A7" w:rsidRDefault="00B52207" w:rsidP="003878A7">
            <w:pPr>
              <w:spacing w:before="0" w:after="0"/>
              <w:ind w:firstLine="0"/>
              <w:jc w:val="left"/>
              <w:rPr>
                <w:rFonts w:eastAsia="Georgia" w:cs="Times New Roman"/>
                <w:sz w:val="21"/>
                <w:szCs w:val="21"/>
                <w:lang w:val="lt-LT"/>
              </w:rPr>
            </w:pPr>
            <w:r w:rsidRPr="003878A7">
              <w:rPr>
                <w:rFonts w:eastAsia="Georgia" w:cs="Times New Roman"/>
                <w:sz w:val="21"/>
                <w:szCs w:val="21"/>
                <w:lang w:val="lt-LT"/>
              </w:rPr>
              <w:t>Energijos efektyvumo fondas, finansuojamas iš Europos regioninės plėtros fondo</w:t>
            </w:r>
          </w:p>
        </w:tc>
        <w:tc>
          <w:tcPr>
            <w:tcW w:w="1560" w:type="dxa"/>
            <w:noWrap/>
            <w:vAlign w:val="center"/>
            <w:hideMark/>
          </w:tcPr>
          <w:p w14:paraId="2A8A2928" w14:textId="77777777" w:rsidR="00B52207" w:rsidRPr="003878A7" w:rsidRDefault="00B52207" w:rsidP="003878A7">
            <w:pPr>
              <w:spacing w:before="0" w:after="0"/>
              <w:ind w:firstLine="0"/>
              <w:jc w:val="right"/>
              <w:rPr>
                <w:rFonts w:eastAsia="Georgia" w:cs="Times New Roman"/>
                <w:sz w:val="21"/>
                <w:szCs w:val="21"/>
                <w:lang w:val="lt-LT"/>
              </w:rPr>
            </w:pPr>
            <w:r w:rsidRPr="003878A7">
              <w:rPr>
                <w:rFonts w:eastAsia="Georgia" w:cs="Times New Roman"/>
                <w:sz w:val="21"/>
                <w:szCs w:val="21"/>
                <w:lang w:val="lt-LT"/>
              </w:rPr>
              <w:t>79 645 505</w:t>
            </w:r>
          </w:p>
        </w:tc>
        <w:tc>
          <w:tcPr>
            <w:tcW w:w="1417" w:type="dxa"/>
            <w:noWrap/>
            <w:vAlign w:val="center"/>
            <w:hideMark/>
          </w:tcPr>
          <w:p w14:paraId="1159BCB3" w14:textId="77777777" w:rsidR="00B52207" w:rsidRPr="003878A7" w:rsidRDefault="00B52207" w:rsidP="003878A7">
            <w:pPr>
              <w:spacing w:before="0" w:after="0"/>
              <w:ind w:firstLine="0"/>
              <w:jc w:val="right"/>
              <w:rPr>
                <w:rFonts w:eastAsia="Georgia" w:cs="Times New Roman"/>
                <w:sz w:val="21"/>
                <w:szCs w:val="21"/>
                <w:lang w:val="lt-LT"/>
              </w:rPr>
            </w:pPr>
            <w:r w:rsidRPr="003878A7">
              <w:rPr>
                <w:rFonts w:eastAsia="Georgia" w:cs="Times New Roman"/>
                <w:sz w:val="21"/>
                <w:szCs w:val="21"/>
                <w:lang w:val="lt-LT"/>
              </w:rPr>
              <w:t>24%</w:t>
            </w:r>
          </w:p>
        </w:tc>
        <w:tc>
          <w:tcPr>
            <w:tcW w:w="1701" w:type="dxa"/>
            <w:noWrap/>
            <w:vAlign w:val="center"/>
            <w:hideMark/>
          </w:tcPr>
          <w:p w14:paraId="3AA8D859" w14:textId="77777777" w:rsidR="00B52207" w:rsidRPr="003878A7" w:rsidRDefault="00B52207" w:rsidP="003878A7">
            <w:pPr>
              <w:spacing w:before="0" w:after="0"/>
              <w:ind w:firstLine="0"/>
              <w:jc w:val="right"/>
              <w:rPr>
                <w:rFonts w:eastAsia="Georgia" w:cs="Times New Roman"/>
                <w:sz w:val="21"/>
                <w:szCs w:val="21"/>
                <w:lang w:val="lt-LT"/>
              </w:rPr>
            </w:pPr>
            <w:r w:rsidRPr="003878A7">
              <w:rPr>
                <w:rFonts w:eastAsia="Georgia" w:cs="Times New Roman"/>
                <w:sz w:val="21"/>
                <w:szCs w:val="21"/>
                <w:lang w:val="lt-LT"/>
              </w:rPr>
              <w:t>2015-02-18</w:t>
            </w:r>
          </w:p>
        </w:tc>
      </w:tr>
      <w:tr w:rsidR="00B52207" w:rsidRPr="003878A7" w14:paraId="6E339C4A" w14:textId="77777777" w:rsidTr="003878A7">
        <w:trPr>
          <w:trHeight w:val="600"/>
        </w:trPr>
        <w:tc>
          <w:tcPr>
            <w:tcW w:w="1560" w:type="dxa"/>
            <w:vAlign w:val="center"/>
          </w:tcPr>
          <w:p w14:paraId="347E54A2" w14:textId="77777777" w:rsidR="00B52207" w:rsidRPr="003878A7" w:rsidRDefault="00B52207" w:rsidP="003878A7">
            <w:pPr>
              <w:spacing w:before="0" w:after="0"/>
              <w:ind w:firstLine="0"/>
              <w:jc w:val="left"/>
              <w:rPr>
                <w:rFonts w:eastAsia="Georgia" w:cs="Times New Roman"/>
                <w:sz w:val="21"/>
                <w:szCs w:val="21"/>
                <w:lang w:val="lt-LT"/>
              </w:rPr>
            </w:pPr>
            <w:r w:rsidRPr="003878A7">
              <w:rPr>
                <w:rFonts w:eastAsia="Georgia" w:cs="Times New Roman"/>
                <w:sz w:val="21"/>
                <w:szCs w:val="21"/>
                <w:lang w:val="lt-LT"/>
              </w:rPr>
              <w:t>Nr. 04.3.1-FM-F-001</w:t>
            </w:r>
          </w:p>
        </w:tc>
        <w:tc>
          <w:tcPr>
            <w:tcW w:w="3543" w:type="dxa"/>
            <w:vAlign w:val="center"/>
          </w:tcPr>
          <w:p w14:paraId="6D819002" w14:textId="77777777" w:rsidR="00B52207" w:rsidRPr="003878A7" w:rsidRDefault="00B52207" w:rsidP="003878A7">
            <w:pPr>
              <w:spacing w:before="0" w:after="0"/>
              <w:ind w:firstLine="0"/>
              <w:jc w:val="left"/>
              <w:rPr>
                <w:rFonts w:eastAsia="Georgia" w:cs="Times New Roman"/>
                <w:sz w:val="21"/>
                <w:szCs w:val="21"/>
                <w:lang w:val="lt-LT"/>
              </w:rPr>
            </w:pPr>
            <w:r w:rsidRPr="003878A7">
              <w:rPr>
                <w:rFonts w:eastAsia="Georgia" w:cs="Times New Roman"/>
                <w:sz w:val="21"/>
                <w:szCs w:val="21"/>
                <w:lang w:val="lt-LT"/>
              </w:rPr>
              <w:t>Daugiabučių namų atnaujinimas</w:t>
            </w:r>
          </w:p>
        </w:tc>
        <w:tc>
          <w:tcPr>
            <w:tcW w:w="1560" w:type="dxa"/>
            <w:noWrap/>
            <w:vAlign w:val="center"/>
          </w:tcPr>
          <w:p w14:paraId="1E7E8FAB" w14:textId="77777777" w:rsidR="00B52207" w:rsidRPr="003878A7" w:rsidRDefault="00B52207" w:rsidP="003878A7">
            <w:pPr>
              <w:spacing w:before="0" w:after="0"/>
              <w:ind w:firstLine="0"/>
              <w:jc w:val="right"/>
              <w:rPr>
                <w:rFonts w:eastAsia="Georgia" w:cs="Times New Roman"/>
                <w:sz w:val="21"/>
                <w:szCs w:val="21"/>
                <w:lang w:val="lt-LT"/>
              </w:rPr>
            </w:pPr>
            <w:r w:rsidRPr="003878A7">
              <w:rPr>
                <w:rFonts w:eastAsia="Georgia" w:cs="Times New Roman"/>
                <w:sz w:val="21"/>
                <w:szCs w:val="21"/>
                <w:lang w:val="lt-LT"/>
              </w:rPr>
              <w:t>314 000 000</w:t>
            </w:r>
          </w:p>
        </w:tc>
        <w:tc>
          <w:tcPr>
            <w:tcW w:w="1417" w:type="dxa"/>
            <w:noWrap/>
            <w:vAlign w:val="center"/>
          </w:tcPr>
          <w:p w14:paraId="785A5F2C" w14:textId="77777777" w:rsidR="00B52207" w:rsidRPr="003878A7" w:rsidRDefault="00B52207" w:rsidP="003878A7">
            <w:pPr>
              <w:spacing w:before="0" w:after="0"/>
              <w:ind w:firstLine="0"/>
              <w:jc w:val="right"/>
              <w:rPr>
                <w:rFonts w:eastAsia="Georgia" w:cs="Times New Roman"/>
                <w:sz w:val="21"/>
                <w:szCs w:val="21"/>
                <w:lang w:val="lt-LT"/>
              </w:rPr>
            </w:pPr>
            <w:r w:rsidRPr="003878A7">
              <w:rPr>
                <w:rFonts w:eastAsia="Georgia" w:cs="Times New Roman"/>
                <w:sz w:val="21"/>
                <w:szCs w:val="21"/>
                <w:lang w:val="lt-LT"/>
              </w:rPr>
              <w:t>87%</w:t>
            </w:r>
          </w:p>
        </w:tc>
        <w:tc>
          <w:tcPr>
            <w:tcW w:w="1701" w:type="dxa"/>
            <w:noWrap/>
            <w:vAlign w:val="center"/>
          </w:tcPr>
          <w:p w14:paraId="3E0202D6" w14:textId="77777777" w:rsidR="00B52207" w:rsidRPr="003878A7" w:rsidRDefault="00B52207" w:rsidP="003878A7">
            <w:pPr>
              <w:spacing w:before="0" w:after="0"/>
              <w:ind w:firstLine="0"/>
              <w:jc w:val="right"/>
              <w:rPr>
                <w:rFonts w:eastAsia="Georgia" w:cs="Times New Roman"/>
                <w:sz w:val="21"/>
                <w:szCs w:val="21"/>
                <w:lang w:val="lt-LT"/>
              </w:rPr>
            </w:pPr>
          </w:p>
        </w:tc>
      </w:tr>
      <w:tr w:rsidR="00B52207" w:rsidRPr="003878A7" w14:paraId="1704DF62" w14:textId="77777777" w:rsidTr="003878A7">
        <w:trPr>
          <w:trHeight w:val="600"/>
        </w:trPr>
        <w:tc>
          <w:tcPr>
            <w:tcW w:w="1560" w:type="dxa"/>
            <w:vAlign w:val="center"/>
            <w:hideMark/>
          </w:tcPr>
          <w:p w14:paraId="4CFFA6D6" w14:textId="77777777" w:rsidR="00B52207" w:rsidRPr="003878A7" w:rsidRDefault="00B52207" w:rsidP="003878A7">
            <w:pPr>
              <w:spacing w:before="0" w:after="0"/>
              <w:ind w:firstLine="0"/>
              <w:jc w:val="left"/>
              <w:rPr>
                <w:rFonts w:eastAsia="Georgia" w:cs="Times New Roman"/>
                <w:sz w:val="21"/>
                <w:szCs w:val="21"/>
                <w:lang w:val="lt-LT"/>
              </w:rPr>
            </w:pPr>
            <w:r w:rsidRPr="003878A7">
              <w:rPr>
                <w:rFonts w:eastAsia="Georgia" w:cs="Times New Roman"/>
                <w:sz w:val="21"/>
                <w:szCs w:val="21"/>
                <w:lang w:val="lt-LT"/>
              </w:rPr>
              <w:t>Nr. 04.3.1-FM-F-001-01-0001</w:t>
            </w:r>
          </w:p>
        </w:tc>
        <w:tc>
          <w:tcPr>
            <w:tcW w:w="3543" w:type="dxa"/>
            <w:vAlign w:val="center"/>
            <w:hideMark/>
          </w:tcPr>
          <w:p w14:paraId="06B04593" w14:textId="77777777" w:rsidR="00B52207" w:rsidRPr="003878A7" w:rsidRDefault="00B52207" w:rsidP="003878A7">
            <w:pPr>
              <w:spacing w:before="0" w:after="0"/>
              <w:ind w:firstLine="0"/>
              <w:jc w:val="left"/>
              <w:rPr>
                <w:rFonts w:eastAsia="Georgia" w:cs="Times New Roman"/>
                <w:sz w:val="21"/>
                <w:szCs w:val="21"/>
                <w:lang w:val="lt-LT"/>
              </w:rPr>
            </w:pPr>
            <w:r w:rsidRPr="003878A7">
              <w:rPr>
                <w:rFonts w:eastAsia="Georgia" w:cs="Times New Roman"/>
                <w:sz w:val="21"/>
                <w:szCs w:val="21"/>
                <w:lang w:val="lt-LT"/>
              </w:rPr>
              <w:t>Daugiabučių namų modernizavimo fondas, finansuojamas Europos regioninės plėtros fondo lėšomis</w:t>
            </w:r>
          </w:p>
        </w:tc>
        <w:tc>
          <w:tcPr>
            <w:tcW w:w="1560" w:type="dxa"/>
            <w:noWrap/>
            <w:vAlign w:val="center"/>
            <w:hideMark/>
          </w:tcPr>
          <w:p w14:paraId="3369C61C" w14:textId="77777777" w:rsidR="00B52207" w:rsidRPr="003878A7" w:rsidRDefault="00B52207" w:rsidP="003878A7">
            <w:pPr>
              <w:spacing w:before="0" w:after="0"/>
              <w:ind w:firstLine="0"/>
              <w:jc w:val="right"/>
              <w:rPr>
                <w:rFonts w:eastAsia="Georgia" w:cs="Times New Roman"/>
                <w:sz w:val="21"/>
                <w:szCs w:val="21"/>
                <w:lang w:val="lt-LT"/>
              </w:rPr>
            </w:pPr>
            <w:r w:rsidRPr="003878A7">
              <w:rPr>
                <w:rFonts w:eastAsia="Georgia" w:cs="Times New Roman"/>
                <w:sz w:val="21"/>
                <w:szCs w:val="21"/>
                <w:lang w:val="lt-LT"/>
              </w:rPr>
              <w:t>74 000 000</w:t>
            </w:r>
          </w:p>
        </w:tc>
        <w:tc>
          <w:tcPr>
            <w:tcW w:w="1417" w:type="dxa"/>
            <w:noWrap/>
            <w:vAlign w:val="center"/>
            <w:hideMark/>
          </w:tcPr>
          <w:p w14:paraId="7BE1F25D" w14:textId="77777777" w:rsidR="00B52207" w:rsidRPr="003878A7" w:rsidRDefault="00B52207" w:rsidP="003878A7">
            <w:pPr>
              <w:spacing w:before="0" w:after="0"/>
              <w:ind w:firstLine="0"/>
              <w:jc w:val="right"/>
              <w:rPr>
                <w:rFonts w:eastAsia="Georgia" w:cs="Times New Roman"/>
                <w:sz w:val="21"/>
                <w:szCs w:val="21"/>
                <w:lang w:val="lt-LT"/>
              </w:rPr>
            </w:pPr>
            <w:r w:rsidRPr="003878A7">
              <w:rPr>
                <w:rFonts w:eastAsia="Georgia" w:cs="Times New Roman"/>
                <w:sz w:val="21"/>
                <w:szCs w:val="21"/>
                <w:lang w:val="lt-LT"/>
              </w:rPr>
              <w:t>100%</w:t>
            </w:r>
          </w:p>
        </w:tc>
        <w:tc>
          <w:tcPr>
            <w:tcW w:w="1701" w:type="dxa"/>
            <w:noWrap/>
            <w:vAlign w:val="center"/>
            <w:hideMark/>
          </w:tcPr>
          <w:p w14:paraId="261BE3F4" w14:textId="77777777" w:rsidR="00B52207" w:rsidRPr="003878A7" w:rsidRDefault="00B52207" w:rsidP="003878A7">
            <w:pPr>
              <w:spacing w:before="0" w:after="0"/>
              <w:ind w:firstLine="0"/>
              <w:jc w:val="right"/>
              <w:rPr>
                <w:rFonts w:eastAsia="Georgia" w:cs="Times New Roman"/>
                <w:sz w:val="21"/>
                <w:szCs w:val="21"/>
                <w:lang w:val="lt-LT"/>
              </w:rPr>
            </w:pPr>
            <w:r w:rsidRPr="003878A7">
              <w:rPr>
                <w:rFonts w:eastAsia="Georgia" w:cs="Times New Roman"/>
                <w:sz w:val="21"/>
                <w:szCs w:val="21"/>
                <w:lang w:val="lt-LT"/>
              </w:rPr>
              <w:t>2015-03-27</w:t>
            </w:r>
          </w:p>
        </w:tc>
      </w:tr>
      <w:tr w:rsidR="00B52207" w:rsidRPr="003878A7" w14:paraId="1522F8EF" w14:textId="77777777" w:rsidTr="003878A7">
        <w:trPr>
          <w:trHeight w:val="600"/>
        </w:trPr>
        <w:tc>
          <w:tcPr>
            <w:tcW w:w="1560" w:type="dxa"/>
            <w:vAlign w:val="center"/>
            <w:hideMark/>
          </w:tcPr>
          <w:p w14:paraId="30FA80FA" w14:textId="77777777" w:rsidR="00B52207" w:rsidRPr="003878A7" w:rsidRDefault="00B52207" w:rsidP="003878A7">
            <w:pPr>
              <w:spacing w:before="0" w:after="0"/>
              <w:ind w:firstLine="0"/>
              <w:jc w:val="left"/>
              <w:rPr>
                <w:rFonts w:eastAsia="Georgia" w:cs="Times New Roman"/>
                <w:sz w:val="21"/>
                <w:szCs w:val="21"/>
                <w:lang w:val="lt-LT"/>
              </w:rPr>
            </w:pPr>
            <w:r w:rsidRPr="003878A7">
              <w:rPr>
                <w:rFonts w:eastAsia="Georgia" w:cs="Times New Roman"/>
                <w:sz w:val="21"/>
                <w:szCs w:val="21"/>
                <w:lang w:val="lt-LT"/>
              </w:rPr>
              <w:t>Nr. 04.3.1-FM-F-001-02-0001</w:t>
            </w:r>
          </w:p>
        </w:tc>
        <w:tc>
          <w:tcPr>
            <w:tcW w:w="3543" w:type="dxa"/>
            <w:vAlign w:val="center"/>
            <w:hideMark/>
          </w:tcPr>
          <w:p w14:paraId="1532D083" w14:textId="5718DC0A" w:rsidR="00B52207" w:rsidRPr="003878A7" w:rsidRDefault="00B52207" w:rsidP="003878A7">
            <w:pPr>
              <w:spacing w:before="0" w:after="0"/>
              <w:ind w:firstLine="0"/>
              <w:jc w:val="left"/>
              <w:rPr>
                <w:rFonts w:eastAsia="Georgia" w:cs="Times New Roman"/>
                <w:sz w:val="21"/>
                <w:szCs w:val="21"/>
                <w:lang w:val="lt-LT"/>
              </w:rPr>
            </w:pPr>
            <w:r w:rsidRPr="003878A7">
              <w:rPr>
                <w:rFonts w:eastAsia="Georgia" w:cs="Times New Roman"/>
                <w:sz w:val="21"/>
                <w:szCs w:val="21"/>
                <w:lang w:val="lt-LT"/>
              </w:rPr>
              <w:t>Jessica II Fondų fondas, finansuojamas Europos regioninės plėtros fondo</w:t>
            </w:r>
          </w:p>
        </w:tc>
        <w:tc>
          <w:tcPr>
            <w:tcW w:w="1560" w:type="dxa"/>
            <w:noWrap/>
            <w:vAlign w:val="center"/>
            <w:hideMark/>
          </w:tcPr>
          <w:p w14:paraId="5975F553" w14:textId="77777777" w:rsidR="00B52207" w:rsidRPr="003878A7" w:rsidRDefault="00B52207" w:rsidP="003878A7">
            <w:pPr>
              <w:spacing w:before="0" w:after="0"/>
              <w:ind w:firstLine="0"/>
              <w:jc w:val="right"/>
              <w:rPr>
                <w:rFonts w:eastAsia="Georgia" w:cs="Times New Roman"/>
                <w:sz w:val="21"/>
                <w:szCs w:val="21"/>
                <w:lang w:val="lt-LT"/>
              </w:rPr>
            </w:pPr>
            <w:r w:rsidRPr="003878A7">
              <w:rPr>
                <w:rFonts w:eastAsia="Georgia" w:cs="Times New Roman"/>
                <w:sz w:val="21"/>
                <w:szCs w:val="21"/>
                <w:lang w:val="lt-LT"/>
              </w:rPr>
              <w:t>150 000 000</w:t>
            </w:r>
          </w:p>
        </w:tc>
        <w:tc>
          <w:tcPr>
            <w:tcW w:w="1417" w:type="dxa"/>
            <w:noWrap/>
            <w:vAlign w:val="center"/>
            <w:hideMark/>
          </w:tcPr>
          <w:p w14:paraId="1D5152C9" w14:textId="77777777" w:rsidR="00B52207" w:rsidRPr="003878A7" w:rsidRDefault="00B52207" w:rsidP="003878A7">
            <w:pPr>
              <w:spacing w:before="0" w:after="0"/>
              <w:ind w:firstLine="0"/>
              <w:jc w:val="right"/>
              <w:rPr>
                <w:rFonts w:eastAsia="Georgia" w:cs="Times New Roman"/>
                <w:sz w:val="21"/>
                <w:szCs w:val="21"/>
                <w:lang w:val="lt-LT"/>
              </w:rPr>
            </w:pPr>
            <w:r w:rsidRPr="003878A7">
              <w:rPr>
                <w:rFonts w:eastAsia="Georgia" w:cs="Times New Roman"/>
                <w:sz w:val="21"/>
                <w:szCs w:val="21"/>
                <w:lang w:val="lt-LT"/>
              </w:rPr>
              <w:t>100%</w:t>
            </w:r>
          </w:p>
        </w:tc>
        <w:tc>
          <w:tcPr>
            <w:tcW w:w="1701" w:type="dxa"/>
            <w:noWrap/>
            <w:vAlign w:val="center"/>
            <w:hideMark/>
          </w:tcPr>
          <w:p w14:paraId="53E1B67F" w14:textId="77777777" w:rsidR="00B52207" w:rsidRPr="003878A7" w:rsidRDefault="00B52207" w:rsidP="003878A7">
            <w:pPr>
              <w:spacing w:before="0" w:after="0"/>
              <w:ind w:firstLine="0"/>
              <w:jc w:val="right"/>
              <w:rPr>
                <w:rFonts w:eastAsia="Georgia" w:cs="Times New Roman"/>
                <w:sz w:val="21"/>
                <w:szCs w:val="21"/>
                <w:lang w:val="lt-LT"/>
              </w:rPr>
            </w:pPr>
            <w:r w:rsidRPr="003878A7">
              <w:rPr>
                <w:rFonts w:eastAsia="Georgia" w:cs="Times New Roman"/>
                <w:sz w:val="21"/>
                <w:szCs w:val="21"/>
                <w:lang w:val="lt-LT"/>
              </w:rPr>
              <w:t>2015-05-07</w:t>
            </w:r>
          </w:p>
        </w:tc>
      </w:tr>
      <w:tr w:rsidR="00B52207" w:rsidRPr="003878A7" w14:paraId="32C8E96B" w14:textId="77777777" w:rsidTr="003878A7">
        <w:trPr>
          <w:trHeight w:val="600"/>
        </w:trPr>
        <w:tc>
          <w:tcPr>
            <w:tcW w:w="1560" w:type="dxa"/>
            <w:vAlign w:val="center"/>
            <w:hideMark/>
          </w:tcPr>
          <w:p w14:paraId="79B4B7A5" w14:textId="77777777" w:rsidR="00B52207" w:rsidRPr="003878A7" w:rsidRDefault="00B52207" w:rsidP="003878A7">
            <w:pPr>
              <w:spacing w:before="0" w:after="0"/>
              <w:ind w:firstLine="0"/>
              <w:jc w:val="left"/>
              <w:rPr>
                <w:rFonts w:eastAsia="Georgia" w:cs="Times New Roman"/>
                <w:sz w:val="21"/>
                <w:szCs w:val="21"/>
                <w:lang w:val="lt-LT"/>
              </w:rPr>
            </w:pPr>
            <w:r w:rsidRPr="003878A7">
              <w:rPr>
                <w:rFonts w:eastAsia="Georgia" w:cs="Times New Roman"/>
                <w:sz w:val="21"/>
                <w:szCs w:val="21"/>
                <w:lang w:val="lt-LT"/>
              </w:rPr>
              <w:t>Nr. 04.3.1-FM-F-001-02-0002</w:t>
            </w:r>
          </w:p>
        </w:tc>
        <w:tc>
          <w:tcPr>
            <w:tcW w:w="3543" w:type="dxa"/>
            <w:vAlign w:val="center"/>
            <w:hideMark/>
          </w:tcPr>
          <w:p w14:paraId="24F63871" w14:textId="77777777" w:rsidR="00B52207" w:rsidRPr="003878A7" w:rsidRDefault="00B52207" w:rsidP="003878A7">
            <w:pPr>
              <w:spacing w:before="0" w:after="0"/>
              <w:ind w:firstLine="0"/>
              <w:jc w:val="left"/>
              <w:rPr>
                <w:rFonts w:eastAsia="Georgia" w:cs="Times New Roman"/>
                <w:sz w:val="21"/>
                <w:szCs w:val="21"/>
                <w:lang w:val="lt-LT"/>
              </w:rPr>
            </w:pPr>
            <w:r w:rsidRPr="003878A7">
              <w:rPr>
                <w:rFonts w:eastAsia="Georgia" w:cs="Times New Roman"/>
                <w:sz w:val="21"/>
                <w:szCs w:val="21"/>
                <w:lang w:val="lt-LT"/>
              </w:rPr>
              <w:t>Rizikos pasidalijimo fondas, finansuojamas Europos regioninės plėtros fondo ir grįžusių lėšų</w:t>
            </w:r>
          </w:p>
        </w:tc>
        <w:tc>
          <w:tcPr>
            <w:tcW w:w="1560" w:type="dxa"/>
            <w:noWrap/>
            <w:vAlign w:val="center"/>
            <w:hideMark/>
          </w:tcPr>
          <w:p w14:paraId="14E01880" w14:textId="77777777" w:rsidR="00B52207" w:rsidRPr="003878A7" w:rsidRDefault="00B52207" w:rsidP="003878A7">
            <w:pPr>
              <w:spacing w:before="0" w:after="0"/>
              <w:ind w:firstLine="0"/>
              <w:jc w:val="right"/>
              <w:rPr>
                <w:rFonts w:eastAsia="Georgia" w:cs="Times New Roman"/>
                <w:sz w:val="21"/>
                <w:szCs w:val="21"/>
                <w:lang w:val="lt-LT"/>
              </w:rPr>
            </w:pPr>
            <w:r w:rsidRPr="003878A7">
              <w:rPr>
                <w:rFonts w:eastAsia="Georgia" w:cs="Times New Roman"/>
                <w:sz w:val="21"/>
                <w:szCs w:val="21"/>
                <w:lang w:val="lt-LT"/>
              </w:rPr>
              <w:t>90 000 000</w:t>
            </w:r>
          </w:p>
        </w:tc>
        <w:tc>
          <w:tcPr>
            <w:tcW w:w="1417" w:type="dxa"/>
            <w:noWrap/>
            <w:vAlign w:val="center"/>
            <w:hideMark/>
          </w:tcPr>
          <w:p w14:paraId="7418AAFB" w14:textId="77777777" w:rsidR="00B52207" w:rsidRPr="003878A7" w:rsidRDefault="00B52207" w:rsidP="003878A7">
            <w:pPr>
              <w:spacing w:before="0" w:after="0"/>
              <w:ind w:firstLine="0"/>
              <w:jc w:val="right"/>
              <w:rPr>
                <w:rFonts w:eastAsia="Georgia" w:cs="Times New Roman"/>
                <w:sz w:val="21"/>
                <w:szCs w:val="21"/>
                <w:lang w:val="lt-LT"/>
              </w:rPr>
            </w:pPr>
            <w:r w:rsidRPr="003878A7">
              <w:rPr>
                <w:rFonts w:eastAsia="Georgia" w:cs="Times New Roman"/>
                <w:sz w:val="21"/>
                <w:szCs w:val="21"/>
                <w:lang w:val="lt-LT"/>
              </w:rPr>
              <w:t>56%</w:t>
            </w:r>
          </w:p>
        </w:tc>
        <w:tc>
          <w:tcPr>
            <w:tcW w:w="1701" w:type="dxa"/>
            <w:noWrap/>
            <w:vAlign w:val="center"/>
            <w:hideMark/>
          </w:tcPr>
          <w:p w14:paraId="71646022" w14:textId="77777777" w:rsidR="00B52207" w:rsidRPr="003878A7" w:rsidRDefault="00B52207" w:rsidP="003878A7">
            <w:pPr>
              <w:spacing w:before="0" w:after="0"/>
              <w:ind w:firstLine="0"/>
              <w:jc w:val="right"/>
              <w:rPr>
                <w:rFonts w:eastAsia="Georgia" w:cs="Times New Roman"/>
                <w:sz w:val="21"/>
                <w:szCs w:val="21"/>
                <w:lang w:val="lt-LT"/>
              </w:rPr>
            </w:pPr>
            <w:r w:rsidRPr="003878A7">
              <w:rPr>
                <w:rFonts w:eastAsia="Georgia" w:cs="Times New Roman"/>
                <w:sz w:val="21"/>
                <w:szCs w:val="21"/>
                <w:lang w:val="lt-LT"/>
              </w:rPr>
              <w:t>2016-10-05</w:t>
            </w:r>
          </w:p>
        </w:tc>
      </w:tr>
      <w:tr w:rsidR="00B52207" w:rsidRPr="003878A7" w14:paraId="5F3351D1" w14:textId="77777777" w:rsidTr="003878A7">
        <w:trPr>
          <w:trHeight w:val="600"/>
        </w:trPr>
        <w:tc>
          <w:tcPr>
            <w:tcW w:w="1560" w:type="dxa"/>
            <w:vAlign w:val="center"/>
          </w:tcPr>
          <w:p w14:paraId="60AF8B74" w14:textId="77777777" w:rsidR="00B52207" w:rsidRPr="003878A7" w:rsidRDefault="00B52207" w:rsidP="003878A7">
            <w:pPr>
              <w:spacing w:before="0" w:after="0"/>
              <w:ind w:firstLine="0"/>
              <w:jc w:val="left"/>
              <w:rPr>
                <w:rFonts w:eastAsia="Georgia" w:cs="Times New Roman"/>
                <w:sz w:val="21"/>
                <w:szCs w:val="21"/>
                <w:lang w:val="lt-LT"/>
              </w:rPr>
            </w:pPr>
            <w:r w:rsidRPr="003878A7">
              <w:rPr>
                <w:rFonts w:eastAsia="Georgia" w:cs="Times New Roman"/>
                <w:sz w:val="21"/>
                <w:szCs w:val="21"/>
                <w:lang w:val="lt-LT"/>
              </w:rPr>
              <w:t>Nr. 04.3.1-FM-F-002</w:t>
            </w:r>
          </w:p>
        </w:tc>
        <w:tc>
          <w:tcPr>
            <w:tcW w:w="3543" w:type="dxa"/>
            <w:vAlign w:val="center"/>
          </w:tcPr>
          <w:p w14:paraId="4985DC53" w14:textId="77777777" w:rsidR="00B52207" w:rsidRPr="003878A7" w:rsidRDefault="00B52207" w:rsidP="003878A7">
            <w:pPr>
              <w:spacing w:before="0" w:after="0"/>
              <w:ind w:firstLine="0"/>
              <w:jc w:val="left"/>
              <w:rPr>
                <w:rFonts w:eastAsia="Georgia" w:cs="Times New Roman"/>
                <w:sz w:val="21"/>
                <w:szCs w:val="21"/>
                <w:lang w:val="lt-LT"/>
              </w:rPr>
            </w:pPr>
            <w:r w:rsidRPr="003878A7">
              <w:rPr>
                <w:rFonts w:eastAsia="Georgia" w:cs="Times New Roman"/>
                <w:sz w:val="21"/>
                <w:szCs w:val="21"/>
                <w:lang w:val="lt-LT"/>
              </w:rPr>
              <w:t>Savivaldybių viešųjų pastatų atnaujinimas</w:t>
            </w:r>
          </w:p>
        </w:tc>
        <w:tc>
          <w:tcPr>
            <w:tcW w:w="1560" w:type="dxa"/>
            <w:noWrap/>
            <w:vAlign w:val="center"/>
          </w:tcPr>
          <w:p w14:paraId="2F62274F" w14:textId="77777777" w:rsidR="00B52207" w:rsidRPr="003878A7" w:rsidRDefault="00B52207" w:rsidP="003878A7">
            <w:pPr>
              <w:spacing w:before="0" w:after="0"/>
              <w:ind w:firstLine="0"/>
              <w:jc w:val="right"/>
              <w:rPr>
                <w:rFonts w:eastAsia="Georgia" w:cs="Times New Roman"/>
                <w:sz w:val="21"/>
                <w:szCs w:val="21"/>
                <w:lang w:val="lt-LT"/>
              </w:rPr>
            </w:pPr>
            <w:r w:rsidRPr="003878A7">
              <w:rPr>
                <w:rFonts w:eastAsia="Georgia" w:cs="Times New Roman"/>
                <w:sz w:val="21"/>
                <w:szCs w:val="21"/>
                <w:lang w:val="lt-LT"/>
              </w:rPr>
              <w:t>17 268 692</w:t>
            </w:r>
          </w:p>
        </w:tc>
        <w:tc>
          <w:tcPr>
            <w:tcW w:w="1417" w:type="dxa"/>
            <w:noWrap/>
            <w:vAlign w:val="center"/>
          </w:tcPr>
          <w:p w14:paraId="638ABC4B" w14:textId="77777777" w:rsidR="00B52207" w:rsidRPr="003878A7" w:rsidRDefault="00B52207" w:rsidP="003878A7">
            <w:pPr>
              <w:spacing w:before="0" w:after="0"/>
              <w:ind w:firstLine="0"/>
              <w:jc w:val="right"/>
              <w:rPr>
                <w:rFonts w:eastAsia="Georgia" w:cs="Times New Roman"/>
                <w:sz w:val="21"/>
                <w:szCs w:val="21"/>
                <w:lang w:val="lt-LT"/>
              </w:rPr>
            </w:pPr>
            <w:r w:rsidRPr="003878A7">
              <w:rPr>
                <w:rFonts w:eastAsia="Georgia" w:cs="Times New Roman"/>
                <w:sz w:val="21"/>
                <w:szCs w:val="21"/>
                <w:lang w:val="lt-LT"/>
              </w:rPr>
              <w:t>25%</w:t>
            </w:r>
          </w:p>
        </w:tc>
        <w:tc>
          <w:tcPr>
            <w:tcW w:w="1701" w:type="dxa"/>
            <w:noWrap/>
            <w:vAlign w:val="center"/>
          </w:tcPr>
          <w:p w14:paraId="5C6664BB" w14:textId="77777777" w:rsidR="00B52207" w:rsidRPr="003878A7" w:rsidRDefault="00B52207" w:rsidP="003878A7">
            <w:pPr>
              <w:spacing w:before="0" w:after="0"/>
              <w:ind w:firstLine="0"/>
              <w:jc w:val="right"/>
              <w:rPr>
                <w:rFonts w:eastAsia="Georgia" w:cs="Times New Roman"/>
                <w:sz w:val="21"/>
                <w:szCs w:val="21"/>
                <w:lang w:val="lt-LT"/>
              </w:rPr>
            </w:pPr>
          </w:p>
        </w:tc>
      </w:tr>
      <w:tr w:rsidR="00B52207" w:rsidRPr="003878A7" w14:paraId="0B42F486" w14:textId="77777777" w:rsidTr="003878A7">
        <w:trPr>
          <w:trHeight w:val="600"/>
        </w:trPr>
        <w:tc>
          <w:tcPr>
            <w:tcW w:w="1560" w:type="dxa"/>
            <w:vAlign w:val="center"/>
            <w:hideMark/>
          </w:tcPr>
          <w:p w14:paraId="4ED6B0BE" w14:textId="77777777" w:rsidR="00B52207" w:rsidRPr="003878A7" w:rsidRDefault="00B52207" w:rsidP="003878A7">
            <w:pPr>
              <w:spacing w:before="0" w:after="0"/>
              <w:ind w:firstLine="0"/>
              <w:jc w:val="left"/>
              <w:rPr>
                <w:rFonts w:eastAsia="Georgia" w:cs="Times New Roman"/>
                <w:sz w:val="21"/>
                <w:szCs w:val="21"/>
                <w:lang w:val="lt-LT"/>
              </w:rPr>
            </w:pPr>
            <w:r w:rsidRPr="003878A7">
              <w:rPr>
                <w:rFonts w:eastAsia="Georgia" w:cs="Times New Roman"/>
                <w:sz w:val="21"/>
                <w:szCs w:val="21"/>
                <w:lang w:val="lt-LT"/>
              </w:rPr>
              <w:t>Nr. 04.3.1-FM-F-002-01-0001</w:t>
            </w:r>
          </w:p>
        </w:tc>
        <w:tc>
          <w:tcPr>
            <w:tcW w:w="3543" w:type="dxa"/>
            <w:vAlign w:val="center"/>
            <w:hideMark/>
          </w:tcPr>
          <w:p w14:paraId="1D473F7E" w14:textId="77777777" w:rsidR="00B52207" w:rsidRPr="003878A7" w:rsidRDefault="00B52207" w:rsidP="003878A7">
            <w:pPr>
              <w:spacing w:before="0" w:after="0"/>
              <w:ind w:firstLine="0"/>
              <w:jc w:val="left"/>
              <w:rPr>
                <w:rFonts w:eastAsia="Georgia" w:cs="Times New Roman"/>
                <w:sz w:val="21"/>
                <w:szCs w:val="21"/>
                <w:lang w:val="lt-LT"/>
              </w:rPr>
            </w:pPr>
            <w:r w:rsidRPr="003878A7">
              <w:rPr>
                <w:rFonts w:eastAsia="Georgia" w:cs="Times New Roman"/>
                <w:sz w:val="21"/>
                <w:szCs w:val="21"/>
                <w:lang w:val="lt-LT"/>
              </w:rPr>
              <w:t>Savivaldybių pastatų fondas</w:t>
            </w:r>
          </w:p>
        </w:tc>
        <w:tc>
          <w:tcPr>
            <w:tcW w:w="1560" w:type="dxa"/>
            <w:noWrap/>
            <w:vAlign w:val="center"/>
            <w:hideMark/>
          </w:tcPr>
          <w:p w14:paraId="515B8FC7" w14:textId="77777777" w:rsidR="00B52207" w:rsidRPr="003878A7" w:rsidRDefault="00B52207" w:rsidP="003878A7">
            <w:pPr>
              <w:spacing w:before="0" w:after="0"/>
              <w:ind w:firstLine="0"/>
              <w:jc w:val="right"/>
              <w:rPr>
                <w:rFonts w:eastAsia="Georgia" w:cs="Times New Roman"/>
                <w:sz w:val="21"/>
                <w:szCs w:val="21"/>
                <w:lang w:val="lt-LT"/>
              </w:rPr>
            </w:pPr>
            <w:r w:rsidRPr="003878A7">
              <w:rPr>
                <w:rFonts w:eastAsia="Georgia" w:cs="Times New Roman"/>
                <w:sz w:val="21"/>
                <w:szCs w:val="21"/>
                <w:lang w:val="lt-LT"/>
              </w:rPr>
              <w:t>17 268 692</w:t>
            </w:r>
          </w:p>
        </w:tc>
        <w:tc>
          <w:tcPr>
            <w:tcW w:w="1417" w:type="dxa"/>
            <w:noWrap/>
            <w:vAlign w:val="center"/>
            <w:hideMark/>
          </w:tcPr>
          <w:p w14:paraId="40A79850" w14:textId="77777777" w:rsidR="00B52207" w:rsidRPr="003878A7" w:rsidRDefault="00B52207" w:rsidP="003878A7">
            <w:pPr>
              <w:spacing w:before="0" w:after="0"/>
              <w:ind w:firstLine="0"/>
              <w:jc w:val="right"/>
              <w:rPr>
                <w:rFonts w:eastAsia="Georgia" w:cs="Times New Roman"/>
                <w:sz w:val="21"/>
                <w:szCs w:val="21"/>
                <w:lang w:val="lt-LT"/>
              </w:rPr>
            </w:pPr>
            <w:r w:rsidRPr="003878A7">
              <w:rPr>
                <w:rFonts w:eastAsia="Georgia" w:cs="Times New Roman"/>
                <w:sz w:val="21"/>
                <w:szCs w:val="21"/>
                <w:lang w:val="lt-LT"/>
              </w:rPr>
              <w:t>25%</w:t>
            </w:r>
          </w:p>
        </w:tc>
        <w:tc>
          <w:tcPr>
            <w:tcW w:w="1701" w:type="dxa"/>
            <w:noWrap/>
            <w:vAlign w:val="center"/>
            <w:hideMark/>
          </w:tcPr>
          <w:p w14:paraId="788B18CA" w14:textId="77777777" w:rsidR="00B52207" w:rsidRPr="003878A7" w:rsidRDefault="00B52207" w:rsidP="003878A7">
            <w:pPr>
              <w:spacing w:before="0" w:after="0"/>
              <w:ind w:firstLine="0"/>
              <w:jc w:val="right"/>
              <w:rPr>
                <w:rFonts w:eastAsia="Georgia" w:cs="Times New Roman"/>
                <w:sz w:val="21"/>
                <w:szCs w:val="21"/>
                <w:lang w:val="lt-LT"/>
              </w:rPr>
            </w:pPr>
            <w:r w:rsidRPr="003878A7">
              <w:rPr>
                <w:rFonts w:eastAsia="Georgia" w:cs="Times New Roman"/>
                <w:sz w:val="21"/>
                <w:szCs w:val="21"/>
                <w:lang w:val="lt-LT"/>
              </w:rPr>
              <w:t>2017-06-27</w:t>
            </w:r>
          </w:p>
        </w:tc>
      </w:tr>
      <w:tr w:rsidR="00B52207" w:rsidRPr="003878A7" w14:paraId="5E535F04" w14:textId="77777777" w:rsidTr="003878A7">
        <w:trPr>
          <w:trHeight w:val="600"/>
        </w:trPr>
        <w:tc>
          <w:tcPr>
            <w:tcW w:w="1560" w:type="dxa"/>
            <w:vAlign w:val="center"/>
          </w:tcPr>
          <w:p w14:paraId="22AB64F7" w14:textId="77777777" w:rsidR="00B52207" w:rsidRPr="003878A7" w:rsidRDefault="00B52207" w:rsidP="003878A7">
            <w:pPr>
              <w:spacing w:before="0" w:after="0"/>
              <w:ind w:firstLine="0"/>
              <w:jc w:val="left"/>
              <w:rPr>
                <w:rFonts w:eastAsia="Georgia" w:cs="Times New Roman"/>
                <w:sz w:val="21"/>
                <w:szCs w:val="21"/>
                <w:lang w:val="lt-LT"/>
              </w:rPr>
            </w:pPr>
            <w:r w:rsidRPr="003878A7">
              <w:rPr>
                <w:rFonts w:eastAsia="Georgia" w:cs="Times New Roman"/>
                <w:sz w:val="21"/>
                <w:szCs w:val="21"/>
                <w:lang w:val="lt-LT"/>
              </w:rPr>
              <w:t>Nr. 04.3.1-APVA-V-003</w:t>
            </w:r>
          </w:p>
        </w:tc>
        <w:tc>
          <w:tcPr>
            <w:tcW w:w="3543" w:type="dxa"/>
            <w:vAlign w:val="center"/>
          </w:tcPr>
          <w:p w14:paraId="244D189F" w14:textId="77777777" w:rsidR="00B52207" w:rsidRPr="003878A7" w:rsidRDefault="00B52207" w:rsidP="003878A7">
            <w:pPr>
              <w:spacing w:before="0" w:after="0"/>
              <w:ind w:firstLine="0"/>
              <w:jc w:val="left"/>
              <w:rPr>
                <w:rFonts w:eastAsia="Georgia" w:cs="Times New Roman"/>
                <w:sz w:val="21"/>
                <w:szCs w:val="21"/>
                <w:lang w:val="lt-LT"/>
              </w:rPr>
            </w:pPr>
            <w:r w:rsidRPr="003878A7">
              <w:rPr>
                <w:rFonts w:eastAsia="Georgia" w:cs="Times New Roman"/>
                <w:sz w:val="21"/>
                <w:szCs w:val="21"/>
                <w:lang w:val="lt-LT"/>
              </w:rPr>
              <w:t>Daugiabučių namų ir savivaldybių viešųjų pastatų modernizavimo skatinimas</w:t>
            </w:r>
          </w:p>
        </w:tc>
        <w:tc>
          <w:tcPr>
            <w:tcW w:w="1560" w:type="dxa"/>
            <w:noWrap/>
            <w:vAlign w:val="center"/>
          </w:tcPr>
          <w:p w14:paraId="3CB64AC7" w14:textId="77777777" w:rsidR="00B52207" w:rsidRPr="003878A7" w:rsidRDefault="00B52207" w:rsidP="003878A7">
            <w:pPr>
              <w:spacing w:before="0" w:after="0"/>
              <w:ind w:firstLine="0"/>
              <w:jc w:val="right"/>
              <w:rPr>
                <w:rFonts w:eastAsia="Georgia" w:cs="Times New Roman"/>
                <w:sz w:val="21"/>
                <w:szCs w:val="21"/>
                <w:lang w:val="lt-LT"/>
              </w:rPr>
            </w:pPr>
            <w:r w:rsidRPr="003878A7">
              <w:rPr>
                <w:rFonts w:eastAsia="Georgia" w:cs="Times New Roman"/>
                <w:sz w:val="21"/>
                <w:szCs w:val="21"/>
                <w:lang w:val="lt-LT"/>
              </w:rPr>
              <w:t xml:space="preserve"> 8 688 600</w:t>
            </w:r>
          </w:p>
        </w:tc>
        <w:tc>
          <w:tcPr>
            <w:tcW w:w="1417" w:type="dxa"/>
            <w:noWrap/>
            <w:vAlign w:val="center"/>
          </w:tcPr>
          <w:p w14:paraId="385F84EB" w14:textId="77777777" w:rsidR="00B52207" w:rsidRPr="003878A7" w:rsidRDefault="00B52207" w:rsidP="003878A7">
            <w:pPr>
              <w:spacing w:before="0" w:after="0"/>
              <w:ind w:firstLine="0"/>
              <w:jc w:val="right"/>
              <w:rPr>
                <w:rFonts w:eastAsia="Georgia" w:cs="Times New Roman"/>
                <w:sz w:val="21"/>
                <w:szCs w:val="21"/>
                <w:lang w:val="lt-LT"/>
              </w:rPr>
            </w:pPr>
            <w:r w:rsidRPr="003878A7">
              <w:rPr>
                <w:rFonts w:eastAsia="Georgia" w:cs="Times New Roman"/>
                <w:sz w:val="21"/>
                <w:szCs w:val="21"/>
                <w:lang w:val="lt-LT"/>
              </w:rPr>
              <w:t>23%</w:t>
            </w:r>
          </w:p>
        </w:tc>
        <w:tc>
          <w:tcPr>
            <w:tcW w:w="1701" w:type="dxa"/>
            <w:noWrap/>
            <w:vAlign w:val="center"/>
          </w:tcPr>
          <w:p w14:paraId="437AEFEE" w14:textId="77777777" w:rsidR="00B52207" w:rsidRPr="003878A7" w:rsidRDefault="00B52207" w:rsidP="003878A7">
            <w:pPr>
              <w:spacing w:before="0" w:after="0"/>
              <w:ind w:firstLine="0"/>
              <w:jc w:val="right"/>
              <w:rPr>
                <w:rFonts w:eastAsia="Georgia" w:cs="Times New Roman"/>
                <w:sz w:val="21"/>
                <w:szCs w:val="21"/>
                <w:lang w:val="lt-LT"/>
              </w:rPr>
            </w:pPr>
          </w:p>
        </w:tc>
      </w:tr>
      <w:tr w:rsidR="00B52207" w:rsidRPr="003878A7" w14:paraId="4385D891" w14:textId="77777777" w:rsidTr="003878A7">
        <w:trPr>
          <w:trHeight w:val="600"/>
        </w:trPr>
        <w:tc>
          <w:tcPr>
            <w:tcW w:w="1560" w:type="dxa"/>
            <w:vAlign w:val="center"/>
            <w:hideMark/>
          </w:tcPr>
          <w:p w14:paraId="3F710953" w14:textId="77777777" w:rsidR="00B52207" w:rsidRPr="003878A7" w:rsidRDefault="00B52207" w:rsidP="003878A7">
            <w:pPr>
              <w:spacing w:before="0" w:after="0"/>
              <w:ind w:firstLine="0"/>
              <w:jc w:val="left"/>
              <w:rPr>
                <w:rFonts w:eastAsia="Georgia" w:cs="Times New Roman"/>
                <w:sz w:val="21"/>
                <w:szCs w:val="21"/>
                <w:lang w:val="lt-LT"/>
              </w:rPr>
            </w:pPr>
            <w:r w:rsidRPr="003878A7">
              <w:rPr>
                <w:rFonts w:eastAsia="Georgia" w:cs="Times New Roman"/>
                <w:sz w:val="21"/>
                <w:szCs w:val="21"/>
                <w:lang w:val="lt-LT"/>
              </w:rPr>
              <w:t>Nr. 04.3.1-APVA-V-003-01-0001</w:t>
            </w:r>
          </w:p>
        </w:tc>
        <w:tc>
          <w:tcPr>
            <w:tcW w:w="3543" w:type="dxa"/>
            <w:vAlign w:val="center"/>
            <w:hideMark/>
          </w:tcPr>
          <w:p w14:paraId="6E7F8C11" w14:textId="77777777" w:rsidR="00B52207" w:rsidRPr="003878A7" w:rsidRDefault="00B52207" w:rsidP="003878A7">
            <w:pPr>
              <w:spacing w:before="0" w:after="0"/>
              <w:ind w:firstLine="0"/>
              <w:jc w:val="left"/>
              <w:rPr>
                <w:rFonts w:eastAsia="Georgia" w:cs="Times New Roman"/>
                <w:sz w:val="21"/>
                <w:szCs w:val="21"/>
                <w:lang w:val="lt-LT"/>
              </w:rPr>
            </w:pPr>
            <w:r w:rsidRPr="003878A7">
              <w:rPr>
                <w:rFonts w:eastAsia="Georgia" w:cs="Times New Roman"/>
                <w:sz w:val="21"/>
                <w:szCs w:val="21"/>
                <w:lang w:val="lt-LT"/>
              </w:rPr>
              <w:t>Daugiabučių namų ir savivaldybių viešųjų pastatų modernizavimo skatinimas</w:t>
            </w:r>
          </w:p>
        </w:tc>
        <w:tc>
          <w:tcPr>
            <w:tcW w:w="1560" w:type="dxa"/>
            <w:noWrap/>
            <w:vAlign w:val="center"/>
            <w:hideMark/>
          </w:tcPr>
          <w:p w14:paraId="2E2D5CFE" w14:textId="77777777" w:rsidR="00B52207" w:rsidRPr="003878A7" w:rsidRDefault="00B52207" w:rsidP="003878A7">
            <w:pPr>
              <w:spacing w:before="0" w:after="0"/>
              <w:ind w:firstLine="0"/>
              <w:jc w:val="right"/>
              <w:rPr>
                <w:rFonts w:eastAsia="Georgia" w:cs="Times New Roman"/>
                <w:sz w:val="21"/>
                <w:szCs w:val="21"/>
                <w:lang w:val="lt-LT"/>
              </w:rPr>
            </w:pPr>
            <w:r w:rsidRPr="003878A7">
              <w:rPr>
                <w:rFonts w:eastAsia="Georgia" w:cs="Times New Roman"/>
                <w:sz w:val="21"/>
                <w:szCs w:val="21"/>
                <w:lang w:val="lt-LT"/>
              </w:rPr>
              <w:t>4 542 187</w:t>
            </w:r>
          </w:p>
        </w:tc>
        <w:tc>
          <w:tcPr>
            <w:tcW w:w="1417" w:type="dxa"/>
            <w:noWrap/>
            <w:vAlign w:val="center"/>
            <w:hideMark/>
          </w:tcPr>
          <w:p w14:paraId="1D5536A5" w14:textId="77777777" w:rsidR="00B52207" w:rsidRPr="003878A7" w:rsidRDefault="00B52207" w:rsidP="003878A7">
            <w:pPr>
              <w:spacing w:before="0" w:after="0"/>
              <w:ind w:firstLine="0"/>
              <w:jc w:val="right"/>
              <w:rPr>
                <w:rFonts w:eastAsia="Georgia" w:cs="Times New Roman"/>
                <w:sz w:val="21"/>
                <w:szCs w:val="21"/>
                <w:lang w:val="lt-LT"/>
              </w:rPr>
            </w:pPr>
            <w:r w:rsidRPr="003878A7">
              <w:rPr>
                <w:rFonts w:eastAsia="Georgia" w:cs="Times New Roman"/>
                <w:sz w:val="21"/>
                <w:szCs w:val="21"/>
                <w:lang w:val="lt-LT"/>
              </w:rPr>
              <w:t>40%</w:t>
            </w:r>
          </w:p>
        </w:tc>
        <w:tc>
          <w:tcPr>
            <w:tcW w:w="1701" w:type="dxa"/>
            <w:noWrap/>
            <w:vAlign w:val="center"/>
            <w:hideMark/>
          </w:tcPr>
          <w:p w14:paraId="691E1E86" w14:textId="77777777" w:rsidR="00B52207" w:rsidRPr="003878A7" w:rsidRDefault="00B52207" w:rsidP="003878A7">
            <w:pPr>
              <w:spacing w:before="0" w:after="0"/>
              <w:ind w:firstLine="0"/>
              <w:jc w:val="right"/>
              <w:rPr>
                <w:rFonts w:eastAsia="Georgia" w:cs="Times New Roman"/>
                <w:sz w:val="21"/>
                <w:szCs w:val="21"/>
                <w:lang w:val="lt-LT"/>
              </w:rPr>
            </w:pPr>
            <w:r w:rsidRPr="003878A7">
              <w:rPr>
                <w:rFonts w:eastAsia="Georgia" w:cs="Times New Roman"/>
                <w:sz w:val="21"/>
                <w:szCs w:val="21"/>
                <w:lang w:val="lt-LT"/>
              </w:rPr>
              <w:t>2016-08-25</w:t>
            </w:r>
          </w:p>
        </w:tc>
      </w:tr>
      <w:tr w:rsidR="00B52207" w:rsidRPr="003878A7" w14:paraId="7B444FB9" w14:textId="77777777" w:rsidTr="003878A7">
        <w:trPr>
          <w:trHeight w:val="600"/>
        </w:trPr>
        <w:tc>
          <w:tcPr>
            <w:tcW w:w="1560" w:type="dxa"/>
            <w:vAlign w:val="center"/>
            <w:hideMark/>
          </w:tcPr>
          <w:p w14:paraId="00D1FD02" w14:textId="77777777" w:rsidR="00B52207" w:rsidRPr="003878A7" w:rsidRDefault="00B52207" w:rsidP="003878A7">
            <w:pPr>
              <w:spacing w:before="0" w:after="0"/>
              <w:ind w:firstLine="0"/>
              <w:jc w:val="left"/>
              <w:rPr>
                <w:rFonts w:eastAsia="Georgia" w:cs="Times New Roman"/>
                <w:sz w:val="21"/>
                <w:szCs w:val="21"/>
                <w:lang w:val="lt-LT"/>
              </w:rPr>
            </w:pPr>
            <w:r w:rsidRPr="003878A7">
              <w:rPr>
                <w:rFonts w:eastAsia="Georgia" w:cs="Times New Roman"/>
                <w:sz w:val="21"/>
                <w:szCs w:val="21"/>
                <w:lang w:val="lt-LT"/>
              </w:rPr>
              <w:t>Nr. 04.3.1-APVA-V-003-01-0002</w:t>
            </w:r>
          </w:p>
        </w:tc>
        <w:tc>
          <w:tcPr>
            <w:tcW w:w="3543" w:type="dxa"/>
            <w:vAlign w:val="center"/>
            <w:hideMark/>
          </w:tcPr>
          <w:p w14:paraId="12E3F066" w14:textId="77777777" w:rsidR="00B52207" w:rsidRPr="003878A7" w:rsidRDefault="00B52207" w:rsidP="003878A7">
            <w:pPr>
              <w:spacing w:before="0" w:after="0"/>
              <w:ind w:firstLine="0"/>
              <w:jc w:val="left"/>
              <w:rPr>
                <w:rFonts w:eastAsia="Georgia" w:cs="Times New Roman"/>
                <w:sz w:val="21"/>
                <w:szCs w:val="21"/>
                <w:lang w:val="lt-LT"/>
              </w:rPr>
            </w:pPr>
            <w:r w:rsidRPr="003878A7">
              <w:rPr>
                <w:rFonts w:eastAsia="Georgia" w:cs="Times New Roman"/>
                <w:sz w:val="21"/>
                <w:szCs w:val="21"/>
                <w:lang w:val="lt-LT"/>
              </w:rPr>
              <w:t>Atnaujinamų (modernizuojamų) pastatų statybos kokybės priežiūra ir kontrolė</w:t>
            </w:r>
          </w:p>
        </w:tc>
        <w:tc>
          <w:tcPr>
            <w:tcW w:w="1560" w:type="dxa"/>
            <w:noWrap/>
            <w:vAlign w:val="center"/>
            <w:hideMark/>
          </w:tcPr>
          <w:p w14:paraId="4D8A3526" w14:textId="77777777" w:rsidR="00B52207" w:rsidRPr="003878A7" w:rsidRDefault="00B52207" w:rsidP="003878A7">
            <w:pPr>
              <w:spacing w:before="0" w:after="0"/>
              <w:ind w:firstLine="0"/>
              <w:jc w:val="right"/>
              <w:rPr>
                <w:rFonts w:eastAsia="Georgia" w:cs="Times New Roman"/>
                <w:sz w:val="21"/>
                <w:szCs w:val="21"/>
                <w:lang w:val="lt-LT"/>
              </w:rPr>
            </w:pPr>
            <w:r w:rsidRPr="003878A7">
              <w:rPr>
                <w:rFonts w:eastAsia="Georgia" w:cs="Times New Roman"/>
                <w:sz w:val="21"/>
                <w:szCs w:val="21"/>
                <w:lang w:val="lt-LT"/>
              </w:rPr>
              <w:t>429 018</w:t>
            </w:r>
          </w:p>
        </w:tc>
        <w:tc>
          <w:tcPr>
            <w:tcW w:w="1417" w:type="dxa"/>
            <w:noWrap/>
            <w:vAlign w:val="center"/>
            <w:hideMark/>
          </w:tcPr>
          <w:p w14:paraId="4A25CBB5" w14:textId="77777777" w:rsidR="00B52207" w:rsidRPr="003878A7" w:rsidRDefault="00B52207" w:rsidP="003878A7">
            <w:pPr>
              <w:spacing w:before="0" w:after="0"/>
              <w:ind w:firstLine="0"/>
              <w:jc w:val="right"/>
              <w:rPr>
                <w:rFonts w:eastAsia="Georgia" w:cs="Times New Roman"/>
                <w:sz w:val="21"/>
                <w:szCs w:val="21"/>
                <w:lang w:val="lt-LT"/>
              </w:rPr>
            </w:pPr>
            <w:r w:rsidRPr="003878A7">
              <w:rPr>
                <w:rFonts w:eastAsia="Georgia" w:cs="Times New Roman"/>
                <w:sz w:val="21"/>
                <w:szCs w:val="21"/>
                <w:lang w:val="lt-LT"/>
              </w:rPr>
              <w:t>34%</w:t>
            </w:r>
          </w:p>
        </w:tc>
        <w:tc>
          <w:tcPr>
            <w:tcW w:w="1701" w:type="dxa"/>
            <w:noWrap/>
            <w:vAlign w:val="center"/>
            <w:hideMark/>
          </w:tcPr>
          <w:p w14:paraId="2704B945" w14:textId="77777777" w:rsidR="00B52207" w:rsidRPr="003878A7" w:rsidRDefault="00B52207" w:rsidP="003878A7">
            <w:pPr>
              <w:spacing w:before="0" w:after="0"/>
              <w:ind w:firstLine="0"/>
              <w:jc w:val="right"/>
              <w:rPr>
                <w:rFonts w:eastAsia="Georgia" w:cs="Times New Roman"/>
                <w:sz w:val="21"/>
                <w:szCs w:val="21"/>
                <w:lang w:val="lt-LT"/>
              </w:rPr>
            </w:pPr>
            <w:r w:rsidRPr="003878A7">
              <w:rPr>
                <w:rFonts w:eastAsia="Georgia" w:cs="Times New Roman"/>
                <w:sz w:val="21"/>
                <w:szCs w:val="21"/>
                <w:lang w:val="lt-LT"/>
              </w:rPr>
              <w:t>2016-12-13</w:t>
            </w:r>
          </w:p>
        </w:tc>
      </w:tr>
      <w:tr w:rsidR="00B52207" w:rsidRPr="003878A7" w14:paraId="5718FCEB" w14:textId="77777777" w:rsidTr="003878A7">
        <w:trPr>
          <w:trHeight w:val="289"/>
        </w:trPr>
        <w:tc>
          <w:tcPr>
            <w:tcW w:w="1560" w:type="dxa"/>
            <w:vAlign w:val="center"/>
          </w:tcPr>
          <w:p w14:paraId="06B36D3D" w14:textId="77777777" w:rsidR="00B52207" w:rsidRPr="003878A7" w:rsidRDefault="00B52207" w:rsidP="003878A7">
            <w:pPr>
              <w:spacing w:before="0" w:after="0"/>
              <w:ind w:firstLine="0"/>
              <w:jc w:val="left"/>
              <w:rPr>
                <w:rFonts w:eastAsia="Georgia" w:cs="Times New Roman"/>
                <w:sz w:val="21"/>
                <w:szCs w:val="21"/>
                <w:lang w:val="lt-LT"/>
              </w:rPr>
            </w:pPr>
            <w:r w:rsidRPr="003878A7">
              <w:rPr>
                <w:rFonts w:eastAsia="Georgia" w:cs="Times New Roman"/>
                <w:sz w:val="21"/>
                <w:szCs w:val="21"/>
                <w:lang w:val="lt-LT"/>
              </w:rPr>
              <w:t>Iš viso</w:t>
            </w:r>
          </w:p>
        </w:tc>
        <w:tc>
          <w:tcPr>
            <w:tcW w:w="3543" w:type="dxa"/>
            <w:vAlign w:val="center"/>
          </w:tcPr>
          <w:p w14:paraId="2C72688C" w14:textId="77777777" w:rsidR="00B52207" w:rsidRPr="003878A7" w:rsidRDefault="00B52207" w:rsidP="003878A7">
            <w:pPr>
              <w:spacing w:before="0" w:after="0"/>
              <w:ind w:firstLine="0"/>
              <w:jc w:val="left"/>
              <w:rPr>
                <w:rFonts w:eastAsia="Georgia" w:cs="Times New Roman"/>
                <w:sz w:val="21"/>
                <w:szCs w:val="21"/>
                <w:lang w:val="lt-LT"/>
              </w:rPr>
            </w:pPr>
          </w:p>
        </w:tc>
        <w:tc>
          <w:tcPr>
            <w:tcW w:w="1560" w:type="dxa"/>
            <w:noWrap/>
            <w:vAlign w:val="center"/>
          </w:tcPr>
          <w:p w14:paraId="3C217CDB" w14:textId="77777777" w:rsidR="00B52207" w:rsidRPr="003878A7" w:rsidRDefault="00B52207" w:rsidP="003878A7">
            <w:pPr>
              <w:spacing w:before="0" w:after="0"/>
              <w:ind w:firstLine="0"/>
              <w:jc w:val="right"/>
              <w:rPr>
                <w:rFonts w:eastAsia="Georgia" w:cs="Times New Roman"/>
                <w:b/>
                <w:sz w:val="21"/>
                <w:szCs w:val="21"/>
                <w:lang w:val="lt-LT"/>
              </w:rPr>
            </w:pPr>
            <w:r w:rsidRPr="003878A7">
              <w:rPr>
                <w:rFonts w:eastAsia="Georgia" w:cs="Times New Roman"/>
                <w:b/>
                <w:sz w:val="21"/>
                <w:szCs w:val="21"/>
                <w:lang w:val="lt-LT"/>
              </w:rPr>
              <w:t>448 564 798</w:t>
            </w:r>
          </w:p>
        </w:tc>
        <w:tc>
          <w:tcPr>
            <w:tcW w:w="1417" w:type="dxa"/>
            <w:noWrap/>
            <w:vAlign w:val="center"/>
          </w:tcPr>
          <w:p w14:paraId="6BBFA7A9" w14:textId="77777777" w:rsidR="00B52207" w:rsidRPr="003878A7" w:rsidRDefault="00B52207" w:rsidP="003878A7">
            <w:pPr>
              <w:spacing w:before="0" w:after="0"/>
              <w:ind w:firstLine="0"/>
              <w:jc w:val="right"/>
              <w:rPr>
                <w:rFonts w:eastAsia="Georgia" w:cs="Times New Roman"/>
                <w:b/>
                <w:sz w:val="21"/>
                <w:szCs w:val="21"/>
                <w:lang w:val="lt-LT"/>
              </w:rPr>
            </w:pPr>
          </w:p>
        </w:tc>
        <w:tc>
          <w:tcPr>
            <w:tcW w:w="1701" w:type="dxa"/>
            <w:noWrap/>
            <w:vAlign w:val="center"/>
          </w:tcPr>
          <w:p w14:paraId="328FF0E3" w14:textId="77777777" w:rsidR="00B52207" w:rsidRPr="003878A7" w:rsidRDefault="00B52207" w:rsidP="003878A7">
            <w:pPr>
              <w:spacing w:before="0" w:after="0"/>
              <w:ind w:firstLine="0"/>
              <w:jc w:val="right"/>
              <w:rPr>
                <w:rFonts w:eastAsia="Georgia" w:cs="Times New Roman"/>
                <w:sz w:val="21"/>
                <w:szCs w:val="21"/>
                <w:lang w:val="lt-LT"/>
              </w:rPr>
            </w:pPr>
          </w:p>
        </w:tc>
      </w:tr>
    </w:tbl>
    <w:p w14:paraId="0FA6DCCF" w14:textId="25EE84BB" w:rsidR="00B52207" w:rsidRPr="003878A7" w:rsidRDefault="00B52207" w:rsidP="000A14D2">
      <w:pPr>
        <w:spacing w:before="0" w:after="160" w:line="259" w:lineRule="auto"/>
        <w:ind w:firstLine="0"/>
        <w:jc w:val="left"/>
        <w:rPr>
          <w:rStyle w:val="CommentReference"/>
          <w:rFonts w:eastAsiaTheme="minorEastAsia" w:cs="Times New Roman"/>
          <w:b/>
          <w:bCs/>
          <w:color w:val="0070C0"/>
          <w:sz w:val="24"/>
          <w:szCs w:val="18"/>
        </w:rPr>
        <w:sectPr w:rsidR="00B52207" w:rsidRPr="003878A7" w:rsidSect="000A14D2">
          <w:pgSz w:w="11906" w:h="16838"/>
          <w:pgMar w:top="1701" w:right="567" w:bottom="1134" w:left="1701" w:header="567" w:footer="567" w:gutter="0"/>
          <w:cols w:space="1296"/>
          <w:docGrid w:linePitch="360"/>
        </w:sectPr>
      </w:pPr>
    </w:p>
    <w:p w14:paraId="46747099" w14:textId="3BE83330" w:rsidR="00061B8B" w:rsidRPr="003878A7" w:rsidRDefault="00061B8B" w:rsidP="00061B8B">
      <w:pPr>
        <w:pStyle w:val="Heading1"/>
        <w:numPr>
          <w:ilvl w:val="0"/>
          <w:numId w:val="0"/>
        </w:numPr>
        <w:ind w:left="360"/>
        <w:rPr>
          <w:rStyle w:val="CommentReference"/>
          <w:rFonts w:eastAsiaTheme="minorEastAsia" w:cs="Times New Roman"/>
          <w:b w:val="0"/>
          <w:bCs/>
          <w:color w:val="0070C0"/>
          <w:sz w:val="24"/>
          <w:szCs w:val="18"/>
        </w:rPr>
      </w:pPr>
      <w:bookmarkStart w:id="66" w:name="_Toc70532892"/>
      <w:bookmarkEnd w:id="63"/>
      <w:bookmarkEnd w:id="64"/>
      <w:r w:rsidRPr="003878A7">
        <w:rPr>
          <w:rFonts w:cs="Times New Roman"/>
        </w:rPr>
        <w:lastRenderedPageBreak/>
        <w:t>2 priedas. Rinkos gyvybingumo ir investicijų trūkumo priežastys ir jų aprašymas</w:t>
      </w:r>
      <w:bookmarkEnd w:id="66"/>
    </w:p>
    <w:tbl>
      <w:tblPr>
        <w:tblStyle w:val="TableGrid"/>
        <w:tblW w:w="9180" w:type="dxa"/>
        <w:tblLook w:val="04A0" w:firstRow="1" w:lastRow="0" w:firstColumn="1" w:lastColumn="0" w:noHBand="0" w:noVBand="1"/>
      </w:tblPr>
      <w:tblGrid>
        <w:gridCol w:w="2287"/>
        <w:gridCol w:w="6893"/>
      </w:tblGrid>
      <w:tr w:rsidR="00061B8B" w:rsidRPr="003878A7" w14:paraId="6551D97B" w14:textId="77777777" w:rsidTr="0031223D">
        <w:tc>
          <w:tcPr>
            <w:tcW w:w="2287" w:type="dxa"/>
          </w:tcPr>
          <w:p w14:paraId="474DD814" w14:textId="77777777" w:rsidR="00061B8B" w:rsidRPr="003878A7" w:rsidRDefault="00061B8B" w:rsidP="00061B8B">
            <w:pPr>
              <w:spacing w:before="0" w:after="0"/>
              <w:ind w:firstLine="0"/>
              <w:rPr>
                <w:rFonts w:eastAsia="Georgia" w:cs="Times New Roman"/>
                <w:b/>
                <w:bCs/>
                <w:iCs/>
                <w:sz w:val="21"/>
                <w:szCs w:val="21"/>
                <w:lang w:val="lt-LT"/>
              </w:rPr>
            </w:pPr>
            <w:r w:rsidRPr="003878A7">
              <w:rPr>
                <w:rFonts w:eastAsia="Georgia" w:cs="Times New Roman"/>
                <w:b/>
                <w:bCs/>
                <w:iCs/>
                <w:sz w:val="21"/>
                <w:szCs w:val="21"/>
                <w:lang w:val="lt-LT"/>
              </w:rPr>
              <w:t>Priežastis</w:t>
            </w:r>
          </w:p>
        </w:tc>
        <w:tc>
          <w:tcPr>
            <w:tcW w:w="6893" w:type="dxa"/>
          </w:tcPr>
          <w:p w14:paraId="1067486B" w14:textId="77777777" w:rsidR="00061B8B" w:rsidRPr="003878A7" w:rsidRDefault="00061B8B" w:rsidP="00061B8B">
            <w:pPr>
              <w:spacing w:before="0" w:after="0"/>
              <w:ind w:firstLine="0"/>
              <w:rPr>
                <w:rFonts w:eastAsia="Georgia" w:cs="Times New Roman"/>
                <w:b/>
                <w:bCs/>
                <w:iCs/>
                <w:sz w:val="21"/>
                <w:szCs w:val="21"/>
                <w:lang w:val="lt-LT"/>
              </w:rPr>
            </w:pPr>
            <w:r w:rsidRPr="003878A7">
              <w:rPr>
                <w:rFonts w:eastAsia="Georgia" w:cs="Times New Roman"/>
                <w:b/>
                <w:bCs/>
                <w:iCs/>
                <w:sz w:val="21"/>
                <w:szCs w:val="21"/>
                <w:lang w:val="lt-LT"/>
              </w:rPr>
              <w:t>Aprašymas</w:t>
            </w:r>
          </w:p>
        </w:tc>
      </w:tr>
      <w:tr w:rsidR="00061B8B" w:rsidRPr="003878A7" w14:paraId="1972B1D7" w14:textId="77777777" w:rsidTr="0031223D">
        <w:tc>
          <w:tcPr>
            <w:tcW w:w="2287" w:type="dxa"/>
          </w:tcPr>
          <w:p w14:paraId="10112EC2" w14:textId="77777777" w:rsidR="00061B8B" w:rsidRPr="003878A7" w:rsidRDefault="00061B8B" w:rsidP="00061B8B">
            <w:pPr>
              <w:spacing w:before="0" w:after="0"/>
              <w:ind w:firstLine="0"/>
              <w:rPr>
                <w:rFonts w:eastAsia="Georgia" w:cs="Times New Roman"/>
                <w:iCs/>
                <w:sz w:val="21"/>
                <w:szCs w:val="21"/>
                <w:lang w:val="lt-LT"/>
              </w:rPr>
            </w:pPr>
            <w:r w:rsidRPr="003878A7">
              <w:rPr>
                <w:rFonts w:eastAsia="Georgia" w:cs="Times New Roman"/>
                <w:iCs/>
                <w:sz w:val="21"/>
                <w:szCs w:val="21"/>
                <w:lang w:val="lt-LT"/>
              </w:rPr>
              <w:t>Neapmokestinamos taršos įtaka</w:t>
            </w:r>
          </w:p>
        </w:tc>
        <w:tc>
          <w:tcPr>
            <w:tcW w:w="6893" w:type="dxa"/>
          </w:tcPr>
          <w:p w14:paraId="7E3B919A" w14:textId="49586A0E" w:rsidR="00061B8B" w:rsidRPr="003878A7" w:rsidRDefault="00061B8B" w:rsidP="00061B8B">
            <w:pPr>
              <w:spacing w:before="0" w:after="0"/>
              <w:ind w:firstLine="0"/>
              <w:rPr>
                <w:rFonts w:eastAsia="Georgia" w:cs="Times New Roman"/>
                <w:sz w:val="21"/>
                <w:szCs w:val="21"/>
                <w:lang w:val="lt-LT"/>
              </w:rPr>
            </w:pPr>
            <w:r w:rsidRPr="003878A7">
              <w:rPr>
                <w:rFonts w:eastAsia="Georgia" w:cs="Times New Roman"/>
                <w:sz w:val="21"/>
                <w:szCs w:val="21"/>
                <w:lang w:val="lt-LT"/>
              </w:rPr>
              <w:t>Viena iš labai svarbių rinkos trūkumo susidarymo priežasčių, kylančių iš paklausos, t.</w:t>
            </w:r>
            <w:r w:rsidR="0031223D" w:rsidRPr="003878A7">
              <w:rPr>
                <w:rFonts w:eastAsia="Georgia" w:cs="Times New Roman"/>
                <w:sz w:val="21"/>
                <w:szCs w:val="21"/>
                <w:lang w:val="lt-LT"/>
              </w:rPr>
              <w:t xml:space="preserve"> </w:t>
            </w:r>
            <w:r w:rsidRPr="003878A7">
              <w:rPr>
                <w:rFonts w:eastAsia="Georgia" w:cs="Times New Roman"/>
                <w:sz w:val="21"/>
                <w:szCs w:val="21"/>
                <w:lang w:val="lt-LT"/>
              </w:rPr>
              <w:t xml:space="preserve">y. projektų, pusės, yra tai, kad aplinkosauginiai ir socialiniai kaštai, tokie kaip taršos, šiltnamio efektą sukeliančių dujų emisijos, išteklių išeikvojimo, geopolitinės priklausomybės, nėra atspindėti energijos kainodaroje. Energijos vartotojai savo sprendimus ir pasirinkimą grindžia atsižvelgiant į energijos kainą, kuri yra mažesnė nei visi kiti visuomenės patiriami kaštai. Elektros kaina namų ūkiams yra viena mažiausių Europoje, o remiantis Eurostato duomenimis, energijos suvartojimo šiltnamio efektą sukeliančių dujų emisijos pastaraisiais metais buvo vienos didžiausių Europoje. Tai parodo, kad iš tiesų egzistuoja neigiamas minėtų išorinių veiksnių poveikis. </w:t>
            </w:r>
          </w:p>
          <w:p w14:paraId="19958DEE" w14:textId="2BD8291F" w:rsidR="00061B8B" w:rsidRPr="003878A7" w:rsidRDefault="00061B8B" w:rsidP="00061B8B">
            <w:pPr>
              <w:spacing w:before="0" w:after="0"/>
              <w:ind w:firstLine="0"/>
              <w:rPr>
                <w:rFonts w:eastAsia="Georgia" w:cs="Times New Roman"/>
                <w:sz w:val="21"/>
                <w:szCs w:val="21"/>
                <w:lang w:val="lt-LT"/>
              </w:rPr>
            </w:pPr>
            <w:r w:rsidRPr="003878A7">
              <w:rPr>
                <w:rFonts w:eastAsia="Georgia" w:cs="Times New Roman"/>
                <w:sz w:val="21"/>
                <w:szCs w:val="21"/>
                <w:lang w:val="lt-LT"/>
              </w:rPr>
              <w:t xml:space="preserve">Aplinkosauginiai veiksniai, kurie nėra padengiami energijos kainos dalimi, sukuria energijos perteklinį vartojimą bei nepakankamas investicijas į </w:t>
            </w:r>
            <w:r w:rsidR="00CF06EF" w:rsidRPr="003878A7">
              <w:rPr>
                <w:rFonts w:eastAsia="Georgia" w:cs="Times New Roman"/>
                <w:sz w:val="21"/>
                <w:szCs w:val="21"/>
                <w:lang w:val="lt-LT"/>
              </w:rPr>
              <w:t>EE</w:t>
            </w:r>
            <w:r w:rsidRPr="003878A7">
              <w:rPr>
                <w:rFonts w:eastAsia="Georgia" w:cs="Times New Roman"/>
                <w:sz w:val="21"/>
                <w:szCs w:val="21"/>
                <w:lang w:val="lt-LT"/>
              </w:rPr>
              <w:t xml:space="preserve"> ir turto išsaugojimą, be to, energijos vartotojai renkasi pigesnę energijos rūšį vietoje ekologiškesnių, tačiau brangesnių energijos šaltinių bei </w:t>
            </w:r>
            <w:r w:rsidR="00CF06EF" w:rsidRPr="003878A7">
              <w:rPr>
                <w:rFonts w:eastAsia="Georgia" w:cs="Times New Roman"/>
                <w:sz w:val="21"/>
                <w:szCs w:val="21"/>
                <w:lang w:val="lt-LT"/>
              </w:rPr>
              <w:t>EE</w:t>
            </w:r>
            <w:r w:rsidRPr="003878A7">
              <w:rPr>
                <w:rFonts w:eastAsia="Georgia" w:cs="Times New Roman"/>
                <w:sz w:val="21"/>
                <w:szCs w:val="21"/>
                <w:lang w:val="lt-LT"/>
              </w:rPr>
              <w:t xml:space="preserve"> priemonių diegimo.</w:t>
            </w:r>
          </w:p>
        </w:tc>
      </w:tr>
      <w:tr w:rsidR="00061B8B" w:rsidRPr="003878A7" w14:paraId="21D1C49B" w14:textId="77777777" w:rsidTr="0031223D">
        <w:tc>
          <w:tcPr>
            <w:tcW w:w="2287" w:type="dxa"/>
          </w:tcPr>
          <w:p w14:paraId="601D386E" w14:textId="77777777" w:rsidR="00061B8B" w:rsidRPr="003878A7" w:rsidRDefault="00061B8B" w:rsidP="00061B8B">
            <w:pPr>
              <w:spacing w:before="0" w:after="0"/>
              <w:ind w:firstLine="0"/>
              <w:rPr>
                <w:rFonts w:eastAsia="Georgia" w:cs="Times New Roman"/>
                <w:iCs/>
                <w:sz w:val="21"/>
                <w:szCs w:val="21"/>
                <w:lang w:val="lt-LT"/>
              </w:rPr>
            </w:pPr>
            <w:r w:rsidRPr="003878A7">
              <w:rPr>
                <w:rFonts w:eastAsia="Georgia" w:cs="Times New Roman"/>
                <w:iCs/>
                <w:sz w:val="21"/>
                <w:szCs w:val="21"/>
                <w:lang w:val="lt-LT"/>
              </w:rPr>
              <w:t>Asimetrinė informacija</w:t>
            </w:r>
          </w:p>
        </w:tc>
        <w:tc>
          <w:tcPr>
            <w:tcW w:w="6893" w:type="dxa"/>
          </w:tcPr>
          <w:p w14:paraId="5C0ABE0F" w14:textId="6E9950A5" w:rsidR="00061B8B" w:rsidRPr="003878A7" w:rsidRDefault="00061B8B" w:rsidP="00061B8B">
            <w:pPr>
              <w:spacing w:before="0" w:after="0"/>
              <w:ind w:firstLine="0"/>
              <w:rPr>
                <w:rFonts w:eastAsia="Georgia" w:cs="Times New Roman"/>
                <w:sz w:val="21"/>
                <w:szCs w:val="21"/>
                <w:lang w:val="lt-LT"/>
              </w:rPr>
            </w:pPr>
            <w:r w:rsidRPr="003878A7">
              <w:rPr>
                <w:rFonts w:eastAsia="Georgia" w:cs="Times New Roman"/>
                <w:sz w:val="21"/>
                <w:szCs w:val="21"/>
                <w:lang w:val="lt-LT"/>
              </w:rPr>
              <w:t xml:space="preserve">Asimetrinė informacija pasireiškia tuomet, kai vartotojai, pardavėjai, gamintojai, politikai, finansuotojai turi nepakankamos arba neteisingos informacijos apie </w:t>
            </w:r>
            <w:r w:rsidR="00CF06EF" w:rsidRPr="003878A7">
              <w:rPr>
                <w:rFonts w:eastAsia="Georgia" w:cs="Times New Roman"/>
                <w:sz w:val="21"/>
                <w:szCs w:val="21"/>
                <w:lang w:val="lt-LT"/>
              </w:rPr>
              <w:t>EE</w:t>
            </w:r>
            <w:r w:rsidRPr="003878A7">
              <w:rPr>
                <w:rFonts w:eastAsia="Georgia" w:cs="Times New Roman"/>
                <w:sz w:val="21"/>
                <w:szCs w:val="21"/>
                <w:lang w:val="lt-LT"/>
              </w:rPr>
              <w:t xml:space="preserve"> projektų savybes ir teikiamas galimybes. Energijos vartotojai dažnai neturi efektyvios praktikos bei nežino apie egzistuojančias technologijas energijos taupymui. Viena iš tokios informacijos trūkumo susidarymo priežasčių yra energetinio išprusimo, mokymų ir tuo pačiu motyvacijos trūkumas, kurie taip pat prisideda prie nepakankamų investicijų į </w:t>
            </w:r>
            <w:r w:rsidR="00CF06EF" w:rsidRPr="003878A7">
              <w:rPr>
                <w:rFonts w:eastAsia="Georgia" w:cs="Times New Roman"/>
                <w:sz w:val="21"/>
                <w:szCs w:val="21"/>
                <w:lang w:val="lt-LT"/>
              </w:rPr>
              <w:t>EE</w:t>
            </w:r>
            <w:r w:rsidRPr="003878A7">
              <w:rPr>
                <w:rFonts w:eastAsia="Georgia" w:cs="Times New Roman"/>
                <w:sz w:val="21"/>
                <w:szCs w:val="21"/>
                <w:lang w:val="lt-LT"/>
              </w:rPr>
              <w:t xml:space="preserve"> priemones.  </w:t>
            </w:r>
          </w:p>
          <w:p w14:paraId="232A1E1B" w14:textId="1EAE55B8" w:rsidR="00061B8B" w:rsidRPr="003878A7" w:rsidRDefault="00061B8B" w:rsidP="00061B8B">
            <w:pPr>
              <w:spacing w:before="0" w:after="0"/>
              <w:ind w:firstLine="0"/>
              <w:rPr>
                <w:rFonts w:eastAsia="Georgia" w:cs="Times New Roman"/>
                <w:sz w:val="21"/>
                <w:szCs w:val="21"/>
                <w:lang w:val="lt-LT"/>
              </w:rPr>
            </w:pPr>
            <w:r w:rsidRPr="003878A7">
              <w:rPr>
                <w:rFonts w:eastAsia="Georgia" w:cs="Times New Roman"/>
                <w:sz w:val="21"/>
                <w:szCs w:val="21"/>
                <w:lang w:val="lt-LT"/>
              </w:rPr>
              <w:t xml:space="preserve">Energijos vartojimo efektyvumo srityje potencialūs projektų vykdytojai – energiją vartojantys fiziniai ir juridiniai asmenys. Fiziniai asmenys, kurie yra </w:t>
            </w:r>
            <w:r w:rsidR="00FD523F" w:rsidRPr="003878A7">
              <w:rPr>
                <w:rFonts w:eastAsia="Georgia" w:cs="Times New Roman"/>
                <w:sz w:val="21"/>
                <w:szCs w:val="21"/>
                <w:lang w:val="lt-LT"/>
              </w:rPr>
              <w:t>GNG</w:t>
            </w:r>
            <w:r w:rsidRPr="003878A7">
              <w:rPr>
                <w:rFonts w:eastAsia="Georgia" w:cs="Times New Roman"/>
                <w:sz w:val="21"/>
                <w:szCs w:val="21"/>
                <w:lang w:val="lt-LT"/>
              </w:rPr>
              <w:t xml:space="preserve"> daugiabučių modernizavimo projektuose, dažnai neišmano energinio efektyvumo priemonių įdiegimo naudos, bendras sutarimas tarp daugiabučio namo gyventojų gali būti ilgas, o kartais ir neįgyvendinamas procesas. Daugiabučių namų gyventojai dėl daugelio priežasčių turi žemą motyvaciją inicijuoti </w:t>
            </w:r>
            <w:r w:rsidR="00CF06EF" w:rsidRPr="003878A7">
              <w:rPr>
                <w:rFonts w:eastAsia="Georgia" w:cs="Times New Roman"/>
                <w:sz w:val="21"/>
                <w:szCs w:val="21"/>
                <w:lang w:val="lt-LT"/>
              </w:rPr>
              <w:t>EE</w:t>
            </w:r>
            <w:r w:rsidRPr="003878A7">
              <w:rPr>
                <w:rFonts w:eastAsia="Georgia" w:cs="Times New Roman"/>
                <w:sz w:val="21"/>
                <w:szCs w:val="21"/>
                <w:lang w:val="lt-LT"/>
              </w:rPr>
              <w:t xml:space="preserve"> projektus.</w:t>
            </w:r>
          </w:p>
        </w:tc>
      </w:tr>
      <w:tr w:rsidR="00061B8B" w:rsidRPr="003878A7" w14:paraId="0E3C46B0" w14:textId="77777777" w:rsidTr="0031223D">
        <w:tc>
          <w:tcPr>
            <w:tcW w:w="2287" w:type="dxa"/>
          </w:tcPr>
          <w:p w14:paraId="07703D23" w14:textId="77777777" w:rsidR="00061B8B" w:rsidRPr="003878A7" w:rsidRDefault="00061B8B" w:rsidP="00061B8B">
            <w:pPr>
              <w:spacing w:before="0" w:after="0"/>
              <w:ind w:firstLine="0"/>
              <w:rPr>
                <w:rFonts w:eastAsia="Georgia" w:cs="Times New Roman"/>
                <w:iCs/>
                <w:sz w:val="21"/>
                <w:szCs w:val="21"/>
                <w:lang w:val="lt-LT"/>
              </w:rPr>
            </w:pPr>
            <w:r w:rsidRPr="003878A7">
              <w:rPr>
                <w:rFonts w:eastAsia="Georgia" w:cs="Times New Roman"/>
                <w:iCs/>
                <w:sz w:val="21"/>
                <w:szCs w:val="21"/>
                <w:lang w:val="lt-LT"/>
              </w:rPr>
              <w:t>Didelės rizikos</w:t>
            </w:r>
          </w:p>
        </w:tc>
        <w:tc>
          <w:tcPr>
            <w:tcW w:w="6893" w:type="dxa"/>
          </w:tcPr>
          <w:p w14:paraId="522C72C8" w14:textId="211B23F3" w:rsidR="00061B8B" w:rsidRPr="003878A7" w:rsidRDefault="00061B8B" w:rsidP="00061B8B">
            <w:pPr>
              <w:spacing w:before="0" w:after="0"/>
              <w:ind w:firstLine="0"/>
              <w:rPr>
                <w:rFonts w:eastAsia="Georgia" w:cs="Times New Roman"/>
                <w:sz w:val="21"/>
                <w:szCs w:val="21"/>
                <w:lang w:val="lt-LT"/>
              </w:rPr>
            </w:pPr>
            <w:r w:rsidRPr="003878A7">
              <w:rPr>
                <w:rFonts w:eastAsia="Georgia" w:cs="Times New Roman"/>
                <w:sz w:val="21"/>
                <w:szCs w:val="21"/>
                <w:lang w:val="lt-LT"/>
              </w:rPr>
              <w:t xml:space="preserve">Investuotojams nepriimtinos rizikos dažnai yra trukdis investicijoms. </w:t>
            </w:r>
            <w:r w:rsidR="00CF06EF" w:rsidRPr="003878A7">
              <w:rPr>
                <w:rFonts w:eastAsia="Georgia" w:cs="Times New Roman"/>
                <w:sz w:val="21"/>
                <w:szCs w:val="21"/>
                <w:lang w:val="lt-LT"/>
              </w:rPr>
              <w:t>EE</w:t>
            </w:r>
            <w:r w:rsidRPr="003878A7">
              <w:rPr>
                <w:rFonts w:eastAsia="Georgia" w:cs="Times New Roman"/>
                <w:sz w:val="21"/>
                <w:szCs w:val="21"/>
                <w:lang w:val="lt-LT"/>
              </w:rPr>
              <w:t xml:space="preserve"> srityje pagrindinės rizikos yra šios: realių energijos sutaupymų rizika, statybos darbų rizika, energijos kainų kitimo rizika, bendros ekonominės situacijos rizika, valstybinės politikos tęstinumo rizika, juridinio asmens, kuris vartoja energiją ir iš sutaupymų apmoka investicijas, rizika, viešųjų pastatų reikalingumo rizika, ir kt. </w:t>
            </w:r>
          </w:p>
        </w:tc>
      </w:tr>
      <w:tr w:rsidR="00061B8B" w:rsidRPr="003878A7" w14:paraId="38AB3591" w14:textId="77777777" w:rsidTr="0031223D">
        <w:tc>
          <w:tcPr>
            <w:tcW w:w="2287" w:type="dxa"/>
          </w:tcPr>
          <w:p w14:paraId="39709439" w14:textId="77777777" w:rsidR="00061B8B" w:rsidRPr="003878A7" w:rsidRDefault="00061B8B" w:rsidP="00061B8B">
            <w:pPr>
              <w:spacing w:before="0" w:after="0"/>
              <w:ind w:firstLine="0"/>
              <w:rPr>
                <w:rFonts w:eastAsia="Georgia" w:cs="Times New Roman"/>
                <w:iCs/>
                <w:sz w:val="21"/>
                <w:szCs w:val="21"/>
                <w:lang w:val="lt-LT"/>
              </w:rPr>
            </w:pPr>
            <w:r w:rsidRPr="003878A7">
              <w:rPr>
                <w:rFonts w:eastAsia="Georgia" w:cs="Times New Roman"/>
                <w:iCs/>
                <w:sz w:val="21"/>
                <w:szCs w:val="21"/>
                <w:lang w:val="lt-LT"/>
              </w:rPr>
              <w:t>Vartotojų elgsenos ypatumai</w:t>
            </w:r>
          </w:p>
        </w:tc>
        <w:tc>
          <w:tcPr>
            <w:tcW w:w="6893" w:type="dxa"/>
          </w:tcPr>
          <w:p w14:paraId="3DD53DA8" w14:textId="293EEC48" w:rsidR="00061B8B" w:rsidRPr="003878A7" w:rsidRDefault="00061B8B" w:rsidP="00061B8B">
            <w:pPr>
              <w:spacing w:before="0" w:after="0"/>
              <w:ind w:firstLine="0"/>
              <w:rPr>
                <w:rFonts w:eastAsia="Georgia" w:cs="Times New Roman"/>
                <w:sz w:val="21"/>
                <w:szCs w:val="21"/>
                <w:lang w:val="lt-LT"/>
              </w:rPr>
            </w:pPr>
            <w:r w:rsidRPr="003878A7">
              <w:rPr>
                <w:rFonts w:eastAsia="Georgia" w:cs="Times New Roman"/>
                <w:sz w:val="21"/>
                <w:szCs w:val="21"/>
                <w:lang w:val="lt-LT"/>
              </w:rPr>
              <w:t xml:space="preserve">Neracionalus vartotojų elgesys </w:t>
            </w:r>
            <w:r w:rsidR="00CF06EF" w:rsidRPr="003878A7">
              <w:rPr>
                <w:rFonts w:eastAsia="Georgia" w:cs="Times New Roman"/>
                <w:sz w:val="21"/>
                <w:szCs w:val="21"/>
                <w:lang w:val="lt-LT"/>
              </w:rPr>
              <w:t>EE</w:t>
            </w:r>
            <w:r w:rsidRPr="003878A7">
              <w:rPr>
                <w:rFonts w:eastAsia="Georgia" w:cs="Times New Roman"/>
                <w:sz w:val="21"/>
                <w:szCs w:val="21"/>
                <w:lang w:val="lt-LT"/>
              </w:rPr>
              <w:t xml:space="preserve"> srityje vis dar labai smarkiai paplitęs, o bendras visuomenės suvokimas energijos taupymo ir </w:t>
            </w:r>
            <w:r w:rsidR="00CF06EF" w:rsidRPr="003878A7">
              <w:rPr>
                <w:rFonts w:eastAsia="Georgia" w:cs="Times New Roman"/>
                <w:sz w:val="21"/>
                <w:szCs w:val="21"/>
                <w:lang w:val="lt-LT"/>
              </w:rPr>
              <w:t>EE</w:t>
            </w:r>
            <w:r w:rsidRPr="003878A7">
              <w:rPr>
                <w:rFonts w:eastAsia="Georgia" w:cs="Times New Roman"/>
                <w:sz w:val="21"/>
                <w:szCs w:val="21"/>
                <w:lang w:val="lt-LT"/>
              </w:rPr>
              <w:t xml:space="preserve"> svarbos klausimu dar nėra susiformavęs. Taip pat žemo finansinio išprusimo energijos vartotojai dažnai neteisingai įvertina suvartotiną energiją bei investicijų atsipirkimo laikotarpį ir toliau yra labiau linkę vengti investicijų ir toliau mokėti daugiau už suvartotą energiją. Nuo 2013 metų pradžios, kuomet </w:t>
            </w:r>
            <w:r w:rsidR="00CF06EF" w:rsidRPr="003878A7">
              <w:rPr>
                <w:rFonts w:eastAsia="Georgia" w:cs="Times New Roman"/>
                <w:sz w:val="21"/>
                <w:szCs w:val="21"/>
                <w:lang w:val="lt-LT"/>
              </w:rPr>
              <w:t>AM</w:t>
            </w:r>
            <w:r w:rsidRPr="003878A7">
              <w:rPr>
                <w:rFonts w:eastAsia="Georgia" w:cs="Times New Roman"/>
                <w:sz w:val="21"/>
                <w:szCs w:val="21"/>
                <w:lang w:val="lt-LT"/>
              </w:rPr>
              <w:t xml:space="preserve"> ėmėsi radikalių skatinimo priemonių daugiabučių renovacijai, daugiabučių namų gyventojų požiūris ėmė keistis; tačiau vis dėlto nėra nustatyta, ar vartotojų požiūris į </w:t>
            </w:r>
            <w:r w:rsidR="00CF06EF" w:rsidRPr="003878A7">
              <w:rPr>
                <w:rFonts w:eastAsia="Georgia" w:cs="Times New Roman"/>
                <w:sz w:val="21"/>
                <w:szCs w:val="21"/>
                <w:lang w:val="lt-LT"/>
              </w:rPr>
              <w:t>EE</w:t>
            </w:r>
            <w:r w:rsidRPr="003878A7">
              <w:rPr>
                <w:rFonts w:eastAsia="Georgia" w:cs="Times New Roman"/>
                <w:sz w:val="21"/>
                <w:szCs w:val="21"/>
                <w:lang w:val="lt-LT"/>
              </w:rPr>
              <w:t xml:space="preserve"> investicijas iš tiesų ėmė keistis, ar vartotojai suskubo pasinaudoti </w:t>
            </w:r>
            <w:r w:rsidR="00CF06EF" w:rsidRPr="003878A7">
              <w:rPr>
                <w:rFonts w:eastAsia="Georgia" w:cs="Times New Roman"/>
                <w:sz w:val="21"/>
                <w:szCs w:val="21"/>
                <w:lang w:val="lt-LT"/>
              </w:rPr>
              <w:t>AM</w:t>
            </w:r>
            <w:r w:rsidRPr="003878A7">
              <w:rPr>
                <w:rFonts w:eastAsia="Georgia" w:cs="Times New Roman"/>
                <w:sz w:val="21"/>
                <w:szCs w:val="21"/>
                <w:lang w:val="lt-LT"/>
              </w:rPr>
              <w:t xml:space="preserve"> įvestomis subsidijomis už pasiektus rezultatus, kuri bendrai siekė net iki 40 proc.</w:t>
            </w:r>
          </w:p>
        </w:tc>
      </w:tr>
      <w:tr w:rsidR="00061B8B" w:rsidRPr="003878A7" w14:paraId="0F790CCE" w14:textId="77777777" w:rsidTr="0031223D">
        <w:tc>
          <w:tcPr>
            <w:tcW w:w="2287" w:type="dxa"/>
          </w:tcPr>
          <w:p w14:paraId="1B32C5DB" w14:textId="77777777" w:rsidR="00061B8B" w:rsidRPr="003878A7" w:rsidRDefault="00061B8B" w:rsidP="00061B8B">
            <w:pPr>
              <w:spacing w:before="0" w:after="0"/>
              <w:ind w:firstLine="0"/>
              <w:rPr>
                <w:rFonts w:eastAsia="Georgia" w:cs="Times New Roman"/>
                <w:iCs/>
                <w:sz w:val="21"/>
                <w:szCs w:val="21"/>
                <w:lang w:val="lt-LT"/>
              </w:rPr>
            </w:pPr>
            <w:r w:rsidRPr="003878A7">
              <w:rPr>
                <w:rFonts w:eastAsia="Georgia" w:cs="Times New Roman"/>
                <w:iCs/>
                <w:sz w:val="21"/>
                <w:szCs w:val="21"/>
                <w:lang w:val="lt-LT"/>
              </w:rPr>
              <w:t>Projektų atsiperkamumo laikotarpis</w:t>
            </w:r>
          </w:p>
        </w:tc>
        <w:tc>
          <w:tcPr>
            <w:tcW w:w="6893" w:type="dxa"/>
          </w:tcPr>
          <w:p w14:paraId="1260325E" w14:textId="6DFB592D" w:rsidR="00061B8B" w:rsidRPr="003878A7" w:rsidRDefault="00061B8B" w:rsidP="00061B8B">
            <w:pPr>
              <w:spacing w:before="0" w:after="0"/>
              <w:ind w:firstLine="0"/>
              <w:rPr>
                <w:rFonts w:eastAsia="Georgia" w:cs="Times New Roman"/>
                <w:sz w:val="21"/>
                <w:szCs w:val="21"/>
                <w:lang w:val="lt-LT"/>
              </w:rPr>
            </w:pPr>
            <w:r w:rsidRPr="003878A7">
              <w:rPr>
                <w:rFonts w:eastAsia="Georgia" w:cs="Times New Roman"/>
                <w:sz w:val="21"/>
                <w:szCs w:val="21"/>
                <w:lang w:val="lt-LT"/>
              </w:rPr>
              <w:t xml:space="preserve">Dažnu atveju tiek daugiabučiai, tiek viešieji pastatai yra ne pačios prasčiausios būklės, nes subjektai savais pajėgumais stengiasi įdiegti tam tikras </w:t>
            </w:r>
            <w:r w:rsidR="00CF06EF" w:rsidRPr="003878A7">
              <w:rPr>
                <w:rFonts w:eastAsia="Georgia" w:cs="Times New Roman"/>
                <w:sz w:val="21"/>
                <w:szCs w:val="21"/>
                <w:lang w:val="lt-LT"/>
              </w:rPr>
              <w:t>EE</w:t>
            </w:r>
            <w:r w:rsidRPr="003878A7">
              <w:rPr>
                <w:rFonts w:eastAsia="Georgia" w:cs="Times New Roman"/>
                <w:sz w:val="21"/>
                <w:szCs w:val="21"/>
                <w:lang w:val="lt-LT"/>
              </w:rPr>
              <w:t xml:space="preserve"> priemones, pavyzdžiui, keičia langus, duris. Atitinkamai planuojant kapitalinę pastato renovaciją ilgėja atsipirkimo laikas, kadangi langų pakeitimas, durų pakeitimas yra vienos iš efektyviausių </w:t>
            </w:r>
            <w:r w:rsidR="00CF06EF" w:rsidRPr="003878A7">
              <w:rPr>
                <w:rFonts w:eastAsia="Georgia" w:cs="Times New Roman"/>
                <w:sz w:val="21"/>
                <w:szCs w:val="21"/>
                <w:lang w:val="lt-LT"/>
              </w:rPr>
              <w:t>EE</w:t>
            </w:r>
            <w:r w:rsidRPr="003878A7">
              <w:rPr>
                <w:rFonts w:eastAsia="Georgia" w:cs="Times New Roman"/>
                <w:sz w:val="21"/>
                <w:szCs w:val="21"/>
                <w:lang w:val="lt-LT"/>
              </w:rPr>
              <w:t xml:space="preserve"> priemonių. Projekto atsipirkimo laikas dažniausiai viršija 10-15 metų. Atsižvelgiant į komercinių bankų apklausų metu surinktą informaciją, komerciniai bankai investicines paskolas </w:t>
            </w:r>
            <w:r w:rsidRPr="003878A7">
              <w:rPr>
                <w:rFonts w:eastAsia="Georgia" w:cs="Times New Roman"/>
                <w:sz w:val="21"/>
                <w:szCs w:val="21"/>
                <w:lang w:val="lt-LT"/>
              </w:rPr>
              <w:lastRenderedPageBreak/>
              <w:t xml:space="preserve">teikia ne ilgesniam nei 10 metų laikotarpiui. Paskolos trukmė yra trumpesnė nei projekto atsipirkimo laikas, todėl arba komerciniai bankai tokios paskolos neteiks, arba paskolą imantis subjektas turės rasti papildomų lėšų šaltinių paskolos aptarnavimui, kadangi energijos kaštų sutaupymų tam nepakaks. </w:t>
            </w:r>
          </w:p>
        </w:tc>
      </w:tr>
      <w:tr w:rsidR="00061B8B" w:rsidRPr="003878A7" w14:paraId="11F106C5" w14:textId="77777777" w:rsidTr="0031223D">
        <w:tc>
          <w:tcPr>
            <w:tcW w:w="2287" w:type="dxa"/>
          </w:tcPr>
          <w:p w14:paraId="31ECE758" w14:textId="77777777" w:rsidR="00061B8B" w:rsidRPr="003878A7" w:rsidRDefault="00061B8B" w:rsidP="00061B8B">
            <w:pPr>
              <w:spacing w:before="0" w:after="0"/>
              <w:ind w:firstLine="0"/>
              <w:rPr>
                <w:rFonts w:eastAsia="Georgia" w:cs="Times New Roman"/>
                <w:iCs/>
                <w:sz w:val="21"/>
                <w:szCs w:val="21"/>
                <w:lang w:val="lt-LT"/>
              </w:rPr>
            </w:pPr>
            <w:r w:rsidRPr="003878A7">
              <w:rPr>
                <w:rFonts w:eastAsia="Georgia" w:cs="Times New Roman"/>
                <w:iCs/>
                <w:sz w:val="21"/>
                <w:szCs w:val="21"/>
                <w:lang w:val="lt-LT"/>
              </w:rPr>
              <w:lastRenderedPageBreak/>
              <w:t>Žemas subjektų finansinis pajėgumas</w:t>
            </w:r>
          </w:p>
        </w:tc>
        <w:tc>
          <w:tcPr>
            <w:tcW w:w="6893" w:type="dxa"/>
          </w:tcPr>
          <w:p w14:paraId="42E841DB" w14:textId="5E98F713" w:rsidR="00061B8B" w:rsidRPr="003878A7" w:rsidRDefault="00061B8B" w:rsidP="00061B8B">
            <w:pPr>
              <w:spacing w:before="0" w:after="0"/>
              <w:ind w:firstLine="0"/>
              <w:rPr>
                <w:rFonts w:eastAsia="Georgia" w:cs="Times New Roman"/>
                <w:sz w:val="21"/>
                <w:szCs w:val="21"/>
                <w:lang w:val="lt-LT"/>
              </w:rPr>
            </w:pPr>
            <w:r w:rsidRPr="003878A7">
              <w:rPr>
                <w:rFonts w:eastAsia="Georgia" w:cs="Times New Roman"/>
                <w:sz w:val="21"/>
                <w:szCs w:val="21"/>
                <w:lang w:val="lt-LT"/>
              </w:rPr>
              <w:t xml:space="preserve">Šioje analizėje vertinamų </w:t>
            </w:r>
            <w:r w:rsidR="00CF06EF" w:rsidRPr="003878A7">
              <w:rPr>
                <w:rFonts w:eastAsia="Georgia" w:cs="Times New Roman"/>
                <w:sz w:val="21"/>
                <w:szCs w:val="21"/>
                <w:lang w:val="lt-LT"/>
              </w:rPr>
              <w:t>EE</w:t>
            </w:r>
            <w:r w:rsidRPr="003878A7">
              <w:rPr>
                <w:rFonts w:eastAsia="Georgia" w:cs="Times New Roman"/>
                <w:sz w:val="21"/>
                <w:szCs w:val="21"/>
                <w:lang w:val="lt-LT"/>
              </w:rPr>
              <w:t xml:space="preserve"> projektų vykdytojai – daugiabučių namų gyventojai ar bendrijos turi ribotas galimybes skolintis arba to daryti nenori. Pavyzdžiui, gyventojų nenoras skolintis buvo viena iš pagrindinių priežasčių, kodėl 2009 m. sukūrus JESSICA KF ir sudarius visas galimybes skolintis lengvatinėmis sąlygomis lūžis daugiabučių renovacijoje neįvyko. </w:t>
            </w:r>
          </w:p>
          <w:p w14:paraId="4036D0B2" w14:textId="2D4B8B1D" w:rsidR="00061B8B" w:rsidRPr="003878A7" w:rsidRDefault="00061B8B" w:rsidP="00061B8B">
            <w:pPr>
              <w:spacing w:before="0" w:after="0"/>
              <w:ind w:firstLine="0"/>
              <w:rPr>
                <w:rFonts w:eastAsia="Georgia" w:cs="Times New Roman"/>
                <w:sz w:val="21"/>
                <w:szCs w:val="21"/>
                <w:lang w:val="lt-LT"/>
              </w:rPr>
            </w:pPr>
            <w:r w:rsidRPr="003878A7">
              <w:rPr>
                <w:rFonts w:eastAsia="Georgia" w:cs="Times New Roman"/>
                <w:sz w:val="21"/>
                <w:szCs w:val="21"/>
                <w:lang w:val="lt-LT"/>
              </w:rPr>
              <w:t>Savivaldybėms įstatyminėje bazėje yra nustatyti skolinimosi limitai, todėl galimybės kreiptis paskolos labai priklauso nuo išnaudotų skolinimosi limitų. Dalies savivaldybių finansinė būklė labai prasta, todėl komerciniai bankai neskolina šioms savivaldybėms. Centrinė valdžia turi santykinai lengvesnį priėjimą prie vietinių ar išorinių finansavimo šaltinių, tačiau centrinės valdžios skolinimasis daro tiesioginę įtaką valstybės skolai ir valstybės biudžeto deficitui, o šie rodikliai turi atitikti ES nustatytus Mastrichto kriterijus, todėl reikalingas itin atsakingas centrinės valdžios skolinimasis bei finansų kontrolė.</w:t>
            </w:r>
          </w:p>
        </w:tc>
      </w:tr>
      <w:tr w:rsidR="00061B8B" w:rsidRPr="003878A7" w14:paraId="7EE4E986" w14:textId="77777777" w:rsidTr="0031223D">
        <w:tc>
          <w:tcPr>
            <w:tcW w:w="2287" w:type="dxa"/>
          </w:tcPr>
          <w:p w14:paraId="669D7FB1" w14:textId="77777777" w:rsidR="00061B8B" w:rsidRPr="003878A7" w:rsidRDefault="00061B8B" w:rsidP="00061B8B">
            <w:pPr>
              <w:spacing w:before="0" w:after="0"/>
              <w:ind w:firstLine="0"/>
              <w:rPr>
                <w:rFonts w:eastAsia="Georgia" w:cs="Times New Roman"/>
                <w:iCs/>
                <w:sz w:val="21"/>
                <w:szCs w:val="21"/>
                <w:lang w:val="lt-LT"/>
              </w:rPr>
            </w:pPr>
            <w:r w:rsidRPr="003878A7">
              <w:rPr>
                <w:rFonts w:eastAsia="Georgia" w:cs="Times New Roman"/>
                <w:iCs/>
                <w:sz w:val="21"/>
                <w:szCs w:val="21"/>
                <w:lang w:val="lt-LT"/>
              </w:rPr>
              <w:t>Užstato reikalavimas</w:t>
            </w:r>
          </w:p>
        </w:tc>
        <w:tc>
          <w:tcPr>
            <w:tcW w:w="6893" w:type="dxa"/>
          </w:tcPr>
          <w:p w14:paraId="6D30A989" w14:textId="4624B100" w:rsidR="00061B8B" w:rsidRPr="003878A7" w:rsidRDefault="00061B8B" w:rsidP="00061B8B">
            <w:pPr>
              <w:spacing w:before="0" w:after="0"/>
              <w:ind w:firstLine="0"/>
              <w:rPr>
                <w:rFonts w:eastAsia="Georgia" w:cs="Times New Roman"/>
                <w:sz w:val="21"/>
                <w:szCs w:val="21"/>
                <w:lang w:val="lt-LT"/>
              </w:rPr>
            </w:pPr>
            <w:r w:rsidRPr="003878A7">
              <w:rPr>
                <w:rFonts w:eastAsia="Georgia" w:cs="Times New Roman"/>
                <w:sz w:val="21"/>
                <w:szCs w:val="21"/>
                <w:lang w:val="lt-LT"/>
              </w:rPr>
              <w:t>Kliento kreditingumas yra pagrindinis aspektas, kurį vertina finansuotojai prieš suteikdami finansavimą, o projekto pinigų srautų vertinimas yra antraeilis. Taip yra todėl, kad tikslų pinigų srautų vertinimą atlikti prieš projekto įgyvendinimą yra sudėtinga. Kai skolinimas vykdomas turto pagrindu, o ne pinigų srautų pagrindu, galioja viena bendra taisyklė. Skolinant turto pagrindu bankas reikalauja užstato (kuris gali būti net iki 200% paskolos vertės). Tačiau viešųjų pastatų projektų atveju dėl teisinių ar kitų apribojimų nėra turto, kuris gali būti naudojama kaip užstatas. LR Valstybės ir savivaldybių turto valdymo, naudojimo ir disponavimo juo įstatyme nustatyta, kad savivaldybės negali įkeisti savo turto, todėl komerciniai bankai neturi galimybės teikiamą paskolą garantuoti nekilnojamuoju turtu.</w:t>
            </w:r>
          </w:p>
        </w:tc>
      </w:tr>
      <w:tr w:rsidR="00061B8B" w:rsidRPr="003878A7" w14:paraId="08DDFC1B" w14:textId="77777777" w:rsidTr="0031223D">
        <w:tc>
          <w:tcPr>
            <w:tcW w:w="2287" w:type="dxa"/>
          </w:tcPr>
          <w:p w14:paraId="2EDFA427" w14:textId="77777777" w:rsidR="00061B8B" w:rsidRPr="003878A7" w:rsidRDefault="00061B8B" w:rsidP="00061B8B">
            <w:pPr>
              <w:spacing w:before="0" w:after="0"/>
              <w:ind w:firstLine="0"/>
              <w:rPr>
                <w:rFonts w:eastAsia="Georgia" w:cs="Times New Roman"/>
                <w:iCs/>
                <w:sz w:val="21"/>
                <w:szCs w:val="21"/>
                <w:lang w:val="lt-LT"/>
              </w:rPr>
            </w:pPr>
            <w:r w:rsidRPr="003878A7">
              <w:rPr>
                <w:rFonts w:eastAsia="Georgia" w:cs="Times New Roman"/>
                <w:iCs/>
                <w:sz w:val="21"/>
                <w:szCs w:val="21"/>
                <w:lang w:val="lt-LT"/>
              </w:rPr>
              <w:t>Nepakankama viešųjų projektų vykdytojų motyvacija</w:t>
            </w:r>
          </w:p>
        </w:tc>
        <w:tc>
          <w:tcPr>
            <w:tcW w:w="6893" w:type="dxa"/>
          </w:tcPr>
          <w:p w14:paraId="7D9644E5" w14:textId="08A72232" w:rsidR="00061B8B" w:rsidRPr="003878A7" w:rsidRDefault="00061B8B" w:rsidP="00061B8B">
            <w:pPr>
              <w:spacing w:before="0" w:after="0"/>
              <w:ind w:firstLine="0"/>
              <w:rPr>
                <w:rFonts w:eastAsia="Georgia" w:cs="Times New Roman"/>
                <w:sz w:val="21"/>
                <w:szCs w:val="21"/>
                <w:lang w:val="lt-LT"/>
              </w:rPr>
            </w:pPr>
            <w:r w:rsidRPr="003878A7">
              <w:rPr>
                <w:rFonts w:eastAsia="Georgia" w:cs="Times New Roman"/>
                <w:sz w:val="21"/>
                <w:szCs w:val="21"/>
                <w:lang w:val="lt-LT"/>
              </w:rPr>
              <w:t>Dar viena rinkos problema yra susijusi su projektų vykdytojų – valstybės institucijų ir savivaldybių – motyvacijos stoka. Pagal galiojantį teisinį reglamentavimą, valstybės institucijos (biudžetinės įstaigos) ir savivaldybių viešųjų pastatų bei gatvių apšvietimo tinklų valdytojai neturi teisės laisvai disponuoti iš valstybės ar savivaldybės biudžeto skiriamais asignavimais, todėl net ir sutaupius tam tikrą kiekį lėšų, sutaupymo faktas nėra pajaučiamas. Tai veda prie motyvacijos taupyti energiją stokos, kadangi trūksta tiesioginio sutaupymų matymo. Biudžeto paskirstymo ir lėšų pervedimo tvarka aptariama prie reglamentavimo apribojimų žemiau.</w:t>
            </w:r>
          </w:p>
        </w:tc>
      </w:tr>
      <w:tr w:rsidR="00061B8B" w:rsidRPr="003878A7" w14:paraId="5646579A" w14:textId="77777777" w:rsidTr="0031223D">
        <w:tc>
          <w:tcPr>
            <w:tcW w:w="2287" w:type="dxa"/>
          </w:tcPr>
          <w:p w14:paraId="471D5579" w14:textId="77777777" w:rsidR="00061B8B" w:rsidRPr="003878A7" w:rsidRDefault="00061B8B" w:rsidP="00061B8B">
            <w:pPr>
              <w:spacing w:before="0" w:after="0"/>
              <w:ind w:firstLine="0"/>
              <w:rPr>
                <w:rFonts w:eastAsia="Georgia" w:cs="Times New Roman"/>
                <w:iCs/>
                <w:sz w:val="21"/>
                <w:szCs w:val="21"/>
                <w:lang w:val="lt-LT"/>
              </w:rPr>
            </w:pPr>
            <w:r w:rsidRPr="003878A7">
              <w:rPr>
                <w:rFonts w:eastAsia="Georgia" w:cs="Times New Roman"/>
                <w:iCs/>
                <w:sz w:val="21"/>
                <w:szCs w:val="21"/>
                <w:lang w:val="lt-LT"/>
              </w:rPr>
              <w:t>Augančios statybos darbų kainos</w:t>
            </w:r>
          </w:p>
        </w:tc>
        <w:tc>
          <w:tcPr>
            <w:tcW w:w="6893" w:type="dxa"/>
          </w:tcPr>
          <w:p w14:paraId="7A48CF51" w14:textId="0ED79FCD" w:rsidR="00061B8B" w:rsidRPr="003878A7" w:rsidRDefault="00061B8B" w:rsidP="00061B8B">
            <w:pPr>
              <w:spacing w:before="0" w:after="0"/>
              <w:ind w:firstLine="0"/>
              <w:rPr>
                <w:rFonts w:eastAsia="Georgia" w:cs="Times New Roman"/>
                <w:sz w:val="21"/>
                <w:szCs w:val="21"/>
                <w:lang w:val="lt-LT"/>
              </w:rPr>
            </w:pPr>
            <w:r w:rsidRPr="003878A7">
              <w:rPr>
                <w:rFonts w:eastAsia="Georgia" w:cs="Times New Roman"/>
                <w:sz w:val="21"/>
                <w:szCs w:val="21"/>
                <w:lang w:val="lt-LT"/>
              </w:rPr>
              <w:t xml:space="preserve">Augančios statybos darbų kainos daro įtaką </w:t>
            </w:r>
            <w:r w:rsidR="00CF06EF" w:rsidRPr="003878A7">
              <w:rPr>
                <w:rFonts w:eastAsia="Georgia" w:cs="Times New Roman"/>
                <w:sz w:val="21"/>
                <w:szCs w:val="21"/>
                <w:lang w:val="lt-LT"/>
              </w:rPr>
              <w:t>EE</w:t>
            </w:r>
            <w:r w:rsidRPr="003878A7">
              <w:rPr>
                <w:rFonts w:eastAsia="Georgia" w:cs="Times New Roman"/>
                <w:sz w:val="21"/>
                <w:szCs w:val="21"/>
                <w:lang w:val="lt-LT"/>
              </w:rPr>
              <w:t xml:space="preserve"> projektų planavimui ir įgyvendinimui, kadangi augančios statybos darbų kainos didina investicijas ir taip prailgina projektų atsiperkamumo laikotarpį. Remiantis Statistikos departamento naujausiais duomenimis, pastatų remonto kainų indeksas 2010-2017 m. laikotarpiu nuolat augo. 2017 m. rugsėjo mėn. indekso reikšmė siekė 129,25, tuo tarpu 2010 m. sausio mėn. – 98,23. Per šį laikotarpį pastatų remonto sąnaudų kainos pakilo 32 proc. arba 4 proc. kasmet. Atsižvelgiant į dabartinį Lietuvos makroekonominį klimatą ir infliaciją, tikėtina, jog ši tendencija išsilaikys. </w:t>
            </w:r>
          </w:p>
        </w:tc>
      </w:tr>
      <w:tr w:rsidR="00061B8B" w:rsidRPr="003878A7" w14:paraId="4CC7100D" w14:textId="77777777" w:rsidTr="0031223D">
        <w:tc>
          <w:tcPr>
            <w:tcW w:w="2287" w:type="dxa"/>
          </w:tcPr>
          <w:p w14:paraId="639B8E7A" w14:textId="77777777" w:rsidR="00061B8B" w:rsidRPr="003878A7" w:rsidRDefault="00061B8B" w:rsidP="00061B8B">
            <w:pPr>
              <w:spacing w:before="0" w:after="0"/>
              <w:ind w:firstLine="0"/>
              <w:rPr>
                <w:rFonts w:eastAsia="Georgia" w:cs="Times New Roman"/>
                <w:iCs/>
                <w:sz w:val="21"/>
                <w:szCs w:val="21"/>
                <w:lang w:val="lt-LT"/>
              </w:rPr>
            </w:pPr>
            <w:r w:rsidRPr="003878A7">
              <w:rPr>
                <w:rFonts w:eastAsia="Georgia" w:cs="Times New Roman"/>
                <w:iCs/>
                <w:sz w:val="21"/>
                <w:szCs w:val="21"/>
                <w:lang w:val="lt-LT"/>
              </w:rPr>
              <w:t>Darbo jėga statybų sektoriuje</w:t>
            </w:r>
          </w:p>
        </w:tc>
        <w:tc>
          <w:tcPr>
            <w:tcW w:w="6893" w:type="dxa"/>
          </w:tcPr>
          <w:p w14:paraId="16CDC762" w14:textId="011A2177" w:rsidR="00061B8B" w:rsidRPr="003878A7" w:rsidRDefault="00061B8B" w:rsidP="00061B8B">
            <w:pPr>
              <w:spacing w:before="0" w:after="0"/>
              <w:ind w:firstLine="0"/>
              <w:rPr>
                <w:rFonts w:eastAsia="Georgia" w:cs="Times New Roman"/>
                <w:sz w:val="21"/>
                <w:szCs w:val="21"/>
                <w:lang w:val="lt-LT"/>
              </w:rPr>
            </w:pPr>
            <w:r w:rsidRPr="003878A7">
              <w:rPr>
                <w:rFonts w:eastAsia="Georgia" w:cs="Times New Roman"/>
                <w:sz w:val="21"/>
                <w:szCs w:val="21"/>
                <w:lang w:val="lt-LT"/>
              </w:rPr>
              <w:t xml:space="preserve">Remiantis statistiniais duomenimis, per pastaruosius 3 metus nedarbas statybų sektoriuje gerokai sumažėjo ir beveik pasiekė prieš krizę buvusį lygį. Tai lėmė emigracija, darbuotojų persikvalifikavimas ir atsigaunančios statybų įmonės. Dėl paspartėjusio gyvenamųjų namų renovavimo ir statybų sektoriuje prasidėjusio atsigavimo darbuotojų pasiūla ir paklausa po truputį didėja. </w:t>
            </w:r>
          </w:p>
          <w:p w14:paraId="53B7C9D7" w14:textId="6282893A" w:rsidR="00061B8B" w:rsidRPr="003878A7" w:rsidRDefault="00061B8B" w:rsidP="00061B8B">
            <w:pPr>
              <w:spacing w:before="0" w:after="0"/>
              <w:ind w:firstLine="0"/>
              <w:rPr>
                <w:rFonts w:eastAsia="Georgia" w:cs="Times New Roman"/>
                <w:sz w:val="21"/>
                <w:szCs w:val="21"/>
                <w:lang w:val="lt-LT"/>
              </w:rPr>
            </w:pPr>
            <w:r w:rsidRPr="003878A7">
              <w:rPr>
                <w:rFonts w:eastAsia="Georgia" w:cs="Times New Roman"/>
                <w:sz w:val="21"/>
                <w:szCs w:val="21"/>
                <w:lang w:val="lt-LT"/>
              </w:rPr>
              <w:t xml:space="preserve">Augant pastatų renovavimo paklausai, sumažėjęs statybininkų skaičius gali tapti nemaža problema. Toks kvalifikuotos darbo jėgos trūkumas gali lemti mažesnę renovavimo kokybę, nesugebėjimą įgyvendinti projektų laiku, išaugusius darbo užmokesčio kaštus ir bendras projekto sąnaudas. Buvo konstatuota, kad tai gali pareikalauti papildomo laiko statybos įmonėms prisitaikyti prie padidėjusios paklausos pastatų renovacijos sektoriuje. Be to, </w:t>
            </w:r>
            <w:r w:rsidRPr="003878A7">
              <w:rPr>
                <w:rFonts w:eastAsia="Georgia" w:cs="Times New Roman"/>
                <w:sz w:val="21"/>
                <w:szCs w:val="21"/>
                <w:lang w:val="lt-LT"/>
              </w:rPr>
              <w:lastRenderedPageBreak/>
              <w:t xml:space="preserve">tikėtinas statybos darbų kainų padidėjimas esant išaugusiai paklausai. </w:t>
            </w:r>
          </w:p>
        </w:tc>
      </w:tr>
      <w:tr w:rsidR="00061B8B" w:rsidRPr="003878A7" w14:paraId="45FE0239" w14:textId="77777777" w:rsidTr="0031223D">
        <w:tc>
          <w:tcPr>
            <w:tcW w:w="2287" w:type="dxa"/>
          </w:tcPr>
          <w:p w14:paraId="0BBF9F7D" w14:textId="77777777" w:rsidR="00061B8B" w:rsidRPr="003878A7" w:rsidRDefault="00061B8B" w:rsidP="00061B8B">
            <w:pPr>
              <w:spacing w:before="0" w:after="0"/>
              <w:ind w:firstLine="0"/>
              <w:rPr>
                <w:rFonts w:eastAsia="Georgia" w:cs="Times New Roman"/>
                <w:iCs/>
                <w:sz w:val="21"/>
                <w:szCs w:val="21"/>
                <w:lang w:val="lt-LT"/>
              </w:rPr>
            </w:pPr>
            <w:r w:rsidRPr="003878A7">
              <w:rPr>
                <w:rFonts w:eastAsia="Georgia" w:cs="Times New Roman"/>
                <w:iCs/>
                <w:sz w:val="21"/>
                <w:szCs w:val="21"/>
                <w:lang w:val="lt-LT"/>
              </w:rPr>
              <w:lastRenderedPageBreak/>
              <w:t>Reikalavimai savivaldybių įmonių pajėgumams</w:t>
            </w:r>
          </w:p>
        </w:tc>
        <w:tc>
          <w:tcPr>
            <w:tcW w:w="6893" w:type="dxa"/>
          </w:tcPr>
          <w:p w14:paraId="51562CF1" w14:textId="77777777" w:rsidR="00061B8B" w:rsidRPr="003878A7" w:rsidRDefault="00061B8B" w:rsidP="00061B8B">
            <w:pPr>
              <w:spacing w:before="0" w:after="0"/>
              <w:ind w:firstLine="0"/>
              <w:rPr>
                <w:rFonts w:eastAsia="Georgia" w:cs="Times New Roman"/>
                <w:sz w:val="21"/>
                <w:szCs w:val="21"/>
                <w:lang w:val="lt-LT"/>
              </w:rPr>
            </w:pPr>
            <w:r w:rsidRPr="003878A7">
              <w:rPr>
                <w:rFonts w:eastAsia="Georgia" w:cs="Times New Roman"/>
                <w:sz w:val="21"/>
                <w:szCs w:val="21"/>
                <w:lang w:val="lt-LT"/>
              </w:rPr>
              <w:t xml:space="preserve">Daugiabučių namų renovacijos finansavimo modelis, paskolas teikiant daugiabučių namų savininkų naudai, iškėlė naują klausimą - ar savivaldybių įmonės turi būtinus gebėjimus įgyvendinti ir administruoti renovacijos projektus viso miesto mastu. Savivaldybių įmonės tampa atsakingos už visą renovacijos ciklą - renovacijos projektų rengimas, viešieji pirkimai, sutartis su rangovu, sutartis dėl renovacijos paskolų, butų savininkų mokėjimų administravimas, ir t.t. </w:t>
            </w:r>
          </w:p>
          <w:p w14:paraId="0E8C0253" w14:textId="44D75C59" w:rsidR="00061B8B" w:rsidRPr="003878A7" w:rsidRDefault="00061B8B" w:rsidP="00061B8B">
            <w:pPr>
              <w:spacing w:before="0" w:after="0"/>
              <w:ind w:firstLine="0"/>
              <w:rPr>
                <w:rFonts w:eastAsia="Georgia" w:cs="Times New Roman"/>
                <w:sz w:val="21"/>
                <w:szCs w:val="21"/>
                <w:lang w:val="lt-LT"/>
              </w:rPr>
            </w:pPr>
            <w:r w:rsidRPr="003878A7">
              <w:rPr>
                <w:rFonts w:eastAsia="Georgia" w:cs="Times New Roman"/>
                <w:sz w:val="21"/>
                <w:szCs w:val="21"/>
                <w:lang w:val="lt-LT"/>
              </w:rPr>
              <w:t xml:space="preserve">Pasirinktos savivaldybių įmonės pagrinde yra kelių tipų - specialiai įsteigtos arba paskirtos viešosios įstaigos (apie 31,6%), šiuo metu veikiantys administratoriai (apie 58%), centrinio šildymo įmonės (apie 5,2%) ir vandens tiekimo įmonės (apie 5,2%). </w:t>
            </w:r>
          </w:p>
          <w:p w14:paraId="7630B789" w14:textId="14FEA551" w:rsidR="00061B8B" w:rsidRPr="003878A7" w:rsidRDefault="00061B8B" w:rsidP="00061B8B">
            <w:pPr>
              <w:spacing w:before="0" w:after="0"/>
              <w:ind w:firstLine="0"/>
              <w:rPr>
                <w:rFonts w:eastAsia="Georgia" w:cs="Times New Roman"/>
                <w:sz w:val="21"/>
                <w:szCs w:val="21"/>
                <w:lang w:val="lt-LT"/>
              </w:rPr>
            </w:pPr>
            <w:r w:rsidRPr="003878A7">
              <w:rPr>
                <w:rFonts w:eastAsia="Georgia" w:cs="Times New Roman"/>
                <w:sz w:val="21"/>
                <w:szCs w:val="21"/>
                <w:lang w:val="lt-LT"/>
              </w:rPr>
              <w:t>Šiuo metu BETA vykdo specialius mokymus savivaldybių įmonėms apie naujausius teisinio reglamentavimo pakeitimus, finansų valdymą, viešuosius pirkimus ir kt. BETA taip pat parengė programinę įrangą, kuri bus prieinama savivaldybių įmonėms ir palengvins butų savininkų mokėjimų ir gautos valstybės paramos administravimą. Be to, BETA šiuo metu stiprina savo padalinius, esančių regionuose, siekiant užtikrinti, kad techninė pagalba būtų labiau prieinama visose savivaldybėse.</w:t>
            </w:r>
          </w:p>
        </w:tc>
      </w:tr>
      <w:tr w:rsidR="00061B8B" w:rsidRPr="003878A7" w14:paraId="2E6FD981" w14:textId="77777777" w:rsidTr="0031223D">
        <w:tc>
          <w:tcPr>
            <w:tcW w:w="2287" w:type="dxa"/>
          </w:tcPr>
          <w:p w14:paraId="3CA81D7F" w14:textId="77777777" w:rsidR="00061B8B" w:rsidRPr="003878A7" w:rsidRDefault="00061B8B" w:rsidP="00061B8B">
            <w:pPr>
              <w:spacing w:before="0" w:after="0"/>
              <w:ind w:firstLine="0"/>
              <w:rPr>
                <w:rFonts w:eastAsia="Georgia" w:cs="Times New Roman"/>
                <w:iCs/>
                <w:sz w:val="21"/>
                <w:szCs w:val="21"/>
                <w:lang w:val="lt-LT"/>
              </w:rPr>
            </w:pPr>
            <w:r w:rsidRPr="003878A7">
              <w:rPr>
                <w:rFonts w:eastAsia="Georgia" w:cs="Times New Roman"/>
                <w:iCs/>
                <w:sz w:val="21"/>
                <w:szCs w:val="21"/>
                <w:lang w:val="lt-LT"/>
              </w:rPr>
              <w:t xml:space="preserve">Renovacijos kokybės kontrolė </w:t>
            </w:r>
          </w:p>
        </w:tc>
        <w:tc>
          <w:tcPr>
            <w:tcW w:w="6893" w:type="dxa"/>
          </w:tcPr>
          <w:p w14:paraId="18807458" w14:textId="77777777" w:rsidR="00061B8B" w:rsidRPr="003878A7" w:rsidRDefault="00061B8B" w:rsidP="00061B8B">
            <w:pPr>
              <w:spacing w:before="0" w:after="0"/>
              <w:ind w:firstLine="0"/>
              <w:rPr>
                <w:rFonts w:eastAsia="Georgia" w:cs="Times New Roman"/>
                <w:sz w:val="21"/>
                <w:szCs w:val="21"/>
                <w:lang w:val="lt-LT"/>
              </w:rPr>
            </w:pPr>
            <w:r w:rsidRPr="003878A7">
              <w:rPr>
                <w:rFonts w:eastAsia="Georgia" w:cs="Times New Roman"/>
                <w:sz w:val="21"/>
                <w:szCs w:val="21"/>
                <w:lang w:val="lt-LT"/>
              </w:rPr>
              <w:t>Vienas iš svarbiausių rūpesčių butų savininkams yra renovacijos darbų kokybė. Remiantis studija</w:t>
            </w:r>
            <w:r w:rsidRPr="003878A7">
              <w:rPr>
                <w:rFonts w:eastAsia="Georgia" w:cs="Times New Roman"/>
                <w:color w:val="000000"/>
                <w:sz w:val="21"/>
                <w:szCs w:val="21"/>
                <w:vertAlign w:val="superscript"/>
                <w:lang w:val="lt-LT"/>
              </w:rPr>
              <w:footnoteReference w:id="15"/>
            </w:r>
            <w:r w:rsidRPr="003878A7">
              <w:rPr>
                <w:rFonts w:eastAsia="Georgia" w:cs="Times New Roman"/>
                <w:sz w:val="21"/>
                <w:szCs w:val="21"/>
                <w:lang w:val="lt-LT"/>
              </w:rPr>
              <w:t>, kurią užsakė Lietuvos šilumos tiekėjų asociacija, rizika, kad renovacijos darbai gali būti atliekami netinkamai, buvo nustatyta kaip aukšta.</w:t>
            </w:r>
          </w:p>
          <w:p w14:paraId="6C8AD17E" w14:textId="192E25A4" w:rsidR="00061B8B" w:rsidRPr="003878A7" w:rsidRDefault="00061B8B" w:rsidP="00061B8B">
            <w:pPr>
              <w:spacing w:before="0" w:after="0"/>
              <w:ind w:firstLine="0"/>
              <w:rPr>
                <w:rFonts w:eastAsia="Georgia" w:cs="Times New Roman"/>
                <w:sz w:val="21"/>
                <w:szCs w:val="21"/>
                <w:lang w:val="lt-LT"/>
              </w:rPr>
            </w:pPr>
            <w:r w:rsidRPr="003878A7">
              <w:rPr>
                <w:rFonts w:eastAsia="Georgia" w:cs="Times New Roman"/>
                <w:sz w:val="21"/>
                <w:szCs w:val="21"/>
                <w:lang w:val="lt-LT"/>
              </w:rPr>
              <w:t xml:space="preserve">Valstybinė teritorijų planavimo ir statybos inspekcija paskelbė, kad renovacijos darbų kontrolė bus atliekama per netikėtus apsilankymus renovuojamuose objektuose. Siekiant užtikrinti kuo geresnę darbų kokybę, kiekvienas renovuojamas namas turi turėti techninį prižiūrėtoją, kuriems renovacijos procese tenka didelė atsakomybė, todėl ir dėmesys jų veiklai ypatingas. Pastarojo veiklą tikrina ne tik renovuojamo namo gyventojai, bet ir Valstybinė teritorijų planavimo ir statybos inspekcija (VTPSI) prie </w:t>
            </w:r>
            <w:r w:rsidR="00CF06EF" w:rsidRPr="003878A7">
              <w:rPr>
                <w:rFonts w:eastAsia="Georgia" w:cs="Times New Roman"/>
                <w:sz w:val="21"/>
                <w:szCs w:val="21"/>
                <w:lang w:val="lt-LT"/>
              </w:rPr>
              <w:t>AM</w:t>
            </w:r>
            <w:r w:rsidRPr="003878A7">
              <w:rPr>
                <w:rFonts w:eastAsia="Georgia" w:cs="Times New Roman"/>
                <w:sz w:val="21"/>
                <w:szCs w:val="21"/>
                <w:lang w:val="lt-LT"/>
              </w:rPr>
              <w:t xml:space="preserve"> ir BETA.</w:t>
            </w:r>
          </w:p>
          <w:p w14:paraId="54FF63FF" w14:textId="1A66BC54" w:rsidR="00061B8B" w:rsidRPr="003878A7" w:rsidRDefault="00061B8B" w:rsidP="00061B8B">
            <w:pPr>
              <w:spacing w:before="0" w:after="0"/>
              <w:ind w:firstLine="0"/>
              <w:rPr>
                <w:rFonts w:eastAsia="Georgia" w:cs="Times New Roman"/>
                <w:sz w:val="21"/>
                <w:szCs w:val="21"/>
                <w:lang w:val="lt-LT"/>
              </w:rPr>
            </w:pPr>
            <w:r w:rsidRPr="003878A7">
              <w:rPr>
                <w:rFonts w:eastAsia="Georgia" w:cs="Times New Roman"/>
                <w:sz w:val="21"/>
                <w:szCs w:val="21"/>
                <w:lang w:val="lt-LT"/>
              </w:rPr>
              <w:t>Vykdant renovaciją statybos techninės priežiūros tikslas – ne tik patikrinti, kaip laikomasi bendrų teisės aktų nuostatų, bet ir įvertinti, ar tinkamai įgyvendinami konkretaus pastato detalizuoti projekto sprendiniai, kaip taikomi normatyvinių statybos techninių dokumentų reikalavimai, kaip vykdomos statybos produktų gamintojo rekomendacijos.</w:t>
            </w:r>
          </w:p>
          <w:p w14:paraId="3A92D7DC" w14:textId="72539B62" w:rsidR="00061B8B" w:rsidRPr="003878A7" w:rsidRDefault="00061B8B" w:rsidP="00061B8B">
            <w:pPr>
              <w:spacing w:before="0" w:after="0"/>
              <w:ind w:firstLine="0"/>
              <w:rPr>
                <w:rFonts w:eastAsia="Georgia" w:cs="Times New Roman"/>
                <w:sz w:val="21"/>
                <w:szCs w:val="21"/>
                <w:lang w:val="lt-LT"/>
              </w:rPr>
            </w:pPr>
            <w:r w:rsidRPr="003878A7">
              <w:rPr>
                <w:rFonts w:eastAsia="Georgia" w:cs="Times New Roman"/>
                <w:sz w:val="21"/>
                <w:szCs w:val="21"/>
                <w:lang w:val="lt-LT"/>
              </w:rPr>
              <w:t>Siekiant, kad kontrolė būtų efektyvi, atvykę į statybvietę tikrintojai turi rasti visus reikalingus dokumentus ir darbų priežiūrą vykdančius statybos dalyvius. Dėl to techniniams prižiūrėtojams nustatyta prievolė, atsižvelgiant į numatomus vykdyti darbus, parengti, suderinti su užsakovu ir pateikti VTPSI ir BETA pastatų tikrinimo grafikus. Grafikas turi būti sudaromas ne trumpesniam kaip savaitės laikotarpiui nurodant tikslų laiką, kada techniniai prižiūrėtojai planuoja tikrinti renovuojamus namus ir atliekamus darbus.</w:t>
            </w:r>
          </w:p>
        </w:tc>
      </w:tr>
      <w:tr w:rsidR="00061B8B" w:rsidRPr="003878A7" w14:paraId="51B02D8E" w14:textId="77777777" w:rsidTr="0031223D">
        <w:tc>
          <w:tcPr>
            <w:tcW w:w="2287" w:type="dxa"/>
          </w:tcPr>
          <w:p w14:paraId="13F807C0" w14:textId="77777777" w:rsidR="00061B8B" w:rsidRPr="003878A7" w:rsidRDefault="00061B8B" w:rsidP="00061B8B">
            <w:pPr>
              <w:spacing w:before="0" w:after="0"/>
              <w:ind w:firstLine="0"/>
              <w:rPr>
                <w:rFonts w:eastAsia="Georgia" w:cs="Times New Roman"/>
                <w:iCs/>
                <w:sz w:val="21"/>
                <w:szCs w:val="21"/>
                <w:lang w:val="lt-LT"/>
              </w:rPr>
            </w:pPr>
            <w:r w:rsidRPr="003878A7">
              <w:rPr>
                <w:rFonts w:eastAsia="Georgia" w:cs="Times New Roman"/>
                <w:iCs/>
                <w:sz w:val="21"/>
                <w:szCs w:val="21"/>
                <w:lang w:val="lt-LT"/>
              </w:rPr>
              <w:t>Poveikis centrinio šildymo sistemoms</w:t>
            </w:r>
          </w:p>
        </w:tc>
        <w:tc>
          <w:tcPr>
            <w:tcW w:w="6893" w:type="dxa"/>
          </w:tcPr>
          <w:p w14:paraId="2871AF4D" w14:textId="0C7CF9A3" w:rsidR="00061B8B" w:rsidRPr="003878A7" w:rsidRDefault="00061B8B" w:rsidP="00061B8B">
            <w:pPr>
              <w:spacing w:before="0" w:after="0"/>
              <w:ind w:firstLine="0"/>
              <w:rPr>
                <w:rFonts w:eastAsia="Georgia" w:cs="Times New Roman"/>
                <w:sz w:val="21"/>
                <w:szCs w:val="21"/>
                <w:lang w:val="lt-LT"/>
              </w:rPr>
            </w:pPr>
            <w:r w:rsidRPr="003878A7">
              <w:rPr>
                <w:rFonts w:eastAsia="Georgia" w:cs="Times New Roman"/>
                <w:sz w:val="21"/>
                <w:szCs w:val="21"/>
                <w:lang w:val="lt-LT"/>
              </w:rPr>
              <w:t xml:space="preserve">Plačios apimties renovacijos miestuose gali turėti poveikį centrinės šildymo gamybos ir tiekimo sistemoms dėl sparčiai sumažėjusio šilumos energijos suvartojimo. Nacionalinėje energetinės nepriklausomybės strategijoje yra nustatyta, kad dėl daugiabučių namų renovacijos iki 2020 metų šilumos suvartojimas sumažės apie 30-40%. </w:t>
            </w:r>
          </w:p>
          <w:p w14:paraId="4DBA2E94" w14:textId="54D3E7E7" w:rsidR="00061B8B" w:rsidRPr="003878A7" w:rsidRDefault="00061B8B" w:rsidP="00061B8B">
            <w:pPr>
              <w:spacing w:before="0" w:after="0"/>
              <w:ind w:firstLine="0"/>
              <w:rPr>
                <w:rFonts w:eastAsia="Georgia" w:cs="Times New Roman"/>
                <w:sz w:val="21"/>
                <w:szCs w:val="21"/>
                <w:lang w:val="lt-LT"/>
              </w:rPr>
            </w:pPr>
            <w:r w:rsidRPr="003878A7">
              <w:rPr>
                <w:rFonts w:eastAsia="Georgia" w:cs="Times New Roman"/>
                <w:sz w:val="21"/>
                <w:szCs w:val="21"/>
                <w:lang w:val="lt-LT"/>
              </w:rPr>
              <w:t>Remiantis Lietuvos šilumos tiekėjų asociacijos nuomone, nors dėl daugiabučių namų renovacijos šilumos energijos suvartojimas turėtų sumažėti, šildymo kainos neturėtų žymiai išaugti, nes kiekvienais metais auga naujų šilumos vartotojų skaičius. Panaši pozicija taip pat buvo palaikoma ir Lietuvos energetikos konsultantų asociacijos.</w:t>
            </w:r>
          </w:p>
          <w:p w14:paraId="74F22D29" w14:textId="12C56ACB" w:rsidR="00061B8B" w:rsidRPr="003878A7" w:rsidRDefault="00061B8B" w:rsidP="00061B8B">
            <w:pPr>
              <w:spacing w:before="0" w:after="0"/>
              <w:ind w:firstLine="0"/>
              <w:rPr>
                <w:rFonts w:eastAsia="Georgia" w:cs="Times New Roman"/>
                <w:sz w:val="21"/>
                <w:szCs w:val="21"/>
                <w:lang w:val="lt-LT"/>
              </w:rPr>
            </w:pPr>
            <w:r w:rsidRPr="003878A7">
              <w:rPr>
                <w:rFonts w:eastAsia="Georgia" w:cs="Times New Roman"/>
                <w:sz w:val="21"/>
                <w:szCs w:val="21"/>
                <w:lang w:val="lt-LT"/>
              </w:rPr>
              <w:t xml:space="preserve">Nepaisant to, didelės apimties renovacija miestuose turėtų būti diskutuojama ir derinama su šilumos tiekimo įmonėmis, kad jos galėtų planuoti reikiamas </w:t>
            </w:r>
            <w:r w:rsidRPr="003878A7">
              <w:rPr>
                <w:rFonts w:eastAsia="Georgia" w:cs="Times New Roman"/>
                <w:sz w:val="21"/>
                <w:szCs w:val="21"/>
                <w:lang w:val="lt-LT"/>
              </w:rPr>
              <w:lastRenderedPageBreak/>
              <w:t>investicijas į infrastruktūrą.</w:t>
            </w:r>
          </w:p>
          <w:p w14:paraId="795451A7" w14:textId="3A9EA7AB" w:rsidR="00061B8B" w:rsidRPr="003878A7" w:rsidRDefault="00061B8B" w:rsidP="00061B8B">
            <w:pPr>
              <w:spacing w:before="0" w:after="0"/>
              <w:ind w:firstLine="0"/>
              <w:rPr>
                <w:rFonts w:eastAsia="Georgia" w:cs="Times New Roman"/>
                <w:sz w:val="21"/>
                <w:szCs w:val="21"/>
                <w:lang w:val="lt-LT"/>
              </w:rPr>
            </w:pPr>
            <w:r w:rsidRPr="003878A7">
              <w:rPr>
                <w:rFonts w:eastAsia="Georgia" w:cs="Times New Roman"/>
                <w:sz w:val="21"/>
                <w:szCs w:val="21"/>
                <w:lang w:val="lt-LT"/>
              </w:rPr>
              <w:t>BETA prognozuoja, kad šiuo metu planuojama plačios apimties renovacija neturėtų turėti didelės įtakos šilumos energijos suvartojimo sumažėjimui ir šis klausimas turėtų būti keliamas planuojant tolesnę renovaciją nuo 2018 metų. Buvo rekomenduota visose savivaldybėse apsvarstyti ir aptarti šiuos klausimus su vietos šilumos tiekėjais, siekiant palengvinti reikiamų koregavimų įdiegimą centrinėse šildymo sistemose.</w:t>
            </w:r>
          </w:p>
          <w:p w14:paraId="32CD6F00" w14:textId="77777777" w:rsidR="00061B8B" w:rsidRPr="003878A7" w:rsidRDefault="00061B8B" w:rsidP="00061B8B">
            <w:pPr>
              <w:keepNext/>
              <w:spacing w:before="0" w:after="0"/>
              <w:ind w:firstLine="0"/>
              <w:rPr>
                <w:rFonts w:eastAsia="Georgia" w:cs="Times New Roman"/>
                <w:iCs/>
                <w:sz w:val="21"/>
                <w:szCs w:val="21"/>
                <w:lang w:val="lt-LT"/>
              </w:rPr>
            </w:pPr>
            <w:r w:rsidRPr="003878A7">
              <w:rPr>
                <w:rFonts w:eastAsia="Georgia" w:cs="Times New Roman"/>
                <w:iCs/>
                <w:sz w:val="21"/>
                <w:szCs w:val="21"/>
                <w:lang w:val="lt-LT"/>
              </w:rPr>
              <w:t xml:space="preserve">Projekto vykdytojas gali nuspręsti pasikliauti „greitais ir pigiais“ sprendimais ignoruodamas pastato renovavimo poreikius </w:t>
            </w:r>
          </w:p>
          <w:p w14:paraId="363606D0" w14:textId="73930E41" w:rsidR="00061B8B" w:rsidRPr="003878A7" w:rsidRDefault="00061B8B" w:rsidP="00061B8B">
            <w:pPr>
              <w:spacing w:before="0" w:after="0"/>
              <w:ind w:firstLine="0"/>
              <w:rPr>
                <w:rFonts w:eastAsia="Georgia" w:cs="Times New Roman"/>
                <w:sz w:val="21"/>
                <w:szCs w:val="21"/>
                <w:lang w:val="lt-LT"/>
              </w:rPr>
            </w:pPr>
            <w:r w:rsidRPr="003878A7">
              <w:rPr>
                <w:rFonts w:eastAsia="Georgia" w:cs="Times New Roman"/>
                <w:sz w:val="21"/>
                <w:szCs w:val="21"/>
                <w:lang w:val="lt-LT"/>
              </w:rPr>
              <w:t>Atlikus visapusišką pastatų renovavimą ne tik sutaupoma daugiausia energijos, bet ir užtikrinamos komfortiškos sąlygos, pagerinama pastato išorinė būklė, padidinama pastato vertė. Todėl jei projekto vykdytojas renkasi visapusiškai nerenovuoti viešosios paskirties pastato ir pasikliauna „greitais ir pigiais“ sprendimais, gali būti nepasiektas tikėtinas rezultatas.</w:t>
            </w:r>
          </w:p>
        </w:tc>
      </w:tr>
      <w:tr w:rsidR="00061B8B" w:rsidRPr="003878A7" w14:paraId="793DF7E0" w14:textId="77777777" w:rsidTr="0031223D">
        <w:tc>
          <w:tcPr>
            <w:tcW w:w="2287" w:type="dxa"/>
          </w:tcPr>
          <w:p w14:paraId="6ED0922D" w14:textId="77777777" w:rsidR="00061B8B" w:rsidRPr="003878A7" w:rsidRDefault="00061B8B" w:rsidP="00061B8B">
            <w:pPr>
              <w:spacing w:before="0" w:after="0"/>
              <w:ind w:firstLine="0"/>
              <w:rPr>
                <w:rFonts w:eastAsia="Georgia" w:cs="Times New Roman"/>
                <w:iCs/>
                <w:sz w:val="21"/>
                <w:szCs w:val="21"/>
                <w:lang w:val="lt-LT"/>
              </w:rPr>
            </w:pPr>
            <w:r w:rsidRPr="003878A7">
              <w:rPr>
                <w:rFonts w:eastAsia="Georgia" w:cs="Times New Roman"/>
                <w:iCs/>
                <w:sz w:val="21"/>
                <w:szCs w:val="21"/>
                <w:lang w:val="lt-LT"/>
              </w:rPr>
              <w:lastRenderedPageBreak/>
              <w:t>Pastatų savininkų nepagrįsti lūkesčiai dėl šildymo energijos taupymo</w:t>
            </w:r>
          </w:p>
        </w:tc>
        <w:tc>
          <w:tcPr>
            <w:tcW w:w="6893" w:type="dxa"/>
          </w:tcPr>
          <w:p w14:paraId="476B44DF" w14:textId="6B96CA39" w:rsidR="00061B8B" w:rsidRPr="003878A7" w:rsidRDefault="00061B8B" w:rsidP="00061B8B">
            <w:pPr>
              <w:spacing w:before="0" w:after="0"/>
              <w:ind w:firstLine="0"/>
              <w:rPr>
                <w:rFonts w:eastAsia="Georgia" w:cs="Times New Roman"/>
                <w:sz w:val="21"/>
                <w:szCs w:val="21"/>
                <w:lang w:val="lt-LT"/>
              </w:rPr>
            </w:pPr>
            <w:r w:rsidRPr="003878A7">
              <w:rPr>
                <w:rFonts w:eastAsia="Georgia" w:cs="Times New Roman"/>
                <w:sz w:val="21"/>
                <w:szCs w:val="21"/>
                <w:lang w:val="lt-LT"/>
              </w:rPr>
              <w:t>Jei pastatas priskiriamas F, E ar D kategorijai, tai nebūtinai reiškia, kad jo galimybės sutaupyti šilumą yra didelės. Priskiriant pastatą energinio efektyvumo klasei, būna vertinamas ne tik šilumos, bet ir elektros energijos suvartojimas. Pavyzdžiui, ligoninė su mechanine vėdinimo sistema, elektriniais karšto vandens ruošimo boileriais gali būti priskirta D ar net E klasei, bet šilumos kiekis, suvartojamas 1 m</w:t>
            </w:r>
            <w:r w:rsidRPr="003878A7">
              <w:rPr>
                <w:rFonts w:eastAsia="Georgia" w:cs="Times New Roman"/>
                <w:sz w:val="21"/>
                <w:szCs w:val="21"/>
                <w:vertAlign w:val="superscript"/>
                <w:lang w:val="lt-LT"/>
              </w:rPr>
              <w:t>2</w:t>
            </w:r>
            <w:r w:rsidRPr="003878A7">
              <w:rPr>
                <w:rFonts w:eastAsia="Georgia" w:cs="Times New Roman"/>
                <w:sz w:val="21"/>
                <w:szCs w:val="21"/>
                <w:lang w:val="lt-LT"/>
              </w:rPr>
              <w:t>, gali būti nedidelis. Šiuo atveju sutaupytos šilumos kiekis taip pat bus nedidelis.</w:t>
            </w:r>
          </w:p>
        </w:tc>
      </w:tr>
      <w:tr w:rsidR="00061B8B" w:rsidRPr="003878A7" w14:paraId="1B67A8C5" w14:textId="77777777" w:rsidTr="0031223D">
        <w:tc>
          <w:tcPr>
            <w:tcW w:w="2287" w:type="dxa"/>
          </w:tcPr>
          <w:p w14:paraId="595B368C" w14:textId="77777777" w:rsidR="00061B8B" w:rsidRPr="003878A7" w:rsidRDefault="00061B8B" w:rsidP="00061B8B">
            <w:pPr>
              <w:spacing w:before="0" w:after="0"/>
              <w:ind w:firstLine="0"/>
              <w:rPr>
                <w:rFonts w:eastAsia="Georgia" w:cs="Times New Roman"/>
                <w:iCs/>
                <w:sz w:val="21"/>
                <w:szCs w:val="21"/>
                <w:lang w:val="lt-LT"/>
              </w:rPr>
            </w:pPr>
            <w:r w:rsidRPr="003878A7">
              <w:rPr>
                <w:rFonts w:eastAsia="Georgia" w:cs="Times New Roman"/>
                <w:iCs/>
                <w:sz w:val="21"/>
                <w:szCs w:val="21"/>
                <w:lang w:val="lt-LT"/>
              </w:rPr>
              <w:t xml:space="preserve">Trumpalaikių paskolų refinansavimo galimybės </w:t>
            </w:r>
          </w:p>
        </w:tc>
        <w:tc>
          <w:tcPr>
            <w:tcW w:w="6893" w:type="dxa"/>
          </w:tcPr>
          <w:p w14:paraId="479E3518" w14:textId="12D8DB3B" w:rsidR="00061B8B" w:rsidRPr="003878A7" w:rsidRDefault="00061B8B" w:rsidP="00061B8B">
            <w:pPr>
              <w:spacing w:before="0" w:after="0"/>
              <w:ind w:firstLine="0"/>
              <w:rPr>
                <w:rFonts w:eastAsia="Georgia" w:cs="Times New Roman"/>
                <w:sz w:val="21"/>
                <w:szCs w:val="21"/>
                <w:lang w:val="lt-LT"/>
              </w:rPr>
            </w:pPr>
            <w:r w:rsidRPr="003878A7">
              <w:rPr>
                <w:rFonts w:eastAsia="Georgia" w:cs="Times New Roman"/>
                <w:sz w:val="21"/>
                <w:szCs w:val="21"/>
                <w:lang w:val="lt-LT"/>
              </w:rPr>
              <w:t xml:space="preserve">Viena pagrindinių komercinių bankų išskiriamų kliūčių yra neapibrėžtumas dėl to, ar pasibaigus projekto įgyvendinimui paskolos gavėjas turės galimybę </w:t>
            </w:r>
            <w:proofErr w:type="spellStart"/>
            <w:r w:rsidRPr="003878A7">
              <w:rPr>
                <w:rFonts w:eastAsia="Georgia" w:cs="Times New Roman"/>
                <w:sz w:val="21"/>
                <w:szCs w:val="21"/>
                <w:lang w:val="lt-LT"/>
              </w:rPr>
              <w:t>refinansuoti</w:t>
            </w:r>
            <w:proofErr w:type="spellEnd"/>
            <w:r w:rsidRPr="003878A7">
              <w:rPr>
                <w:rFonts w:eastAsia="Georgia" w:cs="Times New Roman"/>
                <w:sz w:val="21"/>
                <w:szCs w:val="21"/>
                <w:lang w:val="lt-LT"/>
              </w:rPr>
              <w:t xml:space="preserve"> trumpalaikę paskolą. Tokių mechanizmų nebuvimas sukurs papildomų sunkumų norint gauti trumpalaikį finansavimą.</w:t>
            </w:r>
          </w:p>
        </w:tc>
      </w:tr>
      <w:tr w:rsidR="00061B8B" w:rsidRPr="003878A7" w14:paraId="7BA5191D" w14:textId="77777777" w:rsidTr="0031223D">
        <w:tc>
          <w:tcPr>
            <w:tcW w:w="2287" w:type="dxa"/>
          </w:tcPr>
          <w:p w14:paraId="72C2593E" w14:textId="77777777" w:rsidR="00061B8B" w:rsidRPr="003878A7" w:rsidRDefault="00061B8B" w:rsidP="00061B8B">
            <w:pPr>
              <w:spacing w:before="0" w:after="0"/>
              <w:ind w:firstLine="0"/>
              <w:rPr>
                <w:rFonts w:eastAsia="Georgia" w:cs="Times New Roman"/>
                <w:iCs/>
                <w:sz w:val="21"/>
                <w:szCs w:val="21"/>
                <w:lang w:val="lt-LT"/>
              </w:rPr>
            </w:pPr>
            <w:r w:rsidRPr="003878A7">
              <w:rPr>
                <w:rFonts w:eastAsia="Georgia" w:cs="Times New Roman"/>
                <w:iCs/>
                <w:sz w:val="21"/>
                <w:szCs w:val="21"/>
                <w:lang w:val="lt-LT"/>
              </w:rPr>
              <w:t>Per maža projektų apimtis ir rizikos pasidalijimas</w:t>
            </w:r>
          </w:p>
        </w:tc>
        <w:tc>
          <w:tcPr>
            <w:tcW w:w="6893" w:type="dxa"/>
          </w:tcPr>
          <w:p w14:paraId="24E68AE6" w14:textId="77777777" w:rsidR="00061B8B" w:rsidRPr="003878A7" w:rsidRDefault="00061B8B" w:rsidP="00061B8B">
            <w:pPr>
              <w:spacing w:before="0" w:after="0"/>
              <w:ind w:firstLine="0"/>
              <w:rPr>
                <w:rFonts w:eastAsia="Georgia" w:cs="Times New Roman"/>
                <w:sz w:val="21"/>
                <w:szCs w:val="21"/>
                <w:lang w:val="lt-LT"/>
              </w:rPr>
            </w:pPr>
            <w:r w:rsidRPr="003878A7">
              <w:rPr>
                <w:rFonts w:eastAsia="Georgia" w:cs="Times New Roman"/>
                <w:sz w:val="21"/>
                <w:szCs w:val="21"/>
                <w:lang w:val="lt-LT"/>
              </w:rPr>
              <w:t>Pastatų renovacijos pavieniai projektai TFI yra per mažos apimties, be to, šios institucijos nefinansuoja 100 proc. projekto vertės, taip išvengdamos visos rizikos prisiėmimo bei pritraukdamos papildomų lėšų ir kompetencijų projekto finansavimui:</w:t>
            </w:r>
          </w:p>
          <w:p w14:paraId="3B6B5845" w14:textId="0FC8CA59" w:rsidR="00061B8B" w:rsidRPr="003878A7" w:rsidRDefault="00FD523F" w:rsidP="00CB66B8">
            <w:pPr>
              <w:numPr>
                <w:ilvl w:val="0"/>
                <w:numId w:val="6"/>
              </w:numPr>
              <w:spacing w:before="0" w:after="0"/>
              <w:ind w:firstLine="0"/>
              <w:contextualSpacing/>
              <w:rPr>
                <w:rFonts w:eastAsia="Georgia" w:cs="Times New Roman"/>
                <w:sz w:val="21"/>
                <w:szCs w:val="21"/>
                <w:lang w:val="lt-LT"/>
              </w:rPr>
            </w:pPr>
            <w:r w:rsidRPr="003878A7">
              <w:rPr>
                <w:rFonts w:eastAsia="Georgia" w:cs="Times New Roman"/>
                <w:i/>
                <w:sz w:val="21"/>
                <w:szCs w:val="21"/>
                <w:lang w:val="lt-LT"/>
              </w:rPr>
              <w:t>EPRB</w:t>
            </w:r>
            <w:r w:rsidR="00061B8B" w:rsidRPr="003878A7">
              <w:rPr>
                <w:rFonts w:eastAsia="Georgia" w:cs="Times New Roman"/>
                <w:sz w:val="21"/>
                <w:szCs w:val="21"/>
                <w:lang w:val="lt-LT"/>
              </w:rPr>
              <w:t>. Vienam projektui nėra skiriamas didesnis finansavimas nei 35 proc. viso projekto išlaidų; finansavimo dydis ne mažesnis nei 5 mln. eurų;</w:t>
            </w:r>
          </w:p>
          <w:p w14:paraId="20262A2E" w14:textId="079CD967" w:rsidR="00061B8B" w:rsidRPr="003878A7" w:rsidRDefault="00FD523F" w:rsidP="00CB66B8">
            <w:pPr>
              <w:numPr>
                <w:ilvl w:val="0"/>
                <w:numId w:val="6"/>
              </w:numPr>
              <w:spacing w:before="0" w:after="0"/>
              <w:ind w:firstLine="0"/>
              <w:contextualSpacing/>
              <w:rPr>
                <w:rFonts w:eastAsia="Georgia" w:cs="Times New Roman"/>
                <w:sz w:val="21"/>
                <w:szCs w:val="21"/>
                <w:lang w:val="lt-LT"/>
              </w:rPr>
            </w:pPr>
            <w:r w:rsidRPr="003878A7">
              <w:rPr>
                <w:rFonts w:eastAsia="Georgia" w:cs="Times New Roman"/>
                <w:i/>
                <w:sz w:val="21"/>
                <w:szCs w:val="21"/>
                <w:lang w:val="lt-LT"/>
              </w:rPr>
              <w:t>EIB</w:t>
            </w:r>
            <w:r w:rsidR="00061B8B" w:rsidRPr="003878A7">
              <w:rPr>
                <w:rFonts w:eastAsia="Georgia" w:cs="Times New Roman"/>
                <w:sz w:val="21"/>
                <w:szCs w:val="21"/>
                <w:lang w:val="lt-LT"/>
              </w:rPr>
              <w:t xml:space="preserve">. Vienam projektui nėra skiriamas didesnis finansavimas nei 50 proc. viso projekto išlaidų; finansavimo dydis ne mažesnis nei 25 mln. eurų; jeigu projektas yra mažesnės apimties, finansavimas gali būti teikiamas per </w:t>
            </w:r>
            <w:r w:rsidR="000C2D2B" w:rsidRPr="003878A7">
              <w:rPr>
                <w:rFonts w:eastAsia="Georgia" w:cs="Times New Roman"/>
                <w:sz w:val="21"/>
                <w:szCs w:val="21"/>
                <w:lang w:val="lt-LT"/>
              </w:rPr>
              <w:t>FT</w:t>
            </w:r>
            <w:r w:rsidR="00061B8B" w:rsidRPr="003878A7">
              <w:rPr>
                <w:rFonts w:eastAsia="Georgia" w:cs="Times New Roman"/>
                <w:sz w:val="21"/>
                <w:szCs w:val="21"/>
                <w:lang w:val="lt-LT"/>
              </w:rPr>
              <w:t>;</w:t>
            </w:r>
          </w:p>
          <w:p w14:paraId="732CFBC0" w14:textId="38CEF97D" w:rsidR="00061B8B" w:rsidRPr="003878A7" w:rsidRDefault="00FD523F" w:rsidP="00CB66B8">
            <w:pPr>
              <w:numPr>
                <w:ilvl w:val="0"/>
                <w:numId w:val="6"/>
              </w:numPr>
              <w:spacing w:before="0" w:after="0"/>
              <w:ind w:left="714" w:firstLine="0"/>
              <w:rPr>
                <w:rFonts w:eastAsia="Georgia" w:cs="Times New Roman"/>
                <w:sz w:val="21"/>
                <w:szCs w:val="21"/>
                <w:lang w:val="lt-LT"/>
              </w:rPr>
            </w:pPr>
            <w:r w:rsidRPr="003878A7">
              <w:rPr>
                <w:rFonts w:eastAsia="Georgia" w:cs="Times New Roman"/>
                <w:i/>
                <w:sz w:val="21"/>
                <w:szCs w:val="21"/>
                <w:lang w:val="lt-LT"/>
              </w:rPr>
              <w:t>ŠIB</w:t>
            </w:r>
            <w:r w:rsidR="00061B8B" w:rsidRPr="003878A7">
              <w:rPr>
                <w:rFonts w:eastAsia="Georgia" w:cs="Times New Roman"/>
                <w:sz w:val="21"/>
                <w:szCs w:val="21"/>
                <w:lang w:val="lt-LT"/>
              </w:rPr>
              <w:t>. Vienam projektui nėra skiriamas didesnis finansavimas nei 50 proc. viso projekto išlaidų; finansavimo dydis ne mažesnis nei 5 mln. eurų.</w:t>
            </w:r>
          </w:p>
          <w:p w14:paraId="162A9BBB" w14:textId="245F16EA" w:rsidR="00061B8B" w:rsidRPr="003878A7" w:rsidRDefault="00061B8B" w:rsidP="00061B8B">
            <w:pPr>
              <w:spacing w:before="0" w:after="0"/>
              <w:ind w:firstLine="0"/>
              <w:rPr>
                <w:rFonts w:eastAsia="Georgia" w:cs="Times New Roman"/>
                <w:sz w:val="21"/>
                <w:szCs w:val="21"/>
                <w:lang w:val="lt-LT"/>
              </w:rPr>
            </w:pPr>
            <w:r w:rsidRPr="003878A7">
              <w:rPr>
                <w:rFonts w:eastAsia="Georgia" w:cs="Times New Roman"/>
                <w:sz w:val="21"/>
                <w:szCs w:val="21"/>
                <w:lang w:val="lt-LT"/>
              </w:rPr>
              <w:t xml:space="preserve">Atsižvelgiant į tai, tikėtina, kad nė viena tarptautinė finansų institucija nefinansuotų pavienių pastatų </w:t>
            </w:r>
            <w:r w:rsidR="00CF06EF" w:rsidRPr="003878A7">
              <w:rPr>
                <w:rFonts w:eastAsia="Georgia" w:cs="Times New Roman"/>
                <w:sz w:val="21"/>
                <w:szCs w:val="21"/>
                <w:lang w:val="lt-LT"/>
              </w:rPr>
              <w:t>EE</w:t>
            </w:r>
            <w:r w:rsidRPr="003878A7">
              <w:rPr>
                <w:rFonts w:eastAsia="Georgia" w:cs="Times New Roman"/>
                <w:sz w:val="21"/>
                <w:szCs w:val="21"/>
                <w:lang w:val="lt-LT"/>
              </w:rPr>
              <w:t xml:space="preserve"> projektų dėl per mažos jų apimties. Tačiau didžiųjų miestų gatvių apšvietimo projektai yra pakankamos apimties, kad pavieniai projektai potencialiai galėtų būti finansuojami tarptautinių finansų institucijų. Vis dėlto šioje pasiūlos analizėje konkreti finansavimo apimtis, kurią galėtų skirti gatvių apšvietimo modernizavimui tarptautinės finansų institucijos, nėra nurodoma dėl informacijos stokos. </w:t>
            </w:r>
          </w:p>
        </w:tc>
      </w:tr>
    </w:tbl>
    <w:p w14:paraId="6B89A883" w14:textId="77777777" w:rsidR="006D7B19" w:rsidRPr="003878A7" w:rsidRDefault="006D7B19" w:rsidP="006D7B19">
      <w:pPr>
        <w:spacing w:after="0"/>
        <w:rPr>
          <w:rFonts w:cs="Times New Roman"/>
          <w:sz w:val="20"/>
          <w:szCs w:val="20"/>
        </w:rPr>
      </w:pPr>
      <w:r w:rsidRPr="003878A7">
        <w:rPr>
          <w:rFonts w:cs="Times New Roman"/>
          <w:sz w:val="20"/>
          <w:szCs w:val="20"/>
        </w:rPr>
        <w:t>Šaltinis: sudaryta Vertintojų</w:t>
      </w:r>
    </w:p>
    <w:p w14:paraId="07C178FB" w14:textId="77777777" w:rsidR="00061B8B" w:rsidRPr="003878A7" w:rsidRDefault="00061B8B" w:rsidP="00061B8B">
      <w:pPr>
        <w:rPr>
          <w:rFonts w:cs="Times New Roman"/>
        </w:rPr>
      </w:pPr>
    </w:p>
    <w:p w14:paraId="0953EDAB" w14:textId="22155C50" w:rsidR="00F01E02" w:rsidRPr="003878A7" w:rsidRDefault="00F01E02">
      <w:pPr>
        <w:spacing w:before="0" w:after="160" w:line="259" w:lineRule="auto"/>
        <w:ind w:firstLine="0"/>
        <w:jc w:val="left"/>
        <w:rPr>
          <w:rFonts w:cs="Times New Roman"/>
          <w:sz w:val="20"/>
          <w:szCs w:val="20"/>
        </w:rPr>
      </w:pPr>
      <w:r w:rsidRPr="003878A7">
        <w:rPr>
          <w:rFonts w:cs="Times New Roman"/>
          <w:sz w:val="20"/>
          <w:szCs w:val="20"/>
        </w:rPr>
        <w:br w:type="page"/>
      </w:r>
    </w:p>
    <w:tbl>
      <w:tblPr>
        <w:tblStyle w:val="TableGrid"/>
        <w:tblpPr w:leftFromText="180" w:rightFromText="180" w:vertAnchor="page" w:horzAnchor="margin" w:tblpY="2521"/>
        <w:tblW w:w="5000" w:type="pct"/>
        <w:tblLayout w:type="fixed"/>
        <w:tblLook w:val="04A0" w:firstRow="1" w:lastRow="0" w:firstColumn="1" w:lastColumn="0" w:noHBand="0" w:noVBand="1"/>
      </w:tblPr>
      <w:tblGrid>
        <w:gridCol w:w="1093"/>
        <w:gridCol w:w="1095"/>
        <w:gridCol w:w="1096"/>
        <w:gridCol w:w="1096"/>
        <w:gridCol w:w="1096"/>
        <w:gridCol w:w="1096"/>
        <w:gridCol w:w="1096"/>
        <w:gridCol w:w="1096"/>
        <w:gridCol w:w="1090"/>
      </w:tblGrid>
      <w:tr w:rsidR="00F277A2" w:rsidRPr="003878A7" w14:paraId="42AAD793" w14:textId="77777777" w:rsidTr="008361A1">
        <w:tc>
          <w:tcPr>
            <w:tcW w:w="555" w:type="pct"/>
            <w:vAlign w:val="center"/>
          </w:tcPr>
          <w:p w14:paraId="00F6B862" w14:textId="77777777" w:rsidR="00F277A2" w:rsidRPr="003878A7" w:rsidRDefault="00F277A2" w:rsidP="008361A1">
            <w:pPr>
              <w:ind w:firstLine="0"/>
              <w:jc w:val="left"/>
              <w:rPr>
                <w:rFonts w:cs="Times New Roman"/>
                <w:b/>
                <w:bCs/>
                <w:sz w:val="21"/>
                <w:szCs w:val="21"/>
                <w:lang w:val="lt-LT"/>
              </w:rPr>
            </w:pPr>
            <w:r w:rsidRPr="003878A7">
              <w:rPr>
                <w:rFonts w:cs="Times New Roman"/>
                <w:b/>
                <w:bCs/>
                <w:sz w:val="21"/>
                <w:szCs w:val="21"/>
                <w:lang w:val="lt-LT"/>
              </w:rPr>
              <w:lastRenderedPageBreak/>
              <w:t>FP</w:t>
            </w:r>
          </w:p>
        </w:tc>
        <w:tc>
          <w:tcPr>
            <w:tcW w:w="556" w:type="pct"/>
            <w:vAlign w:val="center"/>
          </w:tcPr>
          <w:p w14:paraId="140C3F93" w14:textId="77777777" w:rsidR="00F277A2" w:rsidRPr="003878A7" w:rsidRDefault="00F277A2" w:rsidP="008361A1">
            <w:pPr>
              <w:ind w:firstLine="0"/>
              <w:jc w:val="center"/>
              <w:rPr>
                <w:rFonts w:cs="Times New Roman"/>
                <w:b/>
                <w:bCs/>
                <w:sz w:val="21"/>
                <w:szCs w:val="21"/>
                <w:lang w:val="lt-LT"/>
              </w:rPr>
            </w:pPr>
            <w:r w:rsidRPr="003878A7">
              <w:rPr>
                <w:rFonts w:cs="Times New Roman"/>
                <w:b/>
                <w:bCs/>
                <w:sz w:val="21"/>
                <w:szCs w:val="21"/>
                <w:lang w:val="lt-LT"/>
              </w:rPr>
              <w:t>Paskola</w:t>
            </w:r>
          </w:p>
        </w:tc>
        <w:tc>
          <w:tcPr>
            <w:tcW w:w="556" w:type="pct"/>
            <w:vAlign w:val="center"/>
          </w:tcPr>
          <w:p w14:paraId="34EFB82E" w14:textId="77777777" w:rsidR="00F277A2" w:rsidRPr="003878A7" w:rsidRDefault="00F277A2" w:rsidP="008361A1">
            <w:pPr>
              <w:ind w:firstLine="0"/>
              <w:jc w:val="center"/>
              <w:rPr>
                <w:rFonts w:cs="Times New Roman"/>
                <w:b/>
                <w:bCs/>
                <w:sz w:val="21"/>
                <w:szCs w:val="21"/>
                <w:lang w:val="lt-LT"/>
              </w:rPr>
            </w:pPr>
            <w:r w:rsidRPr="003878A7">
              <w:rPr>
                <w:rFonts w:cs="Times New Roman"/>
                <w:b/>
                <w:bCs/>
                <w:sz w:val="21"/>
                <w:szCs w:val="21"/>
                <w:lang w:val="lt-LT"/>
              </w:rPr>
              <w:t>Paskola + investicinis fondas</w:t>
            </w:r>
          </w:p>
        </w:tc>
        <w:tc>
          <w:tcPr>
            <w:tcW w:w="556" w:type="pct"/>
            <w:vAlign w:val="center"/>
          </w:tcPr>
          <w:p w14:paraId="6B799084" w14:textId="77777777" w:rsidR="00F277A2" w:rsidRPr="003878A7" w:rsidRDefault="00F277A2" w:rsidP="008361A1">
            <w:pPr>
              <w:pStyle w:val="Default"/>
              <w:jc w:val="center"/>
              <w:rPr>
                <w:b/>
                <w:bCs/>
                <w:sz w:val="21"/>
                <w:szCs w:val="21"/>
                <w:lang w:val="lt-LT"/>
              </w:rPr>
            </w:pPr>
            <w:r w:rsidRPr="003878A7">
              <w:rPr>
                <w:b/>
                <w:bCs/>
                <w:sz w:val="21"/>
                <w:szCs w:val="21"/>
                <w:lang w:val="lt-LT"/>
              </w:rPr>
              <w:t>Paskola + garantijos bankams</w:t>
            </w:r>
          </w:p>
          <w:p w14:paraId="31AA0B4E" w14:textId="77777777" w:rsidR="00F277A2" w:rsidRPr="003878A7" w:rsidRDefault="00F277A2" w:rsidP="008361A1">
            <w:pPr>
              <w:ind w:firstLine="0"/>
              <w:jc w:val="center"/>
              <w:rPr>
                <w:rFonts w:cs="Times New Roman"/>
                <w:b/>
                <w:bCs/>
                <w:sz w:val="21"/>
                <w:szCs w:val="21"/>
                <w:lang w:val="lt-LT"/>
              </w:rPr>
            </w:pPr>
          </w:p>
        </w:tc>
        <w:tc>
          <w:tcPr>
            <w:tcW w:w="556" w:type="pct"/>
            <w:vAlign w:val="center"/>
          </w:tcPr>
          <w:p w14:paraId="63808E6B" w14:textId="77777777" w:rsidR="00F277A2" w:rsidRPr="003878A7" w:rsidRDefault="00F277A2" w:rsidP="008361A1">
            <w:pPr>
              <w:pStyle w:val="Default"/>
              <w:jc w:val="center"/>
              <w:rPr>
                <w:b/>
                <w:bCs/>
                <w:sz w:val="21"/>
                <w:szCs w:val="21"/>
                <w:lang w:val="lt-LT"/>
              </w:rPr>
            </w:pPr>
            <w:r w:rsidRPr="003878A7">
              <w:rPr>
                <w:b/>
                <w:bCs/>
                <w:sz w:val="21"/>
                <w:szCs w:val="21"/>
                <w:lang w:val="lt-LT"/>
              </w:rPr>
              <w:t>Paskola + garantijos bankams</w:t>
            </w:r>
          </w:p>
          <w:p w14:paraId="55E48BF7" w14:textId="77777777" w:rsidR="00F277A2" w:rsidRPr="003878A7" w:rsidRDefault="00F277A2" w:rsidP="008361A1">
            <w:pPr>
              <w:ind w:firstLine="0"/>
              <w:jc w:val="center"/>
              <w:rPr>
                <w:rFonts w:cs="Times New Roman"/>
                <w:b/>
                <w:bCs/>
                <w:sz w:val="21"/>
                <w:szCs w:val="21"/>
                <w:lang w:val="lt-LT"/>
              </w:rPr>
            </w:pPr>
            <w:r w:rsidRPr="003878A7">
              <w:rPr>
                <w:rFonts w:cs="Times New Roman"/>
                <w:b/>
                <w:bCs/>
                <w:sz w:val="21"/>
                <w:szCs w:val="21"/>
                <w:lang w:val="lt-LT"/>
              </w:rPr>
              <w:t>+ investicinis fondas</w:t>
            </w:r>
          </w:p>
        </w:tc>
        <w:tc>
          <w:tcPr>
            <w:tcW w:w="556" w:type="pct"/>
            <w:vAlign w:val="center"/>
          </w:tcPr>
          <w:p w14:paraId="3BDA6E8E" w14:textId="77777777" w:rsidR="00F277A2" w:rsidRPr="003878A7" w:rsidRDefault="00F277A2" w:rsidP="008361A1">
            <w:pPr>
              <w:pStyle w:val="Default"/>
              <w:jc w:val="center"/>
              <w:rPr>
                <w:b/>
                <w:bCs/>
                <w:sz w:val="21"/>
                <w:szCs w:val="21"/>
                <w:lang w:val="lt-LT"/>
              </w:rPr>
            </w:pPr>
            <w:r w:rsidRPr="003878A7">
              <w:rPr>
                <w:b/>
                <w:bCs/>
                <w:sz w:val="21"/>
                <w:szCs w:val="21"/>
                <w:lang w:val="lt-LT"/>
              </w:rPr>
              <w:t>Paskola + investicinis fondas (pirmo praradimo kapitalas)</w:t>
            </w:r>
          </w:p>
          <w:p w14:paraId="45CFFFAC" w14:textId="77777777" w:rsidR="00F277A2" w:rsidRPr="003878A7" w:rsidRDefault="00F277A2" w:rsidP="008361A1">
            <w:pPr>
              <w:ind w:firstLine="0"/>
              <w:jc w:val="center"/>
              <w:rPr>
                <w:rFonts w:cs="Times New Roman"/>
                <w:b/>
                <w:bCs/>
                <w:sz w:val="21"/>
                <w:szCs w:val="21"/>
                <w:lang w:val="lt-LT"/>
              </w:rPr>
            </w:pPr>
          </w:p>
        </w:tc>
        <w:tc>
          <w:tcPr>
            <w:tcW w:w="556" w:type="pct"/>
            <w:vAlign w:val="center"/>
          </w:tcPr>
          <w:p w14:paraId="57904B44" w14:textId="77777777" w:rsidR="00F277A2" w:rsidRPr="003878A7" w:rsidRDefault="00F277A2" w:rsidP="008361A1">
            <w:pPr>
              <w:pStyle w:val="Default"/>
              <w:jc w:val="center"/>
              <w:rPr>
                <w:b/>
                <w:bCs/>
                <w:sz w:val="21"/>
                <w:szCs w:val="21"/>
                <w:lang w:val="lt-LT"/>
              </w:rPr>
            </w:pPr>
            <w:r w:rsidRPr="003878A7">
              <w:rPr>
                <w:b/>
                <w:bCs/>
                <w:sz w:val="21"/>
                <w:szCs w:val="21"/>
                <w:lang w:val="lt-LT"/>
              </w:rPr>
              <w:t>50 proc. Paskolos + 50 proc. komerciniai bankai + investicinis fondas</w:t>
            </w:r>
          </w:p>
          <w:p w14:paraId="55A44B1D" w14:textId="77777777" w:rsidR="00F277A2" w:rsidRPr="003878A7" w:rsidRDefault="00F277A2" w:rsidP="008361A1">
            <w:pPr>
              <w:ind w:firstLine="0"/>
              <w:jc w:val="center"/>
              <w:rPr>
                <w:rFonts w:cs="Times New Roman"/>
                <w:b/>
                <w:bCs/>
                <w:sz w:val="21"/>
                <w:szCs w:val="21"/>
                <w:lang w:val="lt-LT"/>
              </w:rPr>
            </w:pPr>
          </w:p>
        </w:tc>
        <w:tc>
          <w:tcPr>
            <w:tcW w:w="556" w:type="pct"/>
            <w:vAlign w:val="center"/>
          </w:tcPr>
          <w:p w14:paraId="1AE28874" w14:textId="77777777" w:rsidR="00F277A2" w:rsidRPr="003878A7" w:rsidRDefault="00F277A2" w:rsidP="008361A1">
            <w:pPr>
              <w:ind w:firstLine="0"/>
              <w:jc w:val="center"/>
              <w:rPr>
                <w:rFonts w:cs="Times New Roman"/>
                <w:b/>
                <w:bCs/>
                <w:sz w:val="21"/>
                <w:szCs w:val="21"/>
                <w:lang w:val="lt-LT"/>
              </w:rPr>
            </w:pPr>
            <w:r w:rsidRPr="003878A7">
              <w:rPr>
                <w:rFonts w:cs="Times New Roman"/>
                <w:b/>
                <w:bCs/>
                <w:sz w:val="21"/>
                <w:szCs w:val="21"/>
                <w:lang w:val="lt-LT"/>
              </w:rPr>
              <w:t>Garantijos</w:t>
            </w:r>
          </w:p>
        </w:tc>
        <w:tc>
          <w:tcPr>
            <w:tcW w:w="553" w:type="pct"/>
            <w:vAlign w:val="center"/>
          </w:tcPr>
          <w:p w14:paraId="7F9999B6" w14:textId="77777777" w:rsidR="00F277A2" w:rsidRPr="003878A7" w:rsidRDefault="00F277A2" w:rsidP="008361A1">
            <w:pPr>
              <w:ind w:firstLine="0"/>
              <w:jc w:val="center"/>
              <w:rPr>
                <w:rFonts w:cs="Times New Roman"/>
                <w:b/>
                <w:bCs/>
                <w:sz w:val="21"/>
                <w:szCs w:val="21"/>
                <w:lang w:val="lt-LT"/>
              </w:rPr>
            </w:pPr>
            <w:r w:rsidRPr="003878A7">
              <w:rPr>
                <w:rFonts w:cs="Times New Roman"/>
                <w:b/>
                <w:bCs/>
                <w:sz w:val="21"/>
                <w:szCs w:val="21"/>
                <w:lang w:val="lt-LT"/>
              </w:rPr>
              <w:t>100 proc. subsidija</w:t>
            </w:r>
          </w:p>
        </w:tc>
      </w:tr>
      <w:tr w:rsidR="00F277A2" w:rsidRPr="003878A7" w14:paraId="356A7FA3" w14:textId="77777777" w:rsidTr="008361A1">
        <w:tc>
          <w:tcPr>
            <w:tcW w:w="555" w:type="pct"/>
            <w:vAlign w:val="center"/>
          </w:tcPr>
          <w:p w14:paraId="2F1CF101" w14:textId="77777777" w:rsidR="00F277A2" w:rsidRPr="003878A7" w:rsidRDefault="00F277A2" w:rsidP="008361A1">
            <w:pPr>
              <w:ind w:firstLine="0"/>
              <w:jc w:val="left"/>
              <w:rPr>
                <w:rFonts w:cs="Times New Roman"/>
                <w:sz w:val="21"/>
                <w:szCs w:val="21"/>
                <w:lang w:val="lt-LT"/>
              </w:rPr>
            </w:pPr>
            <w:r w:rsidRPr="003878A7">
              <w:rPr>
                <w:rFonts w:cs="Times New Roman"/>
                <w:sz w:val="21"/>
                <w:szCs w:val="21"/>
                <w:lang w:val="lt-LT"/>
              </w:rPr>
              <w:t>Fondo lėšos, mln. Eur</w:t>
            </w:r>
          </w:p>
        </w:tc>
        <w:tc>
          <w:tcPr>
            <w:tcW w:w="556" w:type="pct"/>
            <w:vAlign w:val="center"/>
          </w:tcPr>
          <w:p w14:paraId="04567B99" w14:textId="77777777" w:rsidR="00F277A2" w:rsidRPr="003878A7" w:rsidRDefault="00F277A2" w:rsidP="008361A1">
            <w:pPr>
              <w:ind w:firstLine="0"/>
              <w:jc w:val="center"/>
              <w:rPr>
                <w:rFonts w:cs="Times New Roman"/>
                <w:sz w:val="21"/>
                <w:szCs w:val="21"/>
                <w:lang w:val="lt-LT"/>
              </w:rPr>
            </w:pPr>
            <w:r w:rsidRPr="003878A7">
              <w:rPr>
                <w:rFonts w:cs="Times New Roman"/>
                <w:sz w:val="21"/>
                <w:szCs w:val="21"/>
                <w:lang w:val="lt-LT"/>
              </w:rPr>
              <w:t>79,6</w:t>
            </w:r>
          </w:p>
        </w:tc>
        <w:tc>
          <w:tcPr>
            <w:tcW w:w="556" w:type="pct"/>
            <w:vAlign w:val="center"/>
          </w:tcPr>
          <w:p w14:paraId="04D053F5" w14:textId="77777777" w:rsidR="00F277A2" w:rsidRPr="003878A7" w:rsidRDefault="00F277A2" w:rsidP="008361A1">
            <w:pPr>
              <w:ind w:firstLine="0"/>
              <w:jc w:val="center"/>
              <w:rPr>
                <w:rFonts w:cs="Times New Roman"/>
                <w:sz w:val="21"/>
                <w:szCs w:val="21"/>
                <w:lang w:val="lt-LT"/>
              </w:rPr>
            </w:pPr>
            <w:r w:rsidRPr="003878A7">
              <w:rPr>
                <w:rFonts w:cs="Times New Roman"/>
                <w:sz w:val="21"/>
                <w:szCs w:val="21"/>
                <w:lang w:val="lt-LT"/>
              </w:rPr>
              <w:t>79,6</w:t>
            </w:r>
          </w:p>
        </w:tc>
        <w:tc>
          <w:tcPr>
            <w:tcW w:w="556" w:type="pct"/>
            <w:vAlign w:val="center"/>
          </w:tcPr>
          <w:p w14:paraId="47319A65" w14:textId="77777777" w:rsidR="00F277A2" w:rsidRPr="003878A7" w:rsidRDefault="00F277A2" w:rsidP="008361A1">
            <w:pPr>
              <w:ind w:firstLine="0"/>
              <w:jc w:val="center"/>
              <w:rPr>
                <w:rFonts w:cs="Times New Roman"/>
                <w:sz w:val="21"/>
                <w:szCs w:val="21"/>
                <w:lang w:val="lt-LT"/>
              </w:rPr>
            </w:pPr>
            <w:r w:rsidRPr="003878A7">
              <w:rPr>
                <w:rFonts w:cs="Times New Roman"/>
                <w:sz w:val="21"/>
                <w:szCs w:val="21"/>
                <w:lang w:val="lt-LT"/>
              </w:rPr>
              <w:t>79,6</w:t>
            </w:r>
          </w:p>
        </w:tc>
        <w:tc>
          <w:tcPr>
            <w:tcW w:w="556" w:type="pct"/>
            <w:vAlign w:val="center"/>
          </w:tcPr>
          <w:p w14:paraId="54FCFDF7" w14:textId="77777777" w:rsidR="00F277A2" w:rsidRPr="003878A7" w:rsidRDefault="00F277A2" w:rsidP="008361A1">
            <w:pPr>
              <w:ind w:firstLine="0"/>
              <w:jc w:val="center"/>
              <w:rPr>
                <w:rFonts w:cs="Times New Roman"/>
                <w:sz w:val="21"/>
                <w:szCs w:val="21"/>
                <w:lang w:val="lt-LT"/>
              </w:rPr>
            </w:pPr>
            <w:r w:rsidRPr="003878A7">
              <w:rPr>
                <w:rFonts w:cs="Times New Roman"/>
                <w:sz w:val="21"/>
                <w:szCs w:val="21"/>
                <w:lang w:val="lt-LT"/>
              </w:rPr>
              <w:t>79,6</w:t>
            </w:r>
          </w:p>
        </w:tc>
        <w:tc>
          <w:tcPr>
            <w:tcW w:w="556" w:type="pct"/>
            <w:vAlign w:val="center"/>
          </w:tcPr>
          <w:p w14:paraId="08A7CE71" w14:textId="77777777" w:rsidR="00F277A2" w:rsidRPr="003878A7" w:rsidRDefault="00F277A2" w:rsidP="008361A1">
            <w:pPr>
              <w:ind w:firstLine="0"/>
              <w:jc w:val="center"/>
              <w:rPr>
                <w:rFonts w:cs="Times New Roman"/>
                <w:sz w:val="21"/>
                <w:szCs w:val="21"/>
                <w:lang w:val="lt-LT"/>
              </w:rPr>
            </w:pPr>
            <w:r w:rsidRPr="003878A7">
              <w:rPr>
                <w:rFonts w:cs="Times New Roman"/>
                <w:sz w:val="21"/>
                <w:szCs w:val="21"/>
                <w:lang w:val="lt-LT"/>
              </w:rPr>
              <w:t>79,6</w:t>
            </w:r>
          </w:p>
        </w:tc>
        <w:tc>
          <w:tcPr>
            <w:tcW w:w="556" w:type="pct"/>
            <w:vAlign w:val="center"/>
          </w:tcPr>
          <w:p w14:paraId="28A77322" w14:textId="77777777" w:rsidR="00F277A2" w:rsidRPr="003878A7" w:rsidRDefault="00F277A2" w:rsidP="008361A1">
            <w:pPr>
              <w:ind w:firstLine="0"/>
              <w:jc w:val="center"/>
              <w:rPr>
                <w:rFonts w:cs="Times New Roman"/>
                <w:sz w:val="21"/>
                <w:szCs w:val="21"/>
                <w:lang w:val="lt-LT"/>
              </w:rPr>
            </w:pPr>
            <w:r w:rsidRPr="003878A7">
              <w:rPr>
                <w:rFonts w:cs="Times New Roman"/>
                <w:sz w:val="21"/>
                <w:szCs w:val="21"/>
                <w:lang w:val="lt-LT"/>
              </w:rPr>
              <w:t>79,6</w:t>
            </w:r>
          </w:p>
        </w:tc>
        <w:tc>
          <w:tcPr>
            <w:tcW w:w="556" w:type="pct"/>
            <w:vAlign w:val="center"/>
          </w:tcPr>
          <w:p w14:paraId="3AF8AE07" w14:textId="77777777" w:rsidR="00F277A2" w:rsidRPr="003878A7" w:rsidRDefault="00F277A2" w:rsidP="008361A1">
            <w:pPr>
              <w:ind w:firstLine="0"/>
              <w:jc w:val="center"/>
              <w:rPr>
                <w:rFonts w:cs="Times New Roman"/>
                <w:sz w:val="21"/>
                <w:szCs w:val="21"/>
                <w:lang w:val="lt-LT"/>
              </w:rPr>
            </w:pPr>
            <w:r w:rsidRPr="003878A7">
              <w:rPr>
                <w:rFonts w:cs="Times New Roman"/>
                <w:sz w:val="21"/>
                <w:szCs w:val="21"/>
                <w:lang w:val="lt-LT"/>
              </w:rPr>
              <w:t>79,6</w:t>
            </w:r>
          </w:p>
        </w:tc>
        <w:tc>
          <w:tcPr>
            <w:tcW w:w="553" w:type="pct"/>
            <w:vAlign w:val="center"/>
          </w:tcPr>
          <w:p w14:paraId="713911BD" w14:textId="77777777" w:rsidR="00F277A2" w:rsidRPr="003878A7" w:rsidRDefault="00F277A2" w:rsidP="008361A1">
            <w:pPr>
              <w:ind w:firstLine="0"/>
              <w:jc w:val="center"/>
              <w:rPr>
                <w:rFonts w:cs="Times New Roman"/>
                <w:sz w:val="21"/>
                <w:szCs w:val="21"/>
                <w:lang w:val="lt-LT"/>
              </w:rPr>
            </w:pPr>
            <w:r w:rsidRPr="003878A7">
              <w:rPr>
                <w:rFonts w:cs="Times New Roman"/>
                <w:sz w:val="21"/>
                <w:szCs w:val="21"/>
                <w:lang w:val="lt-LT"/>
              </w:rPr>
              <w:t>n/a</w:t>
            </w:r>
          </w:p>
        </w:tc>
      </w:tr>
      <w:tr w:rsidR="00F277A2" w:rsidRPr="003878A7" w14:paraId="4D4E7876" w14:textId="77777777" w:rsidTr="008361A1">
        <w:tc>
          <w:tcPr>
            <w:tcW w:w="555" w:type="pct"/>
            <w:vAlign w:val="center"/>
          </w:tcPr>
          <w:p w14:paraId="51AF7358" w14:textId="77777777" w:rsidR="00F277A2" w:rsidRPr="003878A7" w:rsidRDefault="00F277A2" w:rsidP="008361A1">
            <w:pPr>
              <w:ind w:firstLine="0"/>
              <w:jc w:val="left"/>
              <w:rPr>
                <w:rFonts w:cs="Times New Roman"/>
                <w:sz w:val="21"/>
                <w:szCs w:val="21"/>
                <w:lang w:val="lt-LT"/>
              </w:rPr>
            </w:pPr>
            <w:r w:rsidRPr="003878A7">
              <w:rPr>
                <w:rFonts w:cs="Times New Roman"/>
                <w:sz w:val="21"/>
                <w:szCs w:val="21"/>
                <w:lang w:val="lt-LT"/>
              </w:rPr>
              <w:t>GNG pasiekusios lėšos, mln. Eur</w:t>
            </w:r>
          </w:p>
        </w:tc>
        <w:tc>
          <w:tcPr>
            <w:tcW w:w="556" w:type="pct"/>
            <w:vAlign w:val="center"/>
          </w:tcPr>
          <w:p w14:paraId="52E8DCB8" w14:textId="77777777" w:rsidR="00F277A2" w:rsidRPr="003878A7" w:rsidRDefault="00F277A2" w:rsidP="008361A1">
            <w:pPr>
              <w:ind w:firstLine="0"/>
              <w:jc w:val="center"/>
              <w:rPr>
                <w:rFonts w:cs="Times New Roman"/>
                <w:sz w:val="21"/>
                <w:szCs w:val="21"/>
                <w:lang w:val="lt-LT"/>
              </w:rPr>
            </w:pPr>
            <w:r w:rsidRPr="003878A7">
              <w:rPr>
                <w:rFonts w:cs="Times New Roman"/>
                <w:sz w:val="21"/>
                <w:szCs w:val="21"/>
                <w:lang w:val="lt-LT"/>
              </w:rPr>
              <w:t>78,4</w:t>
            </w:r>
          </w:p>
        </w:tc>
        <w:tc>
          <w:tcPr>
            <w:tcW w:w="556" w:type="pct"/>
            <w:vAlign w:val="center"/>
          </w:tcPr>
          <w:p w14:paraId="4A68724F" w14:textId="77777777" w:rsidR="00F277A2" w:rsidRPr="003878A7" w:rsidRDefault="00F277A2" w:rsidP="008361A1">
            <w:pPr>
              <w:ind w:firstLine="0"/>
              <w:jc w:val="center"/>
              <w:rPr>
                <w:rFonts w:cs="Times New Roman"/>
                <w:sz w:val="21"/>
                <w:szCs w:val="21"/>
                <w:lang w:val="lt-LT"/>
              </w:rPr>
            </w:pPr>
            <w:r w:rsidRPr="003878A7">
              <w:rPr>
                <w:rFonts w:cs="Times New Roman"/>
                <w:sz w:val="21"/>
                <w:szCs w:val="21"/>
                <w:lang w:val="lt-LT"/>
              </w:rPr>
              <w:t>104,6</w:t>
            </w:r>
          </w:p>
        </w:tc>
        <w:tc>
          <w:tcPr>
            <w:tcW w:w="556" w:type="pct"/>
            <w:vAlign w:val="center"/>
          </w:tcPr>
          <w:p w14:paraId="23F61705" w14:textId="77777777" w:rsidR="00F277A2" w:rsidRPr="003878A7" w:rsidRDefault="00F277A2" w:rsidP="008361A1">
            <w:pPr>
              <w:ind w:firstLine="0"/>
              <w:jc w:val="center"/>
              <w:rPr>
                <w:rFonts w:cs="Times New Roman"/>
                <w:sz w:val="21"/>
                <w:szCs w:val="21"/>
                <w:lang w:val="lt-LT"/>
              </w:rPr>
            </w:pPr>
            <w:r w:rsidRPr="003878A7">
              <w:rPr>
                <w:rFonts w:cs="Times New Roman"/>
                <w:sz w:val="21"/>
                <w:szCs w:val="21"/>
                <w:lang w:val="lt-LT"/>
              </w:rPr>
              <w:t>99,6</w:t>
            </w:r>
          </w:p>
        </w:tc>
        <w:tc>
          <w:tcPr>
            <w:tcW w:w="556" w:type="pct"/>
            <w:vAlign w:val="center"/>
          </w:tcPr>
          <w:p w14:paraId="32DDD7E2" w14:textId="77777777" w:rsidR="00F277A2" w:rsidRPr="003878A7" w:rsidRDefault="00F277A2" w:rsidP="008361A1">
            <w:pPr>
              <w:ind w:firstLine="0"/>
              <w:jc w:val="center"/>
              <w:rPr>
                <w:rFonts w:cs="Times New Roman"/>
                <w:sz w:val="21"/>
                <w:szCs w:val="21"/>
                <w:lang w:val="lt-LT"/>
              </w:rPr>
            </w:pPr>
            <w:r w:rsidRPr="003878A7">
              <w:rPr>
                <w:rFonts w:cs="Times New Roman"/>
                <w:sz w:val="21"/>
                <w:szCs w:val="21"/>
                <w:lang w:val="lt-LT"/>
              </w:rPr>
              <w:t>118,6</w:t>
            </w:r>
          </w:p>
        </w:tc>
        <w:tc>
          <w:tcPr>
            <w:tcW w:w="556" w:type="pct"/>
            <w:vAlign w:val="center"/>
          </w:tcPr>
          <w:p w14:paraId="03AFD45E" w14:textId="77777777" w:rsidR="00F277A2" w:rsidRPr="003878A7" w:rsidRDefault="00F277A2" w:rsidP="008361A1">
            <w:pPr>
              <w:ind w:firstLine="0"/>
              <w:jc w:val="center"/>
              <w:rPr>
                <w:rFonts w:cs="Times New Roman"/>
                <w:sz w:val="21"/>
                <w:szCs w:val="21"/>
                <w:lang w:val="lt-LT"/>
              </w:rPr>
            </w:pPr>
            <w:r w:rsidRPr="003878A7">
              <w:rPr>
                <w:rFonts w:cs="Times New Roman"/>
                <w:sz w:val="21"/>
                <w:szCs w:val="21"/>
                <w:lang w:val="lt-LT"/>
              </w:rPr>
              <w:t>77,5</w:t>
            </w:r>
          </w:p>
        </w:tc>
        <w:tc>
          <w:tcPr>
            <w:tcW w:w="556" w:type="pct"/>
            <w:vAlign w:val="center"/>
          </w:tcPr>
          <w:p w14:paraId="0B72D6C5" w14:textId="77777777" w:rsidR="00F277A2" w:rsidRPr="003878A7" w:rsidRDefault="00F277A2" w:rsidP="008361A1">
            <w:pPr>
              <w:ind w:firstLine="0"/>
              <w:jc w:val="center"/>
              <w:rPr>
                <w:rFonts w:cs="Times New Roman"/>
                <w:sz w:val="21"/>
                <w:szCs w:val="21"/>
                <w:lang w:val="lt-LT"/>
              </w:rPr>
            </w:pPr>
            <w:r w:rsidRPr="003878A7">
              <w:rPr>
                <w:rFonts w:cs="Times New Roman"/>
                <w:sz w:val="21"/>
                <w:szCs w:val="21"/>
                <w:lang w:val="lt-LT"/>
              </w:rPr>
              <w:t>107,2</w:t>
            </w:r>
          </w:p>
        </w:tc>
        <w:tc>
          <w:tcPr>
            <w:tcW w:w="556" w:type="pct"/>
            <w:vAlign w:val="center"/>
          </w:tcPr>
          <w:p w14:paraId="4FA5F505" w14:textId="77777777" w:rsidR="00F277A2" w:rsidRPr="003878A7" w:rsidRDefault="00F277A2" w:rsidP="008361A1">
            <w:pPr>
              <w:ind w:firstLine="0"/>
              <w:jc w:val="center"/>
              <w:rPr>
                <w:rFonts w:cs="Times New Roman"/>
                <w:sz w:val="21"/>
                <w:szCs w:val="21"/>
                <w:lang w:val="lt-LT"/>
              </w:rPr>
            </w:pPr>
            <w:r w:rsidRPr="003878A7">
              <w:rPr>
                <w:rFonts w:cs="Times New Roman"/>
                <w:sz w:val="21"/>
                <w:szCs w:val="21"/>
                <w:lang w:val="lt-LT"/>
              </w:rPr>
              <w:t>114,05</w:t>
            </w:r>
          </w:p>
        </w:tc>
        <w:tc>
          <w:tcPr>
            <w:tcW w:w="553" w:type="pct"/>
            <w:vAlign w:val="center"/>
          </w:tcPr>
          <w:p w14:paraId="2CB59629" w14:textId="77777777" w:rsidR="00F277A2" w:rsidRPr="003878A7" w:rsidRDefault="00F277A2" w:rsidP="008361A1">
            <w:pPr>
              <w:ind w:firstLine="0"/>
              <w:jc w:val="center"/>
              <w:rPr>
                <w:rFonts w:cs="Times New Roman"/>
                <w:sz w:val="21"/>
                <w:szCs w:val="21"/>
                <w:lang w:val="lt-LT"/>
              </w:rPr>
            </w:pPr>
            <w:r w:rsidRPr="003878A7">
              <w:rPr>
                <w:rFonts w:cs="Times New Roman"/>
                <w:sz w:val="21"/>
                <w:szCs w:val="21"/>
                <w:lang w:val="lt-LT"/>
              </w:rPr>
              <w:t>79,6</w:t>
            </w:r>
          </w:p>
        </w:tc>
      </w:tr>
      <w:tr w:rsidR="00F277A2" w:rsidRPr="003878A7" w14:paraId="55593E2B" w14:textId="77777777" w:rsidTr="008361A1">
        <w:tc>
          <w:tcPr>
            <w:tcW w:w="555" w:type="pct"/>
            <w:vAlign w:val="center"/>
          </w:tcPr>
          <w:p w14:paraId="56703157" w14:textId="42E4AD1B" w:rsidR="00F277A2" w:rsidRPr="003878A7" w:rsidRDefault="00F277A2" w:rsidP="008361A1">
            <w:pPr>
              <w:ind w:firstLine="0"/>
              <w:jc w:val="left"/>
              <w:rPr>
                <w:rFonts w:cs="Times New Roman"/>
                <w:sz w:val="21"/>
                <w:szCs w:val="21"/>
                <w:lang w:val="lt-LT"/>
              </w:rPr>
            </w:pPr>
            <w:r w:rsidRPr="003878A7">
              <w:rPr>
                <w:rFonts w:cs="Times New Roman"/>
                <w:sz w:val="21"/>
                <w:szCs w:val="21"/>
                <w:lang w:val="lt-LT"/>
              </w:rPr>
              <w:t xml:space="preserve">Iki 2022 m. </w:t>
            </w:r>
            <w:r w:rsidR="008361A1" w:rsidRPr="003878A7">
              <w:rPr>
                <w:rFonts w:cs="Times New Roman"/>
                <w:sz w:val="21"/>
                <w:szCs w:val="21"/>
                <w:lang w:val="lt-LT"/>
              </w:rPr>
              <w:t>renovuotų</w:t>
            </w:r>
            <w:r w:rsidRPr="003878A7">
              <w:rPr>
                <w:rFonts w:cs="Times New Roman"/>
                <w:sz w:val="21"/>
                <w:szCs w:val="21"/>
                <w:lang w:val="lt-LT"/>
              </w:rPr>
              <w:t xml:space="preserve"> pastatų skaičius</w:t>
            </w:r>
          </w:p>
        </w:tc>
        <w:tc>
          <w:tcPr>
            <w:tcW w:w="556" w:type="pct"/>
            <w:vAlign w:val="center"/>
          </w:tcPr>
          <w:p w14:paraId="2921B4B8" w14:textId="77777777" w:rsidR="00F277A2" w:rsidRPr="003878A7" w:rsidRDefault="00F277A2" w:rsidP="008361A1">
            <w:pPr>
              <w:ind w:firstLine="0"/>
              <w:jc w:val="center"/>
              <w:rPr>
                <w:rFonts w:cs="Times New Roman"/>
                <w:sz w:val="21"/>
                <w:szCs w:val="21"/>
                <w:lang w:val="lt-LT"/>
              </w:rPr>
            </w:pPr>
            <w:r w:rsidRPr="003878A7">
              <w:rPr>
                <w:rFonts w:cs="Times New Roman"/>
                <w:sz w:val="21"/>
                <w:szCs w:val="21"/>
                <w:lang w:val="lt-LT"/>
              </w:rPr>
              <w:t>342</w:t>
            </w:r>
          </w:p>
        </w:tc>
        <w:tc>
          <w:tcPr>
            <w:tcW w:w="556" w:type="pct"/>
            <w:vAlign w:val="center"/>
          </w:tcPr>
          <w:p w14:paraId="0D1EAFB8" w14:textId="77777777" w:rsidR="00F277A2" w:rsidRPr="003878A7" w:rsidRDefault="00F277A2" w:rsidP="008361A1">
            <w:pPr>
              <w:ind w:firstLine="0"/>
              <w:jc w:val="center"/>
              <w:rPr>
                <w:rFonts w:cs="Times New Roman"/>
                <w:sz w:val="21"/>
                <w:szCs w:val="21"/>
                <w:lang w:val="lt-LT"/>
              </w:rPr>
            </w:pPr>
            <w:r w:rsidRPr="003878A7">
              <w:rPr>
                <w:rFonts w:cs="Times New Roman"/>
                <w:sz w:val="21"/>
                <w:szCs w:val="21"/>
                <w:lang w:val="lt-LT"/>
              </w:rPr>
              <w:t>459</w:t>
            </w:r>
          </w:p>
        </w:tc>
        <w:tc>
          <w:tcPr>
            <w:tcW w:w="556" w:type="pct"/>
            <w:vAlign w:val="center"/>
          </w:tcPr>
          <w:p w14:paraId="6D47D426" w14:textId="77777777" w:rsidR="00F277A2" w:rsidRPr="003878A7" w:rsidRDefault="00F277A2" w:rsidP="008361A1">
            <w:pPr>
              <w:ind w:firstLine="0"/>
              <w:jc w:val="center"/>
              <w:rPr>
                <w:rFonts w:cs="Times New Roman"/>
                <w:sz w:val="21"/>
                <w:szCs w:val="21"/>
                <w:lang w:val="lt-LT"/>
              </w:rPr>
            </w:pPr>
            <w:r w:rsidRPr="003878A7">
              <w:rPr>
                <w:rFonts w:cs="Times New Roman"/>
                <w:sz w:val="21"/>
                <w:szCs w:val="21"/>
                <w:lang w:val="lt-LT"/>
              </w:rPr>
              <w:t>437</w:t>
            </w:r>
          </w:p>
        </w:tc>
        <w:tc>
          <w:tcPr>
            <w:tcW w:w="556" w:type="pct"/>
            <w:vAlign w:val="center"/>
          </w:tcPr>
          <w:p w14:paraId="77A29962" w14:textId="77777777" w:rsidR="00F277A2" w:rsidRPr="003878A7" w:rsidRDefault="00F277A2" w:rsidP="008361A1">
            <w:pPr>
              <w:ind w:firstLine="0"/>
              <w:jc w:val="center"/>
              <w:rPr>
                <w:rFonts w:cs="Times New Roman"/>
                <w:sz w:val="21"/>
                <w:szCs w:val="21"/>
                <w:lang w:val="lt-LT"/>
              </w:rPr>
            </w:pPr>
            <w:r w:rsidRPr="003878A7">
              <w:rPr>
                <w:rFonts w:cs="Times New Roman"/>
                <w:sz w:val="21"/>
                <w:szCs w:val="21"/>
                <w:lang w:val="lt-LT"/>
              </w:rPr>
              <w:t>520</w:t>
            </w:r>
          </w:p>
        </w:tc>
        <w:tc>
          <w:tcPr>
            <w:tcW w:w="556" w:type="pct"/>
            <w:vAlign w:val="center"/>
          </w:tcPr>
          <w:p w14:paraId="33E32DE0" w14:textId="77777777" w:rsidR="00F277A2" w:rsidRPr="003878A7" w:rsidRDefault="00F277A2" w:rsidP="008361A1">
            <w:pPr>
              <w:ind w:firstLine="0"/>
              <w:jc w:val="center"/>
              <w:rPr>
                <w:rFonts w:cs="Times New Roman"/>
                <w:sz w:val="21"/>
                <w:szCs w:val="21"/>
                <w:lang w:val="lt-LT"/>
              </w:rPr>
            </w:pPr>
            <w:r w:rsidRPr="003878A7">
              <w:rPr>
                <w:rFonts w:cs="Times New Roman"/>
                <w:sz w:val="21"/>
                <w:szCs w:val="21"/>
                <w:lang w:val="lt-LT"/>
              </w:rPr>
              <w:t>340</w:t>
            </w:r>
          </w:p>
        </w:tc>
        <w:tc>
          <w:tcPr>
            <w:tcW w:w="556" w:type="pct"/>
            <w:vAlign w:val="center"/>
          </w:tcPr>
          <w:p w14:paraId="2D63CC28" w14:textId="77777777" w:rsidR="00F277A2" w:rsidRPr="003878A7" w:rsidRDefault="00F277A2" w:rsidP="008361A1">
            <w:pPr>
              <w:ind w:firstLine="0"/>
              <w:jc w:val="center"/>
              <w:rPr>
                <w:rFonts w:cs="Times New Roman"/>
                <w:sz w:val="21"/>
                <w:szCs w:val="21"/>
                <w:lang w:val="lt-LT"/>
              </w:rPr>
            </w:pPr>
            <w:r w:rsidRPr="003878A7">
              <w:rPr>
                <w:rFonts w:cs="Times New Roman"/>
                <w:sz w:val="21"/>
                <w:szCs w:val="21"/>
                <w:lang w:val="lt-LT"/>
              </w:rPr>
              <w:t>420</w:t>
            </w:r>
          </w:p>
        </w:tc>
        <w:tc>
          <w:tcPr>
            <w:tcW w:w="556" w:type="pct"/>
            <w:vAlign w:val="center"/>
          </w:tcPr>
          <w:p w14:paraId="689BF5F1" w14:textId="77777777" w:rsidR="00F277A2" w:rsidRPr="003878A7" w:rsidRDefault="00F277A2" w:rsidP="008361A1">
            <w:pPr>
              <w:ind w:firstLine="0"/>
              <w:jc w:val="center"/>
              <w:rPr>
                <w:rFonts w:cs="Times New Roman"/>
                <w:sz w:val="21"/>
                <w:szCs w:val="21"/>
                <w:lang w:val="lt-LT"/>
              </w:rPr>
            </w:pPr>
            <w:r w:rsidRPr="003878A7">
              <w:rPr>
                <w:rFonts w:cs="Times New Roman"/>
                <w:sz w:val="21"/>
                <w:szCs w:val="21"/>
                <w:lang w:val="lt-LT"/>
              </w:rPr>
              <w:t>500</w:t>
            </w:r>
          </w:p>
        </w:tc>
        <w:tc>
          <w:tcPr>
            <w:tcW w:w="553" w:type="pct"/>
            <w:vAlign w:val="center"/>
          </w:tcPr>
          <w:p w14:paraId="42370F78" w14:textId="77777777" w:rsidR="00F277A2" w:rsidRPr="003878A7" w:rsidRDefault="00F277A2" w:rsidP="008361A1">
            <w:pPr>
              <w:ind w:firstLine="0"/>
              <w:jc w:val="center"/>
              <w:rPr>
                <w:rFonts w:cs="Times New Roman"/>
                <w:sz w:val="21"/>
                <w:szCs w:val="21"/>
                <w:lang w:val="lt-LT"/>
              </w:rPr>
            </w:pPr>
            <w:r w:rsidRPr="003878A7">
              <w:rPr>
                <w:rFonts w:cs="Times New Roman"/>
                <w:sz w:val="21"/>
                <w:szCs w:val="21"/>
                <w:lang w:val="lt-LT"/>
              </w:rPr>
              <w:t>349</w:t>
            </w:r>
          </w:p>
        </w:tc>
      </w:tr>
      <w:tr w:rsidR="00F277A2" w:rsidRPr="003878A7" w14:paraId="10E680DB" w14:textId="77777777" w:rsidTr="008361A1">
        <w:tc>
          <w:tcPr>
            <w:tcW w:w="555" w:type="pct"/>
            <w:vAlign w:val="center"/>
          </w:tcPr>
          <w:p w14:paraId="5BB2CDB6" w14:textId="77777777" w:rsidR="00F277A2" w:rsidRPr="003878A7" w:rsidRDefault="00F277A2" w:rsidP="008361A1">
            <w:pPr>
              <w:ind w:firstLine="0"/>
              <w:jc w:val="left"/>
              <w:rPr>
                <w:rFonts w:cs="Times New Roman"/>
                <w:sz w:val="21"/>
                <w:szCs w:val="21"/>
                <w:lang w:val="lt-LT"/>
              </w:rPr>
            </w:pPr>
            <w:r w:rsidRPr="003878A7">
              <w:rPr>
                <w:rFonts w:cs="Times New Roman"/>
                <w:sz w:val="21"/>
                <w:szCs w:val="21"/>
                <w:lang w:val="lt-LT"/>
              </w:rPr>
              <w:t>Iki 2022 m. renovuotų pastatų plotas, tūkst. kv. m.</w:t>
            </w:r>
          </w:p>
        </w:tc>
        <w:tc>
          <w:tcPr>
            <w:tcW w:w="556" w:type="pct"/>
            <w:vAlign w:val="center"/>
          </w:tcPr>
          <w:p w14:paraId="758AB401" w14:textId="77777777" w:rsidR="00F277A2" w:rsidRPr="003878A7" w:rsidRDefault="00F277A2" w:rsidP="008361A1">
            <w:pPr>
              <w:ind w:firstLine="0"/>
              <w:jc w:val="center"/>
              <w:rPr>
                <w:rFonts w:cs="Times New Roman"/>
                <w:sz w:val="21"/>
                <w:szCs w:val="21"/>
                <w:lang w:val="lt-LT"/>
              </w:rPr>
            </w:pPr>
            <w:r w:rsidRPr="003878A7">
              <w:rPr>
                <w:rFonts w:cs="Times New Roman"/>
                <w:sz w:val="21"/>
                <w:szCs w:val="21"/>
                <w:lang w:val="lt-LT"/>
              </w:rPr>
              <w:t>225,4</w:t>
            </w:r>
          </w:p>
        </w:tc>
        <w:tc>
          <w:tcPr>
            <w:tcW w:w="556" w:type="pct"/>
            <w:vAlign w:val="center"/>
          </w:tcPr>
          <w:p w14:paraId="652871FD" w14:textId="77777777" w:rsidR="00F277A2" w:rsidRPr="003878A7" w:rsidRDefault="00F277A2" w:rsidP="008361A1">
            <w:pPr>
              <w:ind w:firstLine="0"/>
              <w:jc w:val="center"/>
              <w:rPr>
                <w:rFonts w:cs="Times New Roman"/>
                <w:sz w:val="21"/>
                <w:szCs w:val="21"/>
                <w:lang w:val="lt-LT"/>
              </w:rPr>
            </w:pPr>
            <w:r w:rsidRPr="003878A7">
              <w:rPr>
                <w:rFonts w:cs="Times New Roman"/>
                <w:sz w:val="21"/>
                <w:szCs w:val="21"/>
                <w:lang w:val="lt-LT"/>
              </w:rPr>
              <w:t>517,0</w:t>
            </w:r>
          </w:p>
        </w:tc>
        <w:tc>
          <w:tcPr>
            <w:tcW w:w="556" w:type="pct"/>
            <w:vAlign w:val="center"/>
          </w:tcPr>
          <w:p w14:paraId="5BA9D8D7" w14:textId="77777777" w:rsidR="00F277A2" w:rsidRPr="003878A7" w:rsidRDefault="00F277A2" w:rsidP="008361A1">
            <w:pPr>
              <w:ind w:firstLine="0"/>
              <w:jc w:val="center"/>
              <w:rPr>
                <w:rFonts w:cs="Times New Roman"/>
                <w:sz w:val="21"/>
                <w:szCs w:val="21"/>
                <w:lang w:val="lt-LT"/>
              </w:rPr>
            </w:pPr>
            <w:r w:rsidRPr="003878A7">
              <w:rPr>
                <w:rFonts w:cs="Times New Roman"/>
                <w:sz w:val="21"/>
                <w:szCs w:val="21"/>
                <w:lang w:val="lt-LT"/>
              </w:rPr>
              <w:t>492,0</w:t>
            </w:r>
          </w:p>
        </w:tc>
        <w:tc>
          <w:tcPr>
            <w:tcW w:w="556" w:type="pct"/>
            <w:vAlign w:val="center"/>
          </w:tcPr>
          <w:p w14:paraId="1DF09975" w14:textId="77777777" w:rsidR="00F277A2" w:rsidRPr="003878A7" w:rsidRDefault="00F277A2" w:rsidP="008361A1">
            <w:pPr>
              <w:ind w:firstLine="0"/>
              <w:jc w:val="center"/>
              <w:rPr>
                <w:rFonts w:cs="Times New Roman"/>
                <w:sz w:val="21"/>
                <w:szCs w:val="21"/>
                <w:lang w:val="lt-LT"/>
              </w:rPr>
            </w:pPr>
            <w:r w:rsidRPr="003878A7">
              <w:rPr>
                <w:rFonts w:cs="Times New Roman"/>
                <w:sz w:val="21"/>
                <w:szCs w:val="21"/>
                <w:lang w:val="lt-LT"/>
              </w:rPr>
              <w:t>586,0</w:t>
            </w:r>
          </w:p>
        </w:tc>
        <w:tc>
          <w:tcPr>
            <w:tcW w:w="556" w:type="pct"/>
            <w:vAlign w:val="center"/>
          </w:tcPr>
          <w:p w14:paraId="323BDFD1" w14:textId="77777777" w:rsidR="00F277A2" w:rsidRPr="003878A7" w:rsidRDefault="00F277A2" w:rsidP="008361A1">
            <w:pPr>
              <w:ind w:firstLine="0"/>
              <w:jc w:val="center"/>
              <w:rPr>
                <w:rFonts w:cs="Times New Roman"/>
                <w:sz w:val="21"/>
                <w:szCs w:val="21"/>
                <w:lang w:val="lt-LT"/>
              </w:rPr>
            </w:pPr>
            <w:r w:rsidRPr="003878A7">
              <w:rPr>
                <w:rFonts w:cs="Times New Roman"/>
                <w:sz w:val="21"/>
                <w:szCs w:val="21"/>
                <w:lang w:val="lt-LT"/>
              </w:rPr>
              <w:t>383,2</w:t>
            </w:r>
          </w:p>
        </w:tc>
        <w:tc>
          <w:tcPr>
            <w:tcW w:w="556" w:type="pct"/>
            <w:vAlign w:val="center"/>
          </w:tcPr>
          <w:p w14:paraId="3E062540" w14:textId="77777777" w:rsidR="00F277A2" w:rsidRPr="003878A7" w:rsidRDefault="00F277A2" w:rsidP="008361A1">
            <w:pPr>
              <w:ind w:firstLine="0"/>
              <w:jc w:val="center"/>
              <w:rPr>
                <w:rFonts w:cs="Times New Roman"/>
                <w:sz w:val="21"/>
                <w:szCs w:val="21"/>
                <w:lang w:val="lt-LT"/>
              </w:rPr>
            </w:pPr>
            <w:r w:rsidRPr="003878A7">
              <w:rPr>
                <w:rFonts w:cs="Times New Roman"/>
                <w:sz w:val="21"/>
                <w:szCs w:val="21"/>
                <w:lang w:val="lt-LT"/>
              </w:rPr>
              <w:t>473,3</w:t>
            </w:r>
          </w:p>
        </w:tc>
        <w:tc>
          <w:tcPr>
            <w:tcW w:w="556" w:type="pct"/>
            <w:vAlign w:val="center"/>
          </w:tcPr>
          <w:p w14:paraId="0CCFD74E" w14:textId="77777777" w:rsidR="00F277A2" w:rsidRPr="003878A7" w:rsidRDefault="00F277A2" w:rsidP="008361A1">
            <w:pPr>
              <w:ind w:firstLine="0"/>
              <w:jc w:val="center"/>
              <w:rPr>
                <w:rFonts w:cs="Times New Roman"/>
                <w:sz w:val="21"/>
                <w:szCs w:val="21"/>
                <w:lang w:val="lt-LT"/>
              </w:rPr>
            </w:pPr>
            <w:r w:rsidRPr="003878A7">
              <w:rPr>
                <w:rFonts w:cs="Times New Roman"/>
                <w:sz w:val="21"/>
                <w:szCs w:val="21"/>
                <w:lang w:val="lt-LT"/>
              </w:rPr>
              <w:t>563,5</w:t>
            </w:r>
          </w:p>
        </w:tc>
        <w:tc>
          <w:tcPr>
            <w:tcW w:w="553" w:type="pct"/>
            <w:vAlign w:val="center"/>
          </w:tcPr>
          <w:p w14:paraId="79857BAC" w14:textId="59D1B641" w:rsidR="00F277A2" w:rsidRPr="003878A7" w:rsidRDefault="00F277A2" w:rsidP="008361A1">
            <w:pPr>
              <w:ind w:firstLine="0"/>
              <w:jc w:val="center"/>
              <w:rPr>
                <w:rFonts w:cs="Times New Roman"/>
                <w:sz w:val="21"/>
                <w:szCs w:val="21"/>
                <w:lang w:val="lt-LT"/>
              </w:rPr>
            </w:pPr>
            <w:r w:rsidRPr="003878A7">
              <w:rPr>
                <w:rFonts w:cs="Times New Roman"/>
                <w:sz w:val="21"/>
                <w:szCs w:val="21"/>
                <w:lang w:val="lt-LT"/>
              </w:rPr>
              <w:t>393,3</w:t>
            </w:r>
          </w:p>
        </w:tc>
      </w:tr>
      <w:tr w:rsidR="00F277A2" w:rsidRPr="003878A7" w14:paraId="2461C7DD" w14:textId="77777777" w:rsidTr="008361A1">
        <w:tc>
          <w:tcPr>
            <w:tcW w:w="555" w:type="pct"/>
            <w:vAlign w:val="center"/>
          </w:tcPr>
          <w:p w14:paraId="75E9FF56" w14:textId="77777777" w:rsidR="00F277A2" w:rsidRPr="003878A7" w:rsidRDefault="00F277A2" w:rsidP="008361A1">
            <w:pPr>
              <w:pStyle w:val="Default"/>
              <w:rPr>
                <w:sz w:val="21"/>
                <w:szCs w:val="21"/>
                <w:lang w:val="lt-LT"/>
              </w:rPr>
            </w:pPr>
            <w:r w:rsidRPr="003878A7">
              <w:rPr>
                <w:sz w:val="21"/>
                <w:szCs w:val="21"/>
                <w:lang w:val="lt-LT"/>
              </w:rPr>
              <w:t xml:space="preserve">Projektų multiplikatorius </w:t>
            </w:r>
          </w:p>
        </w:tc>
        <w:tc>
          <w:tcPr>
            <w:tcW w:w="556" w:type="pct"/>
            <w:vAlign w:val="center"/>
          </w:tcPr>
          <w:p w14:paraId="2CF585C6" w14:textId="77777777" w:rsidR="00F277A2" w:rsidRPr="003878A7" w:rsidRDefault="00F277A2" w:rsidP="008361A1">
            <w:pPr>
              <w:ind w:firstLine="0"/>
              <w:jc w:val="center"/>
              <w:rPr>
                <w:rFonts w:cs="Times New Roman"/>
                <w:sz w:val="21"/>
                <w:szCs w:val="21"/>
                <w:lang w:val="lt-LT"/>
              </w:rPr>
            </w:pPr>
            <w:r w:rsidRPr="003878A7">
              <w:rPr>
                <w:rFonts w:cs="Times New Roman"/>
                <w:sz w:val="21"/>
                <w:szCs w:val="21"/>
                <w:lang w:val="lt-LT"/>
              </w:rPr>
              <w:t>0,99</w:t>
            </w:r>
          </w:p>
        </w:tc>
        <w:tc>
          <w:tcPr>
            <w:tcW w:w="556" w:type="pct"/>
            <w:vAlign w:val="center"/>
          </w:tcPr>
          <w:p w14:paraId="6219B666" w14:textId="77777777" w:rsidR="00F277A2" w:rsidRPr="003878A7" w:rsidRDefault="00F277A2" w:rsidP="008361A1">
            <w:pPr>
              <w:ind w:firstLine="0"/>
              <w:jc w:val="center"/>
              <w:rPr>
                <w:rFonts w:cs="Times New Roman"/>
                <w:sz w:val="21"/>
                <w:szCs w:val="21"/>
                <w:lang w:val="lt-LT"/>
              </w:rPr>
            </w:pPr>
            <w:r w:rsidRPr="003878A7">
              <w:rPr>
                <w:rFonts w:cs="Times New Roman"/>
                <w:sz w:val="21"/>
                <w:szCs w:val="21"/>
                <w:lang w:val="lt-LT"/>
              </w:rPr>
              <w:t>1,31</w:t>
            </w:r>
          </w:p>
        </w:tc>
        <w:tc>
          <w:tcPr>
            <w:tcW w:w="556" w:type="pct"/>
            <w:vAlign w:val="center"/>
          </w:tcPr>
          <w:p w14:paraId="0F774D1C" w14:textId="77777777" w:rsidR="00F277A2" w:rsidRPr="003878A7" w:rsidRDefault="00F277A2" w:rsidP="008361A1">
            <w:pPr>
              <w:ind w:firstLine="0"/>
              <w:jc w:val="center"/>
              <w:rPr>
                <w:rFonts w:cs="Times New Roman"/>
                <w:sz w:val="21"/>
                <w:szCs w:val="21"/>
                <w:lang w:val="lt-LT"/>
              </w:rPr>
            </w:pPr>
            <w:r w:rsidRPr="003878A7">
              <w:rPr>
                <w:rFonts w:cs="Times New Roman"/>
                <w:sz w:val="21"/>
                <w:szCs w:val="21"/>
                <w:lang w:val="lt-LT"/>
              </w:rPr>
              <w:t>1,25</w:t>
            </w:r>
          </w:p>
        </w:tc>
        <w:tc>
          <w:tcPr>
            <w:tcW w:w="556" w:type="pct"/>
            <w:vAlign w:val="center"/>
          </w:tcPr>
          <w:p w14:paraId="6ED5EDC8" w14:textId="77777777" w:rsidR="00F277A2" w:rsidRPr="003878A7" w:rsidRDefault="00F277A2" w:rsidP="008361A1">
            <w:pPr>
              <w:ind w:firstLine="0"/>
              <w:jc w:val="center"/>
              <w:rPr>
                <w:rFonts w:cs="Times New Roman"/>
                <w:sz w:val="21"/>
                <w:szCs w:val="21"/>
                <w:lang w:val="lt-LT"/>
              </w:rPr>
            </w:pPr>
            <w:r w:rsidRPr="003878A7">
              <w:rPr>
                <w:rFonts w:cs="Times New Roman"/>
                <w:sz w:val="21"/>
                <w:szCs w:val="21"/>
                <w:lang w:val="lt-LT"/>
              </w:rPr>
              <w:t>1,49</w:t>
            </w:r>
          </w:p>
        </w:tc>
        <w:tc>
          <w:tcPr>
            <w:tcW w:w="556" w:type="pct"/>
            <w:vAlign w:val="center"/>
          </w:tcPr>
          <w:p w14:paraId="200FFDDB" w14:textId="77777777" w:rsidR="00F277A2" w:rsidRPr="003878A7" w:rsidRDefault="00F277A2" w:rsidP="008361A1">
            <w:pPr>
              <w:ind w:firstLine="0"/>
              <w:jc w:val="center"/>
              <w:rPr>
                <w:rFonts w:cs="Times New Roman"/>
                <w:sz w:val="21"/>
                <w:szCs w:val="21"/>
                <w:lang w:val="lt-LT"/>
              </w:rPr>
            </w:pPr>
            <w:r w:rsidRPr="003878A7">
              <w:rPr>
                <w:rFonts w:cs="Times New Roman"/>
                <w:sz w:val="21"/>
                <w:szCs w:val="21"/>
                <w:lang w:val="lt-LT"/>
              </w:rPr>
              <w:t>0,97</w:t>
            </w:r>
          </w:p>
        </w:tc>
        <w:tc>
          <w:tcPr>
            <w:tcW w:w="556" w:type="pct"/>
            <w:vAlign w:val="center"/>
          </w:tcPr>
          <w:p w14:paraId="208A7920" w14:textId="77777777" w:rsidR="00F277A2" w:rsidRPr="003878A7" w:rsidRDefault="00F277A2" w:rsidP="008361A1">
            <w:pPr>
              <w:ind w:firstLine="0"/>
              <w:jc w:val="center"/>
              <w:rPr>
                <w:rFonts w:cs="Times New Roman"/>
                <w:sz w:val="21"/>
                <w:szCs w:val="21"/>
                <w:lang w:val="lt-LT"/>
              </w:rPr>
            </w:pPr>
            <w:r w:rsidRPr="003878A7">
              <w:rPr>
                <w:rFonts w:cs="Times New Roman"/>
                <w:sz w:val="21"/>
                <w:szCs w:val="21"/>
                <w:lang w:val="lt-LT"/>
              </w:rPr>
              <w:t>1,35</w:t>
            </w:r>
          </w:p>
        </w:tc>
        <w:tc>
          <w:tcPr>
            <w:tcW w:w="556" w:type="pct"/>
            <w:vAlign w:val="center"/>
          </w:tcPr>
          <w:p w14:paraId="7B558DCC" w14:textId="77777777" w:rsidR="00F277A2" w:rsidRPr="003878A7" w:rsidRDefault="00F277A2" w:rsidP="008361A1">
            <w:pPr>
              <w:ind w:firstLine="0"/>
              <w:jc w:val="center"/>
              <w:rPr>
                <w:rFonts w:cs="Times New Roman"/>
                <w:sz w:val="21"/>
                <w:szCs w:val="21"/>
                <w:lang w:val="lt-LT"/>
              </w:rPr>
            </w:pPr>
            <w:r w:rsidRPr="003878A7">
              <w:rPr>
                <w:rFonts w:cs="Times New Roman"/>
                <w:sz w:val="21"/>
                <w:szCs w:val="21"/>
                <w:lang w:val="lt-LT"/>
              </w:rPr>
              <w:t>1,43</w:t>
            </w:r>
          </w:p>
        </w:tc>
        <w:tc>
          <w:tcPr>
            <w:tcW w:w="553" w:type="pct"/>
            <w:vAlign w:val="center"/>
          </w:tcPr>
          <w:p w14:paraId="1C2DCEC3" w14:textId="29A784E5" w:rsidR="00F277A2" w:rsidRPr="003878A7" w:rsidRDefault="008361A1" w:rsidP="008361A1">
            <w:pPr>
              <w:ind w:firstLine="0"/>
              <w:jc w:val="center"/>
              <w:rPr>
                <w:rFonts w:cs="Times New Roman"/>
                <w:sz w:val="21"/>
                <w:szCs w:val="21"/>
                <w:lang w:val="lt-LT"/>
              </w:rPr>
            </w:pPr>
            <w:r w:rsidRPr="003878A7">
              <w:rPr>
                <w:rFonts w:cs="Times New Roman"/>
                <w:sz w:val="21"/>
                <w:szCs w:val="21"/>
                <w:lang w:val="lt-LT"/>
              </w:rPr>
              <w:t>n/a</w:t>
            </w:r>
          </w:p>
        </w:tc>
      </w:tr>
      <w:tr w:rsidR="00F277A2" w:rsidRPr="003878A7" w14:paraId="02C0D7CC" w14:textId="77777777" w:rsidTr="008361A1">
        <w:tc>
          <w:tcPr>
            <w:tcW w:w="555" w:type="pct"/>
            <w:vAlign w:val="center"/>
          </w:tcPr>
          <w:p w14:paraId="563D2587" w14:textId="77777777" w:rsidR="00F277A2" w:rsidRPr="003878A7" w:rsidRDefault="00F277A2" w:rsidP="008361A1">
            <w:pPr>
              <w:ind w:firstLine="0"/>
              <w:jc w:val="left"/>
              <w:rPr>
                <w:rFonts w:cs="Times New Roman"/>
                <w:sz w:val="21"/>
                <w:szCs w:val="21"/>
                <w:lang w:val="lt-LT"/>
              </w:rPr>
            </w:pPr>
            <w:r w:rsidRPr="003878A7">
              <w:rPr>
                <w:rFonts w:cs="Times New Roman"/>
                <w:sz w:val="21"/>
                <w:szCs w:val="21"/>
                <w:lang w:val="lt-LT"/>
              </w:rPr>
              <w:t>Sverto efektas</w:t>
            </w:r>
          </w:p>
        </w:tc>
        <w:tc>
          <w:tcPr>
            <w:tcW w:w="556" w:type="pct"/>
            <w:vAlign w:val="center"/>
          </w:tcPr>
          <w:p w14:paraId="02D58762" w14:textId="77777777" w:rsidR="00F277A2" w:rsidRPr="003878A7" w:rsidRDefault="00F277A2" w:rsidP="008361A1">
            <w:pPr>
              <w:ind w:firstLine="0"/>
              <w:jc w:val="center"/>
              <w:rPr>
                <w:rFonts w:cs="Times New Roman"/>
                <w:sz w:val="21"/>
                <w:szCs w:val="21"/>
                <w:lang w:val="lt-LT"/>
              </w:rPr>
            </w:pPr>
            <w:r w:rsidRPr="003878A7">
              <w:rPr>
                <w:rFonts w:cs="Times New Roman"/>
                <w:sz w:val="21"/>
                <w:szCs w:val="21"/>
                <w:lang w:val="lt-LT"/>
              </w:rPr>
              <w:t>1,1</w:t>
            </w:r>
          </w:p>
        </w:tc>
        <w:tc>
          <w:tcPr>
            <w:tcW w:w="556" w:type="pct"/>
            <w:vAlign w:val="center"/>
          </w:tcPr>
          <w:p w14:paraId="54B77E30" w14:textId="77777777" w:rsidR="00F277A2" w:rsidRPr="003878A7" w:rsidRDefault="00F277A2" w:rsidP="008361A1">
            <w:pPr>
              <w:ind w:firstLine="0"/>
              <w:jc w:val="center"/>
              <w:rPr>
                <w:rFonts w:cs="Times New Roman"/>
                <w:sz w:val="21"/>
                <w:szCs w:val="21"/>
                <w:lang w:val="lt-LT"/>
              </w:rPr>
            </w:pPr>
            <w:r w:rsidRPr="003878A7">
              <w:rPr>
                <w:rFonts w:cs="Times New Roman"/>
                <w:sz w:val="21"/>
                <w:szCs w:val="21"/>
                <w:lang w:val="lt-LT"/>
              </w:rPr>
              <w:t>1,87</w:t>
            </w:r>
          </w:p>
        </w:tc>
        <w:tc>
          <w:tcPr>
            <w:tcW w:w="556" w:type="pct"/>
            <w:vAlign w:val="center"/>
          </w:tcPr>
          <w:p w14:paraId="1E70CB23" w14:textId="77777777" w:rsidR="00F277A2" w:rsidRPr="003878A7" w:rsidRDefault="00F277A2" w:rsidP="008361A1">
            <w:pPr>
              <w:ind w:firstLine="0"/>
              <w:jc w:val="center"/>
              <w:rPr>
                <w:rFonts w:cs="Times New Roman"/>
                <w:sz w:val="21"/>
                <w:szCs w:val="21"/>
                <w:lang w:val="lt-LT"/>
              </w:rPr>
            </w:pPr>
            <w:r w:rsidRPr="003878A7">
              <w:rPr>
                <w:rFonts w:cs="Times New Roman"/>
                <w:sz w:val="21"/>
                <w:szCs w:val="21"/>
                <w:lang w:val="lt-LT"/>
              </w:rPr>
              <w:t>1,84</w:t>
            </w:r>
          </w:p>
        </w:tc>
        <w:tc>
          <w:tcPr>
            <w:tcW w:w="556" w:type="pct"/>
            <w:vAlign w:val="center"/>
          </w:tcPr>
          <w:p w14:paraId="682DC412" w14:textId="77777777" w:rsidR="00F277A2" w:rsidRPr="003878A7" w:rsidRDefault="00F277A2" w:rsidP="008361A1">
            <w:pPr>
              <w:ind w:firstLine="0"/>
              <w:jc w:val="center"/>
              <w:rPr>
                <w:rFonts w:cs="Times New Roman"/>
                <w:sz w:val="21"/>
                <w:szCs w:val="21"/>
                <w:lang w:val="lt-LT"/>
              </w:rPr>
            </w:pPr>
            <w:r w:rsidRPr="003878A7">
              <w:rPr>
                <w:rFonts w:cs="Times New Roman"/>
                <w:sz w:val="21"/>
                <w:szCs w:val="21"/>
                <w:lang w:val="lt-LT"/>
              </w:rPr>
              <w:t>2,21</w:t>
            </w:r>
          </w:p>
        </w:tc>
        <w:tc>
          <w:tcPr>
            <w:tcW w:w="556" w:type="pct"/>
            <w:vAlign w:val="center"/>
          </w:tcPr>
          <w:p w14:paraId="3EC7D5E2" w14:textId="77777777" w:rsidR="00F277A2" w:rsidRPr="003878A7" w:rsidRDefault="00F277A2" w:rsidP="008361A1">
            <w:pPr>
              <w:ind w:firstLine="0"/>
              <w:jc w:val="center"/>
              <w:rPr>
                <w:rFonts w:cs="Times New Roman"/>
                <w:sz w:val="21"/>
                <w:szCs w:val="21"/>
                <w:lang w:val="lt-LT"/>
              </w:rPr>
            </w:pPr>
            <w:r w:rsidRPr="003878A7">
              <w:rPr>
                <w:rFonts w:cs="Times New Roman"/>
                <w:sz w:val="21"/>
                <w:szCs w:val="21"/>
                <w:lang w:val="lt-LT"/>
              </w:rPr>
              <w:t>2,22</w:t>
            </w:r>
          </w:p>
        </w:tc>
        <w:tc>
          <w:tcPr>
            <w:tcW w:w="556" w:type="pct"/>
            <w:vAlign w:val="center"/>
          </w:tcPr>
          <w:p w14:paraId="136515CC" w14:textId="77777777" w:rsidR="00F277A2" w:rsidRPr="003878A7" w:rsidRDefault="00F277A2" w:rsidP="008361A1">
            <w:pPr>
              <w:ind w:firstLine="0"/>
              <w:jc w:val="center"/>
              <w:rPr>
                <w:rFonts w:cs="Times New Roman"/>
                <w:sz w:val="21"/>
                <w:szCs w:val="21"/>
                <w:lang w:val="lt-LT"/>
              </w:rPr>
            </w:pPr>
            <w:r w:rsidRPr="003878A7">
              <w:rPr>
                <w:rFonts w:cs="Times New Roman"/>
                <w:sz w:val="21"/>
                <w:szCs w:val="21"/>
                <w:lang w:val="lt-LT"/>
              </w:rPr>
              <w:t>2,05</w:t>
            </w:r>
          </w:p>
        </w:tc>
        <w:tc>
          <w:tcPr>
            <w:tcW w:w="556" w:type="pct"/>
            <w:vAlign w:val="center"/>
          </w:tcPr>
          <w:p w14:paraId="2801ECA8" w14:textId="77777777" w:rsidR="00F277A2" w:rsidRPr="003878A7" w:rsidRDefault="00F277A2" w:rsidP="008361A1">
            <w:pPr>
              <w:ind w:firstLine="0"/>
              <w:jc w:val="center"/>
              <w:rPr>
                <w:rFonts w:cs="Times New Roman"/>
                <w:sz w:val="21"/>
                <w:szCs w:val="21"/>
                <w:lang w:val="lt-LT"/>
              </w:rPr>
            </w:pPr>
            <w:r w:rsidRPr="003878A7">
              <w:rPr>
                <w:rFonts w:cs="Times New Roman"/>
                <w:sz w:val="21"/>
                <w:szCs w:val="21"/>
                <w:lang w:val="lt-LT"/>
              </w:rPr>
              <w:t>2,78</w:t>
            </w:r>
          </w:p>
        </w:tc>
        <w:tc>
          <w:tcPr>
            <w:tcW w:w="553" w:type="pct"/>
            <w:vAlign w:val="center"/>
          </w:tcPr>
          <w:p w14:paraId="6CE0AFB0" w14:textId="202D81AC" w:rsidR="00F277A2" w:rsidRPr="003878A7" w:rsidRDefault="008361A1" w:rsidP="008361A1">
            <w:pPr>
              <w:ind w:firstLine="0"/>
              <w:jc w:val="center"/>
              <w:rPr>
                <w:rFonts w:cs="Times New Roman"/>
                <w:sz w:val="21"/>
                <w:szCs w:val="21"/>
                <w:lang w:val="lt-LT"/>
              </w:rPr>
            </w:pPr>
            <w:r w:rsidRPr="003878A7">
              <w:rPr>
                <w:rFonts w:cs="Times New Roman"/>
                <w:sz w:val="21"/>
                <w:szCs w:val="21"/>
                <w:lang w:val="lt-LT"/>
              </w:rPr>
              <w:t>n/a</w:t>
            </w:r>
          </w:p>
        </w:tc>
      </w:tr>
    </w:tbl>
    <w:p w14:paraId="0B676766" w14:textId="52439C15" w:rsidR="00F277A2" w:rsidRPr="003878A7" w:rsidRDefault="00F01E02" w:rsidP="00F01E02">
      <w:pPr>
        <w:pStyle w:val="Heading1"/>
        <w:numPr>
          <w:ilvl w:val="0"/>
          <w:numId w:val="0"/>
        </w:numPr>
        <w:ind w:left="360"/>
        <w:rPr>
          <w:rFonts w:cs="Times New Roman"/>
        </w:rPr>
      </w:pPr>
      <w:bookmarkStart w:id="67" w:name="_Toc70532893"/>
      <w:r w:rsidRPr="003878A7">
        <w:rPr>
          <w:rFonts w:cs="Times New Roman"/>
        </w:rPr>
        <w:t xml:space="preserve">3 priedas. FP taikymo </w:t>
      </w:r>
      <w:r w:rsidR="00950700" w:rsidRPr="003878A7">
        <w:rPr>
          <w:rFonts w:cs="Times New Roman"/>
        </w:rPr>
        <w:t>scenarijų</w:t>
      </w:r>
      <w:r w:rsidRPr="003878A7">
        <w:rPr>
          <w:rFonts w:cs="Times New Roman"/>
        </w:rPr>
        <w:t xml:space="preserve"> palyginimas</w:t>
      </w:r>
      <w:r w:rsidR="00CD35CC" w:rsidRPr="003878A7">
        <w:rPr>
          <w:rFonts w:cs="Times New Roman"/>
        </w:rPr>
        <w:t xml:space="preserve"> </w:t>
      </w:r>
      <w:r w:rsidR="00F277A2" w:rsidRPr="003878A7">
        <w:rPr>
          <w:rFonts w:cs="Times New Roman"/>
        </w:rPr>
        <w:t xml:space="preserve">įgyvendinant </w:t>
      </w:r>
      <w:r w:rsidR="00CD35CC" w:rsidRPr="003878A7">
        <w:rPr>
          <w:rFonts w:cs="Times New Roman"/>
        </w:rPr>
        <w:t xml:space="preserve">centrinės valdžios pastatų renovavimo  </w:t>
      </w:r>
      <w:r w:rsidR="00F277A2" w:rsidRPr="003878A7">
        <w:rPr>
          <w:rFonts w:cs="Times New Roman"/>
        </w:rPr>
        <w:t>projektus</w:t>
      </w:r>
      <w:bookmarkEnd w:id="67"/>
    </w:p>
    <w:p w14:paraId="1B128B00" w14:textId="77777777" w:rsidR="006D7B19" w:rsidRPr="003878A7" w:rsidRDefault="006D7B19" w:rsidP="006D7B19">
      <w:pPr>
        <w:spacing w:after="0"/>
        <w:rPr>
          <w:rFonts w:cs="Times New Roman"/>
          <w:sz w:val="20"/>
          <w:szCs w:val="20"/>
        </w:rPr>
      </w:pPr>
      <w:r w:rsidRPr="003878A7">
        <w:rPr>
          <w:rFonts w:cs="Times New Roman"/>
          <w:sz w:val="20"/>
          <w:szCs w:val="20"/>
        </w:rPr>
        <w:t>Šaltinis: sudaryta Vertintojų</w:t>
      </w:r>
    </w:p>
    <w:p w14:paraId="3A2EB72F" w14:textId="77777777" w:rsidR="00F277A2" w:rsidRPr="003878A7" w:rsidRDefault="00F277A2">
      <w:pPr>
        <w:spacing w:before="0" w:after="160" w:line="259" w:lineRule="auto"/>
        <w:ind w:firstLine="0"/>
        <w:jc w:val="left"/>
        <w:rPr>
          <w:rFonts w:eastAsiaTheme="majorEastAsia" w:cs="Times New Roman"/>
          <w:b/>
          <w:sz w:val="24"/>
          <w:szCs w:val="32"/>
        </w:rPr>
      </w:pPr>
      <w:r w:rsidRPr="003878A7">
        <w:rPr>
          <w:rFonts w:cs="Times New Roman"/>
        </w:rPr>
        <w:br w:type="page"/>
      </w:r>
    </w:p>
    <w:p w14:paraId="2D364E02" w14:textId="594BCD30" w:rsidR="00F277A2" w:rsidRPr="003878A7" w:rsidRDefault="00F277A2" w:rsidP="00F277A2">
      <w:pPr>
        <w:pStyle w:val="Heading1"/>
        <w:numPr>
          <w:ilvl w:val="0"/>
          <w:numId w:val="0"/>
        </w:numPr>
        <w:ind w:left="360"/>
        <w:rPr>
          <w:rFonts w:eastAsiaTheme="minorEastAsia" w:cs="Times New Roman"/>
          <w:b w:val="0"/>
          <w:bCs/>
          <w:color w:val="0070C0"/>
          <w:szCs w:val="18"/>
        </w:rPr>
      </w:pPr>
      <w:bookmarkStart w:id="68" w:name="_Toc70532894"/>
      <w:r w:rsidRPr="003878A7">
        <w:rPr>
          <w:rFonts w:cs="Times New Roman"/>
        </w:rPr>
        <w:lastRenderedPageBreak/>
        <w:t xml:space="preserve">4 priedas. FP taikymo </w:t>
      </w:r>
      <w:r w:rsidR="00950700" w:rsidRPr="003878A7">
        <w:rPr>
          <w:rFonts w:cs="Times New Roman"/>
        </w:rPr>
        <w:t>scenarijų</w:t>
      </w:r>
      <w:r w:rsidRPr="003878A7">
        <w:rPr>
          <w:rFonts w:cs="Times New Roman"/>
        </w:rPr>
        <w:t xml:space="preserve"> palyginimas įgyvendinant gatvės apšvietimo modernizavimo  projektus</w:t>
      </w:r>
      <w:bookmarkEnd w:id="68"/>
    </w:p>
    <w:tbl>
      <w:tblPr>
        <w:tblStyle w:val="TableGrid"/>
        <w:tblW w:w="5000" w:type="pct"/>
        <w:tblLook w:val="04A0" w:firstRow="1" w:lastRow="0" w:firstColumn="1" w:lastColumn="0" w:noHBand="0" w:noVBand="1"/>
      </w:tblPr>
      <w:tblGrid>
        <w:gridCol w:w="1371"/>
        <w:gridCol w:w="1079"/>
        <w:gridCol w:w="1079"/>
        <w:gridCol w:w="1079"/>
        <w:gridCol w:w="1079"/>
        <w:gridCol w:w="1049"/>
        <w:gridCol w:w="1140"/>
        <w:gridCol w:w="1069"/>
        <w:gridCol w:w="909"/>
      </w:tblGrid>
      <w:tr w:rsidR="00196EA6" w:rsidRPr="003878A7" w14:paraId="127AC630" w14:textId="77777777" w:rsidTr="003878A7">
        <w:tc>
          <w:tcPr>
            <w:tcW w:w="696" w:type="pct"/>
            <w:vAlign w:val="center"/>
          </w:tcPr>
          <w:p w14:paraId="05B457BD" w14:textId="0DA31998" w:rsidR="00F277A2" w:rsidRPr="003878A7" w:rsidRDefault="00F277A2" w:rsidP="00196EA6">
            <w:pPr>
              <w:pStyle w:val="Pagrindinispaprastastekstas"/>
              <w:rPr>
                <w:rFonts w:ascii="Times New Roman" w:eastAsiaTheme="minorEastAsia" w:hAnsi="Times New Roman"/>
                <w:b/>
                <w:bCs/>
                <w:sz w:val="21"/>
                <w:szCs w:val="21"/>
                <w:lang w:val="lt-LT"/>
              </w:rPr>
            </w:pPr>
            <w:r w:rsidRPr="003878A7">
              <w:rPr>
                <w:rFonts w:ascii="Times New Roman" w:hAnsi="Times New Roman"/>
                <w:b/>
                <w:bCs/>
                <w:sz w:val="21"/>
                <w:szCs w:val="21"/>
                <w:lang w:val="lt-LT"/>
              </w:rPr>
              <w:t>FP</w:t>
            </w:r>
          </w:p>
        </w:tc>
        <w:tc>
          <w:tcPr>
            <w:tcW w:w="547" w:type="pct"/>
            <w:vAlign w:val="center"/>
          </w:tcPr>
          <w:p w14:paraId="7296A867" w14:textId="72DDB76A" w:rsidR="00F277A2" w:rsidRPr="003878A7" w:rsidRDefault="00F277A2" w:rsidP="00196EA6">
            <w:pPr>
              <w:pStyle w:val="Pagrindinispaprastastekstas"/>
              <w:jc w:val="center"/>
              <w:rPr>
                <w:rFonts w:ascii="Times New Roman" w:eastAsiaTheme="minorEastAsia" w:hAnsi="Times New Roman"/>
                <w:b/>
                <w:bCs/>
                <w:sz w:val="21"/>
                <w:szCs w:val="21"/>
                <w:lang w:val="lt-LT"/>
              </w:rPr>
            </w:pPr>
            <w:r w:rsidRPr="003878A7">
              <w:rPr>
                <w:rFonts w:ascii="Times New Roman" w:hAnsi="Times New Roman"/>
                <w:b/>
                <w:bCs/>
                <w:sz w:val="21"/>
                <w:szCs w:val="21"/>
                <w:lang w:val="lt-LT"/>
              </w:rPr>
              <w:t>Lengv</w:t>
            </w:r>
            <w:r w:rsidR="008361A1" w:rsidRPr="003878A7">
              <w:rPr>
                <w:rFonts w:ascii="Times New Roman" w:hAnsi="Times New Roman"/>
                <w:b/>
                <w:bCs/>
                <w:sz w:val="21"/>
                <w:szCs w:val="21"/>
                <w:lang w:val="lt-LT"/>
              </w:rPr>
              <w:t>a</w:t>
            </w:r>
            <w:r w:rsidRPr="003878A7">
              <w:rPr>
                <w:rFonts w:ascii="Times New Roman" w:hAnsi="Times New Roman"/>
                <w:b/>
                <w:bCs/>
                <w:sz w:val="21"/>
                <w:szCs w:val="21"/>
                <w:lang w:val="lt-LT"/>
              </w:rPr>
              <w:t>tinė paskola</w:t>
            </w:r>
          </w:p>
        </w:tc>
        <w:tc>
          <w:tcPr>
            <w:tcW w:w="547" w:type="pct"/>
            <w:vAlign w:val="center"/>
          </w:tcPr>
          <w:p w14:paraId="18C760D8" w14:textId="4EEEAF6E" w:rsidR="00F277A2" w:rsidRPr="003878A7" w:rsidRDefault="00F277A2" w:rsidP="00196EA6">
            <w:pPr>
              <w:pStyle w:val="Pagrindinispaprastastekstas"/>
              <w:jc w:val="center"/>
              <w:rPr>
                <w:rFonts w:ascii="Times New Roman" w:eastAsiaTheme="minorEastAsia" w:hAnsi="Times New Roman"/>
                <w:b/>
                <w:bCs/>
                <w:sz w:val="21"/>
                <w:szCs w:val="21"/>
                <w:lang w:val="lt-LT"/>
              </w:rPr>
            </w:pPr>
            <w:r w:rsidRPr="003878A7">
              <w:rPr>
                <w:rFonts w:ascii="Times New Roman" w:hAnsi="Times New Roman"/>
                <w:b/>
                <w:bCs/>
                <w:sz w:val="21"/>
                <w:szCs w:val="21"/>
                <w:lang w:val="lt-LT"/>
              </w:rPr>
              <w:t>Lengvatinė paskola + investicinis fondas</w:t>
            </w:r>
          </w:p>
        </w:tc>
        <w:tc>
          <w:tcPr>
            <w:tcW w:w="547" w:type="pct"/>
            <w:vAlign w:val="center"/>
          </w:tcPr>
          <w:p w14:paraId="24221FC9" w14:textId="1698296E" w:rsidR="00F277A2" w:rsidRPr="003878A7" w:rsidRDefault="00F277A2" w:rsidP="00196EA6">
            <w:pPr>
              <w:pStyle w:val="Pagrindinispaprastastekstas"/>
              <w:jc w:val="center"/>
              <w:rPr>
                <w:rFonts w:ascii="Times New Roman" w:hAnsi="Times New Roman"/>
                <w:b/>
                <w:bCs/>
                <w:sz w:val="21"/>
                <w:szCs w:val="21"/>
                <w:lang w:val="lt-LT"/>
              </w:rPr>
            </w:pPr>
            <w:r w:rsidRPr="003878A7">
              <w:rPr>
                <w:rFonts w:ascii="Times New Roman" w:hAnsi="Times New Roman"/>
                <w:b/>
                <w:bCs/>
                <w:sz w:val="21"/>
                <w:szCs w:val="21"/>
                <w:lang w:val="lt-LT"/>
              </w:rPr>
              <w:t>Lengvatinė paskola + garantijos bankams</w:t>
            </w:r>
          </w:p>
          <w:p w14:paraId="33DB07D3" w14:textId="77777777" w:rsidR="00F277A2" w:rsidRPr="003878A7" w:rsidRDefault="00F277A2" w:rsidP="00196EA6">
            <w:pPr>
              <w:pStyle w:val="Pagrindinispaprastastekstas"/>
              <w:jc w:val="center"/>
              <w:rPr>
                <w:rFonts w:ascii="Times New Roman" w:eastAsiaTheme="minorEastAsia" w:hAnsi="Times New Roman"/>
                <w:b/>
                <w:bCs/>
                <w:sz w:val="21"/>
                <w:szCs w:val="21"/>
                <w:lang w:val="lt-LT"/>
              </w:rPr>
            </w:pPr>
          </w:p>
        </w:tc>
        <w:tc>
          <w:tcPr>
            <w:tcW w:w="547" w:type="pct"/>
            <w:vAlign w:val="center"/>
          </w:tcPr>
          <w:p w14:paraId="4C2A187E" w14:textId="2DDBFFD6" w:rsidR="00F277A2" w:rsidRPr="003878A7" w:rsidRDefault="00F277A2" w:rsidP="00196EA6">
            <w:pPr>
              <w:pStyle w:val="Pagrindinispaprastastekstas"/>
              <w:jc w:val="center"/>
              <w:rPr>
                <w:rFonts w:ascii="Times New Roman" w:hAnsi="Times New Roman"/>
                <w:b/>
                <w:bCs/>
                <w:sz w:val="21"/>
                <w:szCs w:val="21"/>
                <w:lang w:val="lt-LT"/>
              </w:rPr>
            </w:pPr>
            <w:r w:rsidRPr="003878A7">
              <w:rPr>
                <w:rFonts w:ascii="Times New Roman" w:hAnsi="Times New Roman"/>
                <w:b/>
                <w:bCs/>
                <w:sz w:val="21"/>
                <w:szCs w:val="21"/>
                <w:lang w:val="lt-LT"/>
              </w:rPr>
              <w:t>Lengvatinė paskola + garantijos bankams</w:t>
            </w:r>
          </w:p>
          <w:p w14:paraId="74C7FCD2" w14:textId="51CAED85" w:rsidR="00F277A2" w:rsidRPr="003878A7" w:rsidRDefault="00F277A2" w:rsidP="00196EA6">
            <w:pPr>
              <w:pStyle w:val="Pagrindinispaprastastekstas"/>
              <w:jc w:val="center"/>
              <w:rPr>
                <w:rFonts w:ascii="Times New Roman" w:eastAsiaTheme="minorEastAsia" w:hAnsi="Times New Roman"/>
                <w:b/>
                <w:bCs/>
                <w:sz w:val="21"/>
                <w:szCs w:val="21"/>
                <w:lang w:val="lt-LT"/>
              </w:rPr>
            </w:pPr>
            <w:r w:rsidRPr="003878A7">
              <w:rPr>
                <w:rFonts w:ascii="Times New Roman" w:hAnsi="Times New Roman"/>
                <w:b/>
                <w:bCs/>
                <w:sz w:val="21"/>
                <w:szCs w:val="21"/>
                <w:lang w:val="lt-LT"/>
              </w:rPr>
              <w:t>+ investicinis fondas</w:t>
            </w:r>
          </w:p>
        </w:tc>
        <w:tc>
          <w:tcPr>
            <w:tcW w:w="532" w:type="pct"/>
            <w:vAlign w:val="center"/>
          </w:tcPr>
          <w:p w14:paraId="747FBC36" w14:textId="5E0DB45D" w:rsidR="00F277A2" w:rsidRPr="003878A7" w:rsidRDefault="00F277A2" w:rsidP="00196EA6">
            <w:pPr>
              <w:pStyle w:val="Pagrindinispaprastastekstas"/>
              <w:jc w:val="center"/>
              <w:rPr>
                <w:rFonts w:ascii="Times New Roman" w:hAnsi="Times New Roman"/>
                <w:b/>
                <w:bCs/>
                <w:sz w:val="21"/>
                <w:szCs w:val="21"/>
                <w:lang w:val="lt-LT"/>
              </w:rPr>
            </w:pPr>
            <w:r w:rsidRPr="003878A7">
              <w:rPr>
                <w:rFonts w:ascii="Times New Roman" w:hAnsi="Times New Roman"/>
                <w:b/>
                <w:bCs/>
                <w:sz w:val="21"/>
                <w:szCs w:val="21"/>
                <w:lang w:val="lt-LT"/>
              </w:rPr>
              <w:t>Garantijos</w:t>
            </w:r>
          </w:p>
          <w:p w14:paraId="373AF5F5" w14:textId="77777777" w:rsidR="00F277A2" w:rsidRPr="003878A7" w:rsidRDefault="00F277A2" w:rsidP="00196EA6">
            <w:pPr>
              <w:pStyle w:val="Pagrindinispaprastastekstas"/>
              <w:jc w:val="center"/>
              <w:rPr>
                <w:rFonts w:ascii="Times New Roman" w:eastAsiaTheme="minorEastAsia" w:hAnsi="Times New Roman"/>
                <w:b/>
                <w:bCs/>
                <w:sz w:val="21"/>
                <w:szCs w:val="21"/>
                <w:lang w:val="lt-LT"/>
              </w:rPr>
            </w:pPr>
          </w:p>
        </w:tc>
        <w:tc>
          <w:tcPr>
            <w:tcW w:w="578" w:type="pct"/>
            <w:vAlign w:val="center"/>
          </w:tcPr>
          <w:p w14:paraId="63646730" w14:textId="5EF86C04" w:rsidR="00F277A2" w:rsidRPr="003878A7" w:rsidRDefault="00F277A2" w:rsidP="00196EA6">
            <w:pPr>
              <w:pStyle w:val="Pagrindinispaprastastekstas"/>
              <w:jc w:val="center"/>
              <w:rPr>
                <w:rFonts w:ascii="Times New Roman" w:hAnsi="Times New Roman"/>
                <w:b/>
                <w:bCs/>
                <w:sz w:val="21"/>
                <w:szCs w:val="21"/>
                <w:lang w:val="lt-LT"/>
              </w:rPr>
            </w:pPr>
            <w:r w:rsidRPr="003878A7">
              <w:rPr>
                <w:rFonts w:ascii="Times New Roman" w:hAnsi="Times New Roman"/>
                <w:b/>
                <w:bCs/>
                <w:sz w:val="21"/>
                <w:szCs w:val="21"/>
                <w:lang w:val="lt-LT"/>
              </w:rPr>
              <w:t>50 proc. lengvatinės paskolos + 50 proc. komerciniai bankai + investicinis fondas</w:t>
            </w:r>
          </w:p>
          <w:p w14:paraId="6BFA809B" w14:textId="77777777" w:rsidR="00F277A2" w:rsidRPr="003878A7" w:rsidRDefault="00F277A2" w:rsidP="00196EA6">
            <w:pPr>
              <w:pStyle w:val="Pagrindinispaprastastekstas"/>
              <w:jc w:val="center"/>
              <w:rPr>
                <w:rFonts w:ascii="Times New Roman" w:eastAsiaTheme="minorEastAsia" w:hAnsi="Times New Roman"/>
                <w:b/>
                <w:bCs/>
                <w:sz w:val="21"/>
                <w:szCs w:val="21"/>
                <w:lang w:val="lt-LT"/>
              </w:rPr>
            </w:pPr>
          </w:p>
        </w:tc>
        <w:tc>
          <w:tcPr>
            <w:tcW w:w="542" w:type="pct"/>
            <w:vAlign w:val="center"/>
          </w:tcPr>
          <w:p w14:paraId="0424BAE4" w14:textId="5803EAAD" w:rsidR="00F277A2" w:rsidRPr="003878A7" w:rsidRDefault="00F277A2" w:rsidP="00196EA6">
            <w:pPr>
              <w:pStyle w:val="Pagrindinispaprastastekstas"/>
              <w:jc w:val="center"/>
              <w:rPr>
                <w:rFonts w:ascii="Times New Roman" w:eastAsiaTheme="minorEastAsia" w:hAnsi="Times New Roman"/>
                <w:b/>
                <w:bCs/>
                <w:sz w:val="21"/>
                <w:szCs w:val="21"/>
                <w:lang w:val="lt-LT"/>
              </w:rPr>
            </w:pPr>
            <w:r w:rsidRPr="003878A7">
              <w:rPr>
                <w:rFonts w:ascii="Times New Roman" w:hAnsi="Times New Roman"/>
                <w:b/>
                <w:bCs/>
                <w:sz w:val="21"/>
                <w:szCs w:val="21"/>
                <w:lang w:val="lt-LT"/>
              </w:rPr>
              <w:t>KUB (lengvatinė paskola)</w:t>
            </w:r>
          </w:p>
        </w:tc>
        <w:tc>
          <w:tcPr>
            <w:tcW w:w="461" w:type="pct"/>
            <w:vAlign w:val="center"/>
          </w:tcPr>
          <w:p w14:paraId="1022649E" w14:textId="736793D5" w:rsidR="00F277A2" w:rsidRPr="003878A7" w:rsidRDefault="00F277A2" w:rsidP="00196EA6">
            <w:pPr>
              <w:pStyle w:val="Pagrindinispaprastastekstas"/>
              <w:jc w:val="center"/>
              <w:rPr>
                <w:rFonts w:ascii="Times New Roman" w:eastAsiaTheme="minorEastAsia" w:hAnsi="Times New Roman"/>
                <w:b/>
                <w:bCs/>
                <w:sz w:val="21"/>
                <w:szCs w:val="21"/>
                <w:lang w:val="lt-LT"/>
              </w:rPr>
            </w:pPr>
            <w:r w:rsidRPr="003878A7">
              <w:rPr>
                <w:rFonts w:ascii="Times New Roman" w:hAnsi="Times New Roman"/>
                <w:b/>
                <w:bCs/>
                <w:sz w:val="21"/>
                <w:szCs w:val="21"/>
                <w:lang w:val="lt-LT"/>
              </w:rPr>
              <w:t>100 proc. subsidija</w:t>
            </w:r>
          </w:p>
        </w:tc>
      </w:tr>
      <w:tr w:rsidR="00196EA6" w:rsidRPr="003878A7" w14:paraId="147B1187" w14:textId="77777777" w:rsidTr="003878A7">
        <w:tc>
          <w:tcPr>
            <w:tcW w:w="696" w:type="pct"/>
            <w:vAlign w:val="center"/>
          </w:tcPr>
          <w:p w14:paraId="6B03B803" w14:textId="02FED0FC" w:rsidR="00F277A2" w:rsidRPr="003878A7" w:rsidRDefault="00F277A2" w:rsidP="00196EA6">
            <w:pPr>
              <w:pStyle w:val="Pagrindinispaprastastekstas"/>
              <w:rPr>
                <w:rFonts w:ascii="Times New Roman" w:eastAsiaTheme="minorEastAsia" w:hAnsi="Times New Roman"/>
                <w:bCs/>
                <w:sz w:val="21"/>
                <w:szCs w:val="21"/>
                <w:lang w:val="lt-LT"/>
              </w:rPr>
            </w:pPr>
            <w:r w:rsidRPr="003878A7">
              <w:rPr>
                <w:rFonts w:ascii="Times New Roman" w:hAnsi="Times New Roman"/>
                <w:sz w:val="21"/>
                <w:szCs w:val="21"/>
                <w:lang w:val="lt-LT"/>
              </w:rPr>
              <w:t>GNG pasiekusios lėšos, mln. Eur</w:t>
            </w:r>
          </w:p>
        </w:tc>
        <w:tc>
          <w:tcPr>
            <w:tcW w:w="547" w:type="pct"/>
            <w:vAlign w:val="center"/>
          </w:tcPr>
          <w:p w14:paraId="08B741EE" w14:textId="00E29276" w:rsidR="00F277A2" w:rsidRPr="003878A7" w:rsidRDefault="00F277A2" w:rsidP="00196EA6">
            <w:pPr>
              <w:pStyle w:val="Pagrindinispaprastastekstas"/>
              <w:jc w:val="center"/>
              <w:rPr>
                <w:rFonts w:ascii="Times New Roman" w:eastAsiaTheme="minorEastAsia" w:hAnsi="Times New Roman"/>
                <w:bCs/>
                <w:sz w:val="21"/>
                <w:szCs w:val="21"/>
                <w:lang w:val="lt-LT"/>
              </w:rPr>
            </w:pPr>
            <w:r w:rsidRPr="003878A7">
              <w:rPr>
                <w:rFonts w:ascii="Times New Roman" w:eastAsiaTheme="minorEastAsia" w:hAnsi="Times New Roman"/>
                <w:bCs/>
                <w:sz w:val="21"/>
                <w:szCs w:val="21"/>
                <w:lang w:val="lt-LT"/>
              </w:rPr>
              <w:t>15,6</w:t>
            </w:r>
          </w:p>
        </w:tc>
        <w:tc>
          <w:tcPr>
            <w:tcW w:w="547" w:type="pct"/>
            <w:vAlign w:val="center"/>
          </w:tcPr>
          <w:p w14:paraId="7968FE3B" w14:textId="0F197783" w:rsidR="00F277A2" w:rsidRPr="003878A7" w:rsidRDefault="00F277A2" w:rsidP="00196EA6">
            <w:pPr>
              <w:pStyle w:val="Pagrindinispaprastastekstas"/>
              <w:jc w:val="center"/>
              <w:rPr>
                <w:rFonts w:ascii="Times New Roman" w:eastAsiaTheme="minorEastAsia" w:hAnsi="Times New Roman"/>
                <w:bCs/>
                <w:sz w:val="21"/>
                <w:szCs w:val="21"/>
                <w:lang w:val="lt-LT"/>
              </w:rPr>
            </w:pPr>
            <w:r w:rsidRPr="003878A7">
              <w:rPr>
                <w:rFonts w:ascii="Times New Roman" w:eastAsiaTheme="minorEastAsia" w:hAnsi="Times New Roman"/>
                <w:bCs/>
                <w:sz w:val="21"/>
                <w:szCs w:val="21"/>
                <w:lang w:val="lt-LT"/>
              </w:rPr>
              <w:t>24,8</w:t>
            </w:r>
          </w:p>
        </w:tc>
        <w:tc>
          <w:tcPr>
            <w:tcW w:w="547" w:type="pct"/>
            <w:vAlign w:val="center"/>
          </w:tcPr>
          <w:p w14:paraId="4BEE152B" w14:textId="5F0A8A5F" w:rsidR="00F277A2" w:rsidRPr="003878A7" w:rsidRDefault="00F277A2" w:rsidP="00196EA6">
            <w:pPr>
              <w:pStyle w:val="Pagrindinispaprastastekstas"/>
              <w:jc w:val="center"/>
              <w:rPr>
                <w:rFonts w:ascii="Times New Roman" w:eastAsiaTheme="minorEastAsia" w:hAnsi="Times New Roman"/>
                <w:bCs/>
                <w:sz w:val="21"/>
                <w:szCs w:val="21"/>
                <w:lang w:val="lt-LT"/>
              </w:rPr>
            </w:pPr>
            <w:r w:rsidRPr="003878A7">
              <w:rPr>
                <w:rFonts w:ascii="Times New Roman" w:eastAsiaTheme="minorEastAsia" w:hAnsi="Times New Roman"/>
                <w:bCs/>
                <w:sz w:val="21"/>
                <w:szCs w:val="21"/>
                <w:lang w:val="lt-LT"/>
              </w:rPr>
              <w:t>25,8</w:t>
            </w:r>
          </w:p>
        </w:tc>
        <w:tc>
          <w:tcPr>
            <w:tcW w:w="547" w:type="pct"/>
            <w:vAlign w:val="center"/>
          </w:tcPr>
          <w:p w14:paraId="07AEF6A7" w14:textId="326B432E" w:rsidR="00F277A2" w:rsidRPr="003878A7" w:rsidRDefault="00F277A2" w:rsidP="00196EA6">
            <w:pPr>
              <w:pStyle w:val="Pagrindinispaprastastekstas"/>
              <w:jc w:val="center"/>
              <w:rPr>
                <w:rFonts w:ascii="Times New Roman" w:eastAsiaTheme="minorEastAsia" w:hAnsi="Times New Roman"/>
                <w:bCs/>
                <w:sz w:val="21"/>
                <w:szCs w:val="21"/>
                <w:lang w:val="lt-LT"/>
              </w:rPr>
            </w:pPr>
            <w:r w:rsidRPr="003878A7">
              <w:rPr>
                <w:rFonts w:ascii="Times New Roman" w:eastAsiaTheme="minorEastAsia" w:hAnsi="Times New Roman"/>
                <w:bCs/>
                <w:sz w:val="21"/>
                <w:szCs w:val="21"/>
                <w:lang w:val="lt-LT"/>
              </w:rPr>
              <w:t>31,5</w:t>
            </w:r>
          </w:p>
        </w:tc>
        <w:tc>
          <w:tcPr>
            <w:tcW w:w="532" w:type="pct"/>
            <w:vAlign w:val="center"/>
          </w:tcPr>
          <w:p w14:paraId="5E392AF3" w14:textId="57FD03A4" w:rsidR="00F277A2" w:rsidRPr="003878A7" w:rsidRDefault="00F277A2" w:rsidP="00196EA6">
            <w:pPr>
              <w:pStyle w:val="Pagrindinispaprastastekstas"/>
              <w:jc w:val="center"/>
              <w:rPr>
                <w:rFonts w:ascii="Times New Roman" w:eastAsiaTheme="minorEastAsia" w:hAnsi="Times New Roman"/>
                <w:bCs/>
                <w:sz w:val="21"/>
                <w:szCs w:val="21"/>
                <w:lang w:val="lt-LT"/>
              </w:rPr>
            </w:pPr>
            <w:r w:rsidRPr="003878A7">
              <w:rPr>
                <w:rFonts w:ascii="Times New Roman" w:eastAsiaTheme="minorEastAsia" w:hAnsi="Times New Roman"/>
                <w:bCs/>
                <w:sz w:val="21"/>
                <w:szCs w:val="21"/>
                <w:lang w:val="lt-LT"/>
              </w:rPr>
              <w:t>40,9</w:t>
            </w:r>
          </w:p>
        </w:tc>
        <w:tc>
          <w:tcPr>
            <w:tcW w:w="578" w:type="pct"/>
            <w:vAlign w:val="center"/>
          </w:tcPr>
          <w:p w14:paraId="523194A7" w14:textId="208192CE" w:rsidR="00F277A2" w:rsidRPr="003878A7" w:rsidRDefault="00F277A2" w:rsidP="00196EA6">
            <w:pPr>
              <w:pStyle w:val="Pagrindinispaprastastekstas"/>
              <w:jc w:val="center"/>
              <w:rPr>
                <w:rFonts w:ascii="Times New Roman" w:eastAsiaTheme="minorEastAsia" w:hAnsi="Times New Roman"/>
                <w:bCs/>
                <w:sz w:val="21"/>
                <w:szCs w:val="21"/>
                <w:lang w:val="lt-LT"/>
              </w:rPr>
            </w:pPr>
            <w:r w:rsidRPr="003878A7">
              <w:rPr>
                <w:rFonts w:ascii="Times New Roman" w:eastAsiaTheme="minorEastAsia" w:hAnsi="Times New Roman"/>
                <w:bCs/>
                <w:sz w:val="21"/>
                <w:szCs w:val="21"/>
                <w:lang w:val="lt-LT"/>
              </w:rPr>
              <w:t>42,8</w:t>
            </w:r>
          </w:p>
        </w:tc>
        <w:tc>
          <w:tcPr>
            <w:tcW w:w="542" w:type="pct"/>
            <w:vAlign w:val="center"/>
          </w:tcPr>
          <w:p w14:paraId="5320A57B" w14:textId="25E9B5B7" w:rsidR="00F277A2" w:rsidRPr="003878A7" w:rsidRDefault="00F277A2" w:rsidP="00196EA6">
            <w:pPr>
              <w:pStyle w:val="Pagrindinispaprastastekstas"/>
              <w:jc w:val="center"/>
              <w:rPr>
                <w:rFonts w:ascii="Times New Roman" w:eastAsiaTheme="minorEastAsia" w:hAnsi="Times New Roman"/>
                <w:bCs/>
                <w:sz w:val="21"/>
                <w:szCs w:val="21"/>
                <w:lang w:val="lt-LT"/>
              </w:rPr>
            </w:pPr>
            <w:r w:rsidRPr="003878A7">
              <w:rPr>
                <w:rFonts w:ascii="Times New Roman" w:eastAsiaTheme="minorEastAsia" w:hAnsi="Times New Roman"/>
                <w:bCs/>
                <w:sz w:val="21"/>
                <w:szCs w:val="21"/>
                <w:lang w:val="lt-LT"/>
              </w:rPr>
              <w:t>34,6</w:t>
            </w:r>
          </w:p>
        </w:tc>
        <w:tc>
          <w:tcPr>
            <w:tcW w:w="461" w:type="pct"/>
            <w:vAlign w:val="center"/>
          </w:tcPr>
          <w:p w14:paraId="26793F38" w14:textId="11ECEEE5" w:rsidR="00F277A2" w:rsidRPr="003878A7" w:rsidRDefault="00F277A2" w:rsidP="00196EA6">
            <w:pPr>
              <w:pStyle w:val="Pagrindinispaprastastekstas"/>
              <w:jc w:val="center"/>
              <w:rPr>
                <w:rFonts w:ascii="Times New Roman" w:eastAsiaTheme="minorEastAsia" w:hAnsi="Times New Roman"/>
                <w:bCs/>
                <w:sz w:val="21"/>
                <w:szCs w:val="21"/>
                <w:lang w:val="lt-LT"/>
              </w:rPr>
            </w:pPr>
            <w:r w:rsidRPr="003878A7">
              <w:rPr>
                <w:rFonts w:ascii="Times New Roman" w:eastAsiaTheme="minorEastAsia" w:hAnsi="Times New Roman"/>
                <w:bCs/>
                <w:sz w:val="21"/>
                <w:szCs w:val="21"/>
                <w:lang w:val="lt-LT"/>
              </w:rPr>
              <w:t>14,5</w:t>
            </w:r>
          </w:p>
        </w:tc>
      </w:tr>
      <w:tr w:rsidR="00196EA6" w:rsidRPr="003878A7" w14:paraId="6AB499FC" w14:textId="77777777" w:rsidTr="003878A7">
        <w:tc>
          <w:tcPr>
            <w:tcW w:w="696" w:type="pct"/>
            <w:vAlign w:val="center"/>
          </w:tcPr>
          <w:p w14:paraId="505C14C6" w14:textId="5F130EAB" w:rsidR="00F277A2" w:rsidRPr="003878A7" w:rsidRDefault="00F277A2" w:rsidP="00196EA6">
            <w:pPr>
              <w:pStyle w:val="Pagrindinispaprastastekstas"/>
              <w:rPr>
                <w:rFonts w:ascii="Times New Roman" w:eastAsiaTheme="minorEastAsia" w:hAnsi="Times New Roman"/>
                <w:bCs/>
                <w:sz w:val="21"/>
                <w:szCs w:val="21"/>
                <w:lang w:val="lt-LT"/>
              </w:rPr>
            </w:pPr>
            <w:r w:rsidRPr="003878A7">
              <w:rPr>
                <w:rFonts w:ascii="Times New Roman" w:hAnsi="Times New Roman"/>
                <w:sz w:val="21"/>
                <w:szCs w:val="21"/>
                <w:lang w:val="lt-LT"/>
              </w:rPr>
              <w:t>Iki 2022 m. renovuotų švie</w:t>
            </w:r>
            <w:r w:rsidR="008361A1" w:rsidRPr="003878A7">
              <w:rPr>
                <w:rFonts w:ascii="Times New Roman" w:hAnsi="Times New Roman"/>
                <w:sz w:val="21"/>
                <w:szCs w:val="21"/>
                <w:lang w:val="lt-LT"/>
              </w:rPr>
              <w:t>s</w:t>
            </w:r>
            <w:r w:rsidRPr="003878A7">
              <w:rPr>
                <w:rFonts w:ascii="Times New Roman" w:hAnsi="Times New Roman"/>
                <w:sz w:val="21"/>
                <w:szCs w:val="21"/>
                <w:lang w:val="lt-LT"/>
              </w:rPr>
              <w:t>tuvų skaičius</w:t>
            </w:r>
          </w:p>
        </w:tc>
        <w:tc>
          <w:tcPr>
            <w:tcW w:w="547" w:type="pct"/>
            <w:vAlign w:val="center"/>
          </w:tcPr>
          <w:p w14:paraId="7795DAA0" w14:textId="3A60A74D" w:rsidR="00F277A2" w:rsidRPr="003878A7" w:rsidRDefault="00F277A2" w:rsidP="00196EA6">
            <w:pPr>
              <w:pStyle w:val="Pagrindinispaprastastekstas"/>
              <w:jc w:val="center"/>
              <w:rPr>
                <w:rFonts w:ascii="Times New Roman" w:eastAsiaTheme="minorEastAsia" w:hAnsi="Times New Roman"/>
                <w:bCs/>
                <w:sz w:val="21"/>
                <w:szCs w:val="21"/>
                <w:lang w:val="lt-LT"/>
              </w:rPr>
            </w:pPr>
            <w:r w:rsidRPr="003878A7">
              <w:rPr>
                <w:rFonts w:ascii="Times New Roman" w:eastAsiaTheme="minorEastAsia" w:hAnsi="Times New Roman"/>
                <w:bCs/>
                <w:sz w:val="21"/>
                <w:szCs w:val="21"/>
                <w:lang w:val="lt-LT"/>
              </w:rPr>
              <w:t>21920</w:t>
            </w:r>
          </w:p>
        </w:tc>
        <w:tc>
          <w:tcPr>
            <w:tcW w:w="547" w:type="pct"/>
            <w:vAlign w:val="center"/>
          </w:tcPr>
          <w:p w14:paraId="4AF11F24" w14:textId="68E10193" w:rsidR="00F277A2" w:rsidRPr="003878A7" w:rsidRDefault="00F277A2" w:rsidP="00196EA6">
            <w:pPr>
              <w:pStyle w:val="Pagrindinispaprastastekstas"/>
              <w:jc w:val="center"/>
              <w:rPr>
                <w:rFonts w:ascii="Times New Roman" w:eastAsiaTheme="minorEastAsia" w:hAnsi="Times New Roman"/>
                <w:bCs/>
                <w:sz w:val="21"/>
                <w:szCs w:val="21"/>
                <w:lang w:val="lt-LT"/>
              </w:rPr>
            </w:pPr>
            <w:r w:rsidRPr="003878A7">
              <w:rPr>
                <w:rFonts w:ascii="Times New Roman" w:eastAsiaTheme="minorEastAsia" w:hAnsi="Times New Roman"/>
                <w:bCs/>
                <w:sz w:val="21"/>
                <w:szCs w:val="21"/>
                <w:lang w:val="lt-LT"/>
              </w:rPr>
              <w:t>34990</w:t>
            </w:r>
          </w:p>
        </w:tc>
        <w:tc>
          <w:tcPr>
            <w:tcW w:w="547" w:type="pct"/>
            <w:vAlign w:val="center"/>
          </w:tcPr>
          <w:p w14:paraId="1F447B07" w14:textId="3497A99A" w:rsidR="00F277A2" w:rsidRPr="003878A7" w:rsidRDefault="00F277A2" w:rsidP="00196EA6">
            <w:pPr>
              <w:pStyle w:val="Pagrindinispaprastastekstas"/>
              <w:jc w:val="center"/>
              <w:rPr>
                <w:rFonts w:ascii="Times New Roman" w:eastAsiaTheme="minorEastAsia" w:hAnsi="Times New Roman"/>
                <w:bCs/>
                <w:sz w:val="21"/>
                <w:szCs w:val="21"/>
                <w:lang w:val="lt-LT"/>
              </w:rPr>
            </w:pPr>
            <w:r w:rsidRPr="003878A7">
              <w:rPr>
                <w:rFonts w:ascii="Times New Roman" w:eastAsiaTheme="minorEastAsia" w:hAnsi="Times New Roman"/>
                <w:bCs/>
                <w:sz w:val="21"/>
                <w:szCs w:val="21"/>
                <w:lang w:val="lt-LT"/>
              </w:rPr>
              <w:t>36313</w:t>
            </w:r>
          </w:p>
        </w:tc>
        <w:tc>
          <w:tcPr>
            <w:tcW w:w="547" w:type="pct"/>
            <w:vAlign w:val="center"/>
          </w:tcPr>
          <w:p w14:paraId="213071F1" w14:textId="706E1BCD" w:rsidR="00F277A2" w:rsidRPr="003878A7" w:rsidRDefault="00F277A2" w:rsidP="00196EA6">
            <w:pPr>
              <w:pStyle w:val="Pagrindinispaprastastekstas"/>
              <w:jc w:val="center"/>
              <w:rPr>
                <w:rFonts w:ascii="Times New Roman" w:eastAsiaTheme="minorEastAsia" w:hAnsi="Times New Roman"/>
                <w:bCs/>
                <w:sz w:val="21"/>
                <w:szCs w:val="21"/>
                <w:lang w:val="lt-LT"/>
              </w:rPr>
            </w:pPr>
            <w:r w:rsidRPr="003878A7">
              <w:rPr>
                <w:rFonts w:ascii="Times New Roman" w:eastAsiaTheme="minorEastAsia" w:hAnsi="Times New Roman"/>
                <w:bCs/>
                <w:sz w:val="21"/>
                <w:szCs w:val="21"/>
                <w:lang w:val="lt-LT"/>
              </w:rPr>
              <w:t>44342</w:t>
            </w:r>
          </w:p>
        </w:tc>
        <w:tc>
          <w:tcPr>
            <w:tcW w:w="532" w:type="pct"/>
            <w:vAlign w:val="center"/>
          </w:tcPr>
          <w:p w14:paraId="5A8FFF71" w14:textId="3C5ADC54" w:rsidR="00F277A2" w:rsidRPr="003878A7" w:rsidRDefault="00F277A2" w:rsidP="00196EA6">
            <w:pPr>
              <w:pStyle w:val="Pagrindinispaprastastekstas"/>
              <w:jc w:val="center"/>
              <w:rPr>
                <w:rFonts w:ascii="Times New Roman" w:eastAsiaTheme="minorEastAsia" w:hAnsi="Times New Roman"/>
                <w:bCs/>
                <w:sz w:val="21"/>
                <w:szCs w:val="21"/>
                <w:lang w:val="lt-LT"/>
              </w:rPr>
            </w:pPr>
            <w:r w:rsidRPr="003878A7">
              <w:rPr>
                <w:rFonts w:ascii="Times New Roman" w:eastAsiaTheme="minorEastAsia" w:hAnsi="Times New Roman"/>
                <w:bCs/>
                <w:sz w:val="21"/>
                <w:szCs w:val="21"/>
                <w:lang w:val="lt-LT"/>
              </w:rPr>
              <w:t>57600</w:t>
            </w:r>
          </w:p>
        </w:tc>
        <w:tc>
          <w:tcPr>
            <w:tcW w:w="578" w:type="pct"/>
            <w:vAlign w:val="center"/>
          </w:tcPr>
          <w:p w14:paraId="61478A89" w14:textId="19A14D83" w:rsidR="00F277A2" w:rsidRPr="003878A7" w:rsidRDefault="00F277A2" w:rsidP="00196EA6">
            <w:pPr>
              <w:pStyle w:val="Pagrindinispaprastastekstas"/>
              <w:jc w:val="center"/>
              <w:rPr>
                <w:rFonts w:ascii="Times New Roman" w:eastAsiaTheme="minorEastAsia" w:hAnsi="Times New Roman"/>
                <w:bCs/>
                <w:sz w:val="21"/>
                <w:szCs w:val="21"/>
                <w:lang w:val="lt-LT"/>
              </w:rPr>
            </w:pPr>
            <w:r w:rsidRPr="003878A7">
              <w:rPr>
                <w:rFonts w:ascii="Times New Roman" w:eastAsiaTheme="minorEastAsia" w:hAnsi="Times New Roman"/>
                <w:bCs/>
                <w:sz w:val="21"/>
                <w:szCs w:val="21"/>
                <w:lang w:val="lt-LT"/>
              </w:rPr>
              <w:t>60311</w:t>
            </w:r>
          </w:p>
        </w:tc>
        <w:tc>
          <w:tcPr>
            <w:tcW w:w="542" w:type="pct"/>
            <w:vAlign w:val="center"/>
          </w:tcPr>
          <w:p w14:paraId="109A869C" w14:textId="02A5DE1D" w:rsidR="00F277A2" w:rsidRPr="003878A7" w:rsidRDefault="00F277A2" w:rsidP="00196EA6">
            <w:pPr>
              <w:pStyle w:val="Pagrindinispaprastastekstas"/>
              <w:jc w:val="center"/>
              <w:rPr>
                <w:rFonts w:ascii="Times New Roman" w:eastAsiaTheme="minorEastAsia" w:hAnsi="Times New Roman"/>
                <w:bCs/>
                <w:sz w:val="21"/>
                <w:szCs w:val="21"/>
                <w:lang w:val="lt-LT"/>
              </w:rPr>
            </w:pPr>
            <w:r w:rsidRPr="003878A7">
              <w:rPr>
                <w:rFonts w:ascii="Times New Roman" w:eastAsiaTheme="minorEastAsia" w:hAnsi="Times New Roman"/>
                <w:bCs/>
                <w:sz w:val="21"/>
                <w:szCs w:val="21"/>
                <w:lang w:val="lt-LT"/>
              </w:rPr>
              <w:t>48721</w:t>
            </w:r>
          </w:p>
        </w:tc>
        <w:tc>
          <w:tcPr>
            <w:tcW w:w="461" w:type="pct"/>
            <w:vAlign w:val="center"/>
          </w:tcPr>
          <w:p w14:paraId="132AC42C" w14:textId="309C44A8" w:rsidR="00F277A2" w:rsidRPr="003878A7" w:rsidRDefault="00F277A2" w:rsidP="00196EA6">
            <w:pPr>
              <w:pStyle w:val="Pagrindinispaprastastekstas"/>
              <w:jc w:val="center"/>
              <w:rPr>
                <w:rFonts w:ascii="Times New Roman" w:eastAsiaTheme="minorEastAsia" w:hAnsi="Times New Roman"/>
                <w:bCs/>
                <w:sz w:val="21"/>
                <w:szCs w:val="21"/>
                <w:lang w:val="lt-LT"/>
              </w:rPr>
            </w:pPr>
            <w:r w:rsidRPr="003878A7">
              <w:rPr>
                <w:rFonts w:ascii="Times New Roman" w:eastAsiaTheme="minorEastAsia" w:hAnsi="Times New Roman"/>
                <w:bCs/>
                <w:sz w:val="21"/>
                <w:szCs w:val="21"/>
                <w:lang w:val="lt-LT"/>
              </w:rPr>
              <w:t>20394</w:t>
            </w:r>
          </w:p>
        </w:tc>
      </w:tr>
      <w:tr w:rsidR="00196EA6" w:rsidRPr="003878A7" w14:paraId="14345A55" w14:textId="77777777" w:rsidTr="003878A7">
        <w:tc>
          <w:tcPr>
            <w:tcW w:w="696" w:type="pct"/>
            <w:vAlign w:val="center"/>
          </w:tcPr>
          <w:p w14:paraId="177E93B9" w14:textId="4319C07B" w:rsidR="00F277A2" w:rsidRPr="003878A7" w:rsidRDefault="00F277A2" w:rsidP="00196EA6">
            <w:pPr>
              <w:pStyle w:val="Pagrindinispaprastastekstas"/>
              <w:rPr>
                <w:rFonts w:ascii="Times New Roman" w:eastAsiaTheme="minorEastAsia" w:hAnsi="Times New Roman"/>
                <w:bCs/>
                <w:sz w:val="21"/>
                <w:szCs w:val="21"/>
                <w:lang w:val="lt-LT"/>
              </w:rPr>
            </w:pPr>
            <w:r w:rsidRPr="003878A7">
              <w:rPr>
                <w:rFonts w:ascii="Times New Roman" w:hAnsi="Times New Roman"/>
                <w:sz w:val="21"/>
                <w:szCs w:val="21"/>
                <w:lang w:val="lt-LT"/>
              </w:rPr>
              <w:t>Projektų multiplikatorius</w:t>
            </w:r>
          </w:p>
        </w:tc>
        <w:tc>
          <w:tcPr>
            <w:tcW w:w="547" w:type="pct"/>
            <w:vAlign w:val="center"/>
          </w:tcPr>
          <w:p w14:paraId="6DF5CFEF" w14:textId="5959242A" w:rsidR="00F277A2" w:rsidRPr="003878A7" w:rsidRDefault="00F277A2" w:rsidP="00196EA6">
            <w:pPr>
              <w:pStyle w:val="Pagrindinispaprastastekstas"/>
              <w:jc w:val="center"/>
              <w:rPr>
                <w:rFonts w:ascii="Times New Roman" w:eastAsiaTheme="minorEastAsia" w:hAnsi="Times New Roman"/>
                <w:bCs/>
                <w:sz w:val="21"/>
                <w:szCs w:val="21"/>
                <w:lang w:val="lt-LT"/>
              </w:rPr>
            </w:pPr>
            <w:r w:rsidRPr="003878A7">
              <w:rPr>
                <w:rFonts w:ascii="Times New Roman" w:eastAsiaTheme="minorEastAsia" w:hAnsi="Times New Roman"/>
                <w:bCs/>
                <w:sz w:val="21"/>
                <w:szCs w:val="21"/>
                <w:lang w:val="lt-LT"/>
              </w:rPr>
              <w:t>1,08</w:t>
            </w:r>
          </w:p>
        </w:tc>
        <w:tc>
          <w:tcPr>
            <w:tcW w:w="547" w:type="pct"/>
            <w:vAlign w:val="center"/>
          </w:tcPr>
          <w:p w14:paraId="0A36F8B7" w14:textId="2EF684D0" w:rsidR="00F277A2" w:rsidRPr="003878A7" w:rsidRDefault="00F277A2" w:rsidP="00196EA6">
            <w:pPr>
              <w:pStyle w:val="Pagrindinispaprastastekstas"/>
              <w:jc w:val="center"/>
              <w:rPr>
                <w:rFonts w:ascii="Times New Roman" w:eastAsiaTheme="minorEastAsia" w:hAnsi="Times New Roman"/>
                <w:bCs/>
                <w:sz w:val="21"/>
                <w:szCs w:val="21"/>
                <w:lang w:val="lt-LT"/>
              </w:rPr>
            </w:pPr>
            <w:r w:rsidRPr="003878A7">
              <w:rPr>
                <w:rFonts w:ascii="Times New Roman" w:eastAsiaTheme="minorEastAsia" w:hAnsi="Times New Roman"/>
                <w:bCs/>
                <w:sz w:val="21"/>
                <w:szCs w:val="21"/>
                <w:lang w:val="lt-LT"/>
              </w:rPr>
              <w:t>1,71</w:t>
            </w:r>
          </w:p>
        </w:tc>
        <w:tc>
          <w:tcPr>
            <w:tcW w:w="547" w:type="pct"/>
            <w:vAlign w:val="center"/>
          </w:tcPr>
          <w:p w14:paraId="79F045BD" w14:textId="62582FC5" w:rsidR="00F277A2" w:rsidRPr="003878A7" w:rsidRDefault="00F277A2" w:rsidP="00196EA6">
            <w:pPr>
              <w:pStyle w:val="Pagrindinispaprastastekstas"/>
              <w:jc w:val="center"/>
              <w:rPr>
                <w:rFonts w:ascii="Times New Roman" w:eastAsiaTheme="minorEastAsia" w:hAnsi="Times New Roman"/>
                <w:bCs/>
                <w:sz w:val="21"/>
                <w:szCs w:val="21"/>
                <w:lang w:val="lt-LT"/>
              </w:rPr>
            </w:pPr>
            <w:r w:rsidRPr="003878A7">
              <w:rPr>
                <w:rFonts w:ascii="Times New Roman" w:eastAsiaTheme="minorEastAsia" w:hAnsi="Times New Roman"/>
                <w:bCs/>
                <w:sz w:val="21"/>
                <w:szCs w:val="21"/>
                <w:lang w:val="lt-LT"/>
              </w:rPr>
              <w:t>1,78</w:t>
            </w:r>
          </w:p>
        </w:tc>
        <w:tc>
          <w:tcPr>
            <w:tcW w:w="547" w:type="pct"/>
            <w:vAlign w:val="center"/>
          </w:tcPr>
          <w:p w14:paraId="11B06BE2" w14:textId="34E35714" w:rsidR="00F277A2" w:rsidRPr="003878A7" w:rsidRDefault="00F277A2" w:rsidP="00196EA6">
            <w:pPr>
              <w:pStyle w:val="Pagrindinispaprastastekstas"/>
              <w:jc w:val="center"/>
              <w:rPr>
                <w:rFonts w:ascii="Times New Roman" w:eastAsiaTheme="minorEastAsia" w:hAnsi="Times New Roman"/>
                <w:bCs/>
                <w:sz w:val="21"/>
                <w:szCs w:val="21"/>
                <w:lang w:val="lt-LT"/>
              </w:rPr>
            </w:pPr>
            <w:r w:rsidRPr="003878A7">
              <w:rPr>
                <w:rFonts w:ascii="Times New Roman" w:eastAsiaTheme="minorEastAsia" w:hAnsi="Times New Roman"/>
                <w:bCs/>
                <w:sz w:val="21"/>
                <w:szCs w:val="21"/>
                <w:lang w:val="lt-LT"/>
              </w:rPr>
              <w:t>2,18</w:t>
            </w:r>
          </w:p>
        </w:tc>
        <w:tc>
          <w:tcPr>
            <w:tcW w:w="532" w:type="pct"/>
            <w:vAlign w:val="center"/>
          </w:tcPr>
          <w:p w14:paraId="38277945" w14:textId="11AC0175" w:rsidR="00F277A2" w:rsidRPr="003878A7" w:rsidRDefault="00F277A2" w:rsidP="00196EA6">
            <w:pPr>
              <w:pStyle w:val="Pagrindinispaprastastekstas"/>
              <w:jc w:val="center"/>
              <w:rPr>
                <w:rFonts w:ascii="Times New Roman" w:eastAsiaTheme="minorEastAsia" w:hAnsi="Times New Roman"/>
                <w:bCs/>
                <w:sz w:val="21"/>
                <w:szCs w:val="21"/>
                <w:lang w:val="lt-LT"/>
              </w:rPr>
            </w:pPr>
            <w:r w:rsidRPr="003878A7">
              <w:rPr>
                <w:rFonts w:ascii="Times New Roman" w:eastAsiaTheme="minorEastAsia" w:hAnsi="Times New Roman"/>
                <w:bCs/>
                <w:sz w:val="21"/>
                <w:szCs w:val="21"/>
                <w:lang w:val="lt-LT"/>
              </w:rPr>
              <w:t>2,82</w:t>
            </w:r>
          </w:p>
        </w:tc>
        <w:tc>
          <w:tcPr>
            <w:tcW w:w="578" w:type="pct"/>
            <w:vAlign w:val="center"/>
          </w:tcPr>
          <w:p w14:paraId="5D64206F" w14:textId="2D87BB7E" w:rsidR="00F277A2" w:rsidRPr="003878A7" w:rsidRDefault="00F277A2" w:rsidP="00196EA6">
            <w:pPr>
              <w:pStyle w:val="Pagrindinispaprastastekstas"/>
              <w:jc w:val="center"/>
              <w:rPr>
                <w:rFonts w:ascii="Times New Roman" w:eastAsiaTheme="minorEastAsia" w:hAnsi="Times New Roman"/>
                <w:bCs/>
                <w:sz w:val="21"/>
                <w:szCs w:val="21"/>
                <w:lang w:val="lt-LT"/>
              </w:rPr>
            </w:pPr>
            <w:r w:rsidRPr="003878A7">
              <w:rPr>
                <w:rFonts w:ascii="Times New Roman" w:eastAsiaTheme="minorEastAsia" w:hAnsi="Times New Roman"/>
                <w:bCs/>
                <w:sz w:val="21"/>
                <w:szCs w:val="21"/>
                <w:lang w:val="lt-LT"/>
              </w:rPr>
              <w:t>2,96</w:t>
            </w:r>
          </w:p>
        </w:tc>
        <w:tc>
          <w:tcPr>
            <w:tcW w:w="542" w:type="pct"/>
            <w:vAlign w:val="center"/>
          </w:tcPr>
          <w:p w14:paraId="653D3064" w14:textId="586D62B1" w:rsidR="00F277A2" w:rsidRPr="003878A7" w:rsidRDefault="00F277A2" w:rsidP="00196EA6">
            <w:pPr>
              <w:pStyle w:val="Pagrindinispaprastastekstas"/>
              <w:jc w:val="center"/>
              <w:rPr>
                <w:rFonts w:ascii="Times New Roman" w:eastAsiaTheme="minorEastAsia" w:hAnsi="Times New Roman"/>
                <w:bCs/>
                <w:sz w:val="21"/>
                <w:szCs w:val="21"/>
                <w:lang w:val="lt-LT"/>
              </w:rPr>
            </w:pPr>
            <w:r w:rsidRPr="003878A7">
              <w:rPr>
                <w:rFonts w:ascii="Times New Roman" w:eastAsiaTheme="minorEastAsia" w:hAnsi="Times New Roman"/>
                <w:bCs/>
                <w:sz w:val="21"/>
                <w:szCs w:val="21"/>
                <w:lang w:val="lt-LT"/>
              </w:rPr>
              <w:t>2,39</w:t>
            </w:r>
          </w:p>
        </w:tc>
        <w:tc>
          <w:tcPr>
            <w:tcW w:w="461" w:type="pct"/>
            <w:vAlign w:val="center"/>
          </w:tcPr>
          <w:p w14:paraId="77766602" w14:textId="78F162A8" w:rsidR="00F277A2" w:rsidRPr="003878A7" w:rsidRDefault="008361A1" w:rsidP="00196EA6">
            <w:pPr>
              <w:pStyle w:val="Pagrindinispaprastastekstas"/>
              <w:jc w:val="center"/>
              <w:rPr>
                <w:rFonts w:ascii="Times New Roman" w:eastAsiaTheme="minorEastAsia" w:hAnsi="Times New Roman"/>
                <w:bCs/>
                <w:sz w:val="21"/>
                <w:szCs w:val="21"/>
                <w:lang w:val="lt-LT"/>
              </w:rPr>
            </w:pPr>
            <w:r w:rsidRPr="003878A7">
              <w:rPr>
                <w:rFonts w:ascii="Times New Roman" w:eastAsiaTheme="minorEastAsia" w:hAnsi="Times New Roman"/>
                <w:bCs/>
                <w:sz w:val="21"/>
                <w:szCs w:val="21"/>
                <w:lang w:val="lt-LT"/>
              </w:rPr>
              <w:t>n/a</w:t>
            </w:r>
          </w:p>
        </w:tc>
      </w:tr>
      <w:tr w:rsidR="00196EA6" w:rsidRPr="003878A7" w14:paraId="61FD84E1" w14:textId="77777777" w:rsidTr="003878A7">
        <w:tc>
          <w:tcPr>
            <w:tcW w:w="696" w:type="pct"/>
            <w:vAlign w:val="center"/>
          </w:tcPr>
          <w:p w14:paraId="377A2F3E" w14:textId="2E4141E8" w:rsidR="00F277A2" w:rsidRPr="003878A7" w:rsidRDefault="00F277A2" w:rsidP="00196EA6">
            <w:pPr>
              <w:pStyle w:val="Pagrindinispaprastastekstas"/>
              <w:rPr>
                <w:rFonts w:ascii="Times New Roman" w:eastAsiaTheme="minorEastAsia" w:hAnsi="Times New Roman"/>
                <w:bCs/>
                <w:sz w:val="21"/>
                <w:szCs w:val="21"/>
                <w:lang w:val="lt-LT"/>
              </w:rPr>
            </w:pPr>
            <w:r w:rsidRPr="003878A7">
              <w:rPr>
                <w:rFonts w:ascii="Times New Roman" w:hAnsi="Times New Roman"/>
                <w:sz w:val="21"/>
                <w:szCs w:val="21"/>
                <w:lang w:val="lt-LT"/>
              </w:rPr>
              <w:t>Sverto efektas</w:t>
            </w:r>
          </w:p>
        </w:tc>
        <w:tc>
          <w:tcPr>
            <w:tcW w:w="547" w:type="pct"/>
            <w:vAlign w:val="center"/>
          </w:tcPr>
          <w:p w14:paraId="6573387C" w14:textId="6719CABD" w:rsidR="00F277A2" w:rsidRPr="003878A7" w:rsidRDefault="00F277A2" w:rsidP="00196EA6">
            <w:pPr>
              <w:pStyle w:val="Pagrindinispaprastastekstas"/>
              <w:jc w:val="center"/>
              <w:rPr>
                <w:rFonts w:ascii="Times New Roman" w:eastAsiaTheme="minorEastAsia" w:hAnsi="Times New Roman"/>
                <w:bCs/>
                <w:sz w:val="21"/>
                <w:szCs w:val="21"/>
                <w:lang w:val="lt-LT"/>
              </w:rPr>
            </w:pPr>
            <w:r w:rsidRPr="003878A7">
              <w:rPr>
                <w:rFonts w:ascii="Times New Roman" w:eastAsiaTheme="minorEastAsia" w:hAnsi="Times New Roman"/>
                <w:bCs/>
                <w:sz w:val="21"/>
                <w:szCs w:val="21"/>
                <w:lang w:val="lt-LT"/>
              </w:rPr>
              <w:t>1,00</w:t>
            </w:r>
          </w:p>
        </w:tc>
        <w:tc>
          <w:tcPr>
            <w:tcW w:w="547" w:type="pct"/>
            <w:vAlign w:val="center"/>
          </w:tcPr>
          <w:p w14:paraId="104ADA85" w14:textId="3B448F75" w:rsidR="00F277A2" w:rsidRPr="003878A7" w:rsidRDefault="00F277A2" w:rsidP="00196EA6">
            <w:pPr>
              <w:pStyle w:val="Pagrindinispaprastastekstas"/>
              <w:jc w:val="center"/>
              <w:rPr>
                <w:rFonts w:ascii="Times New Roman" w:eastAsiaTheme="minorEastAsia" w:hAnsi="Times New Roman"/>
                <w:bCs/>
                <w:sz w:val="21"/>
                <w:szCs w:val="21"/>
                <w:lang w:val="lt-LT"/>
              </w:rPr>
            </w:pPr>
            <w:r w:rsidRPr="003878A7">
              <w:rPr>
                <w:rFonts w:ascii="Times New Roman" w:eastAsiaTheme="minorEastAsia" w:hAnsi="Times New Roman"/>
                <w:bCs/>
                <w:sz w:val="21"/>
                <w:szCs w:val="21"/>
                <w:lang w:val="lt-LT"/>
              </w:rPr>
              <w:t>2,12</w:t>
            </w:r>
          </w:p>
        </w:tc>
        <w:tc>
          <w:tcPr>
            <w:tcW w:w="547" w:type="pct"/>
            <w:vAlign w:val="center"/>
          </w:tcPr>
          <w:p w14:paraId="22ADE241" w14:textId="48223199" w:rsidR="00F277A2" w:rsidRPr="003878A7" w:rsidRDefault="00F277A2" w:rsidP="00196EA6">
            <w:pPr>
              <w:pStyle w:val="Pagrindinispaprastastekstas"/>
              <w:jc w:val="center"/>
              <w:rPr>
                <w:rFonts w:ascii="Times New Roman" w:eastAsiaTheme="minorEastAsia" w:hAnsi="Times New Roman"/>
                <w:bCs/>
                <w:sz w:val="21"/>
                <w:szCs w:val="21"/>
                <w:lang w:val="lt-LT"/>
              </w:rPr>
            </w:pPr>
            <w:r w:rsidRPr="003878A7">
              <w:rPr>
                <w:rFonts w:ascii="Times New Roman" w:eastAsiaTheme="minorEastAsia" w:hAnsi="Times New Roman"/>
                <w:bCs/>
                <w:sz w:val="21"/>
                <w:szCs w:val="21"/>
                <w:lang w:val="lt-LT"/>
              </w:rPr>
              <w:t>2,11</w:t>
            </w:r>
          </w:p>
        </w:tc>
        <w:tc>
          <w:tcPr>
            <w:tcW w:w="547" w:type="pct"/>
            <w:vAlign w:val="center"/>
          </w:tcPr>
          <w:p w14:paraId="03CDAB76" w14:textId="51A1B59E" w:rsidR="00F277A2" w:rsidRPr="003878A7" w:rsidRDefault="00F277A2" w:rsidP="00196EA6">
            <w:pPr>
              <w:pStyle w:val="Pagrindinispaprastastekstas"/>
              <w:jc w:val="center"/>
              <w:rPr>
                <w:rFonts w:ascii="Times New Roman" w:eastAsiaTheme="minorEastAsia" w:hAnsi="Times New Roman"/>
                <w:bCs/>
                <w:sz w:val="21"/>
                <w:szCs w:val="21"/>
                <w:lang w:val="lt-LT"/>
              </w:rPr>
            </w:pPr>
            <w:r w:rsidRPr="003878A7">
              <w:rPr>
                <w:rFonts w:ascii="Times New Roman" w:eastAsiaTheme="minorEastAsia" w:hAnsi="Times New Roman"/>
                <w:bCs/>
                <w:sz w:val="21"/>
                <w:szCs w:val="21"/>
                <w:lang w:val="lt-LT"/>
              </w:rPr>
              <w:t>2,80</w:t>
            </w:r>
          </w:p>
        </w:tc>
        <w:tc>
          <w:tcPr>
            <w:tcW w:w="532" w:type="pct"/>
            <w:vAlign w:val="center"/>
          </w:tcPr>
          <w:p w14:paraId="04378B2A" w14:textId="6FEF9A94" w:rsidR="00F277A2" w:rsidRPr="003878A7" w:rsidRDefault="00F277A2" w:rsidP="00196EA6">
            <w:pPr>
              <w:pStyle w:val="Pagrindinispaprastastekstas"/>
              <w:jc w:val="center"/>
              <w:rPr>
                <w:rFonts w:ascii="Times New Roman" w:eastAsiaTheme="minorEastAsia" w:hAnsi="Times New Roman"/>
                <w:bCs/>
                <w:sz w:val="21"/>
                <w:szCs w:val="21"/>
                <w:lang w:val="lt-LT"/>
              </w:rPr>
            </w:pPr>
            <w:r w:rsidRPr="003878A7">
              <w:rPr>
                <w:rFonts w:ascii="Times New Roman" w:eastAsiaTheme="minorEastAsia" w:hAnsi="Times New Roman"/>
                <w:bCs/>
                <w:sz w:val="21"/>
                <w:szCs w:val="21"/>
                <w:lang w:val="lt-LT"/>
              </w:rPr>
              <w:t>3,82</w:t>
            </w:r>
          </w:p>
        </w:tc>
        <w:tc>
          <w:tcPr>
            <w:tcW w:w="578" w:type="pct"/>
            <w:vAlign w:val="center"/>
          </w:tcPr>
          <w:p w14:paraId="61E26DB2" w14:textId="50064612" w:rsidR="00F277A2" w:rsidRPr="003878A7" w:rsidRDefault="00F277A2" w:rsidP="00196EA6">
            <w:pPr>
              <w:pStyle w:val="Pagrindinispaprastastekstas"/>
              <w:jc w:val="center"/>
              <w:rPr>
                <w:rFonts w:ascii="Times New Roman" w:eastAsiaTheme="minorEastAsia" w:hAnsi="Times New Roman"/>
                <w:bCs/>
                <w:sz w:val="21"/>
                <w:szCs w:val="21"/>
                <w:lang w:val="lt-LT"/>
              </w:rPr>
            </w:pPr>
            <w:r w:rsidRPr="003878A7">
              <w:rPr>
                <w:rFonts w:ascii="Times New Roman" w:eastAsiaTheme="minorEastAsia" w:hAnsi="Times New Roman"/>
                <w:bCs/>
                <w:sz w:val="21"/>
                <w:szCs w:val="21"/>
                <w:lang w:val="lt-LT"/>
              </w:rPr>
              <w:t>3,35</w:t>
            </w:r>
          </w:p>
        </w:tc>
        <w:tc>
          <w:tcPr>
            <w:tcW w:w="542" w:type="pct"/>
            <w:vAlign w:val="center"/>
          </w:tcPr>
          <w:p w14:paraId="469742A5" w14:textId="3C9C550C" w:rsidR="00F277A2" w:rsidRPr="003878A7" w:rsidRDefault="00F277A2" w:rsidP="00196EA6">
            <w:pPr>
              <w:pStyle w:val="Pagrindinispaprastastekstas"/>
              <w:jc w:val="center"/>
              <w:rPr>
                <w:rFonts w:ascii="Times New Roman" w:eastAsiaTheme="minorEastAsia" w:hAnsi="Times New Roman"/>
                <w:bCs/>
                <w:sz w:val="21"/>
                <w:szCs w:val="21"/>
                <w:lang w:val="lt-LT"/>
              </w:rPr>
            </w:pPr>
            <w:r w:rsidRPr="003878A7">
              <w:rPr>
                <w:rFonts w:ascii="Times New Roman" w:eastAsiaTheme="minorEastAsia" w:hAnsi="Times New Roman"/>
                <w:bCs/>
                <w:sz w:val="21"/>
                <w:szCs w:val="21"/>
                <w:lang w:val="lt-LT"/>
              </w:rPr>
              <w:t>3,33</w:t>
            </w:r>
          </w:p>
        </w:tc>
        <w:tc>
          <w:tcPr>
            <w:tcW w:w="461" w:type="pct"/>
            <w:vAlign w:val="center"/>
          </w:tcPr>
          <w:p w14:paraId="33E48CE2" w14:textId="1C3686CA" w:rsidR="00F277A2" w:rsidRPr="003878A7" w:rsidRDefault="008361A1" w:rsidP="00196EA6">
            <w:pPr>
              <w:pStyle w:val="Pagrindinispaprastastekstas"/>
              <w:jc w:val="center"/>
              <w:rPr>
                <w:rFonts w:ascii="Times New Roman" w:eastAsiaTheme="minorEastAsia" w:hAnsi="Times New Roman"/>
                <w:bCs/>
                <w:sz w:val="21"/>
                <w:szCs w:val="21"/>
                <w:lang w:val="lt-LT"/>
              </w:rPr>
            </w:pPr>
            <w:r w:rsidRPr="003878A7">
              <w:rPr>
                <w:rFonts w:ascii="Times New Roman" w:eastAsiaTheme="minorEastAsia" w:hAnsi="Times New Roman"/>
                <w:bCs/>
                <w:sz w:val="21"/>
                <w:szCs w:val="21"/>
                <w:lang w:val="lt-LT"/>
              </w:rPr>
              <w:t>n/a</w:t>
            </w:r>
          </w:p>
        </w:tc>
      </w:tr>
    </w:tbl>
    <w:p w14:paraId="316B3792" w14:textId="77777777" w:rsidR="006D7B19" w:rsidRPr="003878A7" w:rsidRDefault="006D7B19" w:rsidP="006D7B19">
      <w:pPr>
        <w:spacing w:after="0"/>
        <w:rPr>
          <w:rFonts w:cs="Times New Roman"/>
          <w:sz w:val="20"/>
          <w:szCs w:val="20"/>
        </w:rPr>
      </w:pPr>
      <w:r w:rsidRPr="003878A7">
        <w:rPr>
          <w:rFonts w:cs="Times New Roman"/>
          <w:sz w:val="20"/>
          <w:szCs w:val="20"/>
        </w:rPr>
        <w:t>Šaltinis: sudaryta Vertintojų</w:t>
      </w:r>
    </w:p>
    <w:p w14:paraId="41FA688B" w14:textId="4744F67E" w:rsidR="00F01E02" w:rsidRPr="003878A7" w:rsidRDefault="00F01E02" w:rsidP="00196EA6">
      <w:pPr>
        <w:pStyle w:val="Pagrindinispaprastastekstas"/>
        <w:rPr>
          <w:rFonts w:eastAsiaTheme="minorEastAsia"/>
        </w:rPr>
      </w:pPr>
    </w:p>
    <w:p w14:paraId="3BB11245" w14:textId="1316BA62" w:rsidR="00950700" w:rsidRPr="003878A7" w:rsidRDefault="00950700">
      <w:pPr>
        <w:spacing w:before="0" w:after="160" w:line="259" w:lineRule="auto"/>
        <w:ind w:firstLine="0"/>
        <w:jc w:val="left"/>
      </w:pPr>
      <w:r w:rsidRPr="003878A7">
        <w:br w:type="page"/>
      </w:r>
    </w:p>
    <w:p w14:paraId="5D5FBF4D" w14:textId="15BD789A" w:rsidR="00196EA6" w:rsidRPr="003878A7" w:rsidRDefault="00950700" w:rsidP="006D7B19">
      <w:pPr>
        <w:pStyle w:val="Heading1"/>
        <w:numPr>
          <w:ilvl w:val="0"/>
          <w:numId w:val="44"/>
        </w:numPr>
        <w:ind w:left="426" w:hanging="284"/>
        <w:rPr>
          <w:rFonts w:cs="Times New Roman"/>
        </w:rPr>
      </w:pPr>
      <w:bookmarkStart w:id="69" w:name="_Toc70532895"/>
      <w:r w:rsidRPr="003878A7">
        <w:rPr>
          <w:rFonts w:cs="Times New Roman"/>
        </w:rPr>
        <w:lastRenderedPageBreak/>
        <w:t>priedas. FP taikymo scenarijų palyginimas įgyvendinant savivaldybių pastatų modernizavimo  projektus</w:t>
      </w:r>
      <w:bookmarkEnd w:id="69"/>
    </w:p>
    <w:tbl>
      <w:tblPr>
        <w:tblStyle w:val="TableGrid"/>
        <w:tblW w:w="5000" w:type="pct"/>
        <w:tblLook w:val="04A0" w:firstRow="1" w:lastRow="0" w:firstColumn="1" w:lastColumn="0" w:noHBand="0" w:noVBand="1"/>
      </w:tblPr>
      <w:tblGrid>
        <w:gridCol w:w="1886"/>
        <w:gridCol w:w="1096"/>
        <w:gridCol w:w="1419"/>
        <w:gridCol w:w="1364"/>
        <w:gridCol w:w="1320"/>
        <w:gridCol w:w="1604"/>
        <w:gridCol w:w="1165"/>
      </w:tblGrid>
      <w:tr w:rsidR="00950700" w:rsidRPr="003878A7" w14:paraId="60166F0C" w14:textId="77777777" w:rsidTr="008361A1">
        <w:trPr>
          <w:trHeight w:val="20"/>
        </w:trPr>
        <w:tc>
          <w:tcPr>
            <w:tcW w:w="957" w:type="pct"/>
            <w:vAlign w:val="center"/>
          </w:tcPr>
          <w:p w14:paraId="4B8A2B12" w14:textId="77777777" w:rsidR="00950700" w:rsidRPr="003878A7" w:rsidRDefault="00950700" w:rsidP="00196EA6">
            <w:pPr>
              <w:pStyle w:val="Pagrindinispaprastastekstas"/>
              <w:rPr>
                <w:rFonts w:ascii="Times New Roman" w:hAnsi="Times New Roman"/>
                <w:b/>
                <w:bCs/>
                <w:sz w:val="21"/>
                <w:szCs w:val="21"/>
                <w:lang w:val="lt-LT"/>
              </w:rPr>
            </w:pPr>
            <w:r w:rsidRPr="003878A7">
              <w:rPr>
                <w:rFonts w:ascii="Times New Roman" w:hAnsi="Times New Roman"/>
                <w:b/>
                <w:bCs/>
                <w:sz w:val="21"/>
                <w:szCs w:val="21"/>
                <w:lang w:val="lt-LT"/>
              </w:rPr>
              <w:t>FP</w:t>
            </w:r>
          </w:p>
        </w:tc>
        <w:tc>
          <w:tcPr>
            <w:tcW w:w="556" w:type="pct"/>
            <w:vAlign w:val="center"/>
          </w:tcPr>
          <w:p w14:paraId="0EA336FF" w14:textId="659245DB" w:rsidR="00950700" w:rsidRPr="003878A7" w:rsidRDefault="008361A1" w:rsidP="00196EA6">
            <w:pPr>
              <w:pStyle w:val="Pagrindinispaprastastekstas"/>
              <w:rPr>
                <w:rFonts w:ascii="Times New Roman" w:hAnsi="Times New Roman"/>
                <w:b/>
                <w:bCs/>
                <w:sz w:val="21"/>
                <w:szCs w:val="21"/>
                <w:lang w:val="lt-LT"/>
              </w:rPr>
            </w:pPr>
            <w:r w:rsidRPr="003878A7">
              <w:rPr>
                <w:rFonts w:ascii="Times New Roman" w:hAnsi="Times New Roman"/>
                <w:b/>
                <w:bCs/>
                <w:sz w:val="21"/>
                <w:szCs w:val="21"/>
                <w:lang w:val="lt-LT"/>
              </w:rPr>
              <w:t>P</w:t>
            </w:r>
            <w:r w:rsidR="00950700" w:rsidRPr="003878A7">
              <w:rPr>
                <w:rFonts w:ascii="Times New Roman" w:hAnsi="Times New Roman"/>
                <w:b/>
                <w:bCs/>
                <w:sz w:val="21"/>
                <w:szCs w:val="21"/>
                <w:lang w:val="lt-LT"/>
              </w:rPr>
              <w:t>askola</w:t>
            </w:r>
          </w:p>
        </w:tc>
        <w:tc>
          <w:tcPr>
            <w:tcW w:w="720" w:type="pct"/>
            <w:vAlign w:val="center"/>
          </w:tcPr>
          <w:p w14:paraId="268185DE" w14:textId="0CC60B45" w:rsidR="00950700" w:rsidRPr="003878A7" w:rsidRDefault="00950700" w:rsidP="00196EA6">
            <w:pPr>
              <w:pStyle w:val="Pagrindinispaprastastekstas"/>
              <w:rPr>
                <w:rFonts w:ascii="Times New Roman" w:hAnsi="Times New Roman"/>
                <w:b/>
                <w:bCs/>
                <w:sz w:val="21"/>
                <w:szCs w:val="21"/>
                <w:lang w:val="lt-LT"/>
              </w:rPr>
            </w:pPr>
            <w:r w:rsidRPr="003878A7">
              <w:rPr>
                <w:rFonts w:ascii="Times New Roman" w:hAnsi="Times New Roman"/>
                <w:b/>
                <w:bCs/>
                <w:sz w:val="21"/>
                <w:szCs w:val="21"/>
                <w:lang w:val="lt-LT"/>
              </w:rPr>
              <w:t>Paskola + investicinis fondas</w:t>
            </w:r>
          </w:p>
        </w:tc>
        <w:tc>
          <w:tcPr>
            <w:tcW w:w="692" w:type="pct"/>
            <w:vAlign w:val="center"/>
          </w:tcPr>
          <w:p w14:paraId="65686BEC" w14:textId="29F730C0" w:rsidR="00950700" w:rsidRPr="003878A7" w:rsidRDefault="00950700" w:rsidP="00196EA6">
            <w:pPr>
              <w:pStyle w:val="Pagrindinispaprastastekstas"/>
              <w:rPr>
                <w:rFonts w:ascii="Times New Roman" w:hAnsi="Times New Roman"/>
                <w:b/>
                <w:bCs/>
                <w:sz w:val="21"/>
                <w:szCs w:val="21"/>
                <w:lang w:val="lt-LT"/>
              </w:rPr>
            </w:pPr>
            <w:r w:rsidRPr="003878A7">
              <w:rPr>
                <w:rFonts w:ascii="Times New Roman" w:hAnsi="Times New Roman"/>
                <w:b/>
                <w:bCs/>
                <w:sz w:val="21"/>
                <w:szCs w:val="21"/>
                <w:lang w:val="lt-LT"/>
              </w:rPr>
              <w:t>Paskola + garantijos bankams</w:t>
            </w:r>
          </w:p>
        </w:tc>
        <w:tc>
          <w:tcPr>
            <w:tcW w:w="670" w:type="pct"/>
            <w:vAlign w:val="center"/>
          </w:tcPr>
          <w:p w14:paraId="311EDC4E" w14:textId="27418B2A" w:rsidR="00950700" w:rsidRPr="003878A7" w:rsidRDefault="00950700" w:rsidP="00196EA6">
            <w:pPr>
              <w:pStyle w:val="Pagrindinispaprastastekstas"/>
              <w:rPr>
                <w:rFonts w:ascii="Times New Roman" w:hAnsi="Times New Roman"/>
                <w:b/>
                <w:bCs/>
                <w:sz w:val="21"/>
                <w:szCs w:val="21"/>
                <w:lang w:val="lt-LT"/>
              </w:rPr>
            </w:pPr>
            <w:r w:rsidRPr="003878A7">
              <w:rPr>
                <w:rFonts w:ascii="Times New Roman" w:hAnsi="Times New Roman"/>
                <w:b/>
                <w:bCs/>
                <w:sz w:val="21"/>
                <w:szCs w:val="21"/>
                <w:lang w:val="lt-LT"/>
              </w:rPr>
              <w:t>Garantijos bankams</w:t>
            </w:r>
          </w:p>
        </w:tc>
        <w:tc>
          <w:tcPr>
            <w:tcW w:w="814" w:type="pct"/>
            <w:vAlign w:val="center"/>
          </w:tcPr>
          <w:p w14:paraId="13B63E51" w14:textId="7FD1AD6D" w:rsidR="00950700" w:rsidRPr="003878A7" w:rsidRDefault="00950700" w:rsidP="00196EA6">
            <w:pPr>
              <w:pStyle w:val="Pagrindinispaprastastekstas"/>
              <w:rPr>
                <w:rFonts w:ascii="Times New Roman" w:hAnsi="Times New Roman"/>
                <w:b/>
                <w:bCs/>
                <w:sz w:val="21"/>
                <w:szCs w:val="21"/>
                <w:lang w:val="lt-LT"/>
              </w:rPr>
            </w:pPr>
            <w:r w:rsidRPr="003878A7">
              <w:rPr>
                <w:rFonts w:ascii="Times New Roman" w:hAnsi="Times New Roman"/>
                <w:b/>
                <w:bCs/>
                <w:sz w:val="21"/>
                <w:szCs w:val="21"/>
                <w:lang w:val="lt-LT"/>
              </w:rPr>
              <w:t>Paskola + rizikos pasidalijimo fondas</w:t>
            </w:r>
          </w:p>
        </w:tc>
        <w:tc>
          <w:tcPr>
            <w:tcW w:w="591" w:type="pct"/>
            <w:vAlign w:val="center"/>
          </w:tcPr>
          <w:p w14:paraId="58917A87" w14:textId="77777777" w:rsidR="00950700" w:rsidRPr="003878A7" w:rsidRDefault="00950700" w:rsidP="00196EA6">
            <w:pPr>
              <w:pStyle w:val="Pagrindinispaprastastekstas"/>
              <w:rPr>
                <w:rFonts w:ascii="Times New Roman" w:hAnsi="Times New Roman"/>
                <w:b/>
                <w:bCs/>
                <w:sz w:val="21"/>
                <w:szCs w:val="21"/>
                <w:lang w:val="lt-LT"/>
              </w:rPr>
            </w:pPr>
            <w:r w:rsidRPr="003878A7">
              <w:rPr>
                <w:rFonts w:ascii="Times New Roman" w:hAnsi="Times New Roman"/>
                <w:b/>
                <w:bCs/>
                <w:sz w:val="21"/>
                <w:szCs w:val="21"/>
                <w:lang w:val="lt-LT"/>
              </w:rPr>
              <w:t>100 proc. subsidija</w:t>
            </w:r>
          </w:p>
        </w:tc>
      </w:tr>
      <w:tr w:rsidR="00950700" w:rsidRPr="003878A7" w14:paraId="4C7FEFA3" w14:textId="77777777" w:rsidTr="00196EA6">
        <w:trPr>
          <w:trHeight w:val="20"/>
        </w:trPr>
        <w:tc>
          <w:tcPr>
            <w:tcW w:w="957" w:type="pct"/>
            <w:vAlign w:val="center"/>
          </w:tcPr>
          <w:p w14:paraId="57AF0FAD" w14:textId="2ECEF2D1" w:rsidR="00950700" w:rsidRPr="003878A7" w:rsidRDefault="00950700" w:rsidP="00196EA6">
            <w:pPr>
              <w:pStyle w:val="Pagrindinispaprastastekstas"/>
              <w:rPr>
                <w:rFonts w:ascii="Times New Roman" w:hAnsi="Times New Roman"/>
                <w:sz w:val="21"/>
                <w:szCs w:val="21"/>
                <w:lang w:val="lt-LT"/>
              </w:rPr>
            </w:pPr>
            <w:r w:rsidRPr="003878A7">
              <w:rPr>
                <w:rFonts w:ascii="Times New Roman" w:hAnsi="Times New Roman"/>
                <w:sz w:val="21"/>
                <w:szCs w:val="21"/>
                <w:lang w:val="lt-LT"/>
              </w:rPr>
              <w:t>Fondo lėšos, mln. Eur</w:t>
            </w:r>
          </w:p>
        </w:tc>
        <w:tc>
          <w:tcPr>
            <w:tcW w:w="556" w:type="pct"/>
            <w:vAlign w:val="center"/>
          </w:tcPr>
          <w:p w14:paraId="71F94466" w14:textId="3A31B222" w:rsidR="00950700" w:rsidRPr="003878A7" w:rsidRDefault="00950700" w:rsidP="00196EA6">
            <w:pPr>
              <w:pStyle w:val="Pagrindinispaprastastekstas"/>
              <w:jc w:val="center"/>
              <w:rPr>
                <w:rFonts w:ascii="Times New Roman" w:hAnsi="Times New Roman"/>
                <w:sz w:val="21"/>
                <w:szCs w:val="21"/>
                <w:lang w:val="lt-LT"/>
              </w:rPr>
            </w:pPr>
            <w:r w:rsidRPr="003878A7">
              <w:rPr>
                <w:rFonts w:ascii="Times New Roman" w:hAnsi="Times New Roman"/>
                <w:sz w:val="21"/>
                <w:szCs w:val="21"/>
                <w:lang w:val="lt-LT"/>
              </w:rPr>
              <w:t>50</w:t>
            </w:r>
          </w:p>
        </w:tc>
        <w:tc>
          <w:tcPr>
            <w:tcW w:w="720" w:type="pct"/>
            <w:vAlign w:val="center"/>
          </w:tcPr>
          <w:p w14:paraId="02C1F41F" w14:textId="478131AA" w:rsidR="00950700" w:rsidRPr="003878A7" w:rsidRDefault="00950700" w:rsidP="00196EA6">
            <w:pPr>
              <w:pStyle w:val="Pagrindinispaprastastekstas"/>
              <w:jc w:val="center"/>
              <w:rPr>
                <w:rFonts w:ascii="Times New Roman" w:hAnsi="Times New Roman"/>
                <w:sz w:val="21"/>
                <w:szCs w:val="21"/>
                <w:lang w:val="lt-LT"/>
              </w:rPr>
            </w:pPr>
            <w:r w:rsidRPr="003878A7">
              <w:rPr>
                <w:rFonts w:ascii="Times New Roman" w:hAnsi="Times New Roman"/>
                <w:sz w:val="21"/>
                <w:szCs w:val="21"/>
                <w:lang w:val="lt-LT"/>
              </w:rPr>
              <w:t>50</w:t>
            </w:r>
          </w:p>
        </w:tc>
        <w:tc>
          <w:tcPr>
            <w:tcW w:w="692" w:type="pct"/>
            <w:vAlign w:val="center"/>
          </w:tcPr>
          <w:p w14:paraId="65BEEE80" w14:textId="3F54445B" w:rsidR="00950700" w:rsidRPr="003878A7" w:rsidRDefault="00950700" w:rsidP="00196EA6">
            <w:pPr>
              <w:pStyle w:val="Pagrindinispaprastastekstas"/>
              <w:jc w:val="center"/>
              <w:rPr>
                <w:rFonts w:ascii="Times New Roman" w:hAnsi="Times New Roman"/>
                <w:sz w:val="21"/>
                <w:szCs w:val="21"/>
                <w:lang w:val="lt-LT"/>
              </w:rPr>
            </w:pPr>
            <w:r w:rsidRPr="003878A7">
              <w:rPr>
                <w:rFonts w:ascii="Times New Roman" w:hAnsi="Times New Roman"/>
                <w:sz w:val="21"/>
                <w:szCs w:val="21"/>
                <w:lang w:val="lt-LT"/>
              </w:rPr>
              <w:t>50</w:t>
            </w:r>
          </w:p>
        </w:tc>
        <w:tc>
          <w:tcPr>
            <w:tcW w:w="670" w:type="pct"/>
            <w:vAlign w:val="center"/>
          </w:tcPr>
          <w:p w14:paraId="68D088E7" w14:textId="0B8890C4" w:rsidR="00950700" w:rsidRPr="003878A7" w:rsidRDefault="00950700" w:rsidP="00196EA6">
            <w:pPr>
              <w:pStyle w:val="Pagrindinispaprastastekstas"/>
              <w:jc w:val="center"/>
              <w:rPr>
                <w:rFonts w:ascii="Times New Roman" w:hAnsi="Times New Roman"/>
                <w:sz w:val="21"/>
                <w:szCs w:val="21"/>
                <w:lang w:val="lt-LT"/>
              </w:rPr>
            </w:pPr>
            <w:r w:rsidRPr="003878A7">
              <w:rPr>
                <w:rFonts w:ascii="Times New Roman" w:hAnsi="Times New Roman"/>
                <w:sz w:val="21"/>
                <w:szCs w:val="21"/>
                <w:lang w:val="lt-LT"/>
              </w:rPr>
              <w:t>50</w:t>
            </w:r>
          </w:p>
        </w:tc>
        <w:tc>
          <w:tcPr>
            <w:tcW w:w="814" w:type="pct"/>
            <w:vAlign w:val="center"/>
          </w:tcPr>
          <w:p w14:paraId="2321060C" w14:textId="0BBDDB31" w:rsidR="00950700" w:rsidRPr="003878A7" w:rsidRDefault="00950700" w:rsidP="00196EA6">
            <w:pPr>
              <w:pStyle w:val="Pagrindinispaprastastekstas"/>
              <w:jc w:val="center"/>
              <w:rPr>
                <w:rFonts w:ascii="Times New Roman" w:hAnsi="Times New Roman"/>
                <w:sz w:val="21"/>
                <w:szCs w:val="21"/>
                <w:lang w:val="lt-LT"/>
              </w:rPr>
            </w:pPr>
            <w:r w:rsidRPr="003878A7">
              <w:rPr>
                <w:rFonts w:ascii="Times New Roman" w:hAnsi="Times New Roman"/>
                <w:sz w:val="21"/>
                <w:szCs w:val="21"/>
                <w:lang w:val="lt-LT"/>
              </w:rPr>
              <w:t>50</w:t>
            </w:r>
          </w:p>
        </w:tc>
        <w:tc>
          <w:tcPr>
            <w:tcW w:w="591" w:type="pct"/>
            <w:vAlign w:val="center"/>
          </w:tcPr>
          <w:p w14:paraId="4EDB4201" w14:textId="34B590F7" w:rsidR="00950700" w:rsidRPr="003878A7" w:rsidRDefault="00950700" w:rsidP="00196EA6">
            <w:pPr>
              <w:pStyle w:val="Pagrindinispaprastastekstas"/>
              <w:jc w:val="center"/>
              <w:rPr>
                <w:rFonts w:ascii="Times New Roman" w:hAnsi="Times New Roman"/>
                <w:sz w:val="21"/>
                <w:szCs w:val="21"/>
                <w:lang w:val="lt-LT"/>
              </w:rPr>
            </w:pPr>
            <w:r w:rsidRPr="003878A7">
              <w:rPr>
                <w:rFonts w:ascii="Times New Roman" w:hAnsi="Times New Roman"/>
                <w:sz w:val="21"/>
                <w:szCs w:val="21"/>
                <w:lang w:val="lt-LT"/>
              </w:rPr>
              <w:t>50</w:t>
            </w:r>
          </w:p>
        </w:tc>
      </w:tr>
      <w:tr w:rsidR="00950700" w:rsidRPr="003878A7" w14:paraId="48893FDC" w14:textId="77777777" w:rsidTr="00196EA6">
        <w:trPr>
          <w:trHeight w:val="20"/>
        </w:trPr>
        <w:tc>
          <w:tcPr>
            <w:tcW w:w="957" w:type="pct"/>
            <w:vAlign w:val="center"/>
          </w:tcPr>
          <w:p w14:paraId="282827CD" w14:textId="6F8F0BF2" w:rsidR="00950700" w:rsidRPr="003878A7" w:rsidRDefault="00950700" w:rsidP="00196EA6">
            <w:pPr>
              <w:pStyle w:val="Pagrindinispaprastastekstas"/>
              <w:rPr>
                <w:rFonts w:ascii="Times New Roman" w:hAnsi="Times New Roman"/>
                <w:sz w:val="21"/>
                <w:szCs w:val="21"/>
                <w:lang w:val="lt-LT"/>
              </w:rPr>
            </w:pPr>
            <w:r w:rsidRPr="003878A7">
              <w:rPr>
                <w:rFonts w:ascii="Times New Roman" w:hAnsi="Times New Roman"/>
                <w:sz w:val="21"/>
                <w:szCs w:val="21"/>
                <w:lang w:val="lt-LT"/>
              </w:rPr>
              <w:t xml:space="preserve">Iki 2022 m. pasirašyta paskolos sutarčių vertė, mln. </w:t>
            </w:r>
            <w:r w:rsidR="008361A1" w:rsidRPr="003878A7">
              <w:rPr>
                <w:rFonts w:ascii="Times New Roman" w:hAnsi="Times New Roman"/>
                <w:sz w:val="21"/>
                <w:szCs w:val="21"/>
                <w:lang w:val="lt-LT"/>
              </w:rPr>
              <w:t>Eur</w:t>
            </w:r>
            <w:r w:rsidRPr="003878A7">
              <w:rPr>
                <w:rFonts w:ascii="Times New Roman" w:hAnsi="Times New Roman"/>
                <w:sz w:val="21"/>
                <w:szCs w:val="21"/>
                <w:lang w:val="lt-LT"/>
              </w:rPr>
              <w:t>)</w:t>
            </w:r>
          </w:p>
        </w:tc>
        <w:tc>
          <w:tcPr>
            <w:tcW w:w="556" w:type="pct"/>
            <w:vAlign w:val="center"/>
          </w:tcPr>
          <w:p w14:paraId="278B9BBF" w14:textId="3C706675" w:rsidR="00950700" w:rsidRPr="003878A7" w:rsidRDefault="00950700" w:rsidP="00196EA6">
            <w:pPr>
              <w:pStyle w:val="Pagrindinispaprastastekstas"/>
              <w:jc w:val="center"/>
              <w:rPr>
                <w:rFonts w:ascii="Times New Roman" w:hAnsi="Times New Roman"/>
                <w:sz w:val="21"/>
                <w:szCs w:val="21"/>
                <w:lang w:val="lt-LT"/>
              </w:rPr>
            </w:pPr>
            <w:r w:rsidRPr="003878A7">
              <w:rPr>
                <w:rFonts w:ascii="Times New Roman" w:hAnsi="Times New Roman"/>
                <w:sz w:val="21"/>
                <w:szCs w:val="21"/>
                <w:lang w:val="lt-LT"/>
              </w:rPr>
              <w:t>49,3</w:t>
            </w:r>
          </w:p>
        </w:tc>
        <w:tc>
          <w:tcPr>
            <w:tcW w:w="720" w:type="pct"/>
            <w:vAlign w:val="center"/>
          </w:tcPr>
          <w:p w14:paraId="31E2B1AC" w14:textId="7D0BCC23" w:rsidR="00950700" w:rsidRPr="003878A7" w:rsidRDefault="00950700" w:rsidP="00196EA6">
            <w:pPr>
              <w:pStyle w:val="Pagrindinispaprastastekstas"/>
              <w:jc w:val="center"/>
              <w:rPr>
                <w:rFonts w:ascii="Times New Roman" w:hAnsi="Times New Roman"/>
                <w:sz w:val="21"/>
                <w:szCs w:val="21"/>
                <w:lang w:val="lt-LT"/>
              </w:rPr>
            </w:pPr>
            <w:r w:rsidRPr="003878A7">
              <w:rPr>
                <w:rFonts w:ascii="Times New Roman" w:hAnsi="Times New Roman"/>
                <w:sz w:val="21"/>
                <w:szCs w:val="21"/>
                <w:lang w:val="lt-LT"/>
              </w:rPr>
              <w:t>62,9</w:t>
            </w:r>
          </w:p>
        </w:tc>
        <w:tc>
          <w:tcPr>
            <w:tcW w:w="692" w:type="pct"/>
            <w:vAlign w:val="center"/>
          </w:tcPr>
          <w:p w14:paraId="60C6F1AB" w14:textId="771D9C9A" w:rsidR="00950700" w:rsidRPr="003878A7" w:rsidRDefault="00950700" w:rsidP="00196EA6">
            <w:pPr>
              <w:pStyle w:val="Pagrindinispaprastastekstas"/>
              <w:jc w:val="center"/>
              <w:rPr>
                <w:rFonts w:ascii="Times New Roman" w:hAnsi="Times New Roman"/>
                <w:sz w:val="21"/>
                <w:szCs w:val="21"/>
                <w:lang w:val="lt-LT"/>
              </w:rPr>
            </w:pPr>
            <w:r w:rsidRPr="003878A7">
              <w:rPr>
                <w:rFonts w:ascii="Times New Roman" w:hAnsi="Times New Roman"/>
                <w:sz w:val="21"/>
                <w:szCs w:val="21"/>
                <w:lang w:val="lt-LT"/>
              </w:rPr>
              <w:t>53,2</w:t>
            </w:r>
          </w:p>
        </w:tc>
        <w:tc>
          <w:tcPr>
            <w:tcW w:w="670" w:type="pct"/>
            <w:vAlign w:val="center"/>
          </w:tcPr>
          <w:p w14:paraId="4B321353" w14:textId="2BCAE5D6" w:rsidR="00950700" w:rsidRPr="003878A7" w:rsidRDefault="00950700" w:rsidP="00196EA6">
            <w:pPr>
              <w:pStyle w:val="Pagrindinispaprastastekstas"/>
              <w:jc w:val="center"/>
              <w:rPr>
                <w:rFonts w:ascii="Times New Roman" w:hAnsi="Times New Roman"/>
                <w:sz w:val="21"/>
                <w:szCs w:val="21"/>
                <w:lang w:val="lt-LT"/>
              </w:rPr>
            </w:pPr>
            <w:r w:rsidRPr="003878A7">
              <w:rPr>
                <w:rFonts w:ascii="Times New Roman" w:hAnsi="Times New Roman"/>
                <w:sz w:val="21"/>
                <w:szCs w:val="21"/>
                <w:lang w:val="lt-LT"/>
              </w:rPr>
              <w:t>86,6</w:t>
            </w:r>
          </w:p>
        </w:tc>
        <w:tc>
          <w:tcPr>
            <w:tcW w:w="814" w:type="pct"/>
            <w:vAlign w:val="center"/>
          </w:tcPr>
          <w:p w14:paraId="5B1C27B3" w14:textId="7490B00E" w:rsidR="00950700" w:rsidRPr="003878A7" w:rsidRDefault="00950700" w:rsidP="00196EA6">
            <w:pPr>
              <w:pStyle w:val="Pagrindinispaprastastekstas"/>
              <w:jc w:val="center"/>
              <w:rPr>
                <w:rFonts w:ascii="Times New Roman" w:hAnsi="Times New Roman"/>
                <w:sz w:val="21"/>
                <w:szCs w:val="21"/>
                <w:lang w:val="lt-LT"/>
              </w:rPr>
            </w:pPr>
            <w:r w:rsidRPr="003878A7">
              <w:rPr>
                <w:rFonts w:ascii="Times New Roman" w:hAnsi="Times New Roman"/>
                <w:sz w:val="21"/>
                <w:szCs w:val="21"/>
                <w:lang w:val="lt-LT"/>
              </w:rPr>
              <w:t>70,6</w:t>
            </w:r>
          </w:p>
        </w:tc>
        <w:tc>
          <w:tcPr>
            <w:tcW w:w="591" w:type="pct"/>
            <w:vAlign w:val="center"/>
          </w:tcPr>
          <w:p w14:paraId="622BE1FB" w14:textId="34A7A297" w:rsidR="00950700" w:rsidRPr="003878A7" w:rsidRDefault="00950700" w:rsidP="00196EA6">
            <w:pPr>
              <w:pStyle w:val="Pagrindinispaprastastekstas"/>
              <w:jc w:val="center"/>
              <w:rPr>
                <w:rFonts w:ascii="Times New Roman" w:hAnsi="Times New Roman"/>
                <w:sz w:val="21"/>
                <w:szCs w:val="21"/>
                <w:lang w:val="lt-LT"/>
              </w:rPr>
            </w:pPr>
            <w:r w:rsidRPr="003878A7">
              <w:rPr>
                <w:rFonts w:ascii="Times New Roman" w:hAnsi="Times New Roman"/>
                <w:sz w:val="21"/>
                <w:szCs w:val="21"/>
                <w:lang w:val="lt-LT"/>
              </w:rPr>
              <w:t>50,7</w:t>
            </w:r>
          </w:p>
        </w:tc>
      </w:tr>
      <w:tr w:rsidR="00950700" w:rsidRPr="003878A7" w14:paraId="5B38404C" w14:textId="77777777" w:rsidTr="00196EA6">
        <w:trPr>
          <w:trHeight w:val="20"/>
        </w:trPr>
        <w:tc>
          <w:tcPr>
            <w:tcW w:w="957" w:type="pct"/>
            <w:vAlign w:val="center"/>
          </w:tcPr>
          <w:p w14:paraId="631920CC" w14:textId="0A5F6B43" w:rsidR="00950700" w:rsidRPr="003878A7" w:rsidRDefault="00950700" w:rsidP="00196EA6">
            <w:pPr>
              <w:pStyle w:val="Pagrindinispaprastastekstas"/>
              <w:rPr>
                <w:rFonts w:ascii="Times New Roman" w:hAnsi="Times New Roman"/>
                <w:sz w:val="21"/>
                <w:szCs w:val="21"/>
                <w:lang w:val="lt-LT"/>
              </w:rPr>
            </w:pPr>
            <w:r w:rsidRPr="003878A7">
              <w:rPr>
                <w:rFonts w:ascii="Times New Roman" w:hAnsi="Times New Roman"/>
                <w:sz w:val="21"/>
                <w:szCs w:val="21"/>
                <w:lang w:val="lt-LT"/>
              </w:rPr>
              <w:t>Iki 2022 m. renovuotų pastatų skaičius</w:t>
            </w:r>
          </w:p>
        </w:tc>
        <w:tc>
          <w:tcPr>
            <w:tcW w:w="556" w:type="pct"/>
            <w:vAlign w:val="center"/>
          </w:tcPr>
          <w:p w14:paraId="560C111E" w14:textId="0AE7B50A" w:rsidR="00950700" w:rsidRPr="003878A7" w:rsidRDefault="007C42E8" w:rsidP="00196EA6">
            <w:pPr>
              <w:pStyle w:val="Pagrindinispaprastastekstas"/>
              <w:jc w:val="center"/>
              <w:rPr>
                <w:rFonts w:ascii="Times New Roman" w:hAnsi="Times New Roman"/>
                <w:sz w:val="21"/>
                <w:szCs w:val="21"/>
                <w:lang w:val="lt-LT"/>
              </w:rPr>
            </w:pPr>
            <w:r w:rsidRPr="003878A7">
              <w:rPr>
                <w:rFonts w:ascii="Times New Roman" w:hAnsi="Times New Roman"/>
                <w:sz w:val="21"/>
                <w:szCs w:val="21"/>
                <w:lang w:val="lt-LT"/>
              </w:rPr>
              <w:t>215</w:t>
            </w:r>
          </w:p>
        </w:tc>
        <w:tc>
          <w:tcPr>
            <w:tcW w:w="720" w:type="pct"/>
            <w:vAlign w:val="center"/>
          </w:tcPr>
          <w:p w14:paraId="27F99207" w14:textId="069F4376" w:rsidR="00950700" w:rsidRPr="003878A7" w:rsidRDefault="007C42E8" w:rsidP="00196EA6">
            <w:pPr>
              <w:pStyle w:val="Pagrindinispaprastastekstas"/>
              <w:jc w:val="center"/>
              <w:rPr>
                <w:rFonts w:ascii="Times New Roman" w:hAnsi="Times New Roman"/>
                <w:sz w:val="21"/>
                <w:szCs w:val="21"/>
                <w:lang w:val="lt-LT"/>
              </w:rPr>
            </w:pPr>
            <w:r w:rsidRPr="003878A7">
              <w:rPr>
                <w:rFonts w:ascii="Times New Roman" w:hAnsi="Times New Roman"/>
                <w:sz w:val="21"/>
                <w:szCs w:val="21"/>
                <w:lang w:val="lt-LT"/>
              </w:rPr>
              <w:t>235</w:t>
            </w:r>
          </w:p>
        </w:tc>
        <w:tc>
          <w:tcPr>
            <w:tcW w:w="692" w:type="pct"/>
            <w:vAlign w:val="center"/>
          </w:tcPr>
          <w:p w14:paraId="2C63E020" w14:textId="7521B854" w:rsidR="00950700" w:rsidRPr="003878A7" w:rsidRDefault="007C42E8" w:rsidP="00196EA6">
            <w:pPr>
              <w:pStyle w:val="Pagrindinispaprastastekstas"/>
              <w:jc w:val="center"/>
              <w:rPr>
                <w:rFonts w:ascii="Times New Roman" w:hAnsi="Times New Roman"/>
                <w:sz w:val="21"/>
                <w:szCs w:val="21"/>
                <w:lang w:val="lt-LT"/>
              </w:rPr>
            </w:pPr>
            <w:r w:rsidRPr="003878A7">
              <w:rPr>
                <w:rFonts w:ascii="Times New Roman" w:hAnsi="Times New Roman"/>
                <w:sz w:val="21"/>
                <w:szCs w:val="21"/>
                <w:lang w:val="lt-LT"/>
              </w:rPr>
              <w:t>230</w:t>
            </w:r>
          </w:p>
        </w:tc>
        <w:tc>
          <w:tcPr>
            <w:tcW w:w="670" w:type="pct"/>
            <w:vAlign w:val="center"/>
          </w:tcPr>
          <w:p w14:paraId="0E99ED57" w14:textId="2B14B0F4" w:rsidR="00950700" w:rsidRPr="003878A7" w:rsidRDefault="007C42E8" w:rsidP="00196EA6">
            <w:pPr>
              <w:pStyle w:val="Pagrindinispaprastastekstas"/>
              <w:jc w:val="center"/>
              <w:rPr>
                <w:rFonts w:ascii="Times New Roman" w:hAnsi="Times New Roman"/>
                <w:sz w:val="21"/>
                <w:szCs w:val="21"/>
                <w:lang w:val="lt-LT"/>
              </w:rPr>
            </w:pPr>
            <w:r w:rsidRPr="003878A7">
              <w:rPr>
                <w:rFonts w:ascii="Times New Roman" w:hAnsi="Times New Roman"/>
                <w:sz w:val="21"/>
                <w:szCs w:val="21"/>
                <w:lang w:val="lt-LT"/>
              </w:rPr>
              <w:t>380</w:t>
            </w:r>
          </w:p>
        </w:tc>
        <w:tc>
          <w:tcPr>
            <w:tcW w:w="814" w:type="pct"/>
            <w:vAlign w:val="center"/>
          </w:tcPr>
          <w:p w14:paraId="4232E18C" w14:textId="6F90562A" w:rsidR="00950700" w:rsidRPr="003878A7" w:rsidRDefault="007C42E8" w:rsidP="00196EA6">
            <w:pPr>
              <w:pStyle w:val="Pagrindinispaprastastekstas"/>
              <w:jc w:val="center"/>
              <w:rPr>
                <w:rFonts w:ascii="Times New Roman" w:hAnsi="Times New Roman"/>
                <w:sz w:val="21"/>
                <w:szCs w:val="21"/>
                <w:lang w:val="lt-LT"/>
              </w:rPr>
            </w:pPr>
            <w:r w:rsidRPr="003878A7">
              <w:rPr>
                <w:rFonts w:ascii="Times New Roman" w:hAnsi="Times New Roman"/>
                <w:sz w:val="21"/>
                <w:szCs w:val="21"/>
                <w:lang w:val="lt-LT"/>
              </w:rPr>
              <w:t>365</w:t>
            </w:r>
          </w:p>
        </w:tc>
        <w:tc>
          <w:tcPr>
            <w:tcW w:w="591" w:type="pct"/>
            <w:vAlign w:val="center"/>
          </w:tcPr>
          <w:p w14:paraId="4056C109" w14:textId="455DE9CC" w:rsidR="00950700" w:rsidRPr="003878A7" w:rsidRDefault="007C42E8" w:rsidP="00196EA6">
            <w:pPr>
              <w:pStyle w:val="Pagrindinispaprastastekstas"/>
              <w:jc w:val="center"/>
              <w:rPr>
                <w:rFonts w:ascii="Times New Roman" w:hAnsi="Times New Roman"/>
                <w:sz w:val="21"/>
                <w:szCs w:val="21"/>
                <w:lang w:val="lt-LT"/>
              </w:rPr>
            </w:pPr>
            <w:r w:rsidRPr="003878A7">
              <w:rPr>
                <w:rFonts w:ascii="Times New Roman" w:hAnsi="Times New Roman"/>
                <w:sz w:val="21"/>
                <w:szCs w:val="21"/>
                <w:lang w:val="lt-LT"/>
              </w:rPr>
              <w:t>219</w:t>
            </w:r>
          </w:p>
        </w:tc>
      </w:tr>
      <w:tr w:rsidR="00950700" w:rsidRPr="003878A7" w14:paraId="6412A829" w14:textId="77777777" w:rsidTr="00196EA6">
        <w:trPr>
          <w:trHeight w:val="20"/>
        </w:trPr>
        <w:tc>
          <w:tcPr>
            <w:tcW w:w="957" w:type="pct"/>
            <w:vAlign w:val="center"/>
          </w:tcPr>
          <w:p w14:paraId="3CC8967A" w14:textId="33DB534A" w:rsidR="00950700" w:rsidRPr="003878A7" w:rsidRDefault="00950700" w:rsidP="00196EA6">
            <w:pPr>
              <w:pStyle w:val="Pagrindinispaprastastekstas"/>
              <w:rPr>
                <w:rFonts w:ascii="Times New Roman" w:hAnsi="Times New Roman"/>
                <w:sz w:val="21"/>
                <w:szCs w:val="21"/>
                <w:lang w:val="lt-LT"/>
              </w:rPr>
            </w:pPr>
            <w:r w:rsidRPr="003878A7">
              <w:rPr>
                <w:rFonts w:ascii="Times New Roman" w:hAnsi="Times New Roman"/>
                <w:sz w:val="21"/>
                <w:szCs w:val="21"/>
                <w:lang w:val="lt-LT"/>
              </w:rPr>
              <w:t>Iki 2022 m. renovuotų pastatų plotas, tūkst. kv. m.</w:t>
            </w:r>
          </w:p>
        </w:tc>
        <w:tc>
          <w:tcPr>
            <w:tcW w:w="556" w:type="pct"/>
            <w:vAlign w:val="center"/>
          </w:tcPr>
          <w:p w14:paraId="7641AA1F" w14:textId="2B67D663" w:rsidR="00950700" w:rsidRPr="003878A7" w:rsidRDefault="007C42E8" w:rsidP="00196EA6">
            <w:pPr>
              <w:pStyle w:val="Pagrindinispaprastastekstas"/>
              <w:jc w:val="center"/>
              <w:rPr>
                <w:rFonts w:ascii="Times New Roman" w:hAnsi="Times New Roman"/>
                <w:sz w:val="21"/>
                <w:szCs w:val="21"/>
                <w:lang w:val="lt-LT"/>
              </w:rPr>
            </w:pPr>
            <w:r w:rsidRPr="003878A7">
              <w:rPr>
                <w:rFonts w:ascii="Times New Roman" w:hAnsi="Times New Roman"/>
                <w:sz w:val="21"/>
                <w:szCs w:val="21"/>
                <w:lang w:val="lt-LT"/>
              </w:rPr>
              <w:t>242,3</w:t>
            </w:r>
          </w:p>
        </w:tc>
        <w:tc>
          <w:tcPr>
            <w:tcW w:w="720" w:type="pct"/>
            <w:vAlign w:val="center"/>
          </w:tcPr>
          <w:p w14:paraId="5028655E" w14:textId="0078D630" w:rsidR="00950700" w:rsidRPr="003878A7" w:rsidRDefault="007C42E8" w:rsidP="00196EA6">
            <w:pPr>
              <w:pStyle w:val="Pagrindinispaprastastekstas"/>
              <w:jc w:val="center"/>
              <w:rPr>
                <w:rFonts w:ascii="Times New Roman" w:hAnsi="Times New Roman"/>
                <w:sz w:val="21"/>
                <w:szCs w:val="21"/>
                <w:lang w:val="lt-LT"/>
              </w:rPr>
            </w:pPr>
            <w:r w:rsidRPr="003878A7">
              <w:rPr>
                <w:rFonts w:ascii="Times New Roman" w:hAnsi="Times New Roman"/>
                <w:sz w:val="21"/>
                <w:szCs w:val="21"/>
                <w:lang w:val="lt-LT"/>
              </w:rPr>
              <w:t>264,8</w:t>
            </w:r>
          </w:p>
        </w:tc>
        <w:tc>
          <w:tcPr>
            <w:tcW w:w="692" w:type="pct"/>
            <w:vAlign w:val="center"/>
          </w:tcPr>
          <w:p w14:paraId="38C59599" w14:textId="519A312B" w:rsidR="00950700" w:rsidRPr="003878A7" w:rsidRDefault="007C42E8" w:rsidP="00196EA6">
            <w:pPr>
              <w:pStyle w:val="Pagrindinispaprastastekstas"/>
              <w:jc w:val="center"/>
              <w:rPr>
                <w:rFonts w:ascii="Times New Roman" w:hAnsi="Times New Roman"/>
                <w:sz w:val="21"/>
                <w:szCs w:val="21"/>
                <w:lang w:val="lt-LT"/>
              </w:rPr>
            </w:pPr>
            <w:r w:rsidRPr="003878A7">
              <w:rPr>
                <w:rFonts w:ascii="Times New Roman" w:hAnsi="Times New Roman"/>
                <w:sz w:val="21"/>
                <w:szCs w:val="21"/>
                <w:lang w:val="lt-LT"/>
              </w:rPr>
              <w:t>259,2</w:t>
            </w:r>
          </w:p>
        </w:tc>
        <w:tc>
          <w:tcPr>
            <w:tcW w:w="670" w:type="pct"/>
            <w:vAlign w:val="center"/>
          </w:tcPr>
          <w:p w14:paraId="0F08EF3E" w14:textId="1FAEF301" w:rsidR="00950700" w:rsidRPr="003878A7" w:rsidRDefault="007C42E8" w:rsidP="00196EA6">
            <w:pPr>
              <w:pStyle w:val="Pagrindinispaprastastekstas"/>
              <w:jc w:val="center"/>
              <w:rPr>
                <w:rFonts w:ascii="Times New Roman" w:hAnsi="Times New Roman"/>
                <w:sz w:val="21"/>
                <w:szCs w:val="21"/>
                <w:lang w:val="lt-LT"/>
              </w:rPr>
            </w:pPr>
            <w:r w:rsidRPr="003878A7">
              <w:rPr>
                <w:rFonts w:ascii="Times New Roman" w:hAnsi="Times New Roman"/>
                <w:sz w:val="21"/>
                <w:szCs w:val="21"/>
                <w:lang w:val="lt-LT"/>
              </w:rPr>
              <w:t>428,3</w:t>
            </w:r>
          </w:p>
        </w:tc>
        <w:tc>
          <w:tcPr>
            <w:tcW w:w="814" w:type="pct"/>
            <w:vAlign w:val="center"/>
          </w:tcPr>
          <w:p w14:paraId="64CEDD23" w14:textId="5D1AED11" w:rsidR="00950700" w:rsidRPr="003878A7" w:rsidRDefault="007C42E8" w:rsidP="00196EA6">
            <w:pPr>
              <w:pStyle w:val="Pagrindinispaprastastekstas"/>
              <w:jc w:val="center"/>
              <w:rPr>
                <w:rFonts w:ascii="Times New Roman" w:hAnsi="Times New Roman"/>
                <w:sz w:val="21"/>
                <w:szCs w:val="21"/>
                <w:lang w:val="lt-LT"/>
              </w:rPr>
            </w:pPr>
            <w:r w:rsidRPr="003878A7">
              <w:rPr>
                <w:rFonts w:ascii="Times New Roman" w:hAnsi="Times New Roman"/>
                <w:sz w:val="21"/>
                <w:szCs w:val="21"/>
                <w:lang w:val="lt-LT"/>
              </w:rPr>
              <w:t>411,3</w:t>
            </w:r>
          </w:p>
        </w:tc>
        <w:tc>
          <w:tcPr>
            <w:tcW w:w="591" w:type="pct"/>
            <w:vAlign w:val="center"/>
          </w:tcPr>
          <w:p w14:paraId="6F0669B8" w14:textId="1DFA435A" w:rsidR="00950700" w:rsidRPr="003878A7" w:rsidRDefault="007C42E8" w:rsidP="00196EA6">
            <w:pPr>
              <w:pStyle w:val="Pagrindinispaprastastekstas"/>
              <w:jc w:val="center"/>
              <w:rPr>
                <w:rFonts w:ascii="Times New Roman" w:hAnsi="Times New Roman"/>
                <w:sz w:val="21"/>
                <w:szCs w:val="21"/>
                <w:lang w:val="lt-LT"/>
              </w:rPr>
            </w:pPr>
            <w:r w:rsidRPr="003878A7">
              <w:rPr>
                <w:rFonts w:ascii="Times New Roman" w:hAnsi="Times New Roman"/>
                <w:sz w:val="21"/>
                <w:szCs w:val="21"/>
                <w:lang w:val="lt-LT"/>
              </w:rPr>
              <w:t>246,8</w:t>
            </w:r>
          </w:p>
        </w:tc>
      </w:tr>
      <w:tr w:rsidR="00950700" w:rsidRPr="003878A7" w14:paraId="7B291E2D" w14:textId="77777777" w:rsidTr="00196EA6">
        <w:trPr>
          <w:trHeight w:val="20"/>
        </w:trPr>
        <w:tc>
          <w:tcPr>
            <w:tcW w:w="957" w:type="pct"/>
            <w:vAlign w:val="center"/>
          </w:tcPr>
          <w:p w14:paraId="18078F22" w14:textId="52DCE889" w:rsidR="00950700" w:rsidRPr="003878A7" w:rsidRDefault="00950700" w:rsidP="00196EA6">
            <w:pPr>
              <w:pStyle w:val="Pagrindinispaprastastekstas"/>
              <w:rPr>
                <w:rFonts w:ascii="Times New Roman" w:hAnsi="Times New Roman"/>
                <w:sz w:val="21"/>
                <w:szCs w:val="21"/>
                <w:lang w:val="lt-LT"/>
              </w:rPr>
            </w:pPr>
            <w:r w:rsidRPr="003878A7">
              <w:rPr>
                <w:rFonts w:ascii="Times New Roman" w:hAnsi="Times New Roman"/>
                <w:sz w:val="21"/>
                <w:szCs w:val="21"/>
                <w:lang w:val="lt-LT"/>
              </w:rPr>
              <w:t>Projektų multiplikatorius</w:t>
            </w:r>
          </w:p>
        </w:tc>
        <w:tc>
          <w:tcPr>
            <w:tcW w:w="556" w:type="pct"/>
            <w:vAlign w:val="center"/>
          </w:tcPr>
          <w:p w14:paraId="750AD7ED" w14:textId="43212812" w:rsidR="00950700" w:rsidRPr="003878A7" w:rsidRDefault="007C42E8" w:rsidP="00196EA6">
            <w:pPr>
              <w:pStyle w:val="Pagrindinispaprastastekstas"/>
              <w:jc w:val="center"/>
              <w:rPr>
                <w:rFonts w:ascii="Times New Roman" w:hAnsi="Times New Roman"/>
                <w:sz w:val="21"/>
                <w:szCs w:val="21"/>
                <w:lang w:val="lt-LT"/>
              </w:rPr>
            </w:pPr>
            <w:r w:rsidRPr="003878A7">
              <w:rPr>
                <w:rFonts w:ascii="Times New Roman" w:hAnsi="Times New Roman"/>
                <w:sz w:val="21"/>
                <w:szCs w:val="21"/>
                <w:lang w:val="lt-LT"/>
              </w:rPr>
              <w:t>0,98</w:t>
            </w:r>
          </w:p>
        </w:tc>
        <w:tc>
          <w:tcPr>
            <w:tcW w:w="720" w:type="pct"/>
            <w:vAlign w:val="center"/>
          </w:tcPr>
          <w:p w14:paraId="3C0A915D" w14:textId="39A20769" w:rsidR="00950700" w:rsidRPr="003878A7" w:rsidRDefault="007C42E8" w:rsidP="00196EA6">
            <w:pPr>
              <w:pStyle w:val="Pagrindinispaprastastekstas"/>
              <w:jc w:val="center"/>
              <w:rPr>
                <w:rFonts w:ascii="Times New Roman" w:hAnsi="Times New Roman"/>
                <w:sz w:val="21"/>
                <w:szCs w:val="21"/>
                <w:lang w:val="lt-LT"/>
              </w:rPr>
            </w:pPr>
            <w:r w:rsidRPr="003878A7">
              <w:rPr>
                <w:rFonts w:ascii="Times New Roman" w:hAnsi="Times New Roman"/>
                <w:sz w:val="21"/>
                <w:szCs w:val="21"/>
                <w:lang w:val="lt-LT"/>
              </w:rPr>
              <w:t>1,07</w:t>
            </w:r>
          </w:p>
        </w:tc>
        <w:tc>
          <w:tcPr>
            <w:tcW w:w="692" w:type="pct"/>
            <w:vAlign w:val="center"/>
          </w:tcPr>
          <w:p w14:paraId="7C7776C5" w14:textId="48CF408F" w:rsidR="00950700" w:rsidRPr="003878A7" w:rsidRDefault="007C42E8" w:rsidP="00196EA6">
            <w:pPr>
              <w:pStyle w:val="Pagrindinispaprastastekstas"/>
              <w:jc w:val="center"/>
              <w:rPr>
                <w:rFonts w:ascii="Times New Roman" w:hAnsi="Times New Roman"/>
                <w:sz w:val="21"/>
                <w:szCs w:val="21"/>
                <w:lang w:val="lt-LT"/>
              </w:rPr>
            </w:pPr>
            <w:r w:rsidRPr="003878A7">
              <w:rPr>
                <w:rFonts w:ascii="Times New Roman" w:hAnsi="Times New Roman"/>
                <w:sz w:val="21"/>
                <w:szCs w:val="21"/>
                <w:lang w:val="lt-LT"/>
              </w:rPr>
              <w:t>1,01</w:t>
            </w:r>
          </w:p>
        </w:tc>
        <w:tc>
          <w:tcPr>
            <w:tcW w:w="670" w:type="pct"/>
            <w:vAlign w:val="center"/>
          </w:tcPr>
          <w:p w14:paraId="0E14698B" w14:textId="770C6000" w:rsidR="00950700" w:rsidRPr="003878A7" w:rsidRDefault="007C42E8" w:rsidP="00196EA6">
            <w:pPr>
              <w:pStyle w:val="Pagrindinispaprastastekstas"/>
              <w:jc w:val="center"/>
              <w:rPr>
                <w:rFonts w:ascii="Times New Roman" w:hAnsi="Times New Roman"/>
                <w:sz w:val="21"/>
                <w:szCs w:val="21"/>
                <w:lang w:val="lt-LT"/>
              </w:rPr>
            </w:pPr>
            <w:r w:rsidRPr="003878A7">
              <w:rPr>
                <w:rFonts w:ascii="Times New Roman" w:hAnsi="Times New Roman"/>
                <w:sz w:val="21"/>
                <w:szCs w:val="21"/>
                <w:lang w:val="lt-LT"/>
              </w:rPr>
              <w:t>1,59</w:t>
            </w:r>
          </w:p>
        </w:tc>
        <w:tc>
          <w:tcPr>
            <w:tcW w:w="814" w:type="pct"/>
            <w:vAlign w:val="center"/>
          </w:tcPr>
          <w:p w14:paraId="4021A448" w14:textId="217CCD5E" w:rsidR="00950700" w:rsidRPr="003878A7" w:rsidRDefault="007C42E8" w:rsidP="00196EA6">
            <w:pPr>
              <w:pStyle w:val="Pagrindinispaprastastekstas"/>
              <w:jc w:val="center"/>
              <w:rPr>
                <w:rFonts w:ascii="Times New Roman" w:hAnsi="Times New Roman"/>
                <w:sz w:val="21"/>
                <w:szCs w:val="21"/>
                <w:lang w:val="lt-LT"/>
              </w:rPr>
            </w:pPr>
            <w:r w:rsidRPr="003878A7">
              <w:rPr>
                <w:rFonts w:ascii="Times New Roman" w:hAnsi="Times New Roman"/>
                <w:sz w:val="21"/>
                <w:szCs w:val="21"/>
                <w:lang w:val="lt-LT"/>
              </w:rPr>
              <w:t>1,41</w:t>
            </w:r>
          </w:p>
        </w:tc>
        <w:tc>
          <w:tcPr>
            <w:tcW w:w="591" w:type="pct"/>
            <w:vAlign w:val="center"/>
          </w:tcPr>
          <w:p w14:paraId="249ECCF2" w14:textId="0FFFF144" w:rsidR="00950700" w:rsidRPr="003878A7" w:rsidRDefault="008361A1" w:rsidP="00196EA6">
            <w:pPr>
              <w:pStyle w:val="Pagrindinispaprastastekstas"/>
              <w:jc w:val="center"/>
              <w:rPr>
                <w:rFonts w:ascii="Times New Roman" w:hAnsi="Times New Roman"/>
                <w:sz w:val="21"/>
                <w:szCs w:val="21"/>
                <w:lang w:val="lt-LT"/>
              </w:rPr>
            </w:pPr>
            <w:r w:rsidRPr="003878A7">
              <w:rPr>
                <w:rFonts w:ascii="Times New Roman" w:hAnsi="Times New Roman"/>
                <w:sz w:val="21"/>
                <w:szCs w:val="21"/>
                <w:lang w:val="lt-LT"/>
              </w:rPr>
              <w:t>n/a</w:t>
            </w:r>
          </w:p>
        </w:tc>
      </w:tr>
      <w:tr w:rsidR="00950700" w:rsidRPr="003878A7" w14:paraId="65EFB441" w14:textId="77777777" w:rsidTr="00196EA6">
        <w:trPr>
          <w:trHeight w:val="20"/>
        </w:trPr>
        <w:tc>
          <w:tcPr>
            <w:tcW w:w="957" w:type="pct"/>
            <w:vAlign w:val="center"/>
          </w:tcPr>
          <w:p w14:paraId="7377A260" w14:textId="77777777" w:rsidR="00950700" w:rsidRPr="003878A7" w:rsidRDefault="00950700" w:rsidP="00196EA6">
            <w:pPr>
              <w:pStyle w:val="Pagrindinispaprastastekstas"/>
              <w:rPr>
                <w:rFonts w:ascii="Times New Roman" w:hAnsi="Times New Roman"/>
                <w:sz w:val="21"/>
                <w:szCs w:val="21"/>
                <w:lang w:val="lt-LT"/>
              </w:rPr>
            </w:pPr>
            <w:r w:rsidRPr="003878A7">
              <w:rPr>
                <w:rFonts w:ascii="Times New Roman" w:hAnsi="Times New Roman"/>
                <w:sz w:val="21"/>
                <w:szCs w:val="21"/>
                <w:lang w:val="lt-LT"/>
              </w:rPr>
              <w:t>Sverto efektas</w:t>
            </w:r>
          </w:p>
        </w:tc>
        <w:tc>
          <w:tcPr>
            <w:tcW w:w="556" w:type="pct"/>
            <w:vAlign w:val="center"/>
          </w:tcPr>
          <w:p w14:paraId="4F9D2ACB" w14:textId="52569B5C" w:rsidR="00950700" w:rsidRPr="003878A7" w:rsidRDefault="007C42E8" w:rsidP="00196EA6">
            <w:pPr>
              <w:pStyle w:val="Pagrindinispaprastastekstas"/>
              <w:jc w:val="center"/>
              <w:rPr>
                <w:rFonts w:ascii="Times New Roman" w:hAnsi="Times New Roman"/>
                <w:sz w:val="21"/>
                <w:szCs w:val="21"/>
                <w:lang w:val="lt-LT"/>
              </w:rPr>
            </w:pPr>
            <w:r w:rsidRPr="003878A7">
              <w:rPr>
                <w:rFonts w:ascii="Times New Roman" w:hAnsi="Times New Roman"/>
                <w:sz w:val="21"/>
                <w:szCs w:val="21"/>
                <w:lang w:val="lt-LT"/>
              </w:rPr>
              <w:t>1,10</w:t>
            </w:r>
          </w:p>
        </w:tc>
        <w:tc>
          <w:tcPr>
            <w:tcW w:w="720" w:type="pct"/>
            <w:vAlign w:val="center"/>
          </w:tcPr>
          <w:p w14:paraId="5B7F9991" w14:textId="389BCC88" w:rsidR="00950700" w:rsidRPr="003878A7" w:rsidRDefault="007C42E8" w:rsidP="00196EA6">
            <w:pPr>
              <w:pStyle w:val="Pagrindinispaprastastekstas"/>
              <w:jc w:val="center"/>
              <w:rPr>
                <w:rFonts w:ascii="Times New Roman" w:hAnsi="Times New Roman"/>
                <w:sz w:val="21"/>
                <w:szCs w:val="21"/>
                <w:lang w:val="lt-LT"/>
              </w:rPr>
            </w:pPr>
            <w:r w:rsidRPr="003878A7">
              <w:rPr>
                <w:rFonts w:ascii="Times New Roman" w:hAnsi="Times New Roman"/>
                <w:sz w:val="21"/>
                <w:szCs w:val="21"/>
                <w:lang w:val="lt-LT"/>
              </w:rPr>
              <w:t>1,39</w:t>
            </w:r>
          </w:p>
        </w:tc>
        <w:tc>
          <w:tcPr>
            <w:tcW w:w="692" w:type="pct"/>
            <w:vAlign w:val="center"/>
          </w:tcPr>
          <w:p w14:paraId="49333820" w14:textId="5F07B599" w:rsidR="00950700" w:rsidRPr="003878A7" w:rsidRDefault="007C42E8" w:rsidP="00196EA6">
            <w:pPr>
              <w:pStyle w:val="Pagrindinispaprastastekstas"/>
              <w:jc w:val="center"/>
              <w:rPr>
                <w:rFonts w:ascii="Times New Roman" w:hAnsi="Times New Roman"/>
                <w:sz w:val="21"/>
                <w:szCs w:val="21"/>
                <w:lang w:val="lt-LT"/>
              </w:rPr>
            </w:pPr>
            <w:r w:rsidRPr="003878A7">
              <w:rPr>
                <w:rFonts w:ascii="Times New Roman" w:hAnsi="Times New Roman"/>
                <w:sz w:val="21"/>
                <w:szCs w:val="21"/>
                <w:lang w:val="lt-LT"/>
              </w:rPr>
              <w:t>1,44</w:t>
            </w:r>
          </w:p>
        </w:tc>
        <w:tc>
          <w:tcPr>
            <w:tcW w:w="670" w:type="pct"/>
            <w:vAlign w:val="center"/>
          </w:tcPr>
          <w:p w14:paraId="4CFD0568" w14:textId="491FEDF7" w:rsidR="00950700" w:rsidRPr="003878A7" w:rsidRDefault="007C42E8" w:rsidP="00196EA6">
            <w:pPr>
              <w:pStyle w:val="Pagrindinispaprastastekstas"/>
              <w:jc w:val="center"/>
              <w:rPr>
                <w:rFonts w:ascii="Times New Roman" w:hAnsi="Times New Roman"/>
                <w:sz w:val="21"/>
                <w:szCs w:val="21"/>
                <w:lang w:val="lt-LT"/>
              </w:rPr>
            </w:pPr>
            <w:r w:rsidRPr="003878A7">
              <w:rPr>
                <w:rFonts w:ascii="Times New Roman" w:hAnsi="Times New Roman"/>
                <w:sz w:val="21"/>
                <w:szCs w:val="21"/>
                <w:lang w:val="lt-LT"/>
              </w:rPr>
              <w:t>2,59</w:t>
            </w:r>
          </w:p>
        </w:tc>
        <w:tc>
          <w:tcPr>
            <w:tcW w:w="814" w:type="pct"/>
            <w:vAlign w:val="center"/>
          </w:tcPr>
          <w:p w14:paraId="21C54232" w14:textId="3DC59058" w:rsidR="00950700" w:rsidRPr="003878A7" w:rsidRDefault="007C42E8" w:rsidP="00196EA6">
            <w:pPr>
              <w:pStyle w:val="Pagrindinispaprastastekstas"/>
              <w:jc w:val="center"/>
              <w:rPr>
                <w:rFonts w:ascii="Times New Roman" w:hAnsi="Times New Roman"/>
                <w:sz w:val="21"/>
                <w:szCs w:val="21"/>
                <w:lang w:val="lt-LT"/>
              </w:rPr>
            </w:pPr>
            <w:r w:rsidRPr="003878A7">
              <w:rPr>
                <w:rFonts w:ascii="Times New Roman" w:hAnsi="Times New Roman"/>
                <w:sz w:val="21"/>
                <w:szCs w:val="21"/>
                <w:lang w:val="lt-LT"/>
              </w:rPr>
              <w:t>1,58</w:t>
            </w:r>
          </w:p>
        </w:tc>
        <w:tc>
          <w:tcPr>
            <w:tcW w:w="591" w:type="pct"/>
            <w:vAlign w:val="center"/>
          </w:tcPr>
          <w:p w14:paraId="15D34AF7" w14:textId="322A1220" w:rsidR="00950700" w:rsidRPr="003878A7" w:rsidRDefault="008361A1" w:rsidP="00196EA6">
            <w:pPr>
              <w:pStyle w:val="Pagrindinispaprastastekstas"/>
              <w:jc w:val="center"/>
              <w:rPr>
                <w:rFonts w:ascii="Times New Roman" w:hAnsi="Times New Roman"/>
                <w:sz w:val="21"/>
                <w:szCs w:val="21"/>
                <w:lang w:val="lt-LT"/>
              </w:rPr>
            </w:pPr>
            <w:r w:rsidRPr="003878A7">
              <w:rPr>
                <w:rFonts w:ascii="Times New Roman" w:hAnsi="Times New Roman"/>
                <w:sz w:val="21"/>
                <w:szCs w:val="21"/>
                <w:lang w:val="lt-LT"/>
              </w:rPr>
              <w:t>n/a</w:t>
            </w:r>
          </w:p>
        </w:tc>
      </w:tr>
    </w:tbl>
    <w:p w14:paraId="793FBB32" w14:textId="77777777" w:rsidR="006D7B19" w:rsidRPr="003878A7" w:rsidRDefault="006D7B19" w:rsidP="006D7B19">
      <w:pPr>
        <w:spacing w:after="0"/>
        <w:rPr>
          <w:rFonts w:cs="Times New Roman"/>
          <w:sz w:val="20"/>
          <w:szCs w:val="20"/>
        </w:rPr>
      </w:pPr>
      <w:r w:rsidRPr="003878A7">
        <w:rPr>
          <w:rFonts w:cs="Times New Roman"/>
          <w:sz w:val="20"/>
          <w:szCs w:val="20"/>
        </w:rPr>
        <w:t>Šaltinis: sudaryta Vertintojų</w:t>
      </w:r>
    </w:p>
    <w:p w14:paraId="69F908DB" w14:textId="5AE62807" w:rsidR="00950700" w:rsidRPr="003878A7" w:rsidRDefault="00950700" w:rsidP="00950700"/>
    <w:p w14:paraId="4A9A8DED" w14:textId="77777777" w:rsidR="00196EA6" w:rsidRPr="003878A7" w:rsidRDefault="00196EA6" w:rsidP="00950700"/>
    <w:sectPr w:rsidR="00196EA6" w:rsidRPr="003878A7" w:rsidSect="00BD149C">
      <w:footerReference w:type="first" r:id="rId12"/>
      <w:pgSz w:w="11906" w:h="16838"/>
      <w:pgMar w:top="1701" w:right="567" w:bottom="1134" w:left="1701" w:header="567" w:footer="567" w:gutter="0"/>
      <w:cols w:space="1296"/>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3BC3761" w16cex:dateUtc="2021-01-27T17:02:00Z"/>
  <w16cex:commentExtensible w16cex:durableId="23BC371D" w16cex:dateUtc="2021-01-27T17:01:00Z"/>
  <w16cex:commentExtensible w16cex:durableId="23BC3738" w16cex:dateUtc="2021-01-27T17:02:00Z"/>
  <w16cex:commentExtensible w16cex:durableId="23B9439F" w16cex:dateUtc="2021-01-25T11:18:00Z"/>
  <w16cex:commentExtensible w16cex:durableId="23BC3683" w16cex:dateUtc="2021-01-27T16:59:00Z"/>
  <w16cex:commentExtensible w16cex:durableId="23B9478A" w16cex:dateUtc="2021-01-25T11:35:00Z"/>
  <w16cex:commentExtensible w16cex:durableId="23BC374D" w16cex:dateUtc="2021-01-27T17:02:00Z"/>
  <w16cex:commentExtensible w16cex:durableId="23BC3795" w16cex:dateUtc="2021-01-27T17:03:00Z"/>
  <w16cex:commentExtensible w16cex:durableId="23B95A4D" w16cex:dateUtc="2021-01-25T12:55:00Z"/>
  <w16cex:commentExtensible w16cex:durableId="23BC36F1" w16cex:dateUtc="2021-01-27T17:01:00Z"/>
  <w16cex:commentExtensible w16cex:durableId="23BC37BD" w16cex:dateUtc="2021-01-27T17:04:00Z"/>
  <w16cex:commentExtensible w16cex:durableId="23B945DA" w16cex:dateUtc="2021-01-25T11:27:00Z"/>
  <w16cex:commentExtensible w16cex:durableId="23BEA4C0" w16cex:dateUtc="2021-01-29T13:14:00Z"/>
  <w16cex:commentExtensible w16cex:durableId="23BEA54A" w16cex:dateUtc="2021-01-29T13:16:00Z"/>
  <w16cex:commentExtensible w16cex:durableId="23BC39D8" w16cex:dateUtc="2021-01-27T17:13:00Z"/>
  <w16cex:commentExtensible w16cex:durableId="23BC3AAF" w16cex:dateUtc="2021-01-27T17:17:00Z"/>
  <w16cex:commentExtensible w16cex:durableId="23BC3A69" w16cex:dateUtc="2021-01-27T17:15:00Z"/>
  <w16cex:commentExtensible w16cex:durableId="23B95BE4" w16cex:dateUtc="2021-01-25T13:01:00Z"/>
  <w16cex:commentExtensible w16cex:durableId="23B95C6F" w16cex:dateUtc="2021-01-25T13:04:00Z"/>
  <w16cex:commentExtensible w16cex:durableId="23B94A84" w16cex:dateUtc="2021-01-25T11:47:00Z"/>
  <w16cex:commentExtensible w16cex:durableId="23B95E31" w16cex:dateUtc="2021-01-25T13:11:00Z"/>
  <w16cex:commentExtensible w16cex:durableId="23BEA7FC" w16cex:dateUtc="2021-01-29T13:27:00Z"/>
  <w16cex:commentExtensible w16cex:durableId="23B95E79" w16cex:dateUtc="2021-01-25T13:12:00Z"/>
  <w16cex:commentExtensible w16cex:durableId="23B95FEE" w16cex:dateUtc="2021-01-25T13:19:00Z"/>
  <w16cex:commentExtensible w16cex:durableId="23BC3B3C" w16cex:dateUtc="2021-01-27T17:19:00Z"/>
  <w16cex:commentExtensible w16cex:durableId="23B94C24" w16cex:dateUtc="2021-01-25T11:54:00Z"/>
  <w16cex:commentExtensible w16cex:durableId="23BC3BED" w16cex:dateUtc="2021-01-27T17:22:00Z"/>
  <w16cex:commentExtensible w16cex:durableId="23BC3CF6" w16cex:dateUtc="2021-01-27T17:26:00Z"/>
  <w16cex:commentExtensible w16cex:durableId="23C23C9C" w16cex:dateUtc="2021-02-01T06:38:00Z"/>
  <w16cex:commentExtensible w16cex:durableId="23B95080" w16cex:dateUtc="2021-01-25T12:13:00Z"/>
  <w16cex:commentExtensible w16cex:durableId="23BA70C6" w16cex:dateUtc="2021-01-26T08:43:00Z"/>
  <w16cex:commentExtensible w16cex:durableId="23BEAD12" w16cex:dateUtc="2021-01-29T13:49:00Z"/>
  <w16cex:commentExtensible w16cex:durableId="23B9618D" w16cex:dateUtc="2021-01-25T13:26:00Z"/>
  <w16cex:commentExtensible w16cex:durableId="23B961B9" w16cex:dateUtc="2021-01-25T13:26:00Z"/>
  <w16cex:commentExtensible w16cex:durableId="23B9621B" w16cex:dateUtc="2021-01-25T13:28:00Z"/>
  <w16cex:commentExtensible w16cex:durableId="23BC4068" w16cex:dateUtc="2021-01-27T17:41:00Z"/>
  <w16cex:commentExtensible w16cex:durableId="23B962BA" w16cex:dateUtc="2021-01-25T13:31:00Z"/>
  <w16cex:commentExtensible w16cex:durableId="23B962C6" w16cex:dateUtc="2021-01-25T13:31:00Z"/>
  <w16cex:commentExtensible w16cex:durableId="23B963A4" w16cex:dateUtc="2021-01-25T13:35:00Z"/>
  <w16cex:commentExtensible w16cex:durableId="23B97F49" w16cex:dateUtc="2021-01-25T15:32:00Z"/>
  <w16cex:commentExtensible w16cex:durableId="23B96495" w16cex:dateUtc="2021-01-25T13:39:00Z"/>
  <w16cex:commentExtensible w16cex:durableId="23B96465" w16cex:dateUtc="2021-01-25T13:38:00Z"/>
  <w16cex:commentExtensible w16cex:durableId="23B964F1" w16cex:dateUtc="2021-01-25T13:40:00Z"/>
  <w16cex:commentExtensible w16cex:durableId="23B964B5" w16cex:dateUtc="2021-01-25T13:39:00Z"/>
  <w16cex:commentExtensible w16cex:durableId="23B964FF" w16cex:dateUtc="2021-01-25T13:40:00Z"/>
  <w16cex:commentExtensible w16cex:durableId="23B95163" w16cex:dateUtc="2021-01-25T12:17:00Z"/>
  <w16cex:commentExtensible w16cex:durableId="23BEAE0A" w16cex:dateUtc="2021-01-29T13:53:00Z"/>
  <w16cex:commentExtensible w16cex:durableId="23B951BA" w16cex:dateUtc="2021-01-25T12:18:00Z"/>
  <w16cex:commentExtensible w16cex:durableId="23BEAE15" w16cex:dateUtc="2021-01-29T13:53:00Z"/>
  <w16cex:commentExtensible w16cex:durableId="23BD2E72" w16cex:dateUtc="2021-01-28T10:37:00Z"/>
  <w16cex:commentExtensible w16cex:durableId="23B986AE" w16cex:dateUtc="2021-01-25T16:04:00Z"/>
  <w16cex:commentExtensible w16cex:durableId="23BEAEDA" w16cex:dateUtc="2021-01-29T13:57:00Z"/>
  <w16cex:commentExtensible w16cex:durableId="23C23E26" w16cex:dateUtc="2021-02-01T06:45:00Z"/>
  <w16cex:commentExtensible w16cex:durableId="23B94F22" w16cex:dateUtc="2021-01-25T12:07:00Z"/>
  <w16cex:commentExtensible w16cex:durableId="23C23E50" w16cex:dateUtc="2021-02-01T06:46:00Z"/>
  <w16cex:commentExtensible w16cex:durableId="23B9877A" w16cex:dateUtc="2021-01-25T16:07:00Z"/>
  <w16cex:commentExtensible w16cex:durableId="23B98907" w16cex:dateUtc="2021-01-25T16:14:00Z"/>
  <w16cex:commentExtensible w16cex:durableId="23B98842" w16cex:dateUtc="2021-01-25T16:11:00Z"/>
  <w16cex:commentExtensible w16cex:durableId="23BA897A" w16cex:dateUtc="2021-01-26T10:28:00Z"/>
  <w16cex:commentExtensible w16cex:durableId="23BD2DFA" w16cex:dateUtc="2021-01-28T10:35:00Z"/>
  <w16cex:commentExtensible w16cex:durableId="23B980D9" w16cex:dateUtc="2021-01-25T15:39:00Z"/>
  <w16cex:commentExtensible w16cex:durableId="23BEB027" w16cex:dateUtc="2021-01-29T14:02:00Z"/>
  <w16cex:commentExtensible w16cex:durableId="65C9B464" w16cex:dateUtc="2021-02-01T11:52:33.749Z"/>
  <w16cex:commentExtensible w16cex:durableId="5A6D70D5" w16cex:dateUtc="2021-02-01T11:56:33.172Z"/>
  <w16cex:commentExtensible w16cex:durableId="799B9A9F" w16cex:dateUtc="2021-02-01T12:00:44.438Z"/>
  <w16cex:commentExtensible w16cex:durableId="33C32125" w16cex:dateUtc="2021-02-01T12:07:05.798Z"/>
  <w16cex:commentExtensible w16cex:durableId="5BF44006" w16cex:dateUtc="2021-02-01T12:32:50.216Z"/>
  <w16cex:commentExtensible w16cex:durableId="3FC5B8B0" w16cex:dateUtc="2021-02-01T12:33:52.136Z"/>
  <w16cex:commentExtensible w16cex:durableId="6B593B52" w16cex:dateUtc="2021-02-02T04:56:39.478Z"/>
  <w16cex:commentExtensible w16cex:durableId="4419AE8C" w16cex:dateUtc="2021-02-02T05:02:15.297Z"/>
  <w16cex:commentExtensible w16cex:durableId="2A4B926C" w16cex:dateUtc="2021-02-02T05:14:15.761Z"/>
  <w16cex:commentExtensible w16cex:durableId="5708E458" w16cex:dateUtc="2021-02-02T05:16:35.223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30148" w14:textId="77777777" w:rsidR="009D3969" w:rsidRDefault="009D3969" w:rsidP="0047484A">
      <w:pPr>
        <w:spacing w:before="0" w:after="0"/>
      </w:pPr>
      <w:r>
        <w:separator/>
      </w:r>
    </w:p>
  </w:endnote>
  <w:endnote w:type="continuationSeparator" w:id="0">
    <w:p w14:paraId="7CC4E1DB" w14:textId="77777777" w:rsidR="009D3969" w:rsidRDefault="009D3969" w:rsidP="0047484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AngsanaUPC">
    <w:charset w:val="DE"/>
    <w:family w:val="roman"/>
    <w:pitch w:val="variable"/>
    <w:sig w:usb0="81000003" w:usb1="00000000" w:usb2="00000000" w:usb3="00000000" w:csb0="00010001"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3109154"/>
      <w:docPartObj>
        <w:docPartGallery w:val="Page Numbers (Bottom of Page)"/>
        <w:docPartUnique/>
      </w:docPartObj>
    </w:sdtPr>
    <w:sdtEndPr>
      <w:rPr>
        <w:noProof/>
        <w:sz w:val="24"/>
        <w:szCs w:val="24"/>
      </w:rPr>
    </w:sdtEndPr>
    <w:sdtContent>
      <w:p w14:paraId="2A994094" w14:textId="77777777" w:rsidR="0025664D" w:rsidRPr="007D3700" w:rsidRDefault="0025664D">
        <w:pPr>
          <w:pStyle w:val="Footer"/>
          <w:jc w:val="right"/>
          <w:rPr>
            <w:sz w:val="24"/>
            <w:szCs w:val="24"/>
          </w:rPr>
        </w:pPr>
        <w:r w:rsidRPr="007D3700">
          <w:rPr>
            <w:sz w:val="24"/>
            <w:szCs w:val="24"/>
          </w:rPr>
          <w:fldChar w:fldCharType="begin"/>
        </w:r>
        <w:r w:rsidRPr="007D3700">
          <w:rPr>
            <w:sz w:val="24"/>
            <w:szCs w:val="24"/>
          </w:rPr>
          <w:instrText xml:space="preserve"> PAGE   \* MERGEFORMAT </w:instrText>
        </w:r>
        <w:r w:rsidRPr="007D3700">
          <w:rPr>
            <w:sz w:val="24"/>
            <w:szCs w:val="24"/>
          </w:rPr>
          <w:fldChar w:fldCharType="separate"/>
        </w:r>
        <w:r>
          <w:rPr>
            <w:noProof/>
            <w:sz w:val="24"/>
            <w:szCs w:val="24"/>
          </w:rPr>
          <w:t>66</w:t>
        </w:r>
        <w:r w:rsidRPr="007D3700">
          <w:rPr>
            <w:noProof/>
            <w:sz w:val="24"/>
            <w:szCs w:val="24"/>
          </w:rPr>
          <w:fldChar w:fldCharType="end"/>
        </w:r>
      </w:p>
    </w:sdtContent>
  </w:sdt>
  <w:p w14:paraId="544F4342" w14:textId="77777777" w:rsidR="0025664D" w:rsidRDefault="00256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D99A5" w14:textId="77777777" w:rsidR="009D3969" w:rsidRDefault="009D3969" w:rsidP="0047484A">
      <w:pPr>
        <w:spacing w:before="0" w:after="0"/>
      </w:pPr>
      <w:r>
        <w:separator/>
      </w:r>
    </w:p>
  </w:footnote>
  <w:footnote w:type="continuationSeparator" w:id="0">
    <w:p w14:paraId="025C006E" w14:textId="77777777" w:rsidR="009D3969" w:rsidRDefault="009D3969" w:rsidP="0047484A">
      <w:pPr>
        <w:spacing w:before="0" w:after="0"/>
      </w:pPr>
      <w:r>
        <w:continuationSeparator/>
      </w:r>
    </w:p>
  </w:footnote>
  <w:footnote w:id="1">
    <w:p w14:paraId="48C3A251" w14:textId="77777777" w:rsidR="0025664D" w:rsidRPr="0097509A" w:rsidRDefault="0025664D" w:rsidP="00444022">
      <w:pPr>
        <w:pStyle w:val="FootnoteText"/>
        <w:ind w:firstLine="0"/>
        <w:jc w:val="left"/>
      </w:pPr>
      <w:r>
        <w:rPr>
          <w:rStyle w:val="FootnoteReference"/>
        </w:rPr>
        <w:footnoteRef/>
      </w:r>
      <w:r>
        <w:t xml:space="preserve"> Europos Parlamento</w:t>
      </w:r>
      <w:r w:rsidRPr="0097509A">
        <w:t xml:space="preserve"> </w:t>
      </w:r>
      <w:r>
        <w:t>ir</w:t>
      </w:r>
      <w:r w:rsidRPr="0097509A">
        <w:t xml:space="preserve"> </w:t>
      </w:r>
      <w:r>
        <w:t xml:space="preserve">Tarybos Direktyva </w:t>
      </w:r>
      <w:r w:rsidRPr="0097509A">
        <w:t>kuria iš dalies keičiama Direktyva 2012/27/ES dėl energijos vartojimo efektyvumo</w:t>
      </w:r>
      <w:r>
        <w:t>, 2016/0376 (COD)</w:t>
      </w:r>
    </w:p>
  </w:footnote>
  <w:footnote w:id="2">
    <w:p w14:paraId="1436D9F7" w14:textId="2BBEB12A" w:rsidR="0025664D" w:rsidRPr="0097509A" w:rsidRDefault="0025664D" w:rsidP="00444022">
      <w:pPr>
        <w:pStyle w:val="FootnoteText"/>
        <w:ind w:firstLine="0"/>
        <w:jc w:val="left"/>
      </w:pPr>
      <w:r>
        <w:rPr>
          <w:rStyle w:val="FootnoteReference"/>
        </w:rPr>
        <w:footnoteRef/>
      </w:r>
      <w:r w:rsidRPr="00B72C4C">
        <w:t xml:space="preserve"> </w:t>
      </w:r>
      <w:r>
        <w:t>LR energetikos ministerija &lt;</w:t>
      </w:r>
      <w:r w:rsidRPr="00444022">
        <w:t>https://enmin.lrv.lt/uploads/enmin/documents/files/Nacionaline%20energetines%20nepriklausomybes%20strategija_2018_LT.pdf</w:t>
      </w:r>
      <w:r>
        <w:t>&gt;</w:t>
      </w:r>
    </w:p>
  </w:footnote>
  <w:footnote w:id="3">
    <w:p w14:paraId="6F7B140B" w14:textId="54D34C22" w:rsidR="0025664D" w:rsidRPr="00444022" w:rsidRDefault="0025664D" w:rsidP="00444022">
      <w:pPr>
        <w:pStyle w:val="FootnoteText"/>
        <w:ind w:firstLine="0"/>
      </w:pPr>
      <w:r>
        <w:rPr>
          <w:rStyle w:val="FootnoteReference"/>
        </w:rPr>
        <w:footnoteRef/>
      </w:r>
      <w:r>
        <w:t xml:space="preserve"> </w:t>
      </w:r>
      <w:proofErr w:type="spellStart"/>
      <w:r>
        <w:rPr>
          <w:lang w:val="en-US"/>
        </w:rPr>
        <w:t>Dabarti</w:t>
      </w:r>
      <w:proofErr w:type="spellEnd"/>
      <w:r>
        <w:t>nė Ekonomikos ir inovacijų ministerija</w:t>
      </w:r>
    </w:p>
  </w:footnote>
  <w:footnote w:id="4">
    <w:p w14:paraId="09FE8F28" w14:textId="77777777" w:rsidR="0025664D" w:rsidRPr="00933A3C" w:rsidRDefault="0025664D" w:rsidP="003878A7">
      <w:pPr>
        <w:pStyle w:val="FootnoteText"/>
        <w:ind w:firstLine="0"/>
      </w:pPr>
      <w:r>
        <w:rPr>
          <w:rStyle w:val="FootnoteReference"/>
        </w:rPr>
        <w:footnoteRef/>
      </w:r>
      <w:r w:rsidRPr="00B72C4C">
        <w:t xml:space="preserve"> 2017 m. vasario 8 d. galiojanti 2014-2020 met</w:t>
      </w:r>
      <w:r>
        <w:t>ų Europos Sąjungos fondų investicijų veiksmų programos versija</w:t>
      </w:r>
    </w:p>
  </w:footnote>
  <w:footnote w:id="5">
    <w:p w14:paraId="703D8954" w14:textId="18459724" w:rsidR="0025664D" w:rsidRPr="00950129" w:rsidRDefault="0025664D" w:rsidP="008F2BC7">
      <w:pPr>
        <w:pStyle w:val="FootnoteText"/>
        <w:ind w:firstLine="0"/>
      </w:pPr>
      <w:r>
        <w:rPr>
          <w:rStyle w:val="FootnoteReference"/>
        </w:rPr>
        <w:footnoteRef/>
      </w:r>
      <w:r w:rsidRPr="00B72C4C">
        <w:t xml:space="preserve"> 2009 m. liepos 8 d. </w:t>
      </w:r>
      <w:r>
        <w:t>valstybinės kainų ir energetikos kontrolės komisijos nutarimas dėl šilumos kainų nustatymo metodikos Nr. O</w:t>
      </w:r>
      <w:r w:rsidRPr="00B72C4C">
        <w:t>3-96, 20 straipsnio 3 dalies 11 punktas</w:t>
      </w:r>
    </w:p>
  </w:footnote>
  <w:footnote w:id="6">
    <w:p w14:paraId="0398297D" w14:textId="77777777" w:rsidR="0025664D" w:rsidRDefault="0025664D" w:rsidP="00477162">
      <w:pPr>
        <w:pStyle w:val="FootnoteText"/>
      </w:pPr>
      <w:r>
        <w:rPr>
          <w:rStyle w:val="FootnoteReference"/>
        </w:rPr>
        <w:footnoteRef/>
      </w:r>
      <w:r>
        <w:t xml:space="preserve"> 2014 m. rugsėjo – spalio mėn. </w:t>
      </w:r>
    </w:p>
  </w:footnote>
  <w:footnote w:id="7">
    <w:p w14:paraId="47E98858" w14:textId="77777777" w:rsidR="0025664D" w:rsidRPr="001554CF" w:rsidRDefault="0025664D" w:rsidP="00223C11">
      <w:pPr>
        <w:pStyle w:val="FootnoteText"/>
        <w:ind w:firstLine="0"/>
      </w:pPr>
      <w:r w:rsidRPr="00B76111">
        <w:rPr>
          <w:rStyle w:val="FootnoteReference"/>
        </w:rPr>
        <w:footnoteRef/>
      </w:r>
      <w:r w:rsidRPr="00B76111">
        <w:t xml:space="preserve"> </w:t>
      </w:r>
      <w:hyperlink r:id="rId1" w:history="1">
        <w:r w:rsidRPr="00FB240F">
          <w:rPr>
            <w:rStyle w:val="Hyperlink"/>
          </w:rPr>
          <w:t>http://www.europarl.europa.eu/meetdocs/2009_2014/documents/cont/dv/ecasr22012_/ecasr22012_en.pdf</w:t>
        </w:r>
      </w:hyperlink>
      <w:r w:rsidRPr="00B76111">
        <w:t xml:space="preserve"> </w:t>
      </w:r>
    </w:p>
  </w:footnote>
  <w:footnote w:id="8">
    <w:p w14:paraId="56BFD901" w14:textId="68F5B6F6" w:rsidR="0025664D" w:rsidRDefault="0025664D" w:rsidP="00223C11">
      <w:pPr>
        <w:pStyle w:val="FootnoteText"/>
        <w:ind w:firstLine="0"/>
      </w:pPr>
      <w:r>
        <w:rPr>
          <w:rStyle w:val="FootnoteReference"/>
        </w:rPr>
        <w:footnoteRef/>
      </w:r>
      <w:r>
        <w:t xml:space="preserve"> </w:t>
      </w:r>
      <w:r w:rsidRPr="00645EF5">
        <w:t>Valstybinio audito ataskaita „Daugiabučių namų atnaujinimas (modernizavimas)“, 2010 m. rugsėjo 10 d., Nr. VA-P-20-1-14, Lietuvos Respublikos valstybės kontrolė Valstybinio audito ataskaita „Dėl veiksmų programų, įgyvendinančių Lietuvos 2007-2013 m. ES struktūrinės paramos panaudojimo strategiją Konvergencijos tikslui įgyvendinti, valdymo ir kontrolės sistemos veikimo bei Europos Komisijai 2011 metais deklaruotų išlaidų (metinė kontrolės ataskaita pagal reglamento (EB) Nr. 1083/2006 62 str.), 2012 m. gruodžio 20 d. Nr. FA-P-80-1-62</w:t>
      </w:r>
    </w:p>
  </w:footnote>
  <w:footnote w:id="9">
    <w:p w14:paraId="65208536" w14:textId="77777777" w:rsidR="0025664D" w:rsidRPr="001554CF" w:rsidRDefault="0025664D" w:rsidP="00223C11">
      <w:pPr>
        <w:pStyle w:val="FootnoteText"/>
        <w:ind w:firstLine="0"/>
      </w:pPr>
      <w:r w:rsidRPr="00B76111">
        <w:rPr>
          <w:rStyle w:val="FootnoteReference"/>
        </w:rPr>
        <w:footnoteRef/>
      </w:r>
      <w:r w:rsidRPr="00B76111">
        <w:t xml:space="preserve"> </w:t>
      </w:r>
      <w:hyperlink r:id="rId2" w:history="1">
        <w:r w:rsidRPr="00FB240F">
          <w:rPr>
            <w:rStyle w:val="Hyperlink"/>
          </w:rPr>
          <w:t>http://ec.europa.eu/regional_policy/sources/docoffic/official/communic/financial/financial_instruments_2012_en.pdf</w:t>
        </w:r>
      </w:hyperlink>
      <w:r w:rsidRPr="00B76111">
        <w:t xml:space="preserve"> </w:t>
      </w:r>
    </w:p>
  </w:footnote>
  <w:footnote w:id="10">
    <w:p w14:paraId="2BA36261" w14:textId="77777777" w:rsidR="0025664D" w:rsidRPr="00B76111" w:rsidRDefault="0025664D" w:rsidP="00223C11">
      <w:pPr>
        <w:pStyle w:val="FootnoteText"/>
        <w:ind w:firstLine="0"/>
      </w:pPr>
      <w:r w:rsidRPr="00B76111">
        <w:rPr>
          <w:rStyle w:val="FootnoteReference"/>
        </w:rPr>
        <w:footnoteRef/>
      </w:r>
      <w:r w:rsidRPr="00B76111">
        <w:t xml:space="preserve"> </w:t>
      </w:r>
      <w:hyperlink r:id="rId3" w:history="1">
        <w:r w:rsidRPr="00FB240F">
          <w:rPr>
            <w:rStyle w:val="Hyperlink"/>
          </w:rPr>
          <w:t>http://www.eib.org/attachments/documents/jessica_fg_final_report_en.pdf</w:t>
        </w:r>
      </w:hyperlink>
      <w:r w:rsidRPr="00B76111">
        <w:t xml:space="preserve"> </w:t>
      </w:r>
    </w:p>
  </w:footnote>
  <w:footnote w:id="11">
    <w:p w14:paraId="3601DD15" w14:textId="77777777" w:rsidR="0025664D" w:rsidRPr="00B76111" w:rsidRDefault="0025664D" w:rsidP="00223C11">
      <w:pPr>
        <w:pStyle w:val="FootnoteText"/>
        <w:ind w:firstLine="0"/>
      </w:pPr>
      <w:r w:rsidRPr="00B76111">
        <w:rPr>
          <w:rStyle w:val="FootnoteReference"/>
        </w:rPr>
        <w:footnoteRef/>
      </w:r>
      <w:r w:rsidRPr="00B76111">
        <w:t xml:space="preserve"> </w:t>
      </w:r>
      <w:hyperlink r:id="rId4" w:history="1">
        <w:r w:rsidRPr="00FB240F">
          <w:rPr>
            <w:rStyle w:val="Hyperlink"/>
          </w:rPr>
          <w:t>http://www.eib.org/attachments/documents/jessica_energy_focused_udf_final_report_en.pdf</w:t>
        </w:r>
      </w:hyperlink>
      <w:r w:rsidRPr="00B76111">
        <w:t xml:space="preserve"> </w:t>
      </w:r>
    </w:p>
  </w:footnote>
  <w:footnote w:id="12">
    <w:p w14:paraId="008B512A" w14:textId="77777777" w:rsidR="0025664D" w:rsidRPr="00B76111" w:rsidRDefault="0025664D" w:rsidP="00223C11">
      <w:pPr>
        <w:pStyle w:val="FootnoteText"/>
        <w:ind w:firstLine="0"/>
      </w:pPr>
      <w:r w:rsidRPr="00B76111">
        <w:rPr>
          <w:rStyle w:val="FootnoteReference"/>
        </w:rPr>
        <w:footnoteRef/>
      </w:r>
      <w:r w:rsidRPr="00B76111">
        <w:t xml:space="preserve"> </w:t>
      </w:r>
      <w:hyperlink r:id="rId5" w:history="1">
        <w:r w:rsidRPr="00FB240F">
          <w:rPr>
            <w:rStyle w:val="Hyperlink"/>
          </w:rPr>
          <w:t>http://www.eib.org/attachments/documents/jessica_housing_study_final_report_en.pdf</w:t>
        </w:r>
      </w:hyperlink>
      <w:r w:rsidRPr="00B76111">
        <w:t xml:space="preserve"> </w:t>
      </w:r>
    </w:p>
  </w:footnote>
  <w:footnote w:id="13">
    <w:p w14:paraId="57B04238" w14:textId="3A350B4F" w:rsidR="0025664D" w:rsidRPr="001554CF" w:rsidRDefault="0025664D" w:rsidP="00223C11">
      <w:pPr>
        <w:pStyle w:val="FootnoteText"/>
        <w:ind w:firstLine="0"/>
      </w:pPr>
      <w:r w:rsidRPr="00B76111">
        <w:rPr>
          <w:rStyle w:val="FootnoteReference"/>
        </w:rPr>
        <w:footnoteRef/>
      </w:r>
      <w:r w:rsidRPr="00B76111">
        <w:t xml:space="preserve"> Angl. </w:t>
      </w:r>
      <w:r w:rsidRPr="00484910">
        <w:rPr>
          <w:i/>
          <w:iCs/>
        </w:rPr>
        <w:t>mezanino loans</w:t>
      </w:r>
    </w:p>
  </w:footnote>
  <w:footnote w:id="14">
    <w:p w14:paraId="5A9C0902" w14:textId="09B3B79A" w:rsidR="0025664D" w:rsidRPr="00B76111" w:rsidRDefault="0025664D" w:rsidP="00223C11">
      <w:pPr>
        <w:pStyle w:val="FootnoteText"/>
        <w:ind w:firstLine="0"/>
      </w:pPr>
      <w:r w:rsidRPr="00E67C77">
        <w:rPr>
          <w:rStyle w:val="FootnoteReference"/>
        </w:rPr>
        <w:footnoteRef/>
      </w:r>
      <w:r w:rsidRPr="00E67C77">
        <w:t xml:space="preserve"> </w:t>
      </w:r>
      <w:r>
        <w:t>A</w:t>
      </w:r>
      <w:r w:rsidRPr="00E67C77">
        <w:t xml:space="preserve">ngl. </w:t>
      </w:r>
      <w:proofErr w:type="spellStart"/>
      <w:r w:rsidRPr="00484910">
        <w:rPr>
          <w:i/>
          <w:iCs/>
        </w:rPr>
        <w:t>Joint</w:t>
      </w:r>
      <w:proofErr w:type="spellEnd"/>
      <w:r w:rsidRPr="00484910">
        <w:rPr>
          <w:i/>
          <w:iCs/>
        </w:rPr>
        <w:t xml:space="preserve"> </w:t>
      </w:r>
      <w:proofErr w:type="spellStart"/>
      <w:r w:rsidRPr="00484910">
        <w:rPr>
          <w:i/>
          <w:iCs/>
        </w:rPr>
        <w:t>Venture</w:t>
      </w:r>
      <w:proofErr w:type="spellEnd"/>
    </w:p>
  </w:footnote>
  <w:footnote w:id="15">
    <w:p w14:paraId="244AEA03" w14:textId="77777777" w:rsidR="0025664D" w:rsidRPr="00B76111" w:rsidRDefault="0025664D" w:rsidP="00061B8B">
      <w:pPr>
        <w:pStyle w:val="FootnoteText"/>
      </w:pPr>
      <w:r w:rsidRPr="00E67C77">
        <w:rPr>
          <w:rStyle w:val="FootnoteReference"/>
        </w:rPr>
        <w:footnoteRef/>
      </w:r>
      <w:r w:rsidRPr="00E67C77">
        <w:t xml:space="preserve"> http://www.lsta.lt/files/studijos/2012%20metu/A-77_V.Stankevicius_renovac_paskata.pdf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A1EF6"/>
    <w:multiLevelType w:val="multilevel"/>
    <w:tmpl w:val="83E08A8E"/>
    <w:styleLink w:val="Style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FB2B2C"/>
    <w:multiLevelType w:val="hybridMultilevel"/>
    <w:tmpl w:val="191CC0A0"/>
    <w:lvl w:ilvl="0" w:tplc="52AADDCA">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757F53"/>
    <w:multiLevelType w:val="hybridMultilevel"/>
    <w:tmpl w:val="D61CA60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0E6E45E5"/>
    <w:multiLevelType w:val="hybridMultilevel"/>
    <w:tmpl w:val="69FEA144"/>
    <w:lvl w:ilvl="0" w:tplc="BB4276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EE17ECA"/>
    <w:multiLevelType w:val="hybridMultilevel"/>
    <w:tmpl w:val="C1A09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14332E"/>
    <w:multiLevelType w:val="hybridMultilevel"/>
    <w:tmpl w:val="569AB61A"/>
    <w:lvl w:ilvl="0" w:tplc="B306A50C">
      <w:start w:val="5"/>
      <w:numFmt w:val="decimal"/>
      <w:lvlText w:val="%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6" w15:restartNumberingAfterBreak="0">
    <w:nsid w:val="0FB1284F"/>
    <w:multiLevelType w:val="hybridMultilevel"/>
    <w:tmpl w:val="42148E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2BC57C0"/>
    <w:multiLevelType w:val="hybridMultilevel"/>
    <w:tmpl w:val="2EAE10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886B6B"/>
    <w:multiLevelType w:val="multilevel"/>
    <w:tmpl w:val="3F10CCEA"/>
    <w:lvl w:ilvl="0">
      <w:start w:val="1"/>
      <w:numFmt w:val="decimal"/>
      <w:lvlText w:val="%1."/>
      <w:lvlJc w:val="left"/>
      <w:pPr>
        <w:ind w:left="720" w:hanging="360"/>
      </w:pPr>
      <w:rPr>
        <w:rFonts w:hint="default"/>
      </w:rPr>
    </w:lvl>
    <w:lvl w:ilvl="1">
      <w:start w:val="2"/>
      <w:numFmt w:val="decimal"/>
      <w:isLgl/>
      <w:lvlText w:val="%1.%2"/>
      <w:lvlJc w:val="left"/>
      <w:pPr>
        <w:ind w:left="1007" w:hanging="44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9" w15:restartNumberingAfterBreak="0">
    <w:nsid w:val="19BC0004"/>
    <w:multiLevelType w:val="multilevel"/>
    <w:tmpl w:val="88F4668C"/>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C8977E1"/>
    <w:multiLevelType w:val="hybridMultilevel"/>
    <w:tmpl w:val="A98261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B535D36"/>
    <w:multiLevelType w:val="hybridMultilevel"/>
    <w:tmpl w:val="9BDE198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D76382A"/>
    <w:multiLevelType w:val="hybridMultilevel"/>
    <w:tmpl w:val="E772BEC6"/>
    <w:lvl w:ilvl="0" w:tplc="8CAAC05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34153B0A"/>
    <w:multiLevelType w:val="hybridMultilevel"/>
    <w:tmpl w:val="9AA8C4AE"/>
    <w:lvl w:ilvl="0" w:tplc="860628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34624A30"/>
    <w:multiLevelType w:val="multilevel"/>
    <w:tmpl w:val="DE026E32"/>
    <w:lvl w:ilvl="0">
      <w:start w:val="1"/>
      <w:numFmt w:val="decimal"/>
      <w:lvlText w:val="%1."/>
      <w:lvlJc w:val="left"/>
      <w:pPr>
        <w:ind w:left="927" w:hanging="360"/>
      </w:pPr>
      <w:rPr>
        <w:rFonts w:hint="default"/>
        <w:color w:val="auto"/>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5" w15:restartNumberingAfterBreak="0">
    <w:nsid w:val="378533D2"/>
    <w:multiLevelType w:val="multilevel"/>
    <w:tmpl w:val="C024A904"/>
    <w:lvl w:ilvl="0">
      <w:start w:val="1"/>
      <w:numFmt w:val="decimal"/>
      <w:pStyle w:val="Heading1"/>
      <w:lvlText w:val="%1."/>
      <w:lvlJc w:val="left"/>
      <w:pPr>
        <w:ind w:left="720" w:hanging="360"/>
      </w:p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39761ED5"/>
    <w:multiLevelType w:val="multilevel"/>
    <w:tmpl w:val="57745BA4"/>
    <w:lvl w:ilvl="0">
      <w:start w:val="1"/>
      <w:numFmt w:val="decimal"/>
      <w:lvlText w:val="%1"/>
      <w:lvlJc w:val="left"/>
      <w:pPr>
        <w:ind w:left="71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487" w:hanging="1080"/>
      </w:pPr>
      <w:rPr>
        <w:rFonts w:hint="default"/>
      </w:rPr>
    </w:lvl>
    <w:lvl w:ilvl="6">
      <w:start w:val="1"/>
      <w:numFmt w:val="decimal"/>
      <w:isLgl/>
      <w:lvlText w:val="%1.%2.%3.%4.%5.%6.%7"/>
      <w:lvlJc w:val="left"/>
      <w:pPr>
        <w:ind w:left="3057" w:hanging="1440"/>
      </w:pPr>
      <w:rPr>
        <w:rFonts w:hint="default"/>
      </w:rPr>
    </w:lvl>
    <w:lvl w:ilvl="7">
      <w:start w:val="1"/>
      <w:numFmt w:val="decimal"/>
      <w:isLgl/>
      <w:lvlText w:val="%1.%2.%3.%4.%5.%6.%7.%8"/>
      <w:lvlJc w:val="left"/>
      <w:pPr>
        <w:ind w:left="3267" w:hanging="1440"/>
      </w:pPr>
      <w:rPr>
        <w:rFonts w:hint="default"/>
      </w:rPr>
    </w:lvl>
    <w:lvl w:ilvl="8">
      <w:start w:val="1"/>
      <w:numFmt w:val="decimal"/>
      <w:isLgl/>
      <w:lvlText w:val="%1.%2.%3.%4.%5.%6.%7.%8.%9"/>
      <w:lvlJc w:val="left"/>
      <w:pPr>
        <w:ind w:left="3477" w:hanging="1440"/>
      </w:pPr>
      <w:rPr>
        <w:rFonts w:hint="default"/>
      </w:rPr>
    </w:lvl>
  </w:abstractNum>
  <w:abstractNum w:abstractNumId="17" w15:restartNumberingAfterBreak="0">
    <w:nsid w:val="3A156B3E"/>
    <w:multiLevelType w:val="multilevel"/>
    <w:tmpl w:val="E91C926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3B6427F8"/>
    <w:multiLevelType w:val="hybridMultilevel"/>
    <w:tmpl w:val="158E71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FA31983"/>
    <w:multiLevelType w:val="multilevel"/>
    <w:tmpl w:val="B970AB24"/>
    <w:lvl w:ilvl="0">
      <w:start w:val="4"/>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403877FC"/>
    <w:multiLevelType w:val="multilevel"/>
    <w:tmpl w:val="BBD21D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4430064"/>
    <w:multiLevelType w:val="multilevel"/>
    <w:tmpl w:val="88F4668C"/>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7EE4884"/>
    <w:multiLevelType w:val="hybridMultilevel"/>
    <w:tmpl w:val="886E65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D3694B"/>
    <w:multiLevelType w:val="hybridMultilevel"/>
    <w:tmpl w:val="43B02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E724ED"/>
    <w:multiLevelType w:val="multilevel"/>
    <w:tmpl w:val="81FAE9FE"/>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15:restartNumberingAfterBreak="0">
    <w:nsid w:val="540B7483"/>
    <w:multiLevelType w:val="multilevel"/>
    <w:tmpl w:val="3F10CCEA"/>
    <w:lvl w:ilvl="0">
      <w:start w:val="1"/>
      <w:numFmt w:val="decimal"/>
      <w:lvlText w:val="%1."/>
      <w:lvlJc w:val="left"/>
      <w:pPr>
        <w:ind w:left="720" w:hanging="360"/>
      </w:pPr>
      <w:rPr>
        <w:rFonts w:hint="default"/>
      </w:rPr>
    </w:lvl>
    <w:lvl w:ilvl="1">
      <w:start w:val="2"/>
      <w:numFmt w:val="decimal"/>
      <w:isLgl/>
      <w:lvlText w:val="%1.%2"/>
      <w:lvlJc w:val="left"/>
      <w:pPr>
        <w:ind w:left="1007" w:hanging="44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6" w15:restartNumberingAfterBreak="0">
    <w:nsid w:val="54E356BA"/>
    <w:multiLevelType w:val="multilevel"/>
    <w:tmpl w:val="DABC014A"/>
    <w:lvl w:ilvl="0">
      <w:start w:val="1"/>
      <w:numFmt w:val="decimal"/>
      <w:pStyle w:val="ListNumber"/>
      <w:lvlText w:val="%1."/>
      <w:lvlJc w:val="left"/>
      <w:pPr>
        <w:tabs>
          <w:tab w:val="num" w:pos="346"/>
        </w:tabs>
        <w:ind w:left="346" w:hanging="346"/>
      </w:pPr>
      <w:rPr>
        <w:rFonts w:hint="default"/>
      </w:rPr>
    </w:lvl>
    <w:lvl w:ilvl="1">
      <w:start w:val="1"/>
      <w:numFmt w:val="decimal"/>
      <w:pStyle w:val="ListNumber2"/>
      <w:lvlText w:val="%2."/>
      <w:lvlJc w:val="left"/>
      <w:pPr>
        <w:tabs>
          <w:tab w:val="num" w:pos="691"/>
        </w:tabs>
        <w:ind w:left="691" w:hanging="345"/>
      </w:pPr>
      <w:rPr>
        <w:rFonts w:hint="default"/>
      </w:rPr>
    </w:lvl>
    <w:lvl w:ilvl="2">
      <w:start w:val="1"/>
      <w:numFmt w:val="decimal"/>
      <w:pStyle w:val="ListNumber3"/>
      <w:lvlText w:val="%3."/>
      <w:lvlJc w:val="left"/>
      <w:pPr>
        <w:tabs>
          <w:tab w:val="num" w:pos="1037"/>
        </w:tabs>
        <w:ind w:left="1037" w:hanging="346"/>
      </w:pPr>
      <w:rPr>
        <w:rFonts w:hint="default"/>
      </w:rPr>
    </w:lvl>
    <w:lvl w:ilvl="3">
      <w:start w:val="1"/>
      <w:numFmt w:val="decimal"/>
      <w:pStyle w:val="ListNumber4"/>
      <w:lvlText w:val="%4."/>
      <w:lvlJc w:val="left"/>
      <w:pPr>
        <w:tabs>
          <w:tab w:val="num" w:pos="1382"/>
        </w:tabs>
        <w:ind w:left="1382" w:hanging="345"/>
      </w:pPr>
      <w:rPr>
        <w:rFonts w:hint="default"/>
      </w:rPr>
    </w:lvl>
    <w:lvl w:ilvl="4">
      <w:start w:val="1"/>
      <w:numFmt w:val="decimal"/>
      <w:pStyle w:val="ListNumber5"/>
      <w:lvlText w:val="%5."/>
      <w:lvlJc w:val="left"/>
      <w:pPr>
        <w:tabs>
          <w:tab w:val="num" w:pos="1728"/>
        </w:tabs>
        <w:ind w:left="1728" w:hanging="346"/>
      </w:pPr>
      <w:rPr>
        <w:rFonts w:hint="default"/>
      </w:rPr>
    </w:lvl>
    <w:lvl w:ilvl="5">
      <w:start w:val="1"/>
      <w:numFmt w:val="decimal"/>
      <w:lvlText w:val="%6."/>
      <w:lvlJc w:val="left"/>
      <w:pPr>
        <w:tabs>
          <w:tab w:val="num" w:pos="2074"/>
        </w:tabs>
        <w:ind w:left="2074" w:hanging="346"/>
      </w:pPr>
      <w:rPr>
        <w:rFonts w:hint="default"/>
      </w:rPr>
    </w:lvl>
    <w:lvl w:ilvl="6">
      <w:start w:val="1"/>
      <w:numFmt w:val="decimal"/>
      <w:lvlText w:val="%7."/>
      <w:lvlJc w:val="left"/>
      <w:pPr>
        <w:tabs>
          <w:tab w:val="num" w:pos="2419"/>
        </w:tabs>
        <w:ind w:left="2419" w:hanging="345"/>
      </w:pPr>
      <w:rPr>
        <w:rFonts w:hint="default"/>
      </w:rPr>
    </w:lvl>
    <w:lvl w:ilvl="7">
      <w:start w:val="1"/>
      <w:numFmt w:val="decimal"/>
      <w:lvlText w:val="%8."/>
      <w:lvlJc w:val="left"/>
      <w:pPr>
        <w:tabs>
          <w:tab w:val="num" w:pos="2765"/>
        </w:tabs>
        <w:ind w:left="2765" w:hanging="346"/>
      </w:pPr>
      <w:rPr>
        <w:rFonts w:hint="default"/>
      </w:rPr>
    </w:lvl>
    <w:lvl w:ilvl="8">
      <w:start w:val="1"/>
      <w:numFmt w:val="decimal"/>
      <w:lvlText w:val="%9."/>
      <w:lvlJc w:val="left"/>
      <w:pPr>
        <w:tabs>
          <w:tab w:val="num" w:pos="3110"/>
        </w:tabs>
        <w:ind w:left="3110" w:hanging="345"/>
      </w:pPr>
      <w:rPr>
        <w:rFonts w:hint="default"/>
      </w:rPr>
    </w:lvl>
  </w:abstractNum>
  <w:abstractNum w:abstractNumId="27" w15:restartNumberingAfterBreak="0">
    <w:nsid w:val="586F562F"/>
    <w:multiLevelType w:val="hybridMultilevel"/>
    <w:tmpl w:val="12F80A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9834400"/>
    <w:multiLevelType w:val="hybridMultilevel"/>
    <w:tmpl w:val="D150A0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9" w15:restartNumberingAfterBreak="0">
    <w:nsid w:val="5C753330"/>
    <w:multiLevelType w:val="hybridMultilevel"/>
    <w:tmpl w:val="DCEA9C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D25258D"/>
    <w:multiLevelType w:val="hybridMultilevel"/>
    <w:tmpl w:val="715E96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17D55F5"/>
    <w:multiLevelType w:val="hybridMultilevel"/>
    <w:tmpl w:val="CC986A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A3F3BB2"/>
    <w:multiLevelType w:val="hybridMultilevel"/>
    <w:tmpl w:val="C9D6A1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AC60984"/>
    <w:multiLevelType w:val="hybridMultilevel"/>
    <w:tmpl w:val="8F9AB1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BED22DB"/>
    <w:multiLevelType w:val="hybridMultilevel"/>
    <w:tmpl w:val="05D2B236"/>
    <w:lvl w:ilvl="0" w:tplc="5BD8E52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73863476"/>
    <w:multiLevelType w:val="hybridMultilevel"/>
    <w:tmpl w:val="C518A0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3C636B"/>
    <w:multiLevelType w:val="hybridMultilevel"/>
    <w:tmpl w:val="D00E20D2"/>
    <w:lvl w:ilvl="0" w:tplc="25C687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76474A9A"/>
    <w:multiLevelType w:val="hybridMultilevel"/>
    <w:tmpl w:val="539889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A903B56"/>
    <w:multiLevelType w:val="hybridMultilevel"/>
    <w:tmpl w:val="32683A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C8726FE"/>
    <w:multiLevelType w:val="hybridMultilevel"/>
    <w:tmpl w:val="81F05F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ECF19F2"/>
    <w:multiLevelType w:val="hybridMultilevel"/>
    <w:tmpl w:val="0BD415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16"/>
  </w:num>
  <w:num w:numId="4">
    <w:abstractNumId w:val="14"/>
  </w:num>
  <w:num w:numId="5">
    <w:abstractNumId w:val="36"/>
  </w:num>
  <w:num w:numId="6">
    <w:abstractNumId w:val="23"/>
  </w:num>
  <w:num w:numId="7">
    <w:abstractNumId w:val="26"/>
  </w:num>
  <w:num w:numId="8">
    <w:abstractNumId w:val="34"/>
  </w:num>
  <w:num w:numId="9">
    <w:abstractNumId w:val="27"/>
  </w:num>
  <w:num w:numId="10">
    <w:abstractNumId w:val="28"/>
  </w:num>
  <w:num w:numId="11">
    <w:abstractNumId w:val="22"/>
  </w:num>
  <w:num w:numId="12">
    <w:abstractNumId w:val="9"/>
  </w:num>
  <w:num w:numId="13">
    <w:abstractNumId w:val="19"/>
  </w:num>
  <w:num w:numId="14">
    <w:abstractNumId w:val="17"/>
  </w:num>
  <w:num w:numId="15">
    <w:abstractNumId w:val="24"/>
  </w:num>
  <w:num w:numId="16">
    <w:abstractNumId w:val="1"/>
  </w:num>
  <w:num w:numId="17">
    <w:abstractNumId w:val="6"/>
  </w:num>
  <w:num w:numId="18">
    <w:abstractNumId w:val="2"/>
  </w:num>
  <w:num w:numId="19">
    <w:abstractNumId w:val="8"/>
  </w:num>
  <w:num w:numId="20">
    <w:abstractNumId w:val="37"/>
  </w:num>
  <w:num w:numId="21">
    <w:abstractNumId w:val="12"/>
  </w:num>
  <w:num w:numId="22">
    <w:abstractNumId w:val="21"/>
  </w:num>
  <w:num w:numId="23">
    <w:abstractNumId w:val="39"/>
  </w:num>
  <w:num w:numId="24">
    <w:abstractNumId w:val="3"/>
  </w:num>
  <w:num w:numId="25">
    <w:abstractNumId w:val="13"/>
  </w:num>
  <w:num w:numId="26">
    <w:abstractNumId w:val="25"/>
  </w:num>
  <w:num w:numId="27">
    <w:abstractNumId w:val="11"/>
  </w:num>
  <w:num w:numId="28">
    <w:abstractNumId w:val="10"/>
  </w:num>
  <w:num w:numId="29">
    <w:abstractNumId w:val="38"/>
  </w:num>
  <w:num w:numId="30">
    <w:abstractNumId w:val="32"/>
  </w:num>
  <w:num w:numId="31">
    <w:abstractNumId w:val="31"/>
  </w:num>
  <w:num w:numId="32">
    <w:abstractNumId w:val="35"/>
  </w:num>
  <w:num w:numId="33">
    <w:abstractNumId w:val="7"/>
  </w:num>
  <w:num w:numId="34">
    <w:abstractNumId w:val="40"/>
  </w:num>
  <w:num w:numId="35">
    <w:abstractNumId w:val="30"/>
  </w:num>
  <w:num w:numId="36">
    <w:abstractNumId w:val="4"/>
  </w:num>
  <w:num w:numId="37">
    <w:abstractNumId w:val="18"/>
  </w:num>
  <w:num w:numId="38">
    <w:abstractNumId w:val="33"/>
  </w:num>
  <w:num w:numId="39">
    <w:abstractNumId w:val="29"/>
  </w:num>
  <w:num w:numId="40">
    <w:abstractNumId w:val="15"/>
  </w:num>
  <w:num w:numId="41">
    <w:abstractNumId w:val="20"/>
  </w:num>
  <w:num w:numId="42">
    <w:abstractNumId w:val="15"/>
  </w:num>
  <w:num w:numId="43">
    <w:abstractNumId w:val="15"/>
  </w:num>
  <w:num w:numId="44">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84A"/>
    <w:rsid w:val="00006D99"/>
    <w:rsid w:val="0001301C"/>
    <w:rsid w:val="00022C99"/>
    <w:rsid w:val="00025A6E"/>
    <w:rsid w:val="000307F6"/>
    <w:rsid w:val="00033F6C"/>
    <w:rsid w:val="000354F2"/>
    <w:rsid w:val="00035A82"/>
    <w:rsid w:val="00043E32"/>
    <w:rsid w:val="0005009D"/>
    <w:rsid w:val="00061B8B"/>
    <w:rsid w:val="00067039"/>
    <w:rsid w:val="00071DD2"/>
    <w:rsid w:val="00072F55"/>
    <w:rsid w:val="00095C84"/>
    <w:rsid w:val="00096CEF"/>
    <w:rsid w:val="000A14D2"/>
    <w:rsid w:val="000B737D"/>
    <w:rsid w:val="000C2D2B"/>
    <w:rsid w:val="000C377E"/>
    <w:rsid w:val="000E0914"/>
    <w:rsid w:val="000E3E3D"/>
    <w:rsid w:val="00101A4F"/>
    <w:rsid w:val="00103D52"/>
    <w:rsid w:val="00104241"/>
    <w:rsid w:val="0010609F"/>
    <w:rsid w:val="00106381"/>
    <w:rsid w:val="001217D6"/>
    <w:rsid w:val="0013654F"/>
    <w:rsid w:val="00140EDC"/>
    <w:rsid w:val="00147B09"/>
    <w:rsid w:val="00152D1A"/>
    <w:rsid w:val="001568A2"/>
    <w:rsid w:val="00157D9E"/>
    <w:rsid w:val="00162CF9"/>
    <w:rsid w:val="00165E6B"/>
    <w:rsid w:val="00166CCE"/>
    <w:rsid w:val="00173D48"/>
    <w:rsid w:val="00190F38"/>
    <w:rsid w:val="00196EA6"/>
    <w:rsid w:val="001B08E9"/>
    <w:rsid w:val="001B21B5"/>
    <w:rsid w:val="001B5BED"/>
    <w:rsid w:val="001B6E9F"/>
    <w:rsid w:val="001D1187"/>
    <w:rsid w:val="001D209C"/>
    <w:rsid w:val="001F0DBB"/>
    <w:rsid w:val="001F76ED"/>
    <w:rsid w:val="00222DE5"/>
    <w:rsid w:val="00223C11"/>
    <w:rsid w:val="00234865"/>
    <w:rsid w:val="002357A0"/>
    <w:rsid w:val="00240FF0"/>
    <w:rsid w:val="00244E06"/>
    <w:rsid w:val="00251B01"/>
    <w:rsid w:val="00253597"/>
    <w:rsid w:val="0025664D"/>
    <w:rsid w:val="00266AE2"/>
    <w:rsid w:val="00270868"/>
    <w:rsid w:val="002711A4"/>
    <w:rsid w:val="00271DFF"/>
    <w:rsid w:val="00272B4E"/>
    <w:rsid w:val="00286E67"/>
    <w:rsid w:val="00295E1E"/>
    <w:rsid w:val="002A319B"/>
    <w:rsid w:val="002A6D88"/>
    <w:rsid w:val="002B2400"/>
    <w:rsid w:val="002C1AB4"/>
    <w:rsid w:val="002C31C8"/>
    <w:rsid w:val="002E1048"/>
    <w:rsid w:val="002E4696"/>
    <w:rsid w:val="002E66BF"/>
    <w:rsid w:val="00303D8B"/>
    <w:rsid w:val="00307447"/>
    <w:rsid w:val="0031223D"/>
    <w:rsid w:val="0033179D"/>
    <w:rsid w:val="00350AEB"/>
    <w:rsid w:val="00351755"/>
    <w:rsid w:val="0035260E"/>
    <w:rsid w:val="00352962"/>
    <w:rsid w:val="00356EEA"/>
    <w:rsid w:val="00357041"/>
    <w:rsid w:val="00361078"/>
    <w:rsid w:val="00361E43"/>
    <w:rsid w:val="00364FD0"/>
    <w:rsid w:val="00365187"/>
    <w:rsid w:val="00367C48"/>
    <w:rsid w:val="0038594D"/>
    <w:rsid w:val="003878A7"/>
    <w:rsid w:val="003936AD"/>
    <w:rsid w:val="003953D5"/>
    <w:rsid w:val="003C1A4C"/>
    <w:rsid w:val="003D399E"/>
    <w:rsid w:val="003E221F"/>
    <w:rsid w:val="003F2414"/>
    <w:rsid w:val="004112D9"/>
    <w:rsid w:val="00411D55"/>
    <w:rsid w:val="004136EF"/>
    <w:rsid w:val="00416C81"/>
    <w:rsid w:val="0043024A"/>
    <w:rsid w:val="004318EC"/>
    <w:rsid w:val="00443195"/>
    <w:rsid w:val="00444022"/>
    <w:rsid w:val="00461A3F"/>
    <w:rsid w:val="004722B2"/>
    <w:rsid w:val="0047484A"/>
    <w:rsid w:val="00477162"/>
    <w:rsid w:val="00480B9F"/>
    <w:rsid w:val="00484910"/>
    <w:rsid w:val="00485624"/>
    <w:rsid w:val="00485C63"/>
    <w:rsid w:val="004936E8"/>
    <w:rsid w:val="004A7D3D"/>
    <w:rsid w:val="004B1CBA"/>
    <w:rsid w:val="004B224E"/>
    <w:rsid w:val="004C16C9"/>
    <w:rsid w:val="00506FF0"/>
    <w:rsid w:val="00507CD0"/>
    <w:rsid w:val="00511258"/>
    <w:rsid w:val="00511E0E"/>
    <w:rsid w:val="005301DA"/>
    <w:rsid w:val="00530F7F"/>
    <w:rsid w:val="00540E6B"/>
    <w:rsid w:val="00543EE2"/>
    <w:rsid w:val="005449E4"/>
    <w:rsid w:val="005459DB"/>
    <w:rsid w:val="005511CF"/>
    <w:rsid w:val="0056121F"/>
    <w:rsid w:val="00562B6F"/>
    <w:rsid w:val="00563C82"/>
    <w:rsid w:val="00566C82"/>
    <w:rsid w:val="00567686"/>
    <w:rsid w:val="00575E63"/>
    <w:rsid w:val="005874B4"/>
    <w:rsid w:val="0059625B"/>
    <w:rsid w:val="005A0F6F"/>
    <w:rsid w:val="005A25BF"/>
    <w:rsid w:val="005A5AA5"/>
    <w:rsid w:val="005B624F"/>
    <w:rsid w:val="005C4B70"/>
    <w:rsid w:val="005C722A"/>
    <w:rsid w:val="005D2B45"/>
    <w:rsid w:val="005F26FF"/>
    <w:rsid w:val="00605850"/>
    <w:rsid w:val="0060684E"/>
    <w:rsid w:val="00607168"/>
    <w:rsid w:val="00645EF5"/>
    <w:rsid w:val="00665102"/>
    <w:rsid w:val="00671EEC"/>
    <w:rsid w:val="006A416D"/>
    <w:rsid w:val="006B0E7C"/>
    <w:rsid w:val="006C2110"/>
    <w:rsid w:val="006C4A18"/>
    <w:rsid w:val="006C6AC6"/>
    <w:rsid w:val="006D4E33"/>
    <w:rsid w:val="006D7B19"/>
    <w:rsid w:val="006E6DA0"/>
    <w:rsid w:val="006F1815"/>
    <w:rsid w:val="006F2891"/>
    <w:rsid w:val="00715905"/>
    <w:rsid w:val="00720D92"/>
    <w:rsid w:val="00736B97"/>
    <w:rsid w:val="00740469"/>
    <w:rsid w:val="007416EB"/>
    <w:rsid w:val="0075229B"/>
    <w:rsid w:val="00773836"/>
    <w:rsid w:val="00776DCC"/>
    <w:rsid w:val="007812ED"/>
    <w:rsid w:val="0078357A"/>
    <w:rsid w:val="00785FC8"/>
    <w:rsid w:val="00792FEF"/>
    <w:rsid w:val="007940C5"/>
    <w:rsid w:val="00794DB8"/>
    <w:rsid w:val="007B5F90"/>
    <w:rsid w:val="007C42E8"/>
    <w:rsid w:val="007C7174"/>
    <w:rsid w:val="007E483C"/>
    <w:rsid w:val="007F2D79"/>
    <w:rsid w:val="007F5023"/>
    <w:rsid w:val="007F7032"/>
    <w:rsid w:val="0080327D"/>
    <w:rsid w:val="008039CC"/>
    <w:rsid w:val="00817B62"/>
    <w:rsid w:val="00823213"/>
    <w:rsid w:val="008359E9"/>
    <w:rsid w:val="008361A1"/>
    <w:rsid w:val="008466C7"/>
    <w:rsid w:val="0085742D"/>
    <w:rsid w:val="008832E2"/>
    <w:rsid w:val="008854D9"/>
    <w:rsid w:val="008A28F3"/>
    <w:rsid w:val="008B375B"/>
    <w:rsid w:val="008C2CCE"/>
    <w:rsid w:val="008C53E0"/>
    <w:rsid w:val="008E43E6"/>
    <w:rsid w:val="008F1623"/>
    <w:rsid w:val="008F2BC7"/>
    <w:rsid w:val="00902D59"/>
    <w:rsid w:val="00920443"/>
    <w:rsid w:val="009204F2"/>
    <w:rsid w:val="00950700"/>
    <w:rsid w:val="00960046"/>
    <w:rsid w:val="0096062D"/>
    <w:rsid w:val="00974DB6"/>
    <w:rsid w:val="009A0552"/>
    <w:rsid w:val="009A4090"/>
    <w:rsid w:val="009B2AF3"/>
    <w:rsid w:val="009D258E"/>
    <w:rsid w:val="009D36B8"/>
    <w:rsid w:val="009D3969"/>
    <w:rsid w:val="009D5BB7"/>
    <w:rsid w:val="009E3F40"/>
    <w:rsid w:val="009F143B"/>
    <w:rsid w:val="009F357E"/>
    <w:rsid w:val="00A11BB7"/>
    <w:rsid w:val="00A22453"/>
    <w:rsid w:val="00A355B2"/>
    <w:rsid w:val="00A361C8"/>
    <w:rsid w:val="00A53040"/>
    <w:rsid w:val="00A57D6D"/>
    <w:rsid w:val="00A66C35"/>
    <w:rsid w:val="00A6781E"/>
    <w:rsid w:val="00A8435C"/>
    <w:rsid w:val="00AA5F12"/>
    <w:rsid w:val="00AC287F"/>
    <w:rsid w:val="00AC7864"/>
    <w:rsid w:val="00AD0D01"/>
    <w:rsid w:val="00AD3A13"/>
    <w:rsid w:val="00AD41F1"/>
    <w:rsid w:val="00AE0156"/>
    <w:rsid w:val="00AE0B6B"/>
    <w:rsid w:val="00AE66A9"/>
    <w:rsid w:val="00B00157"/>
    <w:rsid w:val="00B06F96"/>
    <w:rsid w:val="00B14B80"/>
    <w:rsid w:val="00B22949"/>
    <w:rsid w:val="00B407F6"/>
    <w:rsid w:val="00B42585"/>
    <w:rsid w:val="00B52207"/>
    <w:rsid w:val="00B53B74"/>
    <w:rsid w:val="00B60335"/>
    <w:rsid w:val="00B646DA"/>
    <w:rsid w:val="00B70DD5"/>
    <w:rsid w:val="00B8423F"/>
    <w:rsid w:val="00BC7F27"/>
    <w:rsid w:val="00BD149C"/>
    <w:rsid w:val="00BE3D22"/>
    <w:rsid w:val="00BF1C04"/>
    <w:rsid w:val="00BF623D"/>
    <w:rsid w:val="00C276C5"/>
    <w:rsid w:val="00C31711"/>
    <w:rsid w:val="00C52388"/>
    <w:rsid w:val="00C56D32"/>
    <w:rsid w:val="00C8418F"/>
    <w:rsid w:val="00C878B7"/>
    <w:rsid w:val="00C95521"/>
    <w:rsid w:val="00CA23C7"/>
    <w:rsid w:val="00CA679E"/>
    <w:rsid w:val="00CB1F6D"/>
    <w:rsid w:val="00CB1F98"/>
    <w:rsid w:val="00CB2B2D"/>
    <w:rsid w:val="00CB35F7"/>
    <w:rsid w:val="00CB662A"/>
    <w:rsid w:val="00CB66B8"/>
    <w:rsid w:val="00CC55EC"/>
    <w:rsid w:val="00CD35CC"/>
    <w:rsid w:val="00CF06EF"/>
    <w:rsid w:val="00D0287A"/>
    <w:rsid w:val="00D05776"/>
    <w:rsid w:val="00D107A8"/>
    <w:rsid w:val="00D16B8B"/>
    <w:rsid w:val="00D26028"/>
    <w:rsid w:val="00D31F3C"/>
    <w:rsid w:val="00D32BE8"/>
    <w:rsid w:val="00D370F1"/>
    <w:rsid w:val="00D47FA1"/>
    <w:rsid w:val="00D61918"/>
    <w:rsid w:val="00D67920"/>
    <w:rsid w:val="00D80F34"/>
    <w:rsid w:val="00D8490B"/>
    <w:rsid w:val="00D86290"/>
    <w:rsid w:val="00D94E34"/>
    <w:rsid w:val="00DA4BAE"/>
    <w:rsid w:val="00DB0B95"/>
    <w:rsid w:val="00DB30D4"/>
    <w:rsid w:val="00DB3A2C"/>
    <w:rsid w:val="00DD5FA8"/>
    <w:rsid w:val="00DD6AD1"/>
    <w:rsid w:val="00DE7827"/>
    <w:rsid w:val="00DF2EBE"/>
    <w:rsid w:val="00DF3BDC"/>
    <w:rsid w:val="00E01F02"/>
    <w:rsid w:val="00E14D21"/>
    <w:rsid w:val="00E16150"/>
    <w:rsid w:val="00E40F79"/>
    <w:rsid w:val="00E42DC5"/>
    <w:rsid w:val="00E44DCA"/>
    <w:rsid w:val="00E5647B"/>
    <w:rsid w:val="00E56E7C"/>
    <w:rsid w:val="00E64143"/>
    <w:rsid w:val="00E67F0B"/>
    <w:rsid w:val="00E728D4"/>
    <w:rsid w:val="00E8519C"/>
    <w:rsid w:val="00E97B48"/>
    <w:rsid w:val="00EC052E"/>
    <w:rsid w:val="00ED3C8E"/>
    <w:rsid w:val="00ED6195"/>
    <w:rsid w:val="00ED667A"/>
    <w:rsid w:val="00ED76D8"/>
    <w:rsid w:val="00EF07EB"/>
    <w:rsid w:val="00EF26D3"/>
    <w:rsid w:val="00EF295C"/>
    <w:rsid w:val="00EF45C0"/>
    <w:rsid w:val="00F01E02"/>
    <w:rsid w:val="00F14CE2"/>
    <w:rsid w:val="00F16400"/>
    <w:rsid w:val="00F168FD"/>
    <w:rsid w:val="00F16BEC"/>
    <w:rsid w:val="00F21005"/>
    <w:rsid w:val="00F23D72"/>
    <w:rsid w:val="00F24E65"/>
    <w:rsid w:val="00F27630"/>
    <w:rsid w:val="00F277A2"/>
    <w:rsid w:val="00F30C68"/>
    <w:rsid w:val="00F332D0"/>
    <w:rsid w:val="00F53394"/>
    <w:rsid w:val="00F557E0"/>
    <w:rsid w:val="00F71989"/>
    <w:rsid w:val="00F80AF2"/>
    <w:rsid w:val="00FB2107"/>
    <w:rsid w:val="00FD221B"/>
    <w:rsid w:val="00FD523F"/>
    <w:rsid w:val="00FE5DA2"/>
    <w:rsid w:val="14691E13"/>
    <w:rsid w:val="4F9337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1EF35"/>
  <w15:docId w15:val="{FAD19E66-78FC-44E6-AE05-061166C16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84A"/>
    <w:pPr>
      <w:spacing w:before="60" w:after="120" w:line="240" w:lineRule="auto"/>
      <w:ind w:firstLine="567"/>
      <w:jc w:val="both"/>
    </w:pPr>
    <w:rPr>
      <w:rFonts w:ascii="Times New Roman" w:hAnsi="Times New Roman"/>
    </w:rPr>
  </w:style>
  <w:style w:type="paragraph" w:styleId="Heading1">
    <w:name w:val="heading 1"/>
    <w:basedOn w:val="Normal"/>
    <w:next w:val="Normal"/>
    <w:link w:val="Heading1Char"/>
    <w:uiPriority w:val="9"/>
    <w:qFormat/>
    <w:rsid w:val="007F5023"/>
    <w:pPr>
      <w:keepNext/>
      <w:keepLines/>
      <w:numPr>
        <w:numId w:val="1"/>
      </w:numPr>
      <w:spacing w:before="12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DB0B95"/>
    <w:pPr>
      <w:keepNext/>
      <w:keepLines/>
      <w:spacing w:before="12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3878A7"/>
    <w:pPr>
      <w:keepNext/>
      <w:keepLines/>
      <w:spacing w:before="1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9F143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3024A"/>
    <w:pPr>
      <w:keepNext/>
      <w:keepLines/>
      <w:ind w:firstLine="851"/>
      <w:outlineLvl w:val="4"/>
    </w:pPr>
    <w:rPr>
      <w:rFonts w:eastAsiaTheme="majorEastAsia" w:cstheme="majorBidi"/>
      <w:i/>
    </w:rPr>
  </w:style>
  <w:style w:type="paragraph" w:styleId="Heading6">
    <w:name w:val="heading 6"/>
    <w:basedOn w:val="Normal"/>
    <w:next w:val="Normal"/>
    <w:link w:val="Heading6Char"/>
    <w:uiPriority w:val="9"/>
    <w:unhideWhenUsed/>
    <w:qFormat/>
    <w:rsid w:val="0043024A"/>
    <w:pPr>
      <w:keepNext/>
      <w:keepLines/>
      <w:spacing w:before="200" w:after="200" w:line="276" w:lineRule="auto"/>
      <w:ind w:left="1152" w:hanging="1152"/>
      <w:jc w:val="left"/>
      <w:outlineLvl w:val="5"/>
    </w:pPr>
    <w:rPr>
      <w:rFonts w:asciiTheme="majorHAnsi" w:eastAsiaTheme="majorEastAsia" w:hAnsiTheme="majorHAnsi" w:cstheme="majorBidi"/>
      <w:i/>
      <w:iCs/>
      <w:color w:val="1F3763" w:themeColor="accent1" w:themeShade="7F"/>
      <w:sz w:val="24"/>
      <w:szCs w:val="24"/>
    </w:rPr>
  </w:style>
  <w:style w:type="paragraph" w:styleId="Heading7">
    <w:name w:val="heading 7"/>
    <w:basedOn w:val="Normal"/>
    <w:next w:val="Normal"/>
    <w:link w:val="Heading7Char"/>
    <w:uiPriority w:val="9"/>
    <w:unhideWhenUsed/>
    <w:qFormat/>
    <w:rsid w:val="0043024A"/>
    <w:pPr>
      <w:keepNext/>
      <w:keepLines/>
      <w:spacing w:before="200" w:after="200" w:line="276" w:lineRule="auto"/>
      <w:ind w:left="1296" w:hanging="1296"/>
      <w:jc w:val="left"/>
      <w:outlineLvl w:val="6"/>
    </w:pPr>
    <w:rPr>
      <w:rFonts w:asciiTheme="majorHAnsi" w:eastAsiaTheme="majorEastAsia" w:hAnsiTheme="majorHAnsi" w:cstheme="majorBidi"/>
      <w:i/>
      <w:iCs/>
      <w:color w:val="404040" w:themeColor="text1" w:themeTint="BF"/>
      <w:sz w:val="24"/>
      <w:szCs w:val="24"/>
    </w:rPr>
  </w:style>
  <w:style w:type="paragraph" w:styleId="Heading8">
    <w:name w:val="heading 8"/>
    <w:basedOn w:val="Normal"/>
    <w:next w:val="Normal"/>
    <w:link w:val="Heading8Char"/>
    <w:uiPriority w:val="9"/>
    <w:unhideWhenUsed/>
    <w:qFormat/>
    <w:rsid w:val="0043024A"/>
    <w:pPr>
      <w:spacing w:before="240" w:after="60" w:line="276" w:lineRule="auto"/>
      <w:ind w:left="1440" w:hanging="1440"/>
      <w:jc w:val="left"/>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43024A"/>
    <w:pPr>
      <w:keepNext/>
      <w:keepLines/>
      <w:spacing w:before="200" w:after="200" w:line="276" w:lineRule="auto"/>
      <w:ind w:left="1584" w:hanging="1584"/>
      <w:jc w:val="left"/>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47484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47484A"/>
    <w:rPr>
      <w:rFonts w:ascii="Segoe UI" w:hAnsi="Segoe UI" w:cs="Segoe UI"/>
      <w:sz w:val="18"/>
      <w:szCs w:val="18"/>
    </w:rPr>
  </w:style>
  <w:style w:type="paragraph" w:styleId="FootnoteText">
    <w:name w:val="footnote text"/>
    <w:aliases w:val="Footnote,Footnote text,fn,Footnote Text Char Char,Footnote Text Char Char Char Char,Footnote Text Char Char Char Char Char,Footnote Text Char Char Char Char Char Char Char Char,Footnote Text Char Char Char,Footnote Text Char1,f"/>
    <w:basedOn w:val="Normal"/>
    <w:link w:val="FootnoteTextChar"/>
    <w:uiPriority w:val="99"/>
    <w:unhideWhenUsed/>
    <w:qFormat/>
    <w:rsid w:val="0047484A"/>
    <w:pPr>
      <w:spacing w:before="0" w:after="0"/>
    </w:pPr>
    <w:rPr>
      <w:sz w:val="20"/>
      <w:szCs w:val="20"/>
    </w:rPr>
  </w:style>
  <w:style w:type="character" w:customStyle="1" w:styleId="FootnoteTextChar">
    <w:name w:val="Footnote Text Char"/>
    <w:aliases w:val="Footnote Char,Footnote text Char,fn Char,Footnote Text Char Char Char1,Footnote Text Char Char Char Char Char1,Footnote Text Char Char Char Char Char Char,Footnote Text Char Char Char Char Char Char Char Char Char,f Char"/>
    <w:basedOn w:val="DefaultParagraphFont"/>
    <w:link w:val="FootnoteText"/>
    <w:uiPriority w:val="99"/>
    <w:rsid w:val="0047484A"/>
    <w:rPr>
      <w:rFonts w:ascii="Times New Roman" w:hAnsi="Times New Roman"/>
      <w:sz w:val="20"/>
      <w:szCs w:val="20"/>
    </w:rPr>
  </w:style>
  <w:style w:type="character" w:styleId="FootnoteReference">
    <w:name w:val="footnote reference"/>
    <w:aliases w:val="Footnote Reference Number,BVI fnr,Footnote symbol,Footnote anchor,Times 10 Point,Exposant 3 Point,Footnote reference number,Voetnootverwijzing,Footnote number,fr,Footnotemark,FR,Footnotemark1,Footnotemark2,FR1,Footnotemark3,FR2"/>
    <w:basedOn w:val="DefaultParagraphFont"/>
    <w:link w:val="SUPERSChar"/>
    <w:uiPriority w:val="99"/>
    <w:unhideWhenUsed/>
    <w:qFormat/>
    <w:rsid w:val="0047484A"/>
    <w:rPr>
      <w:vertAlign w:val="superscript"/>
    </w:rPr>
  </w:style>
  <w:style w:type="paragraph" w:customStyle="1" w:styleId="SUPERSChar">
    <w:name w:val="SUPERS Char"/>
    <w:aliases w:val="EN Footnote Reference Char"/>
    <w:basedOn w:val="Normal"/>
    <w:link w:val="FootnoteReference"/>
    <w:uiPriority w:val="99"/>
    <w:rsid w:val="0047484A"/>
    <w:pPr>
      <w:spacing w:before="0" w:after="160" w:line="240" w:lineRule="exact"/>
      <w:ind w:firstLine="0"/>
      <w:jc w:val="left"/>
    </w:pPr>
    <w:rPr>
      <w:rFonts w:asciiTheme="minorHAnsi" w:hAnsiTheme="minorHAnsi"/>
      <w:vertAlign w:val="superscript"/>
    </w:rPr>
  </w:style>
  <w:style w:type="character" w:customStyle="1" w:styleId="Heading1Char">
    <w:name w:val="Heading 1 Char"/>
    <w:basedOn w:val="DefaultParagraphFont"/>
    <w:link w:val="Heading1"/>
    <w:uiPriority w:val="9"/>
    <w:rsid w:val="007F5023"/>
    <w:rPr>
      <w:rFonts w:ascii="Times New Roman" w:eastAsiaTheme="majorEastAsia" w:hAnsi="Times New Roman" w:cstheme="majorBidi"/>
      <w:b/>
      <w:sz w:val="24"/>
      <w:szCs w:val="32"/>
    </w:rPr>
  </w:style>
  <w:style w:type="table" w:styleId="TableGrid">
    <w:name w:val="Table Grid"/>
    <w:basedOn w:val="TableNormal"/>
    <w:uiPriority w:val="59"/>
    <w:rsid w:val="0047484A"/>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List Paragraph21,List Paragraph2,ERP-List Paragraph,List Paragraph11,Numbering,Bullet EY,Sąrašo pastraipa1,List Paragraph Red,List Paragraph111,Lentele,List Paragraph1,Bullet,List Paragraph3,lp1,Bullets,Dot pt"/>
    <w:basedOn w:val="Normal"/>
    <w:link w:val="ListParagraphChar"/>
    <w:uiPriority w:val="34"/>
    <w:qFormat/>
    <w:rsid w:val="0096062D"/>
    <w:pPr>
      <w:ind w:left="720"/>
      <w:contextualSpacing/>
    </w:pPr>
  </w:style>
  <w:style w:type="character" w:customStyle="1" w:styleId="Heading2Char">
    <w:name w:val="Heading 2 Char"/>
    <w:basedOn w:val="DefaultParagraphFont"/>
    <w:link w:val="Heading2"/>
    <w:uiPriority w:val="9"/>
    <w:rsid w:val="00DB0B95"/>
    <w:rPr>
      <w:rFonts w:ascii="Times New Roman" w:eastAsiaTheme="majorEastAsia" w:hAnsi="Times New Roman" w:cstheme="majorBidi"/>
      <w:b/>
      <w:szCs w:val="26"/>
    </w:rPr>
  </w:style>
  <w:style w:type="character" w:customStyle="1" w:styleId="Heading3Char">
    <w:name w:val="Heading 3 Char"/>
    <w:basedOn w:val="DefaultParagraphFont"/>
    <w:link w:val="Heading3"/>
    <w:uiPriority w:val="9"/>
    <w:rsid w:val="003878A7"/>
    <w:rPr>
      <w:rFonts w:ascii="Times New Roman" w:eastAsiaTheme="majorEastAsia" w:hAnsi="Times New Roman" w:cstheme="majorBidi"/>
      <w:b/>
      <w:szCs w:val="24"/>
    </w:rPr>
  </w:style>
  <w:style w:type="character" w:styleId="Hyperlink">
    <w:name w:val="Hyperlink"/>
    <w:basedOn w:val="DefaultParagraphFont"/>
    <w:uiPriority w:val="99"/>
    <w:unhideWhenUsed/>
    <w:rsid w:val="00AE0B6B"/>
    <w:rPr>
      <w:color w:val="0563C1" w:themeColor="hyperlink"/>
      <w:u w:val="single"/>
    </w:rPr>
  </w:style>
  <w:style w:type="character" w:customStyle="1" w:styleId="ListParagraphChar">
    <w:name w:val="List Paragraph Char"/>
    <w:aliases w:val="Table of contents numbered Char,List Paragraph21 Char,List Paragraph2 Char,ERP-List Paragraph Char,List Paragraph11 Char,Numbering Char,Bullet EY Char,Sąrašo pastraipa1 Char,List Paragraph Red Char,List Paragraph111 Char,Lentele Char"/>
    <w:link w:val="ListParagraph"/>
    <w:uiPriority w:val="34"/>
    <w:qFormat/>
    <w:locked/>
    <w:rsid w:val="001F0DBB"/>
    <w:rPr>
      <w:rFonts w:ascii="Times New Roman" w:hAnsi="Times New Roman"/>
    </w:rPr>
  </w:style>
  <w:style w:type="character" w:styleId="CommentReference">
    <w:name w:val="annotation reference"/>
    <w:basedOn w:val="DefaultParagraphFont"/>
    <w:uiPriority w:val="99"/>
    <w:semiHidden/>
    <w:unhideWhenUsed/>
    <w:rsid w:val="0060684E"/>
    <w:rPr>
      <w:sz w:val="16"/>
      <w:szCs w:val="16"/>
    </w:rPr>
  </w:style>
  <w:style w:type="paragraph" w:styleId="CommentText">
    <w:name w:val="annotation text"/>
    <w:basedOn w:val="Normal"/>
    <w:link w:val="CommentTextChar"/>
    <w:uiPriority w:val="99"/>
    <w:unhideWhenUsed/>
    <w:rsid w:val="0060684E"/>
    <w:rPr>
      <w:sz w:val="20"/>
      <w:szCs w:val="20"/>
    </w:rPr>
  </w:style>
  <w:style w:type="character" w:customStyle="1" w:styleId="CommentTextChar">
    <w:name w:val="Comment Text Char"/>
    <w:basedOn w:val="DefaultParagraphFont"/>
    <w:link w:val="CommentText"/>
    <w:uiPriority w:val="99"/>
    <w:rsid w:val="0060684E"/>
    <w:rPr>
      <w:rFonts w:ascii="Times New Roman" w:hAnsi="Times New Roman"/>
      <w:sz w:val="20"/>
      <w:szCs w:val="20"/>
    </w:rPr>
  </w:style>
  <w:style w:type="paragraph" w:styleId="CommentSubject">
    <w:name w:val="annotation subject"/>
    <w:basedOn w:val="CommentText"/>
    <w:next w:val="CommentText"/>
    <w:link w:val="CommentSubjectChar"/>
    <w:unhideWhenUsed/>
    <w:rsid w:val="0060684E"/>
    <w:rPr>
      <w:b/>
      <w:bCs/>
    </w:rPr>
  </w:style>
  <w:style w:type="character" w:customStyle="1" w:styleId="CommentSubjectChar">
    <w:name w:val="Comment Subject Char"/>
    <w:basedOn w:val="CommentTextChar"/>
    <w:link w:val="CommentSubject"/>
    <w:rsid w:val="0060684E"/>
    <w:rPr>
      <w:rFonts w:ascii="Times New Roman" w:hAnsi="Times New Roman"/>
      <w:b/>
      <w:bCs/>
      <w:sz w:val="20"/>
      <w:szCs w:val="20"/>
    </w:rPr>
  </w:style>
  <w:style w:type="paragraph" w:styleId="Caption">
    <w:name w:val="caption"/>
    <w:aliases w:val="Table caption,paveikslas,Paveikslo pavadinimas,lentelių turinys"/>
    <w:basedOn w:val="Normal"/>
    <w:next w:val="Normal"/>
    <w:link w:val="CaptionChar"/>
    <w:uiPriority w:val="35"/>
    <w:unhideWhenUsed/>
    <w:qFormat/>
    <w:rsid w:val="00095C84"/>
    <w:pPr>
      <w:spacing w:before="0" w:after="200" w:line="276" w:lineRule="auto"/>
      <w:ind w:firstLine="709"/>
      <w:jc w:val="left"/>
    </w:pPr>
    <w:rPr>
      <w:rFonts w:eastAsiaTheme="minorEastAsia"/>
      <w:b/>
      <w:bCs/>
      <w:noProof/>
      <w:color w:val="4472C4" w:themeColor="accent1"/>
      <w:sz w:val="24"/>
      <w:szCs w:val="18"/>
    </w:rPr>
  </w:style>
  <w:style w:type="character" w:customStyle="1" w:styleId="CaptionChar">
    <w:name w:val="Caption Char"/>
    <w:aliases w:val="Table caption Char,paveikslas Char,Paveikslo pavadinimas Char,lentelių turinys Char"/>
    <w:link w:val="Caption"/>
    <w:uiPriority w:val="35"/>
    <w:rsid w:val="00095C84"/>
    <w:rPr>
      <w:rFonts w:ascii="Times New Roman" w:eastAsiaTheme="minorEastAsia" w:hAnsi="Times New Roman"/>
      <w:b/>
      <w:bCs/>
      <w:noProof/>
      <w:color w:val="4472C4" w:themeColor="accent1"/>
      <w:sz w:val="24"/>
      <w:szCs w:val="18"/>
    </w:rPr>
  </w:style>
  <w:style w:type="paragraph" w:customStyle="1" w:styleId="Default">
    <w:name w:val="Default"/>
    <w:rsid w:val="00D31F3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kstas">
    <w:name w:val="Tekstas"/>
    <w:basedOn w:val="Normal"/>
    <w:link w:val="TekstasChar"/>
    <w:qFormat/>
    <w:rsid w:val="00D31F3C"/>
    <w:pPr>
      <w:spacing w:before="0" w:after="200" w:line="276" w:lineRule="auto"/>
      <w:ind w:right="284" w:firstLine="0"/>
      <w:jc w:val="left"/>
    </w:pPr>
    <w:rPr>
      <w:rFonts w:eastAsia="Times New Roman" w:cs="Times New Roman"/>
      <w:sz w:val="24"/>
      <w:szCs w:val="24"/>
      <w:lang w:eastAsia="lt-LT"/>
    </w:rPr>
  </w:style>
  <w:style w:type="character" w:customStyle="1" w:styleId="TekstasChar">
    <w:name w:val="Tekstas Char"/>
    <w:link w:val="Tekstas"/>
    <w:rsid w:val="00D31F3C"/>
    <w:rPr>
      <w:rFonts w:ascii="Times New Roman" w:eastAsia="Times New Roman" w:hAnsi="Times New Roman" w:cs="Times New Roman"/>
      <w:sz w:val="24"/>
      <w:szCs w:val="24"/>
      <w:lang w:eastAsia="lt-LT"/>
    </w:rPr>
  </w:style>
  <w:style w:type="character" w:customStyle="1" w:styleId="Heading4Char">
    <w:name w:val="Heading 4 Char"/>
    <w:basedOn w:val="DefaultParagraphFont"/>
    <w:link w:val="Heading4"/>
    <w:uiPriority w:val="9"/>
    <w:rsid w:val="009F143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43024A"/>
    <w:rPr>
      <w:rFonts w:ascii="Times New Roman" w:eastAsiaTheme="majorEastAsia" w:hAnsi="Times New Roman" w:cstheme="majorBidi"/>
      <w:i/>
    </w:rPr>
  </w:style>
  <w:style w:type="character" w:customStyle="1" w:styleId="Heading6Char">
    <w:name w:val="Heading 6 Char"/>
    <w:basedOn w:val="DefaultParagraphFont"/>
    <w:link w:val="Heading6"/>
    <w:uiPriority w:val="9"/>
    <w:rsid w:val="0043024A"/>
    <w:rPr>
      <w:rFonts w:asciiTheme="majorHAnsi" w:eastAsiaTheme="majorEastAsia" w:hAnsiTheme="majorHAnsi" w:cstheme="majorBidi"/>
      <w:i/>
      <w:iCs/>
      <w:color w:val="1F3763" w:themeColor="accent1" w:themeShade="7F"/>
      <w:sz w:val="24"/>
      <w:szCs w:val="24"/>
    </w:rPr>
  </w:style>
  <w:style w:type="character" w:customStyle="1" w:styleId="Heading7Char">
    <w:name w:val="Heading 7 Char"/>
    <w:basedOn w:val="DefaultParagraphFont"/>
    <w:link w:val="Heading7"/>
    <w:uiPriority w:val="9"/>
    <w:rsid w:val="0043024A"/>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rsid w:val="0043024A"/>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43024A"/>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43024A"/>
    <w:rPr>
      <w:b/>
      <w:bCs/>
    </w:rPr>
  </w:style>
  <w:style w:type="paragraph" w:styleId="NormalWeb">
    <w:name w:val="Normal (Web)"/>
    <w:basedOn w:val="Normal"/>
    <w:uiPriority w:val="99"/>
    <w:rsid w:val="0043024A"/>
    <w:pPr>
      <w:spacing w:before="100" w:beforeAutospacing="1" w:after="100" w:afterAutospacing="1" w:line="276" w:lineRule="auto"/>
      <w:ind w:firstLine="0"/>
      <w:jc w:val="left"/>
    </w:pPr>
    <w:rPr>
      <w:rFonts w:ascii="Verdana" w:eastAsia="Times New Roman" w:hAnsi="Verdana" w:cs="Times New Roman"/>
      <w:color w:val="333333"/>
      <w:sz w:val="11"/>
      <w:szCs w:val="11"/>
      <w:lang w:eastAsia="lt-LT"/>
    </w:rPr>
  </w:style>
  <w:style w:type="character" w:styleId="Emphasis">
    <w:name w:val="Emphasis"/>
    <w:basedOn w:val="DefaultParagraphFont"/>
    <w:uiPriority w:val="20"/>
    <w:qFormat/>
    <w:rsid w:val="0043024A"/>
    <w:rPr>
      <w:i/>
      <w:iCs/>
    </w:rPr>
  </w:style>
  <w:style w:type="paragraph" w:styleId="Header">
    <w:name w:val="header"/>
    <w:basedOn w:val="Normal"/>
    <w:link w:val="HeaderChar"/>
    <w:uiPriority w:val="99"/>
    <w:unhideWhenUsed/>
    <w:rsid w:val="0043024A"/>
    <w:pPr>
      <w:tabs>
        <w:tab w:val="center" w:pos="4819"/>
        <w:tab w:val="right" w:pos="9638"/>
      </w:tabs>
      <w:spacing w:before="0" w:after="0"/>
    </w:pPr>
  </w:style>
  <w:style w:type="character" w:customStyle="1" w:styleId="HeaderChar">
    <w:name w:val="Header Char"/>
    <w:basedOn w:val="DefaultParagraphFont"/>
    <w:link w:val="Header"/>
    <w:uiPriority w:val="99"/>
    <w:rsid w:val="0043024A"/>
    <w:rPr>
      <w:rFonts w:ascii="Times New Roman" w:hAnsi="Times New Roman"/>
    </w:rPr>
  </w:style>
  <w:style w:type="paragraph" w:styleId="Footer">
    <w:name w:val="footer"/>
    <w:basedOn w:val="Normal"/>
    <w:link w:val="FooterChar"/>
    <w:uiPriority w:val="99"/>
    <w:unhideWhenUsed/>
    <w:rsid w:val="0043024A"/>
    <w:pPr>
      <w:tabs>
        <w:tab w:val="center" w:pos="4819"/>
        <w:tab w:val="right" w:pos="9638"/>
      </w:tabs>
      <w:spacing w:before="0" w:after="0"/>
    </w:pPr>
  </w:style>
  <w:style w:type="character" w:customStyle="1" w:styleId="FooterChar">
    <w:name w:val="Footer Char"/>
    <w:basedOn w:val="DefaultParagraphFont"/>
    <w:link w:val="Footer"/>
    <w:uiPriority w:val="99"/>
    <w:rsid w:val="0043024A"/>
    <w:rPr>
      <w:rFonts w:ascii="Times New Roman" w:hAnsi="Times New Roman"/>
    </w:rPr>
  </w:style>
  <w:style w:type="character" w:styleId="PageNumber">
    <w:name w:val="page number"/>
    <w:basedOn w:val="DefaultParagraphFont"/>
    <w:uiPriority w:val="99"/>
    <w:semiHidden/>
    <w:unhideWhenUsed/>
    <w:rsid w:val="0043024A"/>
  </w:style>
  <w:style w:type="paragraph" w:styleId="TOC1">
    <w:name w:val="toc 1"/>
    <w:basedOn w:val="Normal"/>
    <w:next w:val="Normal"/>
    <w:autoRedefine/>
    <w:uiPriority w:val="39"/>
    <w:unhideWhenUsed/>
    <w:rsid w:val="0043024A"/>
    <w:pPr>
      <w:tabs>
        <w:tab w:val="left" w:pos="851"/>
        <w:tab w:val="left" w:pos="1418"/>
        <w:tab w:val="right" w:leader="dot" w:pos="9923"/>
      </w:tabs>
      <w:spacing w:before="0" w:after="200"/>
      <w:ind w:firstLine="0"/>
    </w:pPr>
    <w:rPr>
      <w:rFonts w:eastAsiaTheme="minorEastAsia" w:cs="Times New Roman"/>
      <w:b/>
      <w:bCs/>
      <w:noProof/>
      <w:sz w:val="24"/>
      <w:szCs w:val="24"/>
      <w:lang w:eastAsia="lt-LT"/>
    </w:rPr>
  </w:style>
  <w:style w:type="paragraph" w:styleId="TOC2">
    <w:name w:val="toc 2"/>
    <w:basedOn w:val="Normal"/>
    <w:next w:val="Normal"/>
    <w:autoRedefine/>
    <w:uiPriority w:val="39"/>
    <w:unhideWhenUsed/>
    <w:rsid w:val="0043024A"/>
    <w:pPr>
      <w:tabs>
        <w:tab w:val="left" w:pos="851"/>
        <w:tab w:val="right" w:leader="dot" w:pos="9923"/>
      </w:tabs>
      <w:spacing w:before="0" w:after="200"/>
      <w:ind w:firstLine="0"/>
    </w:pPr>
    <w:rPr>
      <w:rFonts w:eastAsiaTheme="minorEastAsia"/>
      <w:sz w:val="24"/>
      <w:szCs w:val="24"/>
    </w:rPr>
  </w:style>
  <w:style w:type="paragraph" w:styleId="TOC3">
    <w:name w:val="toc 3"/>
    <w:basedOn w:val="Normal"/>
    <w:next w:val="Normal"/>
    <w:autoRedefine/>
    <w:uiPriority w:val="39"/>
    <w:unhideWhenUsed/>
    <w:rsid w:val="0043024A"/>
    <w:pPr>
      <w:tabs>
        <w:tab w:val="left" w:pos="851"/>
        <w:tab w:val="right" w:leader="dot" w:pos="9923"/>
      </w:tabs>
      <w:spacing w:before="0" w:after="200"/>
      <w:ind w:right="-46" w:firstLine="0"/>
      <w:jc w:val="left"/>
    </w:pPr>
    <w:rPr>
      <w:rFonts w:eastAsiaTheme="minorEastAsia"/>
      <w:bCs/>
      <w:noProof/>
      <w:sz w:val="24"/>
      <w:szCs w:val="24"/>
    </w:rPr>
  </w:style>
  <w:style w:type="paragraph" w:styleId="TOC4">
    <w:name w:val="toc 4"/>
    <w:basedOn w:val="Normal"/>
    <w:next w:val="Normal"/>
    <w:autoRedefine/>
    <w:uiPriority w:val="39"/>
    <w:unhideWhenUsed/>
    <w:rsid w:val="0043024A"/>
    <w:pPr>
      <w:tabs>
        <w:tab w:val="left" w:pos="0"/>
        <w:tab w:val="right" w:leader="dot" w:pos="9923"/>
      </w:tabs>
      <w:spacing w:before="0" w:after="200"/>
      <w:ind w:right="141" w:firstLine="0"/>
      <w:jc w:val="center"/>
    </w:pPr>
    <w:rPr>
      <w:rFonts w:eastAsiaTheme="minorEastAsia"/>
      <w:sz w:val="24"/>
      <w:szCs w:val="24"/>
    </w:rPr>
  </w:style>
  <w:style w:type="paragraph" w:styleId="TOC5">
    <w:name w:val="toc 5"/>
    <w:basedOn w:val="Normal"/>
    <w:next w:val="Normal"/>
    <w:autoRedefine/>
    <w:uiPriority w:val="39"/>
    <w:unhideWhenUsed/>
    <w:rsid w:val="0043024A"/>
    <w:pPr>
      <w:tabs>
        <w:tab w:val="left" w:pos="993"/>
        <w:tab w:val="right" w:leader="dot" w:pos="9923"/>
      </w:tabs>
      <w:spacing w:before="0" w:after="200" w:line="276" w:lineRule="auto"/>
      <w:ind w:firstLine="0"/>
      <w:jc w:val="left"/>
    </w:pPr>
    <w:rPr>
      <w:rFonts w:eastAsiaTheme="minorEastAsia"/>
      <w:sz w:val="24"/>
      <w:szCs w:val="24"/>
    </w:rPr>
  </w:style>
  <w:style w:type="paragraph" w:styleId="TOC6">
    <w:name w:val="toc 6"/>
    <w:basedOn w:val="Normal"/>
    <w:next w:val="Normal"/>
    <w:autoRedefine/>
    <w:uiPriority w:val="39"/>
    <w:unhideWhenUsed/>
    <w:rsid w:val="0043024A"/>
    <w:pPr>
      <w:spacing w:before="0" w:after="200" w:line="276" w:lineRule="auto"/>
      <w:ind w:left="1200" w:firstLine="0"/>
      <w:jc w:val="left"/>
    </w:pPr>
    <w:rPr>
      <w:rFonts w:eastAsiaTheme="minorEastAsia"/>
      <w:sz w:val="24"/>
      <w:szCs w:val="24"/>
    </w:rPr>
  </w:style>
  <w:style w:type="paragraph" w:styleId="TOC7">
    <w:name w:val="toc 7"/>
    <w:basedOn w:val="Normal"/>
    <w:next w:val="Normal"/>
    <w:autoRedefine/>
    <w:uiPriority w:val="39"/>
    <w:unhideWhenUsed/>
    <w:rsid w:val="0043024A"/>
    <w:pPr>
      <w:spacing w:before="0" w:after="200" w:line="276" w:lineRule="auto"/>
      <w:ind w:left="1440" w:firstLine="0"/>
      <w:jc w:val="left"/>
    </w:pPr>
    <w:rPr>
      <w:rFonts w:eastAsiaTheme="minorEastAsia"/>
      <w:sz w:val="24"/>
      <w:szCs w:val="24"/>
    </w:rPr>
  </w:style>
  <w:style w:type="paragraph" w:styleId="TOC8">
    <w:name w:val="toc 8"/>
    <w:basedOn w:val="Normal"/>
    <w:next w:val="Normal"/>
    <w:autoRedefine/>
    <w:uiPriority w:val="39"/>
    <w:unhideWhenUsed/>
    <w:rsid w:val="0043024A"/>
    <w:pPr>
      <w:spacing w:before="0" w:after="200" w:line="276" w:lineRule="auto"/>
      <w:ind w:left="1680" w:firstLine="0"/>
      <w:jc w:val="left"/>
    </w:pPr>
    <w:rPr>
      <w:rFonts w:eastAsiaTheme="minorEastAsia"/>
      <w:sz w:val="24"/>
      <w:szCs w:val="24"/>
    </w:rPr>
  </w:style>
  <w:style w:type="paragraph" w:styleId="TOC9">
    <w:name w:val="toc 9"/>
    <w:basedOn w:val="Normal"/>
    <w:next w:val="Normal"/>
    <w:autoRedefine/>
    <w:uiPriority w:val="39"/>
    <w:unhideWhenUsed/>
    <w:rsid w:val="0043024A"/>
    <w:pPr>
      <w:spacing w:before="0" w:after="200" w:line="276" w:lineRule="auto"/>
      <w:ind w:left="1920" w:firstLine="0"/>
      <w:jc w:val="left"/>
    </w:pPr>
    <w:rPr>
      <w:rFonts w:eastAsiaTheme="minorEastAsia"/>
      <w:sz w:val="24"/>
      <w:szCs w:val="24"/>
    </w:rPr>
  </w:style>
  <w:style w:type="paragraph" w:customStyle="1" w:styleId="DiagramaDiagramaDiagramaCharCharDiagramaCharDiagrama">
    <w:name w:val="Diagrama Diagrama Diagrama Char Char Diagrama Char Diagrama"/>
    <w:basedOn w:val="Normal"/>
    <w:rsid w:val="0043024A"/>
    <w:pPr>
      <w:spacing w:before="0" w:after="160" w:line="240" w:lineRule="exact"/>
      <w:ind w:firstLine="0"/>
      <w:jc w:val="left"/>
    </w:pPr>
    <w:rPr>
      <w:rFonts w:ascii="Tahoma" w:eastAsia="Times New Roman" w:hAnsi="Tahoma" w:cs="Times New Roman"/>
      <w:sz w:val="20"/>
      <w:szCs w:val="20"/>
    </w:rPr>
  </w:style>
  <w:style w:type="paragraph" w:styleId="BodyText2">
    <w:name w:val="Body Text 2"/>
    <w:basedOn w:val="Normal"/>
    <w:link w:val="BodyText2Char"/>
    <w:rsid w:val="0043024A"/>
    <w:pPr>
      <w:tabs>
        <w:tab w:val="num" w:pos="0"/>
      </w:tabs>
      <w:spacing w:before="0" w:after="200" w:line="276" w:lineRule="auto"/>
      <w:ind w:firstLine="0"/>
      <w:jc w:val="left"/>
    </w:pPr>
    <w:rPr>
      <w:rFonts w:eastAsia="Times New Roman" w:cs="Times New Roman"/>
      <w:sz w:val="24"/>
      <w:szCs w:val="24"/>
    </w:rPr>
  </w:style>
  <w:style w:type="character" w:customStyle="1" w:styleId="BodyText2Char">
    <w:name w:val="Body Text 2 Char"/>
    <w:basedOn w:val="DefaultParagraphFont"/>
    <w:link w:val="BodyText2"/>
    <w:rsid w:val="0043024A"/>
    <w:rPr>
      <w:rFonts w:ascii="Times New Roman" w:eastAsia="Times New Roman" w:hAnsi="Times New Roman" w:cs="Times New Roman"/>
      <w:sz w:val="24"/>
      <w:szCs w:val="24"/>
    </w:rPr>
  </w:style>
  <w:style w:type="paragraph" w:customStyle="1" w:styleId="a">
    <w:name w:val="&amp;"/>
    <w:basedOn w:val="Normal"/>
    <w:rsid w:val="0043024A"/>
    <w:pPr>
      <w:spacing w:before="240" w:after="200" w:line="276" w:lineRule="auto"/>
      <w:ind w:firstLine="0"/>
      <w:jc w:val="left"/>
    </w:pPr>
    <w:rPr>
      <w:rFonts w:eastAsia="Times New Roman" w:cs="Times New Roman"/>
      <w:sz w:val="24"/>
      <w:szCs w:val="20"/>
      <w:lang w:val="en-GB" w:eastAsia="lt-LT"/>
    </w:rPr>
  </w:style>
  <w:style w:type="paragraph" w:styleId="BodyText">
    <w:name w:val="Body Text"/>
    <w:aliases w:val="bt,b,Body,by"/>
    <w:basedOn w:val="Normal"/>
    <w:link w:val="BodyTextChar"/>
    <w:rsid w:val="0043024A"/>
    <w:pPr>
      <w:widowControl w:val="0"/>
      <w:autoSpaceDE w:val="0"/>
      <w:autoSpaceDN w:val="0"/>
      <w:adjustRightInd w:val="0"/>
      <w:spacing w:before="0" w:line="276" w:lineRule="auto"/>
      <w:ind w:firstLine="0"/>
      <w:jc w:val="left"/>
    </w:pPr>
    <w:rPr>
      <w:rFonts w:eastAsia="Times New Roman" w:cs="Times New Roman"/>
      <w:sz w:val="24"/>
      <w:szCs w:val="24"/>
      <w:lang w:val="en-GB"/>
    </w:rPr>
  </w:style>
  <w:style w:type="character" w:customStyle="1" w:styleId="BodyTextChar">
    <w:name w:val="Body Text Char"/>
    <w:aliases w:val="bt Char,b Char,Body Char,by Char"/>
    <w:basedOn w:val="DefaultParagraphFont"/>
    <w:link w:val="BodyText"/>
    <w:rsid w:val="0043024A"/>
    <w:rPr>
      <w:rFonts w:ascii="Times New Roman" w:eastAsia="Times New Roman" w:hAnsi="Times New Roman" w:cs="Times New Roman"/>
      <w:sz w:val="24"/>
      <w:szCs w:val="24"/>
      <w:lang w:val="en-GB"/>
    </w:rPr>
  </w:style>
  <w:style w:type="character" w:customStyle="1" w:styleId="CHARACTER---Bolder">
    <w:name w:val="CHARACTER --- Bolder"/>
    <w:basedOn w:val="DefaultParagraphFont"/>
    <w:rsid w:val="0043024A"/>
    <w:rPr>
      <w:b/>
      <w:bCs/>
    </w:rPr>
  </w:style>
  <w:style w:type="character" w:customStyle="1" w:styleId="hps">
    <w:name w:val="hps"/>
    <w:rsid w:val="0043024A"/>
  </w:style>
  <w:style w:type="paragraph" w:customStyle="1" w:styleId="ColorfulList-Accent11">
    <w:name w:val="Colorful List - Accent 11"/>
    <w:basedOn w:val="Normal"/>
    <w:qFormat/>
    <w:rsid w:val="0043024A"/>
    <w:pPr>
      <w:spacing w:before="0" w:after="200" w:line="276" w:lineRule="auto"/>
      <w:ind w:left="720" w:firstLine="0"/>
      <w:jc w:val="left"/>
    </w:pPr>
    <w:rPr>
      <w:rFonts w:ascii="Calibri" w:eastAsia="Times New Roman" w:hAnsi="Calibri" w:cs="Times New Roman"/>
    </w:rPr>
  </w:style>
  <w:style w:type="paragraph" w:styleId="EndnoteText">
    <w:name w:val="endnote text"/>
    <w:basedOn w:val="Normal"/>
    <w:link w:val="EndnoteTextChar"/>
    <w:uiPriority w:val="99"/>
    <w:semiHidden/>
    <w:unhideWhenUsed/>
    <w:rsid w:val="0043024A"/>
    <w:pPr>
      <w:spacing w:before="0" w:after="200" w:line="276" w:lineRule="auto"/>
      <w:ind w:firstLine="0"/>
      <w:jc w:val="left"/>
    </w:pPr>
    <w:rPr>
      <w:rFonts w:eastAsiaTheme="minorEastAsia"/>
      <w:sz w:val="20"/>
      <w:szCs w:val="20"/>
    </w:rPr>
  </w:style>
  <w:style w:type="character" w:customStyle="1" w:styleId="EndnoteTextChar">
    <w:name w:val="Endnote Text Char"/>
    <w:basedOn w:val="DefaultParagraphFont"/>
    <w:link w:val="EndnoteText"/>
    <w:uiPriority w:val="99"/>
    <w:semiHidden/>
    <w:rsid w:val="0043024A"/>
    <w:rPr>
      <w:rFonts w:ascii="Times New Roman" w:eastAsiaTheme="minorEastAsia" w:hAnsi="Times New Roman"/>
      <w:sz w:val="20"/>
      <w:szCs w:val="20"/>
    </w:rPr>
  </w:style>
  <w:style w:type="character" w:styleId="EndnoteReference">
    <w:name w:val="endnote reference"/>
    <w:basedOn w:val="DefaultParagraphFont"/>
    <w:uiPriority w:val="99"/>
    <w:semiHidden/>
    <w:unhideWhenUsed/>
    <w:rsid w:val="0043024A"/>
    <w:rPr>
      <w:vertAlign w:val="superscript"/>
    </w:rPr>
  </w:style>
  <w:style w:type="paragraph" w:styleId="Revision">
    <w:name w:val="Revision"/>
    <w:hidden/>
    <w:uiPriority w:val="99"/>
    <w:semiHidden/>
    <w:rsid w:val="0043024A"/>
    <w:pPr>
      <w:spacing w:after="0" w:line="240" w:lineRule="auto"/>
    </w:pPr>
    <w:rPr>
      <w:rFonts w:ascii="Times New Roman" w:eastAsiaTheme="minorEastAsia" w:hAnsi="Times New Roman"/>
      <w:sz w:val="24"/>
      <w:szCs w:val="24"/>
      <w:lang w:val="en-US"/>
    </w:rPr>
  </w:style>
  <w:style w:type="character" w:styleId="FollowedHyperlink">
    <w:name w:val="FollowedHyperlink"/>
    <w:basedOn w:val="DefaultParagraphFont"/>
    <w:uiPriority w:val="99"/>
    <w:semiHidden/>
    <w:unhideWhenUsed/>
    <w:rsid w:val="0043024A"/>
    <w:rPr>
      <w:color w:val="954F72" w:themeColor="followedHyperlink"/>
      <w:u w:val="single"/>
    </w:rPr>
  </w:style>
  <w:style w:type="paragraph" w:styleId="NoSpacing">
    <w:name w:val="No Spacing"/>
    <w:basedOn w:val="Heading1"/>
    <w:uiPriority w:val="1"/>
    <w:qFormat/>
    <w:rsid w:val="0043024A"/>
    <w:pPr>
      <w:pageBreakBefore/>
      <w:tabs>
        <w:tab w:val="left" w:pos="0"/>
        <w:tab w:val="left" w:pos="630"/>
      </w:tabs>
      <w:spacing w:before="0" w:after="200"/>
      <w:ind w:left="0" w:firstLine="0"/>
    </w:pPr>
    <w:rPr>
      <w:rFonts w:cs="Times New Roman"/>
      <w:b w:val="0"/>
      <w:bCs/>
      <w:sz w:val="36"/>
    </w:rPr>
  </w:style>
  <w:style w:type="character" w:styleId="BookTitle">
    <w:name w:val="Book Title"/>
    <w:basedOn w:val="DefaultParagraphFont"/>
    <w:uiPriority w:val="33"/>
    <w:qFormat/>
    <w:rsid w:val="0043024A"/>
    <w:rPr>
      <w:b/>
      <w:bCs/>
      <w:smallCaps/>
      <w:spacing w:val="5"/>
    </w:rPr>
  </w:style>
  <w:style w:type="paragraph" w:styleId="Index1">
    <w:name w:val="index 1"/>
    <w:basedOn w:val="Normal"/>
    <w:next w:val="Normal"/>
    <w:autoRedefine/>
    <w:uiPriority w:val="99"/>
    <w:unhideWhenUsed/>
    <w:rsid w:val="0043024A"/>
    <w:pPr>
      <w:spacing w:before="0" w:after="200" w:line="276" w:lineRule="auto"/>
      <w:ind w:left="240" w:hanging="240"/>
      <w:jc w:val="left"/>
    </w:pPr>
    <w:rPr>
      <w:rFonts w:eastAsiaTheme="minorEastAsia"/>
      <w:sz w:val="24"/>
      <w:szCs w:val="24"/>
    </w:rPr>
  </w:style>
  <w:style w:type="paragraph" w:styleId="Index2">
    <w:name w:val="index 2"/>
    <w:basedOn w:val="Normal"/>
    <w:next w:val="Normal"/>
    <w:autoRedefine/>
    <w:uiPriority w:val="99"/>
    <w:unhideWhenUsed/>
    <w:rsid w:val="0043024A"/>
    <w:pPr>
      <w:spacing w:before="0" w:after="200" w:line="276" w:lineRule="auto"/>
      <w:ind w:left="480" w:hanging="240"/>
      <w:jc w:val="left"/>
    </w:pPr>
    <w:rPr>
      <w:rFonts w:eastAsiaTheme="minorEastAsia"/>
      <w:sz w:val="24"/>
      <w:szCs w:val="24"/>
    </w:rPr>
  </w:style>
  <w:style w:type="paragraph" w:styleId="Index3">
    <w:name w:val="index 3"/>
    <w:basedOn w:val="Normal"/>
    <w:next w:val="Normal"/>
    <w:autoRedefine/>
    <w:uiPriority w:val="99"/>
    <w:unhideWhenUsed/>
    <w:rsid w:val="0043024A"/>
    <w:pPr>
      <w:spacing w:before="0" w:after="200" w:line="276" w:lineRule="auto"/>
      <w:ind w:left="720" w:hanging="240"/>
      <w:jc w:val="left"/>
    </w:pPr>
    <w:rPr>
      <w:rFonts w:eastAsiaTheme="minorEastAsia"/>
      <w:sz w:val="24"/>
      <w:szCs w:val="24"/>
    </w:rPr>
  </w:style>
  <w:style w:type="paragraph" w:styleId="Index4">
    <w:name w:val="index 4"/>
    <w:basedOn w:val="Normal"/>
    <w:next w:val="Normal"/>
    <w:autoRedefine/>
    <w:uiPriority w:val="99"/>
    <w:unhideWhenUsed/>
    <w:rsid w:val="0043024A"/>
    <w:pPr>
      <w:spacing w:before="0" w:after="200" w:line="276" w:lineRule="auto"/>
      <w:ind w:left="960" w:hanging="240"/>
      <w:jc w:val="left"/>
    </w:pPr>
    <w:rPr>
      <w:rFonts w:eastAsiaTheme="minorEastAsia"/>
      <w:sz w:val="24"/>
      <w:szCs w:val="24"/>
    </w:rPr>
  </w:style>
  <w:style w:type="paragraph" w:styleId="Index5">
    <w:name w:val="index 5"/>
    <w:basedOn w:val="Normal"/>
    <w:next w:val="Normal"/>
    <w:autoRedefine/>
    <w:uiPriority w:val="99"/>
    <w:unhideWhenUsed/>
    <w:rsid w:val="0043024A"/>
    <w:pPr>
      <w:spacing w:before="0" w:after="200" w:line="276" w:lineRule="auto"/>
      <w:ind w:left="1200" w:hanging="240"/>
      <w:jc w:val="left"/>
    </w:pPr>
    <w:rPr>
      <w:rFonts w:eastAsiaTheme="minorEastAsia"/>
      <w:sz w:val="24"/>
      <w:szCs w:val="24"/>
    </w:rPr>
  </w:style>
  <w:style w:type="paragraph" w:styleId="Index6">
    <w:name w:val="index 6"/>
    <w:basedOn w:val="Normal"/>
    <w:next w:val="Normal"/>
    <w:autoRedefine/>
    <w:uiPriority w:val="99"/>
    <w:unhideWhenUsed/>
    <w:rsid w:val="0043024A"/>
    <w:pPr>
      <w:spacing w:before="0" w:after="200" w:line="276" w:lineRule="auto"/>
      <w:ind w:left="1440" w:hanging="240"/>
      <w:jc w:val="left"/>
    </w:pPr>
    <w:rPr>
      <w:rFonts w:eastAsiaTheme="minorEastAsia"/>
      <w:sz w:val="24"/>
      <w:szCs w:val="24"/>
    </w:rPr>
  </w:style>
  <w:style w:type="paragraph" w:styleId="Index7">
    <w:name w:val="index 7"/>
    <w:basedOn w:val="Normal"/>
    <w:next w:val="Normal"/>
    <w:autoRedefine/>
    <w:uiPriority w:val="99"/>
    <w:unhideWhenUsed/>
    <w:rsid w:val="0043024A"/>
    <w:pPr>
      <w:spacing w:before="0" w:after="200" w:line="276" w:lineRule="auto"/>
      <w:ind w:left="1680" w:hanging="240"/>
      <w:jc w:val="left"/>
    </w:pPr>
    <w:rPr>
      <w:rFonts w:eastAsiaTheme="minorEastAsia"/>
      <w:sz w:val="24"/>
      <w:szCs w:val="24"/>
    </w:rPr>
  </w:style>
  <w:style w:type="paragraph" w:styleId="Index8">
    <w:name w:val="index 8"/>
    <w:basedOn w:val="Normal"/>
    <w:next w:val="Normal"/>
    <w:autoRedefine/>
    <w:uiPriority w:val="99"/>
    <w:unhideWhenUsed/>
    <w:rsid w:val="0043024A"/>
    <w:pPr>
      <w:spacing w:before="0" w:after="200" w:line="276" w:lineRule="auto"/>
      <w:ind w:left="1920" w:hanging="240"/>
      <w:jc w:val="left"/>
    </w:pPr>
    <w:rPr>
      <w:rFonts w:eastAsiaTheme="minorEastAsia"/>
      <w:sz w:val="24"/>
      <w:szCs w:val="24"/>
    </w:rPr>
  </w:style>
  <w:style w:type="paragraph" w:styleId="Index9">
    <w:name w:val="index 9"/>
    <w:basedOn w:val="Normal"/>
    <w:next w:val="Normal"/>
    <w:autoRedefine/>
    <w:uiPriority w:val="99"/>
    <w:unhideWhenUsed/>
    <w:rsid w:val="0043024A"/>
    <w:pPr>
      <w:spacing w:before="0" w:after="200" w:line="276" w:lineRule="auto"/>
      <w:ind w:left="2160" w:hanging="240"/>
      <w:jc w:val="left"/>
    </w:pPr>
    <w:rPr>
      <w:rFonts w:eastAsiaTheme="minorEastAsia"/>
      <w:sz w:val="24"/>
      <w:szCs w:val="24"/>
    </w:rPr>
  </w:style>
  <w:style w:type="paragraph" w:styleId="IndexHeading">
    <w:name w:val="index heading"/>
    <w:basedOn w:val="Normal"/>
    <w:next w:val="Index1"/>
    <w:uiPriority w:val="99"/>
    <w:unhideWhenUsed/>
    <w:rsid w:val="0043024A"/>
    <w:pPr>
      <w:spacing w:before="0" w:after="200" w:line="276" w:lineRule="auto"/>
      <w:ind w:firstLine="0"/>
      <w:jc w:val="left"/>
    </w:pPr>
    <w:rPr>
      <w:rFonts w:eastAsiaTheme="minorEastAsia"/>
      <w:sz w:val="24"/>
      <w:szCs w:val="24"/>
    </w:rPr>
  </w:style>
  <w:style w:type="paragraph" w:styleId="TableofFigures">
    <w:name w:val="table of figures"/>
    <w:basedOn w:val="Normal"/>
    <w:next w:val="Normal"/>
    <w:uiPriority w:val="99"/>
    <w:unhideWhenUsed/>
    <w:rsid w:val="0043024A"/>
    <w:pPr>
      <w:spacing w:before="0" w:after="200" w:line="276" w:lineRule="auto"/>
      <w:ind w:left="480" w:hanging="480"/>
      <w:jc w:val="left"/>
    </w:pPr>
    <w:rPr>
      <w:rFonts w:eastAsiaTheme="minorEastAsia"/>
      <w:sz w:val="24"/>
      <w:szCs w:val="24"/>
    </w:rPr>
  </w:style>
  <w:style w:type="character" w:customStyle="1" w:styleId="Heading4Char1">
    <w:name w:val="Heading 4 Char1"/>
    <w:basedOn w:val="DefaultParagraphFont"/>
    <w:uiPriority w:val="9"/>
    <w:rsid w:val="0043024A"/>
    <w:rPr>
      <w:rFonts w:ascii="Times New Roman" w:eastAsiaTheme="majorEastAsia" w:hAnsi="Times New Roman" w:cs="Times New Roman"/>
      <w:b/>
      <w:bCs/>
      <w:iCs/>
      <w:sz w:val="24"/>
      <w:szCs w:val="24"/>
    </w:rPr>
  </w:style>
  <w:style w:type="paragraph" w:customStyle="1" w:styleId="statymopavad">
    <w:name w:val="statymopavad"/>
    <w:basedOn w:val="Normal"/>
    <w:rsid w:val="0043024A"/>
    <w:pPr>
      <w:spacing w:before="100" w:beforeAutospacing="1" w:after="100" w:afterAutospacing="1"/>
      <w:ind w:firstLine="0"/>
      <w:jc w:val="left"/>
    </w:pPr>
    <w:rPr>
      <w:rFonts w:eastAsia="Times New Roman" w:cs="Times New Roman"/>
      <w:sz w:val="24"/>
      <w:szCs w:val="24"/>
      <w:lang w:eastAsia="lt-LT"/>
    </w:rPr>
  </w:style>
  <w:style w:type="character" w:styleId="PlaceholderText">
    <w:name w:val="Placeholder Text"/>
    <w:basedOn w:val="DefaultParagraphFont"/>
    <w:uiPriority w:val="99"/>
    <w:semiHidden/>
    <w:rsid w:val="0043024A"/>
    <w:rPr>
      <w:color w:val="808080"/>
    </w:rPr>
  </w:style>
  <w:style w:type="character" w:customStyle="1" w:styleId="contentlong">
    <w:name w:val="content_long"/>
    <w:basedOn w:val="DefaultParagraphFont"/>
    <w:rsid w:val="0043024A"/>
  </w:style>
  <w:style w:type="character" w:customStyle="1" w:styleId="block">
    <w:name w:val="block"/>
    <w:basedOn w:val="DefaultParagraphFont"/>
    <w:rsid w:val="0043024A"/>
  </w:style>
  <w:style w:type="paragraph" w:customStyle="1" w:styleId="1">
    <w:name w:val="1"/>
    <w:basedOn w:val="Normal"/>
    <w:rsid w:val="0043024A"/>
    <w:pPr>
      <w:spacing w:before="0" w:after="160" w:line="240" w:lineRule="exact"/>
      <w:ind w:firstLine="0"/>
      <w:jc w:val="left"/>
    </w:pPr>
    <w:rPr>
      <w:rFonts w:ascii="Tahoma" w:eastAsia="Times New Roman" w:hAnsi="Tahoma" w:cs="Times New Roman"/>
      <w:sz w:val="20"/>
      <w:szCs w:val="20"/>
    </w:rPr>
  </w:style>
  <w:style w:type="character" w:customStyle="1" w:styleId="shorttext">
    <w:name w:val="short_text"/>
    <w:basedOn w:val="DefaultParagraphFont"/>
    <w:rsid w:val="0043024A"/>
  </w:style>
  <w:style w:type="paragraph" w:customStyle="1" w:styleId="Pagrindinispaprastastekstas">
    <w:name w:val="• Pagrindinis paprastas tekstas"/>
    <w:basedOn w:val="Normal"/>
    <w:link w:val="PagrindinispaprastastekstasChar"/>
    <w:qFormat/>
    <w:rsid w:val="0043024A"/>
    <w:pPr>
      <w:spacing w:before="0"/>
      <w:ind w:firstLine="0"/>
      <w:jc w:val="left"/>
    </w:pPr>
    <w:rPr>
      <w:rFonts w:ascii="Cambria" w:eastAsia="Times New Roman" w:hAnsi="Cambria" w:cs="Times New Roman"/>
      <w:szCs w:val="24"/>
    </w:rPr>
  </w:style>
  <w:style w:type="character" w:customStyle="1" w:styleId="PagrindinispaprastastekstasChar">
    <w:name w:val="• Pagrindinis paprastas tekstas Char"/>
    <w:link w:val="Pagrindinispaprastastekstas"/>
    <w:rsid w:val="0043024A"/>
    <w:rPr>
      <w:rFonts w:ascii="Cambria" w:eastAsia="Times New Roman" w:hAnsi="Cambria" w:cs="Times New Roman"/>
      <w:szCs w:val="24"/>
    </w:rPr>
  </w:style>
  <w:style w:type="paragraph" w:styleId="PlainText">
    <w:name w:val="Plain Text"/>
    <w:basedOn w:val="Normal"/>
    <w:link w:val="PlainTextChar"/>
    <w:uiPriority w:val="99"/>
    <w:unhideWhenUsed/>
    <w:rsid w:val="0043024A"/>
    <w:pPr>
      <w:spacing w:before="0" w:after="200"/>
      <w:ind w:firstLine="0"/>
      <w:jc w:val="left"/>
    </w:pPr>
    <w:rPr>
      <w:rFonts w:ascii="Consolas" w:hAnsi="Consolas"/>
      <w:sz w:val="21"/>
      <w:szCs w:val="21"/>
    </w:rPr>
  </w:style>
  <w:style w:type="character" w:customStyle="1" w:styleId="PlainTextChar">
    <w:name w:val="Plain Text Char"/>
    <w:basedOn w:val="DefaultParagraphFont"/>
    <w:link w:val="PlainText"/>
    <w:uiPriority w:val="99"/>
    <w:rsid w:val="0043024A"/>
    <w:rPr>
      <w:rFonts w:ascii="Consolas" w:hAnsi="Consolas"/>
      <w:sz w:val="21"/>
      <w:szCs w:val="21"/>
    </w:rPr>
  </w:style>
  <w:style w:type="paragraph" w:customStyle="1" w:styleId="CM1">
    <w:name w:val="CM1"/>
    <w:basedOn w:val="Normal"/>
    <w:next w:val="Normal"/>
    <w:uiPriority w:val="99"/>
    <w:rsid w:val="0043024A"/>
    <w:pPr>
      <w:autoSpaceDE w:val="0"/>
      <w:autoSpaceDN w:val="0"/>
      <w:adjustRightInd w:val="0"/>
      <w:spacing w:before="0" w:after="200"/>
      <w:ind w:firstLine="0"/>
      <w:jc w:val="left"/>
    </w:pPr>
    <w:rPr>
      <w:rFonts w:ascii="EUAlbertina" w:hAnsi="EUAlbertina"/>
      <w:sz w:val="24"/>
      <w:szCs w:val="24"/>
    </w:rPr>
  </w:style>
  <w:style w:type="character" w:customStyle="1" w:styleId="visualization-table">
    <w:name w:val="visualization-table"/>
    <w:basedOn w:val="DefaultParagraphFont"/>
    <w:rsid w:val="0043024A"/>
  </w:style>
  <w:style w:type="character" w:customStyle="1" w:styleId="datametai">
    <w:name w:val="datametai"/>
    <w:basedOn w:val="DefaultParagraphFont"/>
    <w:rsid w:val="0043024A"/>
  </w:style>
  <w:style w:type="character" w:customStyle="1" w:styleId="datamnuo">
    <w:name w:val="datamnuo"/>
    <w:basedOn w:val="DefaultParagraphFont"/>
    <w:rsid w:val="0043024A"/>
  </w:style>
  <w:style w:type="character" w:customStyle="1" w:styleId="datadiena">
    <w:name w:val="datadiena"/>
    <w:basedOn w:val="DefaultParagraphFont"/>
    <w:rsid w:val="0043024A"/>
  </w:style>
  <w:style w:type="character" w:customStyle="1" w:styleId="statymonr">
    <w:name w:val="statymonr"/>
    <w:basedOn w:val="DefaultParagraphFont"/>
    <w:rsid w:val="0043024A"/>
  </w:style>
  <w:style w:type="paragraph" w:customStyle="1" w:styleId="prastasis1">
    <w:name w:val="Įprastasis1"/>
    <w:basedOn w:val="Normal"/>
    <w:rsid w:val="0043024A"/>
    <w:pPr>
      <w:spacing w:before="100" w:beforeAutospacing="1" w:after="100" w:afterAutospacing="1"/>
      <w:ind w:firstLine="0"/>
      <w:jc w:val="left"/>
    </w:pPr>
    <w:rPr>
      <w:rFonts w:eastAsia="Times New Roman" w:cs="Times New Roman"/>
      <w:sz w:val="24"/>
      <w:szCs w:val="24"/>
      <w:lang w:eastAsia="lt-LT"/>
    </w:rPr>
  </w:style>
  <w:style w:type="paragraph" w:styleId="Title">
    <w:name w:val="Title"/>
    <w:basedOn w:val="Normal"/>
    <w:next w:val="Normal"/>
    <w:link w:val="TitleChar"/>
    <w:uiPriority w:val="10"/>
    <w:qFormat/>
    <w:rsid w:val="0043024A"/>
    <w:pPr>
      <w:spacing w:before="0" w:after="200" w:line="276" w:lineRule="auto"/>
      <w:ind w:firstLine="0"/>
      <w:contextualSpacing/>
      <w:jc w:val="left"/>
    </w:pPr>
    <w:rPr>
      <w:rFonts w:ascii="Cambria" w:eastAsia="MS Mincho" w:hAnsi="Cambria" w:cs="Times New Roman"/>
      <w:caps/>
      <w:color w:val="175F6E"/>
      <w:spacing w:val="15"/>
      <w:kern w:val="28"/>
      <w:sz w:val="52"/>
      <w:szCs w:val="52"/>
      <w:lang w:eastAsia="lt-LT"/>
    </w:rPr>
  </w:style>
  <w:style w:type="character" w:customStyle="1" w:styleId="TitleChar">
    <w:name w:val="Title Char"/>
    <w:basedOn w:val="DefaultParagraphFont"/>
    <w:link w:val="Title"/>
    <w:uiPriority w:val="10"/>
    <w:rsid w:val="0043024A"/>
    <w:rPr>
      <w:rFonts w:ascii="Cambria" w:eastAsia="MS Mincho" w:hAnsi="Cambria" w:cs="Times New Roman"/>
      <w:caps/>
      <w:color w:val="175F6E"/>
      <w:spacing w:val="15"/>
      <w:kern w:val="28"/>
      <w:sz w:val="52"/>
      <w:szCs w:val="52"/>
      <w:lang w:eastAsia="lt-LT"/>
    </w:rPr>
  </w:style>
  <w:style w:type="paragraph" w:customStyle="1" w:styleId="Sraopastraipa2">
    <w:name w:val="Sąrašo pastraipa2"/>
    <w:basedOn w:val="Normal"/>
    <w:qFormat/>
    <w:rsid w:val="0043024A"/>
    <w:pPr>
      <w:spacing w:before="0" w:after="200" w:line="276" w:lineRule="auto"/>
      <w:ind w:left="720" w:firstLine="0"/>
      <w:contextualSpacing/>
      <w:jc w:val="left"/>
    </w:pPr>
    <w:rPr>
      <w:rFonts w:ascii="Calibri" w:eastAsia="Calibri" w:hAnsi="Calibri" w:cs="Times New Roman"/>
    </w:rPr>
  </w:style>
  <w:style w:type="character" w:customStyle="1" w:styleId="FootnoteChar1">
    <w:name w:val="Footnote Char1"/>
    <w:aliases w:val="Footnote text Char1,fn Char1,Footnote Text Char Char Char2,Footnote Text Char Char Char Char Char2,Footnote Text Char Char Char Char Char Char1,Footnote Text Char Char Char Char Char Char Char Char Char1,f Char1"/>
    <w:basedOn w:val="DefaultParagraphFont"/>
    <w:uiPriority w:val="99"/>
    <w:semiHidden/>
    <w:locked/>
    <w:rsid w:val="0043024A"/>
    <w:rPr>
      <w:rFonts w:ascii="Arial" w:hAnsi="Arial" w:cs="Arial"/>
    </w:rPr>
  </w:style>
  <w:style w:type="character" w:customStyle="1" w:styleId="phonetxt">
    <w:name w:val="phone_txt"/>
    <w:basedOn w:val="DefaultParagraphFont"/>
    <w:rsid w:val="0043024A"/>
  </w:style>
  <w:style w:type="paragraph" w:styleId="TOCHeading">
    <w:name w:val="TOC Heading"/>
    <w:basedOn w:val="Heading1"/>
    <w:next w:val="Normal"/>
    <w:uiPriority w:val="39"/>
    <w:unhideWhenUsed/>
    <w:qFormat/>
    <w:rsid w:val="0043024A"/>
    <w:pPr>
      <w:pageBreakBefore/>
      <w:numPr>
        <w:numId w:val="0"/>
      </w:numPr>
      <w:tabs>
        <w:tab w:val="left" w:pos="630"/>
      </w:tabs>
      <w:spacing w:line="259" w:lineRule="auto"/>
      <w:outlineLvl w:val="9"/>
    </w:pPr>
    <w:rPr>
      <w:rFonts w:asciiTheme="majorHAnsi" w:hAnsiTheme="majorHAnsi"/>
      <w:b w:val="0"/>
      <w:color w:val="2F5496" w:themeColor="accent1" w:themeShade="BF"/>
      <w:sz w:val="32"/>
      <w:lang w:val="en-US"/>
    </w:rPr>
  </w:style>
  <w:style w:type="paragraph" w:customStyle="1" w:styleId="Titulinispavadinimas">
    <w:name w:val="• Titulinis pavadinimas"/>
    <w:next w:val="Normal"/>
    <w:link w:val="TitulinispavadinimasChar"/>
    <w:qFormat/>
    <w:rsid w:val="0043024A"/>
    <w:pPr>
      <w:spacing w:before="3120" w:after="0" w:line="240" w:lineRule="auto"/>
      <w:ind w:left="2693"/>
    </w:pPr>
    <w:rPr>
      <w:rFonts w:ascii="Cambria" w:eastAsia="Times New Roman" w:hAnsi="Cambria" w:cs="Times New Roman"/>
      <w:bCs/>
      <w:color w:val="00478A"/>
      <w:sz w:val="60"/>
      <w:szCs w:val="60"/>
      <w:lang w:eastAsia="lt-LT"/>
    </w:rPr>
  </w:style>
  <w:style w:type="character" w:customStyle="1" w:styleId="TitulinispavadinimasChar">
    <w:name w:val="• Titulinis pavadinimas Char"/>
    <w:link w:val="Titulinispavadinimas"/>
    <w:rsid w:val="0043024A"/>
    <w:rPr>
      <w:rFonts w:ascii="Cambria" w:eastAsia="Times New Roman" w:hAnsi="Cambria" w:cs="Times New Roman"/>
      <w:bCs/>
      <w:color w:val="00478A"/>
      <w:sz w:val="60"/>
      <w:szCs w:val="60"/>
      <w:lang w:eastAsia="lt-LT"/>
    </w:rPr>
  </w:style>
  <w:style w:type="character" w:customStyle="1" w:styleId="UnresolvedMention1">
    <w:name w:val="Unresolved Mention1"/>
    <w:basedOn w:val="DefaultParagraphFont"/>
    <w:uiPriority w:val="99"/>
    <w:semiHidden/>
    <w:unhideWhenUsed/>
    <w:rsid w:val="0043024A"/>
    <w:rPr>
      <w:color w:val="605E5C"/>
      <w:shd w:val="clear" w:color="auto" w:fill="E1DFDD"/>
    </w:rPr>
  </w:style>
  <w:style w:type="character" w:customStyle="1" w:styleId="UnresolvedMention2">
    <w:name w:val="Unresolved Mention2"/>
    <w:basedOn w:val="DefaultParagraphFont"/>
    <w:uiPriority w:val="99"/>
    <w:semiHidden/>
    <w:unhideWhenUsed/>
    <w:rsid w:val="0043024A"/>
    <w:rPr>
      <w:color w:val="605E5C"/>
      <w:shd w:val="clear" w:color="auto" w:fill="E1DFDD"/>
    </w:rPr>
  </w:style>
  <w:style w:type="numbering" w:customStyle="1" w:styleId="Style1">
    <w:name w:val="Style1"/>
    <w:uiPriority w:val="99"/>
    <w:rsid w:val="0043024A"/>
    <w:pPr>
      <w:numPr>
        <w:numId w:val="2"/>
      </w:numPr>
    </w:pPr>
  </w:style>
  <w:style w:type="character" w:customStyle="1" w:styleId="UnresolvedMention3">
    <w:name w:val="Unresolved Mention3"/>
    <w:basedOn w:val="DefaultParagraphFont"/>
    <w:uiPriority w:val="99"/>
    <w:semiHidden/>
    <w:unhideWhenUsed/>
    <w:rsid w:val="0043024A"/>
    <w:rPr>
      <w:color w:val="605E5C"/>
      <w:shd w:val="clear" w:color="auto" w:fill="E1DFDD"/>
    </w:rPr>
  </w:style>
  <w:style w:type="table" w:customStyle="1" w:styleId="LightList-Accent21">
    <w:name w:val="Light List - Accent 21"/>
    <w:basedOn w:val="TableNormal"/>
    <w:next w:val="LightList-Accent2"/>
    <w:uiPriority w:val="61"/>
    <w:rsid w:val="002E1048"/>
    <w:pPr>
      <w:spacing w:after="0" w:line="240" w:lineRule="auto"/>
    </w:pPr>
    <w:tblPr>
      <w:tblStyleRowBandSize w:val="1"/>
      <w:tblStyleColBandSize w:val="1"/>
      <w:tblBorders>
        <w:top w:val="single" w:sz="8" w:space="0" w:color="D62E1C"/>
        <w:left w:val="single" w:sz="8" w:space="0" w:color="D62E1C"/>
        <w:bottom w:val="single" w:sz="8" w:space="0" w:color="D62E1C"/>
        <w:right w:val="single" w:sz="8" w:space="0" w:color="D62E1C"/>
      </w:tblBorders>
    </w:tblPr>
    <w:tblStylePr w:type="firstRow">
      <w:pPr>
        <w:spacing w:beforeLines="0" w:before="0" w:beforeAutospacing="0" w:afterLines="0" w:after="0" w:afterAutospacing="0" w:line="240" w:lineRule="auto"/>
      </w:pPr>
      <w:rPr>
        <w:b/>
        <w:bCs/>
        <w:color w:val="FFFFFF"/>
      </w:rPr>
      <w:tblPr/>
      <w:tcPr>
        <w:shd w:val="clear" w:color="auto" w:fill="D62E1C"/>
      </w:tcPr>
    </w:tblStylePr>
    <w:tblStylePr w:type="lastRow">
      <w:pPr>
        <w:spacing w:beforeLines="0" w:before="0" w:beforeAutospacing="0" w:afterLines="0" w:after="0" w:afterAutospacing="0" w:line="240" w:lineRule="auto"/>
      </w:pPr>
      <w:rPr>
        <w:b/>
        <w:bCs/>
      </w:rPr>
      <w:tblPr/>
      <w:tcPr>
        <w:tcBorders>
          <w:top w:val="double" w:sz="6" w:space="0" w:color="D62E1C"/>
          <w:left w:val="single" w:sz="8" w:space="0" w:color="D62E1C"/>
          <w:bottom w:val="single" w:sz="8" w:space="0" w:color="D62E1C"/>
          <w:right w:val="single" w:sz="8" w:space="0" w:color="D62E1C"/>
        </w:tcBorders>
      </w:tcPr>
    </w:tblStylePr>
    <w:tblStylePr w:type="firstCol">
      <w:rPr>
        <w:b/>
        <w:bCs/>
      </w:rPr>
    </w:tblStylePr>
    <w:tblStylePr w:type="lastCol">
      <w:rPr>
        <w:b/>
        <w:bCs/>
      </w:rPr>
    </w:tblStylePr>
    <w:tblStylePr w:type="band1Vert">
      <w:tblPr/>
      <w:tcPr>
        <w:tcBorders>
          <w:top w:val="single" w:sz="8" w:space="0" w:color="D62E1C"/>
          <w:left w:val="single" w:sz="8" w:space="0" w:color="D62E1C"/>
          <w:bottom w:val="single" w:sz="8" w:space="0" w:color="D62E1C"/>
          <w:right w:val="single" w:sz="8" w:space="0" w:color="D62E1C"/>
        </w:tcBorders>
      </w:tcPr>
    </w:tblStylePr>
    <w:tblStylePr w:type="band1Horz">
      <w:tblPr/>
      <w:tcPr>
        <w:tcBorders>
          <w:top w:val="single" w:sz="8" w:space="0" w:color="D62E1C"/>
          <w:left w:val="single" w:sz="8" w:space="0" w:color="D62E1C"/>
          <w:bottom w:val="single" w:sz="8" w:space="0" w:color="D62E1C"/>
          <w:right w:val="single" w:sz="8" w:space="0" w:color="D62E1C"/>
        </w:tcBorders>
      </w:tcPr>
    </w:tblStylePr>
  </w:style>
  <w:style w:type="table" w:styleId="LightList-Accent2">
    <w:name w:val="Light List Accent 2"/>
    <w:basedOn w:val="TableNormal"/>
    <w:uiPriority w:val="61"/>
    <w:semiHidden/>
    <w:unhideWhenUsed/>
    <w:rsid w:val="002E104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paragraph" w:styleId="ListNumber">
    <w:name w:val="List Number"/>
    <w:basedOn w:val="Normal"/>
    <w:uiPriority w:val="99"/>
    <w:unhideWhenUsed/>
    <w:qFormat/>
    <w:rsid w:val="00E728D4"/>
    <w:pPr>
      <w:numPr>
        <w:numId w:val="7"/>
      </w:numPr>
      <w:spacing w:before="0"/>
      <w:jc w:val="left"/>
    </w:pPr>
    <w:rPr>
      <w:rFonts w:asciiTheme="minorHAnsi" w:hAnsiTheme="minorHAnsi"/>
      <w:sz w:val="20"/>
      <w:szCs w:val="20"/>
      <w:lang w:val="en-US"/>
    </w:rPr>
  </w:style>
  <w:style w:type="paragraph" w:styleId="ListNumber2">
    <w:name w:val="List Number 2"/>
    <w:basedOn w:val="ListNumber"/>
    <w:uiPriority w:val="99"/>
    <w:unhideWhenUsed/>
    <w:qFormat/>
    <w:rsid w:val="00E728D4"/>
    <w:pPr>
      <w:numPr>
        <w:ilvl w:val="1"/>
      </w:numPr>
      <w:tabs>
        <w:tab w:val="left" w:pos="792"/>
      </w:tabs>
    </w:pPr>
  </w:style>
  <w:style w:type="paragraph" w:styleId="ListNumber3">
    <w:name w:val="List Number 3"/>
    <w:basedOn w:val="ListNumber2"/>
    <w:uiPriority w:val="99"/>
    <w:unhideWhenUsed/>
    <w:qFormat/>
    <w:rsid w:val="00E728D4"/>
    <w:pPr>
      <w:numPr>
        <w:ilvl w:val="2"/>
      </w:numPr>
      <w:tabs>
        <w:tab w:val="clear" w:pos="792"/>
        <w:tab w:val="left" w:pos="1195"/>
      </w:tabs>
    </w:pPr>
  </w:style>
  <w:style w:type="paragraph" w:styleId="ListNumber4">
    <w:name w:val="List Number 4"/>
    <w:basedOn w:val="ListNumber3"/>
    <w:uiPriority w:val="99"/>
    <w:unhideWhenUsed/>
    <w:qFormat/>
    <w:rsid w:val="00E728D4"/>
    <w:pPr>
      <w:numPr>
        <w:ilvl w:val="3"/>
      </w:numPr>
      <w:tabs>
        <w:tab w:val="clear" w:pos="1195"/>
        <w:tab w:val="left" w:pos="1642"/>
      </w:tabs>
    </w:pPr>
  </w:style>
  <w:style w:type="paragraph" w:styleId="ListNumber5">
    <w:name w:val="List Number 5"/>
    <w:basedOn w:val="ListNumber4"/>
    <w:uiPriority w:val="99"/>
    <w:unhideWhenUsed/>
    <w:rsid w:val="00E728D4"/>
    <w:pPr>
      <w:numPr>
        <w:ilvl w:val="4"/>
      </w:numPr>
      <w:tabs>
        <w:tab w:val="clear" w:pos="1642"/>
        <w:tab w:val="clear" w:pos="1728"/>
        <w:tab w:val="left" w:pos="1987"/>
      </w:tabs>
      <w:ind w:left="3600" w:hanging="360"/>
    </w:pPr>
  </w:style>
  <w:style w:type="table" w:customStyle="1" w:styleId="viesussraas2parykinimas1">
    <w:name w:val="Šviesus sąrašas – 2 paryškinimas1"/>
    <w:basedOn w:val="TableNormal"/>
    <w:next w:val="LightList-Accent2"/>
    <w:uiPriority w:val="61"/>
    <w:rsid w:val="00FB2107"/>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ED7D31" w:themeFill="accent2"/>
      </w:tcPr>
    </w:tblStylePr>
    <w:tblStylePr w:type="lastRow">
      <w:pPr>
        <w:spacing w:beforeLines="0" w:before="0" w:beforeAutospacing="0" w:afterLines="0" w:after="0" w:afterAutospacing="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TableGridLight1">
    <w:name w:val="Table Grid Light1"/>
    <w:basedOn w:val="TableNormal"/>
    <w:uiPriority w:val="40"/>
    <w:rsid w:val="00ED667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4">
    <w:name w:val="Unresolved Mention4"/>
    <w:basedOn w:val="DefaultParagraphFont"/>
    <w:uiPriority w:val="99"/>
    <w:semiHidden/>
    <w:unhideWhenUsed/>
    <w:rsid w:val="00196EA6"/>
    <w:rPr>
      <w:color w:val="605E5C"/>
      <w:shd w:val="clear" w:color="auto" w:fill="E1DFDD"/>
    </w:rPr>
  </w:style>
  <w:style w:type="table" w:customStyle="1" w:styleId="TableGrid1">
    <w:name w:val="Table Grid1"/>
    <w:basedOn w:val="TableNormal"/>
    <w:next w:val="TableGrid"/>
    <w:uiPriority w:val="59"/>
    <w:rsid w:val="00256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C7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10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eib.org/attachments/documents/jessica_fg_final_report_en.pdf" TargetMode="External"/><Relationship Id="rId2" Type="http://schemas.openxmlformats.org/officeDocument/2006/relationships/hyperlink" Target="http://ec.europa.eu/regional_policy/sources/docoffic/official/communic/financial/financial_instruments_2012_en.pdf" TargetMode="External"/><Relationship Id="rId1" Type="http://schemas.openxmlformats.org/officeDocument/2006/relationships/hyperlink" Target="http://www.europarl.europa.eu/meetdocs/2009_2014/documents/cont/dv/ecasr22012_/ecasr22012_en.pdf" TargetMode="External"/><Relationship Id="rId5" Type="http://schemas.openxmlformats.org/officeDocument/2006/relationships/hyperlink" Target="http://www.eib.org/attachments/documents/jessica_housing_study_final_report_en.pdf" TargetMode="External"/><Relationship Id="rId4" Type="http://schemas.openxmlformats.org/officeDocument/2006/relationships/hyperlink" Target="http://www.eib.org/attachments/documents/jessica_energy_focused_udf_final_report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5D60B-AC62-4A49-8FEE-DDCC915F3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13488</Words>
  <Characters>94421</Characters>
  <Application>Microsoft Office Word</Application>
  <DocSecurity>0</DocSecurity>
  <Lines>2622</Lines>
  <Paragraphs>1458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PricewaterhouseCoopers</Company>
  <LinksUpToDate>false</LinksUpToDate>
  <CharactersWithSpaces>106451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PwC</dc:creator>
  <cp:keywords/>
  <dc:description/>
  <cp:lastModifiedBy>PwC</cp:lastModifiedBy>
  <cp:revision>3</cp:revision>
  <dcterms:created xsi:type="dcterms:W3CDTF">2021-04-28T17:18:00Z</dcterms:created>
  <dcterms:modified xsi:type="dcterms:W3CDTF">2021-04-28T17:20:00Z</dcterms:modified>
</cp:coreProperties>
</file>