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2872" w14:textId="3E11BA06" w:rsidR="0036662A" w:rsidRPr="000018D6" w:rsidRDefault="0036662A" w:rsidP="0072281D">
      <w:pPr>
        <w:jc w:val="center"/>
        <w:rPr>
          <w:b/>
          <w:bCs/>
        </w:rPr>
      </w:pPr>
      <w:r w:rsidRPr="000018D6">
        <w:rPr>
          <w:b/>
          <w:bCs/>
        </w:rPr>
        <w:t>LIETUVOS RESPUBLIKOS</w:t>
      </w:r>
      <w:r w:rsidR="00F90937" w:rsidRPr="000018D6">
        <w:rPr>
          <w:b/>
          <w:bCs/>
        </w:rPr>
        <w:t xml:space="preserve"> EKONOMIKOS IR INOVACIJŲ </w:t>
      </w:r>
      <w:r w:rsidRPr="000018D6">
        <w:rPr>
          <w:b/>
          <w:bCs/>
        </w:rPr>
        <w:t>MINISTERIJA</w:t>
      </w:r>
    </w:p>
    <w:p w14:paraId="1B192873" w14:textId="77777777" w:rsidR="0036662A" w:rsidRPr="000018D6" w:rsidRDefault="0036662A" w:rsidP="0072281D">
      <w:pPr>
        <w:jc w:val="center"/>
        <w:rPr>
          <w:b/>
          <w:bCs/>
        </w:rPr>
      </w:pPr>
    </w:p>
    <w:p w14:paraId="01782B17" w14:textId="736299D9" w:rsidR="005C3B7F" w:rsidRPr="000018D6" w:rsidRDefault="0036662A" w:rsidP="0072281D">
      <w:pPr>
        <w:jc w:val="center"/>
        <w:rPr>
          <w:rFonts w:ascii="Calibri" w:eastAsia="Calibri" w:hAnsi="Calibri"/>
          <w:sz w:val="22"/>
          <w:szCs w:val="22"/>
        </w:rPr>
      </w:pPr>
      <w:r w:rsidRPr="000018D6">
        <w:rPr>
          <w:b/>
          <w:bCs/>
        </w:rPr>
        <w:t xml:space="preserve">SOCIALINIŲ IR EKONOMINIŲ PARTNERIŲ PATEIKTŲ PASTABŲ IR PASIŪLYMŲ DĖL </w:t>
      </w:r>
      <w:r w:rsidR="003756C5" w:rsidRPr="000018D6">
        <w:rPr>
          <w:rFonts w:eastAsia="Calibri"/>
          <w:b/>
          <w:kern w:val="16"/>
          <w:szCs w:val="24"/>
        </w:rPr>
        <w:t>2014–2020 METŲ EUROPOS SĄJUNGOS FONDŲ INVESTICIJŲ VEIKSMŲ PROGRAMOS 1 PRIORITETO „MOKSLINIŲ TYRIMŲ, EKSPERIMENTINĖS PLĖTROS IR INOVACIJŲ SKATINIMAS“ PRIEMONĖS N</w:t>
      </w:r>
      <w:r w:rsidR="003756C5" w:rsidRPr="000018D6">
        <w:rPr>
          <w:rFonts w:eastAsia="Calibri"/>
          <w:b/>
          <w:szCs w:val="24"/>
        </w:rPr>
        <w:t>R. 01.2.1-LVPA-</w:t>
      </w:r>
      <w:r w:rsidR="006A1F15" w:rsidRPr="000018D6">
        <w:rPr>
          <w:rFonts w:eastAsia="Calibri"/>
          <w:b/>
          <w:szCs w:val="24"/>
        </w:rPr>
        <w:t>K-823 „SMARTINVEST LT+</w:t>
      </w:r>
      <w:r w:rsidR="003756C5" w:rsidRPr="000018D6">
        <w:rPr>
          <w:rFonts w:eastAsia="Calibri"/>
          <w:b/>
          <w:szCs w:val="24"/>
        </w:rPr>
        <w:t>“ PROJEKTŲ FINANSAVIMO SĄLYGŲ APRAŠO NR. 2</w:t>
      </w:r>
      <w:r w:rsidR="003756C5" w:rsidRPr="000018D6">
        <w:rPr>
          <w:rFonts w:ascii="Calibri" w:eastAsia="Calibri" w:hAnsi="Calibri"/>
          <w:sz w:val="22"/>
          <w:szCs w:val="22"/>
        </w:rPr>
        <w:t xml:space="preserve"> </w:t>
      </w:r>
      <w:r w:rsidR="00847D95" w:rsidRPr="000018D6">
        <w:rPr>
          <w:b/>
          <w:bCs/>
        </w:rPr>
        <w:t>KEITIMO</w:t>
      </w:r>
      <w:r w:rsidRPr="000018D6">
        <w:rPr>
          <w:b/>
          <w:bCs/>
        </w:rPr>
        <w:t xml:space="preserve"> </w:t>
      </w:r>
    </w:p>
    <w:p w14:paraId="1B192874" w14:textId="301DC76B" w:rsidR="0036662A" w:rsidRPr="000018D6" w:rsidRDefault="0036662A" w:rsidP="0072281D">
      <w:pPr>
        <w:tabs>
          <w:tab w:val="left" w:pos="0"/>
          <w:tab w:val="left" w:pos="567"/>
        </w:tabs>
        <w:jc w:val="center"/>
        <w:rPr>
          <w:b/>
          <w:bCs/>
        </w:rPr>
      </w:pPr>
      <w:r w:rsidRPr="000018D6">
        <w:rPr>
          <w:b/>
          <w:bCs/>
        </w:rPr>
        <w:t>DERINIMAS</w:t>
      </w:r>
    </w:p>
    <w:p w14:paraId="1B192875" w14:textId="77777777" w:rsidR="0036662A" w:rsidRPr="000018D6" w:rsidRDefault="0036662A" w:rsidP="0072281D">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018D6" w14:paraId="1B192878" w14:textId="77777777" w:rsidTr="00335D39">
        <w:tc>
          <w:tcPr>
            <w:tcW w:w="6804" w:type="dxa"/>
          </w:tcPr>
          <w:p w14:paraId="1B192876" w14:textId="77777777" w:rsidR="0036662A" w:rsidRPr="000018D6" w:rsidRDefault="0036662A" w:rsidP="0072281D">
            <w:pPr>
              <w:rPr>
                <w:b/>
                <w:szCs w:val="24"/>
              </w:rPr>
            </w:pPr>
            <w:r w:rsidRPr="000018D6">
              <w:rPr>
                <w:b/>
                <w:szCs w:val="24"/>
              </w:rPr>
              <w:t xml:space="preserve">Paskelbimo </w:t>
            </w:r>
            <w:r w:rsidRPr="000018D6">
              <w:t>www.esinvesticijos.lt</w:t>
            </w:r>
            <w:r w:rsidRPr="000018D6">
              <w:rPr>
                <w:b/>
                <w:szCs w:val="24"/>
              </w:rPr>
              <w:t xml:space="preserve"> data</w:t>
            </w:r>
          </w:p>
        </w:tc>
        <w:tc>
          <w:tcPr>
            <w:tcW w:w="7938" w:type="dxa"/>
          </w:tcPr>
          <w:p w14:paraId="1B192877" w14:textId="7D414578" w:rsidR="0036662A" w:rsidRPr="000018D6" w:rsidRDefault="005C3B7F" w:rsidP="006A1F15">
            <w:pPr>
              <w:rPr>
                <w:szCs w:val="24"/>
              </w:rPr>
            </w:pPr>
            <w:r w:rsidRPr="000018D6">
              <w:rPr>
                <w:szCs w:val="24"/>
              </w:rPr>
              <w:t>20</w:t>
            </w:r>
            <w:r w:rsidR="006A1F15" w:rsidRPr="000018D6">
              <w:rPr>
                <w:szCs w:val="24"/>
              </w:rPr>
              <w:t>21</w:t>
            </w:r>
            <w:r w:rsidR="009A1889" w:rsidRPr="000018D6">
              <w:rPr>
                <w:szCs w:val="24"/>
              </w:rPr>
              <w:t>-0</w:t>
            </w:r>
            <w:r w:rsidR="006A1F15" w:rsidRPr="000018D6">
              <w:rPr>
                <w:szCs w:val="24"/>
              </w:rPr>
              <w:t>6</w:t>
            </w:r>
            <w:r w:rsidR="00847D95" w:rsidRPr="000018D6">
              <w:rPr>
                <w:szCs w:val="24"/>
              </w:rPr>
              <w:t>-</w:t>
            </w:r>
            <w:r w:rsidR="009A1889" w:rsidRPr="000018D6">
              <w:rPr>
                <w:szCs w:val="24"/>
              </w:rPr>
              <w:t>2</w:t>
            </w:r>
            <w:r w:rsidR="006A1F15" w:rsidRPr="000018D6">
              <w:rPr>
                <w:szCs w:val="24"/>
              </w:rPr>
              <w:t>8</w:t>
            </w:r>
          </w:p>
        </w:tc>
      </w:tr>
      <w:tr w:rsidR="0036662A" w:rsidRPr="000018D6" w14:paraId="1B19287C" w14:textId="77777777" w:rsidTr="00335D39">
        <w:tc>
          <w:tcPr>
            <w:tcW w:w="6804" w:type="dxa"/>
          </w:tcPr>
          <w:p w14:paraId="1B192879" w14:textId="77777777" w:rsidR="0036662A" w:rsidRPr="000018D6" w:rsidRDefault="0036662A" w:rsidP="0072281D">
            <w:pPr>
              <w:rPr>
                <w:b/>
                <w:szCs w:val="24"/>
              </w:rPr>
            </w:pPr>
            <w:r w:rsidRPr="000018D6">
              <w:rPr>
                <w:b/>
                <w:szCs w:val="24"/>
              </w:rPr>
              <w:t>Ar gauta pastabų ir (ar) pasiūlymų?</w:t>
            </w:r>
          </w:p>
          <w:p w14:paraId="1B19287A" w14:textId="77777777" w:rsidR="0036662A" w:rsidRPr="000018D6" w:rsidRDefault="0036662A" w:rsidP="0072281D">
            <w:pPr>
              <w:rPr>
                <w:i/>
                <w:sz w:val="20"/>
              </w:rPr>
            </w:pPr>
            <w:r w:rsidRPr="000018D6">
              <w:rPr>
                <w:i/>
                <w:sz w:val="20"/>
              </w:rPr>
              <w:t>Jei pastabų ir pasiūlymų nebuvo gauta, į kitą klausimą neatsakoma ir žemiau esanti lentelė nepildoma</w:t>
            </w:r>
          </w:p>
        </w:tc>
        <w:tc>
          <w:tcPr>
            <w:tcW w:w="7938" w:type="dxa"/>
          </w:tcPr>
          <w:p w14:paraId="1B19287B" w14:textId="62372AC0" w:rsidR="0036662A" w:rsidRPr="000018D6" w:rsidRDefault="002853D2" w:rsidP="0072281D">
            <w:sdt>
              <w:sdtPr>
                <w:id w:val="1312749902"/>
              </w:sdtPr>
              <w:sdtEndPr/>
              <w:sdtContent>
                <w:r w:rsidR="00DE3383" w:rsidRPr="000018D6">
                  <w:rPr>
                    <w:b/>
                    <w:szCs w:val="24"/>
                  </w:rPr>
                  <w:fldChar w:fldCharType="begin">
                    <w:ffData>
                      <w:name w:val=""/>
                      <w:enabled/>
                      <w:calcOnExit w:val="0"/>
                      <w:checkBox>
                        <w:sizeAuto/>
                        <w:default w:val="1"/>
                      </w:checkBox>
                    </w:ffData>
                  </w:fldChar>
                </w:r>
                <w:r w:rsidR="00DE3383" w:rsidRPr="000018D6">
                  <w:rPr>
                    <w:b/>
                    <w:szCs w:val="24"/>
                  </w:rPr>
                  <w:instrText xml:space="preserve"> FORMCHECKBOX </w:instrText>
                </w:r>
                <w:r>
                  <w:rPr>
                    <w:b/>
                    <w:szCs w:val="24"/>
                  </w:rPr>
                </w:r>
                <w:r>
                  <w:rPr>
                    <w:b/>
                    <w:szCs w:val="24"/>
                  </w:rPr>
                  <w:fldChar w:fldCharType="separate"/>
                </w:r>
                <w:r w:rsidR="00DE3383" w:rsidRPr="000018D6">
                  <w:rPr>
                    <w:szCs w:val="24"/>
                  </w:rPr>
                  <w:fldChar w:fldCharType="end"/>
                </w:r>
                <w:r w:rsidR="0036662A" w:rsidRPr="000018D6">
                  <w:t xml:space="preserve"> </w:t>
                </w:r>
              </w:sdtContent>
            </w:sdt>
            <w:r w:rsidR="0036662A" w:rsidRPr="000018D6">
              <w:rPr>
                <w:szCs w:val="24"/>
              </w:rPr>
              <w:t xml:space="preserve">Taip </w:t>
            </w:r>
            <w:sdt>
              <w:sdtPr>
                <w:id w:val="-1063942054"/>
              </w:sdtPr>
              <w:sdtEndPr/>
              <w:sdtContent>
                <w:r w:rsidR="00DE3383" w:rsidRPr="000018D6">
                  <w:fldChar w:fldCharType="begin">
                    <w:ffData>
                      <w:name w:val=""/>
                      <w:enabled/>
                      <w:calcOnExit w:val="0"/>
                      <w:checkBox>
                        <w:sizeAuto/>
                        <w:default w:val="0"/>
                      </w:checkBox>
                    </w:ffData>
                  </w:fldChar>
                </w:r>
                <w:r w:rsidR="00DE3383" w:rsidRPr="000018D6">
                  <w:instrText xml:space="preserve"> FORMCHECKBOX </w:instrText>
                </w:r>
                <w:r>
                  <w:fldChar w:fldCharType="separate"/>
                </w:r>
                <w:r w:rsidR="00DE3383" w:rsidRPr="000018D6">
                  <w:fldChar w:fldCharType="end"/>
                </w:r>
              </w:sdtContent>
            </w:sdt>
            <w:r w:rsidR="0036662A" w:rsidRPr="000018D6">
              <w:rPr>
                <w:szCs w:val="24"/>
              </w:rPr>
              <w:t xml:space="preserve"> Ne</w:t>
            </w:r>
            <w:r w:rsidR="0036662A" w:rsidRPr="000018D6">
              <w:rPr>
                <w:szCs w:val="24"/>
              </w:rPr>
              <w:fldChar w:fldCharType="begin"/>
            </w:r>
            <w:r w:rsidR="0036662A" w:rsidRPr="000018D6">
              <w:rPr>
                <w:szCs w:val="24"/>
              </w:rPr>
              <w:instrText xml:space="preserve"> FILLIN   \* MERGEFORMAT </w:instrText>
            </w:r>
            <w:r w:rsidR="0036662A" w:rsidRPr="000018D6">
              <w:rPr>
                <w:szCs w:val="24"/>
              </w:rPr>
              <w:fldChar w:fldCharType="end"/>
            </w:r>
          </w:p>
        </w:tc>
      </w:tr>
      <w:tr w:rsidR="0036662A" w:rsidRPr="000018D6" w14:paraId="1B192880" w14:textId="77777777" w:rsidTr="00335D39">
        <w:tc>
          <w:tcPr>
            <w:tcW w:w="6804" w:type="dxa"/>
          </w:tcPr>
          <w:p w14:paraId="1B19287D" w14:textId="77777777" w:rsidR="0036662A" w:rsidRPr="000018D6" w:rsidRDefault="0036662A" w:rsidP="0072281D">
            <w:pPr>
              <w:rPr>
                <w:b/>
                <w:szCs w:val="24"/>
              </w:rPr>
            </w:pPr>
            <w:r w:rsidRPr="000018D6">
              <w:rPr>
                <w:b/>
                <w:szCs w:val="24"/>
              </w:rPr>
              <w:t>Ar į visas pastabas ir (ar) pasiūlymus atsižvelgta?</w:t>
            </w:r>
          </w:p>
          <w:p w14:paraId="1B19287E" w14:textId="77777777" w:rsidR="0036662A" w:rsidRPr="000018D6" w:rsidRDefault="0036662A" w:rsidP="0072281D">
            <w:pPr>
              <w:rPr>
                <w:i/>
                <w:sz w:val="20"/>
              </w:rPr>
            </w:pPr>
            <w:r w:rsidRPr="000018D6">
              <w:rPr>
                <w:i/>
                <w:sz w:val="20"/>
              </w:rPr>
              <w:t>Jei atsižvelgta į visas pastabas ir (ar) pasiūlymus, žemiau esanti lentelė nepildoma</w:t>
            </w:r>
          </w:p>
        </w:tc>
        <w:tc>
          <w:tcPr>
            <w:tcW w:w="7938" w:type="dxa"/>
          </w:tcPr>
          <w:p w14:paraId="1B19287F" w14:textId="22A4D1A8" w:rsidR="0036662A" w:rsidRPr="000018D6" w:rsidRDefault="002853D2" w:rsidP="0072281D">
            <w:pPr>
              <w:rPr>
                <w:szCs w:val="24"/>
              </w:rPr>
            </w:pPr>
            <w:sdt>
              <w:sdtPr>
                <w:id w:val="-1548671976"/>
              </w:sdtPr>
              <w:sdtEndPr/>
              <w:sdtContent/>
            </w:sdt>
            <w:sdt>
              <w:sdtPr>
                <w:id w:val="1992828949"/>
              </w:sdtPr>
              <w:sdtEndPr/>
              <w:sdtContent>
                <w:sdt>
                  <w:sdtPr>
                    <w:id w:val="-220442639"/>
                  </w:sdtPr>
                  <w:sdtEndPr/>
                  <w:sdtContent>
                    <w:sdt>
                      <w:sdtPr>
                        <w:id w:val="-1493404740"/>
                      </w:sdtPr>
                      <w:sdtEndPr/>
                      <w:sdtContent>
                        <w:r w:rsidR="00B31177" w:rsidRPr="000018D6">
                          <w:fldChar w:fldCharType="begin">
                            <w:ffData>
                              <w:name w:val=""/>
                              <w:enabled/>
                              <w:calcOnExit w:val="0"/>
                              <w:checkBox>
                                <w:sizeAuto/>
                                <w:default w:val="0"/>
                              </w:checkBox>
                            </w:ffData>
                          </w:fldChar>
                        </w:r>
                        <w:r w:rsidR="00B31177" w:rsidRPr="000018D6">
                          <w:instrText xml:space="preserve"> FORMCHECKBOX </w:instrText>
                        </w:r>
                        <w:r>
                          <w:fldChar w:fldCharType="separate"/>
                        </w:r>
                        <w:r w:rsidR="00B31177" w:rsidRPr="000018D6">
                          <w:fldChar w:fldCharType="end"/>
                        </w:r>
                      </w:sdtContent>
                    </w:sdt>
                    <w:r w:rsidR="003756C5" w:rsidRPr="000018D6">
                      <w:t xml:space="preserve"> </w:t>
                    </w:r>
                  </w:sdtContent>
                </w:sdt>
              </w:sdtContent>
            </w:sdt>
            <w:r w:rsidR="003756C5" w:rsidRPr="000018D6">
              <w:rPr>
                <w:szCs w:val="24"/>
              </w:rPr>
              <w:t xml:space="preserve"> </w:t>
            </w:r>
            <w:r w:rsidR="0036662A" w:rsidRPr="000018D6">
              <w:rPr>
                <w:szCs w:val="24"/>
              </w:rPr>
              <w:t xml:space="preserve">Taip </w:t>
            </w:r>
            <w:sdt>
              <w:sdtPr>
                <w:id w:val="-338542889"/>
              </w:sdtPr>
              <w:sdtEndPr/>
              <w:sdtContent>
                <w:sdt>
                  <w:sdtPr>
                    <w:id w:val="-1815640395"/>
                  </w:sdtPr>
                  <w:sdtEndPr/>
                  <w:sdtContent>
                    <w:sdt>
                      <w:sdtPr>
                        <w:id w:val="1755162504"/>
                      </w:sdtPr>
                      <w:sdtEndPr/>
                      <w:sdtContent>
                        <w:r w:rsidR="00B31177" w:rsidRPr="000018D6">
                          <w:rPr>
                            <w:b/>
                            <w:szCs w:val="24"/>
                          </w:rPr>
                          <w:fldChar w:fldCharType="begin">
                            <w:ffData>
                              <w:name w:val=""/>
                              <w:enabled/>
                              <w:calcOnExit w:val="0"/>
                              <w:checkBox>
                                <w:sizeAuto/>
                                <w:default w:val="1"/>
                              </w:checkBox>
                            </w:ffData>
                          </w:fldChar>
                        </w:r>
                        <w:r w:rsidR="00B31177" w:rsidRPr="000018D6">
                          <w:rPr>
                            <w:b/>
                            <w:szCs w:val="24"/>
                          </w:rPr>
                          <w:instrText xml:space="preserve"> FORMCHECKBOX </w:instrText>
                        </w:r>
                        <w:r>
                          <w:rPr>
                            <w:b/>
                            <w:szCs w:val="24"/>
                          </w:rPr>
                        </w:r>
                        <w:r>
                          <w:rPr>
                            <w:b/>
                            <w:szCs w:val="24"/>
                          </w:rPr>
                          <w:fldChar w:fldCharType="separate"/>
                        </w:r>
                        <w:r w:rsidR="00B31177" w:rsidRPr="000018D6">
                          <w:rPr>
                            <w:szCs w:val="24"/>
                          </w:rPr>
                          <w:fldChar w:fldCharType="end"/>
                        </w:r>
                      </w:sdtContent>
                    </w:sdt>
                  </w:sdtContent>
                </w:sdt>
              </w:sdtContent>
            </w:sdt>
            <w:r w:rsidR="0036662A" w:rsidRPr="000018D6">
              <w:rPr>
                <w:szCs w:val="24"/>
              </w:rPr>
              <w:t xml:space="preserve"> Ne </w:t>
            </w:r>
          </w:p>
        </w:tc>
      </w:tr>
    </w:tbl>
    <w:p w14:paraId="1B192881" w14:textId="77777777" w:rsidR="0036662A" w:rsidRPr="000018D6" w:rsidRDefault="0036662A" w:rsidP="0072281D">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5557"/>
        <w:gridCol w:w="6662"/>
      </w:tblGrid>
      <w:tr w:rsidR="0036662A" w:rsidRPr="000018D6" w14:paraId="1B192886" w14:textId="77777777" w:rsidTr="00CB55B0">
        <w:tc>
          <w:tcPr>
            <w:tcW w:w="567" w:type="dxa"/>
          </w:tcPr>
          <w:p w14:paraId="1B192882" w14:textId="77777777" w:rsidR="0036662A" w:rsidRPr="000018D6" w:rsidRDefault="0036662A" w:rsidP="0072281D">
            <w:pPr>
              <w:jc w:val="center"/>
              <w:rPr>
                <w:b/>
                <w:szCs w:val="24"/>
              </w:rPr>
            </w:pPr>
            <w:r w:rsidRPr="000018D6">
              <w:rPr>
                <w:b/>
                <w:szCs w:val="24"/>
              </w:rPr>
              <w:t>Nr.</w:t>
            </w:r>
          </w:p>
        </w:tc>
        <w:tc>
          <w:tcPr>
            <w:tcW w:w="1985" w:type="dxa"/>
          </w:tcPr>
          <w:p w14:paraId="1B192883" w14:textId="77777777" w:rsidR="0036662A" w:rsidRPr="000018D6" w:rsidRDefault="0036662A" w:rsidP="0072281D">
            <w:pPr>
              <w:jc w:val="center"/>
              <w:rPr>
                <w:b/>
                <w:szCs w:val="24"/>
              </w:rPr>
            </w:pPr>
            <w:r w:rsidRPr="000018D6">
              <w:rPr>
                <w:b/>
                <w:szCs w:val="24"/>
              </w:rPr>
              <w:t>Institucija</w:t>
            </w:r>
          </w:p>
        </w:tc>
        <w:tc>
          <w:tcPr>
            <w:tcW w:w="5557" w:type="dxa"/>
          </w:tcPr>
          <w:p w14:paraId="1B192884" w14:textId="77777777" w:rsidR="0036662A" w:rsidRPr="000018D6" w:rsidRDefault="0036662A" w:rsidP="0072281D">
            <w:pPr>
              <w:jc w:val="center"/>
              <w:rPr>
                <w:b/>
                <w:szCs w:val="24"/>
              </w:rPr>
            </w:pPr>
            <w:r w:rsidRPr="000018D6">
              <w:rPr>
                <w:b/>
                <w:bCs/>
              </w:rPr>
              <w:t>Pastabos ir pasiūlymai</w:t>
            </w:r>
          </w:p>
        </w:tc>
        <w:tc>
          <w:tcPr>
            <w:tcW w:w="6662" w:type="dxa"/>
          </w:tcPr>
          <w:p w14:paraId="1B192885" w14:textId="77777777" w:rsidR="0036662A" w:rsidRPr="000018D6" w:rsidRDefault="0036662A" w:rsidP="0072281D">
            <w:pPr>
              <w:jc w:val="center"/>
              <w:rPr>
                <w:b/>
                <w:szCs w:val="24"/>
              </w:rPr>
            </w:pPr>
            <w:r w:rsidRPr="000018D6">
              <w:rPr>
                <w:b/>
                <w:bCs/>
              </w:rPr>
              <w:t>Pastabų ir pasiūlymų vertinimas ir (jei taikoma) argumentai, kodėl neatsižvelgta į pastabas ar pasiūlymus</w:t>
            </w:r>
          </w:p>
        </w:tc>
      </w:tr>
      <w:tr w:rsidR="00407D7B" w:rsidRPr="000018D6" w14:paraId="1B19288B" w14:textId="77777777" w:rsidTr="00CB55B0">
        <w:tc>
          <w:tcPr>
            <w:tcW w:w="567" w:type="dxa"/>
            <w:vMerge w:val="restart"/>
          </w:tcPr>
          <w:p w14:paraId="1B192887" w14:textId="77777777" w:rsidR="00407D7B" w:rsidRPr="000018D6" w:rsidRDefault="00407D7B" w:rsidP="0072281D">
            <w:pPr>
              <w:pStyle w:val="ListParagraph"/>
              <w:numPr>
                <w:ilvl w:val="0"/>
                <w:numId w:val="1"/>
              </w:numPr>
              <w:jc w:val="both"/>
            </w:pPr>
          </w:p>
        </w:tc>
        <w:tc>
          <w:tcPr>
            <w:tcW w:w="1985" w:type="dxa"/>
            <w:vMerge w:val="restart"/>
          </w:tcPr>
          <w:p w14:paraId="1B192888" w14:textId="5009157A" w:rsidR="00407D7B" w:rsidRPr="000018D6" w:rsidRDefault="00407D7B" w:rsidP="0072281D">
            <w:r w:rsidRPr="000018D6">
              <w:t>UAB „Sėkmės sprendimai“</w:t>
            </w:r>
          </w:p>
        </w:tc>
        <w:tc>
          <w:tcPr>
            <w:tcW w:w="5557" w:type="dxa"/>
          </w:tcPr>
          <w:p w14:paraId="1B192889" w14:textId="57911CF4" w:rsidR="00407D7B" w:rsidRPr="000018D6" w:rsidRDefault="00407D7B" w:rsidP="0072281D">
            <w:pPr>
              <w:jc w:val="both"/>
            </w:pPr>
            <w:r w:rsidRPr="000018D6">
              <w:t xml:space="preserve">Prašome 2-ros (tinkamų finansuoti išlaidų) lentelės  išlaidų punktą nr. 5.5 papildyti galimybe finansuoti programinės įrangos nusidėvėjimą. Šios išlaidos yra būtinos įgyvendinant MTEP projektus informacinių technologijų </w:t>
            </w:r>
            <w:bookmarkStart w:id="0" w:name="_GoBack"/>
            <w:bookmarkEnd w:id="0"/>
            <w:r w:rsidRPr="000018D6">
              <w:t>srityje.</w:t>
            </w:r>
          </w:p>
        </w:tc>
        <w:tc>
          <w:tcPr>
            <w:tcW w:w="6662" w:type="dxa"/>
          </w:tcPr>
          <w:p w14:paraId="1B19288A" w14:textId="070B1DAD" w:rsidR="00407D7B" w:rsidRPr="000018D6" w:rsidRDefault="0099064B" w:rsidP="007B5F5A">
            <w:pPr>
              <w:jc w:val="both"/>
            </w:pPr>
            <w:r w:rsidRPr="000018D6">
              <w:t>Nea</w:t>
            </w:r>
            <w:r w:rsidR="00407D7B" w:rsidRPr="000018D6">
              <w:t xml:space="preserve">tsižvelgta. </w:t>
            </w:r>
            <w:r w:rsidRPr="000018D6">
              <w:t>Atkreipiame dėmesį, kad minėtas Aprašo papunktis dėstomas taip</w:t>
            </w:r>
            <w:r w:rsidR="00407D7B" w:rsidRPr="000018D6">
              <w:t>: „</w:t>
            </w:r>
            <w:r w:rsidR="00407D7B" w:rsidRPr="000018D6">
              <w:rPr>
                <w:szCs w:val="24"/>
              </w:rPr>
              <w:t xml:space="preserve">5.5. </w:t>
            </w:r>
            <w:r w:rsidRPr="000018D6">
              <w:rPr>
                <w:szCs w:val="24"/>
              </w:rPr>
              <w:t>projekto MTEP veikloms naudojamo turto (įrangos, prietaisų, įrankių, įrenginių, mašinų ir įrengimų, pastatų ir (ar) patalpų) nusidėvėjimo arba amortizacijos sąnaudos, jeigu šiam turtui įsigyti nebuvo naudojamos viešosios (įskaitant ir kitų valstybių) lėšos. Šios išlaidos negali sudaryti daugiau nei 50 procentų tinkamų finansuoti Aprašo 10.1 papunktyje nurodytai veiklai skirtų išlaidų</w:t>
            </w:r>
            <w:r w:rsidR="00407D7B" w:rsidRPr="000018D6">
              <w:rPr>
                <w:szCs w:val="24"/>
              </w:rPr>
              <w:t xml:space="preserve">“. </w:t>
            </w:r>
            <w:r w:rsidR="007B5F5A" w:rsidRPr="000018D6">
              <w:rPr>
                <w:szCs w:val="24"/>
              </w:rPr>
              <w:t>N</w:t>
            </w:r>
            <w:r w:rsidR="00407D7B" w:rsidRPr="000018D6">
              <w:rPr>
                <w:szCs w:val="24"/>
              </w:rPr>
              <w:t>audojamas turtas detalizuojamas nurodant įrangą</w:t>
            </w:r>
            <w:r w:rsidR="007B5F5A" w:rsidRPr="000018D6">
              <w:rPr>
                <w:szCs w:val="24"/>
              </w:rPr>
              <w:t xml:space="preserve"> (įskaitant programinę ir kt.)</w:t>
            </w:r>
            <w:r w:rsidR="00407D7B" w:rsidRPr="000018D6">
              <w:rPr>
                <w:szCs w:val="24"/>
              </w:rPr>
              <w:t xml:space="preserve"> apskri</w:t>
            </w:r>
            <w:r w:rsidR="007B5F5A" w:rsidRPr="000018D6">
              <w:rPr>
                <w:szCs w:val="24"/>
              </w:rPr>
              <w:t>tai, o ne konkrečią įrangos rūšį</w:t>
            </w:r>
            <w:r w:rsidR="00407D7B" w:rsidRPr="000018D6">
              <w:rPr>
                <w:szCs w:val="24"/>
              </w:rPr>
              <w:t xml:space="preserve">. Ar </w:t>
            </w:r>
            <w:r w:rsidR="00054708" w:rsidRPr="000018D6">
              <w:rPr>
                <w:szCs w:val="24"/>
              </w:rPr>
              <w:t xml:space="preserve">konkrečios </w:t>
            </w:r>
            <w:r w:rsidR="00407D7B" w:rsidRPr="000018D6">
              <w:rPr>
                <w:szCs w:val="24"/>
              </w:rPr>
              <w:t>naudojamos įrangos nusidėvėjimo sąnaudos tinkamos</w:t>
            </w:r>
            <w:r w:rsidR="00054708" w:rsidRPr="000018D6">
              <w:rPr>
                <w:szCs w:val="24"/>
              </w:rPr>
              <w:t xml:space="preserve"> finansuoti</w:t>
            </w:r>
            <w:r w:rsidR="00407D7B" w:rsidRPr="000018D6">
              <w:rPr>
                <w:szCs w:val="24"/>
              </w:rPr>
              <w:t>, nustatoma projekto vertinimo metu.</w:t>
            </w:r>
          </w:p>
        </w:tc>
      </w:tr>
      <w:tr w:rsidR="00407D7B" w:rsidRPr="000018D6" w14:paraId="48C5C8E4" w14:textId="77777777" w:rsidTr="00CB55B0">
        <w:trPr>
          <w:trHeight w:val="1995"/>
        </w:trPr>
        <w:tc>
          <w:tcPr>
            <w:tcW w:w="567" w:type="dxa"/>
            <w:vMerge/>
          </w:tcPr>
          <w:p w14:paraId="5840DD2A" w14:textId="77777777" w:rsidR="00407D7B" w:rsidRPr="000018D6" w:rsidRDefault="00407D7B" w:rsidP="0072281D">
            <w:pPr>
              <w:jc w:val="both"/>
            </w:pPr>
          </w:p>
        </w:tc>
        <w:tc>
          <w:tcPr>
            <w:tcW w:w="1985" w:type="dxa"/>
            <w:vMerge/>
          </w:tcPr>
          <w:p w14:paraId="4B717391" w14:textId="77777777" w:rsidR="00407D7B" w:rsidRPr="000018D6" w:rsidRDefault="00407D7B" w:rsidP="0072281D"/>
        </w:tc>
        <w:tc>
          <w:tcPr>
            <w:tcW w:w="5557" w:type="dxa"/>
          </w:tcPr>
          <w:p w14:paraId="5A6B5D50" w14:textId="6039082C" w:rsidR="00407D7B" w:rsidRPr="000018D6" w:rsidRDefault="00407D7B" w:rsidP="006362C7">
            <w:pPr>
              <w:jc w:val="both"/>
              <w:rPr>
                <w:b/>
                <w:bCs/>
                <w:highlight w:val="yellow"/>
              </w:rPr>
            </w:pPr>
            <w:r w:rsidRPr="00344FA8">
              <w:t>Kadangi daug įmonių planuoja statybos bei rekonstravimo darbus siekdamos įrengti MTEP veikloms būtiną infrastruktūrą, o 18 mėnesių yra pakankamas terminas šiems darbams atlikti, prašome palikti 4-tos lentelės 3 kategorijos išlaidas „Statyba, rekonstravimas, remontas ir kiti darbai” kaip tinkamas.</w:t>
            </w:r>
          </w:p>
        </w:tc>
        <w:tc>
          <w:tcPr>
            <w:tcW w:w="6662" w:type="dxa"/>
          </w:tcPr>
          <w:p w14:paraId="63E7A585" w14:textId="763B60C9" w:rsidR="00407D7B" w:rsidRPr="00927DF4" w:rsidRDefault="00344FA8" w:rsidP="00BF20C7">
            <w:pPr>
              <w:jc w:val="both"/>
            </w:pPr>
            <w:r w:rsidRPr="00344FA8">
              <w:t>Neatsižvelgta.</w:t>
            </w:r>
            <w:r w:rsidR="00A96332">
              <w:t xml:space="preserve"> </w:t>
            </w:r>
            <w:r w:rsidR="005915DC">
              <w:t xml:space="preserve">Atsakomybės ir funkcijų paskirstymo tarp institucijų, įgyvendinant 2014–2020 metų Europos Sąjungos fondų investicijų veiksmų programą ir rengiantis įgyvendinti 2021–2027 metų Europos Sąjungos fondų investicijų programą, taisyklių, patvirtintų Lietuvos Respublikos Vyriausybės </w:t>
            </w:r>
            <w:r w:rsidR="006A77D3" w:rsidRPr="000018D6">
              <w:t>2014 m</w:t>
            </w:r>
            <w:r w:rsidR="006A77D3">
              <w:t>. birželio 4</w:t>
            </w:r>
            <w:r w:rsidR="006A77D3" w:rsidRPr="000018D6">
              <w:t xml:space="preserve"> d. </w:t>
            </w:r>
            <w:r w:rsidR="006A77D3">
              <w:t xml:space="preserve">nutarimu Nr. 528, 6.8 papunktyje nustatyta, kad ministerija pagal kompetenciją užtikrina, kad </w:t>
            </w:r>
            <w:r w:rsidR="00E25CDA" w:rsidRPr="000018D6">
              <w:rPr>
                <w:lang w:eastAsia="en-US"/>
              </w:rPr>
              <w:t xml:space="preserve">Europos Sąjungos </w:t>
            </w:r>
            <w:r w:rsidR="00E25CDA">
              <w:rPr>
                <w:lang w:eastAsia="en-US"/>
              </w:rPr>
              <w:t xml:space="preserve">(toliau – </w:t>
            </w:r>
            <w:r w:rsidR="006A77D3">
              <w:rPr>
                <w:szCs w:val="24"/>
              </w:rPr>
              <w:t>ES</w:t>
            </w:r>
            <w:r w:rsidR="00E25CDA">
              <w:rPr>
                <w:szCs w:val="24"/>
              </w:rPr>
              <w:t>)</w:t>
            </w:r>
            <w:r w:rsidR="006A77D3">
              <w:rPr>
                <w:szCs w:val="24"/>
              </w:rPr>
              <w:t xml:space="preserve"> struktūrinių fondų lėšos nebūtų prarastos</w:t>
            </w:r>
            <w:r w:rsidR="00927DF4">
              <w:rPr>
                <w:szCs w:val="24"/>
              </w:rPr>
              <w:t>.</w:t>
            </w:r>
            <w:r w:rsidR="00BE2198">
              <w:t xml:space="preserve"> </w:t>
            </w:r>
            <w:r w:rsidR="00A96332" w:rsidRPr="000018D6">
              <w:rPr>
                <w:lang w:eastAsia="en-US"/>
              </w:rPr>
              <w:t xml:space="preserve">Projektų administravimo </w:t>
            </w:r>
            <w:r w:rsidR="00A96332" w:rsidRPr="000018D6">
              <w:rPr>
                <w:lang w:eastAsia="en-US"/>
              </w:rPr>
              <w:lastRenderedPageBreak/>
              <w:t xml:space="preserve">ir finansavimo taisyklių, patvirtintų </w:t>
            </w:r>
            <w:r w:rsidR="00A96332" w:rsidRPr="000018D6">
              <w:t>Lietuvos Respublikos finansų ministro 2014 m</w:t>
            </w:r>
            <w:r w:rsidR="00927DF4">
              <w:t>.</w:t>
            </w:r>
            <w:r w:rsidR="00A96332" w:rsidRPr="000018D6">
              <w:t xml:space="preserve"> spalio 8 d. įsakymu Nr. 1K-316 „Dėl Projektų administravimo ir finansavimo taisyklių patvirtinimo“</w:t>
            </w:r>
            <w:r w:rsidR="00DB4382">
              <w:t xml:space="preserve"> </w:t>
            </w:r>
            <w:r w:rsidR="00A96332" w:rsidRPr="000018D6">
              <w:t xml:space="preserve">(toliau – PAFT), 213.1 papunktyje </w:t>
            </w:r>
            <w:r w:rsidR="00A96332" w:rsidRPr="000018D6">
              <w:rPr>
                <w:lang w:eastAsia="en-US"/>
              </w:rPr>
              <w:t>nustatyta, kad „</w:t>
            </w:r>
            <w:r w:rsidR="00A96332" w:rsidRPr="000018D6">
              <w:t xml:space="preserve">Mokėjimo prašymus projekto vykdytojas įgyvendinančiajai institucijai gali teikti nuo projekto sutarties pasirašymo dienos iki projekto finansavimo pabaigos, bet ne vėliau kaip iki </w:t>
            </w:r>
            <w:r w:rsidR="00A96332" w:rsidRPr="000018D6">
              <w:rPr>
                <w:b/>
              </w:rPr>
              <w:t>2023 m. spalio 1 dienos</w:t>
            </w:r>
            <w:r w:rsidR="00A96332" w:rsidRPr="000018D6">
              <w:t>“. Tai reiškia, kad iki šio termino projektai turi būti pabaigti ir dėl jų įgyvendinančiajai institucijai turi būti pateikti mokėjimo prašymai.</w:t>
            </w:r>
            <w:r w:rsidR="00927DF4">
              <w:t xml:space="preserve"> </w:t>
            </w:r>
            <w:r w:rsidR="00BE2198" w:rsidRPr="000018D6">
              <w:t>2014</w:t>
            </w:r>
            <w:r w:rsidR="00BE2198" w:rsidRPr="000018D6">
              <w:rPr>
                <w:lang w:eastAsia="en-US"/>
              </w:rPr>
              <w:t xml:space="preserve">–2020 metų </w:t>
            </w:r>
            <w:r w:rsidR="00181ABC">
              <w:rPr>
                <w:lang w:eastAsia="en-US"/>
              </w:rPr>
              <w:t xml:space="preserve">ES </w:t>
            </w:r>
            <w:r w:rsidR="00BE2198" w:rsidRPr="000018D6">
              <w:rPr>
                <w:lang w:eastAsia="en-US"/>
              </w:rPr>
              <w:t>fondų investicijų laikotarpis jau eina į pabaigą</w:t>
            </w:r>
            <w:r w:rsidR="0050510A">
              <w:rPr>
                <w:lang w:eastAsia="en-US"/>
              </w:rPr>
              <w:t>. A</w:t>
            </w:r>
            <w:r w:rsidR="00927DF4">
              <w:t>nkstesnių priemonių projektų, kuriuose vykdyti statybos ir (ar) rekonstravimo</w:t>
            </w:r>
            <w:r w:rsidR="00463131">
              <w:t xml:space="preserve"> darbai, patirtis rodo, kad dažnai </w:t>
            </w:r>
            <w:r w:rsidR="00E25CDA">
              <w:t xml:space="preserve">tokie projektai </w:t>
            </w:r>
            <w:r w:rsidR="00463131">
              <w:t xml:space="preserve">užtrunka </w:t>
            </w:r>
            <w:r w:rsidR="00181ABC">
              <w:t xml:space="preserve">ilgiau nei planuota </w:t>
            </w:r>
            <w:r w:rsidR="00463131">
              <w:t xml:space="preserve">dėl pirkimų vykdymo, statybos leidimo gavimo, techninio projekto ir kt. su minėtais </w:t>
            </w:r>
            <w:r w:rsidR="00E25CDA">
              <w:t>darba</w:t>
            </w:r>
            <w:r w:rsidR="0050510A">
              <w:t xml:space="preserve">is susijusių aplinkybių. Įvertinę tai ir siekdami užtikrinti, kad </w:t>
            </w:r>
            <w:r w:rsidR="0050510A">
              <w:rPr>
                <w:szCs w:val="24"/>
              </w:rPr>
              <w:t xml:space="preserve">ES struktūrinių fondų lėšos būtų panaudotos laiku ir </w:t>
            </w:r>
            <w:r w:rsidR="00DB4382">
              <w:rPr>
                <w:szCs w:val="24"/>
              </w:rPr>
              <w:t xml:space="preserve">nebūtų prarastos, </w:t>
            </w:r>
            <w:r w:rsidR="008B71AD">
              <w:rPr>
                <w:szCs w:val="24"/>
              </w:rPr>
              <w:t xml:space="preserve">manome, kad dėl </w:t>
            </w:r>
            <w:r w:rsidR="00DB4382" w:rsidRPr="00344FA8">
              <w:t xml:space="preserve">statybos </w:t>
            </w:r>
            <w:r w:rsidR="00DB4382">
              <w:t>ir (ar) rekonstravimo</w:t>
            </w:r>
            <w:r w:rsidR="00BF20C7">
              <w:t xml:space="preserve"> </w:t>
            </w:r>
            <w:r w:rsidR="00DB4382">
              <w:t>darbų</w:t>
            </w:r>
            <w:r w:rsidR="008B71AD">
              <w:t xml:space="preserve"> kiltų rizika priemonės projektų neįgyvendinti</w:t>
            </w:r>
            <w:r w:rsidR="00C50001">
              <w:t xml:space="preserve"> iki PAFT nustatytų galutinių terminų, kurių pratęsti</w:t>
            </w:r>
            <w:r w:rsidR="003D72BF">
              <w:t xml:space="preserve"> galimybės</w:t>
            </w:r>
            <w:r w:rsidR="00C50001">
              <w:t xml:space="preserve"> nėra.</w:t>
            </w:r>
          </w:p>
        </w:tc>
      </w:tr>
      <w:tr w:rsidR="00407D7B" w:rsidRPr="000018D6" w14:paraId="7CCFB373" w14:textId="77777777" w:rsidTr="00CB55B0">
        <w:trPr>
          <w:trHeight w:val="1620"/>
        </w:trPr>
        <w:tc>
          <w:tcPr>
            <w:tcW w:w="567" w:type="dxa"/>
            <w:vMerge/>
          </w:tcPr>
          <w:p w14:paraId="3DE6079B" w14:textId="77777777" w:rsidR="00407D7B" w:rsidRPr="000018D6" w:rsidRDefault="00407D7B" w:rsidP="0072281D">
            <w:pPr>
              <w:jc w:val="both"/>
            </w:pPr>
          </w:p>
        </w:tc>
        <w:tc>
          <w:tcPr>
            <w:tcW w:w="1985" w:type="dxa"/>
            <w:vMerge/>
          </w:tcPr>
          <w:p w14:paraId="3CBEA033" w14:textId="77777777" w:rsidR="00407D7B" w:rsidRPr="000018D6" w:rsidRDefault="00407D7B" w:rsidP="0072281D"/>
        </w:tc>
        <w:tc>
          <w:tcPr>
            <w:tcW w:w="5557" w:type="dxa"/>
          </w:tcPr>
          <w:p w14:paraId="78149020" w14:textId="35922AB6" w:rsidR="00407D7B" w:rsidRPr="000018D6" w:rsidRDefault="00407D7B" w:rsidP="0072281D">
            <w:pPr>
              <w:jc w:val="both"/>
            </w:pPr>
            <w:r w:rsidRPr="000018D6">
              <w:t>Kadangi Lietuva turi išskirtines kompetencijas ir potencialą ne tik gyvybės mokslų srityje bet ir kitose srityse (pavyzdžiui informacinės technologijos, lazerinės technologijos), prašome atsisakyti 5-to naudos ir kokybės vertinimo kriterijaus “</w:t>
            </w:r>
            <w:r w:rsidRPr="000018D6">
              <w:rPr>
                <w:i/>
                <w:iCs/>
              </w:rPr>
              <w:t>5. Įgyvendinant projektą numatomos vykdyti MTEP veiklos priskirtinos gyvybės mokslų sektoriui.”</w:t>
            </w:r>
          </w:p>
        </w:tc>
        <w:tc>
          <w:tcPr>
            <w:tcW w:w="6662" w:type="dxa"/>
          </w:tcPr>
          <w:p w14:paraId="47EA2664" w14:textId="147B0F29" w:rsidR="00407D7B" w:rsidRPr="000018D6" w:rsidRDefault="00217259" w:rsidP="00BF20C7">
            <w:pPr>
              <w:jc w:val="both"/>
              <w:rPr>
                <w:rFonts w:ascii="Myriad Pro" w:hAnsi="Myriad Pro"/>
                <w:b/>
                <w:bCs/>
              </w:rPr>
            </w:pPr>
            <w:r w:rsidRPr="000018D6">
              <w:rPr>
                <w:bCs/>
              </w:rPr>
              <w:t xml:space="preserve">Neatsižvelgta. </w:t>
            </w:r>
            <w:r w:rsidR="00A72C29" w:rsidRPr="000018D6">
              <w:rPr>
                <w:bCs/>
              </w:rPr>
              <w:t xml:space="preserve">Pažymime, kad kriterijus </w:t>
            </w:r>
            <w:r w:rsidR="00010B09" w:rsidRPr="000018D6">
              <w:rPr>
                <w:bCs/>
              </w:rPr>
              <w:t>nustatytas atsižvelgiant į strateginius tikslus –</w:t>
            </w:r>
            <w:r w:rsidR="00A72C29" w:rsidRPr="000018D6">
              <w:rPr>
                <w:bCs/>
              </w:rPr>
              <w:t xml:space="preserve"> 2021–2030 m. Nacionaliniame pažangos plane </w:t>
            </w:r>
            <w:r w:rsidR="00010B09" w:rsidRPr="000018D6">
              <w:rPr>
                <w:bCs/>
              </w:rPr>
              <w:t>yra iškeltas tikslas</w:t>
            </w:r>
            <w:r w:rsidR="00A72C29" w:rsidRPr="000018D6">
              <w:rPr>
                <w:bCs/>
              </w:rPr>
              <w:t xml:space="preserve"> – pasiekti, kad gyvybės mokslų industrijos sukuriamos pridėtinės vertės dalis nuo bendros pridėtinės vertės 2030 m. sudarytų 5 procentus.</w:t>
            </w:r>
            <w:r w:rsidR="00EA28EF" w:rsidRPr="000018D6">
              <w:rPr>
                <w:bCs/>
              </w:rPr>
              <w:t xml:space="preserve"> Minėtas kriterijus patvirtintas </w:t>
            </w:r>
            <w:r w:rsidR="00A72C29" w:rsidRPr="000018D6">
              <w:t xml:space="preserve">2014–2020 metų </w:t>
            </w:r>
            <w:r w:rsidR="00C50001">
              <w:t xml:space="preserve">ES </w:t>
            </w:r>
            <w:r w:rsidR="00A72C29" w:rsidRPr="000018D6">
              <w:t>investicijų veiksm</w:t>
            </w:r>
            <w:r w:rsidR="00EA28EF" w:rsidRPr="000018D6">
              <w:t>ų programos stebėsenos komiteto</w:t>
            </w:r>
            <w:r w:rsidR="00A72C29" w:rsidRPr="000018D6">
              <w:t xml:space="preserve"> (toliau – Stebėsenos komitetas) 2021 m. </w:t>
            </w:r>
            <w:r w:rsidR="008F5C44" w:rsidRPr="000018D6">
              <w:t>birželio 30 d.</w:t>
            </w:r>
            <w:r w:rsidR="00A72C29" w:rsidRPr="000018D6">
              <w:t xml:space="preserve"> posėdyje</w:t>
            </w:r>
            <w:r w:rsidR="00EA28EF" w:rsidRPr="000018D6">
              <w:t xml:space="preserve">. </w:t>
            </w:r>
            <w:r w:rsidRPr="000018D6">
              <w:t>A</w:t>
            </w:r>
            <w:r w:rsidR="00EA28EF" w:rsidRPr="000018D6">
              <w:t>tkreiptinas</w:t>
            </w:r>
            <w:r w:rsidRPr="000018D6">
              <w:t xml:space="preserve"> dėmesys, kad </w:t>
            </w:r>
            <w:r w:rsidRPr="000018D6">
              <w:rPr>
                <w:bCs/>
              </w:rPr>
              <w:t xml:space="preserve">priemonės projektų atrankos kriterijai, prieš teikiant juos tvirtinti Stebėsenos komitetui, buvo paskelbti viešajam aptarimui </w:t>
            </w:r>
            <w:r w:rsidRPr="000018D6">
              <w:t xml:space="preserve">2014–2020 metų </w:t>
            </w:r>
            <w:r w:rsidR="00BF20C7">
              <w:t xml:space="preserve">ES </w:t>
            </w:r>
            <w:r w:rsidRPr="000018D6">
              <w:t xml:space="preserve">fondų investicijų veiksmų programos administravimo taisyklių, patvirtintų Lietuvos Respublikos Vyriausybės 2014 m. spalio 14 d. nutarimu Nr. 1090 „Dėl 2014–2020 metų </w:t>
            </w:r>
            <w:r w:rsidR="00BF20C7">
              <w:t xml:space="preserve">ES </w:t>
            </w:r>
            <w:r w:rsidRPr="000018D6">
              <w:t>fondų investicijų veiksmų programos administravimo taisyklių patvirtinimo“ (toliau – VPAT), 60</w:t>
            </w:r>
            <w:r w:rsidRPr="000018D6">
              <w:rPr>
                <w:vertAlign w:val="superscript"/>
              </w:rPr>
              <w:t xml:space="preserve">1 </w:t>
            </w:r>
            <w:r w:rsidRPr="000018D6">
              <w:t>punkte nustatyta tvarka. Per nustatytą terminą pasiūlymų ar pastabų dėl projektų atrankos kriterijų nebuvo gauta</w:t>
            </w:r>
            <w:r w:rsidR="00BF20C7">
              <w:t>.</w:t>
            </w:r>
          </w:p>
        </w:tc>
      </w:tr>
      <w:tr w:rsidR="00407D7B" w:rsidRPr="000018D6" w14:paraId="08003298" w14:textId="77777777" w:rsidTr="00CB55B0">
        <w:trPr>
          <w:trHeight w:val="849"/>
        </w:trPr>
        <w:tc>
          <w:tcPr>
            <w:tcW w:w="567" w:type="dxa"/>
            <w:vMerge/>
          </w:tcPr>
          <w:p w14:paraId="0350520F" w14:textId="77777777" w:rsidR="00407D7B" w:rsidRPr="000018D6" w:rsidRDefault="00407D7B" w:rsidP="0072281D">
            <w:pPr>
              <w:jc w:val="both"/>
            </w:pPr>
          </w:p>
        </w:tc>
        <w:tc>
          <w:tcPr>
            <w:tcW w:w="1985" w:type="dxa"/>
            <w:vMerge/>
          </w:tcPr>
          <w:p w14:paraId="3B68B941" w14:textId="77777777" w:rsidR="00407D7B" w:rsidRPr="000018D6" w:rsidRDefault="00407D7B" w:rsidP="0072281D"/>
        </w:tc>
        <w:tc>
          <w:tcPr>
            <w:tcW w:w="5557" w:type="dxa"/>
          </w:tcPr>
          <w:p w14:paraId="3B97C81C" w14:textId="736816B2" w:rsidR="00407D7B" w:rsidRPr="000018D6" w:rsidRDefault="00407D7B" w:rsidP="00407D7B">
            <w:pPr>
              <w:jc w:val="both"/>
              <w:rPr>
                <w:highlight w:val="yellow"/>
              </w:rPr>
            </w:pPr>
            <w:r w:rsidRPr="000018D6">
              <w:t xml:space="preserve">Kadangi paramos priemonės tikslas skatinti taikomąją naudą – komercinį pritaikymą turinčias investicijas į MTEP bei skatinti Lietuvos ekonominį vystymąsi, prašome 4-tam naudos ir kokybės kriterijui </w:t>
            </w:r>
            <w:r w:rsidRPr="000018D6">
              <w:rPr>
                <w:i/>
                <w:iCs/>
              </w:rPr>
              <w:t>„4. Įgyvendinant projektą ir 3 metus po projekto veiklų įgyvendinimo pabaigos įmonės pajamų, gautų iš įgyvendinant projektą ir tiesiogiai projekto įgyvendinimo metu sukurtų ir rinkai pateiktų produktų, santykis su tinkamomis finansuoti projekto išlaidomis.“</w:t>
            </w:r>
            <w:r w:rsidRPr="000018D6">
              <w:t xml:space="preserve"> suteikti didesnį svorį – bent 30 balų.</w:t>
            </w:r>
          </w:p>
        </w:tc>
        <w:tc>
          <w:tcPr>
            <w:tcW w:w="6662" w:type="dxa"/>
          </w:tcPr>
          <w:p w14:paraId="48E4AE51" w14:textId="15C65006" w:rsidR="00407D7B" w:rsidRPr="000018D6" w:rsidRDefault="00782A34" w:rsidP="000D27AB">
            <w:pPr>
              <w:jc w:val="both"/>
              <w:rPr>
                <w:highlight w:val="yellow"/>
              </w:rPr>
            </w:pPr>
            <w:r w:rsidRPr="00446059">
              <w:t>Atsižvelgta.</w:t>
            </w:r>
            <w:r w:rsidR="00917F31">
              <w:t xml:space="preserve"> Stebėsenos komitetui </w:t>
            </w:r>
            <w:r w:rsidR="00917F31" w:rsidRPr="0045288D">
              <w:t>2021 m.</w:t>
            </w:r>
            <w:r w:rsidR="00917F31">
              <w:t xml:space="preserve"> birželio </w:t>
            </w:r>
            <w:r w:rsidR="00917F31" w:rsidRPr="0045288D">
              <w:t>30 d.</w:t>
            </w:r>
            <w:r w:rsidR="00917F31">
              <w:t xml:space="preserve"> posėdyje pakeitus prioritetinių projektų atrankos kriterijų eiliškumą, šiam kriterijui </w:t>
            </w:r>
            <w:r w:rsidR="000D27AB">
              <w:t>numatyta teikti didžiausią vertinimo svorio koeficientą</w:t>
            </w:r>
            <w:r w:rsidR="00917F31">
              <w:t>.</w:t>
            </w:r>
          </w:p>
        </w:tc>
      </w:tr>
      <w:tr w:rsidR="00797D5F" w:rsidRPr="000018D6" w14:paraId="6C39ADC8" w14:textId="77777777" w:rsidTr="00CB55B0">
        <w:trPr>
          <w:trHeight w:val="5091"/>
        </w:trPr>
        <w:tc>
          <w:tcPr>
            <w:tcW w:w="567" w:type="dxa"/>
            <w:vMerge w:val="restart"/>
          </w:tcPr>
          <w:p w14:paraId="73BC7D4B" w14:textId="0C3CC038" w:rsidR="00797D5F" w:rsidRPr="000018D6" w:rsidRDefault="00797D5F" w:rsidP="0072281D">
            <w:pPr>
              <w:pStyle w:val="ListParagraph"/>
              <w:numPr>
                <w:ilvl w:val="0"/>
                <w:numId w:val="1"/>
              </w:numPr>
              <w:jc w:val="both"/>
            </w:pPr>
          </w:p>
        </w:tc>
        <w:tc>
          <w:tcPr>
            <w:tcW w:w="1985" w:type="dxa"/>
            <w:vMerge w:val="restart"/>
          </w:tcPr>
          <w:p w14:paraId="211FAA1F" w14:textId="5AEEF0C2" w:rsidR="00797D5F" w:rsidRPr="000018D6" w:rsidRDefault="00797D5F" w:rsidP="0072281D">
            <w:r w:rsidRPr="000018D6">
              <w:t>UAB „Ferox Baltic“</w:t>
            </w:r>
          </w:p>
        </w:tc>
        <w:tc>
          <w:tcPr>
            <w:tcW w:w="5557" w:type="dxa"/>
          </w:tcPr>
          <w:p w14:paraId="4B62038A" w14:textId="0A9C278D" w:rsidR="00797D5F" w:rsidRPr="000018D6" w:rsidRDefault="00797D5F" w:rsidP="00DB1E5B">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Priedas Nr. 2, 1 punktas:</w:t>
            </w:r>
          </w:p>
          <w:p w14:paraId="49082149" w14:textId="5F7FF835" w:rsidR="00797D5F" w:rsidRPr="000018D6" w:rsidRDefault="00797D5F" w:rsidP="00DB1E5B">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Kadangi vertinimo kriterijai ruošiami pagal „Eksperimentas“ priemonę, mes rekomenduojame neapsunkinti galimybės skaičiuoti balus ir neversti dirbtinai sukurti daugiau prototipų, nes projekto įgyvendinimo laikotarpis yra trumpesnis nei priemonės „Eksperimentas“. Vertinant tai, kad priemonei numatytas 12 arba 18 mėnesių įgyvendinimo laikotarpis, manome, kad didelis prototipų kiekis yra sunkiai įveikiamas, nes patirtis rodo, kad 24 mėnesių laikotarpyje įmanoma sukurti ne daugiau kaip 3 veikiančius prototipus. Toks vertinimo kriterijus, kuris yra šiuo metu siūlomas vers pareiškėjus dirbtinai kurti daugiau prototipų, tačiau naudos nebus.</w:t>
            </w:r>
          </w:p>
          <w:p w14:paraId="718E0530" w14:textId="77777777" w:rsidR="00797D5F" w:rsidRPr="000018D6" w:rsidRDefault="00797D5F" w:rsidP="00DB1E5B">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w:t>
            </w:r>
          </w:p>
          <w:p w14:paraId="299031D1" w14:textId="77777777" w:rsidR="00797D5F" w:rsidRPr="000018D6" w:rsidRDefault="00797D5F" w:rsidP="00DB1E5B">
            <w:pPr>
              <w:jc w:val="both"/>
              <w:rPr>
                <w:i/>
                <w:szCs w:val="24"/>
              </w:rPr>
            </w:pPr>
            <w:r w:rsidRPr="000018D6">
              <w:rPr>
                <w:i/>
                <w:szCs w:val="24"/>
              </w:rPr>
              <w:t xml:space="preserve">Siekiant skatinti naujų visuotinai reikšmingų produktų kūrimą, būtina įvertinti projekto įgyvendinimo metu arba įgyvendinus projektą sukurto (-ų) produkto (-ų) reikšmingumo lygį. Reikšmingumas yra vertinamas atsižvelgiant į projekto įgyvendinimo metu arba įgyvendinus projektą sukurto (-ų) produkto (-ų) naujumo lygį. Naujumas skiriamas į tris grupes (reikšmingumo didėjimo tvarka): produktas naujas įmonės lygmeniu, produktas naujas rinkos lygmeniu, produktas naujas pasaulio lygmeniu, kaip nurodyta Oslo vadove, 2018: Duomenų apie inovacijas rinkimo, </w:t>
            </w:r>
            <w:r w:rsidRPr="000018D6">
              <w:rPr>
                <w:i/>
                <w:szCs w:val="24"/>
              </w:rPr>
              <w:lastRenderedPageBreak/>
              <w:t xml:space="preserve">teikimo ir naudojimo gairėse (angl. Oslo manual. Guidelines for Collecting and Interpreting Innovation Data, 4rd Edition, </w:t>
            </w:r>
            <w:r w:rsidRPr="000018D6">
              <w:rPr>
                <w:bCs/>
                <w:i/>
                <w:szCs w:val="24"/>
              </w:rPr>
              <w:t>OECD, Eurostat, 2018)</w:t>
            </w:r>
            <w:r w:rsidRPr="000018D6">
              <w:rPr>
                <w:i/>
                <w:szCs w:val="24"/>
              </w:rPr>
              <w:t xml:space="preserve">. Aukštesnis įvertinimas suteikiamas tiems projektams, kurių įgyvendinimo metu arba įgyvendinus projektą sukurtų produktų reikšmingumas yra didesnis. </w:t>
            </w:r>
          </w:p>
          <w:p w14:paraId="42497AC8" w14:textId="77777777" w:rsidR="00797D5F" w:rsidRPr="000018D6" w:rsidRDefault="00797D5F" w:rsidP="00DB1E5B">
            <w:pPr>
              <w:jc w:val="both"/>
              <w:rPr>
                <w:i/>
                <w:szCs w:val="24"/>
              </w:rPr>
            </w:pPr>
            <w:r w:rsidRPr="000018D6">
              <w:rPr>
                <w:i/>
                <w:szCs w:val="24"/>
              </w:rPr>
              <w:t xml:space="preserve">Jeigu projekto įgyvendinimo metu arba per 3 metus po projekto įgyvendinimo bus sukurtas bent vienas produktas, kuris naujas pasaulio lygmeniu, projektui skiriami 5 balai. </w:t>
            </w:r>
          </w:p>
          <w:p w14:paraId="17F834E8" w14:textId="77777777" w:rsidR="00797D5F" w:rsidRPr="000018D6" w:rsidRDefault="00797D5F" w:rsidP="00DB1E5B">
            <w:pPr>
              <w:jc w:val="both"/>
              <w:rPr>
                <w:i/>
                <w:szCs w:val="24"/>
              </w:rPr>
            </w:pPr>
            <w:r w:rsidRPr="000018D6">
              <w:rPr>
                <w:i/>
                <w:szCs w:val="24"/>
              </w:rPr>
              <w:t>Jeigu projekto įgyvendinimo metu arba per 3 metus po projekto įgyvendinimo bus sukurtas bent vienas produktas, kuris naujas rinkos lygmeniu, projektui skiriami 3 balai.</w:t>
            </w:r>
          </w:p>
          <w:p w14:paraId="2812717D" w14:textId="77777777" w:rsidR="00797D5F" w:rsidRPr="000018D6" w:rsidRDefault="00797D5F" w:rsidP="00DB1E5B">
            <w:pPr>
              <w:jc w:val="both"/>
              <w:rPr>
                <w:i/>
                <w:szCs w:val="24"/>
              </w:rPr>
            </w:pPr>
            <w:r w:rsidRPr="000018D6">
              <w:rPr>
                <w:i/>
                <w:szCs w:val="24"/>
              </w:rPr>
              <w:t>Jeigu projekto įgyvendinimo metu arba per 3 metus po projekto įgyvendinimo bus sukurtas bent vienas produktas, kuris naujas įmonės lygmeniu, projektui skiriamas 1 balas.</w:t>
            </w:r>
          </w:p>
          <w:p w14:paraId="66988DA4" w14:textId="77777777" w:rsidR="00797D5F" w:rsidRPr="000018D6" w:rsidRDefault="00797D5F" w:rsidP="00DB1E5B">
            <w:pPr>
              <w:pStyle w:val="NoSpacing"/>
              <w:jc w:val="both"/>
              <w:rPr>
                <w:rFonts w:ascii="Times New Roman" w:eastAsia="Times New Roman" w:hAnsi="Times New Roman" w:cs="Times New Roman"/>
                <w:i/>
                <w:sz w:val="24"/>
                <w:szCs w:val="24"/>
                <w:lang w:val="lt-LT" w:eastAsia="lt-LT"/>
              </w:rPr>
            </w:pPr>
            <w:r w:rsidRPr="000018D6">
              <w:rPr>
                <w:rFonts w:ascii="Times New Roman" w:eastAsia="Times New Roman" w:hAnsi="Times New Roman" w:cs="Times New Roman"/>
                <w:i/>
                <w:sz w:val="24"/>
                <w:szCs w:val="24"/>
                <w:lang w:val="lt-LT"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14:paraId="56CE351C" w14:textId="15712A8D" w:rsidR="00797D5F" w:rsidRPr="000018D6" w:rsidRDefault="00797D5F" w:rsidP="00DB1E5B">
            <w:pPr>
              <w:jc w:val="both"/>
              <w:rPr>
                <w:b/>
                <w:bCs/>
              </w:rPr>
            </w:pPr>
            <w:r w:rsidRPr="00E822F4">
              <w:rPr>
                <w:i/>
              </w:rPr>
              <w:t>Didžiausias galimas kriterijaus balas 35.</w:t>
            </w:r>
          </w:p>
        </w:tc>
        <w:tc>
          <w:tcPr>
            <w:tcW w:w="6662" w:type="dxa"/>
          </w:tcPr>
          <w:p w14:paraId="402C2BE8" w14:textId="77777777" w:rsidR="0045288D" w:rsidRDefault="00C0227D" w:rsidP="00446059">
            <w:pPr>
              <w:jc w:val="both"/>
            </w:pPr>
            <w:r w:rsidRPr="00446059">
              <w:lastRenderedPageBreak/>
              <w:t xml:space="preserve">Neatsižvelgta. </w:t>
            </w:r>
            <w:r w:rsidR="00D641BE" w:rsidRPr="00446059">
              <w:t xml:space="preserve">Stebėsenos </w:t>
            </w:r>
            <w:r w:rsidR="00782A34" w:rsidRPr="00446059">
              <w:t>komitetas</w:t>
            </w:r>
            <w:r w:rsidR="00D641BE" w:rsidRPr="00446059">
              <w:t xml:space="preserve"> </w:t>
            </w:r>
            <w:r w:rsidR="00486E49" w:rsidRPr="00446059">
              <w:t xml:space="preserve">2021 m. birželio 30 d. posėdyje </w:t>
            </w:r>
            <w:r w:rsidR="00D641BE" w:rsidRPr="00446059">
              <w:t>patvirtino tokią šio kriterijaus formuluotę ir jo vertinimo aspektus bei paaiškinimus: „</w:t>
            </w:r>
            <w:r w:rsidR="00592E6A" w:rsidRPr="00446059">
              <w:rPr>
                <w:rFonts w:eastAsia="Calibri"/>
                <w:bCs/>
                <w:szCs w:val="24"/>
              </w:rPr>
              <w:t>Įgyvendinant projektą sukurto(-s) produkto (inovacijos) naujumo lygis.</w:t>
            </w:r>
            <w:r w:rsidR="00592E6A" w:rsidRPr="00446059">
              <w:rPr>
                <w:rFonts w:eastAsia="Calibri"/>
                <w:b/>
                <w:bCs/>
                <w:szCs w:val="24"/>
              </w:rPr>
              <w:t xml:space="preserve"> </w:t>
            </w:r>
            <w:r w:rsidR="00592E6A" w:rsidRPr="00446059">
              <w:t>Siekiant skatinti naujų globaliai reikšmingų produktų kūrimą, būtina įvertinti įgyvendinant arba įgyvendinus projektą sukurto (-ų) produkto (-ų) naujumo lygį. Naujumas klasifikuojamas į tris grupes (reikšmingumo didėjimo tvarka): produktas naujas įmonės lygmeniu, produktas naujas rinkos lygmeniu, produktas naujas pasaulio lygmeniu, kaip nurodyta Oslo vadove (</w:t>
            </w:r>
            <w:r w:rsidR="00592E6A" w:rsidRPr="00446059">
              <w:rPr>
                <w:i/>
              </w:rPr>
              <w:t xml:space="preserve">Oslo manual. Guidelines for Collecting and Interpreting Innovation Data, 4rd Edition, </w:t>
            </w:r>
            <w:r w:rsidR="00592E6A" w:rsidRPr="00446059">
              <w:rPr>
                <w:bCs/>
                <w:i/>
              </w:rPr>
              <w:t>OECD, Eurostat, 2018</w:t>
            </w:r>
            <w:r w:rsidR="00592E6A" w:rsidRPr="00446059">
              <w:rPr>
                <w:bCs/>
              </w:rPr>
              <w:t xml:space="preserve">). </w:t>
            </w:r>
            <w:r w:rsidR="00592E6A" w:rsidRPr="00446059">
              <w:t xml:space="preserve">Aukštesnis įvertinimas suteikiamas tiems projektams, kuriuos įgyvendinant arba įgyvendinus sukurtų produktų reikšmingumas yra didesnis. Reikšmingumas yra vertinamas atsižvelgiant į sukurto (-ų) produkto (-ų) naujumo lygį ir produktų skaičių“. Kadangi kriterijaus vertinimo aspektuose ir paaiškinimuose numatyta, kad reikšmingumas vertinamas atsižvelgiant tiek į sukurto (-ų) produkto (-ų) naujumo lygį, tiek ir į produktų skaičių, </w:t>
            </w:r>
            <w:r w:rsidR="008A2079" w:rsidRPr="00446059">
              <w:t xml:space="preserve">produktų skaičiaus vertinimo vertinant minėtą kriterijų negali būti atsisakyta. Taip pat atkreiptinas dėmesys, kad </w:t>
            </w:r>
            <w:r w:rsidR="008A2079" w:rsidRPr="00446059">
              <w:rPr>
                <w:bCs/>
              </w:rPr>
              <w:t xml:space="preserve">priemonės projektų atrankos kriterijai, prieš teikiant juos tvirtinti Stebėsenos komitetui, buvo paskelbti viešajam aptarimui </w:t>
            </w:r>
            <w:r w:rsidR="00325CAF" w:rsidRPr="00446059">
              <w:t>VPAT</w:t>
            </w:r>
            <w:r w:rsidR="008A2079" w:rsidRPr="00446059">
              <w:t xml:space="preserve"> 60</w:t>
            </w:r>
            <w:r w:rsidR="008A2079" w:rsidRPr="00446059">
              <w:rPr>
                <w:vertAlign w:val="superscript"/>
              </w:rPr>
              <w:t xml:space="preserve">1 </w:t>
            </w:r>
            <w:r w:rsidR="008A2079" w:rsidRPr="00446059">
              <w:t>punkte nustatyta tvarka. Per nustatytą terminą pasiūlymų ar pastabų dėl projektų atrankos kriterijų nebuvo gauta</w:t>
            </w:r>
            <w:r w:rsidR="00446059">
              <w:t xml:space="preserve">. </w:t>
            </w:r>
          </w:p>
          <w:p w14:paraId="3FD868CF" w14:textId="6BC7C590" w:rsidR="00797D5F" w:rsidRPr="00446059" w:rsidRDefault="00B7171D" w:rsidP="00B7171D">
            <w:pPr>
              <w:jc w:val="both"/>
            </w:pPr>
            <w:r>
              <w:t>Pažymėtina</w:t>
            </w:r>
            <w:r w:rsidR="00446059">
              <w:t xml:space="preserve">, kad </w:t>
            </w:r>
            <w:r w:rsidR="0045288D">
              <w:t>Stebėsenos komitet</w:t>
            </w:r>
            <w:r w:rsidR="00AF58A5">
              <w:t>ui</w:t>
            </w:r>
            <w:r w:rsidR="0045288D">
              <w:t xml:space="preserve"> </w:t>
            </w:r>
            <w:r w:rsidR="0045288D" w:rsidRPr="0045288D">
              <w:t>2021 m.</w:t>
            </w:r>
            <w:r w:rsidR="0045288D">
              <w:t xml:space="preserve"> birželio </w:t>
            </w:r>
            <w:r w:rsidR="0045288D" w:rsidRPr="0045288D">
              <w:t>30 d.</w:t>
            </w:r>
            <w:r w:rsidR="0045288D">
              <w:t xml:space="preserve"> posėdyje pakeitus </w:t>
            </w:r>
            <w:r w:rsidR="00AF58A5">
              <w:t>prioritetinių projektų atrankos kriterijų</w:t>
            </w:r>
            <w:r>
              <w:t xml:space="preserve"> </w:t>
            </w:r>
            <w:r>
              <w:lastRenderedPageBreak/>
              <w:t>eiliškumą, šiam kriterijui numatoma suteikti</w:t>
            </w:r>
            <w:r w:rsidR="00AF58A5">
              <w:t xml:space="preserve"> </w:t>
            </w:r>
            <w:r>
              <w:t>mažesnį vertinimo svorio koeficientą</w:t>
            </w:r>
            <w:r w:rsidR="00AF58A5">
              <w:t>.</w:t>
            </w:r>
          </w:p>
        </w:tc>
      </w:tr>
      <w:tr w:rsidR="00797D5F" w:rsidRPr="000018D6" w14:paraId="2D1E3A03" w14:textId="77777777" w:rsidTr="00CB55B0">
        <w:trPr>
          <w:trHeight w:val="274"/>
        </w:trPr>
        <w:tc>
          <w:tcPr>
            <w:tcW w:w="567" w:type="dxa"/>
            <w:vMerge/>
          </w:tcPr>
          <w:p w14:paraId="06595D0E" w14:textId="77777777" w:rsidR="00797D5F" w:rsidRPr="000018D6" w:rsidRDefault="00797D5F" w:rsidP="00FC4004">
            <w:pPr>
              <w:pStyle w:val="ListParagraph"/>
              <w:numPr>
                <w:ilvl w:val="0"/>
                <w:numId w:val="1"/>
              </w:numPr>
              <w:jc w:val="both"/>
            </w:pPr>
          </w:p>
        </w:tc>
        <w:tc>
          <w:tcPr>
            <w:tcW w:w="1985" w:type="dxa"/>
            <w:vMerge/>
          </w:tcPr>
          <w:p w14:paraId="2D538AB3" w14:textId="77777777" w:rsidR="00797D5F" w:rsidRPr="000018D6" w:rsidRDefault="00797D5F" w:rsidP="00FC4004"/>
        </w:tc>
        <w:tc>
          <w:tcPr>
            <w:tcW w:w="5557" w:type="dxa"/>
          </w:tcPr>
          <w:p w14:paraId="7B5228A2" w14:textId="5AB4F892"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Priedas Nr. 2, 2 punktas:</w:t>
            </w:r>
          </w:p>
          <w:p w14:paraId="5AB4FD44" w14:textId="0A19F9D6"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Finansavimas turi būti skiriamas įmonėms, kurios sukuria didžiausią pridėtinę vertę, t.</w:t>
            </w:r>
            <w:r w:rsidR="00C0227D" w:rsidRPr="000018D6">
              <w:rPr>
                <w:rFonts w:ascii="Times New Roman" w:hAnsi="Times New Roman" w:cs="Times New Roman"/>
                <w:sz w:val="24"/>
                <w:lang w:val="lt-LT"/>
              </w:rPr>
              <w:t xml:space="preserve"> </w:t>
            </w:r>
            <w:r w:rsidRPr="000018D6">
              <w:rPr>
                <w:rFonts w:ascii="Times New Roman" w:hAnsi="Times New Roman" w:cs="Times New Roman"/>
                <w:sz w:val="24"/>
                <w:lang w:val="lt-LT"/>
              </w:rPr>
              <w:t>y. generuoja didžiausias pajamas iš MTEP veiklų metu sukurtų produktų ar paslaugų, todėl rekomenduojame labiausiai skatinti tas įmones, kurių pajamų augimas yra didžiausias lyginant su patvirtinta paramos suma.</w:t>
            </w:r>
          </w:p>
          <w:p w14:paraId="79839A48" w14:textId="77777777"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w:t>
            </w:r>
          </w:p>
          <w:p w14:paraId="738152FE" w14:textId="77777777" w:rsidR="00797D5F" w:rsidRPr="00E822F4" w:rsidRDefault="00797D5F" w:rsidP="00FC4004">
            <w:pPr>
              <w:pStyle w:val="NoSpacing"/>
              <w:jc w:val="both"/>
              <w:rPr>
                <w:rFonts w:ascii="Times New Roman" w:hAnsi="Times New Roman" w:cs="Times New Roman"/>
                <w:i/>
                <w:sz w:val="24"/>
                <w:lang w:val="lt-LT"/>
              </w:rPr>
            </w:pPr>
            <w:r w:rsidRPr="00E822F4">
              <w:rPr>
                <w:rFonts w:ascii="Times New Roman" w:hAnsi="Times New Roman" w:cs="Times New Roman"/>
                <w:i/>
                <w:sz w:val="24"/>
                <w:lang w:val="lt-LT"/>
              </w:rPr>
              <w:t>2. Įgyvendinant projektą sukurtų produktų komercinimo potencialas.</w:t>
            </w:r>
          </w:p>
          <w:p w14:paraId="78FCB9BC" w14:textId="1678CDBE" w:rsidR="00797D5F" w:rsidRPr="000018D6" w:rsidRDefault="00797D5F" w:rsidP="00FC4004">
            <w:pPr>
              <w:jc w:val="both"/>
            </w:pPr>
            <w:r w:rsidRPr="00E822F4">
              <w:rPr>
                <w:i/>
              </w:rPr>
              <w:lastRenderedPageBreak/>
              <w:t>Didžiausias galimas kriterijaus balas 30.</w:t>
            </w:r>
          </w:p>
        </w:tc>
        <w:tc>
          <w:tcPr>
            <w:tcW w:w="6662" w:type="dxa"/>
          </w:tcPr>
          <w:p w14:paraId="126E50CB" w14:textId="38C861F3" w:rsidR="00797D5F" w:rsidRPr="00E822F4" w:rsidRDefault="00E822F4" w:rsidP="000F5BBC">
            <w:pPr>
              <w:jc w:val="both"/>
            </w:pPr>
            <w:r>
              <w:lastRenderedPageBreak/>
              <w:t>Iš dalies atsižvelgta – di</w:t>
            </w:r>
            <w:r w:rsidR="000F5BBC">
              <w:t>džiausią galimą</w:t>
            </w:r>
            <w:r>
              <w:t xml:space="preserve"> šio kriterijaus balą numatoma padidinti iki </w:t>
            </w:r>
            <w:r w:rsidRPr="000F5BBC">
              <w:t>2</w:t>
            </w:r>
            <w:r w:rsidRPr="00E822F4">
              <w:t xml:space="preserve">5. </w:t>
            </w:r>
          </w:p>
        </w:tc>
      </w:tr>
      <w:tr w:rsidR="00797D5F" w:rsidRPr="000018D6" w14:paraId="73BD3DE9" w14:textId="77777777" w:rsidTr="00CB55B0">
        <w:trPr>
          <w:trHeight w:val="4939"/>
        </w:trPr>
        <w:tc>
          <w:tcPr>
            <w:tcW w:w="567" w:type="dxa"/>
            <w:vMerge/>
          </w:tcPr>
          <w:p w14:paraId="2EB60261" w14:textId="77777777" w:rsidR="00797D5F" w:rsidRPr="000018D6" w:rsidRDefault="00797D5F" w:rsidP="00FC4004">
            <w:pPr>
              <w:pStyle w:val="ListParagraph"/>
              <w:numPr>
                <w:ilvl w:val="0"/>
                <w:numId w:val="1"/>
              </w:numPr>
              <w:jc w:val="both"/>
            </w:pPr>
          </w:p>
        </w:tc>
        <w:tc>
          <w:tcPr>
            <w:tcW w:w="1985" w:type="dxa"/>
            <w:vMerge/>
          </w:tcPr>
          <w:p w14:paraId="1785FFDC" w14:textId="77777777" w:rsidR="00797D5F" w:rsidRPr="000018D6" w:rsidRDefault="00797D5F" w:rsidP="00FC4004"/>
        </w:tc>
        <w:tc>
          <w:tcPr>
            <w:tcW w:w="5557" w:type="dxa"/>
          </w:tcPr>
          <w:p w14:paraId="572EDD12" w14:textId="2FE93D87" w:rsidR="00797D5F" w:rsidRPr="000018D6" w:rsidRDefault="00797D5F" w:rsidP="00797D5F">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Priedas Nr. 2, 3 punktas:</w:t>
            </w:r>
          </w:p>
          <w:p w14:paraId="2ECCF02D" w14:textId="4EFACDBB"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 xml:space="preserve">Finansavimas turi būti skiriamas įmonėms, kurios sukuria ir į rinką išleidžia produktus, kurie generuoja didžiausias pajamas, o ne didžiausią darbuotojų skaičių, kas negali būti vertinama, kaip sėkmingas projektas. </w:t>
            </w:r>
          </w:p>
          <w:p w14:paraId="73F7C0D5" w14:textId="77777777"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 už tyrėjų darbo vietas skirti mažesnį didžiausią balų kiekį, nes pagal pateiktą skaičiavimo metodiką yra sukuriama galimybė, jau veikiančiai Lietuvoje įmonei, kurią valdo tas pats užsienio investuotojas, perkelti savo darbuotojus į naujai steigiamą įmonę, taip nepadidinant įmonių grupės išlaidų, tačiau šiame punkte, galimai, gauti maksimalų balų kiekį, kuris gali lemti kas gaus finansavimą.</w:t>
            </w:r>
          </w:p>
          <w:p w14:paraId="5BD0028C" w14:textId="77777777" w:rsidR="00797D5F" w:rsidRPr="000018D6" w:rsidRDefault="00797D5F" w:rsidP="00FC4004">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w:t>
            </w:r>
          </w:p>
          <w:p w14:paraId="2311220E" w14:textId="77777777" w:rsidR="00797D5F" w:rsidRPr="000018D6" w:rsidRDefault="00797D5F" w:rsidP="00FC4004">
            <w:pPr>
              <w:pStyle w:val="NoSpacing"/>
              <w:jc w:val="both"/>
              <w:rPr>
                <w:rFonts w:ascii="Times New Roman" w:hAnsi="Times New Roman" w:cs="Times New Roman"/>
                <w:i/>
                <w:sz w:val="24"/>
                <w:lang w:val="lt-LT"/>
              </w:rPr>
            </w:pPr>
            <w:r w:rsidRPr="000018D6">
              <w:rPr>
                <w:rFonts w:ascii="Times New Roman" w:hAnsi="Times New Roman" w:cs="Times New Roman"/>
                <w:i/>
                <w:sz w:val="24"/>
                <w:lang w:val="lt-LT"/>
              </w:rPr>
              <w:t>3. Investicijas gavusiose įmonėse įgyvendinant projektą ir per 3 metus po projekto veiklų įgyvendinimo pabaigos sukurtos tyrėjų darbo vietos.</w:t>
            </w:r>
          </w:p>
          <w:p w14:paraId="0AB54C61" w14:textId="4B9EFFA7" w:rsidR="00797D5F" w:rsidRPr="000018D6" w:rsidRDefault="00797D5F" w:rsidP="00797D5F">
            <w:pPr>
              <w:jc w:val="both"/>
              <w:rPr>
                <w:i/>
                <w:szCs w:val="24"/>
              </w:rPr>
            </w:pPr>
            <w:r w:rsidRPr="00C514F4">
              <w:rPr>
                <w:i/>
              </w:rPr>
              <w:t>Didžiausias galimas kriterijaus balas 5.</w:t>
            </w:r>
          </w:p>
        </w:tc>
        <w:tc>
          <w:tcPr>
            <w:tcW w:w="6662" w:type="dxa"/>
          </w:tcPr>
          <w:p w14:paraId="683FD437" w14:textId="4C2E4050" w:rsidR="00797D5F" w:rsidRPr="00C514F4" w:rsidRDefault="000F5BBC" w:rsidP="00917F31">
            <w:pPr>
              <w:jc w:val="both"/>
            </w:pPr>
            <w:r w:rsidRPr="00C514F4">
              <w:t xml:space="preserve">Iš dalies atsižvelgta – didžiausią galimą šio kriterijaus balą numatoma sumažinti iki </w:t>
            </w:r>
            <w:r w:rsidR="00C514F4" w:rsidRPr="00C514F4">
              <w:t>10.</w:t>
            </w:r>
            <w:r w:rsidR="00C514F4">
              <w:t xml:space="preserve"> Pažymime, kad vienas iš</w:t>
            </w:r>
            <w:r w:rsidR="00B11FC3">
              <w:t xml:space="preserve"> privalomų pasirinkti</w:t>
            </w:r>
            <w:r w:rsidR="00C514F4">
              <w:t xml:space="preserve"> priemonės įgyvendinimo stebėsenos rodiklių </w:t>
            </w:r>
            <w:r w:rsidR="00B11FC3">
              <w:t xml:space="preserve">yra </w:t>
            </w:r>
            <w:r w:rsidR="00B11FC3">
              <w:rPr>
                <w:color w:val="000000"/>
                <w:szCs w:val="24"/>
              </w:rPr>
              <w:t xml:space="preserve">„Investicijas gavusiose įmonėse sukurtos tyrėjų darbo vietos“ ir tai parodo, kad priemonės projektais </w:t>
            </w:r>
            <w:r w:rsidR="00917F31">
              <w:rPr>
                <w:color w:val="000000"/>
                <w:szCs w:val="24"/>
              </w:rPr>
              <w:t>taip pat svarbu kurti ir tyrėjų darbo vietas.</w:t>
            </w:r>
          </w:p>
        </w:tc>
      </w:tr>
      <w:tr w:rsidR="00797D5F" w:rsidRPr="000018D6" w14:paraId="19D0E70A" w14:textId="77777777" w:rsidTr="00CB55B0">
        <w:trPr>
          <w:trHeight w:val="981"/>
        </w:trPr>
        <w:tc>
          <w:tcPr>
            <w:tcW w:w="567" w:type="dxa"/>
            <w:vMerge/>
          </w:tcPr>
          <w:p w14:paraId="4658F756" w14:textId="77777777" w:rsidR="00797D5F" w:rsidRPr="000018D6" w:rsidRDefault="00797D5F" w:rsidP="00797D5F">
            <w:pPr>
              <w:pStyle w:val="ListParagraph"/>
              <w:numPr>
                <w:ilvl w:val="0"/>
                <w:numId w:val="1"/>
              </w:numPr>
              <w:jc w:val="both"/>
            </w:pPr>
          </w:p>
        </w:tc>
        <w:tc>
          <w:tcPr>
            <w:tcW w:w="1985" w:type="dxa"/>
            <w:vMerge/>
          </w:tcPr>
          <w:p w14:paraId="5E157C20" w14:textId="77777777" w:rsidR="00797D5F" w:rsidRPr="000018D6" w:rsidRDefault="00797D5F" w:rsidP="00797D5F"/>
        </w:tc>
        <w:tc>
          <w:tcPr>
            <w:tcW w:w="5557" w:type="dxa"/>
          </w:tcPr>
          <w:p w14:paraId="5841F4E8" w14:textId="510F375D" w:rsidR="00797D5F" w:rsidRPr="000018D6" w:rsidRDefault="00797D5F" w:rsidP="00797D5F">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Priedas Nr. 2, 4 punktas:</w:t>
            </w:r>
          </w:p>
          <w:p w14:paraId="5F88C720" w14:textId="37AF399C" w:rsidR="00797D5F" w:rsidRPr="000018D6" w:rsidRDefault="00797D5F" w:rsidP="00797D5F">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Finansavimas turi būti skiriamas įmonėms, kurios sukuria didžiausią pridėtinę vertę, t.y. generuoja didžiausias pajamas iš MTEP veiklų metu sukurtų produktų ar paslaugų, todėl rekomenduojame labiausiai skatinti tas įmones, kurių pajamų augimas yra didžiausias lyginant su patvirtinta paramos suma.</w:t>
            </w:r>
          </w:p>
          <w:p w14:paraId="0917CB95" w14:textId="77777777" w:rsidR="00797D5F" w:rsidRPr="000018D6" w:rsidRDefault="00797D5F" w:rsidP="00797D5F">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w:t>
            </w:r>
          </w:p>
          <w:p w14:paraId="57496194" w14:textId="201B44A3" w:rsidR="005321EC" w:rsidRPr="000018D6" w:rsidRDefault="00797D5F" w:rsidP="005321EC">
            <w:pPr>
              <w:pStyle w:val="NoSpacing"/>
              <w:jc w:val="both"/>
              <w:rPr>
                <w:rFonts w:ascii="Times New Roman" w:hAnsi="Times New Roman" w:cs="Times New Roman"/>
                <w:i/>
                <w:sz w:val="24"/>
                <w:lang w:val="lt-LT"/>
              </w:rPr>
            </w:pPr>
            <w:r w:rsidRPr="000018D6">
              <w:rPr>
                <w:rFonts w:ascii="Times New Roman" w:hAnsi="Times New Roman" w:cs="Times New Roman"/>
                <w:i/>
                <w:sz w:val="24"/>
                <w:lang w:val="lt-LT"/>
              </w:rPr>
              <w:t>4. Įgyvendinant projektą ir 3 metus po projekto veiklų įgyvendinimo pabaigos įmonės pajamų, gautų i</w:t>
            </w:r>
            <w:r w:rsidR="005321EC" w:rsidRPr="000018D6">
              <w:rPr>
                <w:rFonts w:ascii="Times New Roman" w:hAnsi="Times New Roman" w:cs="Times New Roman"/>
                <w:i/>
                <w:sz w:val="24"/>
                <w:lang w:val="lt-LT"/>
              </w:rPr>
              <w:t>š įgyvendinant projektą ir tiesiogiai projekto įgyvendinimo metu sukurtų ir rinkai pateiktų produktų, santykis su tinkamomis finansuoti projekto išlaidomis.</w:t>
            </w:r>
          </w:p>
          <w:p w14:paraId="7947C850" w14:textId="492DD1C8" w:rsidR="00797D5F" w:rsidRPr="000018D6" w:rsidRDefault="005321EC" w:rsidP="005321EC">
            <w:pPr>
              <w:jc w:val="both"/>
            </w:pPr>
            <w:r w:rsidRPr="000D27AB">
              <w:rPr>
                <w:i/>
              </w:rPr>
              <w:t>Didžiausias galimas kriterijaus balas 25.</w:t>
            </w:r>
          </w:p>
        </w:tc>
        <w:tc>
          <w:tcPr>
            <w:tcW w:w="6662" w:type="dxa"/>
          </w:tcPr>
          <w:p w14:paraId="51DCAC75" w14:textId="508C725D" w:rsidR="00797D5F" w:rsidRPr="00917F31" w:rsidRDefault="0097410E" w:rsidP="000D27AB">
            <w:pPr>
              <w:jc w:val="both"/>
            </w:pPr>
            <w:r w:rsidRPr="00917F31">
              <w:t>Atsižvelgta.</w:t>
            </w:r>
            <w:r w:rsidR="000D27AB">
              <w:t xml:space="preserve"> Stebėsenos komitetui </w:t>
            </w:r>
            <w:r w:rsidR="000D27AB" w:rsidRPr="0045288D">
              <w:t>2021 m.</w:t>
            </w:r>
            <w:r w:rsidR="000D27AB">
              <w:t xml:space="preserve"> birželio </w:t>
            </w:r>
            <w:r w:rsidR="000D27AB" w:rsidRPr="0045288D">
              <w:t>30 d.</w:t>
            </w:r>
            <w:r w:rsidR="000D27AB">
              <w:t xml:space="preserve"> posėdyje pakeitus prioritetinių projektų atrankos kriterijų eiliškumą, šiam kriterijui numatyta teikti didžiausią vertinimo svorio koeficientą.</w:t>
            </w:r>
          </w:p>
        </w:tc>
      </w:tr>
      <w:tr w:rsidR="00797D5F" w:rsidRPr="000018D6" w14:paraId="152D0799" w14:textId="77777777" w:rsidTr="00CB55B0">
        <w:trPr>
          <w:trHeight w:val="1887"/>
        </w:trPr>
        <w:tc>
          <w:tcPr>
            <w:tcW w:w="567" w:type="dxa"/>
            <w:vMerge/>
          </w:tcPr>
          <w:p w14:paraId="697516E1" w14:textId="77777777" w:rsidR="00797D5F" w:rsidRPr="000018D6" w:rsidRDefault="00797D5F" w:rsidP="00797D5F">
            <w:pPr>
              <w:pStyle w:val="ListParagraph"/>
              <w:numPr>
                <w:ilvl w:val="0"/>
                <w:numId w:val="1"/>
              </w:numPr>
              <w:jc w:val="both"/>
            </w:pPr>
          </w:p>
        </w:tc>
        <w:tc>
          <w:tcPr>
            <w:tcW w:w="1985" w:type="dxa"/>
            <w:vMerge/>
          </w:tcPr>
          <w:p w14:paraId="4BFBA276" w14:textId="77777777" w:rsidR="00797D5F" w:rsidRPr="000018D6" w:rsidRDefault="00797D5F" w:rsidP="00797D5F"/>
        </w:tc>
        <w:tc>
          <w:tcPr>
            <w:tcW w:w="5557" w:type="dxa"/>
          </w:tcPr>
          <w:p w14:paraId="49A056A4" w14:textId="5BC83FF0" w:rsidR="005321EC" w:rsidRPr="000018D6" w:rsidRDefault="005321EC" w:rsidP="005321EC">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Priedas Nr. 2, 5 punktas:</w:t>
            </w:r>
          </w:p>
          <w:p w14:paraId="650E5DB9" w14:textId="77777777" w:rsidR="005321EC" w:rsidRPr="000018D6" w:rsidRDefault="005321EC" w:rsidP="005321EC">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 xml:space="preserve">Priemonėje eksperimentas buvo suplanuota atskira suma biudžete, ko pasekoje už tokį punktą nebuvo skiriama papildomo balo. </w:t>
            </w:r>
          </w:p>
          <w:p w14:paraId="55ECBA41" w14:textId="77777777" w:rsidR="005321EC" w:rsidRPr="000018D6" w:rsidRDefault="005321EC" w:rsidP="005321EC">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Kadangi suprantame esamą situaciją, rekomenduojame du keitimus. Šie keitimai leidžia papildomą balą skirti ir kitam sektoriui, kuris yra sparčiai augantis Lietuvoje ir turi didelį potencialą.</w:t>
            </w:r>
          </w:p>
          <w:p w14:paraId="4E40A092" w14:textId="77777777" w:rsidR="005321EC" w:rsidRPr="000018D6" w:rsidRDefault="005321EC" w:rsidP="005321EC">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Rekomenduojame:</w:t>
            </w:r>
          </w:p>
          <w:p w14:paraId="27C99E71" w14:textId="77777777" w:rsidR="005321EC" w:rsidRPr="000018D6" w:rsidRDefault="005321EC" w:rsidP="005321EC">
            <w:pPr>
              <w:pStyle w:val="NoSpacing"/>
              <w:jc w:val="both"/>
              <w:rPr>
                <w:rFonts w:ascii="Times New Roman" w:hAnsi="Times New Roman" w:cs="Times New Roman"/>
                <w:i/>
                <w:sz w:val="24"/>
                <w:lang w:val="lt-LT"/>
              </w:rPr>
            </w:pPr>
            <w:r w:rsidRPr="000018D6">
              <w:rPr>
                <w:rFonts w:ascii="Times New Roman" w:hAnsi="Times New Roman" w:cs="Times New Roman"/>
                <w:i/>
                <w:sz w:val="24"/>
                <w:lang w:val="lt-LT"/>
              </w:rPr>
              <w:t>5. Įgyvendinant projektą numatomos vykdyti MTEP veiklos priskirtinos gyvybės mokslų ir (arba) biotechnologijų sektoriui.</w:t>
            </w:r>
          </w:p>
          <w:p w14:paraId="5936776A" w14:textId="77777777" w:rsidR="005321EC" w:rsidRPr="000018D6" w:rsidRDefault="005321EC" w:rsidP="005321EC">
            <w:pPr>
              <w:pStyle w:val="NoSpacing"/>
              <w:jc w:val="both"/>
              <w:rPr>
                <w:rFonts w:ascii="Times New Roman" w:hAnsi="Times New Roman" w:cs="Times New Roman"/>
                <w:i/>
                <w:sz w:val="24"/>
                <w:lang w:val="lt-LT"/>
              </w:rPr>
            </w:pPr>
            <w:r w:rsidRPr="000018D6">
              <w:rPr>
                <w:rFonts w:ascii="Times New Roman" w:hAnsi="Times New Roman" w:cs="Times New Roman"/>
                <w:i/>
                <w:sz w:val="24"/>
                <w:lang w:val="lt-LT"/>
              </w:rPr>
              <w:t>Vertinama, ar įgyvendinant projektą numatomos vykdyti MTEP veiklos yra priskirtinos gyvybės mokslų ir (arba)  biotechnologijų sektoriui.</w:t>
            </w:r>
          </w:p>
          <w:p w14:paraId="43785E59" w14:textId="2C49BC1F" w:rsidR="005321EC" w:rsidRPr="000018D6" w:rsidRDefault="005321EC" w:rsidP="005321EC">
            <w:pPr>
              <w:pStyle w:val="NoSpacing"/>
              <w:jc w:val="both"/>
              <w:rPr>
                <w:rFonts w:ascii="Times New Roman" w:hAnsi="Times New Roman" w:cs="Times New Roman"/>
                <w:i/>
                <w:sz w:val="24"/>
                <w:lang w:val="lt-LT"/>
              </w:rPr>
            </w:pPr>
            <w:r w:rsidRPr="000018D6">
              <w:rPr>
                <w:rFonts w:ascii="Times New Roman" w:hAnsi="Times New Roman" w:cs="Times New Roman"/>
                <w:i/>
                <w:sz w:val="24"/>
                <w:lang w:val="lt-LT"/>
              </w:rPr>
              <w:t>Jeigu įgyvendinant projektą numatomos vykdyti MTEP veiklos yra priskirtinos gyvybės mokslų ir (arba) biotechnologijų sektoriui, projektui skiriami 5 balai, jeigu nėra priskirtos gyvybės mokslų sektoriui, projektui skiriama 0 balų.</w:t>
            </w:r>
          </w:p>
          <w:p w14:paraId="0F94603D" w14:textId="7F89BD8F" w:rsidR="00797D5F" w:rsidRPr="000018D6" w:rsidRDefault="005321EC" w:rsidP="005321EC">
            <w:pPr>
              <w:pStyle w:val="NoSpacing"/>
              <w:jc w:val="both"/>
              <w:rPr>
                <w:rFonts w:ascii="Times New Roman" w:hAnsi="Times New Roman" w:cs="Times New Roman"/>
                <w:sz w:val="24"/>
                <w:lang w:val="lt-LT"/>
              </w:rPr>
            </w:pPr>
            <w:r w:rsidRPr="000D27AB">
              <w:rPr>
                <w:rFonts w:ascii="Times New Roman" w:hAnsi="Times New Roman" w:cs="Times New Roman"/>
                <w:i/>
                <w:sz w:val="24"/>
                <w:lang w:val="lt-LT"/>
              </w:rPr>
              <w:t>Didžiausias galimas kriterijaus balas 5.</w:t>
            </w:r>
          </w:p>
        </w:tc>
        <w:tc>
          <w:tcPr>
            <w:tcW w:w="6662" w:type="dxa"/>
          </w:tcPr>
          <w:p w14:paraId="66B3EE07" w14:textId="10B8041F" w:rsidR="00797D5F" w:rsidRDefault="0070234C" w:rsidP="00325CAF">
            <w:pPr>
              <w:jc w:val="both"/>
            </w:pPr>
            <w:r w:rsidRPr="000D27AB">
              <w:t>Neatsižvelgta.</w:t>
            </w:r>
            <w:r w:rsidRPr="000018D6">
              <w:t xml:space="preserve"> Stebėsenos komitetas</w:t>
            </w:r>
            <w:r w:rsidR="001C44D2" w:rsidRPr="000018D6">
              <w:t xml:space="preserve"> </w:t>
            </w:r>
            <w:r w:rsidR="00486E49" w:rsidRPr="000018D6">
              <w:t xml:space="preserve">2021 m. birželio 30 d. posėdyje </w:t>
            </w:r>
            <w:r w:rsidR="001C44D2" w:rsidRPr="000018D6">
              <w:t>patvirtino tokią šio kriterijaus formuluotę: „</w:t>
            </w:r>
            <w:r w:rsidR="001C44D2" w:rsidRPr="000018D6">
              <w:rPr>
                <w:bCs/>
              </w:rPr>
              <w:t>Įgyvendinant projektą numatomos vykdyti MTEP veiklos priskirtinos gyvybės mokslų sektoriui“</w:t>
            </w:r>
            <w:r w:rsidR="00D46CBB">
              <w:rPr>
                <w:bCs/>
              </w:rPr>
              <w:t xml:space="preserve"> ir ji negali būti keičiama be Stebėsenos komiteto patvirtinimo</w:t>
            </w:r>
            <w:r w:rsidR="001C44D2" w:rsidRPr="000018D6">
              <w:rPr>
                <w:bCs/>
              </w:rPr>
              <w:t>.</w:t>
            </w:r>
            <w:r w:rsidR="001E07D0" w:rsidRPr="000018D6">
              <w:rPr>
                <w:bCs/>
              </w:rPr>
              <w:t xml:space="preserve"> </w:t>
            </w:r>
            <w:r w:rsidR="00D46CBB">
              <w:rPr>
                <w:bCs/>
              </w:rPr>
              <w:t>Pažymėtina</w:t>
            </w:r>
            <w:r w:rsidR="00D46CBB" w:rsidRPr="000018D6">
              <w:rPr>
                <w:bCs/>
              </w:rPr>
              <w:t>, kad kriterijus nustatytas atsižvelgiant į strateginius tikslus – 2021–2030 m. Nacionaliniame pažangos plane yra iškeltas tikslas – pasiekti, kad gyvybės mokslų industrijos sukuriamos pridėtinės vertės dalis nuo bendros pridėtinės vert</w:t>
            </w:r>
            <w:r w:rsidR="00D46CBB">
              <w:rPr>
                <w:bCs/>
              </w:rPr>
              <w:t>ės 2030 m. sudarytų 5 procentus. Tai pat a</w:t>
            </w:r>
            <w:r w:rsidR="001E07D0" w:rsidRPr="000018D6">
              <w:rPr>
                <w:bCs/>
              </w:rPr>
              <w:t>tkreipiame dėmesį, kad priemonės projektų atrankos kriterijai</w:t>
            </w:r>
            <w:r w:rsidR="00607279" w:rsidRPr="000018D6">
              <w:rPr>
                <w:bCs/>
              </w:rPr>
              <w:t>,</w:t>
            </w:r>
            <w:r w:rsidR="001E07D0" w:rsidRPr="000018D6">
              <w:rPr>
                <w:bCs/>
              </w:rPr>
              <w:t xml:space="preserve"> prieš teikiant juos tvirtinti Stebėsenos komitetui</w:t>
            </w:r>
            <w:r w:rsidR="00607279" w:rsidRPr="000018D6">
              <w:rPr>
                <w:bCs/>
              </w:rPr>
              <w:t>,</w:t>
            </w:r>
            <w:r w:rsidR="001E07D0" w:rsidRPr="000018D6">
              <w:rPr>
                <w:bCs/>
              </w:rPr>
              <w:t xml:space="preserve"> buvo paskelbti </w:t>
            </w:r>
            <w:r w:rsidR="009235F5" w:rsidRPr="000018D6">
              <w:rPr>
                <w:bCs/>
              </w:rPr>
              <w:t xml:space="preserve">viešajam aptarimui </w:t>
            </w:r>
            <w:r w:rsidR="00325CAF" w:rsidRPr="000018D6">
              <w:rPr>
                <w:bCs/>
              </w:rPr>
              <w:t>VPAT</w:t>
            </w:r>
            <w:r w:rsidR="00EB2FA6" w:rsidRPr="000018D6">
              <w:t xml:space="preserve"> 60</w:t>
            </w:r>
            <w:r w:rsidR="00EB2FA6" w:rsidRPr="000018D6">
              <w:rPr>
                <w:vertAlign w:val="superscript"/>
              </w:rPr>
              <w:t xml:space="preserve">1 </w:t>
            </w:r>
            <w:r w:rsidR="00EB2FA6" w:rsidRPr="000018D6">
              <w:t>punkte nustatyta tvarka. Per nustatytą terminą pasiūlymų ar pastabų dėl projektų atrankos kriterijų nebuvo gauta.</w:t>
            </w:r>
            <w:r w:rsidR="000D27AB">
              <w:t xml:space="preserve"> </w:t>
            </w:r>
          </w:p>
          <w:p w14:paraId="4A3CAFB1" w14:textId="60CCD52C" w:rsidR="0043506E" w:rsidRPr="000018D6" w:rsidRDefault="0043506E" w:rsidP="0043506E">
            <w:pPr>
              <w:jc w:val="both"/>
            </w:pPr>
          </w:p>
        </w:tc>
      </w:tr>
      <w:tr w:rsidR="007F5D18" w:rsidRPr="000018D6" w14:paraId="51F5FA2C" w14:textId="77777777" w:rsidTr="00CB55B0">
        <w:trPr>
          <w:trHeight w:val="3675"/>
        </w:trPr>
        <w:tc>
          <w:tcPr>
            <w:tcW w:w="567" w:type="dxa"/>
            <w:vMerge w:val="restart"/>
          </w:tcPr>
          <w:p w14:paraId="5F6FA630" w14:textId="77777777" w:rsidR="007F5D18" w:rsidRPr="000018D6" w:rsidRDefault="007F5D18" w:rsidP="00797D5F">
            <w:pPr>
              <w:pStyle w:val="ListParagraph"/>
              <w:numPr>
                <w:ilvl w:val="0"/>
                <w:numId w:val="1"/>
              </w:numPr>
              <w:jc w:val="both"/>
            </w:pPr>
          </w:p>
        </w:tc>
        <w:tc>
          <w:tcPr>
            <w:tcW w:w="1985" w:type="dxa"/>
            <w:vMerge w:val="restart"/>
          </w:tcPr>
          <w:p w14:paraId="594773F3" w14:textId="2DF1B4C1" w:rsidR="007F5D18" w:rsidRPr="000018D6" w:rsidRDefault="007F5D18" w:rsidP="00797D5F">
            <w:r w:rsidRPr="000018D6">
              <w:rPr>
                <w:rFonts w:eastAsiaTheme="minorHAnsi"/>
                <w:szCs w:val="22"/>
                <w:lang w:eastAsia="en-US"/>
              </w:rPr>
              <w:t>UAB „Sintesi consulting“</w:t>
            </w:r>
            <w:r w:rsidRPr="000018D6">
              <w:rPr>
                <w:rFonts w:ascii="inherit" w:hAnsi="inherit"/>
                <w:color w:val="767171"/>
                <w:sz w:val="20"/>
                <w:bdr w:val="none" w:sz="0" w:space="0" w:color="auto" w:frame="1"/>
              </w:rPr>
              <w:br/>
            </w:r>
          </w:p>
        </w:tc>
        <w:tc>
          <w:tcPr>
            <w:tcW w:w="5557" w:type="dxa"/>
          </w:tcPr>
          <w:p w14:paraId="4216E045" w14:textId="77777777" w:rsidR="007F5D18" w:rsidRPr="000018D6" w:rsidRDefault="007F5D18" w:rsidP="005321EC">
            <w:pPr>
              <w:pStyle w:val="NoSpacing"/>
              <w:jc w:val="both"/>
              <w:rPr>
                <w:rFonts w:ascii="Times New Roman" w:hAnsi="Times New Roman" w:cs="Times New Roman"/>
                <w:sz w:val="24"/>
                <w:lang w:val="lt-LT"/>
              </w:rPr>
            </w:pPr>
            <w:r w:rsidRPr="000018D6">
              <w:rPr>
                <w:rFonts w:ascii="Times New Roman" w:hAnsi="Times New Roman" w:cs="Times New Roman"/>
                <w:sz w:val="24"/>
                <w:lang w:val="lt-LT"/>
              </w:rPr>
              <w:t>Aprašo 32 punktas:</w:t>
            </w:r>
          </w:p>
          <w:p w14:paraId="4A589307" w14:textId="50127C9A" w:rsidR="007F5D18" w:rsidRPr="000018D6" w:rsidRDefault="007F5D18" w:rsidP="007F5D18">
            <w:pPr>
              <w:jc w:val="both"/>
              <w:rPr>
                <w:szCs w:val="24"/>
              </w:rPr>
            </w:pPr>
            <w:r w:rsidRPr="000018D6">
              <w:rPr>
                <w:szCs w:val="24"/>
              </w:rPr>
              <w:t xml:space="preserve">Priemonės tikslas – pritraukti į Lietuvos Respubliką mokslinių tyrimų ir (ar) eksperimentinės plėtros ir inovacijų (toliau – MTEPI) srities užsienio investicijų pagal Prioritetinių mokslinių tyrimų ir eksperimentinės plėtros ir inovacijų raidos (sumaniosios specializacijos) prioritetų įgyvendinimo programoje. </w:t>
            </w:r>
          </w:p>
          <w:p w14:paraId="25381C6D" w14:textId="4D3A9FF1" w:rsidR="007F5D18" w:rsidRPr="000018D6" w:rsidRDefault="007F5D18" w:rsidP="007F5D18">
            <w:pPr>
              <w:pStyle w:val="NoSpacing"/>
              <w:jc w:val="both"/>
              <w:rPr>
                <w:rFonts w:ascii="Times New Roman" w:hAnsi="Times New Roman" w:cs="Times New Roman"/>
                <w:sz w:val="24"/>
                <w:lang w:val="lt-LT"/>
              </w:rPr>
            </w:pPr>
            <w:r w:rsidRPr="000018D6">
              <w:rPr>
                <w:rFonts w:ascii="Times New Roman" w:hAnsi="Times New Roman" w:cs="Times New Roman"/>
                <w:color w:val="000000"/>
                <w:sz w:val="24"/>
                <w:szCs w:val="24"/>
                <w:lang w:val="lt-LT"/>
              </w:rPr>
              <w:t>Atkreiptinas dėmesys, kad gali atsirasti poreikis dalį tyrimų vykdyti motininėje kompanijoje ar kituose tyrimų centruose, o</w:t>
            </w:r>
            <w:r w:rsidRPr="000018D6">
              <w:rPr>
                <w:rFonts w:ascii="Times New Roman" w:hAnsi="Times New Roman" w:cs="Times New Roman"/>
                <w:sz w:val="24"/>
                <w:szCs w:val="24"/>
                <w:lang w:val="lt-LT"/>
              </w:rPr>
              <w:t xml:space="preserve"> užsienio investicijos gali būti ir ne iš ES valstybių, tad šis apribojimas diskriminuoja investuotojus iš, pvz., JAV, Šveicarijos ar Norvegijos.</w:t>
            </w:r>
          </w:p>
        </w:tc>
        <w:tc>
          <w:tcPr>
            <w:tcW w:w="6662" w:type="dxa"/>
          </w:tcPr>
          <w:p w14:paraId="74A751B1" w14:textId="2AD26E24" w:rsidR="007F5D18" w:rsidRPr="000018D6" w:rsidRDefault="00FB732C" w:rsidP="001C44D2">
            <w:pPr>
              <w:jc w:val="both"/>
            </w:pPr>
            <w:r w:rsidRPr="000018D6">
              <w:t xml:space="preserve">Neatsižvelgta. </w:t>
            </w:r>
            <w:r w:rsidR="00E338CE" w:rsidRPr="000018D6">
              <w:t xml:space="preserve">Atsižvelgiant į tai, kad priemonė skirta </w:t>
            </w:r>
            <w:r w:rsidR="00297F0A" w:rsidRPr="000018D6">
              <w:t xml:space="preserve">pritraukti į </w:t>
            </w:r>
            <w:r w:rsidR="00297F0A" w:rsidRPr="000018D6">
              <w:rPr>
                <w:rFonts w:eastAsia="Calibri"/>
                <w:szCs w:val="24"/>
              </w:rPr>
              <w:t xml:space="preserve">Lietuvos Respubliką MTEPI srities užsienio investicijų, </w:t>
            </w:r>
            <w:r w:rsidR="001C44D2" w:rsidRPr="000018D6">
              <w:rPr>
                <w:rFonts w:eastAsia="Calibri"/>
                <w:szCs w:val="24"/>
              </w:rPr>
              <w:t>S</w:t>
            </w:r>
            <w:r w:rsidR="008B2662" w:rsidRPr="000018D6">
              <w:t>tebėsenos komiteto</w:t>
            </w:r>
            <w:r w:rsidR="00297F0A" w:rsidRPr="000018D6">
              <w:t xml:space="preserve"> </w:t>
            </w:r>
            <w:r w:rsidR="00486E49" w:rsidRPr="000018D6">
              <w:t xml:space="preserve">2021 m. birželio 30 d. posėdyje </w:t>
            </w:r>
            <w:r w:rsidR="00297F0A" w:rsidRPr="000018D6">
              <w:t xml:space="preserve">patvirtinta, kad </w:t>
            </w:r>
            <w:r w:rsidR="001C44D2" w:rsidRPr="000018D6">
              <w:t xml:space="preserve">priemonės </w:t>
            </w:r>
            <w:r w:rsidR="00297F0A" w:rsidRPr="000018D6">
              <w:t xml:space="preserve">veiklos </w:t>
            </w:r>
            <w:r w:rsidR="00824B50" w:rsidRPr="000018D6">
              <w:t>bus vykdomos Lietuvoje.</w:t>
            </w:r>
            <w:r w:rsidRPr="000018D6">
              <w:t xml:space="preserve"> </w:t>
            </w:r>
            <w:r w:rsidR="009C7CD3" w:rsidRPr="000018D6">
              <w:rPr>
                <w:bCs/>
              </w:rPr>
              <w:t xml:space="preserve">Atkreipiame dėmesį, kad priemonės projektų atrankos kriterijai kartu su informacija apie numatomą priemonės </w:t>
            </w:r>
            <w:r w:rsidR="00D46CBB">
              <w:rPr>
                <w:bCs/>
              </w:rPr>
              <w:t xml:space="preserve">projektų </w:t>
            </w:r>
            <w:r w:rsidR="009C7CD3" w:rsidRPr="000018D6">
              <w:rPr>
                <w:bCs/>
              </w:rPr>
              <w:t>veiklų vykdymo teritoriją</w:t>
            </w:r>
            <w:r w:rsidR="009770CC" w:rsidRPr="000018D6">
              <w:rPr>
                <w:bCs/>
              </w:rPr>
              <w:t>,</w:t>
            </w:r>
            <w:r w:rsidR="009C7CD3" w:rsidRPr="000018D6">
              <w:rPr>
                <w:bCs/>
              </w:rPr>
              <w:t xml:space="preserve"> prieš teikiant juos tvirtinti Stebėsenos komitetui, buvo paskelbti viešajam aptarimui VPAT</w:t>
            </w:r>
            <w:r w:rsidR="009C7CD3" w:rsidRPr="000018D6">
              <w:t xml:space="preserve"> 60</w:t>
            </w:r>
            <w:r w:rsidR="009C7CD3" w:rsidRPr="000018D6">
              <w:rPr>
                <w:vertAlign w:val="superscript"/>
              </w:rPr>
              <w:t xml:space="preserve">1 </w:t>
            </w:r>
            <w:r w:rsidR="009C7CD3" w:rsidRPr="000018D6">
              <w:t>punkte nustatyta tvarka. Per nustatytą terminą pasiūlymų ar pastabų dėl projektų atrankos kriterijų</w:t>
            </w:r>
            <w:r w:rsidR="009770CC" w:rsidRPr="000018D6">
              <w:t>, taip pat dėl numatomos priemonės veiklų vykdymo teritorijos</w:t>
            </w:r>
            <w:r w:rsidR="009C7CD3" w:rsidRPr="000018D6">
              <w:t xml:space="preserve"> nebuvo gauta</w:t>
            </w:r>
            <w:r w:rsidR="00CB55B0">
              <w:t>.</w:t>
            </w:r>
          </w:p>
        </w:tc>
      </w:tr>
      <w:tr w:rsidR="007F5D18" w:rsidRPr="000018D6" w14:paraId="3D890968" w14:textId="77777777" w:rsidTr="00CB55B0">
        <w:trPr>
          <w:trHeight w:val="174"/>
        </w:trPr>
        <w:tc>
          <w:tcPr>
            <w:tcW w:w="567" w:type="dxa"/>
            <w:vMerge/>
          </w:tcPr>
          <w:p w14:paraId="2D1B690E" w14:textId="77777777" w:rsidR="007F5D18" w:rsidRPr="000018D6" w:rsidRDefault="007F5D18" w:rsidP="00797D5F">
            <w:pPr>
              <w:pStyle w:val="ListParagraph"/>
              <w:numPr>
                <w:ilvl w:val="0"/>
                <w:numId w:val="1"/>
              </w:numPr>
              <w:jc w:val="both"/>
            </w:pPr>
          </w:p>
        </w:tc>
        <w:tc>
          <w:tcPr>
            <w:tcW w:w="1985" w:type="dxa"/>
            <w:vMerge/>
          </w:tcPr>
          <w:p w14:paraId="0F9A1741" w14:textId="77777777" w:rsidR="007F5D18" w:rsidRPr="000018D6" w:rsidRDefault="007F5D18" w:rsidP="00797D5F">
            <w:pPr>
              <w:rPr>
                <w:rFonts w:eastAsiaTheme="minorHAnsi"/>
                <w:szCs w:val="22"/>
                <w:lang w:eastAsia="en-US"/>
              </w:rPr>
            </w:pPr>
          </w:p>
        </w:tc>
        <w:tc>
          <w:tcPr>
            <w:tcW w:w="5557" w:type="dxa"/>
          </w:tcPr>
          <w:p w14:paraId="24C61FC7" w14:textId="61117035" w:rsidR="003471E4" w:rsidRPr="000018D6" w:rsidRDefault="003471E4" w:rsidP="007F5D18">
            <w:pPr>
              <w:pStyle w:val="NoSpacing"/>
              <w:jc w:val="both"/>
              <w:rPr>
                <w:rFonts w:ascii="Times New Roman" w:hAnsi="Times New Roman" w:cs="Times New Roman"/>
                <w:sz w:val="24"/>
                <w:szCs w:val="24"/>
                <w:lang w:val="lt-LT"/>
              </w:rPr>
            </w:pPr>
            <w:r w:rsidRPr="000018D6">
              <w:rPr>
                <w:rFonts w:ascii="Times New Roman" w:hAnsi="Times New Roman" w:cs="Times New Roman"/>
                <w:sz w:val="24"/>
                <w:lang w:val="lt-LT"/>
              </w:rPr>
              <w:t>Aprašo 39 punktas:</w:t>
            </w:r>
          </w:p>
          <w:p w14:paraId="257AD1EF" w14:textId="3A6DE3BA" w:rsidR="007F5D18" w:rsidRPr="000018D6" w:rsidRDefault="003471E4" w:rsidP="007F5D18">
            <w:pPr>
              <w:pStyle w:val="NoSpacing"/>
              <w:jc w:val="both"/>
              <w:rPr>
                <w:rFonts w:ascii="Times New Roman" w:hAnsi="Times New Roman" w:cs="Times New Roman"/>
                <w:sz w:val="24"/>
                <w:lang w:val="lt-LT"/>
              </w:rPr>
            </w:pPr>
            <w:r w:rsidRPr="000018D6">
              <w:rPr>
                <w:rFonts w:ascii="Times New Roman" w:hAnsi="Times New Roman" w:cs="Times New Roman"/>
                <w:sz w:val="24"/>
                <w:szCs w:val="24"/>
                <w:lang w:val="lt-LT"/>
              </w:rPr>
              <w:lastRenderedPageBreak/>
              <w:t>Tais atvejais, kai užsienio investuotojas steigs naują juridinį asmenį 1 mėnesio terminas nėra pakankamas. Siūlome nurodyti 6 mėnesių laikotarpį ir 39 p. siūlome pakeisti ir išdėstyti taip: “</w:t>
            </w:r>
            <w:r w:rsidRPr="000018D6">
              <w:rPr>
                <w:rFonts w:ascii="Times New Roman" w:hAnsi="Times New Roman" w:cs="Times New Roman"/>
                <w:i/>
                <w:iCs/>
                <w:sz w:val="24"/>
                <w:szCs w:val="24"/>
                <w:lang w:val="lt-LT"/>
              </w:rPr>
              <w:t>Projekto veikla turi būti pradėta įgyvendinti ne vėliau kaip per 6 mėnesius nuo projekto sutarties pasirašymo dienos</w:t>
            </w:r>
            <w:r w:rsidRPr="000018D6">
              <w:rPr>
                <w:rFonts w:ascii="Times New Roman" w:hAnsi="Times New Roman" w:cs="Times New Roman"/>
                <w:sz w:val="24"/>
                <w:szCs w:val="24"/>
                <w:lang w:val="lt-LT"/>
              </w:rPr>
              <w:t>”.</w:t>
            </w:r>
          </w:p>
        </w:tc>
        <w:tc>
          <w:tcPr>
            <w:tcW w:w="6662" w:type="dxa"/>
          </w:tcPr>
          <w:p w14:paraId="73D495F0" w14:textId="08F9AD50" w:rsidR="007F5D18" w:rsidRPr="000018D6" w:rsidRDefault="00FC5816" w:rsidP="000C25A6">
            <w:pPr>
              <w:jc w:val="both"/>
            </w:pPr>
            <w:r w:rsidRPr="000018D6">
              <w:lastRenderedPageBreak/>
              <w:t>Atsižvelgta iš dalies</w:t>
            </w:r>
            <w:r w:rsidR="00DC4747" w:rsidRPr="000018D6">
              <w:t>.</w:t>
            </w:r>
            <w:r w:rsidR="00D52E1A" w:rsidRPr="000018D6">
              <w:t xml:space="preserve"> Atkreipiame dėmesį, kad </w:t>
            </w:r>
            <w:r w:rsidR="005369EA" w:rsidRPr="000018D6">
              <w:rPr>
                <w:lang w:eastAsia="en-US"/>
              </w:rPr>
              <w:t xml:space="preserve">2014–2020 metų </w:t>
            </w:r>
            <w:r w:rsidR="000C25A6">
              <w:rPr>
                <w:lang w:eastAsia="en-US"/>
              </w:rPr>
              <w:t>ES f</w:t>
            </w:r>
            <w:r w:rsidR="005369EA" w:rsidRPr="000018D6">
              <w:rPr>
                <w:lang w:eastAsia="en-US"/>
              </w:rPr>
              <w:t xml:space="preserve">ondų investicijų laikotarpis jau eina į pabaigą. </w:t>
            </w:r>
            <w:r w:rsidR="00C74AFA" w:rsidRPr="000018D6">
              <w:t xml:space="preserve">PAFT </w:t>
            </w:r>
            <w:r w:rsidR="005369EA" w:rsidRPr="000018D6">
              <w:t xml:space="preserve">213.1 </w:t>
            </w:r>
            <w:r w:rsidR="005369EA" w:rsidRPr="000018D6">
              <w:lastRenderedPageBreak/>
              <w:t xml:space="preserve">papunktyje </w:t>
            </w:r>
            <w:r w:rsidR="005369EA" w:rsidRPr="000018D6">
              <w:rPr>
                <w:lang w:eastAsia="en-US"/>
              </w:rPr>
              <w:t>nustatyt</w:t>
            </w:r>
            <w:r w:rsidR="00761692" w:rsidRPr="000018D6">
              <w:rPr>
                <w:lang w:eastAsia="en-US"/>
              </w:rPr>
              <w:t>a, kad „</w:t>
            </w:r>
            <w:r w:rsidR="00761692" w:rsidRPr="000018D6">
              <w:t xml:space="preserve">Mokėjimo prašymus projekto vykdytojas įgyvendinančiajai institucijai gali teikti nuo projekto sutarties pasirašymo dienos iki projekto finansavimo pabaigos, bet ne vėliau kaip iki </w:t>
            </w:r>
            <w:r w:rsidR="00761692" w:rsidRPr="000018D6">
              <w:rPr>
                <w:b/>
              </w:rPr>
              <w:t>2023 m. spalio 1 dienos</w:t>
            </w:r>
            <w:r w:rsidR="00761692" w:rsidRPr="000018D6">
              <w:t xml:space="preserve">“. Tai reiškia, kad iki šio termino projektai turi būti pabaigti ir </w:t>
            </w:r>
            <w:r w:rsidR="005553AC" w:rsidRPr="000018D6">
              <w:t>dėl jų įgyvendinančiajai ins</w:t>
            </w:r>
            <w:r w:rsidR="00761692" w:rsidRPr="000018D6">
              <w:t>tit</w:t>
            </w:r>
            <w:r w:rsidR="005553AC" w:rsidRPr="000018D6">
              <w:t>ucijai turi būti pateikti mokėjimo prašymai</w:t>
            </w:r>
            <w:r w:rsidR="008C3899" w:rsidRPr="000018D6">
              <w:t>. Pažymėtina, kad Apraše nustatytas projekto veiklų vykdymo laikotarpis</w:t>
            </w:r>
            <w:r w:rsidR="00C87B50" w:rsidRPr="000018D6">
              <w:t xml:space="preserve"> yra </w:t>
            </w:r>
            <w:r w:rsidR="008C3899" w:rsidRPr="000018D6">
              <w:t xml:space="preserve">iki 12 mėnesių, jeigu vykdoma tik </w:t>
            </w:r>
            <w:r w:rsidR="00C87B50" w:rsidRPr="000018D6">
              <w:t xml:space="preserve">viena veikla – </w:t>
            </w:r>
            <w:r w:rsidR="00C87B50" w:rsidRPr="000018D6">
              <w:rPr>
                <w:rFonts w:eastAsia="Calibri"/>
                <w:szCs w:val="24"/>
              </w:rPr>
              <w:t>tiesioginės užsienio investicijos į MTEP veiklas</w:t>
            </w:r>
            <w:r w:rsidR="008C3899" w:rsidRPr="000018D6">
              <w:t xml:space="preserve">, ir iki 18 mėnesių, jeigu vykdomos abi </w:t>
            </w:r>
            <w:r w:rsidR="00C87B50" w:rsidRPr="000018D6">
              <w:t>remiamos veiklos</w:t>
            </w:r>
            <w:r w:rsidR="005553AC" w:rsidRPr="000018D6">
              <w:t xml:space="preserve"> </w:t>
            </w:r>
            <w:r w:rsidR="00C87B50" w:rsidRPr="000018D6">
              <w:t xml:space="preserve">– </w:t>
            </w:r>
            <w:r w:rsidR="00C87B50" w:rsidRPr="000018D6">
              <w:rPr>
                <w:rFonts w:eastAsia="Calibri"/>
                <w:szCs w:val="24"/>
              </w:rPr>
              <w:t>tiesioginės užsienio investicijos į MTEP veiklas ir tiesioginės užsienio investicijos, kuriomis kuriama naujos arba plečiama esamos įmonės MTEPI infrastruktūra. Atsižvelgia</w:t>
            </w:r>
            <w:r w:rsidR="002C6F51" w:rsidRPr="000018D6">
              <w:rPr>
                <w:rFonts w:eastAsia="Calibri"/>
                <w:szCs w:val="24"/>
              </w:rPr>
              <w:t xml:space="preserve">nt į likusį trumpą laiką projektams įgyvendinti, nustatyti </w:t>
            </w:r>
            <w:r w:rsidRPr="000018D6">
              <w:rPr>
                <w:rFonts w:eastAsia="Calibri"/>
                <w:szCs w:val="24"/>
              </w:rPr>
              <w:t xml:space="preserve">siūlomą 6 mėnesių </w:t>
            </w:r>
            <w:r w:rsidR="002C6F51" w:rsidRPr="000018D6">
              <w:rPr>
                <w:rFonts w:eastAsia="Calibri"/>
                <w:szCs w:val="24"/>
              </w:rPr>
              <w:t>terminą projekto veikloms pradėti</w:t>
            </w:r>
            <w:r w:rsidR="00467D84">
              <w:rPr>
                <w:rFonts w:eastAsia="Calibri"/>
                <w:szCs w:val="24"/>
              </w:rPr>
              <w:t xml:space="preserve"> nuo projekto sutarties pasirašymo dienos</w:t>
            </w:r>
            <w:r w:rsidR="002C6F51" w:rsidRPr="000018D6">
              <w:rPr>
                <w:rFonts w:eastAsia="Calibri"/>
                <w:szCs w:val="24"/>
              </w:rPr>
              <w:t xml:space="preserve"> galimybių nėra.</w:t>
            </w:r>
            <w:r w:rsidRPr="000018D6">
              <w:rPr>
                <w:rFonts w:eastAsia="Calibri"/>
                <w:szCs w:val="24"/>
              </w:rPr>
              <w:t xml:space="preserve"> Tačiau įvertinus pateiktą siūlymą, informuoja</w:t>
            </w:r>
            <w:r w:rsidR="000018D6" w:rsidRPr="000018D6">
              <w:rPr>
                <w:rFonts w:eastAsia="Calibri"/>
                <w:szCs w:val="24"/>
              </w:rPr>
              <w:t xml:space="preserve">me, kad minėtas Aprašo punktas pakoreguotas, pratęsiant </w:t>
            </w:r>
            <w:r w:rsidR="000C25A6">
              <w:rPr>
                <w:rFonts w:eastAsia="Calibri"/>
                <w:szCs w:val="24"/>
              </w:rPr>
              <w:t xml:space="preserve">minėtą terminą </w:t>
            </w:r>
            <w:r w:rsidR="000018D6" w:rsidRPr="000018D6">
              <w:rPr>
                <w:rFonts w:eastAsia="Calibri"/>
                <w:szCs w:val="24"/>
              </w:rPr>
              <w:t xml:space="preserve">iki 2 mėnesių. </w:t>
            </w:r>
          </w:p>
        </w:tc>
      </w:tr>
      <w:tr w:rsidR="007F5D18" w:rsidRPr="000018D6" w14:paraId="7352435A" w14:textId="77777777" w:rsidTr="00CB55B0">
        <w:trPr>
          <w:trHeight w:val="189"/>
        </w:trPr>
        <w:tc>
          <w:tcPr>
            <w:tcW w:w="567" w:type="dxa"/>
            <w:vMerge/>
          </w:tcPr>
          <w:p w14:paraId="1C7FA812" w14:textId="77777777" w:rsidR="007F5D18" w:rsidRPr="000018D6" w:rsidRDefault="007F5D18" w:rsidP="00797D5F">
            <w:pPr>
              <w:pStyle w:val="ListParagraph"/>
              <w:numPr>
                <w:ilvl w:val="0"/>
                <w:numId w:val="1"/>
              </w:numPr>
              <w:jc w:val="both"/>
            </w:pPr>
          </w:p>
        </w:tc>
        <w:tc>
          <w:tcPr>
            <w:tcW w:w="1985" w:type="dxa"/>
            <w:vMerge/>
          </w:tcPr>
          <w:p w14:paraId="685F805F" w14:textId="77777777" w:rsidR="007F5D18" w:rsidRPr="000018D6" w:rsidRDefault="007F5D18" w:rsidP="00797D5F">
            <w:pPr>
              <w:rPr>
                <w:rFonts w:eastAsiaTheme="minorHAnsi"/>
                <w:szCs w:val="22"/>
                <w:lang w:eastAsia="en-US"/>
              </w:rPr>
            </w:pPr>
          </w:p>
        </w:tc>
        <w:tc>
          <w:tcPr>
            <w:tcW w:w="5557" w:type="dxa"/>
          </w:tcPr>
          <w:p w14:paraId="32798758" w14:textId="0AE39206" w:rsidR="003471E4" w:rsidRPr="000018D6" w:rsidRDefault="003471E4" w:rsidP="003471E4">
            <w:pPr>
              <w:pStyle w:val="NoSpacing"/>
              <w:jc w:val="both"/>
              <w:rPr>
                <w:rFonts w:ascii="Times New Roman" w:hAnsi="Times New Roman" w:cs="Times New Roman"/>
                <w:sz w:val="24"/>
                <w:szCs w:val="24"/>
                <w:lang w:val="lt-LT"/>
              </w:rPr>
            </w:pPr>
            <w:r w:rsidRPr="000018D6">
              <w:rPr>
                <w:rFonts w:ascii="Times New Roman" w:hAnsi="Times New Roman" w:cs="Times New Roman"/>
                <w:sz w:val="24"/>
                <w:lang w:val="lt-LT"/>
              </w:rPr>
              <w:t>Aprašo 62 punktas:</w:t>
            </w:r>
          </w:p>
          <w:p w14:paraId="32CCA171" w14:textId="54E15A85" w:rsidR="007F5D18" w:rsidRPr="000018D6" w:rsidRDefault="003471E4" w:rsidP="007F5D18">
            <w:pPr>
              <w:pStyle w:val="NoSpacing"/>
              <w:jc w:val="both"/>
              <w:rPr>
                <w:rFonts w:ascii="Times New Roman" w:hAnsi="Times New Roman" w:cs="Times New Roman"/>
                <w:sz w:val="24"/>
                <w:lang w:val="lt-LT"/>
              </w:rPr>
            </w:pPr>
            <w:r w:rsidRPr="000018D6">
              <w:rPr>
                <w:rFonts w:ascii="Times New Roman" w:hAnsi="Times New Roman" w:cs="Times New Roman"/>
                <w:sz w:val="24"/>
                <w:szCs w:val="24"/>
                <w:lang w:val="lt-LT"/>
              </w:rPr>
              <w:t xml:space="preserve">Atsižvelgiant į tai, jog mokslinių tyrimų ir (ar) eksperimentinės plėtros ir inovacijų (toliau – MTEPI) srities užsienio investuotojams įgyvendinant projektus gali atsirasti poreikis įdarbinti užsienio šalių tyrėjus, kurių DU ženkliai didesnis, nei deklaruojamas „Darbo užmokesčio fiksuotųjų įkainių dydžių mokslinių tyrimų projektuose nustatymo tyrimo ataskaitoje” prašome įtraukti papildomus darbo užmokesčio dydžio pagrindimui tinkamus šaltinius, kurie atspindėtų realų ES tyrėjų darbo užmokesčio rinkos dydį. </w:t>
            </w:r>
            <w:r w:rsidRPr="000018D6">
              <w:rPr>
                <w:rFonts w:eastAsia="Calibri"/>
                <w:szCs w:val="24"/>
                <w:lang w:val="lt-LT"/>
              </w:rPr>
              <w:t xml:space="preserve"> </w:t>
            </w:r>
          </w:p>
        </w:tc>
        <w:tc>
          <w:tcPr>
            <w:tcW w:w="6662" w:type="dxa"/>
          </w:tcPr>
          <w:p w14:paraId="3DF37A71" w14:textId="6D7A8F88" w:rsidR="00E74D05" w:rsidRPr="000018D6" w:rsidRDefault="00952FCB" w:rsidP="00E74D05">
            <w:pPr>
              <w:jc w:val="both"/>
            </w:pPr>
            <w:r w:rsidRPr="000018D6">
              <w:t xml:space="preserve">Neatsižvelgta. </w:t>
            </w:r>
            <w:r w:rsidR="00C74AFA" w:rsidRPr="000018D6">
              <w:t xml:space="preserve">PAFT </w:t>
            </w:r>
            <w:r w:rsidRPr="000018D6">
              <w:t>420.2 papunktyje nustatyta, kad</w:t>
            </w:r>
            <w:r w:rsidR="006741A0" w:rsidRPr="000018D6">
              <w:t xml:space="preserve"> savanoriškas darbas kaip nepiniginis projekto vykdytojo ir (ar) par</w:t>
            </w:r>
            <w:r w:rsidR="00467D84">
              <w:t>t</w:t>
            </w:r>
            <w:r w:rsidR="006741A0" w:rsidRPr="000018D6">
              <w:t xml:space="preserve">nerio įnašas gali būti laikomas tinkamomis finansuoti išlaidomis, jeigu galima įrodyti dirbtą laiką, o įnašas apskaičiuojamas taikant Lietuvos Respublikos teisės aktais nustatytą minimalųjį darbo užmokestį arba nustatytą fiksuotąjį įkainį ir laikantis </w:t>
            </w:r>
            <w:r w:rsidR="00C74AFA" w:rsidRPr="000018D6">
              <w:t xml:space="preserve">PAFT </w:t>
            </w:r>
            <w:r w:rsidR="006741A0" w:rsidRPr="000018D6">
              <w:t>418 punkto reikalavimų</w:t>
            </w:r>
            <w:r w:rsidR="00E74D05" w:rsidRPr="000018D6">
              <w:t>.</w:t>
            </w:r>
            <w:r w:rsidR="006741A0" w:rsidRPr="000018D6">
              <w:t xml:space="preserve"> </w:t>
            </w:r>
          </w:p>
          <w:p w14:paraId="6F5A3939" w14:textId="719F2E29" w:rsidR="00952FCB" w:rsidRPr="000018D6" w:rsidRDefault="00952FCB" w:rsidP="00952FCB">
            <w:pPr>
              <w:jc w:val="both"/>
            </w:pPr>
          </w:p>
        </w:tc>
      </w:tr>
    </w:tbl>
    <w:p w14:paraId="1B192896" w14:textId="77777777" w:rsidR="005C5ECB" w:rsidRPr="00467D84" w:rsidRDefault="005C5ECB" w:rsidP="0072281D">
      <w:pPr>
        <w:rPr>
          <w:b/>
          <w:bCs/>
          <w:caps/>
          <w:szCs w:val="24"/>
        </w:rPr>
      </w:pPr>
    </w:p>
    <w:sectPr w:rsidR="005C5ECB" w:rsidRPr="00467D84" w:rsidSect="00D116FB">
      <w:pgSz w:w="16838" w:h="11906" w:orient="landscape"/>
      <w:pgMar w:top="1135"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D1AAF" w14:textId="77777777" w:rsidR="005369EA" w:rsidRDefault="005369EA" w:rsidP="005369EA">
      <w:r>
        <w:separator/>
      </w:r>
    </w:p>
  </w:endnote>
  <w:endnote w:type="continuationSeparator" w:id="0">
    <w:p w14:paraId="37170718" w14:textId="77777777" w:rsidR="005369EA" w:rsidRDefault="005369EA" w:rsidP="0053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inheri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28B51" w14:textId="77777777" w:rsidR="005369EA" w:rsidRDefault="005369EA" w:rsidP="005369EA">
      <w:r>
        <w:separator/>
      </w:r>
    </w:p>
  </w:footnote>
  <w:footnote w:type="continuationSeparator" w:id="0">
    <w:p w14:paraId="74B4806A" w14:textId="77777777" w:rsidR="005369EA" w:rsidRDefault="005369EA" w:rsidP="0053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D2E"/>
    <w:multiLevelType w:val="hybridMultilevel"/>
    <w:tmpl w:val="5240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F14C1"/>
    <w:multiLevelType w:val="hybridMultilevel"/>
    <w:tmpl w:val="BFE0AC1C"/>
    <w:lvl w:ilvl="0" w:tplc="D3C4C13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18D6"/>
    <w:rsid w:val="00010B09"/>
    <w:rsid w:val="0001428A"/>
    <w:rsid w:val="00016435"/>
    <w:rsid w:val="000240C4"/>
    <w:rsid w:val="00032985"/>
    <w:rsid w:val="00046DFE"/>
    <w:rsid w:val="00050427"/>
    <w:rsid w:val="00053D41"/>
    <w:rsid w:val="00054708"/>
    <w:rsid w:val="00070ED6"/>
    <w:rsid w:val="000A3FD2"/>
    <w:rsid w:val="000B1AF5"/>
    <w:rsid w:val="000B2D64"/>
    <w:rsid w:val="000B2D7C"/>
    <w:rsid w:val="000C25A6"/>
    <w:rsid w:val="000D27AB"/>
    <w:rsid w:val="000D3EFE"/>
    <w:rsid w:val="000E1F0C"/>
    <w:rsid w:val="000E275C"/>
    <w:rsid w:val="000E7A99"/>
    <w:rsid w:val="000F5BBC"/>
    <w:rsid w:val="000F5CE6"/>
    <w:rsid w:val="00105F91"/>
    <w:rsid w:val="0011112B"/>
    <w:rsid w:val="00115372"/>
    <w:rsid w:val="001577E4"/>
    <w:rsid w:val="00172F73"/>
    <w:rsid w:val="00181ABC"/>
    <w:rsid w:val="0018373E"/>
    <w:rsid w:val="00184FC3"/>
    <w:rsid w:val="00194702"/>
    <w:rsid w:val="001A5935"/>
    <w:rsid w:val="001A70E7"/>
    <w:rsid w:val="001C2F60"/>
    <w:rsid w:val="001C44D2"/>
    <w:rsid w:val="001D6507"/>
    <w:rsid w:val="001E07D0"/>
    <w:rsid w:val="001E4CE7"/>
    <w:rsid w:val="001E6748"/>
    <w:rsid w:val="001E67A5"/>
    <w:rsid w:val="0020434A"/>
    <w:rsid w:val="00217259"/>
    <w:rsid w:val="00234AE2"/>
    <w:rsid w:val="00241C69"/>
    <w:rsid w:val="00247BB5"/>
    <w:rsid w:val="002547F4"/>
    <w:rsid w:val="00270AE5"/>
    <w:rsid w:val="002853D2"/>
    <w:rsid w:val="002923A6"/>
    <w:rsid w:val="00297F0A"/>
    <w:rsid w:val="002A27A2"/>
    <w:rsid w:val="002C57EF"/>
    <w:rsid w:val="002C6F51"/>
    <w:rsid w:val="002C79BA"/>
    <w:rsid w:val="002D4D56"/>
    <w:rsid w:val="002D61B8"/>
    <w:rsid w:val="002E1B28"/>
    <w:rsid w:val="00325CAF"/>
    <w:rsid w:val="00330EC9"/>
    <w:rsid w:val="00344FA8"/>
    <w:rsid w:val="003471E4"/>
    <w:rsid w:val="003529B3"/>
    <w:rsid w:val="00366151"/>
    <w:rsid w:val="0036662A"/>
    <w:rsid w:val="003756C5"/>
    <w:rsid w:val="003865B8"/>
    <w:rsid w:val="003A1AD9"/>
    <w:rsid w:val="003A6641"/>
    <w:rsid w:val="003B2FAE"/>
    <w:rsid w:val="003D72BF"/>
    <w:rsid w:val="003E413C"/>
    <w:rsid w:val="003E77A4"/>
    <w:rsid w:val="003F5676"/>
    <w:rsid w:val="00407D7B"/>
    <w:rsid w:val="004136A8"/>
    <w:rsid w:val="0043506E"/>
    <w:rsid w:val="004378EE"/>
    <w:rsid w:val="00446059"/>
    <w:rsid w:val="00446410"/>
    <w:rsid w:val="0045288D"/>
    <w:rsid w:val="00452AAF"/>
    <w:rsid w:val="00463131"/>
    <w:rsid w:val="00467D84"/>
    <w:rsid w:val="00475E13"/>
    <w:rsid w:val="00482B56"/>
    <w:rsid w:val="00486E49"/>
    <w:rsid w:val="004A5F41"/>
    <w:rsid w:val="004C44BD"/>
    <w:rsid w:val="004D11D5"/>
    <w:rsid w:val="004E6B69"/>
    <w:rsid w:val="004F6566"/>
    <w:rsid w:val="005004F3"/>
    <w:rsid w:val="0050510A"/>
    <w:rsid w:val="005321EC"/>
    <w:rsid w:val="005369EA"/>
    <w:rsid w:val="0054453C"/>
    <w:rsid w:val="00547C74"/>
    <w:rsid w:val="005516A5"/>
    <w:rsid w:val="005533C2"/>
    <w:rsid w:val="005553AC"/>
    <w:rsid w:val="00571253"/>
    <w:rsid w:val="00576E02"/>
    <w:rsid w:val="00581B51"/>
    <w:rsid w:val="005915DC"/>
    <w:rsid w:val="00592E6A"/>
    <w:rsid w:val="00593EE0"/>
    <w:rsid w:val="005B1293"/>
    <w:rsid w:val="005B79FB"/>
    <w:rsid w:val="005C3B7F"/>
    <w:rsid w:val="005C5B4A"/>
    <w:rsid w:val="005C5ECB"/>
    <w:rsid w:val="005E0604"/>
    <w:rsid w:val="005F038F"/>
    <w:rsid w:val="005F0F88"/>
    <w:rsid w:val="006029DF"/>
    <w:rsid w:val="00607279"/>
    <w:rsid w:val="006106A7"/>
    <w:rsid w:val="006362C7"/>
    <w:rsid w:val="0065224C"/>
    <w:rsid w:val="00665BE2"/>
    <w:rsid w:val="006741A0"/>
    <w:rsid w:val="00677B1E"/>
    <w:rsid w:val="006824CC"/>
    <w:rsid w:val="006A1E78"/>
    <w:rsid w:val="006A1F15"/>
    <w:rsid w:val="006A22E2"/>
    <w:rsid w:val="006A77D3"/>
    <w:rsid w:val="006B0D85"/>
    <w:rsid w:val="006B526A"/>
    <w:rsid w:val="006B75D2"/>
    <w:rsid w:val="006C0163"/>
    <w:rsid w:val="006E16C9"/>
    <w:rsid w:val="0070234C"/>
    <w:rsid w:val="00707C95"/>
    <w:rsid w:val="0072281D"/>
    <w:rsid w:val="0072623F"/>
    <w:rsid w:val="00741C32"/>
    <w:rsid w:val="00742585"/>
    <w:rsid w:val="00747BC9"/>
    <w:rsid w:val="007537EC"/>
    <w:rsid w:val="0075779C"/>
    <w:rsid w:val="00761496"/>
    <w:rsid w:val="00761692"/>
    <w:rsid w:val="007769FC"/>
    <w:rsid w:val="00782A34"/>
    <w:rsid w:val="00797D5F"/>
    <w:rsid w:val="007B3E81"/>
    <w:rsid w:val="007B5F5A"/>
    <w:rsid w:val="007D3038"/>
    <w:rsid w:val="007F5D18"/>
    <w:rsid w:val="007F5F38"/>
    <w:rsid w:val="0080172F"/>
    <w:rsid w:val="00824B50"/>
    <w:rsid w:val="008359DC"/>
    <w:rsid w:val="00847D95"/>
    <w:rsid w:val="0085384B"/>
    <w:rsid w:val="00856EDA"/>
    <w:rsid w:val="008576A6"/>
    <w:rsid w:val="00865C80"/>
    <w:rsid w:val="008663E3"/>
    <w:rsid w:val="00885C3D"/>
    <w:rsid w:val="008A2079"/>
    <w:rsid w:val="008A53CB"/>
    <w:rsid w:val="008B2662"/>
    <w:rsid w:val="008B71AD"/>
    <w:rsid w:val="008C3899"/>
    <w:rsid w:val="008C3DAE"/>
    <w:rsid w:val="008D5F38"/>
    <w:rsid w:val="008E3C68"/>
    <w:rsid w:val="008F38C3"/>
    <w:rsid w:val="008F5C44"/>
    <w:rsid w:val="00917F31"/>
    <w:rsid w:val="009235F5"/>
    <w:rsid w:val="00926630"/>
    <w:rsid w:val="00927DF4"/>
    <w:rsid w:val="00933886"/>
    <w:rsid w:val="00947C9D"/>
    <w:rsid w:val="00952FCB"/>
    <w:rsid w:val="00954EEB"/>
    <w:rsid w:val="00956C1E"/>
    <w:rsid w:val="0097341D"/>
    <w:rsid w:val="0097410E"/>
    <w:rsid w:val="009770CC"/>
    <w:rsid w:val="0099064B"/>
    <w:rsid w:val="0099342A"/>
    <w:rsid w:val="009A1889"/>
    <w:rsid w:val="009A662F"/>
    <w:rsid w:val="009B3957"/>
    <w:rsid w:val="009B4714"/>
    <w:rsid w:val="009C7CD3"/>
    <w:rsid w:val="009D3B8E"/>
    <w:rsid w:val="009D3BAD"/>
    <w:rsid w:val="009E1857"/>
    <w:rsid w:val="009E69E2"/>
    <w:rsid w:val="009F0F40"/>
    <w:rsid w:val="00A00DB1"/>
    <w:rsid w:val="00A24DB0"/>
    <w:rsid w:val="00A2721F"/>
    <w:rsid w:val="00A35603"/>
    <w:rsid w:val="00A4128B"/>
    <w:rsid w:val="00A47552"/>
    <w:rsid w:val="00A47E71"/>
    <w:rsid w:val="00A52C00"/>
    <w:rsid w:val="00A54BBD"/>
    <w:rsid w:val="00A6632E"/>
    <w:rsid w:val="00A72C29"/>
    <w:rsid w:val="00A80ADA"/>
    <w:rsid w:val="00A845D7"/>
    <w:rsid w:val="00A91F0C"/>
    <w:rsid w:val="00A91FDC"/>
    <w:rsid w:val="00A96332"/>
    <w:rsid w:val="00A966C7"/>
    <w:rsid w:val="00AC4B6C"/>
    <w:rsid w:val="00AD5789"/>
    <w:rsid w:val="00AF0A0D"/>
    <w:rsid w:val="00AF25D0"/>
    <w:rsid w:val="00AF2A89"/>
    <w:rsid w:val="00AF58A5"/>
    <w:rsid w:val="00B0273A"/>
    <w:rsid w:val="00B0591B"/>
    <w:rsid w:val="00B06DF8"/>
    <w:rsid w:val="00B11FC3"/>
    <w:rsid w:val="00B14AA0"/>
    <w:rsid w:val="00B26628"/>
    <w:rsid w:val="00B31177"/>
    <w:rsid w:val="00B46548"/>
    <w:rsid w:val="00B7171D"/>
    <w:rsid w:val="00B7378D"/>
    <w:rsid w:val="00B75709"/>
    <w:rsid w:val="00B9676C"/>
    <w:rsid w:val="00BA3F54"/>
    <w:rsid w:val="00BB138B"/>
    <w:rsid w:val="00BC5BDA"/>
    <w:rsid w:val="00BD17AE"/>
    <w:rsid w:val="00BE1E8F"/>
    <w:rsid w:val="00BE2198"/>
    <w:rsid w:val="00BE590A"/>
    <w:rsid w:val="00BE6468"/>
    <w:rsid w:val="00BE6CC1"/>
    <w:rsid w:val="00BF20C7"/>
    <w:rsid w:val="00BF587A"/>
    <w:rsid w:val="00C0227D"/>
    <w:rsid w:val="00C25B44"/>
    <w:rsid w:val="00C3317D"/>
    <w:rsid w:val="00C33E49"/>
    <w:rsid w:val="00C35591"/>
    <w:rsid w:val="00C41BD5"/>
    <w:rsid w:val="00C41EDB"/>
    <w:rsid w:val="00C50001"/>
    <w:rsid w:val="00C514F4"/>
    <w:rsid w:val="00C535B1"/>
    <w:rsid w:val="00C6260A"/>
    <w:rsid w:val="00C6401F"/>
    <w:rsid w:val="00C74AFA"/>
    <w:rsid w:val="00C87B50"/>
    <w:rsid w:val="00C916C8"/>
    <w:rsid w:val="00C94B40"/>
    <w:rsid w:val="00C97E60"/>
    <w:rsid w:val="00CA2E85"/>
    <w:rsid w:val="00CA6AE7"/>
    <w:rsid w:val="00CA7401"/>
    <w:rsid w:val="00CB2790"/>
    <w:rsid w:val="00CB505F"/>
    <w:rsid w:val="00CB55B0"/>
    <w:rsid w:val="00CE53AB"/>
    <w:rsid w:val="00CF2C5D"/>
    <w:rsid w:val="00CF7C87"/>
    <w:rsid w:val="00D116FB"/>
    <w:rsid w:val="00D46CBB"/>
    <w:rsid w:val="00D52E1A"/>
    <w:rsid w:val="00D548C8"/>
    <w:rsid w:val="00D54ED4"/>
    <w:rsid w:val="00D641BE"/>
    <w:rsid w:val="00D66763"/>
    <w:rsid w:val="00DB1E5B"/>
    <w:rsid w:val="00DB3586"/>
    <w:rsid w:val="00DB4382"/>
    <w:rsid w:val="00DC4747"/>
    <w:rsid w:val="00DC5385"/>
    <w:rsid w:val="00DC7728"/>
    <w:rsid w:val="00DC7AB7"/>
    <w:rsid w:val="00DE1BD0"/>
    <w:rsid w:val="00DE3383"/>
    <w:rsid w:val="00DE693B"/>
    <w:rsid w:val="00E25CDA"/>
    <w:rsid w:val="00E307F8"/>
    <w:rsid w:val="00E314FC"/>
    <w:rsid w:val="00E338CE"/>
    <w:rsid w:val="00E47926"/>
    <w:rsid w:val="00E53DCA"/>
    <w:rsid w:val="00E57F57"/>
    <w:rsid w:val="00E6399A"/>
    <w:rsid w:val="00E74D05"/>
    <w:rsid w:val="00E822F4"/>
    <w:rsid w:val="00E95B1A"/>
    <w:rsid w:val="00EA28EF"/>
    <w:rsid w:val="00EB2FA6"/>
    <w:rsid w:val="00EB492E"/>
    <w:rsid w:val="00EC036E"/>
    <w:rsid w:val="00EC0828"/>
    <w:rsid w:val="00EC6B07"/>
    <w:rsid w:val="00EF0A83"/>
    <w:rsid w:val="00EF5D3D"/>
    <w:rsid w:val="00F16636"/>
    <w:rsid w:val="00F17A0F"/>
    <w:rsid w:val="00F43952"/>
    <w:rsid w:val="00F449CA"/>
    <w:rsid w:val="00F45F44"/>
    <w:rsid w:val="00F46B15"/>
    <w:rsid w:val="00F56078"/>
    <w:rsid w:val="00F725A7"/>
    <w:rsid w:val="00F74AD4"/>
    <w:rsid w:val="00F7759E"/>
    <w:rsid w:val="00F8394C"/>
    <w:rsid w:val="00F87548"/>
    <w:rsid w:val="00F90937"/>
    <w:rsid w:val="00FA1C73"/>
    <w:rsid w:val="00FA2FE9"/>
    <w:rsid w:val="00FB732C"/>
    <w:rsid w:val="00FC4004"/>
    <w:rsid w:val="00FC5816"/>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2872"/>
  <w15:docId w15:val="{96F5A82E-7E46-49F0-85E9-315CE8EC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gmail-msoins">
    <w:name w:val="gmail-msoins"/>
    <w:basedOn w:val="DefaultParagraphFont"/>
    <w:rsid w:val="00F725A7"/>
  </w:style>
  <w:style w:type="character" w:styleId="CommentReference">
    <w:name w:val="annotation reference"/>
    <w:basedOn w:val="DefaultParagraphFont"/>
    <w:semiHidden/>
    <w:unhideWhenUsed/>
    <w:rsid w:val="002547F4"/>
    <w:rPr>
      <w:sz w:val="16"/>
      <w:szCs w:val="16"/>
    </w:rPr>
  </w:style>
  <w:style w:type="paragraph" w:styleId="CommentText">
    <w:name w:val="annotation text"/>
    <w:basedOn w:val="Normal"/>
    <w:link w:val="CommentTextChar"/>
    <w:unhideWhenUsed/>
    <w:rsid w:val="002547F4"/>
    <w:rPr>
      <w:sz w:val="20"/>
      <w:lang w:eastAsia="en-US"/>
    </w:rPr>
  </w:style>
  <w:style w:type="character" w:customStyle="1" w:styleId="CommentTextChar">
    <w:name w:val="Comment Text Char"/>
    <w:basedOn w:val="DefaultParagraphFont"/>
    <w:link w:val="CommentText"/>
    <w:rsid w:val="002547F4"/>
    <w:rPr>
      <w:rFonts w:eastAsia="Times New Roman"/>
      <w:sz w:val="20"/>
      <w:szCs w:val="20"/>
    </w:rPr>
  </w:style>
  <w:style w:type="paragraph" w:styleId="NoSpacing">
    <w:name w:val="No Spacing"/>
    <w:uiPriority w:val="1"/>
    <w:qFormat/>
    <w:rsid w:val="00DB1E5B"/>
    <w:pPr>
      <w:spacing w:after="0"/>
      <w:jc w:val="left"/>
    </w:pPr>
    <w:rPr>
      <w:rFonts w:asciiTheme="minorHAnsi" w:hAnsiTheme="minorHAnsi" w:cstheme="minorBidi"/>
      <w:sz w:val="22"/>
      <w:lang w:val="en-US"/>
    </w:rPr>
  </w:style>
  <w:style w:type="paragraph" w:styleId="CommentSubject">
    <w:name w:val="annotation subject"/>
    <w:basedOn w:val="CommentText"/>
    <w:next w:val="CommentText"/>
    <w:link w:val="CommentSubjectChar"/>
    <w:uiPriority w:val="99"/>
    <w:semiHidden/>
    <w:unhideWhenUsed/>
    <w:rsid w:val="00D52E1A"/>
    <w:rPr>
      <w:b/>
      <w:bCs/>
      <w:lang w:eastAsia="lt-LT"/>
    </w:rPr>
  </w:style>
  <w:style w:type="character" w:customStyle="1" w:styleId="CommentSubjectChar">
    <w:name w:val="Comment Subject Char"/>
    <w:basedOn w:val="CommentTextChar"/>
    <w:link w:val="CommentSubject"/>
    <w:uiPriority w:val="99"/>
    <w:semiHidden/>
    <w:rsid w:val="00D52E1A"/>
    <w:rPr>
      <w:rFonts w:eastAsia="Times New Roman"/>
      <w:b/>
      <w:bCs/>
      <w:sz w:val="20"/>
      <w:szCs w:val="20"/>
      <w:lang w:eastAsia="lt-LT"/>
    </w:rPr>
  </w:style>
  <w:style w:type="paragraph" w:styleId="FootnoteText">
    <w:name w:val="footnote text"/>
    <w:basedOn w:val="Normal"/>
    <w:link w:val="FootnoteTextChar"/>
    <w:uiPriority w:val="99"/>
    <w:unhideWhenUsed/>
    <w:rsid w:val="005369EA"/>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qFormat/>
    <w:rsid w:val="005369EA"/>
    <w:rPr>
      <w:rFonts w:asciiTheme="minorHAnsi" w:hAnsiTheme="minorHAnsi" w:cstheme="minorBidi"/>
      <w:sz w:val="20"/>
      <w:szCs w:val="20"/>
      <w:lang w:val="en-US"/>
    </w:rPr>
  </w:style>
  <w:style w:type="character" w:styleId="FootnoteReference">
    <w:name w:val="footnote reference"/>
    <w:basedOn w:val="DefaultParagraphFont"/>
    <w:uiPriority w:val="99"/>
    <w:unhideWhenUsed/>
    <w:rsid w:val="00536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371">
      <w:bodyDiv w:val="1"/>
      <w:marLeft w:val="0"/>
      <w:marRight w:val="0"/>
      <w:marTop w:val="0"/>
      <w:marBottom w:val="0"/>
      <w:divBdr>
        <w:top w:val="none" w:sz="0" w:space="0" w:color="auto"/>
        <w:left w:val="none" w:sz="0" w:space="0" w:color="auto"/>
        <w:bottom w:val="none" w:sz="0" w:space="0" w:color="auto"/>
        <w:right w:val="none" w:sz="0" w:space="0" w:color="auto"/>
      </w:divBdr>
    </w:div>
    <w:div w:id="474957642">
      <w:bodyDiv w:val="1"/>
      <w:marLeft w:val="0"/>
      <w:marRight w:val="0"/>
      <w:marTop w:val="0"/>
      <w:marBottom w:val="0"/>
      <w:divBdr>
        <w:top w:val="none" w:sz="0" w:space="0" w:color="auto"/>
        <w:left w:val="none" w:sz="0" w:space="0" w:color="auto"/>
        <w:bottom w:val="none" w:sz="0" w:space="0" w:color="auto"/>
        <w:right w:val="none" w:sz="0" w:space="0" w:color="auto"/>
      </w:divBdr>
    </w:div>
    <w:div w:id="639262132">
      <w:bodyDiv w:val="1"/>
      <w:marLeft w:val="0"/>
      <w:marRight w:val="0"/>
      <w:marTop w:val="0"/>
      <w:marBottom w:val="0"/>
      <w:divBdr>
        <w:top w:val="none" w:sz="0" w:space="0" w:color="auto"/>
        <w:left w:val="none" w:sz="0" w:space="0" w:color="auto"/>
        <w:bottom w:val="none" w:sz="0" w:space="0" w:color="auto"/>
        <w:right w:val="none" w:sz="0" w:space="0" w:color="auto"/>
      </w:divBdr>
    </w:div>
    <w:div w:id="876509352">
      <w:bodyDiv w:val="1"/>
      <w:marLeft w:val="0"/>
      <w:marRight w:val="0"/>
      <w:marTop w:val="0"/>
      <w:marBottom w:val="0"/>
      <w:divBdr>
        <w:top w:val="none" w:sz="0" w:space="0" w:color="auto"/>
        <w:left w:val="none" w:sz="0" w:space="0" w:color="auto"/>
        <w:bottom w:val="none" w:sz="0" w:space="0" w:color="auto"/>
        <w:right w:val="none" w:sz="0" w:space="0" w:color="auto"/>
      </w:divBdr>
    </w:div>
    <w:div w:id="912352787">
      <w:bodyDiv w:val="1"/>
      <w:marLeft w:val="0"/>
      <w:marRight w:val="0"/>
      <w:marTop w:val="0"/>
      <w:marBottom w:val="0"/>
      <w:divBdr>
        <w:top w:val="none" w:sz="0" w:space="0" w:color="auto"/>
        <w:left w:val="none" w:sz="0" w:space="0" w:color="auto"/>
        <w:bottom w:val="none" w:sz="0" w:space="0" w:color="auto"/>
        <w:right w:val="none" w:sz="0" w:space="0" w:color="auto"/>
      </w:divBdr>
    </w:div>
    <w:div w:id="1830094959">
      <w:bodyDiv w:val="1"/>
      <w:marLeft w:val="0"/>
      <w:marRight w:val="0"/>
      <w:marTop w:val="0"/>
      <w:marBottom w:val="0"/>
      <w:divBdr>
        <w:top w:val="none" w:sz="0" w:space="0" w:color="auto"/>
        <w:left w:val="none" w:sz="0" w:space="0" w:color="auto"/>
        <w:bottom w:val="none" w:sz="0" w:space="0" w:color="auto"/>
        <w:right w:val="none" w:sz="0" w:space="0" w:color="auto"/>
      </w:divBdr>
      <w:divsChild>
        <w:div w:id="1774012077">
          <w:marLeft w:val="0"/>
          <w:marRight w:val="0"/>
          <w:marTop w:val="0"/>
          <w:marBottom w:val="0"/>
          <w:divBdr>
            <w:top w:val="none" w:sz="0" w:space="0" w:color="auto"/>
            <w:left w:val="none" w:sz="0" w:space="0" w:color="auto"/>
            <w:bottom w:val="none" w:sz="0" w:space="0" w:color="auto"/>
            <w:right w:val="none" w:sz="0" w:space="0" w:color="auto"/>
          </w:divBdr>
          <w:divsChild>
            <w:div w:id="2047364761">
              <w:marLeft w:val="0"/>
              <w:marRight w:val="0"/>
              <w:marTop w:val="0"/>
              <w:marBottom w:val="0"/>
              <w:divBdr>
                <w:top w:val="none" w:sz="0" w:space="0" w:color="auto"/>
                <w:left w:val="none" w:sz="0" w:space="0" w:color="auto"/>
                <w:bottom w:val="none" w:sz="0" w:space="0" w:color="auto"/>
                <w:right w:val="none" w:sz="0" w:space="0" w:color="auto"/>
              </w:divBdr>
              <w:divsChild>
                <w:div w:id="869345302">
                  <w:marLeft w:val="0"/>
                  <w:marRight w:val="0"/>
                  <w:marTop w:val="0"/>
                  <w:marBottom w:val="0"/>
                  <w:divBdr>
                    <w:top w:val="none" w:sz="0" w:space="0" w:color="auto"/>
                    <w:left w:val="none" w:sz="0" w:space="0" w:color="auto"/>
                    <w:bottom w:val="none" w:sz="0" w:space="0" w:color="auto"/>
                    <w:right w:val="none" w:sz="0" w:space="0" w:color="auto"/>
                  </w:divBdr>
                  <w:divsChild>
                    <w:div w:id="424957305">
                      <w:marLeft w:val="0"/>
                      <w:marRight w:val="0"/>
                      <w:marTop w:val="0"/>
                      <w:marBottom w:val="0"/>
                      <w:divBdr>
                        <w:top w:val="none" w:sz="0" w:space="0" w:color="auto"/>
                        <w:left w:val="none" w:sz="0" w:space="0" w:color="auto"/>
                        <w:bottom w:val="none" w:sz="0" w:space="0" w:color="auto"/>
                        <w:right w:val="none" w:sz="0" w:space="0" w:color="auto"/>
                      </w:divBdr>
                      <w:divsChild>
                        <w:div w:id="2096046767">
                          <w:marLeft w:val="0"/>
                          <w:marRight w:val="0"/>
                          <w:marTop w:val="0"/>
                          <w:marBottom w:val="0"/>
                          <w:divBdr>
                            <w:top w:val="none" w:sz="0" w:space="0" w:color="auto"/>
                            <w:left w:val="none" w:sz="0" w:space="0" w:color="auto"/>
                            <w:bottom w:val="none" w:sz="0" w:space="0" w:color="auto"/>
                            <w:right w:val="none" w:sz="0" w:space="0" w:color="auto"/>
                          </w:divBdr>
                          <w:divsChild>
                            <w:div w:id="743796829">
                              <w:marLeft w:val="0"/>
                              <w:marRight w:val="0"/>
                              <w:marTop w:val="0"/>
                              <w:marBottom w:val="0"/>
                              <w:divBdr>
                                <w:top w:val="none" w:sz="0" w:space="0" w:color="auto"/>
                                <w:left w:val="none" w:sz="0" w:space="0" w:color="auto"/>
                                <w:bottom w:val="none" w:sz="0" w:space="0" w:color="auto"/>
                                <w:right w:val="none" w:sz="0" w:space="0" w:color="auto"/>
                              </w:divBdr>
                            </w:div>
                            <w:div w:id="1212113788">
                              <w:marLeft w:val="0"/>
                              <w:marRight w:val="0"/>
                              <w:marTop w:val="0"/>
                              <w:marBottom w:val="0"/>
                              <w:divBdr>
                                <w:top w:val="none" w:sz="0" w:space="0" w:color="auto"/>
                                <w:left w:val="none" w:sz="0" w:space="0" w:color="auto"/>
                                <w:bottom w:val="none" w:sz="0" w:space="0" w:color="auto"/>
                                <w:right w:val="none" w:sz="0" w:space="0" w:color="auto"/>
                              </w:divBdr>
                            </w:div>
                            <w:div w:id="9820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11569</Words>
  <Characters>6595</Characters>
  <Application>Microsoft Office Word</Application>
  <DocSecurity>4</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2021-07-21T05:34:00Z</dcterms:created>
  <dcterms:modified xsi:type="dcterms:W3CDTF">2021-07-21T05:34:00Z</dcterms:modified>
</cp:coreProperties>
</file>