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01CB2" w14:textId="77777777" w:rsidR="0036662A" w:rsidRPr="006B5CAF" w:rsidRDefault="0036662A" w:rsidP="0036662A">
      <w:pPr>
        <w:jc w:val="center"/>
        <w:rPr>
          <w:b/>
          <w:bCs/>
        </w:rPr>
      </w:pPr>
      <w:bookmarkStart w:id="0" w:name="_GoBack"/>
      <w:bookmarkEnd w:id="0"/>
      <w:r w:rsidRPr="006B5CAF">
        <w:rPr>
          <w:b/>
          <w:bCs/>
        </w:rPr>
        <w:t xml:space="preserve">LIETUVOS RESPUBLIKOS </w:t>
      </w:r>
      <w:r w:rsidR="00AA30C9" w:rsidRPr="006B5CAF">
        <w:rPr>
          <w:b/>
          <w:bCs/>
        </w:rPr>
        <w:t>EKONOMIKOS IR INOVACIJŲ</w:t>
      </w:r>
      <w:r w:rsidRPr="006B5CAF">
        <w:rPr>
          <w:b/>
          <w:bCs/>
        </w:rPr>
        <w:t xml:space="preserve"> MINISTERIJA</w:t>
      </w:r>
    </w:p>
    <w:p w14:paraId="4BE9C383" w14:textId="77777777" w:rsidR="0036662A" w:rsidRPr="006B5CAF" w:rsidRDefault="0036662A" w:rsidP="0036662A">
      <w:pPr>
        <w:jc w:val="center"/>
        <w:rPr>
          <w:b/>
          <w:bCs/>
        </w:rPr>
      </w:pPr>
    </w:p>
    <w:p w14:paraId="61FE5354" w14:textId="2DA4EF8C" w:rsidR="0036662A" w:rsidRPr="006B5CAF" w:rsidRDefault="0036662A" w:rsidP="0036662A">
      <w:pPr>
        <w:jc w:val="center"/>
        <w:rPr>
          <w:b/>
          <w:bCs/>
        </w:rPr>
      </w:pPr>
      <w:r w:rsidRPr="006B5CAF">
        <w:rPr>
          <w:b/>
          <w:bCs/>
        </w:rPr>
        <w:t xml:space="preserve">SOCIALINIŲ IR EKONOMINIŲ PARTNERIŲ PATEIKTŲ PASTABŲ IR PASIŪLYMŲ DĖL 2014–2020 METŲ EUROPOS SĄJUNGOS FONDŲ INVESTICIJŲ VEIKSMŲ PROGRAMOS </w:t>
      </w:r>
      <w:r w:rsidR="00B058B6" w:rsidRPr="006B5CAF">
        <w:rPr>
          <w:b/>
          <w:bCs/>
        </w:rPr>
        <w:t>9 PRIORITETO „VISUOMENĖS ŠVIETIMAS IR ŽMOGIŠKŲJŲ IŠTEKLIŲ POTENCIALO DIDINIMAS“</w:t>
      </w:r>
      <w:r w:rsidR="003D4EB4" w:rsidRPr="006B5CAF">
        <w:rPr>
          <w:szCs w:val="24"/>
          <w:lang w:eastAsia="en-US"/>
        </w:rPr>
        <w:t xml:space="preserve"> </w:t>
      </w:r>
      <w:r w:rsidR="00017566" w:rsidRPr="006B5CAF">
        <w:rPr>
          <w:b/>
          <w:bCs/>
          <w:szCs w:val="24"/>
          <w:lang w:eastAsia="en-US"/>
        </w:rPr>
        <w:t xml:space="preserve">PRIEMONĖS </w:t>
      </w:r>
      <w:r w:rsidR="009E7F18" w:rsidRPr="006B5CAF">
        <w:rPr>
          <w:b/>
        </w:rPr>
        <w:t>NR. 09.4.3-ESFA-K-805 „ŽMOGIŠKIEJI IŠTEKLIAI INVEST LT+“</w:t>
      </w:r>
      <w:r w:rsidR="003D4EB4" w:rsidRPr="006B5CAF">
        <w:rPr>
          <w:b/>
          <w:bCs/>
        </w:rPr>
        <w:t xml:space="preserve"> </w:t>
      </w:r>
      <w:r w:rsidRPr="006B5CAF">
        <w:rPr>
          <w:b/>
          <w:bCs/>
        </w:rPr>
        <w:t xml:space="preserve">PROJEKTŲ </w:t>
      </w:r>
      <w:r w:rsidR="00476FB8" w:rsidRPr="006B5CAF">
        <w:rPr>
          <w:b/>
          <w:bCs/>
        </w:rPr>
        <w:t xml:space="preserve">FINANSAVIMO SĄLYGŲ APRAŠO </w:t>
      </w:r>
      <w:r w:rsidR="00064BC6" w:rsidRPr="006B5CAF">
        <w:rPr>
          <w:b/>
          <w:bCs/>
        </w:rPr>
        <w:t>DERINIMAS</w:t>
      </w:r>
    </w:p>
    <w:p w14:paraId="74CF9614" w14:textId="77777777" w:rsidR="0036662A" w:rsidRPr="006B5CAF"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rsidRPr="006B5CAF" w14:paraId="186CD4CE" w14:textId="77777777" w:rsidTr="00335D39">
        <w:tc>
          <w:tcPr>
            <w:tcW w:w="6804" w:type="dxa"/>
          </w:tcPr>
          <w:p w14:paraId="5ABD71ED" w14:textId="77777777" w:rsidR="0036662A" w:rsidRPr="006B5CAF" w:rsidRDefault="0036662A" w:rsidP="00335D39">
            <w:pPr>
              <w:rPr>
                <w:b/>
                <w:szCs w:val="24"/>
              </w:rPr>
            </w:pPr>
            <w:r w:rsidRPr="006B5CAF">
              <w:rPr>
                <w:b/>
                <w:szCs w:val="24"/>
              </w:rPr>
              <w:t xml:space="preserve">Paskelbimo </w:t>
            </w:r>
            <w:r w:rsidRPr="006B5CAF">
              <w:t>www.esinvesticijos.lt</w:t>
            </w:r>
            <w:r w:rsidRPr="006B5CAF">
              <w:rPr>
                <w:b/>
                <w:szCs w:val="24"/>
              </w:rPr>
              <w:t xml:space="preserve"> data</w:t>
            </w:r>
          </w:p>
        </w:tc>
        <w:tc>
          <w:tcPr>
            <w:tcW w:w="7938" w:type="dxa"/>
          </w:tcPr>
          <w:p w14:paraId="30C88A42" w14:textId="12796ACD" w:rsidR="0036662A" w:rsidRPr="006B5CAF" w:rsidRDefault="00F65129" w:rsidP="00335D39">
            <w:pPr>
              <w:rPr>
                <w:szCs w:val="24"/>
              </w:rPr>
            </w:pPr>
            <w:r w:rsidRPr="006B5CAF">
              <w:rPr>
                <w:szCs w:val="24"/>
              </w:rPr>
              <w:t>202</w:t>
            </w:r>
            <w:r w:rsidR="00330974" w:rsidRPr="006B5CAF">
              <w:rPr>
                <w:szCs w:val="24"/>
              </w:rPr>
              <w:t>1</w:t>
            </w:r>
            <w:r w:rsidRPr="006B5CAF">
              <w:rPr>
                <w:szCs w:val="24"/>
              </w:rPr>
              <w:t>-0</w:t>
            </w:r>
            <w:r w:rsidR="0070221E" w:rsidRPr="006B5CAF">
              <w:rPr>
                <w:szCs w:val="24"/>
              </w:rPr>
              <w:t>7</w:t>
            </w:r>
            <w:r w:rsidRPr="006B5CAF">
              <w:rPr>
                <w:szCs w:val="24"/>
              </w:rPr>
              <w:t>-</w:t>
            </w:r>
            <w:r w:rsidR="00476FB8" w:rsidRPr="006B5CAF">
              <w:rPr>
                <w:szCs w:val="24"/>
              </w:rPr>
              <w:t>02</w:t>
            </w:r>
          </w:p>
        </w:tc>
      </w:tr>
      <w:tr w:rsidR="0036662A" w:rsidRPr="006B5CAF" w14:paraId="0B887416" w14:textId="77777777" w:rsidTr="00335D39">
        <w:tc>
          <w:tcPr>
            <w:tcW w:w="6804" w:type="dxa"/>
          </w:tcPr>
          <w:p w14:paraId="222C999C" w14:textId="77777777" w:rsidR="0036662A" w:rsidRPr="006B5CAF" w:rsidRDefault="0036662A" w:rsidP="00335D39">
            <w:pPr>
              <w:rPr>
                <w:b/>
                <w:szCs w:val="24"/>
              </w:rPr>
            </w:pPr>
            <w:r w:rsidRPr="006B5CAF">
              <w:rPr>
                <w:b/>
                <w:szCs w:val="24"/>
              </w:rPr>
              <w:t>Ar gauta pastabų ir (ar) pasiūlymų?</w:t>
            </w:r>
          </w:p>
          <w:p w14:paraId="240DC70C" w14:textId="77777777" w:rsidR="0036662A" w:rsidRPr="006B5CAF" w:rsidRDefault="0036662A" w:rsidP="0036662A">
            <w:pPr>
              <w:rPr>
                <w:i/>
                <w:sz w:val="20"/>
              </w:rPr>
            </w:pPr>
            <w:r w:rsidRPr="006B5CAF">
              <w:rPr>
                <w:i/>
                <w:sz w:val="20"/>
              </w:rPr>
              <w:t>Jei pastabų ir pasiūlymų nebuvo gauta, į kitą klausimą neatsakoma ir žemiau esanti lentelė nepildoma</w:t>
            </w:r>
          </w:p>
        </w:tc>
        <w:tc>
          <w:tcPr>
            <w:tcW w:w="7938" w:type="dxa"/>
          </w:tcPr>
          <w:p w14:paraId="3F99D4E0" w14:textId="521017BC" w:rsidR="0036662A" w:rsidRPr="006B5CAF" w:rsidRDefault="00476FB8" w:rsidP="00476FB8">
            <w:r w:rsidRPr="006B5CAF">
              <w:fldChar w:fldCharType="begin">
                <w:ffData>
                  <w:name w:val="Check1"/>
                  <w:enabled/>
                  <w:calcOnExit w:val="0"/>
                  <w:checkBox>
                    <w:sizeAuto/>
                    <w:default w:val="1"/>
                  </w:checkBox>
                </w:ffData>
              </w:fldChar>
            </w:r>
            <w:bookmarkStart w:id="1" w:name="Check1"/>
            <w:r w:rsidRPr="006B5CAF">
              <w:instrText xml:space="preserve"> FORMCHECKBOX </w:instrText>
            </w:r>
            <w:r w:rsidR="001E1FDE">
              <w:fldChar w:fldCharType="separate"/>
            </w:r>
            <w:r w:rsidRPr="006B5CAF">
              <w:fldChar w:fldCharType="end"/>
            </w:r>
            <w:bookmarkEnd w:id="1"/>
            <w:r w:rsidR="0036662A" w:rsidRPr="006B5CAF">
              <w:t xml:space="preserve"> </w:t>
            </w:r>
            <w:r w:rsidR="0036662A" w:rsidRPr="006B5CAF">
              <w:rPr>
                <w:szCs w:val="24"/>
              </w:rPr>
              <w:t xml:space="preserve">Taip </w:t>
            </w:r>
            <w:sdt>
              <w:sdtPr>
                <w:rPr>
                  <w:szCs w:val="24"/>
                </w:rPr>
                <w:id w:val="164368749"/>
              </w:sdtPr>
              <w:sdtEndPr/>
              <w:sdtContent>
                <w:r w:rsidRPr="006B5CAF">
                  <w:rPr>
                    <w:b/>
                    <w:szCs w:val="24"/>
                  </w:rPr>
                  <w:fldChar w:fldCharType="begin">
                    <w:ffData>
                      <w:name w:val=""/>
                      <w:enabled/>
                      <w:calcOnExit w:val="0"/>
                      <w:checkBox>
                        <w:sizeAuto/>
                        <w:default w:val="0"/>
                      </w:checkBox>
                    </w:ffData>
                  </w:fldChar>
                </w:r>
                <w:r w:rsidRPr="006B5CAF">
                  <w:rPr>
                    <w:b/>
                    <w:szCs w:val="24"/>
                  </w:rPr>
                  <w:instrText xml:space="preserve"> FORMCHECKBOX </w:instrText>
                </w:r>
                <w:r w:rsidR="001E1FDE">
                  <w:rPr>
                    <w:b/>
                    <w:szCs w:val="24"/>
                  </w:rPr>
                </w:r>
                <w:r w:rsidR="001E1FDE">
                  <w:rPr>
                    <w:b/>
                    <w:szCs w:val="24"/>
                  </w:rPr>
                  <w:fldChar w:fldCharType="separate"/>
                </w:r>
                <w:r w:rsidRPr="006B5CAF">
                  <w:rPr>
                    <w:b/>
                    <w:szCs w:val="24"/>
                  </w:rPr>
                  <w:fldChar w:fldCharType="end"/>
                </w:r>
                <w:r w:rsidR="0036662A" w:rsidRPr="006B5CAF">
                  <w:rPr>
                    <w:szCs w:val="24"/>
                  </w:rPr>
                  <w:t xml:space="preserve"> </w:t>
                </w:r>
              </w:sdtContent>
            </w:sdt>
            <w:r w:rsidR="0036662A" w:rsidRPr="006B5CAF">
              <w:rPr>
                <w:szCs w:val="24"/>
              </w:rPr>
              <w:t xml:space="preserve"> Ne</w:t>
            </w:r>
            <w:r w:rsidR="0036662A" w:rsidRPr="006B5CAF">
              <w:rPr>
                <w:szCs w:val="24"/>
              </w:rPr>
              <w:fldChar w:fldCharType="begin"/>
            </w:r>
            <w:r w:rsidR="0036662A" w:rsidRPr="006B5CAF">
              <w:rPr>
                <w:szCs w:val="24"/>
              </w:rPr>
              <w:instrText xml:space="preserve"> FILLIN   \* MERGEFORMAT </w:instrText>
            </w:r>
            <w:r w:rsidR="0036662A" w:rsidRPr="006B5CAF">
              <w:rPr>
                <w:szCs w:val="24"/>
              </w:rPr>
              <w:fldChar w:fldCharType="end"/>
            </w:r>
          </w:p>
        </w:tc>
      </w:tr>
      <w:tr w:rsidR="0036662A" w:rsidRPr="006B5CAF" w14:paraId="48ACEA96" w14:textId="77777777" w:rsidTr="00335D39">
        <w:tc>
          <w:tcPr>
            <w:tcW w:w="6804" w:type="dxa"/>
          </w:tcPr>
          <w:p w14:paraId="0CDA3A40" w14:textId="77777777" w:rsidR="0036662A" w:rsidRPr="006B5CAF" w:rsidRDefault="0036662A" w:rsidP="00335D39">
            <w:pPr>
              <w:rPr>
                <w:b/>
                <w:szCs w:val="24"/>
              </w:rPr>
            </w:pPr>
            <w:r w:rsidRPr="006B5CAF">
              <w:rPr>
                <w:b/>
                <w:szCs w:val="24"/>
              </w:rPr>
              <w:t>Ar į visas pastabas ir (ar) pasiūlymus atsižvelgta?</w:t>
            </w:r>
          </w:p>
          <w:p w14:paraId="2AF95CF4" w14:textId="77777777" w:rsidR="0036662A" w:rsidRPr="006B5CAF" w:rsidRDefault="0036662A" w:rsidP="00335D39">
            <w:pPr>
              <w:rPr>
                <w:i/>
                <w:sz w:val="20"/>
              </w:rPr>
            </w:pPr>
            <w:r w:rsidRPr="006B5CAF">
              <w:rPr>
                <w:i/>
                <w:sz w:val="20"/>
              </w:rPr>
              <w:t>Jei atsižvelgta į visas pastabas ir (ar) pasiūlymus, žemiau esanti lentelė nepildoma</w:t>
            </w:r>
          </w:p>
        </w:tc>
        <w:tc>
          <w:tcPr>
            <w:tcW w:w="7938" w:type="dxa"/>
          </w:tcPr>
          <w:p w14:paraId="3B6FBCDB" w14:textId="18CF14ED" w:rsidR="0036662A" w:rsidRPr="006B5CAF" w:rsidRDefault="001E1FDE" w:rsidP="00476FB8">
            <w:pPr>
              <w:rPr>
                <w:szCs w:val="24"/>
              </w:rPr>
            </w:pPr>
            <w:sdt>
              <w:sdtPr>
                <w:id w:val="-1548671976"/>
              </w:sdtPr>
              <w:sdtEndPr/>
              <w:sdtContent>
                <w:r w:rsidR="0036662A" w:rsidRPr="006B5CAF">
                  <w:fldChar w:fldCharType="begin">
                    <w:ffData>
                      <w:name w:val="Check1"/>
                      <w:enabled/>
                      <w:calcOnExit w:val="0"/>
                      <w:checkBox>
                        <w:sizeAuto/>
                        <w:default w:val="0"/>
                      </w:checkBox>
                    </w:ffData>
                  </w:fldChar>
                </w:r>
                <w:r w:rsidR="0036662A" w:rsidRPr="006B5CAF">
                  <w:instrText xml:space="preserve"> FORMCHECKBOX </w:instrText>
                </w:r>
                <w:r>
                  <w:fldChar w:fldCharType="separate"/>
                </w:r>
                <w:r w:rsidR="0036662A" w:rsidRPr="006B5CAF">
                  <w:fldChar w:fldCharType="end"/>
                </w:r>
              </w:sdtContent>
            </w:sdt>
            <w:r w:rsidR="0036662A" w:rsidRPr="006B5CAF">
              <w:rPr>
                <w:szCs w:val="24"/>
              </w:rPr>
              <w:t xml:space="preserve"> Taip </w:t>
            </w:r>
            <w:sdt>
              <w:sdtPr>
                <w:id w:val="-338542889"/>
              </w:sdtPr>
              <w:sdtEndPr/>
              <w:sdtContent>
                <w:r w:rsidR="00476FB8" w:rsidRPr="006B5CAF">
                  <w:fldChar w:fldCharType="begin">
                    <w:ffData>
                      <w:name w:val=""/>
                      <w:enabled/>
                      <w:calcOnExit w:val="0"/>
                      <w:checkBox>
                        <w:sizeAuto/>
                        <w:default w:val="1"/>
                      </w:checkBox>
                    </w:ffData>
                  </w:fldChar>
                </w:r>
                <w:r w:rsidR="00476FB8" w:rsidRPr="006B5CAF">
                  <w:instrText xml:space="preserve"> FORMCHECKBOX </w:instrText>
                </w:r>
                <w:r>
                  <w:fldChar w:fldCharType="separate"/>
                </w:r>
                <w:r w:rsidR="00476FB8" w:rsidRPr="006B5CAF">
                  <w:fldChar w:fldCharType="end"/>
                </w:r>
              </w:sdtContent>
            </w:sdt>
            <w:r w:rsidR="0036662A" w:rsidRPr="006B5CAF">
              <w:rPr>
                <w:szCs w:val="24"/>
              </w:rPr>
              <w:t xml:space="preserve"> Ne </w:t>
            </w:r>
          </w:p>
        </w:tc>
      </w:tr>
    </w:tbl>
    <w:p w14:paraId="2CB04BD8" w14:textId="77777777" w:rsidR="0036662A" w:rsidRPr="006B5CAF" w:rsidRDefault="0036662A" w:rsidP="0036662A">
      <w:pPr>
        <w:rPr>
          <w:szCs w:val="24"/>
        </w:rPr>
      </w:pPr>
    </w:p>
    <w:tbl>
      <w:tblPr>
        <w:tblStyle w:val="TableGrid"/>
        <w:tblW w:w="14771" w:type="dxa"/>
        <w:tblInd w:w="108" w:type="dxa"/>
        <w:tblLayout w:type="fixed"/>
        <w:tblLook w:val="04A0" w:firstRow="1" w:lastRow="0" w:firstColumn="1" w:lastColumn="0" w:noHBand="0" w:noVBand="1"/>
      </w:tblPr>
      <w:tblGrid>
        <w:gridCol w:w="567"/>
        <w:gridCol w:w="1560"/>
        <w:gridCol w:w="5698"/>
        <w:gridCol w:w="6946"/>
      </w:tblGrid>
      <w:tr w:rsidR="0036662A" w:rsidRPr="006B5CAF" w14:paraId="6A4E2F17" w14:textId="77777777" w:rsidTr="00F42CAC">
        <w:tc>
          <w:tcPr>
            <w:tcW w:w="567" w:type="dxa"/>
          </w:tcPr>
          <w:p w14:paraId="025A5EA9" w14:textId="77777777" w:rsidR="0036662A" w:rsidRPr="006B5CAF" w:rsidRDefault="0036662A" w:rsidP="00335D39">
            <w:pPr>
              <w:jc w:val="center"/>
              <w:rPr>
                <w:b/>
                <w:szCs w:val="24"/>
              </w:rPr>
            </w:pPr>
            <w:r w:rsidRPr="006B5CAF">
              <w:rPr>
                <w:b/>
                <w:szCs w:val="24"/>
              </w:rPr>
              <w:t>Nr.</w:t>
            </w:r>
          </w:p>
        </w:tc>
        <w:tc>
          <w:tcPr>
            <w:tcW w:w="1560" w:type="dxa"/>
          </w:tcPr>
          <w:p w14:paraId="5FEE2DEB" w14:textId="77777777" w:rsidR="0036662A" w:rsidRPr="006B5CAF" w:rsidRDefault="0036662A" w:rsidP="00335D39">
            <w:pPr>
              <w:jc w:val="center"/>
              <w:rPr>
                <w:b/>
                <w:szCs w:val="24"/>
              </w:rPr>
            </w:pPr>
            <w:r w:rsidRPr="006B5CAF">
              <w:rPr>
                <w:b/>
                <w:szCs w:val="24"/>
              </w:rPr>
              <w:t>Institucija</w:t>
            </w:r>
          </w:p>
        </w:tc>
        <w:tc>
          <w:tcPr>
            <w:tcW w:w="5698" w:type="dxa"/>
          </w:tcPr>
          <w:p w14:paraId="4F6476E0" w14:textId="77777777" w:rsidR="0036662A" w:rsidRPr="006B5CAF" w:rsidRDefault="0036662A" w:rsidP="00335D39">
            <w:pPr>
              <w:jc w:val="center"/>
              <w:rPr>
                <w:b/>
                <w:szCs w:val="24"/>
              </w:rPr>
            </w:pPr>
            <w:r w:rsidRPr="006B5CAF">
              <w:rPr>
                <w:b/>
                <w:bCs/>
              </w:rPr>
              <w:t>Pastabos ir pasiūlymai</w:t>
            </w:r>
          </w:p>
        </w:tc>
        <w:tc>
          <w:tcPr>
            <w:tcW w:w="6946" w:type="dxa"/>
          </w:tcPr>
          <w:p w14:paraId="5C314C6F" w14:textId="77777777" w:rsidR="0036662A" w:rsidRPr="006B5CAF" w:rsidRDefault="0036662A" w:rsidP="00335D39">
            <w:pPr>
              <w:jc w:val="center"/>
              <w:rPr>
                <w:b/>
                <w:szCs w:val="24"/>
              </w:rPr>
            </w:pPr>
            <w:r w:rsidRPr="006B5CAF">
              <w:rPr>
                <w:b/>
                <w:bCs/>
              </w:rPr>
              <w:t>Pastabų ir pasiūlymų vertinimas ir (jei taikoma) argumentai, kodėl neatsižvelgta į pastabas ar pasiūlymus</w:t>
            </w:r>
          </w:p>
        </w:tc>
      </w:tr>
      <w:tr w:rsidR="00620BD8" w:rsidRPr="006B5CAF" w14:paraId="3C076E52" w14:textId="77777777" w:rsidTr="00F42CAC">
        <w:trPr>
          <w:trHeight w:val="983"/>
        </w:trPr>
        <w:tc>
          <w:tcPr>
            <w:tcW w:w="567" w:type="dxa"/>
          </w:tcPr>
          <w:p w14:paraId="327251E7" w14:textId="38328DB3" w:rsidR="00620BD8" w:rsidRPr="006B5CAF" w:rsidRDefault="00620BD8" w:rsidP="00620BD8">
            <w:pPr>
              <w:jc w:val="both"/>
            </w:pPr>
            <w:r w:rsidRPr="006B5CAF">
              <w:t>1.</w:t>
            </w:r>
          </w:p>
        </w:tc>
        <w:tc>
          <w:tcPr>
            <w:tcW w:w="1560" w:type="dxa"/>
          </w:tcPr>
          <w:p w14:paraId="66BCE2E2" w14:textId="0672DD7A" w:rsidR="00620BD8" w:rsidRPr="006B5CAF" w:rsidRDefault="00620BD8" w:rsidP="00620BD8">
            <w:r w:rsidRPr="006B5CAF">
              <w:t>Lietuvos darbdavių konfederacija</w:t>
            </w:r>
          </w:p>
        </w:tc>
        <w:tc>
          <w:tcPr>
            <w:tcW w:w="5698" w:type="dxa"/>
          </w:tcPr>
          <w:p w14:paraId="00F27A6D" w14:textId="77777777" w:rsidR="00620BD8" w:rsidRPr="00620BD8" w:rsidRDefault="00620BD8" w:rsidP="00620BD8">
            <w:pPr>
              <w:tabs>
                <w:tab w:val="left" w:pos="603"/>
              </w:tabs>
              <w:jc w:val="both"/>
            </w:pPr>
            <w:r w:rsidRPr="00620BD8">
              <w:t>PFSA 10 p. numato „</w:t>
            </w:r>
            <w:r w:rsidRPr="00620BD8">
              <w:rPr>
                <w:i/>
              </w:rPr>
              <w:t xml:space="preserve">remiamos veiklos – </w:t>
            </w:r>
            <w:r w:rsidRPr="00620BD8">
              <w:rPr>
                <w:b/>
                <w:i/>
              </w:rPr>
              <w:t>investuotojų, investuojančių</w:t>
            </w:r>
            <w:r w:rsidRPr="00620BD8">
              <w:rPr>
                <w:i/>
              </w:rPr>
              <w:t xml:space="preserve"> Lietuvos Respublikos teritorijoje </w:t>
            </w:r>
            <w:r w:rsidRPr="00620BD8">
              <w:rPr>
                <w:b/>
                <w:i/>
              </w:rPr>
              <w:t xml:space="preserve">į gamybą </w:t>
            </w:r>
            <w:r w:rsidRPr="00620BD8">
              <w:rPr>
                <w:b/>
                <w:i/>
                <w:u w:val="single"/>
              </w:rPr>
              <w:t>ir (ar) paslaugas</w:t>
            </w:r>
            <w:r w:rsidRPr="00620BD8">
              <w:rPr>
                <w:b/>
                <w:i/>
              </w:rPr>
              <w:t>, darbuotojų mokymas ir kvalifikacijos tobulinimas</w:t>
            </w:r>
            <w:r w:rsidRPr="00620BD8">
              <w:rPr>
                <w:i/>
              </w:rPr>
              <w:t xml:space="preserve">, įskaitant mokymo darbo vietoje organizavimą“. </w:t>
            </w:r>
            <w:r w:rsidRPr="00620BD8">
              <w:t>T. y. remiamos investuotojų veiklos, investuojančių tiek į gamybą, tiek į paslaugas.</w:t>
            </w:r>
          </w:p>
          <w:p w14:paraId="714F5A8C" w14:textId="77777777" w:rsidR="00620BD8" w:rsidRPr="00620BD8" w:rsidRDefault="00620BD8" w:rsidP="00620BD8">
            <w:pPr>
              <w:tabs>
                <w:tab w:val="left" w:pos="603"/>
              </w:tabs>
              <w:jc w:val="both"/>
              <w:rPr>
                <w:b/>
              </w:rPr>
            </w:pPr>
            <w:r w:rsidRPr="00620BD8">
              <w:t>Tačiau PFSA priedas Nr. 2 atrankos kriterijus Nr.1 eliminuoja Paslaugų įmones gauti balų pagal šį kriterijų, kadangi nurodoma „</w:t>
            </w:r>
            <w:r w:rsidRPr="00620BD8">
              <w:rPr>
                <w:i/>
              </w:rPr>
              <w:t xml:space="preserve">Mokymai skirti įmonių, kurių </w:t>
            </w:r>
            <w:r w:rsidRPr="00620BD8">
              <w:rPr>
                <w:b/>
                <w:i/>
              </w:rPr>
              <w:t xml:space="preserve">pagrindinės veiklos </w:t>
            </w:r>
            <w:r w:rsidRPr="00620BD8">
              <w:rPr>
                <w:b/>
                <w:bCs/>
                <w:i/>
              </w:rPr>
              <w:t>priskiriamos Ekonominės veiklos rūšių klasifikatoriaus (EVRK 2 red.)</w:t>
            </w:r>
            <w:r w:rsidRPr="00620BD8">
              <w:rPr>
                <w:bCs/>
                <w:i/>
              </w:rPr>
              <w:t xml:space="preserve">, patvirtinto Statistikos departamento prie Lietuvos Respublikos Vyriausybės generalinio direktoriaus 2007 m. spalio 31 d. įsakymu Nr. DĮ-226 „Dėl Ekonominės veiklos rūšių klasifikatoriaus patvirtinimo“ (toliau – EVRK 2 red.), </w:t>
            </w:r>
            <w:r w:rsidRPr="00620BD8">
              <w:rPr>
                <w:b/>
                <w:bCs/>
                <w:i/>
              </w:rPr>
              <w:t xml:space="preserve">C sekcijai, </w:t>
            </w:r>
            <w:r w:rsidRPr="00620BD8">
              <w:rPr>
                <w:b/>
                <w:i/>
              </w:rPr>
              <w:t>darbuotojų kvalifikacijos įgijimui pameistrystės būdu</w:t>
            </w:r>
            <w:r w:rsidRPr="00620BD8">
              <w:rPr>
                <w:b/>
              </w:rPr>
              <w:t>.</w:t>
            </w:r>
          </w:p>
          <w:p w14:paraId="0C519A7C" w14:textId="77777777" w:rsidR="00620BD8" w:rsidRPr="00620BD8" w:rsidRDefault="00620BD8" w:rsidP="00620BD8">
            <w:pPr>
              <w:tabs>
                <w:tab w:val="left" w:pos="603"/>
              </w:tabs>
              <w:jc w:val="both"/>
            </w:pPr>
            <w:r w:rsidRPr="00620BD8">
              <w:rPr>
                <w:b/>
                <w:i/>
              </w:rPr>
              <w:lastRenderedPageBreak/>
              <w:t xml:space="preserve">Kai tuo tarpu daug paslaugų veiklų patenka ir į kitas EVRK sekcijas. </w:t>
            </w:r>
            <w:r w:rsidRPr="00620BD8">
              <w:t>Tokiu būdu pažeidžiamas lygiateisiškumo principas kitiems sektoriams konkurencingai dalyvauti projektų atrankoje. Siūlome praplėsti EVRK sekcijas, įvardinant sekcijas kurios negalėtų pretenduoti, pvz. A, G, O, U.</w:t>
            </w:r>
          </w:p>
          <w:p w14:paraId="7758DB61" w14:textId="77777777" w:rsidR="00620BD8" w:rsidRPr="006B5CAF" w:rsidRDefault="00620BD8" w:rsidP="00620BD8">
            <w:pPr>
              <w:tabs>
                <w:tab w:val="left" w:pos="603"/>
              </w:tabs>
              <w:jc w:val="both"/>
            </w:pPr>
          </w:p>
        </w:tc>
        <w:tc>
          <w:tcPr>
            <w:tcW w:w="6946" w:type="dxa"/>
          </w:tcPr>
          <w:p w14:paraId="77FC47CE" w14:textId="77777777" w:rsidR="00620BD8" w:rsidRPr="00620BD8" w:rsidRDefault="00620BD8" w:rsidP="00620BD8">
            <w:pPr>
              <w:tabs>
                <w:tab w:val="left" w:pos="607"/>
              </w:tabs>
              <w:jc w:val="both"/>
              <w:rPr>
                <w:b/>
                <w:bCs/>
                <w:szCs w:val="24"/>
                <w:lang w:eastAsia="en-US"/>
              </w:rPr>
            </w:pPr>
            <w:r w:rsidRPr="00620BD8">
              <w:rPr>
                <w:b/>
                <w:bCs/>
                <w:szCs w:val="24"/>
                <w:lang w:eastAsia="en-US"/>
              </w:rPr>
              <w:lastRenderedPageBreak/>
              <w:t xml:space="preserve">Neatsižvelgta. </w:t>
            </w:r>
          </w:p>
          <w:p w14:paraId="245B9F7A" w14:textId="77777777" w:rsidR="00620BD8" w:rsidRPr="00620BD8" w:rsidRDefault="00620BD8" w:rsidP="00620BD8">
            <w:pPr>
              <w:tabs>
                <w:tab w:val="left" w:pos="607"/>
              </w:tabs>
              <w:jc w:val="both"/>
              <w:rPr>
                <w:bCs/>
                <w:szCs w:val="24"/>
                <w:lang w:eastAsia="en-US"/>
              </w:rPr>
            </w:pPr>
            <w:r w:rsidRPr="00620BD8">
              <w:rPr>
                <w:bCs/>
                <w:szCs w:val="24"/>
                <w:lang w:eastAsia="en-US"/>
              </w:rPr>
              <w:t xml:space="preserve">Pažymėtina, kad vis dėlto gamybos sektorius yra didžiausias Lietuvos ekonomikos sektorius, sukuriantis net 16,2 proc. šalies bendrojo vidaus produkto. Lietuvos gamyboje dominuoja žemų ir vidutinių technologijų įmonės, 85 proc. visų Lietuvos gamybinio sektoriaus darbuotojų dirba žemo ir vidutinio technologinio išsivystymo gamybos įmonėse. Formuluojant kriterijus buvo atsižvelgta ir į tai, kad kvietimui numatoma skirti lėšų suma yra santykinai maža. Kadangi daugiau kvietimų kvalifikacijos tobulinimui šiame finansiniame periode jau nenumatoma, dedame visas pastangas, kad paskutinės 2014–2020 metų ES investicijos būtų panaudotos kiek galima tikslingiau ir efektyviau. </w:t>
            </w:r>
          </w:p>
          <w:p w14:paraId="13AC31CA" w14:textId="77777777" w:rsidR="00620BD8" w:rsidRDefault="00620BD8" w:rsidP="00620BD8">
            <w:pPr>
              <w:tabs>
                <w:tab w:val="left" w:pos="607"/>
              </w:tabs>
              <w:jc w:val="both"/>
              <w:rPr>
                <w:bCs/>
                <w:szCs w:val="24"/>
                <w:lang w:eastAsia="en-US"/>
              </w:rPr>
            </w:pPr>
            <w:r w:rsidRPr="00620BD8">
              <w:rPr>
                <w:bCs/>
                <w:szCs w:val="24"/>
                <w:lang w:eastAsia="en-US"/>
              </w:rPr>
              <w:t>Formali kvalifikacija, kuri suteikiama baigus mokymą pameistrystės forma, daug didesnę svarbą turi būtent gamybos sektoriuje dirbantiems asmenims, nes šio sektoriaus darbuotojams yra būtini praktiniai įgūdžiai, kurie įgyjami mokantis iš meistrų. Dėl šios priežasties siekiama paskatinti apdirbamosios gamybos įmonių susidomėjimą mokymui pameistrystės forma.</w:t>
            </w:r>
          </w:p>
          <w:p w14:paraId="5D6190A8" w14:textId="6FA5AE0A" w:rsidR="00F22359" w:rsidRDefault="00F22359" w:rsidP="00620BD8">
            <w:pPr>
              <w:tabs>
                <w:tab w:val="left" w:pos="607"/>
              </w:tabs>
              <w:jc w:val="both"/>
            </w:pPr>
            <w:r>
              <w:rPr>
                <w:bCs/>
                <w:szCs w:val="24"/>
                <w:lang w:eastAsia="en-US"/>
              </w:rPr>
              <w:lastRenderedPageBreak/>
              <w:t xml:space="preserve">Pažymėtina, kad priemonės </w:t>
            </w:r>
            <w:r w:rsidRPr="00F22359">
              <w:rPr>
                <w:bCs/>
                <w:szCs w:val="24"/>
                <w:lang w:eastAsia="en-US"/>
              </w:rPr>
              <w:t>„</w:t>
            </w:r>
            <w:r w:rsidRPr="00F22359">
              <w:rPr>
                <w:bCs/>
              </w:rPr>
              <w:t xml:space="preserve">Žmogiškieji ištekliai </w:t>
            </w:r>
            <w:proofErr w:type="spellStart"/>
            <w:r w:rsidRPr="00F22359">
              <w:rPr>
                <w:bCs/>
              </w:rPr>
              <w:t>Invest</w:t>
            </w:r>
            <w:proofErr w:type="spellEnd"/>
            <w:r w:rsidRPr="00F22359">
              <w:rPr>
                <w:bCs/>
              </w:rPr>
              <w:t xml:space="preserve"> LT+“</w:t>
            </w:r>
            <w:r w:rsidRPr="006B5CAF">
              <w:rPr>
                <w:b/>
                <w:bCs/>
              </w:rPr>
              <w:t xml:space="preserve"> </w:t>
            </w:r>
            <w:r w:rsidRPr="00A74FCE">
              <w:t xml:space="preserve">projektų atrankos kriterijai </w:t>
            </w:r>
            <w:r w:rsidR="00A74FCE" w:rsidRPr="00A74FCE">
              <w:t>2021</w:t>
            </w:r>
            <w:r w:rsidR="00762605">
              <w:t xml:space="preserve"> </w:t>
            </w:r>
            <w:r w:rsidR="00A74FCE" w:rsidRPr="00A74FCE">
              <w:t xml:space="preserve">m. liepos 7 d. </w:t>
            </w:r>
            <w:r w:rsidRPr="00A74FCE">
              <w:t>buvo paskelbti viešam aptarimui</w:t>
            </w:r>
            <w:r w:rsidR="00A74FCE" w:rsidRPr="00A74FCE">
              <w:t>. Pastabas ir pasiū</w:t>
            </w:r>
            <w:r w:rsidR="00A74FCE">
              <w:t>l</w:t>
            </w:r>
            <w:r w:rsidR="00A74FCE" w:rsidRPr="00A74FCE">
              <w:t>ymus buvo galima</w:t>
            </w:r>
            <w:r w:rsidRPr="00A74FCE">
              <w:t xml:space="preserve"> </w:t>
            </w:r>
            <w:r w:rsidR="00A74FCE" w:rsidRPr="00A74FCE">
              <w:t xml:space="preserve">teikti </w:t>
            </w:r>
            <w:r w:rsidRPr="00A74FCE">
              <w:t xml:space="preserve">iki </w:t>
            </w:r>
            <w:r w:rsidR="00A74FCE" w:rsidRPr="00A74FCE">
              <w:t>2021 m. liepos 14 d.</w:t>
            </w:r>
            <w:r w:rsidR="00A74FCE">
              <w:t xml:space="preserve"> </w:t>
            </w:r>
            <w:r w:rsidR="00762605">
              <w:t>Pastabų ir pasiūlymų per nustatytą laikotarpį gauta nebuvo.</w:t>
            </w:r>
          </w:p>
          <w:p w14:paraId="26E50BEE" w14:textId="6E3C6530" w:rsidR="00A74FCE" w:rsidRPr="00145DF9" w:rsidRDefault="00762605" w:rsidP="00620BD8">
            <w:pPr>
              <w:tabs>
                <w:tab w:val="left" w:pos="607"/>
              </w:tabs>
              <w:jc w:val="both"/>
              <w:rPr>
                <w:szCs w:val="24"/>
                <w:lang w:eastAsia="en-US"/>
              </w:rPr>
            </w:pPr>
            <w:r>
              <w:rPr>
                <w:szCs w:val="24"/>
                <w:lang w:eastAsia="en-US"/>
              </w:rPr>
              <w:t>S</w:t>
            </w:r>
            <w:r w:rsidR="00145DF9">
              <w:rPr>
                <w:szCs w:val="24"/>
                <w:lang w:eastAsia="en-US"/>
              </w:rPr>
              <w:t xml:space="preserve">u įgyvendinančia agentūra ir socialiniais-ekonominiais partneriais suderintas projektų atrankos kriterijų projektas </w:t>
            </w:r>
            <w:r>
              <w:rPr>
                <w:szCs w:val="24"/>
                <w:lang w:eastAsia="en-US"/>
              </w:rPr>
              <w:t xml:space="preserve">yra </w:t>
            </w:r>
            <w:r w:rsidR="00145DF9">
              <w:rPr>
                <w:szCs w:val="24"/>
                <w:lang w:eastAsia="en-US"/>
              </w:rPr>
              <w:t xml:space="preserve">pateiktas Lietuvos Respublikos finansų ministerijai, </w:t>
            </w:r>
            <w:r w:rsidR="00145DF9" w:rsidRPr="00145DF9">
              <w:rPr>
                <w:szCs w:val="24"/>
                <w:lang w:eastAsia="en-US"/>
              </w:rPr>
              <w:t>tvirtinti artimiausio 2014–2020 metų Europos Sąjungos fondų investicijų veiksmų programos stebėsenos komiteto posėdžio metu</w:t>
            </w:r>
            <w:r>
              <w:rPr>
                <w:szCs w:val="24"/>
                <w:lang w:eastAsia="en-US"/>
              </w:rPr>
              <w:t>.</w:t>
            </w:r>
          </w:p>
        </w:tc>
      </w:tr>
      <w:tr w:rsidR="00620BD8" w:rsidRPr="006B5CAF" w14:paraId="6F1FBFDD" w14:textId="77777777" w:rsidTr="00F42CAC">
        <w:trPr>
          <w:trHeight w:val="983"/>
        </w:trPr>
        <w:tc>
          <w:tcPr>
            <w:tcW w:w="567" w:type="dxa"/>
          </w:tcPr>
          <w:p w14:paraId="7555B846" w14:textId="77777777" w:rsidR="00620BD8" w:rsidRPr="006B5CAF" w:rsidRDefault="00620BD8" w:rsidP="00620BD8">
            <w:pPr>
              <w:jc w:val="both"/>
            </w:pPr>
          </w:p>
        </w:tc>
        <w:tc>
          <w:tcPr>
            <w:tcW w:w="1560" w:type="dxa"/>
          </w:tcPr>
          <w:p w14:paraId="748B4931" w14:textId="77777777" w:rsidR="00620BD8" w:rsidRPr="006B5CAF" w:rsidRDefault="00620BD8" w:rsidP="00620BD8"/>
        </w:tc>
        <w:tc>
          <w:tcPr>
            <w:tcW w:w="5698" w:type="dxa"/>
          </w:tcPr>
          <w:p w14:paraId="30F7BB8E" w14:textId="0DBDA2A0" w:rsidR="00620BD8" w:rsidRPr="006B5CAF" w:rsidRDefault="00620BD8" w:rsidP="00620BD8">
            <w:pPr>
              <w:tabs>
                <w:tab w:val="left" w:pos="603"/>
              </w:tabs>
              <w:jc w:val="both"/>
              <w:rPr>
                <w:i/>
              </w:rPr>
            </w:pPr>
            <w:r w:rsidRPr="006B5CAF">
              <w:t>Taip pat tuo pačiu PFSA Priedas Nr.</w:t>
            </w:r>
            <w:r>
              <w:t xml:space="preserve"> </w:t>
            </w:r>
            <w:r w:rsidRPr="006B5CAF">
              <w:t>2 atrankos kriterijus Nr.</w:t>
            </w:r>
            <w:r>
              <w:t xml:space="preserve"> </w:t>
            </w:r>
            <w:r w:rsidRPr="006B5CAF">
              <w:t xml:space="preserve">1 prieštarauja PFSA 10 p., kadangi atrankos kriterijus numato tik darbuotojų  kvalifikacijos įgijimą pameistrystės būdu, o PFSA 10 p. numato darbuotojų mokymą </w:t>
            </w:r>
            <w:r w:rsidRPr="006B5CAF">
              <w:rPr>
                <w:b/>
              </w:rPr>
              <w:t xml:space="preserve">ir kvalifikacijos </w:t>
            </w:r>
            <w:r w:rsidRPr="006B5CAF">
              <w:rPr>
                <w:b/>
                <w:u w:val="single"/>
              </w:rPr>
              <w:t>tobulinimą</w:t>
            </w:r>
            <w:r w:rsidRPr="006B5CAF">
              <w:t xml:space="preserve"> </w:t>
            </w:r>
            <w:r w:rsidRPr="006B5CAF">
              <w:rPr>
                <w:b/>
              </w:rPr>
              <w:t>„</w:t>
            </w:r>
            <w:r w:rsidRPr="006B5CAF">
              <w:rPr>
                <w:b/>
                <w:i/>
              </w:rPr>
              <w:t>remiamos veiklos</w:t>
            </w:r>
            <w:r w:rsidRPr="006B5CAF">
              <w:rPr>
                <w:i/>
              </w:rPr>
              <w:t xml:space="preserve"> – </w:t>
            </w:r>
            <w:r w:rsidRPr="006B5CAF">
              <w:rPr>
                <w:b/>
                <w:i/>
              </w:rPr>
              <w:t xml:space="preserve">investuotojų, </w:t>
            </w:r>
            <w:r w:rsidRPr="006B5CAF">
              <w:rPr>
                <w:i/>
              </w:rPr>
              <w:t>investuojančių Lietuvos Respublikos teritorijoje į gamybą ir (ar) paslaugas</w:t>
            </w:r>
            <w:r w:rsidRPr="006B5CAF">
              <w:rPr>
                <w:b/>
                <w:i/>
              </w:rPr>
              <w:t xml:space="preserve">, darbuotojų </w:t>
            </w:r>
            <w:r w:rsidRPr="006B5CAF">
              <w:rPr>
                <w:i/>
              </w:rPr>
              <w:t>mokymas</w:t>
            </w:r>
            <w:r w:rsidRPr="006B5CAF">
              <w:rPr>
                <w:b/>
                <w:i/>
              </w:rPr>
              <w:t xml:space="preserve"> ir kvalifikacijos tobulinimas</w:t>
            </w:r>
            <w:r w:rsidRPr="006B5CAF">
              <w:rPr>
                <w:i/>
              </w:rPr>
              <w:t>, įskaitant mokymo darbo vietoje organizavimą“.</w:t>
            </w:r>
          </w:p>
          <w:p w14:paraId="5390A70D" w14:textId="77777777" w:rsidR="00620BD8" w:rsidRPr="006B5CAF" w:rsidRDefault="00620BD8" w:rsidP="00620BD8">
            <w:pPr>
              <w:tabs>
                <w:tab w:val="left" w:pos="603"/>
              </w:tabs>
              <w:jc w:val="both"/>
            </w:pPr>
            <w:r w:rsidRPr="006B5CAF">
              <w:t>Siūlome kriterijaus Nr.1 balus skaidyti į dvi dalis:</w:t>
            </w:r>
          </w:p>
          <w:p w14:paraId="27A1C9F9" w14:textId="77777777" w:rsidR="00620BD8" w:rsidRPr="006B5CAF" w:rsidRDefault="00620BD8" w:rsidP="00620BD8">
            <w:pPr>
              <w:tabs>
                <w:tab w:val="left" w:pos="603"/>
              </w:tabs>
              <w:jc w:val="both"/>
            </w:pPr>
            <w:r w:rsidRPr="006B5CAF">
              <w:t>-20 balų paliekant kvalifikacijai įgyti, jei daugiau kaip 50</w:t>
            </w:r>
            <w:r w:rsidRPr="00390B0C">
              <w:t>%</w:t>
            </w:r>
            <w:r w:rsidRPr="006B5CAF">
              <w:t xml:space="preserve"> projekto dalyvių įgyja kompetencijas.</w:t>
            </w:r>
          </w:p>
          <w:p w14:paraId="0BCA4BB8" w14:textId="3C200DCD" w:rsidR="00620BD8" w:rsidRPr="006B5CAF" w:rsidRDefault="00620BD8" w:rsidP="00620BD8">
            <w:pPr>
              <w:tabs>
                <w:tab w:val="left" w:pos="603"/>
              </w:tabs>
              <w:jc w:val="both"/>
            </w:pPr>
            <w:r w:rsidRPr="006B5CAF">
              <w:t>- Ir atskiru atr</w:t>
            </w:r>
            <w:r>
              <w:t>ankos kriterijumi skirti 15 balų</w:t>
            </w:r>
            <w:r w:rsidRPr="006B5CAF">
              <w:t>, jei daugiau kaip 50% projekto dalyvių tobulina kompetencijas.</w:t>
            </w:r>
          </w:p>
          <w:p w14:paraId="513E2DF0" w14:textId="284F6B90" w:rsidR="00620BD8" w:rsidRPr="006B5CAF" w:rsidRDefault="00620BD8" w:rsidP="00620BD8">
            <w:pPr>
              <w:tabs>
                <w:tab w:val="left" w:pos="603"/>
              </w:tabs>
              <w:jc w:val="both"/>
            </w:pPr>
            <w:r w:rsidRPr="006B5CAF">
              <w:t>Ši korekcija būtina, nes daugumai investuotojų Lietuvoje esančios formalios Studijų ir mokymo programos nėra tinkamos arba jų išvis nėra, todėl jie automatiškai eliminuojami dalyvauti projektų atrankoje, nes nesurinks net minimalaus balų praeinamumo skaičiaus.</w:t>
            </w:r>
          </w:p>
          <w:p w14:paraId="7A616361" w14:textId="14E8827F" w:rsidR="00620BD8" w:rsidRPr="006B5CAF" w:rsidRDefault="00620BD8" w:rsidP="00620BD8">
            <w:pPr>
              <w:tabs>
                <w:tab w:val="left" w:pos="0"/>
              </w:tabs>
              <w:jc w:val="both"/>
              <w:rPr>
                <w:rFonts w:eastAsia="Calibri"/>
                <w:szCs w:val="24"/>
                <w:lang w:eastAsia="en-US"/>
              </w:rPr>
            </w:pPr>
            <w:r w:rsidRPr="006B5CAF">
              <w:t xml:space="preserve">Investuotojai turi didžiulį poreikį jau turinčius profesinio mokymo ar aukštojo mokslo išsilavinimą specialistus paruošti pagal investuotojų veiklos specifiką. Kadangi ir PFSA 4.2 punktas numato, kad </w:t>
            </w:r>
            <w:r w:rsidRPr="006B5CAF">
              <w:rPr>
                <w:rFonts w:eastAsia="Calibri"/>
                <w:b/>
                <w:bCs/>
                <w:szCs w:val="22"/>
                <w:lang w:eastAsia="en-US"/>
              </w:rPr>
              <w:t>Darbo vieta, kuriai reikia papildomų kompetencijų</w:t>
            </w:r>
            <w:r w:rsidRPr="006B5CAF">
              <w:rPr>
                <w:rFonts w:eastAsia="Calibri"/>
                <w:bCs/>
                <w:szCs w:val="22"/>
                <w:lang w:eastAsia="en-US"/>
              </w:rPr>
              <w:t xml:space="preserve"> – darbo vieta, turinti </w:t>
            </w:r>
            <w:r w:rsidRPr="006B5CAF">
              <w:rPr>
                <w:rFonts w:eastAsia="Calibri"/>
                <w:bCs/>
                <w:szCs w:val="22"/>
                <w:lang w:eastAsia="en-US"/>
              </w:rPr>
              <w:lastRenderedPageBreak/>
              <w:t xml:space="preserve">įmonės vykdomos veiklos ypatumus atspindinčių technologinių, gamybinių procesų ir paslaugų, kuriems vykdyti ir </w:t>
            </w:r>
            <w:r w:rsidRPr="006B5CAF">
              <w:rPr>
                <w:rFonts w:eastAsia="Calibri"/>
                <w:b/>
                <w:bCs/>
                <w:szCs w:val="22"/>
                <w:lang w:eastAsia="en-US"/>
              </w:rPr>
              <w:t>teikti tik profesinio mokymo ar aukštojo mokslo suteikiamos kvalifikacijos nepakanka</w:t>
            </w:r>
            <w:r w:rsidRPr="006B5CAF">
              <w:rPr>
                <w:rFonts w:eastAsia="Calibri"/>
                <w:bCs/>
                <w:szCs w:val="22"/>
                <w:lang w:eastAsia="en-US"/>
              </w:rPr>
              <w:t xml:space="preserve">. </w:t>
            </w:r>
            <w:r w:rsidRPr="006B5CAF">
              <w:rPr>
                <w:rFonts w:eastAsia="Calibri"/>
                <w:b/>
                <w:bCs/>
                <w:szCs w:val="22"/>
                <w:lang w:eastAsia="en-US"/>
              </w:rPr>
              <w:t>Tai reiškia, kad darbuotojų mokymai ir kvalifikacijos tobulinimas turi būti vykdomi Pameistrystės būdu organizacijos formatu pagal neformalią programą ir darbo vietos specifiką.</w:t>
            </w:r>
            <w:r w:rsidRPr="006B5CAF">
              <w:rPr>
                <w:rFonts w:eastAsia="Calibri"/>
                <w:bCs/>
                <w:szCs w:val="22"/>
                <w:lang w:eastAsia="en-US"/>
              </w:rPr>
              <w:t xml:space="preserve"> </w:t>
            </w:r>
          </w:p>
          <w:p w14:paraId="1E83CF12" w14:textId="0CA736A0" w:rsidR="00620BD8" w:rsidRPr="006B5CAF" w:rsidRDefault="00620BD8" w:rsidP="00620BD8">
            <w:pPr>
              <w:tabs>
                <w:tab w:val="left" w:pos="603"/>
              </w:tabs>
              <w:jc w:val="both"/>
            </w:pPr>
          </w:p>
        </w:tc>
        <w:tc>
          <w:tcPr>
            <w:tcW w:w="6946" w:type="dxa"/>
          </w:tcPr>
          <w:p w14:paraId="521BC0BB" w14:textId="757AE570" w:rsidR="00620BD8" w:rsidRPr="00965D81" w:rsidRDefault="00620BD8" w:rsidP="00620BD8">
            <w:pPr>
              <w:tabs>
                <w:tab w:val="left" w:pos="607"/>
              </w:tabs>
              <w:jc w:val="both"/>
              <w:rPr>
                <w:b/>
                <w:bCs/>
                <w:szCs w:val="24"/>
                <w:lang w:eastAsia="en-US"/>
              </w:rPr>
            </w:pPr>
            <w:r>
              <w:rPr>
                <w:b/>
                <w:bCs/>
                <w:szCs w:val="24"/>
                <w:lang w:eastAsia="en-US"/>
              </w:rPr>
              <w:lastRenderedPageBreak/>
              <w:t>N</w:t>
            </w:r>
            <w:r w:rsidRPr="00965D81">
              <w:rPr>
                <w:b/>
                <w:bCs/>
                <w:szCs w:val="24"/>
                <w:lang w:eastAsia="en-US"/>
              </w:rPr>
              <w:t xml:space="preserve">eatsižvelgta. </w:t>
            </w:r>
          </w:p>
          <w:p w14:paraId="39B87B4D" w14:textId="0B3F756A" w:rsidR="00620BD8" w:rsidRPr="00263BCE" w:rsidRDefault="00620BD8" w:rsidP="00620BD8">
            <w:pPr>
              <w:tabs>
                <w:tab w:val="left" w:pos="597"/>
              </w:tabs>
              <w:jc w:val="both"/>
              <w:rPr>
                <w:bCs/>
                <w:szCs w:val="24"/>
                <w:lang w:eastAsia="en-US"/>
              </w:rPr>
            </w:pPr>
            <w:r w:rsidRPr="00263BCE">
              <w:rPr>
                <w:bCs/>
                <w:szCs w:val="24"/>
                <w:lang w:eastAsia="en-US"/>
              </w:rPr>
              <w:t>Pameistrystė yra itin efektyvi profesinio mokymo forma, atitinkanti darbo rinkos poreikius ir darbdavių lūkesčius. Pameistrystės privalumas, jog mokantis šia forma yra įgyjama daugiau praktinių įgūdžių dėl mokymosi aplinkos, organizuojamas sklandesnis perėjimas iš mokymosi į darbą, geresnis įsidarbinimas, glaudesnis švietimo ir verslo bendradarbiavimas, didesnė kvalifikuotų darbuotojų pasiūlos ir paklausos atitiktis. 70 proc. apklaustų Lietuvos pramonės sektoriaus įmonių mato pameistrystę kaip efektyvią priemonę mokant bei perkvalifikuojant esamus įmonė</w:t>
            </w:r>
            <w:r w:rsidR="00B756E9">
              <w:rPr>
                <w:bCs/>
                <w:szCs w:val="24"/>
                <w:lang w:eastAsia="en-US"/>
              </w:rPr>
              <w:t>s darbuotojus. Be</w:t>
            </w:r>
            <w:r w:rsidRPr="00263BCE">
              <w:rPr>
                <w:bCs/>
                <w:szCs w:val="24"/>
                <w:lang w:eastAsia="en-US"/>
              </w:rPr>
              <w:t xml:space="preserve"> to, kad pameistrystė yra pripažinta kaip formaliojo profesinio mokymo organizavimo forma ir 2019 m. buvo patvirtintas pameistrystė</w:t>
            </w:r>
            <w:r w:rsidR="00B756E9">
              <w:rPr>
                <w:bCs/>
                <w:szCs w:val="24"/>
                <w:lang w:eastAsia="en-US"/>
              </w:rPr>
              <w:t>s organizavimo tvarkos aprašas.</w:t>
            </w:r>
          </w:p>
          <w:p w14:paraId="5C3BFD67" w14:textId="77777777" w:rsidR="00620BD8" w:rsidRPr="00263BCE" w:rsidRDefault="00620BD8" w:rsidP="00620BD8">
            <w:pPr>
              <w:tabs>
                <w:tab w:val="left" w:pos="607"/>
              </w:tabs>
              <w:jc w:val="both"/>
              <w:rPr>
                <w:bCs/>
                <w:szCs w:val="24"/>
                <w:lang w:eastAsia="en-US"/>
              </w:rPr>
            </w:pPr>
            <w:r w:rsidRPr="00263BCE">
              <w:rPr>
                <w:bCs/>
                <w:szCs w:val="24"/>
                <w:lang w:eastAsia="en-US"/>
              </w:rPr>
              <w:t xml:space="preserve">Šiuo atveju yra siekiama sudaryti galimybę užsienio investuotojams dalyvauti pažangioje, </w:t>
            </w:r>
            <w:proofErr w:type="spellStart"/>
            <w:r w:rsidRPr="00263BCE">
              <w:rPr>
                <w:bCs/>
                <w:szCs w:val="24"/>
                <w:lang w:eastAsia="en-US"/>
              </w:rPr>
              <w:t>dualiniu</w:t>
            </w:r>
            <w:proofErr w:type="spellEnd"/>
            <w:r w:rsidRPr="00263BCE">
              <w:rPr>
                <w:bCs/>
                <w:szCs w:val="24"/>
                <w:lang w:eastAsia="en-US"/>
              </w:rPr>
              <w:t xml:space="preserve"> mokymu pagrįstoje, pameistrystėje pagal pilnas modulines formaliojo mokymo programas, siekiant kokybiškų įgūdžių įgijimo ir darbuotojo parengimo pagal pilną kvalifikaciją, pritaikytą užsienio investuotojui. Taip pat šia priemone siekiama suteikti pavyzdį Lietuvos įmonėms, siekiant paskatinti jas dalyvauti tikrojoje </w:t>
            </w:r>
            <w:proofErr w:type="spellStart"/>
            <w:r w:rsidRPr="00263BCE">
              <w:rPr>
                <w:bCs/>
                <w:szCs w:val="24"/>
                <w:lang w:eastAsia="en-US"/>
              </w:rPr>
              <w:t>dualiniu</w:t>
            </w:r>
            <w:proofErr w:type="spellEnd"/>
            <w:r w:rsidRPr="00263BCE">
              <w:rPr>
                <w:bCs/>
                <w:szCs w:val="24"/>
                <w:lang w:eastAsia="en-US"/>
              </w:rPr>
              <w:t xml:space="preserve"> mokymu pagrįstoje pameistrystėje, priimant į darbą pirminio profesinio mokymo mokinius aktualioje apdirbamosios gamybos srityje.</w:t>
            </w:r>
          </w:p>
          <w:p w14:paraId="41837C18" w14:textId="77777777" w:rsidR="00620BD8" w:rsidRDefault="00B756E9" w:rsidP="00B756E9">
            <w:pPr>
              <w:jc w:val="both"/>
              <w:rPr>
                <w:bCs/>
                <w:szCs w:val="24"/>
                <w:lang w:eastAsia="en-US"/>
              </w:rPr>
            </w:pPr>
            <w:r w:rsidRPr="00B756E9">
              <w:rPr>
                <w:bCs/>
                <w:szCs w:val="24"/>
                <w:lang w:eastAsia="en-US"/>
              </w:rPr>
              <w:t xml:space="preserve">„Formaliosios“ pameistrystės prioritetas yra suteikiamas atsižvelgiant į tai, kad dalyvavimas ilgoje pameistrystės formaliojo profesinio </w:t>
            </w:r>
            <w:r w:rsidRPr="00B756E9">
              <w:rPr>
                <w:bCs/>
                <w:szCs w:val="24"/>
                <w:lang w:eastAsia="en-US"/>
              </w:rPr>
              <w:lastRenderedPageBreak/>
              <w:t>mokymo programoje įmonėms yra nepatrauklus. Todėl įmonės, kurios pasirinks mokymo pameistrystės būdu pagal formaliąją modulinę programą atvejį, gaus prioritetą.</w:t>
            </w:r>
          </w:p>
          <w:p w14:paraId="6C3C70C5" w14:textId="3B88C533" w:rsidR="00762605" w:rsidRPr="00762605" w:rsidRDefault="00762605" w:rsidP="00762605">
            <w:pPr>
              <w:jc w:val="both"/>
              <w:rPr>
                <w:bCs/>
                <w:szCs w:val="24"/>
                <w:lang w:eastAsia="en-US"/>
              </w:rPr>
            </w:pPr>
            <w:r w:rsidRPr="00762605">
              <w:rPr>
                <w:bCs/>
                <w:szCs w:val="24"/>
                <w:lang w:eastAsia="en-US"/>
              </w:rPr>
              <w:t xml:space="preserve">Pažymėtina, kad priemonės „Žmogiškieji ištekliai </w:t>
            </w:r>
            <w:proofErr w:type="spellStart"/>
            <w:r w:rsidRPr="00762605">
              <w:rPr>
                <w:bCs/>
                <w:szCs w:val="24"/>
                <w:lang w:eastAsia="en-US"/>
              </w:rPr>
              <w:t>Invest</w:t>
            </w:r>
            <w:proofErr w:type="spellEnd"/>
            <w:r w:rsidRPr="00762605">
              <w:rPr>
                <w:bCs/>
                <w:szCs w:val="24"/>
                <w:lang w:eastAsia="en-US"/>
              </w:rPr>
              <w:t xml:space="preserve"> LT+“</w:t>
            </w:r>
            <w:r w:rsidRPr="00762605">
              <w:rPr>
                <w:b/>
                <w:bCs/>
                <w:szCs w:val="24"/>
                <w:lang w:eastAsia="en-US"/>
              </w:rPr>
              <w:t xml:space="preserve"> </w:t>
            </w:r>
            <w:r w:rsidRPr="00762605">
              <w:rPr>
                <w:bCs/>
                <w:szCs w:val="24"/>
                <w:lang w:eastAsia="en-US"/>
              </w:rPr>
              <w:t>projektų atrankos kriterijai 2021 m. liepos 7 d. buvo paskelbti viešam aptarimui. Pastabas ir pasiūlymus buvo galima teikti iki 2021 m. liepos 14 d.</w:t>
            </w:r>
            <w:r w:rsidRPr="00762605">
              <w:t xml:space="preserve"> </w:t>
            </w:r>
            <w:r w:rsidRPr="00762605">
              <w:rPr>
                <w:bCs/>
                <w:szCs w:val="24"/>
                <w:lang w:eastAsia="en-US"/>
              </w:rPr>
              <w:t>Pastabų ir pasiūlymų per nustatytą laikotarpį gauta nebuvo.</w:t>
            </w:r>
          </w:p>
          <w:p w14:paraId="1F558C80" w14:textId="2BE5C89A" w:rsidR="00762605" w:rsidRPr="00620BD8" w:rsidRDefault="00762605" w:rsidP="00762605">
            <w:pPr>
              <w:jc w:val="both"/>
              <w:rPr>
                <w:szCs w:val="24"/>
                <w:lang w:eastAsia="en-US"/>
              </w:rPr>
            </w:pPr>
            <w:r w:rsidRPr="00762605">
              <w:rPr>
                <w:bCs/>
                <w:szCs w:val="24"/>
                <w:lang w:eastAsia="en-US"/>
              </w:rPr>
              <w:t xml:space="preserve">Su įgyvendinančia agentūra ir socialiniais-ekonominiais partneriais suderintas projektų atrankos kriterijų projektas </w:t>
            </w:r>
            <w:r>
              <w:rPr>
                <w:bCs/>
                <w:szCs w:val="24"/>
                <w:lang w:eastAsia="en-US"/>
              </w:rPr>
              <w:t xml:space="preserve">yra </w:t>
            </w:r>
            <w:r w:rsidRPr="00762605">
              <w:rPr>
                <w:bCs/>
                <w:szCs w:val="24"/>
                <w:lang w:eastAsia="en-US"/>
              </w:rPr>
              <w:t>pateiktas Lietuvos Respublikos finansų ministerijai, tvirtinti artimiausio 2014–2020 metų Europos Sąjungos fondų investicijų veiksmų programos stebėsenos komiteto posėdžio metu.</w:t>
            </w:r>
          </w:p>
        </w:tc>
      </w:tr>
    </w:tbl>
    <w:p w14:paraId="00AABEA2" w14:textId="77777777" w:rsidR="005C5ECB" w:rsidRPr="006B5CAF" w:rsidRDefault="005C5ECB">
      <w:pPr>
        <w:rPr>
          <w:b/>
          <w:bCs/>
          <w:caps/>
          <w:szCs w:val="24"/>
        </w:rPr>
      </w:pPr>
    </w:p>
    <w:sectPr w:rsidR="005C5ECB" w:rsidRPr="006B5CAF"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num w:numId="1">
    <w:abstractNumId w:val="7"/>
  </w:num>
  <w:num w:numId="2">
    <w:abstractNumId w:val="6"/>
  </w:num>
  <w:num w:numId="3">
    <w:abstractNumId w:val="8"/>
  </w:num>
  <w:num w:numId="4">
    <w:abstractNumId w:val="1"/>
  </w:num>
  <w:num w:numId="5">
    <w:abstractNumId w:val="2"/>
  </w:num>
  <w:num w:numId="6">
    <w:abstractNumId w:val="0"/>
  </w:num>
  <w:num w:numId="7">
    <w:abstractNumId w:val="3"/>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05FAA"/>
    <w:rsid w:val="00007463"/>
    <w:rsid w:val="0001428A"/>
    <w:rsid w:val="00016435"/>
    <w:rsid w:val="00017566"/>
    <w:rsid w:val="00023010"/>
    <w:rsid w:val="000240C4"/>
    <w:rsid w:val="00030D25"/>
    <w:rsid w:val="00032985"/>
    <w:rsid w:val="00033CEB"/>
    <w:rsid w:val="00044CAB"/>
    <w:rsid w:val="00046DFE"/>
    <w:rsid w:val="00050427"/>
    <w:rsid w:val="00053D41"/>
    <w:rsid w:val="00055508"/>
    <w:rsid w:val="00060B0B"/>
    <w:rsid w:val="00062518"/>
    <w:rsid w:val="000640C7"/>
    <w:rsid w:val="00064BC6"/>
    <w:rsid w:val="000671F1"/>
    <w:rsid w:val="00070B21"/>
    <w:rsid w:val="00070ED6"/>
    <w:rsid w:val="00070EF3"/>
    <w:rsid w:val="00077247"/>
    <w:rsid w:val="00081BC9"/>
    <w:rsid w:val="00095A64"/>
    <w:rsid w:val="00096A65"/>
    <w:rsid w:val="000A29A1"/>
    <w:rsid w:val="000A3FD2"/>
    <w:rsid w:val="000B19E9"/>
    <w:rsid w:val="000B1AF5"/>
    <w:rsid w:val="000B2D7C"/>
    <w:rsid w:val="000B7125"/>
    <w:rsid w:val="000C6DCD"/>
    <w:rsid w:val="000D2E71"/>
    <w:rsid w:val="000D3EFE"/>
    <w:rsid w:val="000D748B"/>
    <w:rsid w:val="000E057B"/>
    <w:rsid w:val="000E128C"/>
    <w:rsid w:val="000E1F0C"/>
    <w:rsid w:val="000E275C"/>
    <w:rsid w:val="000E7A99"/>
    <w:rsid w:val="000F1049"/>
    <w:rsid w:val="000F567B"/>
    <w:rsid w:val="000F5CE6"/>
    <w:rsid w:val="00105F91"/>
    <w:rsid w:val="001132AD"/>
    <w:rsid w:val="00115372"/>
    <w:rsid w:val="00145DF9"/>
    <w:rsid w:val="00150B26"/>
    <w:rsid w:val="00157004"/>
    <w:rsid w:val="001577E4"/>
    <w:rsid w:val="00162289"/>
    <w:rsid w:val="0018373E"/>
    <w:rsid w:val="0018469B"/>
    <w:rsid w:val="00184FC3"/>
    <w:rsid w:val="00186511"/>
    <w:rsid w:val="001923DD"/>
    <w:rsid w:val="00194702"/>
    <w:rsid w:val="001A0E47"/>
    <w:rsid w:val="001A5935"/>
    <w:rsid w:val="001C2F60"/>
    <w:rsid w:val="001D6507"/>
    <w:rsid w:val="001E1FDE"/>
    <w:rsid w:val="001E4CE7"/>
    <w:rsid w:val="001E6748"/>
    <w:rsid w:val="001E67A5"/>
    <w:rsid w:val="0020434A"/>
    <w:rsid w:val="00207E63"/>
    <w:rsid w:val="00213579"/>
    <w:rsid w:val="00224286"/>
    <w:rsid w:val="0022435B"/>
    <w:rsid w:val="00233335"/>
    <w:rsid w:val="00234AE2"/>
    <w:rsid w:val="00241C69"/>
    <w:rsid w:val="0024541C"/>
    <w:rsid w:val="00247BB5"/>
    <w:rsid w:val="00263BCE"/>
    <w:rsid w:val="00266F48"/>
    <w:rsid w:val="00270AE5"/>
    <w:rsid w:val="00271242"/>
    <w:rsid w:val="0027186C"/>
    <w:rsid w:val="00281473"/>
    <w:rsid w:val="00282D46"/>
    <w:rsid w:val="002923A6"/>
    <w:rsid w:val="002929F7"/>
    <w:rsid w:val="00294FB1"/>
    <w:rsid w:val="00297D19"/>
    <w:rsid w:val="002A27A2"/>
    <w:rsid w:val="002B31F3"/>
    <w:rsid w:val="002C79BA"/>
    <w:rsid w:val="002D1CED"/>
    <w:rsid w:val="002D4D56"/>
    <w:rsid w:val="002E1B28"/>
    <w:rsid w:val="00315156"/>
    <w:rsid w:val="00316D2C"/>
    <w:rsid w:val="003214A4"/>
    <w:rsid w:val="00330974"/>
    <w:rsid w:val="00330EC9"/>
    <w:rsid w:val="0034540C"/>
    <w:rsid w:val="00347009"/>
    <w:rsid w:val="00347C65"/>
    <w:rsid w:val="003529B3"/>
    <w:rsid w:val="003652F0"/>
    <w:rsid w:val="00366151"/>
    <w:rsid w:val="0036662A"/>
    <w:rsid w:val="003865B8"/>
    <w:rsid w:val="00390B0C"/>
    <w:rsid w:val="00391584"/>
    <w:rsid w:val="00397AD7"/>
    <w:rsid w:val="003A1AD9"/>
    <w:rsid w:val="003A332E"/>
    <w:rsid w:val="003B2FAE"/>
    <w:rsid w:val="003B6643"/>
    <w:rsid w:val="003B726A"/>
    <w:rsid w:val="003D4EB4"/>
    <w:rsid w:val="003E77A4"/>
    <w:rsid w:val="003F5676"/>
    <w:rsid w:val="004136A8"/>
    <w:rsid w:val="00417DC7"/>
    <w:rsid w:val="004322A4"/>
    <w:rsid w:val="004378EE"/>
    <w:rsid w:val="00452AAF"/>
    <w:rsid w:val="00452FA3"/>
    <w:rsid w:val="00455305"/>
    <w:rsid w:val="004631DA"/>
    <w:rsid w:val="004639C4"/>
    <w:rsid w:val="00475D1E"/>
    <w:rsid w:val="00475E13"/>
    <w:rsid w:val="00476FB8"/>
    <w:rsid w:val="00482B56"/>
    <w:rsid w:val="00485F22"/>
    <w:rsid w:val="004876E5"/>
    <w:rsid w:val="004A42BF"/>
    <w:rsid w:val="004A5F41"/>
    <w:rsid w:val="004A704E"/>
    <w:rsid w:val="004C1CE4"/>
    <w:rsid w:val="004C44BD"/>
    <w:rsid w:val="004C58E9"/>
    <w:rsid w:val="004D11D5"/>
    <w:rsid w:val="004D1FB6"/>
    <w:rsid w:val="004E358F"/>
    <w:rsid w:val="004E6B69"/>
    <w:rsid w:val="005004F3"/>
    <w:rsid w:val="005054C5"/>
    <w:rsid w:val="00510A85"/>
    <w:rsid w:val="005206B0"/>
    <w:rsid w:val="00522F7C"/>
    <w:rsid w:val="0053023F"/>
    <w:rsid w:val="00530480"/>
    <w:rsid w:val="0054453C"/>
    <w:rsid w:val="00547C74"/>
    <w:rsid w:val="005516A5"/>
    <w:rsid w:val="005533C2"/>
    <w:rsid w:val="00563838"/>
    <w:rsid w:val="00563B3D"/>
    <w:rsid w:val="00571253"/>
    <w:rsid w:val="00581B51"/>
    <w:rsid w:val="005903F9"/>
    <w:rsid w:val="00593EE0"/>
    <w:rsid w:val="005A4A5F"/>
    <w:rsid w:val="005B1293"/>
    <w:rsid w:val="005B79FB"/>
    <w:rsid w:val="005C5B4A"/>
    <w:rsid w:val="005C5ECB"/>
    <w:rsid w:val="005D0F80"/>
    <w:rsid w:val="005E0604"/>
    <w:rsid w:val="005E1221"/>
    <w:rsid w:val="005E5455"/>
    <w:rsid w:val="005F038F"/>
    <w:rsid w:val="005F0F88"/>
    <w:rsid w:val="006106A7"/>
    <w:rsid w:val="00620BD8"/>
    <w:rsid w:val="00626D21"/>
    <w:rsid w:val="00631726"/>
    <w:rsid w:val="00633EC5"/>
    <w:rsid w:val="006351B9"/>
    <w:rsid w:val="00635B87"/>
    <w:rsid w:val="00641B19"/>
    <w:rsid w:val="006507EE"/>
    <w:rsid w:val="00665BE2"/>
    <w:rsid w:val="00677B1E"/>
    <w:rsid w:val="006824CC"/>
    <w:rsid w:val="006836FA"/>
    <w:rsid w:val="00686C52"/>
    <w:rsid w:val="00690AB6"/>
    <w:rsid w:val="00690B46"/>
    <w:rsid w:val="00696DBF"/>
    <w:rsid w:val="006A1E78"/>
    <w:rsid w:val="006A22E2"/>
    <w:rsid w:val="006A362B"/>
    <w:rsid w:val="006B0D85"/>
    <w:rsid w:val="006B526A"/>
    <w:rsid w:val="006B5CAF"/>
    <w:rsid w:val="006B75D2"/>
    <w:rsid w:val="006C0163"/>
    <w:rsid w:val="006C3118"/>
    <w:rsid w:val="006E05A9"/>
    <w:rsid w:val="006E16C9"/>
    <w:rsid w:val="006E4067"/>
    <w:rsid w:val="006E67AE"/>
    <w:rsid w:val="006E798D"/>
    <w:rsid w:val="0070221E"/>
    <w:rsid w:val="007070F4"/>
    <w:rsid w:val="00707C95"/>
    <w:rsid w:val="00710192"/>
    <w:rsid w:val="0072623F"/>
    <w:rsid w:val="007263AF"/>
    <w:rsid w:val="00734870"/>
    <w:rsid w:val="007350FF"/>
    <w:rsid w:val="00741C32"/>
    <w:rsid w:val="00742585"/>
    <w:rsid w:val="00747BC9"/>
    <w:rsid w:val="007537EC"/>
    <w:rsid w:val="00761496"/>
    <w:rsid w:val="00762605"/>
    <w:rsid w:val="007769FC"/>
    <w:rsid w:val="0078534B"/>
    <w:rsid w:val="007972A2"/>
    <w:rsid w:val="007B1484"/>
    <w:rsid w:val="007B3E81"/>
    <w:rsid w:val="007D3038"/>
    <w:rsid w:val="007E69B5"/>
    <w:rsid w:val="007F5F38"/>
    <w:rsid w:val="0080172F"/>
    <w:rsid w:val="00811BF1"/>
    <w:rsid w:val="0082428A"/>
    <w:rsid w:val="008359DC"/>
    <w:rsid w:val="0085384B"/>
    <w:rsid w:val="0085430B"/>
    <w:rsid w:val="00856EDA"/>
    <w:rsid w:val="008576A6"/>
    <w:rsid w:val="00865C80"/>
    <w:rsid w:val="008663E3"/>
    <w:rsid w:val="00885C3D"/>
    <w:rsid w:val="00890A7C"/>
    <w:rsid w:val="00894683"/>
    <w:rsid w:val="008A53CB"/>
    <w:rsid w:val="008A5A0D"/>
    <w:rsid w:val="008B2C75"/>
    <w:rsid w:val="008B3037"/>
    <w:rsid w:val="008C3DAE"/>
    <w:rsid w:val="008D5F38"/>
    <w:rsid w:val="008D7278"/>
    <w:rsid w:val="008D7FF1"/>
    <w:rsid w:val="008E3A92"/>
    <w:rsid w:val="008E3C68"/>
    <w:rsid w:val="008F38C3"/>
    <w:rsid w:val="008F58D1"/>
    <w:rsid w:val="00926630"/>
    <w:rsid w:val="00933886"/>
    <w:rsid w:val="00934F45"/>
    <w:rsid w:val="00947C9D"/>
    <w:rsid w:val="00954EEB"/>
    <w:rsid w:val="00956C1E"/>
    <w:rsid w:val="00965D81"/>
    <w:rsid w:val="0097341D"/>
    <w:rsid w:val="0099342A"/>
    <w:rsid w:val="0099408D"/>
    <w:rsid w:val="009A1219"/>
    <w:rsid w:val="009A3E23"/>
    <w:rsid w:val="009A662F"/>
    <w:rsid w:val="009B2BC0"/>
    <w:rsid w:val="009B3957"/>
    <w:rsid w:val="009B4714"/>
    <w:rsid w:val="009B7A40"/>
    <w:rsid w:val="009C1904"/>
    <w:rsid w:val="009D3B8E"/>
    <w:rsid w:val="009D3BAD"/>
    <w:rsid w:val="009E1857"/>
    <w:rsid w:val="009E69E2"/>
    <w:rsid w:val="009E7F18"/>
    <w:rsid w:val="009F0535"/>
    <w:rsid w:val="00A00DB1"/>
    <w:rsid w:val="00A076DC"/>
    <w:rsid w:val="00A24DB0"/>
    <w:rsid w:val="00A2721F"/>
    <w:rsid w:val="00A31C11"/>
    <w:rsid w:val="00A34915"/>
    <w:rsid w:val="00A3535C"/>
    <w:rsid w:val="00A35603"/>
    <w:rsid w:val="00A4128B"/>
    <w:rsid w:val="00A442E9"/>
    <w:rsid w:val="00A47552"/>
    <w:rsid w:val="00A47E71"/>
    <w:rsid w:val="00A51B2D"/>
    <w:rsid w:val="00A52C00"/>
    <w:rsid w:val="00A54BBD"/>
    <w:rsid w:val="00A6632E"/>
    <w:rsid w:val="00A73B39"/>
    <w:rsid w:val="00A74FCE"/>
    <w:rsid w:val="00A80ADA"/>
    <w:rsid w:val="00A845D7"/>
    <w:rsid w:val="00A91F0C"/>
    <w:rsid w:val="00A9443D"/>
    <w:rsid w:val="00AA30C9"/>
    <w:rsid w:val="00AC4B6C"/>
    <w:rsid w:val="00AC6352"/>
    <w:rsid w:val="00AC73C3"/>
    <w:rsid w:val="00AD5789"/>
    <w:rsid w:val="00AE4ABF"/>
    <w:rsid w:val="00AE6787"/>
    <w:rsid w:val="00AF0A0D"/>
    <w:rsid w:val="00AF25D0"/>
    <w:rsid w:val="00AF2A89"/>
    <w:rsid w:val="00B00E19"/>
    <w:rsid w:val="00B058B6"/>
    <w:rsid w:val="00B0591B"/>
    <w:rsid w:val="00B06DF8"/>
    <w:rsid w:val="00B14AA0"/>
    <w:rsid w:val="00B26628"/>
    <w:rsid w:val="00B3130A"/>
    <w:rsid w:val="00B33BD8"/>
    <w:rsid w:val="00B46548"/>
    <w:rsid w:val="00B47BB9"/>
    <w:rsid w:val="00B66D73"/>
    <w:rsid w:val="00B67720"/>
    <w:rsid w:val="00B71A4E"/>
    <w:rsid w:val="00B7378D"/>
    <w:rsid w:val="00B748DF"/>
    <w:rsid w:val="00B756E9"/>
    <w:rsid w:val="00B75709"/>
    <w:rsid w:val="00B87121"/>
    <w:rsid w:val="00B905D0"/>
    <w:rsid w:val="00B92EC5"/>
    <w:rsid w:val="00B9676C"/>
    <w:rsid w:val="00BA3F54"/>
    <w:rsid w:val="00BB138B"/>
    <w:rsid w:val="00BC5BDA"/>
    <w:rsid w:val="00BD17AE"/>
    <w:rsid w:val="00BE1E8F"/>
    <w:rsid w:val="00BE6468"/>
    <w:rsid w:val="00BE6CC1"/>
    <w:rsid w:val="00BF587A"/>
    <w:rsid w:val="00C13806"/>
    <w:rsid w:val="00C23560"/>
    <w:rsid w:val="00C25B44"/>
    <w:rsid w:val="00C3317D"/>
    <w:rsid w:val="00C33E49"/>
    <w:rsid w:val="00C35591"/>
    <w:rsid w:val="00C40546"/>
    <w:rsid w:val="00C41BD5"/>
    <w:rsid w:val="00C41EDB"/>
    <w:rsid w:val="00C52B5C"/>
    <w:rsid w:val="00C535B1"/>
    <w:rsid w:val="00C6260A"/>
    <w:rsid w:val="00C72AC6"/>
    <w:rsid w:val="00C730D6"/>
    <w:rsid w:val="00C7415C"/>
    <w:rsid w:val="00C81DDD"/>
    <w:rsid w:val="00C916C8"/>
    <w:rsid w:val="00C94B40"/>
    <w:rsid w:val="00C97E60"/>
    <w:rsid w:val="00CA2E85"/>
    <w:rsid w:val="00CA43BB"/>
    <w:rsid w:val="00CA6AE7"/>
    <w:rsid w:val="00CB2043"/>
    <w:rsid w:val="00CB2790"/>
    <w:rsid w:val="00CB505F"/>
    <w:rsid w:val="00CE3166"/>
    <w:rsid w:val="00CE3F94"/>
    <w:rsid w:val="00CE53AB"/>
    <w:rsid w:val="00CF169A"/>
    <w:rsid w:val="00CF2C5D"/>
    <w:rsid w:val="00CF78C6"/>
    <w:rsid w:val="00CF7C87"/>
    <w:rsid w:val="00D0429B"/>
    <w:rsid w:val="00D16B4A"/>
    <w:rsid w:val="00D3775B"/>
    <w:rsid w:val="00D4190F"/>
    <w:rsid w:val="00D548C8"/>
    <w:rsid w:val="00D54ED4"/>
    <w:rsid w:val="00D6001B"/>
    <w:rsid w:val="00D66763"/>
    <w:rsid w:val="00D7108A"/>
    <w:rsid w:val="00D74707"/>
    <w:rsid w:val="00DB3586"/>
    <w:rsid w:val="00DC5385"/>
    <w:rsid w:val="00DC7728"/>
    <w:rsid w:val="00DC7AB7"/>
    <w:rsid w:val="00DE1BD0"/>
    <w:rsid w:val="00DE27F8"/>
    <w:rsid w:val="00DE693B"/>
    <w:rsid w:val="00E307F8"/>
    <w:rsid w:val="00E314FC"/>
    <w:rsid w:val="00E409B4"/>
    <w:rsid w:val="00E42B0B"/>
    <w:rsid w:val="00E47083"/>
    <w:rsid w:val="00E47926"/>
    <w:rsid w:val="00E53DCA"/>
    <w:rsid w:val="00E6222A"/>
    <w:rsid w:val="00E6399A"/>
    <w:rsid w:val="00E87AF4"/>
    <w:rsid w:val="00E9402B"/>
    <w:rsid w:val="00E95B1A"/>
    <w:rsid w:val="00EA47FF"/>
    <w:rsid w:val="00EB7F68"/>
    <w:rsid w:val="00EC036E"/>
    <w:rsid w:val="00EC0828"/>
    <w:rsid w:val="00EC641A"/>
    <w:rsid w:val="00EC6B07"/>
    <w:rsid w:val="00ED76BF"/>
    <w:rsid w:val="00EF0A83"/>
    <w:rsid w:val="00EF5D3D"/>
    <w:rsid w:val="00F047A9"/>
    <w:rsid w:val="00F15BB7"/>
    <w:rsid w:val="00F15C25"/>
    <w:rsid w:val="00F16636"/>
    <w:rsid w:val="00F17A0F"/>
    <w:rsid w:val="00F22359"/>
    <w:rsid w:val="00F30E99"/>
    <w:rsid w:val="00F36127"/>
    <w:rsid w:val="00F37C02"/>
    <w:rsid w:val="00F42CAC"/>
    <w:rsid w:val="00F43952"/>
    <w:rsid w:val="00F449CA"/>
    <w:rsid w:val="00F45551"/>
    <w:rsid w:val="00F45F44"/>
    <w:rsid w:val="00F46640"/>
    <w:rsid w:val="00F46B15"/>
    <w:rsid w:val="00F46DCE"/>
    <w:rsid w:val="00F51170"/>
    <w:rsid w:val="00F56078"/>
    <w:rsid w:val="00F65129"/>
    <w:rsid w:val="00F66624"/>
    <w:rsid w:val="00F66BB6"/>
    <w:rsid w:val="00F74AD4"/>
    <w:rsid w:val="00F7759E"/>
    <w:rsid w:val="00F822A7"/>
    <w:rsid w:val="00F8394C"/>
    <w:rsid w:val="00F83B83"/>
    <w:rsid w:val="00F90E2E"/>
    <w:rsid w:val="00FA05C8"/>
    <w:rsid w:val="00FA1C73"/>
    <w:rsid w:val="00FA2FE9"/>
    <w:rsid w:val="00FD0EAB"/>
    <w:rsid w:val="00FE2A36"/>
    <w:rsid w:val="00FE47BC"/>
    <w:rsid w:val="00FF32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8"/>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15E84C-FA8D-4B1E-A0B9-223138485345}">
  <ds:schemaRefs>
    <ds:schemaRef ds:uri="http://purl.org/dc/terms/"/>
    <ds:schemaRef ds:uri="d2811805-4cad-4ed1-a948-ebb0acb1a4f4"/>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719f2f48-e82b-4af2-ba57-9e7ba8cce623"/>
    <ds:schemaRef ds:uri="http://schemas.microsoft.com/office/2006/metadata/properties"/>
  </ds:schemaRefs>
</ds:datastoreItem>
</file>

<file path=customXml/itemProps3.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4.xml><?xml version="1.0" encoding="utf-8"?>
<ds:datastoreItem xmlns:ds="http://schemas.openxmlformats.org/officeDocument/2006/customXml" ds:itemID="{BD317F24-9138-4925-9E6E-4665F494F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4830</Words>
  <Characters>2754</Characters>
  <Application>Microsoft Office Word</Application>
  <DocSecurity>4</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Viluniene Jurgita</cp:lastModifiedBy>
  <cp:revision>2</cp:revision>
  <dcterms:created xsi:type="dcterms:W3CDTF">2021-08-03T10:12:00Z</dcterms:created>
  <dcterms:modified xsi:type="dcterms:W3CDTF">2021-08-03T10:12:00Z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