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FD217" w14:textId="77777777" w:rsidR="00AF5438" w:rsidRDefault="00AF5438" w:rsidP="00574FE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PAŽYMA</w:t>
      </w:r>
    </w:p>
    <w:p w14:paraId="464B8676" w14:textId="77777777" w:rsidR="00AF5438" w:rsidRPr="004C60AE" w:rsidRDefault="00AF5438" w:rsidP="00AF5438"/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CA7932" w14:paraId="319A6FFF" w14:textId="77777777" w:rsidTr="00315B95">
        <w:tc>
          <w:tcPr>
            <w:tcW w:w="2204" w:type="dxa"/>
            <w:shd w:val="clear" w:color="auto" w:fill="DBE5F1"/>
            <w:hideMark/>
          </w:tcPr>
          <w:p w14:paraId="5A7228FE" w14:textId="77777777" w:rsidR="00AF5438" w:rsidRPr="00AA533D" w:rsidRDefault="00AF5438" w:rsidP="000633B1">
            <w:pPr>
              <w:rPr>
                <w:szCs w:val="24"/>
                <w:shd w:val="clear" w:color="auto" w:fill="DBE5F1"/>
              </w:rPr>
            </w:pPr>
            <w:r w:rsidRPr="00AA533D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689B8717" w14:textId="638EFA64" w:rsidR="00AF5438" w:rsidRPr="001867C7" w:rsidRDefault="001F0B19" w:rsidP="004D3445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Dėl Lietuvos R</w:t>
            </w:r>
            <w:r w:rsidRPr="001F0B19">
              <w:rPr>
                <w:szCs w:val="24"/>
              </w:rPr>
              <w:t>espubl</w:t>
            </w:r>
            <w:r>
              <w:rPr>
                <w:szCs w:val="24"/>
              </w:rPr>
              <w:t>ikos aplinkos ministro 2016 m. kovo 25 d. įsakymo Nr. D1-218 „Dėl 2014–2020 metų Europos S</w:t>
            </w:r>
            <w:r w:rsidRPr="001F0B19">
              <w:rPr>
                <w:szCs w:val="24"/>
              </w:rPr>
              <w:t>ąjungos fondų investicijų v</w:t>
            </w:r>
            <w:r>
              <w:rPr>
                <w:szCs w:val="24"/>
              </w:rPr>
              <w:t>eiksmų programos 5 prioriteto „A</w:t>
            </w:r>
            <w:r w:rsidRPr="001F0B19">
              <w:rPr>
                <w:szCs w:val="24"/>
              </w:rPr>
              <w:t>plinkosauga, gamtos išteklių darnus naudojimas ir prisitaikymas prie klimato kaitos“ 05.5.1-APVA-V-</w:t>
            </w:r>
            <w:r>
              <w:rPr>
                <w:szCs w:val="24"/>
              </w:rPr>
              <w:t>018 priemonės „B</w:t>
            </w:r>
            <w:r w:rsidRPr="001F0B19">
              <w:rPr>
                <w:szCs w:val="24"/>
              </w:rPr>
              <w:t>iologinės įvairovės apsauga“ proj</w:t>
            </w:r>
            <w:r>
              <w:rPr>
                <w:szCs w:val="24"/>
              </w:rPr>
              <w:t>ektų finansavimo sąlygų aprašo N</w:t>
            </w:r>
            <w:r w:rsidRPr="001F0B19">
              <w:rPr>
                <w:szCs w:val="24"/>
              </w:rPr>
              <w:t>r. 1 patvirtinimo“ pakeitimo</w:t>
            </w:r>
          </w:p>
        </w:tc>
      </w:tr>
    </w:tbl>
    <w:p w14:paraId="0CC76008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CA7932" w14:paraId="79A113A7" w14:textId="77777777" w:rsidTr="00315B95">
        <w:tc>
          <w:tcPr>
            <w:tcW w:w="2191" w:type="dxa"/>
            <w:shd w:val="clear" w:color="auto" w:fill="DBE5F1"/>
            <w:hideMark/>
          </w:tcPr>
          <w:p w14:paraId="57BBD6F1" w14:textId="77777777" w:rsidR="00AF5438" w:rsidRPr="00AA533D" w:rsidRDefault="00AF5438" w:rsidP="000633B1">
            <w:pPr>
              <w:rPr>
                <w:szCs w:val="24"/>
              </w:rPr>
            </w:pPr>
            <w:r w:rsidRPr="00AA533D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C31B2B1" w14:textId="77777777" w:rsidR="00AF5438" w:rsidRPr="00AA533D" w:rsidRDefault="00F56DB3" w:rsidP="001F058E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Aplinkos ministerijos </w:t>
            </w:r>
            <w:r w:rsidR="001867C7">
              <w:rPr>
                <w:szCs w:val="24"/>
              </w:rPr>
              <w:t>ES investicijų ir ekonominių priemonių departamento ES investicinių priemonių įgyvendinimo skyrius</w:t>
            </w:r>
          </w:p>
        </w:tc>
      </w:tr>
    </w:tbl>
    <w:p w14:paraId="337BE854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CA7932" w14:paraId="267353D8" w14:textId="77777777" w:rsidTr="00315B95">
        <w:tc>
          <w:tcPr>
            <w:tcW w:w="2189" w:type="dxa"/>
            <w:shd w:val="clear" w:color="auto" w:fill="DBE5F1"/>
            <w:hideMark/>
          </w:tcPr>
          <w:p w14:paraId="338C9F54" w14:textId="77777777" w:rsidR="00AF5438" w:rsidRPr="00AA533D" w:rsidRDefault="00AF5438" w:rsidP="000633B1">
            <w:pPr>
              <w:rPr>
                <w:b/>
                <w:szCs w:val="24"/>
              </w:rPr>
            </w:pPr>
            <w:r w:rsidRPr="00AA533D">
              <w:rPr>
                <w:b/>
                <w:szCs w:val="24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34C937ED" w14:textId="402EE6BA" w:rsidR="008066F6" w:rsidRPr="001F0B19" w:rsidRDefault="001F0B19" w:rsidP="008066F6">
            <w:pPr>
              <w:tabs>
                <w:tab w:val="left" w:pos="709"/>
                <w:tab w:val="left" w:pos="851"/>
                <w:tab w:val="left" w:pos="1134"/>
                <w:tab w:val="left" w:pos="1701"/>
              </w:tabs>
              <w:jc w:val="both"/>
              <w:rPr>
                <w:bCs/>
              </w:rPr>
            </w:pPr>
            <w:r w:rsidRPr="001F0B19">
              <w:t xml:space="preserve">Tikslinamas 05.5.1-APVA-V-018 priemonės „Biologinės įvairovės apsauga“ projektų finansavimo sąlygų aprašo 34 punkto lentelės 1.1 papunktis, sudarant galimybę pareiškėjui padengti žemės pirkimo išlaidas kai </w:t>
            </w:r>
            <w:r w:rsidRPr="00BE5BBC">
              <w:t>tai sudaro</w:t>
            </w:r>
            <w:r w:rsidR="00217D97">
              <w:t xml:space="preserve"> ne</w:t>
            </w:r>
            <w:r w:rsidRPr="00BE5BBC">
              <w:t xml:space="preserve"> daugiau </w:t>
            </w:r>
            <w:r w:rsidR="00C75E35">
              <w:t>kaip</w:t>
            </w:r>
            <w:r w:rsidRPr="00BE5BBC">
              <w:t xml:space="preserve"> 10 procentų visų tinkamų finansuoti projekto išlaidų</w:t>
            </w:r>
            <w:r w:rsidR="00217D97">
              <w:t>,</w:t>
            </w:r>
            <w:r w:rsidRPr="00BE5BBC">
              <w:t xml:space="preserve"> </w:t>
            </w:r>
            <w:r w:rsidR="00BE5BBC" w:rsidRPr="00BE5BBC">
              <w:t>išskyrus projekto vykdytojo pagrįstus atvejus, kai žemės pirkimas susijęs su aplinkos apsauga</w:t>
            </w:r>
            <w:r w:rsidRPr="00BE5BBC">
              <w:t xml:space="preserve">. </w:t>
            </w:r>
            <w:r w:rsidR="00E7588E" w:rsidRPr="00E7588E">
              <w:t>Aprašo 34 punkto lentelė</w:t>
            </w:r>
            <w:r w:rsidR="00325DFA">
              <w:t>s 1 punktas papildomas antrąja pastraipa</w:t>
            </w:r>
            <w:r w:rsidR="00E7588E" w:rsidRPr="00E7588E">
              <w:t xml:space="preserve"> nustat</w:t>
            </w:r>
            <w:r w:rsidR="00325DFA">
              <w:t>ant</w:t>
            </w:r>
            <w:r w:rsidR="00E7588E" w:rsidRPr="00E7588E">
              <w:t xml:space="preserve"> netinkamas finansuoti žemės ūkio paskirties žemės pirkim</w:t>
            </w:r>
            <w:r w:rsidR="00325DFA">
              <w:t>o išlaidas</w:t>
            </w:r>
            <w:r w:rsidR="00E7588E" w:rsidRPr="00E7588E">
              <w:t xml:space="preserve">. </w:t>
            </w:r>
            <w:r w:rsidR="008066F6" w:rsidRPr="008066F6">
              <w:t>Projekte tinkamų finansuoti žemės pirkimo išlaidų dydis koreguojamas atsižvelgiant į Europos Komisijos pastabas dėl netinkamo 1992 m. gegužės 21 d. Tarybos direktyvos 92/43/EEB dėl natūralių buveinių ir laukinės faunos bei floros apsaugos (toliau - Buveinių direktyvos) įgyvendinimo, todėl planuojama skirti papildomų lėšų „</w:t>
            </w:r>
            <w:proofErr w:type="spellStart"/>
            <w:r w:rsidR="008066F6" w:rsidRPr="008066F6">
              <w:t>Natura</w:t>
            </w:r>
            <w:proofErr w:type="spellEnd"/>
            <w:r w:rsidR="008066F6" w:rsidRPr="008066F6">
              <w:t xml:space="preserve"> 2000“ teritorijoms planuoti, įskaitant ir apsaugos sutarčių sudarymą. Taip pat Aprašas papildomas nauju punktu, kuriuo yra numatoma papildomo finansavimo galimybė.</w:t>
            </w:r>
            <w:r w:rsidR="008066F6">
              <w:t xml:space="preserve"> </w:t>
            </w:r>
          </w:p>
        </w:tc>
      </w:tr>
    </w:tbl>
    <w:p w14:paraId="316449A8" w14:textId="77777777" w:rsidR="00AF5438" w:rsidRPr="00CA7932" w:rsidRDefault="00AF5438" w:rsidP="00AF5438">
      <w:pPr>
        <w:rPr>
          <w:sz w:val="22"/>
          <w:szCs w:val="2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AF5438" w:rsidRPr="00CA7932" w14:paraId="536BC58E" w14:textId="77777777" w:rsidTr="00315B95">
        <w:trPr>
          <w:trHeight w:val="415"/>
        </w:trPr>
        <w:tc>
          <w:tcPr>
            <w:tcW w:w="2164" w:type="dxa"/>
            <w:shd w:val="clear" w:color="auto" w:fill="DBE5F1"/>
          </w:tcPr>
          <w:p w14:paraId="6F6A70BE" w14:textId="77777777" w:rsidR="00AF5438" w:rsidRPr="00CA7932" w:rsidRDefault="00AF5438" w:rsidP="000633B1">
            <w:pPr>
              <w:rPr>
                <w:szCs w:val="22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61742A7F" w14:textId="77777777" w:rsidR="00AF5438" w:rsidRPr="00574FE6" w:rsidRDefault="00AF5438" w:rsidP="000633B1">
            <w:pPr>
              <w:jc w:val="center"/>
              <w:rPr>
                <w:b/>
                <w:szCs w:val="24"/>
              </w:rPr>
            </w:pPr>
            <w:r w:rsidRPr="00574FE6">
              <w:rPr>
                <w:b/>
                <w:szCs w:val="24"/>
              </w:rPr>
              <w:t xml:space="preserve">Siūlomo projekto poveikio įvertinimas </w:t>
            </w:r>
          </w:p>
          <w:p w14:paraId="408F458B" w14:textId="77777777" w:rsidR="00AF5438" w:rsidRPr="00CA7932" w:rsidRDefault="00AF5438" w:rsidP="000633B1">
            <w:pPr>
              <w:jc w:val="center"/>
              <w:rPr>
                <w:b/>
                <w:szCs w:val="22"/>
              </w:rPr>
            </w:pPr>
            <w:r w:rsidRPr="00574FE6">
              <w:rPr>
                <w:b/>
                <w:szCs w:val="24"/>
              </w:rPr>
              <w:t>(</w:t>
            </w:r>
            <w:r w:rsidRPr="00574FE6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6886AD2E" w14:textId="77777777" w:rsidR="00AF5438" w:rsidRDefault="00AF5438" w:rsidP="00AF543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7103"/>
      </w:tblGrid>
      <w:tr w:rsidR="003D761A" w:rsidRPr="003D761A" w14:paraId="622943CB" w14:textId="77777777" w:rsidTr="003D761A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5137" w14:textId="77777777" w:rsidR="003D761A" w:rsidRPr="003D761A" w:rsidRDefault="003D761A" w:rsidP="003D761A">
            <w:pPr>
              <w:jc w:val="both"/>
              <w:rPr>
                <w:szCs w:val="24"/>
              </w:rPr>
            </w:pPr>
            <w:r w:rsidRPr="003D761A">
              <w:rPr>
                <w:b/>
                <w:bCs/>
                <w:szCs w:val="24"/>
              </w:rPr>
              <w:t xml:space="preserve">Poveikis </w:t>
            </w:r>
            <w:r w:rsidRPr="003D761A">
              <w:rPr>
                <w:b/>
                <w:color w:val="000000"/>
                <w:szCs w:val="24"/>
              </w:rPr>
              <w:t>aplinkai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EB14" w14:textId="0883950B" w:rsidR="003D761A" w:rsidRPr="003D761A" w:rsidRDefault="00257BEA" w:rsidP="003D761A">
            <w:pPr>
              <w:jc w:val="both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Cs w:val="24"/>
              </w:rPr>
              <w:t>Prisideda prie aplinkos kokybės gerinimo biologinės įvairovės apsaugos srityje.</w:t>
            </w:r>
            <w:r w:rsidRPr="003D761A">
              <w:rPr>
                <w:szCs w:val="24"/>
              </w:rPr>
              <w:t xml:space="preserve"> </w:t>
            </w:r>
          </w:p>
        </w:tc>
      </w:tr>
    </w:tbl>
    <w:p w14:paraId="641AA161" w14:textId="77777777" w:rsidR="003D761A" w:rsidRPr="003D761A" w:rsidRDefault="003D761A" w:rsidP="003D761A">
      <w:pPr>
        <w:jc w:val="both"/>
        <w:rPr>
          <w:sz w:val="16"/>
          <w:szCs w:val="16"/>
        </w:rPr>
      </w:pPr>
      <w:r w:rsidRPr="003D761A">
        <w:rPr>
          <w:szCs w:val="24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404"/>
      </w:tblGrid>
      <w:tr w:rsidR="003D761A" w:rsidRPr="003D761A" w14:paraId="7FBD8794" w14:textId="77777777" w:rsidTr="003D761A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EFE3" w14:textId="77777777" w:rsidR="003D761A" w:rsidRPr="003D761A" w:rsidRDefault="003D761A" w:rsidP="003D761A">
            <w:pPr>
              <w:jc w:val="both"/>
              <w:rPr>
                <w:szCs w:val="24"/>
              </w:rPr>
            </w:pPr>
            <w:r w:rsidRPr="003D761A">
              <w:rPr>
                <w:b/>
                <w:bCs/>
                <w:szCs w:val="24"/>
              </w:rPr>
              <w:t>Poveikis valstybės finansams</w:t>
            </w:r>
          </w:p>
        </w:tc>
        <w:tc>
          <w:tcPr>
            <w:tcW w:w="7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B5A6" w14:textId="6FAA2E3E" w:rsidR="003D761A" w:rsidRPr="003D761A" w:rsidRDefault="003D761A" w:rsidP="003D76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Nenumatomas</w:t>
            </w:r>
          </w:p>
        </w:tc>
      </w:tr>
    </w:tbl>
    <w:p w14:paraId="250736A6" w14:textId="77777777" w:rsidR="003D761A" w:rsidRPr="003D761A" w:rsidRDefault="003D761A" w:rsidP="003D761A">
      <w:pPr>
        <w:jc w:val="both"/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429"/>
      </w:tblGrid>
      <w:tr w:rsidR="003D761A" w:rsidRPr="003D761A" w14:paraId="61FD6228" w14:textId="77777777" w:rsidTr="003D761A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hideMark/>
          </w:tcPr>
          <w:p w14:paraId="20C837C7" w14:textId="77777777" w:rsidR="003D761A" w:rsidRPr="003D761A" w:rsidRDefault="003D761A" w:rsidP="003D761A">
            <w:pPr>
              <w:shd w:val="clear" w:color="auto" w:fill="DBE5F1"/>
              <w:jc w:val="both"/>
              <w:rPr>
                <w:b/>
                <w:szCs w:val="24"/>
              </w:rPr>
            </w:pPr>
            <w:r w:rsidRPr="003D761A">
              <w:rPr>
                <w:b/>
                <w:szCs w:val="24"/>
              </w:rPr>
              <w:t>Poveikis administracinei naštai</w:t>
            </w:r>
          </w:p>
        </w:tc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08CFC" w14:textId="77777777" w:rsidR="003D761A" w:rsidRPr="003D761A" w:rsidRDefault="003D761A" w:rsidP="003D761A">
            <w:pPr>
              <w:jc w:val="both"/>
              <w:rPr>
                <w:szCs w:val="24"/>
              </w:rPr>
            </w:pPr>
            <w:r w:rsidRPr="003D761A">
              <w:rPr>
                <w:szCs w:val="24"/>
              </w:rPr>
              <w:t>Poveikis administracinei naštai nepasikeis.</w:t>
            </w:r>
          </w:p>
        </w:tc>
      </w:tr>
    </w:tbl>
    <w:p w14:paraId="50AB84BA" w14:textId="77777777" w:rsidR="003D761A" w:rsidRPr="003D761A" w:rsidRDefault="003D761A" w:rsidP="003D761A">
      <w:pPr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7106"/>
      </w:tblGrid>
      <w:tr w:rsidR="003D761A" w:rsidRPr="003D761A" w14:paraId="3B367122" w14:textId="77777777" w:rsidTr="003D761A">
        <w:tc>
          <w:tcPr>
            <w:tcW w:w="2235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B87F" w14:textId="77777777" w:rsidR="003D761A" w:rsidRPr="003D761A" w:rsidRDefault="003D761A" w:rsidP="003D761A">
            <w:pPr>
              <w:jc w:val="both"/>
              <w:rPr>
                <w:szCs w:val="24"/>
              </w:rPr>
            </w:pPr>
            <w:r w:rsidRPr="003D761A">
              <w:rPr>
                <w:b/>
                <w:bCs/>
                <w:szCs w:val="24"/>
              </w:rPr>
              <w:t xml:space="preserve">Poveikis </w:t>
            </w:r>
            <w:r w:rsidRPr="003D761A">
              <w:rPr>
                <w:b/>
                <w:color w:val="000000"/>
                <w:szCs w:val="24"/>
              </w:rPr>
              <w:t>klimato kaitai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D3AC" w14:textId="2C989DCF" w:rsidR="003D761A" w:rsidRPr="003D761A" w:rsidRDefault="003D761A" w:rsidP="003D761A">
            <w:pPr>
              <w:jc w:val="both"/>
              <w:rPr>
                <w:sz w:val="14"/>
                <w:szCs w:val="14"/>
              </w:rPr>
            </w:pPr>
            <w:r>
              <w:rPr>
                <w:szCs w:val="24"/>
              </w:rPr>
              <w:t>Nenumatomas</w:t>
            </w:r>
          </w:p>
        </w:tc>
      </w:tr>
    </w:tbl>
    <w:p w14:paraId="700CCBDD" w14:textId="77777777" w:rsidR="00AF5438" w:rsidRPr="004E7A5F" w:rsidRDefault="00AF5438" w:rsidP="00AF5438">
      <w:pPr>
        <w:rPr>
          <w:i/>
          <w:sz w:val="22"/>
          <w:szCs w:val="22"/>
        </w:rPr>
      </w:pPr>
    </w:p>
    <w:p w14:paraId="35F5C86F" w14:textId="77777777" w:rsidR="00AF5438" w:rsidRPr="004E7A5F" w:rsidRDefault="00AF5438" w:rsidP="00AA533D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4E7A5F">
        <w:rPr>
          <w:b/>
          <w:szCs w:val="24"/>
        </w:rPr>
        <w:t>Informacija apie asmenį ir instituciją, atsakingą už poveikio vertinimą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936"/>
      </w:tblGrid>
      <w:tr w:rsidR="00AF5438" w:rsidRPr="004E7A5F" w14:paraId="20D401D9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171A93" w14:textId="77777777" w:rsidR="00AF5438" w:rsidRPr="004E7A5F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4E7A5F">
              <w:rPr>
                <w:szCs w:val="24"/>
              </w:rPr>
              <w:t>Vardas ir pavardė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E63417B" w14:textId="496C6842" w:rsidR="00AF5438" w:rsidRPr="004E7A5F" w:rsidRDefault="00657B7F" w:rsidP="000633B1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Sigita </w:t>
            </w:r>
            <w:proofErr w:type="spellStart"/>
            <w:r>
              <w:rPr>
                <w:szCs w:val="22"/>
              </w:rPr>
              <w:t>Alčauskienė</w:t>
            </w:r>
            <w:proofErr w:type="spellEnd"/>
          </w:p>
        </w:tc>
      </w:tr>
      <w:tr w:rsidR="00AF5438" w:rsidRPr="004E7A5F" w14:paraId="59C1D3DD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057A678" w14:textId="77777777" w:rsidR="00AF5438" w:rsidRPr="004E7A5F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4E7A5F">
              <w:rPr>
                <w:szCs w:val="24"/>
              </w:rPr>
              <w:t>Pareigos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9A0BC2" w14:textId="77777777" w:rsidR="00AF5438" w:rsidRPr="004E7A5F" w:rsidRDefault="0062757E" w:rsidP="000633B1">
            <w:pPr>
              <w:pStyle w:val="ListParagraph1"/>
              <w:ind w:left="0"/>
              <w:jc w:val="both"/>
              <w:rPr>
                <w:szCs w:val="22"/>
              </w:rPr>
            </w:pPr>
            <w:r w:rsidRPr="004E7A5F">
              <w:rPr>
                <w:szCs w:val="22"/>
              </w:rPr>
              <w:t>Vyriausi</w:t>
            </w:r>
            <w:r w:rsidR="008B1D5B" w:rsidRPr="004E7A5F">
              <w:rPr>
                <w:szCs w:val="22"/>
              </w:rPr>
              <w:t>oji</w:t>
            </w:r>
            <w:r w:rsidRPr="004E7A5F">
              <w:rPr>
                <w:szCs w:val="22"/>
              </w:rPr>
              <w:t xml:space="preserve"> specialist</w:t>
            </w:r>
            <w:r w:rsidR="008B1D5B" w:rsidRPr="004E7A5F">
              <w:rPr>
                <w:szCs w:val="22"/>
              </w:rPr>
              <w:t>ė</w:t>
            </w:r>
          </w:p>
        </w:tc>
      </w:tr>
      <w:tr w:rsidR="00AF5438" w:rsidRPr="004E7A5F" w14:paraId="031277BA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BE9AAF6" w14:textId="77777777" w:rsidR="00AF5438" w:rsidRPr="004E7A5F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4E7A5F">
              <w:rPr>
                <w:szCs w:val="24"/>
              </w:rPr>
              <w:t>Institucija (padalinys)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508BDD" w14:textId="77777777" w:rsidR="00AF5438" w:rsidRPr="004E7A5F" w:rsidRDefault="00F56DB3" w:rsidP="00452650">
            <w:pPr>
              <w:pStyle w:val="ListParagraph1"/>
              <w:ind w:left="0"/>
              <w:jc w:val="both"/>
              <w:rPr>
                <w:szCs w:val="22"/>
              </w:rPr>
            </w:pPr>
            <w:r w:rsidRPr="004E7A5F">
              <w:rPr>
                <w:szCs w:val="24"/>
              </w:rPr>
              <w:t xml:space="preserve">Aplinkos ministerijos </w:t>
            </w:r>
            <w:r w:rsidR="008B1D5B" w:rsidRPr="004E7A5F">
              <w:rPr>
                <w:szCs w:val="24"/>
              </w:rPr>
              <w:t>ES investicijų ir ekonominių priemonių departamento ES investicinių priemonių įgyvendinimo skyrius</w:t>
            </w:r>
          </w:p>
        </w:tc>
      </w:tr>
      <w:tr w:rsidR="00AF5438" w:rsidRPr="00CA7932" w14:paraId="1C5D27DA" w14:textId="77777777" w:rsidTr="009D48DC">
        <w:trPr>
          <w:trHeight w:val="51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687D742" w14:textId="77777777" w:rsidR="00AF5438" w:rsidRPr="004E7A5F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4E7A5F">
              <w:rPr>
                <w:szCs w:val="24"/>
              </w:rPr>
              <w:t>Telefono numeris ir elektroninio pašto adresas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45A0420" w14:textId="03A2068D" w:rsidR="00AF5438" w:rsidRPr="004E7A5F" w:rsidRDefault="009356E7" w:rsidP="00E7588E">
            <w:pPr>
              <w:pStyle w:val="ListParagraph1"/>
              <w:ind w:left="0"/>
              <w:jc w:val="both"/>
              <w:rPr>
                <w:szCs w:val="22"/>
              </w:rPr>
            </w:pPr>
            <w:r w:rsidRPr="004E7A5F">
              <w:rPr>
                <w:szCs w:val="24"/>
              </w:rPr>
              <w:t>8-</w:t>
            </w:r>
            <w:r w:rsidR="00EE6AAF" w:rsidRPr="00EE6AAF">
              <w:rPr>
                <w:szCs w:val="24"/>
              </w:rPr>
              <w:t>620 31405</w:t>
            </w:r>
            <w:r w:rsidR="00AF5438" w:rsidRPr="004E7A5F">
              <w:rPr>
                <w:szCs w:val="24"/>
              </w:rPr>
              <w:t xml:space="preserve">; </w:t>
            </w:r>
            <w:r w:rsidR="00E7588E">
              <w:rPr>
                <w:szCs w:val="24"/>
              </w:rPr>
              <w:t>sigita.alc</w:t>
            </w:r>
            <w:r w:rsidR="00657B7F">
              <w:rPr>
                <w:szCs w:val="24"/>
              </w:rPr>
              <w:t>auskien</w:t>
            </w:r>
            <w:r w:rsidR="00E7588E">
              <w:rPr>
                <w:szCs w:val="24"/>
              </w:rPr>
              <w:t>e</w:t>
            </w:r>
            <w:r w:rsidR="00AF5438" w:rsidRPr="004E7A5F">
              <w:rPr>
                <w:szCs w:val="24"/>
              </w:rPr>
              <w:t>@am.lt</w:t>
            </w:r>
          </w:p>
        </w:tc>
      </w:tr>
    </w:tbl>
    <w:p w14:paraId="3CCEA312" w14:textId="77777777" w:rsidR="00E126B5" w:rsidRDefault="00E126B5" w:rsidP="00F56DB3"/>
    <w:sectPr w:rsidR="00E126B5" w:rsidSect="00F90B63">
      <w:headerReference w:type="default" r:id="rId8"/>
      <w:pgSz w:w="11906" w:h="16838"/>
      <w:pgMar w:top="1134" w:right="1134" w:bottom="709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E5285" w14:textId="77777777" w:rsidR="006F70EB" w:rsidRDefault="006F70EB">
      <w:r>
        <w:separator/>
      </w:r>
    </w:p>
  </w:endnote>
  <w:endnote w:type="continuationSeparator" w:id="0">
    <w:p w14:paraId="5B1F8972" w14:textId="77777777" w:rsidR="006F70EB" w:rsidRDefault="006F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entury Gothic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2D150" w14:textId="77777777" w:rsidR="006F70EB" w:rsidRDefault="006F70EB">
      <w:r>
        <w:separator/>
      </w:r>
    </w:p>
  </w:footnote>
  <w:footnote w:type="continuationSeparator" w:id="0">
    <w:p w14:paraId="489680B2" w14:textId="77777777" w:rsidR="006F70EB" w:rsidRDefault="006F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C52B1" w14:textId="77777777" w:rsidR="001B24C4" w:rsidRDefault="00F87438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24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6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D4D5B" w14:textId="77777777" w:rsidR="001B24C4" w:rsidRDefault="001B24C4">
    <w:pPr>
      <w:pStyle w:val="Header"/>
    </w:pPr>
  </w:p>
  <w:p w14:paraId="733D7C0A" w14:textId="77777777" w:rsidR="001B24C4" w:rsidRDefault="001B24C4" w:rsidP="000633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8"/>
    <w:rsid w:val="00023D36"/>
    <w:rsid w:val="00033551"/>
    <w:rsid w:val="000633B1"/>
    <w:rsid w:val="00074A40"/>
    <w:rsid w:val="000F3855"/>
    <w:rsid w:val="00106A68"/>
    <w:rsid w:val="0012603A"/>
    <w:rsid w:val="001315D3"/>
    <w:rsid w:val="001867C7"/>
    <w:rsid w:val="001B24C4"/>
    <w:rsid w:val="001C110A"/>
    <w:rsid w:val="001D5A41"/>
    <w:rsid w:val="001E2E1A"/>
    <w:rsid w:val="001F058E"/>
    <w:rsid w:val="001F0B19"/>
    <w:rsid w:val="00217D97"/>
    <w:rsid w:val="00220E05"/>
    <w:rsid w:val="002218CC"/>
    <w:rsid w:val="00234487"/>
    <w:rsid w:val="00257BEA"/>
    <w:rsid w:val="00267DDD"/>
    <w:rsid w:val="002768CE"/>
    <w:rsid w:val="00280708"/>
    <w:rsid w:val="002829C7"/>
    <w:rsid w:val="002B1031"/>
    <w:rsid w:val="002B574F"/>
    <w:rsid w:val="002C750B"/>
    <w:rsid w:val="002D1DFF"/>
    <w:rsid w:val="00315B95"/>
    <w:rsid w:val="003210C6"/>
    <w:rsid w:val="00325DFA"/>
    <w:rsid w:val="0037291E"/>
    <w:rsid w:val="00373D50"/>
    <w:rsid w:val="0037432B"/>
    <w:rsid w:val="0038082D"/>
    <w:rsid w:val="00385CE7"/>
    <w:rsid w:val="00395EDF"/>
    <w:rsid w:val="003C3253"/>
    <w:rsid w:val="003D761A"/>
    <w:rsid w:val="003E683A"/>
    <w:rsid w:val="004307FE"/>
    <w:rsid w:val="00452650"/>
    <w:rsid w:val="00453F3F"/>
    <w:rsid w:val="0046334A"/>
    <w:rsid w:val="00480E30"/>
    <w:rsid w:val="004C04B2"/>
    <w:rsid w:val="004C1FED"/>
    <w:rsid w:val="004C60AE"/>
    <w:rsid w:val="004D20F0"/>
    <w:rsid w:val="004D3445"/>
    <w:rsid w:val="004E4D19"/>
    <w:rsid w:val="004E5572"/>
    <w:rsid w:val="004E7A5F"/>
    <w:rsid w:val="004F2D54"/>
    <w:rsid w:val="004F2E9F"/>
    <w:rsid w:val="004F79FE"/>
    <w:rsid w:val="00510546"/>
    <w:rsid w:val="0056252B"/>
    <w:rsid w:val="00574FE6"/>
    <w:rsid w:val="005A144F"/>
    <w:rsid w:val="005C1EE9"/>
    <w:rsid w:val="005D3004"/>
    <w:rsid w:val="005D5DE2"/>
    <w:rsid w:val="006141C3"/>
    <w:rsid w:val="006153E9"/>
    <w:rsid w:val="0062757E"/>
    <w:rsid w:val="00641D99"/>
    <w:rsid w:val="00657B7F"/>
    <w:rsid w:val="006665DE"/>
    <w:rsid w:val="006F3601"/>
    <w:rsid w:val="006F70EB"/>
    <w:rsid w:val="0073298C"/>
    <w:rsid w:val="00740891"/>
    <w:rsid w:val="007759BF"/>
    <w:rsid w:val="007C0005"/>
    <w:rsid w:val="007C3F12"/>
    <w:rsid w:val="007C6AEC"/>
    <w:rsid w:val="007E67B2"/>
    <w:rsid w:val="008066F6"/>
    <w:rsid w:val="00810AA2"/>
    <w:rsid w:val="00823EC0"/>
    <w:rsid w:val="008479D3"/>
    <w:rsid w:val="00856190"/>
    <w:rsid w:val="008B1D5B"/>
    <w:rsid w:val="009356E7"/>
    <w:rsid w:val="00953801"/>
    <w:rsid w:val="00970385"/>
    <w:rsid w:val="00977554"/>
    <w:rsid w:val="00980CED"/>
    <w:rsid w:val="009865C4"/>
    <w:rsid w:val="009869E7"/>
    <w:rsid w:val="009A0377"/>
    <w:rsid w:val="009B668A"/>
    <w:rsid w:val="009D48DC"/>
    <w:rsid w:val="009F2942"/>
    <w:rsid w:val="00A173F3"/>
    <w:rsid w:val="00A536BC"/>
    <w:rsid w:val="00AA43A1"/>
    <w:rsid w:val="00AA533D"/>
    <w:rsid w:val="00AC2219"/>
    <w:rsid w:val="00AF5438"/>
    <w:rsid w:val="00B01F7F"/>
    <w:rsid w:val="00B1062C"/>
    <w:rsid w:val="00B158D4"/>
    <w:rsid w:val="00B3728B"/>
    <w:rsid w:val="00B4693E"/>
    <w:rsid w:val="00B470C6"/>
    <w:rsid w:val="00B5193A"/>
    <w:rsid w:val="00B821BC"/>
    <w:rsid w:val="00B94764"/>
    <w:rsid w:val="00BA7DED"/>
    <w:rsid w:val="00BC5D39"/>
    <w:rsid w:val="00BC71CB"/>
    <w:rsid w:val="00BC730B"/>
    <w:rsid w:val="00BE5BBC"/>
    <w:rsid w:val="00C75E35"/>
    <w:rsid w:val="00C868C3"/>
    <w:rsid w:val="00C9398E"/>
    <w:rsid w:val="00CB363C"/>
    <w:rsid w:val="00CC2B99"/>
    <w:rsid w:val="00CE7BFB"/>
    <w:rsid w:val="00D2440B"/>
    <w:rsid w:val="00D40BF2"/>
    <w:rsid w:val="00D41496"/>
    <w:rsid w:val="00D41C7F"/>
    <w:rsid w:val="00D54048"/>
    <w:rsid w:val="00D573F4"/>
    <w:rsid w:val="00DB6C34"/>
    <w:rsid w:val="00DD0AF5"/>
    <w:rsid w:val="00DE0481"/>
    <w:rsid w:val="00E04A39"/>
    <w:rsid w:val="00E126B5"/>
    <w:rsid w:val="00E20713"/>
    <w:rsid w:val="00E27492"/>
    <w:rsid w:val="00E557DC"/>
    <w:rsid w:val="00E67C99"/>
    <w:rsid w:val="00E7588E"/>
    <w:rsid w:val="00EA7FE5"/>
    <w:rsid w:val="00EB0EFA"/>
    <w:rsid w:val="00EE6AAF"/>
    <w:rsid w:val="00F506F5"/>
    <w:rsid w:val="00F56DB3"/>
    <w:rsid w:val="00F87438"/>
    <w:rsid w:val="00F90B63"/>
    <w:rsid w:val="00FA0621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4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1C3"/>
    <w:rPr>
      <w:rFonts w:ascii="Courier New" w:eastAsia="Times New Roman" w:hAnsi="Courier New" w:cs="Courier New"/>
    </w:rPr>
  </w:style>
  <w:style w:type="character" w:styleId="Hyperlink">
    <w:name w:val="Hyperlink"/>
    <w:rsid w:val="001B24C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4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44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44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4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41C3"/>
    <w:rPr>
      <w:rFonts w:ascii="Courier New" w:eastAsia="Times New Roman" w:hAnsi="Courier New" w:cs="Courier New"/>
    </w:rPr>
  </w:style>
  <w:style w:type="character" w:styleId="Hyperlink">
    <w:name w:val="Hyperlink"/>
    <w:rsid w:val="001B24C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4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44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44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C712-C192-45B3-BB30-2A004C3B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d.anuskevicius</dc:creator>
  <cp:lastModifiedBy>Sigita Alčauskienė</cp:lastModifiedBy>
  <cp:revision>4</cp:revision>
  <cp:lastPrinted>2017-02-07T08:50:00Z</cp:lastPrinted>
  <dcterms:created xsi:type="dcterms:W3CDTF">2021-08-18T05:23:00Z</dcterms:created>
  <dcterms:modified xsi:type="dcterms:W3CDTF">2021-08-19T07:09:00Z</dcterms:modified>
</cp:coreProperties>
</file>