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Pr="00DA4937" w:rsidRDefault="006F7209" w:rsidP="006F7209">
      <w:pPr>
        <w:ind w:left="5529" w:firstLine="0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>2014–2020 metų Europos Sąjungos fondų investicijų veiksmų programos</w:t>
      </w:r>
    </w:p>
    <w:p w:rsidR="006F7209" w:rsidRPr="00DA4937" w:rsidRDefault="006F7209" w:rsidP="006F7209">
      <w:pPr>
        <w:ind w:left="5529" w:firstLine="0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 xml:space="preserve">3 prioriteto „Smulkiojo ir vidutinio verslo konkurencingumo skatinimas“ </w:t>
      </w:r>
    </w:p>
    <w:p w:rsidR="006F7209" w:rsidRPr="00DA4937" w:rsidRDefault="006F7209" w:rsidP="006F7209">
      <w:pPr>
        <w:ind w:left="5529" w:firstLine="0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>priemonės Nr. 03.</w:t>
      </w:r>
      <w:r>
        <w:rPr>
          <w:rFonts w:ascii="Times New Roman" w:hAnsi="Times New Roman"/>
          <w:sz w:val="24"/>
        </w:rPr>
        <w:t>3</w:t>
      </w:r>
      <w:r w:rsidRPr="00DA4937">
        <w:rPr>
          <w:rFonts w:ascii="Times New Roman" w:hAnsi="Times New Roman"/>
          <w:sz w:val="24"/>
        </w:rPr>
        <w:t>.1-LVPA-K-80</w:t>
      </w:r>
      <w:r>
        <w:rPr>
          <w:rFonts w:ascii="Times New Roman" w:hAnsi="Times New Roman"/>
          <w:sz w:val="24"/>
        </w:rPr>
        <w:t>6</w:t>
      </w:r>
      <w:r w:rsidRPr="00DA49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 w:rsidRPr="00DA4937">
        <w:rPr>
          <w:rFonts w:ascii="Times New Roman" w:hAnsi="Times New Roman"/>
          <w:sz w:val="24"/>
        </w:rPr>
        <w:t>„E</w:t>
      </w:r>
      <w:r>
        <w:rPr>
          <w:rFonts w:ascii="Times New Roman" w:hAnsi="Times New Roman"/>
          <w:sz w:val="24"/>
        </w:rPr>
        <w:t>-verslas</w:t>
      </w:r>
      <w:r w:rsidRPr="00DA4937">
        <w:rPr>
          <w:rFonts w:ascii="Times New Roman" w:hAnsi="Times New Roman"/>
          <w:sz w:val="24"/>
        </w:rPr>
        <w:t xml:space="preserve"> LT“ projektų finansavimo sąlygų aprašo Nr. 1</w:t>
      </w:r>
    </w:p>
    <w:p w:rsidR="006F7209" w:rsidRPr="00DA4937" w:rsidRDefault="006F7209" w:rsidP="006F7209">
      <w:pPr>
        <w:ind w:left="129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Pr="00DA4937">
        <w:rPr>
          <w:rFonts w:ascii="Times New Roman" w:hAnsi="Times New Roman"/>
          <w:sz w:val="24"/>
        </w:rPr>
        <w:t>4 priedas</w:t>
      </w:r>
    </w:p>
    <w:p w:rsidR="006F7209" w:rsidRPr="00DA4937" w:rsidRDefault="006F7209" w:rsidP="006F7209">
      <w:pPr>
        <w:ind w:left="1298"/>
        <w:jc w:val="center"/>
        <w:rPr>
          <w:rFonts w:ascii="Times New Roman" w:hAnsi="Times New Roman"/>
          <w:sz w:val="24"/>
        </w:rPr>
      </w:pPr>
    </w:p>
    <w:p w:rsidR="006F7209" w:rsidRPr="00DA4937" w:rsidRDefault="006F7209" w:rsidP="006F7209">
      <w:pPr>
        <w:ind w:firstLine="0"/>
        <w:jc w:val="center"/>
        <w:rPr>
          <w:rFonts w:ascii="Times New Roman" w:hAnsi="Times New Roman"/>
          <w:b/>
          <w:caps/>
          <w:sz w:val="24"/>
        </w:rPr>
      </w:pPr>
      <w:r w:rsidRPr="00DA4937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:rsidR="006F7209" w:rsidRPr="00DA4937" w:rsidRDefault="006F7209" w:rsidP="006F7209">
      <w:pPr>
        <w:ind w:left="1298"/>
        <w:jc w:val="center"/>
      </w:pPr>
    </w:p>
    <w:p w:rsidR="006F7209" w:rsidRPr="00DA4937" w:rsidRDefault="006F7209" w:rsidP="006F7209">
      <w:pPr>
        <w:tabs>
          <w:tab w:val="left" w:pos="0"/>
        </w:tabs>
        <w:ind w:firstLine="0"/>
        <w:jc w:val="both"/>
        <w:rPr>
          <w:rFonts w:ascii="Times New Roman" w:hAnsi="Times New Roman"/>
          <w:b/>
          <w:sz w:val="24"/>
        </w:rPr>
      </w:pPr>
      <w:r w:rsidRPr="00DA4937">
        <w:rPr>
          <w:rFonts w:ascii="Times New Roman" w:hAnsi="Times New Roman"/>
          <w:b/>
          <w:sz w:val="24"/>
        </w:rPr>
        <w:t>1. Pareiškėjų vykdomos veiklos ir projekto veiklos priskiriamos Ekonominės veiklos rūšių klasifikatoriui (EVRK 2 red.), patvirtintam Lietuvos statistikos departamento generalinio direktoriaus 2007 m. spalio 31 d. įsakymu Nr. DĮ-226 „Dėl Ekonominės veiklos rūšių klasifikatoriaus patvirtinimo“ (toliau – EVRK 2 red.).</w:t>
      </w:r>
    </w:p>
    <w:p w:rsidR="006F7209" w:rsidRPr="00DA4937" w:rsidRDefault="006F7209" w:rsidP="006F7209">
      <w:pPr>
        <w:tabs>
          <w:tab w:val="left" w:pos="0"/>
        </w:tabs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1"/>
        <w:gridCol w:w="3044"/>
        <w:gridCol w:w="2353"/>
      </w:tblGrid>
      <w:tr w:rsidR="006F7209" w:rsidRPr="00DA4937" w:rsidTr="001343D3">
        <w:trPr>
          <w:trHeight w:val="33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6F7209">
            <w:pPr>
              <w:numPr>
                <w:ilvl w:val="1"/>
                <w:numId w:val="1"/>
              </w:numPr>
              <w:tabs>
                <w:tab w:val="left" w:pos="41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A4937">
              <w:rPr>
                <w:rFonts w:ascii="Times New Roman" w:hAnsi="Times New Roman"/>
                <w:sz w:val="24"/>
              </w:rPr>
              <w:t>Pareiškėjo vykdoma veikla (-</w:t>
            </w:r>
            <w:proofErr w:type="spellStart"/>
            <w:r w:rsidRPr="00DA4937">
              <w:rPr>
                <w:rFonts w:ascii="Times New Roman" w:hAnsi="Times New Roman"/>
                <w:sz w:val="24"/>
              </w:rPr>
              <w:t>os</w:t>
            </w:r>
            <w:proofErr w:type="spellEnd"/>
            <w:r w:rsidRPr="00DA4937">
              <w:rPr>
                <w:rFonts w:ascii="Times New Roman" w:hAnsi="Times New Roman"/>
                <w:sz w:val="24"/>
              </w:rPr>
              <w:t>) pagal EVRK 2 red.</w:t>
            </w:r>
            <w:r>
              <w:rPr>
                <w:rFonts w:ascii="Times New Roman" w:hAnsi="Times New Roman"/>
                <w:sz w:val="24"/>
              </w:rPr>
              <w:t xml:space="preserve"> (paskutinių finansinių metų duomenys) (jeigu vykdomos kelios veiklos, reikia nurodyti pasidalijimą procentais pagal paskutinių finansinių metų metines pardavimo pajamas).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0079C9" w:rsidRDefault="006F7209" w:rsidP="001343D3">
            <w:pPr>
              <w:rPr>
                <w:rFonts w:ascii="Times New Roman" w:hAnsi="Times New Roman"/>
                <w:i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Veikla</w:t>
            </w:r>
            <w:r>
              <w:rPr>
                <w:rFonts w:ascii="Times New Roman" w:hAnsi="Times New Roman"/>
                <w:i/>
                <w:sz w:val="24"/>
              </w:rPr>
              <w:t xml:space="preserve"> Nr.1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0079C9" w:rsidRDefault="006F7209" w:rsidP="001343D3">
            <w:pPr>
              <w:rPr>
                <w:rFonts w:ascii="Times New Roman" w:hAnsi="Times New Roman"/>
                <w:i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6F7209" w:rsidRPr="00DA4937" w:rsidTr="001343D3">
        <w:trPr>
          <w:trHeight w:val="40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6F7209">
            <w:pPr>
              <w:numPr>
                <w:ilvl w:val="1"/>
                <w:numId w:val="1"/>
              </w:numPr>
              <w:tabs>
                <w:tab w:val="left" w:pos="41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Veikla</w:t>
            </w:r>
            <w:r>
              <w:rPr>
                <w:rFonts w:ascii="Times New Roman" w:hAnsi="Times New Roman"/>
                <w:i/>
                <w:sz w:val="24"/>
              </w:rPr>
              <w:t xml:space="preserve"> Nr.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6F7209" w:rsidRPr="00DA4937" w:rsidTr="001343D3">
        <w:trPr>
          <w:trHeight w:val="363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6F7209">
            <w:pPr>
              <w:numPr>
                <w:ilvl w:val="1"/>
                <w:numId w:val="1"/>
              </w:numPr>
              <w:tabs>
                <w:tab w:val="left" w:pos="41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Veikla</w:t>
            </w:r>
            <w:r>
              <w:rPr>
                <w:rFonts w:ascii="Times New Roman" w:hAnsi="Times New Roman"/>
                <w:i/>
                <w:sz w:val="24"/>
              </w:rPr>
              <w:t xml:space="preserve"> Nr.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 w:rsidRPr="000079C9">
              <w:rPr>
                <w:rFonts w:ascii="Times New Roman" w:hAnsi="Times New Roman"/>
                <w:i/>
                <w:sz w:val="24"/>
              </w:rPr>
              <w:t>Procentas</w:t>
            </w:r>
          </w:p>
        </w:tc>
      </w:tr>
      <w:tr w:rsidR="006F7209" w:rsidRPr="00DA4937" w:rsidTr="001343D3">
        <w:trPr>
          <w:trHeight w:val="412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6F7209">
            <w:pPr>
              <w:numPr>
                <w:ilvl w:val="1"/>
                <w:numId w:val="1"/>
              </w:numPr>
              <w:tabs>
                <w:tab w:val="left" w:pos="41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6F7209" w:rsidRPr="00DA4937" w:rsidTr="001343D3">
        <w:trPr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6F7209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Kiek procentų pareiškėjo bendrų pardavimų struktūroje sudaro paties pareiškėjo pagamintos produkcijos pardavimai?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DA4937" w:rsidRDefault="006F7209" w:rsidP="001343D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F7209" w:rsidRPr="00DA4937" w:rsidRDefault="006F7209" w:rsidP="006F7209">
      <w:pPr>
        <w:rPr>
          <w:rFonts w:ascii="Times New Roman" w:hAnsi="Times New Roman"/>
          <w:sz w:val="24"/>
        </w:rPr>
      </w:pPr>
    </w:p>
    <w:p w:rsidR="006F7209" w:rsidRPr="00A703EF" w:rsidRDefault="006F7209" w:rsidP="006F7209">
      <w:pPr>
        <w:widowControl w:val="0"/>
        <w:adjustRightInd w:val="0"/>
        <w:ind w:firstLine="0"/>
        <w:contextualSpacing/>
        <w:jc w:val="both"/>
        <w:textAlignment w:val="base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Pr="00A703EF">
        <w:rPr>
          <w:rFonts w:ascii="Times New Roman" w:hAnsi="Times New Roman"/>
          <w:b/>
          <w:sz w:val="24"/>
        </w:rPr>
        <w:t xml:space="preserve">Projekto poveikis įmonės darbo našumo augimui: </w:t>
      </w:r>
    </w:p>
    <w:p w:rsidR="006F7209" w:rsidRPr="00A703EF" w:rsidRDefault="006F7209" w:rsidP="006F7209">
      <w:pPr>
        <w:widowControl w:val="0"/>
        <w:adjustRightInd w:val="0"/>
        <w:jc w:val="both"/>
        <w:textAlignment w:val="baseline"/>
        <w:rPr>
          <w:rFonts w:ascii="Times New Roman" w:hAnsi="Times New Roman"/>
          <w:b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1417"/>
        <w:gridCol w:w="1418"/>
        <w:gridCol w:w="1417"/>
      </w:tblGrid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Paraiškos pateikimo metais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Cs w:val="20"/>
              </w:rPr>
            </w:pPr>
            <w:r w:rsidRPr="00A703EF">
              <w:rPr>
                <w:rFonts w:ascii="Times New Roman" w:hAnsi="Times New Roman"/>
                <w:szCs w:val="20"/>
              </w:rPr>
              <w:t>(pagal su paraiška pateiktų paskutinių finansinių metų patvirtintos</w:t>
            </w:r>
            <w:r>
              <w:rPr>
                <w:rFonts w:ascii="Times New Roman" w:hAnsi="Times New Roman"/>
                <w:szCs w:val="20"/>
              </w:rPr>
              <w:t xml:space="preserve"> metinės</w:t>
            </w:r>
            <w:r w:rsidRPr="00A703EF">
              <w:rPr>
                <w:rFonts w:ascii="Times New Roman" w:hAnsi="Times New Roman"/>
                <w:szCs w:val="20"/>
              </w:rPr>
              <w:t xml:space="preserve"> finansinės atskaitomybės dokumentų duomenis (jei paskutinių finansinių metų </w:t>
            </w:r>
            <w:r>
              <w:rPr>
                <w:rFonts w:ascii="Times New Roman" w:hAnsi="Times New Roman"/>
                <w:szCs w:val="20"/>
              </w:rPr>
              <w:t xml:space="preserve">metinė finansinė </w:t>
            </w:r>
            <w:r w:rsidRPr="00A703EF">
              <w:rPr>
                <w:rFonts w:ascii="Times New Roman" w:hAnsi="Times New Roman"/>
                <w:szCs w:val="20"/>
              </w:rPr>
              <w:t xml:space="preserve">atskaitomybė dar nėra patvirtinta, tuomet darbo našumas pagal įmonės vadovo pasirašytą paskutinių finansinių metų </w:t>
            </w:r>
            <w:r>
              <w:rPr>
                <w:rFonts w:ascii="Times New Roman" w:hAnsi="Times New Roman"/>
                <w:szCs w:val="20"/>
              </w:rPr>
              <w:t xml:space="preserve">metinę </w:t>
            </w:r>
            <w:r w:rsidRPr="00A703EF">
              <w:rPr>
                <w:rFonts w:ascii="Times New Roman" w:hAnsi="Times New Roman"/>
                <w:szCs w:val="20"/>
              </w:rPr>
              <w:t>finansinę atskaitomybę)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Cs w:val="20"/>
              </w:rPr>
            </w:pPr>
            <w:r w:rsidRPr="00A703EF">
              <w:rPr>
                <w:rFonts w:ascii="Times New Roman" w:hAnsi="Times New Roman"/>
                <w:sz w:val="24"/>
              </w:rPr>
              <w:t>(2014 m.)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N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  <w:szCs w:val="20"/>
              </w:rPr>
            </w:pPr>
            <w:r w:rsidRPr="00A703EF">
              <w:rPr>
                <w:rFonts w:ascii="Times New Roman" w:hAnsi="Times New Roman"/>
                <w:sz w:val="24"/>
              </w:rPr>
              <w:t>(</w:t>
            </w:r>
            <w:r w:rsidRPr="00A703EF">
              <w:rPr>
                <w:rFonts w:ascii="Times New Roman" w:hAnsi="Times New Roman"/>
                <w:sz w:val="24"/>
                <w:szCs w:val="20"/>
              </w:rPr>
              <w:t xml:space="preserve">projekto </w:t>
            </w:r>
            <w:proofErr w:type="spellStart"/>
            <w:r w:rsidRPr="00A703EF">
              <w:rPr>
                <w:rFonts w:ascii="Times New Roman" w:hAnsi="Times New Roman"/>
                <w:sz w:val="24"/>
                <w:szCs w:val="20"/>
              </w:rPr>
              <w:t>įgyvendi</w:t>
            </w: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 w:rsidRPr="00A703EF">
              <w:rPr>
                <w:rFonts w:ascii="Times New Roman" w:hAnsi="Times New Roman"/>
                <w:sz w:val="24"/>
                <w:szCs w:val="20"/>
              </w:rPr>
              <w:t>nimo</w:t>
            </w:r>
            <w:proofErr w:type="spellEnd"/>
            <w:r w:rsidRPr="00A703EF">
              <w:rPr>
                <w:rFonts w:ascii="Times New Roman" w:hAnsi="Times New Roman"/>
                <w:sz w:val="24"/>
                <w:szCs w:val="20"/>
              </w:rPr>
              <w:t xml:space="preserve"> pabaigos metai)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  <w:szCs w:val="20"/>
              </w:rPr>
              <w:t>(201....)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N+1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(201....)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N+2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(201....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N+3</w:t>
            </w:r>
          </w:p>
          <w:p w:rsidR="006F7209" w:rsidRPr="00A703EF" w:rsidRDefault="006F7209" w:rsidP="001343D3">
            <w:pPr>
              <w:tabs>
                <w:tab w:val="left" w:pos="1296"/>
              </w:tabs>
              <w:ind w:firstLine="0"/>
              <w:rPr>
                <w:rFonts w:ascii="Times New Roman" w:hAnsi="Times New Roman"/>
                <w:sz w:val="24"/>
              </w:rPr>
            </w:pPr>
            <w:r w:rsidRPr="00A703EF">
              <w:rPr>
                <w:rFonts w:ascii="Times New Roman" w:hAnsi="Times New Roman"/>
                <w:sz w:val="24"/>
              </w:rPr>
              <w:t>(201....)</w:t>
            </w: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widowControl w:val="0"/>
              <w:tabs>
                <w:tab w:val="left" w:pos="460"/>
              </w:tabs>
              <w:adjustRightInd w:val="0"/>
              <w:ind w:left="-57" w:right="-57" w:firstLine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703EF">
              <w:rPr>
                <w:rFonts w:ascii="Times New Roman" w:hAnsi="Times New Roman"/>
                <w:sz w:val="24"/>
              </w:rPr>
              <w:t>.1. Išlaidos personalui (</w:t>
            </w:r>
            <w:proofErr w:type="spellStart"/>
            <w:r w:rsidRPr="00A703EF">
              <w:rPr>
                <w:rFonts w:ascii="Times New Roman" w:hAnsi="Times New Roman"/>
                <w:sz w:val="24"/>
              </w:rPr>
              <w:t>Eur</w:t>
            </w:r>
            <w:proofErr w:type="spellEnd"/>
            <w:r w:rsidRPr="00A703E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widowControl w:val="0"/>
              <w:tabs>
                <w:tab w:val="left" w:pos="460"/>
              </w:tabs>
              <w:adjustRightInd w:val="0"/>
              <w:ind w:left="-57" w:right="-57" w:firstLine="0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703EF">
              <w:rPr>
                <w:rFonts w:ascii="Times New Roman" w:hAnsi="Times New Roman"/>
                <w:sz w:val="24"/>
              </w:rPr>
              <w:t xml:space="preserve">.2. Nusidėvėjimo </w:t>
            </w:r>
            <w:r w:rsidRPr="00A703EF">
              <w:rPr>
                <w:rFonts w:ascii="Times New Roman" w:hAnsi="Times New Roman"/>
                <w:sz w:val="24"/>
              </w:rPr>
              <w:lastRenderedPageBreak/>
              <w:t>išlaidos (</w:t>
            </w:r>
            <w:proofErr w:type="spellStart"/>
            <w:r w:rsidRPr="00A703EF">
              <w:rPr>
                <w:rFonts w:ascii="Times New Roman" w:hAnsi="Times New Roman"/>
                <w:sz w:val="24"/>
              </w:rPr>
              <w:t>Eur</w:t>
            </w:r>
            <w:proofErr w:type="spellEnd"/>
            <w:r w:rsidRPr="00A703E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widowControl w:val="0"/>
              <w:tabs>
                <w:tab w:val="left" w:pos="460"/>
              </w:tabs>
              <w:adjustRightInd w:val="0"/>
              <w:ind w:left="-57" w:right="-57" w:firstLine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 w:rsidRPr="00A703EF">
              <w:rPr>
                <w:rFonts w:ascii="Times New Roman" w:hAnsi="Times New Roman"/>
                <w:sz w:val="24"/>
              </w:rPr>
              <w:t>.3. Tipinės veiklos pelnas (</w:t>
            </w:r>
            <w:proofErr w:type="spellStart"/>
            <w:r w:rsidRPr="00A703EF">
              <w:rPr>
                <w:rFonts w:ascii="Times New Roman" w:hAnsi="Times New Roman"/>
                <w:sz w:val="24"/>
              </w:rPr>
              <w:t>Eur</w:t>
            </w:r>
            <w:proofErr w:type="spellEnd"/>
            <w:r w:rsidRPr="00A703E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widowControl w:val="0"/>
              <w:tabs>
                <w:tab w:val="left" w:pos="460"/>
              </w:tabs>
              <w:adjustRightInd w:val="0"/>
              <w:ind w:left="-57" w:right="-57" w:firstLine="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703EF">
              <w:rPr>
                <w:rFonts w:ascii="Times New Roman" w:hAnsi="Times New Roman"/>
                <w:sz w:val="24"/>
              </w:rPr>
              <w:t>.4. Visų darbuotojų dirbtų valandų skaičius per metus (val.)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7209" w:rsidRPr="00A703EF" w:rsidRDefault="006F7209" w:rsidP="001343D3">
            <w:pPr>
              <w:tabs>
                <w:tab w:val="left" w:pos="1296"/>
              </w:tabs>
              <w:ind w:left="-57" w:right="-5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703EF">
              <w:rPr>
                <w:rFonts w:ascii="Times New Roman" w:hAnsi="Times New Roman"/>
                <w:sz w:val="24"/>
              </w:rPr>
              <w:t>.5. Darbo našumas (</w:t>
            </w:r>
            <w:proofErr w:type="spellStart"/>
            <w:r w:rsidRPr="00A703EF">
              <w:rPr>
                <w:rFonts w:ascii="Times New Roman" w:hAnsi="Times New Roman"/>
                <w:sz w:val="24"/>
              </w:rPr>
              <w:t>Eur</w:t>
            </w:r>
            <w:proofErr w:type="spellEnd"/>
            <w:r w:rsidRPr="00A703EF">
              <w:rPr>
                <w:rFonts w:ascii="Times New Roman" w:hAnsi="Times New Roman"/>
                <w:sz w:val="24"/>
              </w:rPr>
              <w:t xml:space="preserve"> už val.)</w:t>
            </w:r>
          </w:p>
          <w:p w:rsidR="006F7209" w:rsidRPr="00112FE7" w:rsidRDefault="006F7209" w:rsidP="001343D3">
            <w:pPr>
              <w:tabs>
                <w:tab w:val="left" w:pos="1296"/>
              </w:tabs>
              <w:ind w:left="-57" w:right="-57" w:firstLine="0"/>
              <w:rPr>
                <w:rFonts w:ascii="Times New Roman" w:hAnsi="Times New Roman"/>
                <w:sz w:val="24"/>
              </w:rPr>
            </w:pPr>
            <w:r w:rsidRPr="00112FE7">
              <w:rPr>
                <w:rFonts w:ascii="Times New Roman" w:hAnsi="Times New Roman"/>
                <w:b/>
                <w:sz w:val="24"/>
              </w:rPr>
              <w:t>Darbo našumas</w:t>
            </w:r>
            <w:r w:rsidRPr="00112FE7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12FE7">
              <w:rPr>
                <w:rFonts w:ascii="Times New Roman" w:hAnsi="Times New Roman"/>
                <w:sz w:val="24"/>
              </w:rPr>
              <w:t>(2.1+2.2+2.3)/2.4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</w:tr>
      <w:tr w:rsidR="006F7209" w:rsidRPr="00A703EF" w:rsidTr="001343D3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ind w:left="-57" w:right="-5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703EF">
              <w:rPr>
                <w:rFonts w:ascii="Times New Roman" w:hAnsi="Times New Roman"/>
                <w:sz w:val="24"/>
              </w:rPr>
              <w:t xml:space="preserve">.6. </w:t>
            </w:r>
            <w:r>
              <w:rPr>
                <w:rFonts w:ascii="Times New Roman" w:hAnsi="Times New Roman"/>
                <w:sz w:val="24"/>
              </w:rPr>
              <w:t>Darbo našumo a</w:t>
            </w:r>
            <w:r w:rsidRPr="00A703EF">
              <w:rPr>
                <w:rFonts w:ascii="Times New Roman" w:hAnsi="Times New Roman"/>
                <w:sz w:val="24"/>
              </w:rPr>
              <w:t>ugimas procentais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209" w:rsidRPr="00A703EF" w:rsidRDefault="006F7209" w:rsidP="001343D3">
            <w:pPr>
              <w:tabs>
                <w:tab w:val="left" w:pos="1296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6F7209" w:rsidRDefault="006F7209" w:rsidP="006F7209">
      <w:pPr>
        <w:jc w:val="both"/>
        <w:rPr>
          <w:rFonts w:ascii="Times New Roman" w:hAnsi="Times New Roman"/>
          <w:b/>
          <w:sz w:val="24"/>
        </w:rPr>
      </w:pPr>
    </w:p>
    <w:p w:rsidR="006F7209" w:rsidRPr="00317299" w:rsidRDefault="006F7209" w:rsidP="006F7209">
      <w:pPr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lang w:val="en-US"/>
        </w:rPr>
        <w:t>Parei</w:t>
      </w:r>
      <w:r>
        <w:rPr>
          <w:rFonts w:ascii="Times New Roman" w:hAnsi="Times New Roman"/>
          <w:b/>
          <w:sz w:val="24"/>
        </w:rPr>
        <w:t>škėjo</w:t>
      </w:r>
      <w:proofErr w:type="spellEnd"/>
      <w:r>
        <w:rPr>
          <w:rFonts w:ascii="Times New Roman" w:hAnsi="Times New Roman"/>
          <w:b/>
          <w:sz w:val="24"/>
        </w:rPr>
        <w:t xml:space="preserve"> akcininkai (nurodomi visi įmonės akcininkai, valdantys </w:t>
      </w:r>
      <w:r w:rsidRPr="009E5F64">
        <w:rPr>
          <w:rFonts w:ascii="Times New Roman" w:hAnsi="Times New Roman"/>
          <w:b/>
          <w:sz w:val="24"/>
        </w:rPr>
        <w:t>10 ir daugiau</w:t>
      </w:r>
      <w:r>
        <w:rPr>
          <w:rFonts w:ascii="Times New Roman" w:hAnsi="Times New Roman"/>
          <w:b/>
          <w:sz w:val="24"/>
        </w:rPr>
        <w:t xml:space="preserve"> procentų įmonės akcijų):</w:t>
      </w:r>
    </w:p>
    <w:p w:rsidR="006F7209" w:rsidRPr="00317299" w:rsidRDefault="006F7209" w:rsidP="006F7209">
      <w:pPr>
        <w:pStyle w:val="Sraopastraipa"/>
        <w:tabs>
          <w:tab w:val="left" w:pos="426"/>
        </w:tabs>
        <w:ind w:left="360"/>
        <w:jc w:val="both"/>
        <w:rPr>
          <w:rFonts w:ascii="Times New Roman" w:hAnsi="Times New Roman"/>
          <w:b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3969"/>
      </w:tblGrid>
      <w:tr w:rsidR="006F7209" w:rsidRPr="00317299" w:rsidTr="001343D3">
        <w:trPr>
          <w:trHeight w:val="259"/>
        </w:trPr>
        <w:tc>
          <w:tcPr>
            <w:tcW w:w="675" w:type="dxa"/>
            <w:shd w:val="clear" w:color="auto" w:fill="E6E6E6"/>
          </w:tcPr>
          <w:p w:rsidR="006F7209" w:rsidRPr="00317299" w:rsidRDefault="006F7209" w:rsidP="001343D3">
            <w:pPr>
              <w:ind w:right="-108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</w:t>
            </w:r>
            <w:r w:rsidRPr="00317299">
              <w:rPr>
                <w:rFonts w:ascii="Times New Roman" w:hAnsi="Times New Roman"/>
                <w:bCs/>
                <w:sz w:val="24"/>
              </w:rPr>
              <w:t>ilės Nr.</w:t>
            </w:r>
          </w:p>
        </w:tc>
        <w:tc>
          <w:tcPr>
            <w:tcW w:w="5103" w:type="dxa"/>
            <w:shd w:val="clear" w:color="auto" w:fill="E6E6E6"/>
          </w:tcPr>
          <w:p w:rsidR="006F7209" w:rsidRPr="00317299" w:rsidRDefault="006F7209" w:rsidP="001343D3">
            <w:pPr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17299">
              <w:rPr>
                <w:rFonts w:ascii="Times New Roman" w:hAnsi="Times New Roman"/>
                <w:bCs/>
                <w:sz w:val="24"/>
              </w:rPr>
              <w:t>Akcininkas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6E6E6"/>
          </w:tcPr>
          <w:p w:rsidR="006F7209" w:rsidRPr="00317299" w:rsidRDefault="006F7209" w:rsidP="001343D3">
            <w:pPr>
              <w:ind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17299">
              <w:rPr>
                <w:rFonts w:ascii="Times New Roman" w:hAnsi="Times New Roman"/>
                <w:bCs/>
                <w:sz w:val="24"/>
              </w:rPr>
              <w:t>Akcijų dalis (procentais)</w:t>
            </w:r>
          </w:p>
        </w:tc>
      </w:tr>
      <w:tr w:rsidR="006F7209" w:rsidRPr="00317299" w:rsidTr="001343D3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209" w:rsidRPr="00317299" w:rsidRDefault="006F7209" w:rsidP="001343D3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317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5103" w:type="dxa"/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F7209" w:rsidRPr="00317299" w:rsidTr="001343D3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209" w:rsidRPr="00317299" w:rsidRDefault="006F7209" w:rsidP="001343D3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31729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5103" w:type="dxa"/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F7209" w:rsidRPr="00317299" w:rsidTr="001343D3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,...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F7209" w:rsidRPr="00317299" w:rsidRDefault="006F7209" w:rsidP="001343D3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6F7209" w:rsidRDefault="006F7209" w:rsidP="006F7209">
      <w:pPr>
        <w:ind w:firstLine="0"/>
        <w:jc w:val="both"/>
        <w:rPr>
          <w:rFonts w:ascii="Times New Roman" w:hAnsi="Times New Roman"/>
          <w:b/>
          <w:sz w:val="24"/>
        </w:rPr>
      </w:pPr>
      <w:r w:rsidRPr="00C60A9E">
        <w:rPr>
          <w:rFonts w:ascii="Times New Roman" w:hAnsi="Times New Roman"/>
          <w:i/>
          <w:sz w:val="24"/>
        </w:rPr>
        <w:t xml:space="preserve">Iki finansavimo skyrimo ar iš Europos Sąjungos struktūrinių fondų lėšų bendrai finansuojamo projekto sutarties sudarymo pasikeitus įmonės akcininkams, </w:t>
      </w:r>
      <w:r>
        <w:rPr>
          <w:rFonts w:ascii="Times New Roman" w:hAnsi="Times New Roman"/>
          <w:i/>
          <w:sz w:val="24"/>
        </w:rPr>
        <w:t xml:space="preserve">viešajai įstaigai Lietuvos verslo paramos agentūrai </w:t>
      </w:r>
      <w:r w:rsidRPr="00C60A9E">
        <w:rPr>
          <w:rFonts w:ascii="Times New Roman" w:hAnsi="Times New Roman"/>
          <w:i/>
          <w:sz w:val="24"/>
        </w:rPr>
        <w:t>pareiškėjas turi pateikti patikslintą informaciją</w:t>
      </w:r>
      <w:r>
        <w:rPr>
          <w:rFonts w:ascii="Times New Roman" w:hAnsi="Times New Roman"/>
          <w:sz w:val="24"/>
        </w:rPr>
        <w:t>.</w:t>
      </w:r>
    </w:p>
    <w:p w:rsidR="006F7209" w:rsidRDefault="006F7209" w:rsidP="006F7209">
      <w:pPr>
        <w:jc w:val="both"/>
        <w:rPr>
          <w:rFonts w:ascii="Times New Roman" w:hAnsi="Times New Roman"/>
          <w:b/>
          <w:sz w:val="24"/>
        </w:rPr>
      </w:pPr>
    </w:p>
    <w:p w:rsidR="006F7209" w:rsidRPr="00DA4937" w:rsidRDefault="006F7209" w:rsidP="006F7209">
      <w:pPr>
        <w:rPr>
          <w:rFonts w:ascii="Times New Roman" w:hAnsi="Times New Roman"/>
          <w:b/>
          <w:sz w:val="24"/>
        </w:rPr>
      </w:pPr>
    </w:p>
    <w:p w:rsidR="006F7209" w:rsidRPr="00DA4937" w:rsidRDefault="006F7209" w:rsidP="006F7209">
      <w:pPr>
        <w:ind w:firstLine="0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>______________________            _________________           ___________________________</w:t>
      </w:r>
    </w:p>
    <w:p w:rsidR="006F7209" w:rsidRPr="00DA4937" w:rsidRDefault="006F7209" w:rsidP="006F7209">
      <w:pPr>
        <w:ind w:firstLine="0"/>
        <w:jc w:val="center"/>
        <w:rPr>
          <w:rFonts w:ascii="Times New Roman" w:hAnsi="Times New Roman"/>
          <w:sz w:val="24"/>
        </w:rPr>
      </w:pPr>
      <w:r w:rsidRPr="00DA4937">
        <w:rPr>
          <w:rFonts w:ascii="Times New Roman" w:hAnsi="Times New Roman"/>
          <w:sz w:val="24"/>
        </w:rPr>
        <w:t xml:space="preserve">(vadovo pareigos)                            (parašas) </w:t>
      </w:r>
      <w:r w:rsidRPr="00DA4937">
        <w:rPr>
          <w:rFonts w:ascii="Times New Roman" w:hAnsi="Times New Roman"/>
          <w:sz w:val="24"/>
        </w:rPr>
        <w:tab/>
        <w:t xml:space="preserve">                   </w:t>
      </w:r>
      <w:r w:rsidRPr="00DA4937">
        <w:rPr>
          <w:rFonts w:ascii="Times New Roman" w:hAnsi="Times New Roman"/>
          <w:sz w:val="24"/>
        </w:rPr>
        <w:tab/>
        <w:t>(vardas ir pavardė)</w:t>
      </w:r>
    </w:p>
    <w:p w:rsidR="006F7209" w:rsidRPr="00DA4937" w:rsidRDefault="006F7209" w:rsidP="006F7209">
      <w:pPr>
        <w:jc w:val="center"/>
        <w:rPr>
          <w:rFonts w:ascii="Times New Roman" w:hAnsi="Times New Roman"/>
          <w:sz w:val="24"/>
        </w:rPr>
      </w:pPr>
    </w:p>
    <w:p w:rsidR="006F7209" w:rsidRPr="00DA4937" w:rsidRDefault="006F7209" w:rsidP="006F7209">
      <w:pPr>
        <w:ind w:firstLine="851"/>
        <w:jc w:val="both"/>
        <w:rPr>
          <w:rFonts w:ascii="Times New Roman" w:hAnsi="Times New Roman"/>
          <w:sz w:val="24"/>
        </w:rPr>
      </w:pPr>
    </w:p>
    <w:p w:rsidR="006F7209" w:rsidRDefault="006F7209" w:rsidP="006F7209"/>
    <w:p w:rsidR="00BB7CC4" w:rsidRDefault="00BB7CC4">
      <w:bookmarkStart w:id="0" w:name="_GoBack"/>
      <w:bookmarkEnd w:id="0"/>
    </w:p>
    <w:sectPr w:rsidR="00BB7C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36"/>
    <w:rsid w:val="006F7209"/>
    <w:rsid w:val="00A05136"/>
    <w:rsid w:val="00B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0011-BBC6-457E-8DAA-820878A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7209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1589</Words>
  <Characters>907</Characters>
  <Application>Microsoft Office Word</Application>
  <DocSecurity>0</DocSecurity>
  <Lines>7</Lines>
  <Paragraphs>4</Paragraphs>
  <ScaleCrop>false</ScaleCrop>
  <Company>LVPA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Petrulevicius Deividas</dc:creator>
  <cp:keywords/>
  <dc:description/>
  <cp:lastModifiedBy>Petrulevicius Deividas</cp:lastModifiedBy>
  <cp:revision>2</cp:revision>
  <dcterms:created xsi:type="dcterms:W3CDTF">2015-07-31T04:37:00Z</dcterms:created>
  <dcterms:modified xsi:type="dcterms:W3CDTF">2015-07-31T04:37:00Z</dcterms:modified>
</cp:coreProperties>
</file>