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3" Type="http://schemas.openxmlformats.org/officeDocument/2006/relationships/extended-properties" Target="docProps/app.xml"/>
  <Relationship Id="rId4" Type="http://schemas.openxmlformats.org/package/2006/relationships/metadata/core-properties" Target="docProps/core.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taisx="http://lrs.lt/TAIS/DocPartXmlMarks" mc:Ignorable="w14 wp14">
  <w:body>
    <w:p>
      <w:pPr>
        <w:tabs>
          <w:tab w:val="center" w:pos="4153"/>
          <w:tab w:val="right" w:pos="9100"/>
        </w:tabs>
        <w:suppressAutoHyphens/>
        <w:rPr>
          <w:rFonts w:ascii="Tahoma" w:hAnsi="Tahoma"/>
          <w:spacing w:val="10"/>
          <w:sz w:val="20"/>
          <w:lang w:eastAsia="lt-LT"/>
        </w:rPr>
      </w:pPr>
    </w:p>
    <w:p>
      <w:pPr>
        <w:tabs>
          <w:tab w:val="center" w:pos="4153"/>
          <w:tab w:val="left" w:pos="7013"/>
          <w:tab w:val="left" w:pos="7288"/>
          <w:tab w:val="right" w:pos="9100"/>
          <w:tab w:val="right" w:pos="9639"/>
        </w:tabs>
        <w:suppressAutoHyphens/>
        <w:ind w:firstLine="7199"/>
        <w:rPr>
          <w:b/>
          <w:color w:val="000000"/>
          <w:spacing w:val="10"/>
          <w:szCs w:val="24"/>
          <w:lang w:eastAsia="lt-LT"/>
        </w:rPr>
      </w:pPr>
      <w:r>
        <w:rPr>
          <w:b/>
          <w:color w:val="000000"/>
          <w:spacing w:val="10"/>
          <w:szCs w:val="24"/>
          <w:lang w:eastAsia="lt-LT"/>
        </w:rPr>
        <w:t>Projektas</w:t>
      </w:r>
    </w:p>
    <w:p>
      <w:pPr>
        <w:tabs>
          <w:tab w:val="center" w:pos="4153"/>
          <w:tab w:val="right" w:pos="8306"/>
        </w:tabs>
        <w:suppressAutoHyphens/>
        <w:rPr>
          <w:color w:val="000000"/>
          <w:lang w:val="en-GB" w:eastAsia="lt-LT"/>
        </w:rPr>
      </w:pPr>
    </w:p>
    <w:p>
      <w:pPr>
        <w:jc w:val="center"/>
        <w:rPr>
          <w:b/>
          <w:szCs w:val="24"/>
          <w:shd w:val="clear" w:color="auto" w:fill="FFFFFF"/>
        </w:rPr>
      </w:pPr>
      <w:r>
        <w:rPr>
          <w:b/>
          <w:szCs w:val="24"/>
          <w:shd w:val="clear" w:color="auto" w:fill="FFFFFF"/>
        </w:rPr>
        <w:t>LIETUVOS RESPUBLIKO APLINKOS MINISTRAS</w:t>
      </w:r>
    </w:p>
    <w:p>
      <w:pPr>
        <w:jc w:val="center"/>
        <w:rPr>
          <w:b/>
          <w:szCs w:val="24"/>
          <w:shd w:val="clear" w:color="auto" w:fill="FFFFFF"/>
        </w:rPr>
      </w:pPr>
    </w:p>
    <w:p>
      <w:pPr>
        <w:jc w:val="center"/>
        <w:rPr>
          <w:b/>
          <w:szCs w:val="24"/>
          <w:shd w:val="clear" w:color="auto" w:fill="FFFFFF"/>
        </w:rPr>
      </w:pPr>
      <w:r>
        <w:rPr>
          <w:b/>
          <w:szCs w:val="24"/>
          <w:shd w:val="clear" w:color="auto" w:fill="FFFFFF"/>
        </w:rPr>
        <w:t>ĮSAKYMAS</w:t>
      </w:r>
    </w:p>
    <w:p>
      <w:pPr>
        <w:jc w:val="center"/>
        <w:rPr>
          <w:b/>
          <w:szCs w:val="24"/>
          <w:shd w:val="clear" w:color="auto" w:fill="FFFFFF"/>
        </w:rPr>
      </w:pPr>
      <w:r>
        <w:rPr>
          <w:b/>
          <w:szCs w:val="24"/>
          <w:shd w:val="clear" w:color="auto" w:fill="FFFFFF"/>
        </w:rPr>
        <w:t>DĖL LIETUVOS RESPUBLIKOS APLINKOS MINISTRO 2011 M. GRUODŽIO 29 D. ĮSAKYMO NR. D1-1055 „DĖL DAUGIABUČIŲ NAMŲ ATNAUJINIMO (MODERNIZAVIMO) PROGRAMOS ĮGYVENDINIMO STEBĖSENOS TVARKOS APRAŠO PATVIRTINIMO“ PAKEITIMO</w:t>
      </w:r>
    </w:p>
    <w:p>
      <w:pPr>
        <w:suppressAutoHyphens/>
        <w:spacing w:line="360" w:lineRule="auto"/>
        <w:jc w:val="center"/>
        <w:rPr>
          <w:b/>
          <w:color w:val="000000"/>
          <w:lang w:eastAsia="lt-LT"/>
        </w:rPr>
      </w:pPr>
    </w:p>
    <w:p>
      <w:pPr>
        <w:suppressAutoHyphens/>
        <w:jc w:val="center"/>
        <w:rPr>
          <w:szCs w:val="24"/>
          <w:shd w:val="clear" w:color="auto" w:fill="FFFFFF"/>
        </w:rPr>
      </w:pPr>
      <w:r>
        <w:rPr>
          <w:szCs w:val="24"/>
          <w:shd w:val="clear" w:color="auto" w:fill="FFFFFF"/>
        </w:rPr>
        <w:t xml:space="preserve">2021 m.               d. Nr. </w:t>
      </w:r>
    </w:p>
    <w:p>
      <w:pPr>
        <w:suppressAutoHyphens/>
        <w:jc w:val="center"/>
        <w:rPr>
          <w:szCs w:val="24"/>
          <w:shd w:val="clear" w:color="auto" w:fill="FFFFFF"/>
        </w:rPr>
      </w:pPr>
      <w:r>
        <w:rPr>
          <w:szCs w:val="24"/>
          <w:shd w:val="clear" w:color="auto" w:fill="FFFFFF"/>
        </w:rPr>
        <w:t>Vilnius</w:t>
        <w:br/>
      </w:r>
    </w:p>
    <w:p>
      <w:pPr>
        <w:tabs>
          <w:tab w:val="left" w:pos="-1843"/>
        </w:tabs>
        <w:suppressAutoHyphens/>
        <w:spacing w:line="360" w:lineRule="auto"/>
        <w:ind w:firstLine="567"/>
        <w:jc w:val="both"/>
        <w:rPr>
          <w:szCs w:val="24"/>
          <w:shd w:val="clear" w:color="auto" w:fill="FFFFFF"/>
        </w:rPr>
      </w:pPr>
      <w:r>
        <w:rPr>
          <w:szCs w:val="24"/>
          <w:shd w:val="clear" w:color="auto" w:fill="FFFFFF"/>
        </w:rPr>
        <w:t>1</w:t>
      </w:r>
      <w:r>
        <w:rPr>
          <w:szCs w:val="24"/>
          <w:shd w:val="clear" w:color="auto" w:fill="FFFFFF"/>
        </w:rPr>
        <w:t>. P a k e i č i u Daugiabučių namų atnaujinimo (modernizavimo) programos įgyvendinimo stebėsenos tvarkos aprašą, patvirtintą Lietuvos Respublikos aplinkos ministro 2011 m. gruodžio 29 d. įsakymu Nr. D1-1055 „Dėl Daugiabučių namų atnaujinimo (modernizavimo) programos įgyvendinimo stebėsenos tvarkos aprašo patvirtinimo“, ir 4 punktą išdėstau taip:</w:t>
      </w:r>
    </w:p>
    <w:p>
      <w:pPr>
        <w:tabs>
          <w:tab w:val="left" w:pos="-1843"/>
        </w:tabs>
        <w:suppressAutoHyphens/>
        <w:spacing w:line="360" w:lineRule="auto"/>
        <w:ind w:firstLine="567"/>
        <w:jc w:val="both"/>
        <w:rPr>
          <w:szCs w:val="24"/>
          <w:shd w:val="clear" w:color="auto" w:fill="FFFFFF"/>
        </w:rPr>
      </w:pPr>
      <w:r>
        <w:rPr>
          <w:szCs w:val="24"/>
          <w:shd w:val="clear" w:color="auto" w:fill="FFFFFF"/>
        </w:rPr>
        <w:t>„</w:t>
      </w:r>
      <w:r>
        <w:rPr>
          <w:szCs w:val="24"/>
          <w:shd w:val="clear" w:color="auto" w:fill="FFFFFF"/>
        </w:rPr>
        <w:t>4</w:t>
      </w:r>
      <w:r>
        <w:rPr>
          <w:szCs w:val="24"/>
          <w:shd w:val="clear" w:color="auto" w:fill="FFFFFF"/>
        </w:rPr>
        <w:t>. Programos stebėseną organizuoja ir vykdo, rengia jos ataskaitas ir teikia Tvarkos aprašo nustatyta tvarka Aplinkos ministerijai ir Energetikos ministerijai Lietuvos Respublikos aplinkos ministerijos Aplinkos projektų valdymo agentūra (toliau ‒ Agentūra). Stebėsena finansuojama iš Aplinkos ministerijos strateginiame veiklos plane numatytų biudžetinių asignavimų Daugiabučių namų atnaujinimo (modernizavimo) programai įgyvendinti, Europos Sąjungos struktūrinių fondų ir kitų lėšų.“</w:t>
      </w:r>
    </w:p>
    <w:p>
      <w:pPr>
        <w:tabs>
          <w:tab w:val="left" w:pos="-1843"/>
        </w:tabs>
        <w:suppressAutoHyphens/>
        <w:spacing w:line="360" w:lineRule="auto"/>
        <w:ind w:firstLine="567"/>
        <w:jc w:val="both"/>
        <w:rPr>
          <w:szCs w:val="24"/>
          <w:shd w:val="clear" w:color="auto" w:fill="FFFFFF"/>
        </w:rPr>
      </w:pPr>
      <w:r>
        <w:rPr>
          <w:szCs w:val="24"/>
          <w:shd w:val="clear" w:color="auto" w:fill="FFFFFF"/>
        </w:rPr>
        <w:t>2</w:t>
      </w:r>
      <w:r>
        <w:rPr>
          <w:szCs w:val="24"/>
          <w:shd w:val="clear" w:color="auto" w:fill="FFFFFF"/>
        </w:rPr>
        <w:t>. N u s t a t a u, kad šis įsakymas įsigalioja 2021 m. lapkričio 1 d.</w:t>
      </w:r>
    </w:p>
    <w:p>
      <w:pPr>
        <w:suppressAutoHyphens/>
        <w:jc w:val="center"/>
        <w:rPr>
          <w:szCs w:val="24"/>
          <w:shd w:val="clear" w:color="auto" w:fill="FFFFFF"/>
        </w:rPr>
      </w:pPr>
    </w:p>
    <w:p>
      <w:pPr>
        <w:suppressAutoHyphens/>
        <w:jc w:val="center"/>
        <w:rPr>
          <w:szCs w:val="24"/>
          <w:shd w:val="clear" w:color="auto" w:fill="FFFFFF"/>
        </w:rPr>
      </w:pPr>
    </w:p>
    <w:tbl>
      <w:tblPr>
        <w:tblW w:w="9643" w:type="dxa"/>
        <w:tblInd w:w="8" w:type="dxa"/>
        <w:tblLayout w:type="fixed"/>
        <w:tblCellMar>
          <w:left w:w="0" w:type="dxa"/>
          <w:right w:w="0" w:type="dxa"/>
        </w:tblCellMar>
        <w:tblLook w:val="0000" w:firstRow="0" w:lastRow="0" w:firstColumn="0" w:lastColumn="0" w:noHBand="0" w:noVBand="0"/>
      </w:tblPr>
      <w:tblGrid>
        <w:gridCol w:w="4817"/>
        <w:gridCol w:w="4679"/>
        <w:gridCol w:w="147"/>
      </w:tblGrid>
      <w:tr>
        <w:trPr>
          <w:trHeight w:val="340"/>
        </w:trPr>
        <w:tc>
          <w:tcPr>
            <w:tcW w:w="4817" w:type="dxa"/>
            <w:vAlign w:val="bottom"/>
          </w:tcPr>
          <w:p>
            <w:pPr>
              <w:suppressLineNumbers/>
              <w:suppressAutoHyphens/>
              <w:rPr>
                <w:szCs w:val="24"/>
                <w:shd w:val="clear" w:color="auto" w:fill="FFFFFF"/>
              </w:rPr>
            </w:pPr>
            <w:r>
              <w:rPr>
                <w:szCs w:val="24"/>
                <w:shd w:val="clear" w:color="auto" w:fill="FFFFFF"/>
              </w:rPr>
              <w:t>Aplinkos ministras</w:t>
            </w:r>
          </w:p>
        </w:tc>
        <w:tc>
          <w:tcPr>
            <w:tcW w:w="4826" w:type="dxa"/>
            <w:gridSpan w:val="2"/>
            <w:vAlign w:val="bottom"/>
          </w:tcPr>
          <w:p>
            <w:pPr>
              <w:suppressAutoHyphens/>
              <w:ind w:right="34"/>
              <w:jc w:val="right"/>
              <w:rPr>
                <w:szCs w:val="24"/>
                <w:shd w:val="clear" w:color="auto" w:fill="FFFFFF"/>
              </w:rPr>
            </w:pPr>
          </w:p>
        </w:tc>
      </w:tr>
      <w:tr>
        <w:trPr>
          <w:gridAfter w:val="1"/>
          <w:wAfter w:w="147" w:type="dxa"/>
          <w:trHeight w:val="297"/>
        </w:trPr>
        <w:tc>
          <w:tcPr>
            <w:tcW w:w="4817" w:type="dxa"/>
            <w:vAlign w:val="bottom"/>
          </w:tcPr>
          <w:p>
            <w:pPr>
              <w:suppressAutoHyphens/>
              <w:rPr>
                <w:szCs w:val="24"/>
                <w:shd w:val="clear" w:color="auto" w:fill="FFFFFF"/>
              </w:rPr>
            </w:pPr>
          </w:p>
        </w:tc>
        <w:tc>
          <w:tcPr>
            <w:tcW w:w="4679" w:type="dxa"/>
            <w:vAlign w:val="bottom"/>
          </w:tcPr>
          <w:p>
            <w:pPr>
              <w:suppressAutoHyphens/>
              <w:ind w:right="34"/>
              <w:jc w:val="right"/>
              <w:rPr>
                <w:szCs w:val="24"/>
                <w:shd w:val="clear" w:color="auto" w:fill="FFFFFF"/>
              </w:rPr>
            </w:pPr>
          </w:p>
        </w:tc>
      </w:tr>
    </w:tbl>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rPr>
          <w:lang w:eastAsia="lt-LT"/>
        </w:rPr>
      </w:pPr>
    </w:p>
    <w:p>
      <w:pPr>
        <w:suppressAutoHyphens/>
        <w:ind w:left="5670"/>
        <w:rPr>
          <w:lang w:eastAsia="lt-LT"/>
        </w:rPr>
      </w:pPr>
    </w:p>
    <w:p>
      <w:pPr>
        <w:ind w:left="5670"/>
        <w:rPr>
          <w:lang w:eastAsia="lt-LT"/>
        </w:rPr>
      </w:pPr>
    </w:p>
    <w:p>
      <w:pPr>
        <w:ind w:left="5670"/>
        <w:rPr>
          <w:lang w:eastAsia="lt-LT"/>
        </w:rPr>
      </w:pPr>
    </w:p>
    <w:p>
      <w:pPr>
        <w:ind w:left="5670"/>
        <w:rPr>
          <w:lang w:eastAsia="lt-LT"/>
        </w:rPr>
      </w:pPr>
    </w:p>
    <w:p>
      <w:pPr>
        <w:ind w:left="5670"/>
        <w:rPr>
          <w:lang w:eastAsia="lt-LT"/>
        </w:rPr>
      </w:pPr>
    </w:p>
    <w:p>
      <w:pPr>
        <w:ind w:left="5670"/>
        <w:rPr>
          <w:color w:val="000000"/>
          <w:szCs w:val="24"/>
          <w:lang w:eastAsia="lt-LT"/>
        </w:rPr>
      </w:pPr>
      <w:r>
        <w:rPr>
          <w:color w:val="000000"/>
          <w:szCs w:val="24"/>
          <w:lang w:eastAsia="lt-LT"/>
        </w:rPr>
        <w:t>PATVIRTINTA</w:t>
      </w:r>
    </w:p>
    <w:p>
      <w:pPr>
        <w:ind w:left="5670"/>
        <w:rPr>
          <w:color w:val="000000"/>
          <w:szCs w:val="24"/>
          <w:lang w:eastAsia="lt-LT"/>
        </w:rPr>
      </w:pPr>
      <w:r>
        <w:rPr>
          <w:color w:val="000000"/>
          <w:szCs w:val="24"/>
          <w:lang w:eastAsia="lt-LT"/>
        </w:rPr>
        <w:t>Lietuvos Respublikos aplinkos ministro</w:t>
      </w:r>
    </w:p>
    <w:p>
      <w:pPr>
        <w:ind w:left="5670"/>
        <w:rPr>
          <w:color w:val="000000"/>
          <w:szCs w:val="24"/>
          <w:lang w:eastAsia="lt-LT"/>
        </w:rPr>
      </w:pPr>
      <w:r>
        <w:rPr>
          <w:color w:val="000000"/>
          <w:szCs w:val="24"/>
          <w:lang w:eastAsia="lt-LT"/>
        </w:rPr>
        <w:t xml:space="preserve">2011 m. gruodžio 29 d. įsakymu </w:t>
      </w:r>
    </w:p>
    <w:p>
      <w:pPr>
        <w:ind w:left="5670"/>
        <w:rPr>
          <w:color w:val="000000"/>
          <w:szCs w:val="24"/>
          <w:lang w:eastAsia="lt-LT"/>
        </w:rPr>
      </w:pPr>
      <w:r>
        <w:rPr>
          <w:color w:val="000000"/>
          <w:szCs w:val="24"/>
          <w:lang w:eastAsia="lt-LT"/>
        </w:rPr>
        <w:t xml:space="preserve">Nr. D1-1055 (Lietuvos Respublikos aplinkos ministro 2020 m. </w:t>
        <w:tab/>
        <w:tab/>
        <w:tab/>
        <w:tab/>
        <w:t>d. įsakymo Nr. D1-</w:t>
        <w:tab/>
        <w:tab/>
        <w:tab/>
        <w:t>redakcija)</w:t>
      </w:r>
    </w:p>
    <w:p>
      <w:pPr>
        <w:suppressAutoHyphens/>
        <w:jc w:val="center"/>
        <w:rPr>
          <w:b/>
          <w:bCs/>
          <w:caps/>
          <w:color w:val="000000"/>
          <w:szCs w:val="24"/>
          <w:lang w:eastAsia="lt-LT"/>
        </w:rPr>
      </w:pPr>
    </w:p>
    <w:p>
      <w:pPr>
        <w:suppressAutoHyphens/>
        <w:jc w:val="center"/>
        <w:rPr>
          <w:color w:val="000000"/>
          <w:szCs w:val="24"/>
          <w:lang w:eastAsia="lt-LT"/>
        </w:rPr>
      </w:pPr>
      <w:r>
        <w:rPr>
          <w:b/>
          <w:bCs/>
          <w:caps/>
          <w:color w:val="000000"/>
          <w:szCs w:val="24"/>
          <w:lang w:eastAsia="lt-LT"/>
        </w:rPr>
        <w:t>DAUGIABUČIŲ NAMŲ ATNAUJINIMO (MODERNIZAVIMO) PROGRAMOS ĮGYVENDINIMO STEBĖSENOS TVARKOS APRAŠAS</w:t>
      </w:r>
    </w:p>
    <w:p>
      <w:pPr>
        <w:ind w:firstLine="629"/>
        <w:jc w:val="both"/>
        <w:rPr>
          <w:color w:val="000000"/>
          <w:szCs w:val="24"/>
          <w:lang w:eastAsia="lt-LT"/>
        </w:rPr>
      </w:pPr>
    </w:p>
    <w:p>
      <w:pPr>
        <w:jc w:val="center"/>
        <w:rPr>
          <w:b/>
          <w:bCs/>
          <w:caps/>
          <w:color w:val="000000"/>
          <w:szCs w:val="24"/>
          <w:lang w:eastAsia="lt-LT"/>
        </w:rPr>
      </w:pPr>
      <w:r>
        <w:rPr>
          <w:b/>
          <w:bCs/>
          <w:caps/>
          <w:color w:val="000000"/>
          <w:szCs w:val="24"/>
          <w:lang w:eastAsia="lt-LT"/>
        </w:rPr>
        <w:t>I</w:t>
      </w:r>
      <w:r>
        <w:rPr>
          <w:b/>
          <w:bCs/>
          <w:caps/>
          <w:color w:val="000000"/>
          <w:szCs w:val="24"/>
          <w:lang w:eastAsia="lt-LT"/>
        </w:rPr>
        <w:t xml:space="preserve"> SKYRIUS</w:t>
      </w:r>
    </w:p>
    <w:p>
      <w:pPr>
        <w:jc w:val="center"/>
        <w:rPr>
          <w:b/>
          <w:bCs/>
          <w:caps/>
          <w:color w:val="000000"/>
          <w:szCs w:val="24"/>
          <w:lang w:eastAsia="lt-LT"/>
        </w:rPr>
      </w:pPr>
      <w:r>
        <w:rPr>
          <w:b/>
          <w:bCs/>
          <w:caps/>
          <w:color w:val="000000"/>
          <w:szCs w:val="24"/>
          <w:lang w:eastAsia="lt-LT"/>
        </w:rPr>
        <w:t>BENDROSIOS NUOSTATOS</w:t>
      </w:r>
    </w:p>
    <w:p>
      <w:pPr>
        <w:jc w:val="center"/>
        <w:rPr>
          <w:b/>
          <w:bCs/>
          <w:caps/>
          <w:color w:val="000000"/>
          <w:szCs w:val="24"/>
          <w:lang w:eastAsia="lt-LT"/>
        </w:rPr>
      </w:pPr>
    </w:p>
    <w:p>
      <w:pPr>
        <w:ind w:firstLine="567"/>
        <w:jc w:val="both"/>
        <w:rPr>
          <w:color w:val="000000"/>
          <w:szCs w:val="24"/>
          <w:lang w:eastAsia="lt-LT"/>
        </w:rPr>
      </w:pPr>
      <w:r>
        <w:rPr>
          <w:color w:val="000000"/>
          <w:szCs w:val="24"/>
          <w:lang w:eastAsia="lt-LT"/>
        </w:rPr>
        <w:t>1</w:t>
      </w:r>
      <w:r>
        <w:rPr>
          <w:color w:val="000000"/>
          <w:szCs w:val="24"/>
          <w:lang w:eastAsia="lt-LT"/>
        </w:rPr>
        <w:t>.</w:t>
        <w:tab/>
        <w:t>Daugiabučių namų atnaujinimo (modernizavimo) programos įgyvendinimo stebėsenos tvarkos aprašas (toliau – Tvarkos aprašas) nustato Daugiabučių namų atnaujinimo (modernizavimo) programos (toliau – programa) įgyvendinimo stebėsenos atlikimo reikalavimus ir tvarką.</w:t>
      </w:r>
    </w:p>
    <w:p>
      <w:pPr>
        <w:ind w:firstLine="567"/>
        <w:jc w:val="both"/>
        <w:rPr>
          <w:color w:val="000000"/>
          <w:szCs w:val="24"/>
          <w:lang w:eastAsia="lt-LT"/>
        </w:rPr>
      </w:pPr>
      <w:r>
        <w:rPr>
          <w:color w:val="000000"/>
          <w:szCs w:val="24"/>
          <w:lang w:eastAsia="lt-LT"/>
        </w:rPr>
        <w:t>2</w:t>
      </w:r>
      <w:r>
        <w:rPr>
          <w:color w:val="000000"/>
          <w:szCs w:val="24"/>
          <w:lang w:eastAsia="lt-LT"/>
        </w:rPr>
        <w:t>.</w:t>
        <w:tab/>
      </w:r>
      <w:r>
        <w:rPr>
          <w:color w:val="000000"/>
          <w:lang w:eastAsia="lt-LT"/>
        </w:rPr>
        <w:t>Apraše vartojamos sąvokos apibrėžtos Lietuvos Respublikos statybos įstatyme, Lietuvos Respublikos valstybės paramos daugiabučiams namams atnaujinti (modernizuoti) įstatyme, Lietuvos Respublikos energetikos įstatyme, Lietuvos Respublikos energijos vartojimo efektyvumo didinimo įstatyme.</w:t>
      </w:r>
    </w:p>
    <w:p>
      <w:pPr>
        <w:ind w:firstLine="567"/>
        <w:jc w:val="both"/>
        <w:rPr>
          <w:color w:val="000000"/>
          <w:szCs w:val="24"/>
          <w:lang w:eastAsia="lt-LT"/>
        </w:rPr>
      </w:pPr>
      <w:r>
        <w:rPr>
          <w:color w:val="000000"/>
          <w:szCs w:val="24"/>
          <w:lang w:eastAsia="lt-LT"/>
        </w:rPr>
        <w:t>3</w:t>
      </w:r>
      <w:r>
        <w:rPr>
          <w:color w:val="000000"/>
          <w:szCs w:val="24"/>
          <w:lang w:eastAsia="lt-LT"/>
        </w:rPr>
        <w:t>.</w:t>
        <w:tab/>
        <w:t>Programos įgyvendinimo stebėseną sudaro:</w:t>
      </w:r>
    </w:p>
    <w:p>
      <w:pPr>
        <w:ind w:firstLine="567"/>
        <w:jc w:val="both"/>
        <w:rPr>
          <w:color w:val="000000"/>
          <w:szCs w:val="24"/>
          <w:lang w:eastAsia="lt-LT"/>
        </w:rPr>
      </w:pPr>
      <w:r>
        <w:rPr>
          <w:color w:val="000000"/>
          <w:szCs w:val="24"/>
          <w:lang w:eastAsia="lt-LT"/>
        </w:rPr>
        <w:t>3.1</w:t>
      </w:r>
      <w:r>
        <w:rPr>
          <w:color w:val="000000"/>
          <w:szCs w:val="24"/>
          <w:lang w:eastAsia="lt-LT"/>
        </w:rPr>
        <w:t>. skaičiuojamųjų sutaupytos šiluminės energijos kiekio rodiklių fiksavimas pagal ataskaitiniais (kalendoriniais) metais įgyvendintų daugiabučių namų atnaujinimo (modernizavimo) projektų (toliau – projektai) duomenis nuo programos įgyvendinimo pradžios (2005 metų) MWh/metus, jų apibendrinimas ir informacija apie programos ekonominius rodiklius. Šioje dalyje taip pat fiksuojami šiluminės energijos sutaupymo rodikliai projektuose, įgyvendintuose pagal Sanglaudos skatinimo pagal Sanglaudos 2007–2013 m. veiksmų programos priemonę „Daugiabučių namų atnaujinimas pirmiausia didinant jų energijos vartojimo efektyvumą“ ir kitas valstybės remiamas ar savivaldybių patvirtintas daugiabučių namų (kvartalų) ar namų grupių atnaujinimo (modernizavimo) programas, taip pat butų ir kitų patalpų savininkų ar jų bendrijų, ar daugiabučius namus administruojančių įmonių įgyvendintas energijos taupymo priemones;</w:t>
      </w:r>
    </w:p>
    <w:p>
      <w:pPr>
        <w:ind w:firstLine="567"/>
        <w:jc w:val="both"/>
        <w:rPr>
          <w:color w:val="000000"/>
          <w:szCs w:val="24"/>
          <w:lang w:eastAsia="lt-LT"/>
        </w:rPr>
      </w:pPr>
      <w:r>
        <w:rPr>
          <w:color w:val="000000"/>
          <w:szCs w:val="24"/>
          <w:lang w:eastAsia="lt-LT"/>
        </w:rPr>
        <w:t>3.2</w:t>
      </w:r>
      <w:r>
        <w:rPr>
          <w:color w:val="000000"/>
          <w:szCs w:val="24"/>
          <w:lang w:eastAsia="lt-LT"/>
        </w:rPr>
        <w:t>. skaičiuojamųjų išmetamųjų šiltnamio efektą sukeliančių dujų – anglies dioksido (CO</w:t>
      </w:r>
      <w:r>
        <w:rPr>
          <w:color w:val="000000"/>
          <w:szCs w:val="24"/>
          <w:vertAlign w:val="subscript"/>
          <w:lang w:eastAsia="lt-LT"/>
        </w:rPr>
        <w:t>2</w:t>
      </w:r>
      <w:r>
        <w:rPr>
          <w:color w:val="000000"/>
          <w:szCs w:val="24"/>
          <w:lang w:eastAsia="lt-LT"/>
        </w:rPr>
        <w:t>) kiekio sumažėjimo apskaičiavimas pagal Tvarkos aprašo 3.1 papunktyje nurodytus sutaupytos šiluminės energijos rodiklius ir laikotarpius, jų apibendrinimas;</w:t>
      </w:r>
    </w:p>
    <w:p>
      <w:pPr>
        <w:ind w:firstLine="567"/>
        <w:jc w:val="both"/>
        <w:rPr>
          <w:color w:val="FF0000"/>
          <w:lang w:val="en-GB" w:eastAsia="lt-LT"/>
        </w:rPr>
      </w:pPr>
      <w:r>
        <w:rPr>
          <w:lang w:eastAsia="lt-LT"/>
        </w:rPr>
        <w:t>3.3</w:t>
      </w:r>
      <w:r>
        <w:rPr>
          <w:lang w:eastAsia="lt-LT"/>
        </w:rPr>
        <w:t xml:space="preserve">. </w:t>
      </w:r>
      <w:r>
        <w:rPr>
          <w:color w:val="000000"/>
          <w:lang w:eastAsia="lt-LT"/>
        </w:rPr>
        <w:t xml:space="preserve">skaičiuotinas sutaupytos energijos rodiklių fiksavimas atnaujintuose (modernizuotuose) daugiabučiuose namuose, jų analizavimas ir apibendrinimas pagal Energijos išteklių ir energijos efektyvaus vartojimo stebėsenos tvarkos aprašą, patvirtintą Lietuvos Respublikos Vyriausybės 2016 m. kovo 30 d. nutarimu Nr. 332 „Dėl Energijos išteklių ir energijos efektyvaus vartojimo stebėsenos tvarkos aprašo patvirtinimo“ (toliau </w:t>
      </w:r>
      <w:r>
        <w:rPr>
          <w:color w:val="000000"/>
          <w:szCs w:val="24"/>
          <w:lang w:eastAsia="lt-LT"/>
        </w:rPr>
        <w:t xml:space="preserve">– </w:t>
      </w:r>
      <w:r>
        <w:rPr>
          <w:color w:val="000000"/>
          <w:lang w:eastAsia="lt-LT"/>
        </w:rPr>
        <w:t>Energijos vartojimo stebėsenos tvarkos</w:t>
      </w:r>
      <w:r>
        <w:rPr>
          <w:color w:val="000000"/>
          <w:szCs w:val="24"/>
          <w:lang w:eastAsia="lt-LT"/>
        </w:rPr>
        <w:t xml:space="preserve"> aprašas</w:t>
      </w:r>
      <w:r>
        <w:rPr>
          <w:color w:val="000000"/>
          <w:lang w:eastAsia="lt-LT"/>
        </w:rPr>
        <w:t>);</w:t>
      </w:r>
    </w:p>
    <w:p>
      <w:pPr>
        <w:ind w:firstLine="567"/>
        <w:jc w:val="both"/>
        <w:rPr>
          <w:color w:val="000000"/>
          <w:spacing w:val="-2"/>
          <w:lang w:eastAsia="lt-LT"/>
        </w:rPr>
      </w:pPr>
      <w:r>
        <w:rPr>
          <w:color w:val="000000"/>
          <w:lang w:eastAsia="lt-LT"/>
        </w:rPr>
        <w:t>3.4</w:t>
      </w:r>
      <w:r>
        <w:rPr>
          <w:color w:val="000000"/>
          <w:lang w:eastAsia="lt-LT"/>
        </w:rPr>
        <w:t xml:space="preserve">. </w:t>
      </w:r>
      <w:r>
        <w:rPr>
          <w:color w:val="000000"/>
          <w:spacing w:val="-2"/>
          <w:lang w:eastAsia="lt-LT"/>
        </w:rPr>
        <w:t>atrankinis atnaujintų (modernizuotų) daugiabučių namų energinis auditas ir (ar) statinių (projektų) ekspertizė po atnaujinimo (modernizavimo) projektų įgyvendinimo, siekiant įvertinti projektinių sprendinių ir statybos rangos darbų kokybę, jų energinį ir techninį efektyvumą ir teikti rekomendacijas dėl medžiagų, konstrukcijų ir technologijų taikymo, kokybės kontrolės atnaujinant (modernizuojant) daugiabučius namus;</w:t>
      </w:r>
    </w:p>
    <w:p>
      <w:pPr>
        <w:ind w:firstLine="567"/>
        <w:jc w:val="both"/>
        <w:rPr>
          <w:color w:val="000000"/>
          <w:spacing w:val="-2"/>
          <w:lang w:eastAsia="lt-LT"/>
        </w:rPr>
      </w:pPr>
      <w:r>
        <w:rPr>
          <w:color w:val="000000"/>
          <w:spacing w:val="-2"/>
          <w:lang w:eastAsia="lt-LT"/>
        </w:rPr>
        <w:t>3.5</w:t>
      </w:r>
      <w:r>
        <w:rPr>
          <w:color w:val="000000"/>
          <w:spacing w:val="-2"/>
          <w:lang w:eastAsia="lt-LT"/>
        </w:rPr>
        <w:t>. periodiniai sociologiniai programos įgyvendinimo rezultatų tyrimai atliekami kasmet siekiant nustatyti daugiabučių namų gyventojų informuotumą apie programą ir kitas energijos taupymo galimybes, ketinimą dalyvauti programoje arba savarankiškai diegti energijos taupymo priemones, jų nuomonę apie ekonominį energijos taupymo naudingumą, programos finansavimo ir valstybės paramos sąlygas, jos teikimo tvarką, pasitikėjimą programos įgyvendinimo proceso organizatoriais ir dalyviais, programos viešinimo kampanijos priemonių veiksmingumą ir parengti rekomendacijas visuomenės informavimui, mokymui ir švietimui tobulinti.</w:t>
      </w:r>
    </w:p>
    <w:p>
      <w:pPr>
        <w:ind w:firstLine="567"/>
        <w:jc w:val="both"/>
        <w:rPr>
          <w:color w:val="000000"/>
          <w:szCs w:val="24"/>
          <w:lang w:eastAsia="lt-LT"/>
        </w:rPr>
      </w:pPr>
      <w:r>
        <w:rPr>
          <w:color w:val="000000"/>
          <w:szCs w:val="24"/>
          <w:lang w:eastAsia="lt-LT"/>
        </w:rPr>
        <w:t>4</w:t>
      </w:r>
      <w:r>
        <w:rPr>
          <w:color w:val="000000"/>
          <w:szCs w:val="24"/>
          <w:lang w:eastAsia="lt-LT"/>
        </w:rPr>
        <w:t>.</w:t>
        <w:tab/>
      </w:r>
      <w:r>
        <w:rPr>
          <w:color w:val="000000"/>
          <w:lang w:eastAsia="lt-LT"/>
        </w:rPr>
        <w:t>Programos stebėseną organizuoja ir vykdo, rengia jos ataskaitas ir teikia Tvarkos aprašo nustatyta tvarka Aplinkos ministerijai ir Energetikos ministerijai VšĮ „Būsto energijos taupymo agentūra“ (toliau ‒ Agentūra). Stebėsena finansuojama iš Aplinkos ministerijos strateginiame veiklos plane numatytų biudžetinių asignavimų Daugiabučių namų atnaujinimo (modernizavimo) programai įgyvendinti, Europos Sąjungos struktūrinių fondų ir kitų lėšų.</w:t>
      </w:r>
    </w:p>
    <w:p>
      <w:pPr>
        <w:ind w:left="567"/>
        <w:jc w:val="both"/>
        <w:rPr>
          <w:color w:val="000000"/>
          <w:lang w:eastAsia="lt-LT"/>
        </w:rPr>
      </w:pPr>
    </w:p>
    <w:p>
      <w:pPr>
        <w:ind w:left="567"/>
        <w:jc w:val="center"/>
        <w:rPr>
          <w:b/>
          <w:color w:val="000000"/>
          <w:lang w:eastAsia="lt-LT"/>
        </w:rPr>
      </w:pPr>
      <w:r>
        <w:rPr>
          <w:b/>
          <w:color w:val="000000"/>
          <w:lang w:eastAsia="lt-LT"/>
        </w:rPr>
        <w:t>II</w:t>
      </w:r>
      <w:r>
        <w:rPr>
          <w:b/>
          <w:color w:val="000000"/>
          <w:lang w:eastAsia="lt-LT"/>
        </w:rPr>
        <w:t xml:space="preserve"> SKYRIUS</w:t>
      </w:r>
    </w:p>
    <w:p>
      <w:pPr>
        <w:ind w:left="567"/>
        <w:jc w:val="center"/>
        <w:rPr>
          <w:b/>
          <w:color w:val="000000"/>
          <w:lang w:eastAsia="lt-LT"/>
        </w:rPr>
      </w:pPr>
      <w:r>
        <w:rPr>
          <w:b/>
          <w:color w:val="000000"/>
          <w:lang w:eastAsia="lt-LT"/>
        </w:rPr>
        <w:t>DUOMENŲ SURINKIMAS, VERTINIMAS IR APIBENDRINIMAS</w:t>
      </w:r>
    </w:p>
    <w:p>
      <w:pPr>
        <w:ind w:left="567"/>
        <w:jc w:val="both"/>
        <w:rPr>
          <w:color w:val="000000"/>
          <w:szCs w:val="24"/>
          <w:lang w:eastAsia="lt-LT"/>
        </w:rPr>
      </w:pPr>
    </w:p>
    <w:p>
      <w:pPr>
        <w:ind w:firstLine="567"/>
        <w:jc w:val="both"/>
        <w:rPr>
          <w:color w:val="000000"/>
          <w:szCs w:val="24"/>
          <w:lang w:eastAsia="lt-LT"/>
        </w:rPr>
      </w:pPr>
      <w:r>
        <w:rPr>
          <w:color w:val="000000"/>
          <w:szCs w:val="24"/>
          <w:lang w:eastAsia="lt-LT"/>
        </w:rPr>
        <w:t>5</w:t>
      </w:r>
      <w:r>
        <w:rPr>
          <w:color w:val="000000"/>
          <w:szCs w:val="24"/>
          <w:lang w:eastAsia="lt-LT"/>
        </w:rPr>
        <w:t>.</w:t>
        <w:tab/>
      </w:r>
      <w:r>
        <w:rPr>
          <w:color w:val="000000"/>
          <w:lang w:eastAsia="lt-LT"/>
        </w:rPr>
        <w:t xml:space="preserve">Duomenys apie skaičiuojamąjį sutaupytos šiluminės energijos kiekį ataskaitiniais kalendoriniais metais nustatomi pagal tais metais įgyvendintų projektų energinio naudingumo sertifikatuose arba kitose daugiabučio namo atnaujinimo projekto dalyse, kai projektai įgyvendinami pagal Sanglaudos skatinimo veiksmų programą ar kitas savivaldybių patvirtintas programas, nurodytus šiluminės energijos sutaupymo rodiklius juos sumuojant </w:t>
      </w:r>
      <w:r>
        <w:rPr>
          <w:lang w:eastAsia="lt-LT"/>
        </w:rPr>
        <w:t xml:space="preserve">(pagal Tvarkos aprašo 1 priede pateiktą formą). </w:t>
      </w:r>
      <w:r>
        <w:rPr>
          <w:color w:val="000000"/>
          <w:lang w:eastAsia="lt-LT"/>
        </w:rPr>
        <w:t xml:space="preserve">Kai nėra duomenų, energijos sutaupymo rodiklius apskaičiuoja stebėsenos vykdytojas pagal įgyvendintas energijos taupymo priemones vadovaudamasis Pastato energinio naudingumo įvertinimo metodika, pateikta statybos techninio reglamento STR 2.01.02:2016 „Pastatų energinio naudingumo projektavimas ir sertifikavimas“, patvirtinto Lietuvos Respublikos aplinkos ministro 2016 m. lapkričio 11 d. įsakymu Nr. D1-754 „Dėl statybos techninio reglamento STR 2.01.02:2016 „Pastatų energinio naudingumo projektavimas ir sertifikavimas“ patvirtinimo“, 2 priede. Tvarkos aprašo </w:t>
      </w:r>
      <w:r>
        <w:rPr>
          <w:color w:val="000000"/>
          <w:lang w:val="en-GB" w:eastAsia="lt-LT"/>
        </w:rPr>
        <w:t xml:space="preserve">1 </w:t>
      </w:r>
      <w:r>
        <w:rPr>
          <w:color w:val="000000"/>
          <w:lang w:eastAsia="lt-LT"/>
        </w:rPr>
        <w:t xml:space="preserve">priede pateikiama informacija apie ataskaitiniais metais išmokėtą valstybės paramą ir įgyvendintų projektų investicijų sumą. Duomenis apie butų ir kitų patalpų savininkų ar jų bendrijų, ar daugiabučius namus administruojančių įmonių įgyvendintas energijos taupymo priemones stebėsenos vykdytojas surenka iš daugiabučių namų savininkų bendrijų ir daugiabučius namus administruojančių įmonių rašytinės apklausos būdu </w:t>
      </w:r>
      <w:r>
        <w:rPr>
          <w:lang w:eastAsia="lt-LT"/>
        </w:rPr>
        <w:t>(pagal Tvarkos aprašo 2 priede pateiktą formą)</w:t>
      </w:r>
      <w:r>
        <w:rPr>
          <w:color w:val="000000"/>
          <w:lang w:eastAsia="lt-LT"/>
        </w:rPr>
        <w:t xml:space="preserve">; pagal šiame punkte nurodytą metodiką apskaičiuoja sutaupytos šiluminės energijos rodiklius. Duomenys apie skaičiuojamąjį sutaupytos šiluminės energijos kiekį per laikotarpį nuo 2005 metų nustatomi sumuojant kiekvienų ataskaitinių metų duomenis. Suvestiniai duomenys pateikiami pagal Tvarkos aprašo </w:t>
      </w:r>
      <w:r>
        <w:rPr>
          <w:color w:val="000000"/>
          <w:lang w:val="en-GB" w:eastAsia="lt-LT"/>
        </w:rPr>
        <w:t>3</w:t>
      </w:r>
      <w:r>
        <w:rPr>
          <w:color w:val="000000"/>
          <w:lang w:eastAsia="lt-LT"/>
        </w:rPr>
        <w:t xml:space="preserve"> priede pateiktą formą.</w:t>
      </w:r>
    </w:p>
    <w:p>
      <w:pPr>
        <w:ind w:firstLine="567"/>
        <w:jc w:val="both"/>
        <w:rPr>
          <w:color w:val="000000"/>
          <w:szCs w:val="24"/>
          <w:lang w:eastAsia="lt-LT"/>
        </w:rPr>
      </w:pPr>
      <w:r>
        <w:rPr>
          <w:color w:val="000000"/>
          <w:szCs w:val="24"/>
          <w:lang w:eastAsia="lt-LT"/>
        </w:rPr>
        <w:t>6</w:t>
      </w:r>
      <w:r>
        <w:rPr>
          <w:color w:val="000000"/>
          <w:szCs w:val="24"/>
          <w:lang w:eastAsia="lt-LT"/>
        </w:rPr>
        <w:t>.</w:t>
        <w:tab/>
      </w:r>
      <w:r>
        <w:rPr>
          <w:color w:val="000000"/>
          <w:lang w:eastAsia="lt-LT"/>
        </w:rPr>
        <w:t xml:space="preserve">Duomenys apie skaičiuojamąjį šiltnamio efektą sukeliančių dujų </w:t>
      </w:r>
      <w:r>
        <w:rPr>
          <w:color w:val="000000"/>
          <w:szCs w:val="24"/>
          <w:lang w:eastAsia="lt-LT"/>
        </w:rPr>
        <w:t>– anglies dioksido</w:t>
      </w:r>
      <w:r>
        <w:rPr>
          <w:color w:val="000000"/>
          <w:lang w:eastAsia="lt-LT"/>
        </w:rPr>
        <w:t xml:space="preserve"> (</w:t>
      </w:r>
      <w:r>
        <w:rPr>
          <w:color w:val="000000"/>
          <w:szCs w:val="24"/>
          <w:lang w:eastAsia="lt-LT"/>
        </w:rPr>
        <w:t>CO</w:t>
      </w:r>
      <w:r>
        <w:rPr>
          <w:color w:val="000000"/>
          <w:szCs w:val="24"/>
          <w:vertAlign w:val="subscript"/>
          <w:lang w:eastAsia="lt-LT"/>
        </w:rPr>
        <w:t>2</w:t>
      </w:r>
      <w:r>
        <w:rPr>
          <w:color w:val="000000"/>
          <w:lang w:eastAsia="lt-LT"/>
        </w:rPr>
        <w:t xml:space="preserve">) kiekio sumažėjimą nustatomi pagal pastato energinio naudingumo sertifikate pateiktus duomenis arba, jei jų nėra, apskaičiuojami pagal Daugiabučio namo atnaujinimo (modernizavimo) investicijų plano rengimo tvarkos aprašą, patvirtintą Lietuvos Respublikos aplinkos ministro </w:t>
      </w:r>
      <w:r>
        <w:rPr>
          <w:color w:val="000000"/>
          <w:lang w:val="en-GB" w:eastAsia="lt-LT"/>
        </w:rPr>
        <w:t>2009 m. lapkri</w:t>
      </w:r>
      <w:r>
        <w:rPr>
          <w:color w:val="000000"/>
          <w:lang w:eastAsia="lt-LT"/>
        </w:rPr>
        <w:t xml:space="preserve">čio </w:t>
      </w:r>
      <w:r>
        <w:rPr>
          <w:color w:val="000000"/>
          <w:lang w:val="en-GB" w:eastAsia="lt-LT"/>
        </w:rPr>
        <w:t>10 d.</w:t>
      </w:r>
      <w:r>
        <w:rPr>
          <w:color w:val="000000"/>
          <w:lang w:eastAsia="lt-LT"/>
        </w:rPr>
        <w:t xml:space="preserve"> įsakymu Nr. D1-677 „Dėl Daugiabučio namo atnaujinimo (modernizavimo) investicijų plano rengimo tvarkos aprašopatvirtinimo“.</w:t>
      </w:r>
      <w:r>
        <w:rPr>
          <w:b/>
          <w:bCs/>
          <w:color w:val="000000"/>
          <w:lang w:eastAsia="lt-LT"/>
        </w:rPr>
        <w:t> </w:t>
      </w:r>
      <w:r>
        <w:rPr>
          <w:color w:val="000000"/>
          <w:lang w:eastAsia="lt-LT"/>
        </w:rPr>
        <w:t xml:space="preserve">Šie duomenys įrašomi su duomenimis apie skaičiuojamąjį sutaupytos šiluminės energijos kiekį į Tvarkos aprašo 1 ir 2 prieduose pateiktas formas. </w:t>
      </w:r>
    </w:p>
    <w:p>
      <w:pPr>
        <w:ind w:firstLine="567"/>
        <w:jc w:val="both"/>
        <w:rPr>
          <w:color w:val="000000"/>
          <w:szCs w:val="24"/>
          <w:lang w:eastAsia="lt-LT"/>
        </w:rPr>
      </w:pPr>
      <w:r>
        <w:rPr>
          <w:color w:val="000000"/>
          <w:szCs w:val="24"/>
          <w:lang w:eastAsia="lt-LT"/>
        </w:rPr>
        <w:t>7</w:t>
      </w:r>
      <w:r>
        <w:rPr>
          <w:color w:val="000000"/>
          <w:szCs w:val="24"/>
          <w:lang w:eastAsia="lt-LT"/>
        </w:rPr>
        <w:t>.</w:t>
        <w:tab/>
      </w:r>
      <w:r>
        <w:rPr>
          <w:color w:val="000000"/>
          <w:lang w:eastAsia="lt-LT"/>
        </w:rPr>
        <w:t>Ataskaita apie skaičiuojamąjį sutaupytos šiluminės energijos kiekį ir išmetamų šiltnamio efektą sukeliančių dujų sumažinimą teikiama Aplinkos ministerijai iki vasario 15 d.</w:t>
      </w:r>
    </w:p>
    <w:p>
      <w:pPr>
        <w:ind w:firstLine="567"/>
        <w:jc w:val="both"/>
        <w:rPr>
          <w:color w:val="000000"/>
          <w:szCs w:val="24"/>
          <w:lang w:eastAsia="lt-LT"/>
        </w:rPr>
      </w:pPr>
      <w:r>
        <w:rPr>
          <w:color w:val="000000"/>
          <w:szCs w:val="24"/>
          <w:lang w:eastAsia="lt-LT"/>
        </w:rPr>
        <w:t>8</w:t>
      </w:r>
      <w:r>
        <w:rPr>
          <w:color w:val="000000"/>
          <w:szCs w:val="24"/>
          <w:lang w:eastAsia="lt-LT"/>
        </w:rPr>
        <w:t>.</w:t>
        <w:tab/>
      </w:r>
      <w:r>
        <w:rPr>
          <w:color w:val="000000"/>
          <w:lang w:eastAsia="lt-LT"/>
        </w:rPr>
        <w:t xml:space="preserve">Skaičiuotinas sutaupytos energijos rodiklių fiksavimas atnaujintuose (modernizuotuose) daugiabučiuose namuose </w:t>
      </w:r>
      <w:r>
        <w:rPr>
          <w:lang w:eastAsia="lt-LT"/>
        </w:rPr>
        <w:t xml:space="preserve">atliekamas vadovaujantis </w:t>
      </w:r>
      <w:r>
        <w:rPr>
          <w:color w:val="000000"/>
          <w:lang w:eastAsia="lt-LT"/>
        </w:rPr>
        <w:t xml:space="preserve">Energijos vartojimo stebėsenos tvarkos aprašu ir Energijos vartojimo efektyvumo didinimo priemonių sutaupytos energijos apskaičiavimo ir priežiūros tvarkos aprašu, patvirtintu Lietuvos Respublikos energetikos ministro </w:t>
      </w:r>
      <w:r>
        <w:rPr>
          <w:color w:val="000000"/>
          <w:lang w:val="en-GB" w:eastAsia="lt-LT"/>
        </w:rPr>
        <w:t xml:space="preserve">2016 m. </w:t>
      </w:r>
      <w:r>
        <w:rPr>
          <w:color w:val="000000"/>
          <w:lang w:eastAsia="lt-LT"/>
        </w:rPr>
        <w:t>gruodžio</w:t>
      </w:r>
      <w:r>
        <w:rPr>
          <w:color w:val="000000"/>
          <w:lang w:val="en-GB" w:eastAsia="lt-LT"/>
        </w:rPr>
        <w:t xml:space="preserve"> 5 d. </w:t>
      </w:r>
      <w:r>
        <w:rPr>
          <w:color w:val="000000"/>
          <w:lang w:eastAsia="lt-LT"/>
        </w:rPr>
        <w:t xml:space="preserve">įsakymu Nr. </w:t>
      </w:r>
      <w:r>
        <w:rPr>
          <w:color w:val="000000"/>
          <w:lang w:val="en-GB" w:eastAsia="lt-LT"/>
        </w:rPr>
        <w:t xml:space="preserve">1-320 </w:t>
      </w:r>
      <w:r>
        <w:rPr>
          <w:color w:val="000000"/>
          <w:lang w:eastAsia="lt-LT"/>
        </w:rPr>
        <w:t>„Dėl Energijos vartojimo efektyvumo didinimo priemonių sutaupytos energijos apskaičiavimo ir priežiūros tvarkos aprašo patvirtinimo“.</w:t>
      </w:r>
      <w:r>
        <w:rPr>
          <w:lang w:eastAsia="lt-LT"/>
        </w:rPr>
        <w:t xml:space="preserve"> Šios stebėsenos dalies ataskaita iki vasario 15 d. teikiama Aplinkos ministerijai ir, jai pritarus iki kovo 1 d, pateikiama Energetikos ministerijai.</w:t>
      </w:r>
    </w:p>
    <w:p>
      <w:pPr>
        <w:ind w:firstLine="567"/>
        <w:jc w:val="both"/>
        <w:rPr>
          <w:color w:val="000000"/>
          <w:szCs w:val="24"/>
          <w:lang w:eastAsia="lt-LT"/>
        </w:rPr>
      </w:pPr>
      <w:r>
        <w:rPr>
          <w:color w:val="000000"/>
          <w:szCs w:val="24"/>
          <w:lang w:eastAsia="lt-LT"/>
        </w:rPr>
        <w:t>9</w:t>
      </w:r>
      <w:r>
        <w:rPr>
          <w:color w:val="000000"/>
          <w:szCs w:val="24"/>
          <w:lang w:eastAsia="lt-LT"/>
        </w:rPr>
        <w:t>.</w:t>
        <w:tab/>
      </w:r>
      <w:r>
        <w:rPr>
          <w:color w:val="000000"/>
          <w:lang w:eastAsia="lt-LT"/>
        </w:rPr>
        <w:t>Atnaujintų (modernizuotų) daugiabučių namų energetinis auditas ir įgyvendintų priemonių ekspertizė atliekama pagal poreikį atsižvelgiant į per ataskaitinį laikotarpį nustatytus programos įgyvendinimo rezultatus, problemas ar trūkumus, remiantis atnaujintų (modernizuotų) daugiabučių namų butų ir kitų patalpų savininkų skundais, siekiant įvertinti naujų statybos produktų, technologijų, projektinių sprendinių panaudojimą ar atitiktį keliamiems reikalavimams. Atnaujintų (modernizuotų) daugiabučių namų energetinis auditas, statinio ar statinio dalių, projekto ar projekto dalies ir (ar) įgyvendintų priemonių ekspertizė organizuojama pagal Agentūros parengtą, su Aplinkos ministerija suderintą pirkimų planą.</w:t>
      </w:r>
    </w:p>
    <w:p>
      <w:pPr>
        <w:ind w:firstLine="567"/>
        <w:jc w:val="both"/>
        <w:rPr>
          <w:color w:val="000000"/>
          <w:szCs w:val="24"/>
          <w:lang w:eastAsia="lt-LT"/>
        </w:rPr>
      </w:pPr>
      <w:r>
        <w:rPr>
          <w:color w:val="000000"/>
          <w:szCs w:val="24"/>
          <w:lang w:eastAsia="lt-LT"/>
        </w:rPr>
        <w:t>10</w:t>
      </w:r>
      <w:r>
        <w:rPr>
          <w:color w:val="000000"/>
          <w:szCs w:val="24"/>
          <w:lang w:eastAsia="lt-LT"/>
        </w:rPr>
        <w:t>.</w:t>
        <w:tab/>
        <w:t xml:space="preserve"> Daugiabučių namų energinis auditas atliekamas vadovaujantis Išsamiojo energijos, energijos išteklių ir šalto vandens vartojimo audito atlikimo viešojo naudojimo paskirties pastatuose metodika, patvirtinta Lietuvos Respublikos ūkio ministro 2008 m. balandžio 29 d. įsakymu Nr. 4-1</w:t>
      </w:r>
      <w:r>
        <w:rPr>
          <w:color w:val="000000"/>
          <w:szCs w:val="24"/>
          <w:lang w:val="en-GB" w:eastAsia="lt-LT"/>
        </w:rPr>
        <w:t>8</w:t>
      </w:r>
      <w:r>
        <w:rPr>
          <w:color w:val="000000"/>
          <w:szCs w:val="24"/>
          <w:lang w:eastAsia="lt-LT"/>
        </w:rPr>
        <w:t>4 „Dėl Išsamiojo energijos, energijos išteklių ir šalto vandens vartojimo audito atlikimo viešojo naudojimo paskirties pastatuose metodikos patvirtinimo“, atsižvelgus į Agentūros pateiktas šio audito pirkimo technines sąlygas.</w:t>
      </w:r>
    </w:p>
    <w:p>
      <w:pPr>
        <w:ind w:firstLine="567"/>
        <w:jc w:val="both"/>
        <w:rPr>
          <w:color w:val="000000"/>
          <w:szCs w:val="24"/>
          <w:lang w:eastAsia="lt-LT"/>
        </w:rPr>
      </w:pPr>
      <w:r>
        <w:rPr>
          <w:color w:val="000000"/>
          <w:szCs w:val="24"/>
          <w:lang w:eastAsia="lt-LT"/>
        </w:rPr>
        <w:t>11</w:t>
      </w:r>
      <w:r>
        <w:rPr>
          <w:color w:val="000000"/>
          <w:szCs w:val="24"/>
          <w:lang w:eastAsia="lt-LT"/>
        </w:rPr>
        <w:t>.</w:t>
        <w:tab/>
        <w:t xml:space="preserve">Daugiabučių namų </w:t>
      </w:r>
      <w:r>
        <w:rPr>
          <w:lang w:eastAsia="lt-LT"/>
        </w:rPr>
        <w:t xml:space="preserve">statinių </w:t>
      </w:r>
      <w:r>
        <w:rPr>
          <w:color w:val="000000"/>
          <w:spacing w:val="-2"/>
          <w:lang w:eastAsia="lt-LT"/>
        </w:rPr>
        <w:t xml:space="preserve">(projektų) </w:t>
      </w:r>
      <w:r>
        <w:rPr>
          <w:color w:val="000000"/>
          <w:szCs w:val="24"/>
          <w:lang w:eastAsia="lt-LT"/>
        </w:rPr>
        <w:t xml:space="preserve">ekspertizės tikslas ‒ gauti duomenis apie atliktų statybos rangos darbų kokybę, įgyvendintų priemonių (apšiltintų sienų, stogų, perdangų, pakeistų langų ir durų, įstiklintų balkonų ir kitų) faktines energines ir fizines savybes, jų atitiktį deklaruotoms savybėms, įvertinti projektinių sprendinių efektyvumą ir pagrįstumą, pateikti rekomendacijas, kaip gerinti daugiabučių namų atnaujinimo (modernizavimo) kokybę. Nurodyta ekspertizė vykdoma vadovaujantis </w:t>
      </w:r>
      <w:r>
        <w:rPr>
          <w:color w:val="000000"/>
          <w:lang w:eastAsia="lt-LT"/>
        </w:rPr>
        <w:t xml:space="preserve">STR 1.04.04:2017 „Statinio projektavimas, projekto ekspertizė“, patvirtintu Lietuvos Respublikos aplinkos ministro </w:t>
      </w:r>
      <w:r>
        <w:rPr>
          <w:color w:val="000000"/>
          <w:lang w:val="en-GB" w:eastAsia="lt-LT"/>
        </w:rPr>
        <w:t xml:space="preserve">2016 m. </w:t>
      </w:r>
      <w:r>
        <w:rPr>
          <w:color w:val="000000"/>
          <w:lang w:eastAsia="lt-LT"/>
        </w:rPr>
        <w:t>lapkričio </w:t>
      </w:r>
      <w:r>
        <w:rPr>
          <w:color w:val="000000"/>
          <w:lang w:val="en-GB" w:eastAsia="lt-LT"/>
        </w:rPr>
        <w:t xml:space="preserve">7 d. </w:t>
      </w:r>
      <w:r>
        <w:rPr>
          <w:color w:val="000000"/>
          <w:lang w:eastAsia="lt-LT"/>
        </w:rPr>
        <w:t>įsakymu</w:t>
      </w:r>
      <w:r>
        <w:rPr>
          <w:color w:val="000000"/>
          <w:lang w:val="en-GB" w:eastAsia="lt-LT"/>
        </w:rPr>
        <w:t xml:space="preserve"> </w:t>
      </w:r>
      <w:r>
        <w:rPr>
          <w:color w:val="000000"/>
          <w:lang w:eastAsia="lt-LT"/>
        </w:rPr>
        <w:t>Nr. D</w:t>
      </w:r>
      <w:r>
        <w:rPr>
          <w:color w:val="000000"/>
          <w:lang w:val="en-GB" w:eastAsia="lt-LT"/>
        </w:rPr>
        <w:t>1</w:t>
      </w:r>
      <w:r>
        <w:rPr>
          <w:color w:val="000000"/>
          <w:lang w:eastAsia="lt-LT"/>
        </w:rPr>
        <w:t>-</w:t>
      </w:r>
      <w:r>
        <w:rPr>
          <w:color w:val="000000"/>
          <w:lang w:val="en-GB" w:eastAsia="lt-LT"/>
        </w:rPr>
        <w:t>738</w:t>
      </w:r>
      <w:r>
        <w:rPr>
          <w:color w:val="000000"/>
          <w:lang w:eastAsia="lt-LT"/>
        </w:rPr>
        <w:t xml:space="preserve"> „Dėl statybos techninio reglamento STR 1.04.04:2017 „Statinio projektavimas, projekto ekspertizė“ patvirtinimo“</w:t>
      </w:r>
      <w:r>
        <w:rPr>
          <w:color w:val="000000"/>
          <w:szCs w:val="24"/>
          <w:lang w:eastAsia="lt-LT"/>
        </w:rPr>
        <w:t xml:space="preserve">,  atsižvelgus į Agentūros pateiktas ekspertizės pirkimo technines sąlygas.</w:t>
      </w:r>
    </w:p>
    <w:p>
      <w:pPr>
        <w:ind w:firstLine="567"/>
        <w:jc w:val="both"/>
        <w:rPr>
          <w:color w:val="000000"/>
          <w:szCs w:val="24"/>
          <w:lang w:eastAsia="lt-LT"/>
        </w:rPr>
      </w:pPr>
      <w:r>
        <w:rPr>
          <w:color w:val="000000"/>
          <w:szCs w:val="24"/>
          <w:lang w:eastAsia="lt-LT"/>
        </w:rPr>
        <w:t>12</w:t>
      </w:r>
      <w:r>
        <w:rPr>
          <w:color w:val="000000"/>
          <w:szCs w:val="24"/>
          <w:lang w:eastAsia="lt-LT"/>
        </w:rPr>
        <w:t>.</w:t>
        <w:tab/>
      </w:r>
      <w:r>
        <w:rPr>
          <w:color w:val="000000"/>
          <w:lang w:eastAsia="lt-LT"/>
        </w:rPr>
        <w:t xml:space="preserve">Atnaujintų (modernizuotų) daugiabučių namų energinio audito </w:t>
      </w:r>
      <w:r>
        <w:rPr>
          <w:lang w:eastAsia="lt-LT"/>
        </w:rPr>
        <w:t xml:space="preserve">ir (ar) statinių </w:t>
      </w:r>
      <w:r>
        <w:rPr>
          <w:color w:val="000000"/>
          <w:spacing w:val="-2"/>
          <w:lang w:eastAsia="lt-LT"/>
        </w:rPr>
        <w:t xml:space="preserve">(projektų) </w:t>
      </w:r>
      <w:r>
        <w:rPr>
          <w:lang w:eastAsia="lt-LT"/>
        </w:rPr>
        <w:t>ekspertizės</w:t>
      </w:r>
      <w:r>
        <w:rPr>
          <w:color w:val="000000"/>
          <w:lang w:eastAsia="lt-LT"/>
        </w:rPr>
        <w:t xml:space="preserve"> rezultatai apibendrinami bendrojoje šių darbų ataskaitoje, kuri rengiama pagal organizatoriaus – Agentūros ir šių darbų vykdytojo sutartyje nustatytas sąlygas ir terminus ir teikiama Aplinkos ministerijai ataskaitoje nurodant kilusias problemas ir siūlomus jų sprendimus.</w:t>
      </w:r>
    </w:p>
    <w:p>
      <w:pPr>
        <w:ind w:firstLine="567"/>
        <w:jc w:val="both"/>
        <w:rPr>
          <w:color w:val="000000"/>
          <w:szCs w:val="24"/>
          <w:lang w:eastAsia="lt-LT"/>
        </w:rPr>
      </w:pPr>
      <w:r>
        <w:rPr>
          <w:color w:val="000000"/>
          <w:szCs w:val="24"/>
          <w:lang w:eastAsia="lt-LT"/>
        </w:rPr>
        <w:t>13</w:t>
      </w:r>
      <w:r>
        <w:rPr>
          <w:color w:val="000000"/>
          <w:szCs w:val="24"/>
          <w:lang w:eastAsia="lt-LT"/>
        </w:rPr>
        <w:t>.</w:t>
        <w:tab/>
      </w:r>
      <w:r>
        <w:rPr>
          <w:color w:val="000000"/>
          <w:lang w:eastAsia="lt-LT"/>
        </w:rPr>
        <w:t>Periodiniai sociologiniai programos įgyvendinimo tyrimai atliekami pildant anketas: apklausiami daugiabučių namų, pastatytų pagal iki 1993 m. išduotus statybos leidimus, gyventojai (butų ir kitų patalpų savininkai) atsitiktinės atrankos būdu. Atrankos apimtis nustatoma pagal sociologinių tyrimų praktikoje taikomą apklausos duomenų statistinio patikimumo metodiką. Apklausos anketa, tyrimo rezultatų analizė ir apibendrinimas turi atitikti Tvarkos aprašo 3.5 papunktyje nurodytus sociologinio tyrimo tikslus. Sociologiniai tyrimai atliekami pasibaigus kalendoriniams metams, ataskaita iki kitų metų balandžio 1 d. teikiama Aplinkos ministerijai.</w:t>
      </w:r>
    </w:p>
    <w:p>
      <w:pPr>
        <w:ind w:left="567"/>
        <w:jc w:val="both"/>
        <w:rPr>
          <w:color w:val="000000"/>
          <w:lang w:eastAsia="lt-LT"/>
        </w:rPr>
      </w:pPr>
    </w:p>
    <w:p>
      <w:pPr>
        <w:ind w:left="567"/>
        <w:jc w:val="center"/>
        <w:rPr>
          <w:b/>
          <w:color w:val="000000"/>
          <w:lang w:eastAsia="lt-LT"/>
        </w:rPr>
      </w:pPr>
      <w:r>
        <w:rPr>
          <w:b/>
          <w:color w:val="000000"/>
          <w:lang w:eastAsia="lt-LT"/>
        </w:rPr>
        <w:t>III</w:t>
      </w:r>
      <w:r>
        <w:rPr>
          <w:b/>
          <w:color w:val="000000"/>
          <w:lang w:eastAsia="lt-LT"/>
        </w:rPr>
        <w:t xml:space="preserve"> SKYRIUS</w:t>
      </w:r>
    </w:p>
    <w:p>
      <w:pPr>
        <w:ind w:left="567"/>
        <w:jc w:val="center"/>
        <w:rPr>
          <w:b/>
          <w:color w:val="000000"/>
          <w:lang w:eastAsia="lt-LT"/>
        </w:rPr>
      </w:pPr>
      <w:r>
        <w:rPr>
          <w:b/>
          <w:color w:val="000000"/>
          <w:lang w:eastAsia="lt-LT"/>
        </w:rPr>
        <w:t>BAIGIAMOSIOS NUOSTATOS</w:t>
      </w:r>
    </w:p>
    <w:p>
      <w:pPr>
        <w:ind w:left="567"/>
        <w:jc w:val="center"/>
        <w:rPr>
          <w:b/>
          <w:color w:val="000000"/>
          <w:lang w:eastAsia="lt-LT"/>
        </w:rPr>
      </w:pPr>
    </w:p>
    <w:p>
      <w:pPr>
        <w:ind w:firstLine="567"/>
        <w:jc w:val="both"/>
        <w:rPr>
          <w:color w:val="000000"/>
          <w:szCs w:val="24"/>
          <w:lang w:eastAsia="lt-LT"/>
        </w:rPr>
      </w:pPr>
      <w:r>
        <w:rPr>
          <w:color w:val="000000"/>
          <w:szCs w:val="24"/>
          <w:lang w:eastAsia="lt-LT"/>
        </w:rPr>
        <w:t>14</w:t>
      </w:r>
      <w:r>
        <w:rPr>
          <w:color w:val="000000"/>
          <w:szCs w:val="24"/>
          <w:lang w:eastAsia="lt-LT"/>
        </w:rPr>
        <w:t>.</w:t>
        <w:tab/>
        <w:t>Stebėsenos ataskaitos yra viešos. Jos skelbiamos Aplinkos ministerijos ir Agentūros interneto svetainėse.</w:t>
      </w:r>
    </w:p>
    <w:p>
      <w:pPr>
        <w:tabs>
          <w:tab w:val="left" w:pos="1134"/>
        </w:tabs>
        <w:suppressAutoHyphens/>
        <w:ind w:left="567"/>
        <w:jc w:val="center"/>
        <w:rPr>
          <w:rFonts w:eastAsia="Calibri"/>
          <w:caps/>
          <w:color w:val="000000"/>
          <w:szCs w:val="24"/>
          <w:lang w:eastAsia="lt-LT"/>
        </w:rPr>
      </w:pPr>
      <w:r>
        <w:rPr>
          <w:rFonts w:eastAsia="Calibri"/>
          <w:szCs w:val="24"/>
          <w:lang w:eastAsia="lt-LT"/>
        </w:rPr>
        <w:t>___________________</w:t>
      </w:r>
    </w:p>
    <w:p/>
    <w:p>
      <w:pPr>
        <w:suppressAutoHyphens/>
        <w:rPr>
          <w:lang w:eastAsia="lt-LT"/>
        </w:rPr>
        <w:sectPr>
          <w:headerReference w:type="even" r:id="rId8"/>
          <w:headerReference w:type="default" r:id="rId9"/>
          <w:footerReference w:type="even" r:id="rId10"/>
          <w:footerReference w:type="default" r:id="rId11"/>
          <w:headerReference w:type="first" r:id="rId12"/>
          <w:footerReference w:type="first" r:id="rId13"/>
          <w:pgSz w:w="11907" w:h="16840" w:code="9"/>
          <w:pgMar w:top="1134" w:right="567" w:bottom="1134" w:left="1701" w:header="567" w:footer="284" w:gutter="0"/>
          <w:pgNumType w:start="1"/>
          <w:cols w:space="1296"/>
          <w:titlePg/>
          <w:docGrid w:linePitch="360"/>
        </w:sectPr>
      </w:pPr>
    </w:p>
    <w:p>
      <w:pPr>
        <w:tabs>
          <w:tab w:val="center" w:pos="4986"/>
          <w:tab w:val="right" w:pos="9972"/>
        </w:tabs>
      </w:pPr>
    </w:p>
    <w:p>
      <w:pPr>
        <w:tabs>
          <w:tab w:val="center" w:pos="4153"/>
          <w:tab w:val="right" w:pos="9100"/>
        </w:tabs>
        <w:suppressAutoHyphens/>
        <w:rPr>
          <w:rFonts w:ascii="Tahoma" w:hAnsi="Tahoma"/>
          <w:spacing w:val="10"/>
          <w:sz w:val="20"/>
          <w:lang w:eastAsia="lt-LT"/>
        </w:rPr>
      </w:pPr>
    </w:p>
    <w:p>
      <w:pPr>
        <w:suppressAutoHyphens/>
        <w:ind w:left="10206"/>
        <w:rPr>
          <w:lang w:eastAsia="lt-LT"/>
        </w:rPr>
      </w:pPr>
      <w:r>
        <w:rPr>
          <w:lang w:eastAsia="lt-LT"/>
        </w:rPr>
        <w:t xml:space="preserve">Daugiabučių namų atnaujinimo </w:t>
      </w:r>
    </w:p>
    <w:p>
      <w:pPr>
        <w:suppressAutoHyphens/>
        <w:ind w:left="10206"/>
        <w:rPr>
          <w:lang w:eastAsia="lt-LT"/>
        </w:rPr>
      </w:pPr>
      <w:r>
        <w:rPr>
          <w:lang w:eastAsia="lt-LT"/>
        </w:rPr>
        <w:t xml:space="preserve">(modernizavimo) programos įgyvendinimo </w:t>
      </w:r>
    </w:p>
    <w:p>
      <w:pPr>
        <w:suppressAutoHyphens/>
        <w:ind w:left="10206"/>
        <w:rPr>
          <w:lang w:eastAsia="lt-LT"/>
        </w:rPr>
      </w:pPr>
      <w:r>
        <w:rPr>
          <w:lang w:eastAsia="lt-LT"/>
        </w:rPr>
        <w:t xml:space="preserve">stebėsenos aprašo </w:t>
      </w:r>
    </w:p>
    <w:p>
      <w:pPr>
        <w:suppressAutoHyphens/>
        <w:ind w:left="10206"/>
        <w:rPr>
          <w:lang w:eastAsia="lt-LT"/>
        </w:rPr>
      </w:pPr>
      <w:r>
        <w:rPr>
          <w:lang w:eastAsia="lt-LT"/>
        </w:rPr>
        <w:t>1</w:t>
      </w:r>
      <w:r>
        <w:rPr>
          <w:lang w:eastAsia="lt-LT"/>
        </w:rPr>
        <w:t xml:space="preserve"> priedas</w:t>
      </w:r>
    </w:p>
    <w:p>
      <w:pPr>
        <w:suppressAutoHyphens/>
        <w:jc w:val="center"/>
        <w:rPr>
          <w:lang w:eastAsia="lt-LT"/>
        </w:rPr>
      </w:pPr>
    </w:p>
    <w:p>
      <w:pPr>
        <w:suppressAutoHyphens/>
        <w:jc w:val="center"/>
        <w:rPr>
          <w:b/>
          <w:lang w:eastAsia="lt-LT"/>
        </w:rPr>
      </w:pPr>
      <w:r>
        <w:rPr>
          <w:b/>
          <w:lang w:eastAsia="lt-LT"/>
        </w:rPr>
        <w:t>(Skaičiuojamojo sutaupytos šiluminės energijos kiekio duomenų pateikimo forma)</w:t>
      </w:r>
    </w:p>
    <w:p>
      <w:pPr>
        <w:suppressAutoHyphens/>
        <w:jc w:val="center"/>
        <w:rPr>
          <w:rFonts w:eastAsia="Calibri"/>
          <w:b/>
          <w:lang w:eastAsia="lt-LT"/>
        </w:rPr>
      </w:pPr>
    </w:p>
    <w:p>
      <w:pPr>
        <w:tabs>
          <w:tab w:val="left" w:leader="underscore" w:pos="8901"/>
        </w:tabs>
        <w:suppressAutoHyphens/>
        <w:jc w:val="center"/>
        <w:rPr>
          <w:lang w:eastAsia="lt-LT"/>
        </w:rPr>
      </w:pPr>
      <w:r>
        <w:rPr>
          <w:lang w:eastAsia="lt-LT"/>
        </w:rPr>
        <w:tab/>
      </w:r>
    </w:p>
    <w:p>
      <w:pPr>
        <w:suppressAutoHyphens/>
        <w:jc w:val="center"/>
        <w:rPr>
          <w:rFonts w:eastAsia="Calibri"/>
          <w:sz w:val="22"/>
          <w:lang w:eastAsia="lt-LT"/>
        </w:rPr>
      </w:pPr>
      <w:r>
        <w:rPr>
          <w:rFonts w:eastAsia="Calibri"/>
          <w:sz w:val="22"/>
          <w:lang w:eastAsia="lt-LT"/>
        </w:rPr>
        <w:t>(duomenis teikiančiojo asmens pavadinimas,</w:t>
      </w:r>
    </w:p>
    <w:p>
      <w:pPr>
        <w:tabs>
          <w:tab w:val="left" w:leader="underscore" w:pos="8901"/>
        </w:tabs>
        <w:suppressAutoHyphens/>
        <w:jc w:val="center"/>
        <w:rPr>
          <w:lang w:eastAsia="lt-LT"/>
        </w:rPr>
      </w:pPr>
      <w:r>
        <w:rPr>
          <w:lang w:eastAsia="lt-LT"/>
        </w:rPr>
        <w:tab/>
      </w:r>
    </w:p>
    <w:p>
      <w:pPr>
        <w:suppressAutoHyphens/>
        <w:jc w:val="center"/>
        <w:rPr>
          <w:rFonts w:eastAsia="Calibri"/>
          <w:sz w:val="22"/>
          <w:lang w:eastAsia="lt-LT"/>
        </w:rPr>
      </w:pPr>
      <w:r>
        <w:rPr>
          <w:rFonts w:eastAsia="Calibri"/>
          <w:sz w:val="22"/>
          <w:lang w:eastAsia="lt-LT"/>
        </w:rPr>
        <w:t>buveinės adresas, kontaktiniai duomenys)</w:t>
      </w:r>
    </w:p>
    <w:p>
      <w:pPr>
        <w:suppressAutoHyphens/>
        <w:jc w:val="center"/>
        <w:rPr>
          <w:lang w:eastAsia="lt-LT"/>
        </w:rPr>
      </w:pPr>
    </w:p>
    <w:p>
      <w:pPr>
        <w:suppressAutoHyphens/>
        <w:jc w:val="center"/>
        <w:rPr>
          <w:b/>
          <w:lang w:eastAsia="lt-LT"/>
        </w:rPr>
      </w:pPr>
      <w:r>
        <w:rPr>
          <w:b/>
          <w:lang w:eastAsia="lt-LT"/>
        </w:rPr>
        <w:t xml:space="preserve">DUOMENYS APIE SKAIČIUOJAMĄJĮ SUTAUPYTOS ŠILUMINĖS ENERGIJOS KIEKĮ IR IŠMETAMŲJŲ ŠILTNAMIO EFEKTĄ SUKELIANČIŲ DUJŲ </w:t>
      </w:r>
      <w:r>
        <w:rPr>
          <w:b/>
          <w:color w:val="000000"/>
          <w:szCs w:val="24"/>
          <w:lang w:eastAsia="lt-LT"/>
        </w:rPr>
        <w:t>– ANGLIES DIOKSIDO</w:t>
      </w:r>
      <w:r>
        <w:rPr>
          <w:b/>
          <w:lang w:eastAsia="lt-LT"/>
        </w:rPr>
        <w:t xml:space="preserve"> (CO</w:t>
      </w:r>
      <w:r>
        <w:rPr>
          <w:b/>
          <w:vertAlign w:val="subscript"/>
          <w:lang w:eastAsia="lt-LT"/>
        </w:rPr>
        <w:t>2</w:t>
      </w:r>
      <w:r>
        <w:rPr>
          <w:b/>
          <w:lang w:eastAsia="lt-LT"/>
        </w:rPr>
        <w:t>) SUMAŽĖJIMĄ ATASKAITINIAIS METAIS ATNAUJINTUOSE (MODERNIZUOTUOSE) DAUGIABUČIUOSE NAMUOSE PAGAL PROGRAMAS</w:t>
      </w:r>
    </w:p>
    <w:p>
      <w:pPr>
        <w:suppressAutoHyphens/>
        <w:jc w:val="center"/>
        <w:rPr>
          <w:b/>
          <w:lang w:eastAsia="lt-LT"/>
        </w:rPr>
      </w:pPr>
    </w:p>
    <w:p>
      <w:pPr>
        <w:suppressAutoHyphens/>
        <w:jc w:val="center"/>
        <w:rPr>
          <w:lang w:eastAsia="lt-LT"/>
        </w:rPr>
      </w:pPr>
      <w:r>
        <w:rPr>
          <w:lang w:eastAsia="lt-LT"/>
        </w:rPr>
        <w:t>---------------------------</w:t>
      </w:r>
    </w:p>
    <w:p>
      <w:pPr>
        <w:suppressAutoHyphens/>
        <w:jc w:val="center"/>
        <w:rPr>
          <w:rFonts w:eastAsia="Calibri"/>
          <w:sz w:val="22"/>
          <w:lang w:eastAsia="lt-LT"/>
        </w:rPr>
      </w:pPr>
      <w:r>
        <w:rPr>
          <w:rFonts w:eastAsia="Calibri"/>
          <w:sz w:val="22"/>
          <w:lang w:eastAsia="lt-LT"/>
        </w:rPr>
        <w:t>(duomenų pateikimo data)</w:t>
      </w:r>
    </w:p>
    <w:p>
      <w:pPr>
        <w:tabs>
          <w:tab w:val="left" w:leader="dot" w:pos="9072"/>
        </w:tabs>
        <w:suppressAutoHyphens/>
        <w:jc w:val="center"/>
        <w:rPr>
          <w:rFonts w:eastAsia="Calibri"/>
          <w:lang w:eastAsia="lt-LT"/>
        </w:rPr>
      </w:pPr>
    </w:p>
    <w:p>
      <w:pPr>
        <w:tabs>
          <w:tab w:val="left" w:leader="dot" w:pos="9072"/>
        </w:tabs>
        <w:suppressAutoHyphens/>
        <w:rPr>
          <w:lang w:eastAsia="lt-LT"/>
        </w:rPr>
      </w:pPr>
    </w:p>
    <w:p>
      <w:pPr>
        <w:tabs>
          <w:tab w:val="left" w:leader="dot" w:pos="9072"/>
        </w:tabs>
        <w:suppressAutoHyphens/>
        <w:rPr>
          <w:lang w:eastAsia="lt-LT"/>
        </w:rPr>
      </w:pPr>
      <w:r>
        <w:rPr>
          <w:lang w:eastAsia="lt-LT"/>
        </w:rPr>
        <w:t xml:space="preserve">Programos pavadinimas: </w:t>
        <w:tab/>
      </w:r>
    </w:p>
    <w:p>
      <w:pPr>
        <w:tabs>
          <w:tab w:val="left" w:leader="dot" w:pos="9072"/>
        </w:tabs>
        <w:suppressAutoHyphens/>
        <w:rPr>
          <w:lang w:eastAsia="lt-LT"/>
        </w:rPr>
      </w:pPr>
      <w:r>
        <w:rPr>
          <w:lang w:eastAsia="lt-LT"/>
        </w:rPr>
        <w:t xml:space="preserve">Ataskaitiniai metai: </w:t>
        <w:tab/>
      </w:r>
    </w:p>
    <w:p>
      <w:pPr>
        <w:tabs>
          <w:tab w:val="left" w:leader="dot" w:pos="9072"/>
        </w:tabs>
        <w:suppressAutoHyphens/>
        <w:jc w:val="center"/>
        <w:rPr>
          <w:lang w:eastAsia="lt-LT"/>
        </w:rPr>
      </w:pPr>
    </w:p>
    <w:p>
      <w:pPr>
        <w:tabs>
          <w:tab w:val="left" w:leader="dot" w:pos="9072"/>
        </w:tabs>
        <w:suppressAutoHyphens/>
        <w:jc w:val="center"/>
        <w:rPr>
          <w:lang w:eastAsia="lt-LT"/>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1045"/>
        <w:gridCol w:w="1170"/>
        <w:gridCol w:w="1474"/>
        <w:gridCol w:w="1170"/>
        <w:gridCol w:w="1170"/>
        <w:gridCol w:w="1296"/>
        <w:gridCol w:w="1296"/>
        <w:gridCol w:w="850"/>
        <w:gridCol w:w="850"/>
        <w:gridCol w:w="850"/>
        <w:gridCol w:w="1161"/>
        <w:gridCol w:w="850"/>
      </w:tblGrid>
      <w:tr>
        <w:trPr>
          <w:tblHeader/>
        </w:trPr>
        <w:tc>
          <w:tcPr>
            <w:tcW w:w="675" w:type="dxa"/>
            <w:vMerge w:val="restart"/>
          </w:tcPr>
          <w:p>
            <w:pPr>
              <w:suppressAutoHyphens/>
              <w:jc w:val="center"/>
              <w:rPr>
                <w:lang w:eastAsia="lt-LT"/>
              </w:rPr>
            </w:pPr>
            <w:r>
              <w:rPr>
                <w:lang w:eastAsia="lt-LT"/>
              </w:rPr>
              <w:t>Eil. Nr.</w:t>
            </w:r>
          </w:p>
        </w:tc>
        <w:tc>
          <w:tcPr>
            <w:tcW w:w="993" w:type="dxa"/>
            <w:vMerge w:val="restart"/>
          </w:tcPr>
          <w:p>
            <w:pPr>
              <w:suppressAutoHyphens/>
              <w:jc w:val="center"/>
              <w:rPr>
                <w:lang w:eastAsia="lt-LT"/>
              </w:rPr>
            </w:pPr>
            <w:r>
              <w:rPr>
                <w:lang w:eastAsia="lt-LT"/>
              </w:rPr>
              <w:t>Daugia-bučio namo adresas</w:t>
            </w:r>
          </w:p>
        </w:tc>
        <w:tc>
          <w:tcPr>
            <w:tcW w:w="1045" w:type="dxa"/>
            <w:vMerge w:val="restart"/>
          </w:tcPr>
          <w:p>
            <w:pPr>
              <w:suppressAutoHyphens/>
              <w:jc w:val="center"/>
              <w:rPr>
                <w:lang w:eastAsia="lt-LT"/>
              </w:rPr>
            </w:pPr>
            <w:r>
              <w:rPr>
                <w:lang w:eastAsia="lt-LT"/>
              </w:rPr>
              <w:t>Pastato statybos metai</w:t>
            </w:r>
          </w:p>
        </w:tc>
        <w:tc>
          <w:tcPr>
            <w:tcW w:w="1170" w:type="dxa"/>
            <w:vMerge w:val="restart"/>
          </w:tcPr>
          <w:p>
            <w:pPr>
              <w:suppressAutoHyphens/>
              <w:jc w:val="center"/>
              <w:rPr>
                <w:lang w:eastAsia="lt-LT"/>
              </w:rPr>
            </w:pPr>
            <w:r>
              <w:rPr>
                <w:lang w:eastAsia="lt-LT"/>
              </w:rPr>
              <w:t>Pastato naudin-gasis plotas,</w:t>
            </w:r>
          </w:p>
          <w:p>
            <w:pPr>
              <w:suppressAutoHyphens/>
              <w:jc w:val="center"/>
              <w:rPr>
                <w:vertAlign w:val="superscript"/>
                <w:lang w:eastAsia="lt-LT"/>
              </w:rPr>
            </w:pPr>
            <w:r>
              <w:rPr>
                <w:lang w:eastAsia="lt-LT"/>
              </w:rPr>
              <w:t>m</w:t>
            </w:r>
            <w:r>
              <w:rPr>
                <w:vertAlign w:val="superscript"/>
                <w:lang w:eastAsia="lt-LT"/>
              </w:rPr>
              <w:t>2</w:t>
            </w:r>
          </w:p>
        </w:tc>
        <w:tc>
          <w:tcPr>
            <w:tcW w:w="1474" w:type="dxa"/>
            <w:vMerge w:val="restart"/>
          </w:tcPr>
          <w:p>
            <w:pPr>
              <w:suppressAutoHyphens/>
              <w:jc w:val="center"/>
              <w:rPr>
                <w:lang w:eastAsia="lt-LT"/>
              </w:rPr>
            </w:pPr>
            <w:r>
              <w:rPr>
                <w:lang w:eastAsia="lt-LT"/>
              </w:rPr>
              <w:t>Įgyvendintos energiją taupančios priemonės</w:t>
            </w:r>
          </w:p>
        </w:tc>
        <w:tc>
          <w:tcPr>
            <w:tcW w:w="1170" w:type="dxa"/>
            <w:vMerge w:val="restart"/>
          </w:tcPr>
          <w:p>
            <w:pPr>
              <w:suppressAutoHyphens/>
              <w:jc w:val="center"/>
              <w:rPr>
                <w:lang w:eastAsia="lt-LT"/>
              </w:rPr>
            </w:pPr>
            <w:r>
              <w:rPr>
                <w:lang w:eastAsia="lt-LT"/>
              </w:rPr>
              <w:t>Lygina-masis šiluminės energijos sutaupy-mas,</w:t>
            </w:r>
          </w:p>
          <w:p>
            <w:pPr>
              <w:suppressAutoHyphens/>
              <w:jc w:val="center"/>
              <w:rPr>
                <w:vertAlign w:val="superscript"/>
                <w:lang w:eastAsia="lt-LT"/>
              </w:rPr>
            </w:pPr>
            <w:r>
              <w:rPr>
                <w:lang w:eastAsia="lt-LT"/>
              </w:rPr>
              <w:t>kWh/m</w:t>
            </w:r>
            <w:r>
              <w:rPr>
                <w:vertAlign w:val="superscript"/>
                <w:lang w:eastAsia="lt-LT"/>
              </w:rPr>
              <w:t>2</w:t>
            </w:r>
            <w:r>
              <w:rPr>
                <w:lang w:eastAsia="lt-LT"/>
              </w:rPr>
              <w:t>/ metus</w:t>
            </w:r>
          </w:p>
        </w:tc>
        <w:tc>
          <w:tcPr>
            <w:tcW w:w="1170" w:type="dxa"/>
            <w:vMerge w:val="restart"/>
          </w:tcPr>
          <w:p>
            <w:pPr>
              <w:suppressAutoHyphens/>
              <w:jc w:val="center"/>
              <w:rPr>
                <w:lang w:eastAsia="lt-LT"/>
              </w:rPr>
            </w:pPr>
            <w:r>
              <w:rPr>
                <w:lang w:eastAsia="lt-LT"/>
              </w:rPr>
              <w:t>Metinis šiluminės energijos sutaupy-mas pastate,</w:t>
            </w:r>
          </w:p>
          <w:p>
            <w:pPr>
              <w:suppressAutoHyphens/>
              <w:jc w:val="center"/>
              <w:rPr>
                <w:lang w:eastAsia="lt-LT"/>
              </w:rPr>
            </w:pPr>
            <w:r>
              <w:rPr>
                <w:lang w:eastAsia="lt-LT"/>
              </w:rPr>
              <w:t>MWh/</w:t>
            </w:r>
          </w:p>
          <w:p>
            <w:pPr>
              <w:suppressAutoHyphens/>
              <w:jc w:val="center"/>
              <w:rPr>
                <w:lang w:eastAsia="lt-LT"/>
              </w:rPr>
            </w:pPr>
            <w:r>
              <w:rPr>
                <w:lang w:eastAsia="lt-LT"/>
              </w:rPr>
              <w:t>metus</w:t>
            </w:r>
          </w:p>
        </w:tc>
        <w:tc>
          <w:tcPr>
            <w:tcW w:w="1296" w:type="dxa"/>
            <w:vMerge w:val="restart"/>
          </w:tcPr>
          <w:p>
            <w:pPr>
              <w:suppressAutoHyphens/>
              <w:jc w:val="center"/>
              <w:rPr>
                <w:vertAlign w:val="subscript"/>
                <w:lang w:eastAsia="lt-LT"/>
              </w:rPr>
            </w:pPr>
            <w:r>
              <w:rPr>
                <w:lang w:eastAsia="lt-LT"/>
              </w:rPr>
              <w:t>CO</w:t>
            </w:r>
            <w:r>
              <w:rPr>
                <w:vertAlign w:val="subscript"/>
                <w:lang w:eastAsia="lt-LT"/>
              </w:rPr>
              <w:t>2</w:t>
            </w:r>
          </w:p>
          <w:p>
            <w:pPr>
              <w:suppressAutoHyphens/>
              <w:jc w:val="center"/>
              <w:rPr>
                <w:lang w:eastAsia="lt-LT"/>
              </w:rPr>
            </w:pPr>
            <w:r>
              <w:rPr>
                <w:lang w:eastAsia="lt-LT"/>
              </w:rPr>
              <w:t>išmetimo sumažė-jimas,</w:t>
            </w:r>
          </w:p>
          <w:p>
            <w:pPr>
              <w:suppressAutoHyphens/>
              <w:jc w:val="center"/>
              <w:rPr>
                <w:lang w:eastAsia="lt-LT"/>
              </w:rPr>
            </w:pPr>
            <w:r>
              <w:rPr>
                <w:lang w:eastAsia="lt-LT"/>
              </w:rPr>
              <w:t>t/metus</w:t>
            </w:r>
          </w:p>
        </w:tc>
        <w:tc>
          <w:tcPr>
            <w:tcW w:w="1296" w:type="dxa"/>
            <w:vMerge w:val="restart"/>
          </w:tcPr>
          <w:p>
            <w:pPr>
              <w:suppressAutoHyphens/>
              <w:jc w:val="center"/>
              <w:rPr>
                <w:lang w:eastAsia="lt-LT"/>
              </w:rPr>
            </w:pPr>
            <w:r>
              <w:rPr>
                <w:lang w:eastAsia="lt-LT"/>
              </w:rPr>
              <w:t>Investicijų suma, mln. Eur</w:t>
            </w:r>
          </w:p>
        </w:tc>
        <w:tc>
          <w:tcPr>
            <w:tcW w:w="4561" w:type="dxa"/>
            <w:gridSpan w:val="5"/>
          </w:tcPr>
          <w:p>
            <w:pPr>
              <w:suppressAutoHyphens/>
              <w:jc w:val="center"/>
              <w:rPr>
                <w:lang w:eastAsia="lt-LT"/>
              </w:rPr>
            </w:pPr>
            <w:r>
              <w:rPr>
                <w:lang w:eastAsia="lt-LT"/>
              </w:rPr>
              <w:t>Suteikta valstybės parama, mln. Eur</w:t>
            </w:r>
          </w:p>
        </w:tc>
      </w:tr>
      <w:tr>
        <w:trPr>
          <w:cantSplit/>
          <w:trHeight w:val="2204"/>
          <w:tblHeader/>
        </w:trPr>
        <w:tc>
          <w:tcPr>
            <w:tcW w:w="675" w:type="dxa"/>
            <w:vMerge/>
          </w:tcPr>
          <w:p>
            <w:pPr>
              <w:suppressAutoHyphens/>
              <w:jc w:val="center"/>
              <w:rPr>
                <w:lang w:eastAsia="lt-LT"/>
              </w:rPr>
            </w:pPr>
          </w:p>
        </w:tc>
        <w:tc>
          <w:tcPr>
            <w:tcW w:w="993" w:type="dxa"/>
            <w:vMerge/>
          </w:tcPr>
          <w:p>
            <w:pPr>
              <w:suppressAutoHyphens/>
              <w:jc w:val="center"/>
              <w:rPr>
                <w:lang w:eastAsia="lt-LT"/>
              </w:rPr>
            </w:pPr>
          </w:p>
        </w:tc>
        <w:tc>
          <w:tcPr>
            <w:tcW w:w="1045" w:type="dxa"/>
            <w:vMerge/>
          </w:tcPr>
          <w:p>
            <w:pPr>
              <w:suppressAutoHyphens/>
              <w:jc w:val="center"/>
              <w:rPr>
                <w:lang w:eastAsia="lt-LT"/>
              </w:rPr>
            </w:pPr>
          </w:p>
        </w:tc>
        <w:tc>
          <w:tcPr>
            <w:tcW w:w="1170" w:type="dxa"/>
            <w:vMerge/>
          </w:tcPr>
          <w:p>
            <w:pPr>
              <w:suppressAutoHyphens/>
              <w:jc w:val="center"/>
              <w:rPr>
                <w:lang w:eastAsia="lt-LT"/>
              </w:rPr>
            </w:pPr>
          </w:p>
        </w:tc>
        <w:tc>
          <w:tcPr>
            <w:tcW w:w="1474" w:type="dxa"/>
            <w:vMerge/>
          </w:tcPr>
          <w:p>
            <w:pPr>
              <w:suppressAutoHyphens/>
              <w:jc w:val="center"/>
              <w:rPr>
                <w:lang w:eastAsia="lt-LT"/>
              </w:rPr>
            </w:pPr>
          </w:p>
        </w:tc>
        <w:tc>
          <w:tcPr>
            <w:tcW w:w="1170" w:type="dxa"/>
            <w:vMerge/>
          </w:tcPr>
          <w:p>
            <w:pPr>
              <w:suppressAutoHyphens/>
              <w:jc w:val="center"/>
              <w:rPr>
                <w:lang w:eastAsia="lt-LT"/>
              </w:rPr>
            </w:pPr>
          </w:p>
        </w:tc>
        <w:tc>
          <w:tcPr>
            <w:tcW w:w="1170" w:type="dxa"/>
            <w:vMerge/>
          </w:tcPr>
          <w:p>
            <w:pPr>
              <w:suppressAutoHyphens/>
              <w:jc w:val="center"/>
              <w:rPr>
                <w:lang w:eastAsia="lt-LT"/>
              </w:rPr>
            </w:pPr>
          </w:p>
        </w:tc>
        <w:tc>
          <w:tcPr>
            <w:tcW w:w="1296" w:type="dxa"/>
            <w:vMerge/>
          </w:tcPr>
          <w:p>
            <w:pPr>
              <w:suppressAutoHyphens/>
              <w:jc w:val="center"/>
              <w:rPr>
                <w:lang w:eastAsia="lt-LT"/>
              </w:rPr>
            </w:pPr>
          </w:p>
        </w:tc>
        <w:tc>
          <w:tcPr>
            <w:tcW w:w="1296" w:type="dxa"/>
            <w:vMerge/>
          </w:tcPr>
          <w:p>
            <w:pPr>
              <w:suppressAutoHyphens/>
              <w:jc w:val="center"/>
              <w:rPr>
                <w:lang w:eastAsia="lt-LT"/>
              </w:rPr>
            </w:pPr>
          </w:p>
        </w:tc>
        <w:tc>
          <w:tcPr>
            <w:tcW w:w="850" w:type="dxa"/>
            <w:textDirection w:val="btLr"/>
            <w:vAlign w:val="center"/>
          </w:tcPr>
          <w:p>
            <w:pPr>
              <w:suppressAutoHyphens/>
              <w:ind w:left="113" w:right="113"/>
              <w:jc w:val="center"/>
              <w:rPr>
                <w:lang w:eastAsia="lt-LT"/>
              </w:rPr>
            </w:pPr>
            <w:r>
              <w:rPr>
                <w:lang w:eastAsia="lt-LT"/>
              </w:rPr>
              <w:t>Projektavimui</w:t>
            </w:r>
          </w:p>
        </w:tc>
        <w:tc>
          <w:tcPr>
            <w:tcW w:w="850" w:type="dxa"/>
            <w:textDirection w:val="btLr"/>
            <w:vAlign w:val="center"/>
          </w:tcPr>
          <w:p>
            <w:pPr>
              <w:suppressAutoHyphens/>
              <w:ind w:left="113" w:right="113"/>
              <w:jc w:val="center"/>
              <w:rPr>
                <w:lang w:eastAsia="lt-LT"/>
              </w:rPr>
            </w:pPr>
            <w:r>
              <w:rPr>
                <w:lang w:eastAsia="lt-LT"/>
              </w:rPr>
              <w:t>Projekto administraviui</w:t>
            </w:r>
          </w:p>
        </w:tc>
        <w:tc>
          <w:tcPr>
            <w:tcW w:w="850" w:type="dxa"/>
            <w:textDirection w:val="btLr"/>
            <w:vAlign w:val="center"/>
          </w:tcPr>
          <w:p>
            <w:pPr>
              <w:suppressAutoHyphens/>
              <w:ind w:left="113" w:right="113"/>
              <w:jc w:val="center"/>
              <w:rPr>
                <w:lang w:eastAsia="lt-LT"/>
              </w:rPr>
            </w:pPr>
            <w:r>
              <w:rPr>
                <w:lang w:eastAsia="lt-LT"/>
              </w:rPr>
              <w:t>Statybos techninei priežiūrai</w:t>
            </w:r>
          </w:p>
        </w:tc>
        <w:tc>
          <w:tcPr>
            <w:tcW w:w="1161" w:type="dxa"/>
            <w:textDirection w:val="btLr"/>
            <w:vAlign w:val="center"/>
          </w:tcPr>
          <w:p>
            <w:pPr>
              <w:suppressAutoHyphens/>
              <w:ind w:left="113" w:right="113"/>
              <w:jc w:val="center"/>
              <w:rPr>
                <w:lang w:eastAsia="lt-LT"/>
              </w:rPr>
            </w:pPr>
            <w:r>
              <w:rPr>
                <w:lang w:eastAsia="lt-LT"/>
              </w:rPr>
              <w:t>Energinį efektyvumą didinančioms priemonėms</w:t>
            </w:r>
          </w:p>
        </w:tc>
        <w:tc>
          <w:tcPr>
            <w:tcW w:w="850" w:type="dxa"/>
            <w:textDirection w:val="btLr"/>
            <w:vAlign w:val="center"/>
          </w:tcPr>
          <w:p>
            <w:pPr>
              <w:suppressAutoHyphens/>
              <w:ind w:left="113" w:right="113"/>
              <w:jc w:val="center"/>
              <w:rPr>
                <w:lang w:eastAsia="lt-LT"/>
              </w:rPr>
            </w:pPr>
            <w:r>
              <w:rPr>
                <w:lang w:eastAsia="lt-LT"/>
              </w:rPr>
              <w:t>Iš viso</w:t>
            </w:r>
          </w:p>
        </w:tc>
      </w:tr>
      <w:tr>
        <w:tc>
          <w:tcPr>
            <w:tcW w:w="675" w:type="dxa"/>
          </w:tcPr>
          <w:p>
            <w:pPr>
              <w:suppressAutoHyphens/>
              <w:jc w:val="center"/>
              <w:rPr>
                <w:lang w:eastAsia="lt-LT"/>
              </w:rPr>
            </w:pPr>
            <w:r>
              <w:rPr>
                <w:lang w:eastAsia="lt-LT"/>
              </w:rPr>
              <w:t>1</w:t>
            </w:r>
          </w:p>
        </w:tc>
        <w:tc>
          <w:tcPr>
            <w:tcW w:w="993" w:type="dxa"/>
          </w:tcPr>
          <w:p>
            <w:pPr>
              <w:suppressAutoHyphens/>
              <w:jc w:val="center"/>
              <w:rPr>
                <w:lang w:eastAsia="lt-LT"/>
              </w:rPr>
            </w:pPr>
            <w:r>
              <w:rPr>
                <w:lang w:eastAsia="lt-LT"/>
              </w:rPr>
              <w:t>2</w:t>
            </w:r>
          </w:p>
        </w:tc>
        <w:tc>
          <w:tcPr>
            <w:tcW w:w="1045" w:type="dxa"/>
          </w:tcPr>
          <w:p>
            <w:pPr>
              <w:suppressAutoHyphens/>
              <w:jc w:val="center"/>
              <w:rPr>
                <w:lang w:eastAsia="lt-LT"/>
              </w:rPr>
            </w:pPr>
            <w:r>
              <w:rPr>
                <w:lang w:eastAsia="lt-LT"/>
              </w:rPr>
              <w:t>3</w:t>
            </w:r>
          </w:p>
        </w:tc>
        <w:tc>
          <w:tcPr>
            <w:tcW w:w="1170" w:type="dxa"/>
          </w:tcPr>
          <w:p>
            <w:pPr>
              <w:suppressAutoHyphens/>
              <w:jc w:val="center"/>
              <w:rPr>
                <w:lang w:eastAsia="lt-LT"/>
              </w:rPr>
            </w:pPr>
            <w:r>
              <w:rPr>
                <w:lang w:eastAsia="lt-LT"/>
              </w:rPr>
              <w:t>4</w:t>
            </w:r>
          </w:p>
        </w:tc>
        <w:tc>
          <w:tcPr>
            <w:tcW w:w="1474" w:type="dxa"/>
          </w:tcPr>
          <w:p>
            <w:pPr>
              <w:suppressAutoHyphens/>
              <w:jc w:val="center"/>
              <w:rPr>
                <w:lang w:eastAsia="lt-LT"/>
              </w:rPr>
            </w:pPr>
            <w:r>
              <w:rPr>
                <w:lang w:eastAsia="lt-LT"/>
              </w:rPr>
              <w:t>5</w:t>
            </w:r>
          </w:p>
        </w:tc>
        <w:tc>
          <w:tcPr>
            <w:tcW w:w="1170" w:type="dxa"/>
          </w:tcPr>
          <w:p>
            <w:pPr>
              <w:suppressAutoHyphens/>
              <w:jc w:val="center"/>
              <w:rPr>
                <w:lang w:eastAsia="lt-LT"/>
              </w:rPr>
            </w:pPr>
            <w:r>
              <w:rPr>
                <w:lang w:eastAsia="lt-LT"/>
              </w:rPr>
              <w:t>6</w:t>
            </w:r>
          </w:p>
        </w:tc>
        <w:tc>
          <w:tcPr>
            <w:tcW w:w="1170" w:type="dxa"/>
          </w:tcPr>
          <w:p>
            <w:pPr>
              <w:suppressAutoHyphens/>
              <w:jc w:val="center"/>
              <w:rPr>
                <w:lang w:eastAsia="lt-LT"/>
              </w:rPr>
            </w:pPr>
            <w:r>
              <w:rPr>
                <w:lang w:eastAsia="lt-LT"/>
              </w:rPr>
              <w:t>7</w:t>
            </w:r>
          </w:p>
        </w:tc>
        <w:tc>
          <w:tcPr>
            <w:tcW w:w="1296" w:type="dxa"/>
          </w:tcPr>
          <w:p>
            <w:pPr>
              <w:suppressAutoHyphens/>
              <w:jc w:val="center"/>
              <w:rPr>
                <w:lang w:eastAsia="lt-LT"/>
              </w:rPr>
            </w:pPr>
            <w:r>
              <w:rPr>
                <w:lang w:eastAsia="lt-LT"/>
              </w:rPr>
              <w:t>8</w:t>
            </w:r>
          </w:p>
        </w:tc>
        <w:tc>
          <w:tcPr>
            <w:tcW w:w="1296" w:type="dxa"/>
          </w:tcPr>
          <w:p>
            <w:pPr>
              <w:suppressAutoHyphens/>
              <w:jc w:val="center"/>
              <w:rPr>
                <w:lang w:eastAsia="lt-LT"/>
              </w:rPr>
            </w:pPr>
            <w:r>
              <w:rPr>
                <w:lang w:eastAsia="lt-LT"/>
              </w:rPr>
              <w:t>9</w:t>
            </w:r>
          </w:p>
        </w:tc>
        <w:tc>
          <w:tcPr>
            <w:tcW w:w="850" w:type="dxa"/>
          </w:tcPr>
          <w:p>
            <w:pPr>
              <w:suppressAutoHyphens/>
              <w:jc w:val="center"/>
              <w:rPr>
                <w:lang w:eastAsia="lt-LT"/>
              </w:rPr>
            </w:pPr>
            <w:r>
              <w:rPr>
                <w:lang w:eastAsia="lt-LT"/>
              </w:rPr>
              <w:t>10</w:t>
            </w:r>
          </w:p>
        </w:tc>
        <w:tc>
          <w:tcPr>
            <w:tcW w:w="850" w:type="dxa"/>
          </w:tcPr>
          <w:p>
            <w:pPr>
              <w:suppressAutoHyphens/>
              <w:jc w:val="center"/>
              <w:rPr>
                <w:lang w:eastAsia="lt-LT"/>
              </w:rPr>
            </w:pPr>
            <w:r>
              <w:rPr>
                <w:lang w:eastAsia="lt-LT"/>
              </w:rPr>
              <w:t>11</w:t>
            </w:r>
          </w:p>
        </w:tc>
        <w:tc>
          <w:tcPr>
            <w:tcW w:w="850" w:type="dxa"/>
          </w:tcPr>
          <w:p>
            <w:pPr>
              <w:suppressAutoHyphens/>
              <w:jc w:val="center"/>
              <w:rPr>
                <w:lang w:eastAsia="lt-LT"/>
              </w:rPr>
            </w:pPr>
            <w:r>
              <w:rPr>
                <w:lang w:eastAsia="lt-LT"/>
              </w:rPr>
              <w:t>12</w:t>
            </w:r>
          </w:p>
        </w:tc>
        <w:tc>
          <w:tcPr>
            <w:tcW w:w="1161" w:type="dxa"/>
          </w:tcPr>
          <w:p>
            <w:pPr>
              <w:suppressAutoHyphens/>
              <w:jc w:val="center"/>
              <w:rPr>
                <w:lang w:eastAsia="lt-LT"/>
              </w:rPr>
            </w:pPr>
            <w:r>
              <w:rPr>
                <w:lang w:eastAsia="lt-LT"/>
              </w:rPr>
              <w:t>13</w:t>
            </w:r>
          </w:p>
        </w:tc>
        <w:tc>
          <w:tcPr>
            <w:tcW w:w="850" w:type="dxa"/>
          </w:tcPr>
          <w:p>
            <w:pPr>
              <w:suppressAutoHyphens/>
              <w:jc w:val="center"/>
              <w:rPr>
                <w:lang w:eastAsia="lt-LT"/>
              </w:rPr>
            </w:pPr>
            <w:r>
              <w:rPr>
                <w:lang w:eastAsia="lt-LT"/>
              </w:rPr>
              <w:t>14</w:t>
            </w:r>
          </w:p>
        </w:tc>
      </w:tr>
      <w:tr>
        <w:tc>
          <w:tcPr>
            <w:tcW w:w="675" w:type="dxa"/>
          </w:tcPr>
          <w:p>
            <w:pPr>
              <w:suppressAutoHyphens/>
              <w:jc w:val="center"/>
              <w:rPr>
                <w:lang w:eastAsia="lt-LT"/>
              </w:rPr>
            </w:pPr>
            <w:r>
              <w:rPr>
                <w:lang w:eastAsia="lt-LT"/>
              </w:rPr>
              <w:t>1.</w:t>
            </w:r>
          </w:p>
        </w:tc>
        <w:tc>
          <w:tcPr>
            <w:tcW w:w="993" w:type="dxa"/>
          </w:tcPr>
          <w:p>
            <w:pPr>
              <w:suppressAutoHyphens/>
              <w:jc w:val="right"/>
              <w:rPr>
                <w:lang w:eastAsia="lt-LT"/>
              </w:rPr>
            </w:pPr>
          </w:p>
        </w:tc>
        <w:tc>
          <w:tcPr>
            <w:tcW w:w="1045" w:type="dxa"/>
          </w:tcPr>
          <w:p>
            <w:pPr>
              <w:suppressAutoHyphens/>
              <w:jc w:val="right"/>
              <w:rPr>
                <w:lang w:eastAsia="lt-LT"/>
              </w:rPr>
            </w:pPr>
          </w:p>
        </w:tc>
        <w:tc>
          <w:tcPr>
            <w:tcW w:w="1170" w:type="dxa"/>
          </w:tcPr>
          <w:p>
            <w:pPr>
              <w:suppressAutoHyphens/>
              <w:jc w:val="right"/>
              <w:rPr>
                <w:lang w:eastAsia="lt-LT"/>
              </w:rPr>
            </w:pPr>
          </w:p>
        </w:tc>
        <w:tc>
          <w:tcPr>
            <w:tcW w:w="1474" w:type="dxa"/>
          </w:tcPr>
          <w:p>
            <w:pPr>
              <w:suppressAutoHyphens/>
              <w:jc w:val="right"/>
              <w:rPr>
                <w:lang w:eastAsia="lt-LT"/>
              </w:rPr>
            </w:pPr>
          </w:p>
        </w:tc>
        <w:tc>
          <w:tcPr>
            <w:tcW w:w="1170" w:type="dxa"/>
          </w:tcPr>
          <w:p>
            <w:pPr>
              <w:suppressAutoHyphens/>
              <w:jc w:val="right"/>
              <w:rPr>
                <w:lang w:eastAsia="lt-LT"/>
              </w:rPr>
            </w:pPr>
          </w:p>
        </w:tc>
        <w:tc>
          <w:tcPr>
            <w:tcW w:w="1170" w:type="dxa"/>
          </w:tcPr>
          <w:p>
            <w:pPr>
              <w:suppressAutoHyphens/>
              <w:jc w:val="right"/>
              <w:rPr>
                <w:lang w:eastAsia="lt-LT"/>
              </w:rPr>
            </w:pPr>
          </w:p>
        </w:tc>
        <w:tc>
          <w:tcPr>
            <w:tcW w:w="1296" w:type="dxa"/>
          </w:tcPr>
          <w:p>
            <w:pPr>
              <w:suppressAutoHyphens/>
              <w:jc w:val="right"/>
              <w:rPr>
                <w:lang w:eastAsia="lt-LT"/>
              </w:rPr>
            </w:pPr>
          </w:p>
        </w:tc>
        <w:tc>
          <w:tcPr>
            <w:tcW w:w="1296" w:type="dxa"/>
          </w:tcPr>
          <w:p>
            <w:pPr>
              <w:suppressAutoHyphens/>
              <w:jc w:val="right"/>
              <w:rPr>
                <w:lang w:eastAsia="lt-LT"/>
              </w:rPr>
            </w:pPr>
          </w:p>
        </w:tc>
        <w:tc>
          <w:tcPr>
            <w:tcW w:w="850" w:type="dxa"/>
          </w:tcPr>
          <w:p>
            <w:pPr>
              <w:suppressAutoHyphens/>
              <w:jc w:val="right"/>
              <w:rPr>
                <w:lang w:eastAsia="lt-LT"/>
              </w:rPr>
            </w:pPr>
          </w:p>
        </w:tc>
        <w:tc>
          <w:tcPr>
            <w:tcW w:w="850" w:type="dxa"/>
          </w:tcPr>
          <w:p>
            <w:pPr>
              <w:suppressAutoHyphens/>
              <w:jc w:val="right"/>
              <w:rPr>
                <w:lang w:eastAsia="lt-LT"/>
              </w:rPr>
            </w:pPr>
          </w:p>
        </w:tc>
        <w:tc>
          <w:tcPr>
            <w:tcW w:w="850" w:type="dxa"/>
          </w:tcPr>
          <w:p>
            <w:pPr>
              <w:suppressAutoHyphens/>
              <w:jc w:val="right"/>
              <w:rPr>
                <w:lang w:eastAsia="lt-LT"/>
              </w:rPr>
            </w:pPr>
          </w:p>
        </w:tc>
        <w:tc>
          <w:tcPr>
            <w:tcW w:w="1161" w:type="dxa"/>
          </w:tcPr>
          <w:p>
            <w:pPr>
              <w:suppressAutoHyphens/>
              <w:jc w:val="right"/>
              <w:rPr>
                <w:lang w:eastAsia="lt-LT"/>
              </w:rPr>
            </w:pPr>
          </w:p>
        </w:tc>
        <w:tc>
          <w:tcPr>
            <w:tcW w:w="850" w:type="dxa"/>
          </w:tcPr>
          <w:p>
            <w:pPr>
              <w:suppressAutoHyphens/>
              <w:jc w:val="right"/>
              <w:rPr>
                <w:lang w:eastAsia="lt-LT"/>
              </w:rPr>
            </w:pPr>
          </w:p>
        </w:tc>
      </w:tr>
      <w:tr>
        <w:tc>
          <w:tcPr>
            <w:tcW w:w="675" w:type="dxa"/>
          </w:tcPr>
          <w:p>
            <w:pPr>
              <w:suppressAutoHyphens/>
              <w:jc w:val="center"/>
              <w:rPr>
                <w:lang w:eastAsia="lt-LT"/>
              </w:rPr>
            </w:pPr>
            <w:r>
              <w:rPr>
                <w:lang w:eastAsia="lt-LT"/>
              </w:rPr>
              <w:t>2.</w:t>
            </w:r>
          </w:p>
        </w:tc>
        <w:tc>
          <w:tcPr>
            <w:tcW w:w="993" w:type="dxa"/>
          </w:tcPr>
          <w:p>
            <w:pPr>
              <w:suppressAutoHyphens/>
              <w:jc w:val="right"/>
              <w:rPr>
                <w:lang w:eastAsia="lt-LT"/>
              </w:rPr>
            </w:pPr>
          </w:p>
        </w:tc>
        <w:tc>
          <w:tcPr>
            <w:tcW w:w="1045" w:type="dxa"/>
          </w:tcPr>
          <w:p>
            <w:pPr>
              <w:suppressAutoHyphens/>
              <w:jc w:val="right"/>
              <w:rPr>
                <w:lang w:eastAsia="lt-LT"/>
              </w:rPr>
            </w:pPr>
          </w:p>
        </w:tc>
        <w:tc>
          <w:tcPr>
            <w:tcW w:w="1170" w:type="dxa"/>
          </w:tcPr>
          <w:p>
            <w:pPr>
              <w:suppressAutoHyphens/>
              <w:jc w:val="right"/>
              <w:rPr>
                <w:lang w:eastAsia="lt-LT"/>
              </w:rPr>
            </w:pPr>
          </w:p>
        </w:tc>
        <w:tc>
          <w:tcPr>
            <w:tcW w:w="1474" w:type="dxa"/>
          </w:tcPr>
          <w:p>
            <w:pPr>
              <w:suppressAutoHyphens/>
              <w:jc w:val="right"/>
              <w:rPr>
                <w:lang w:eastAsia="lt-LT"/>
              </w:rPr>
            </w:pPr>
          </w:p>
        </w:tc>
        <w:tc>
          <w:tcPr>
            <w:tcW w:w="1170" w:type="dxa"/>
          </w:tcPr>
          <w:p>
            <w:pPr>
              <w:suppressAutoHyphens/>
              <w:jc w:val="right"/>
              <w:rPr>
                <w:lang w:eastAsia="lt-LT"/>
              </w:rPr>
            </w:pPr>
          </w:p>
        </w:tc>
        <w:tc>
          <w:tcPr>
            <w:tcW w:w="1170" w:type="dxa"/>
          </w:tcPr>
          <w:p>
            <w:pPr>
              <w:suppressAutoHyphens/>
              <w:jc w:val="right"/>
              <w:rPr>
                <w:lang w:eastAsia="lt-LT"/>
              </w:rPr>
            </w:pPr>
          </w:p>
        </w:tc>
        <w:tc>
          <w:tcPr>
            <w:tcW w:w="1296" w:type="dxa"/>
          </w:tcPr>
          <w:p>
            <w:pPr>
              <w:suppressAutoHyphens/>
              <w:jc w:val="right"/>
              <w:rPr>
                <w:lang w:eastAsia="lt-LT"/>
              </w:rPr>
            </w:pPr>
          </w:p>
        </w:tc>
        <w:tc>
          <w:tcPr>
            <w:tcW w:w="1296" w:type="dxa"/>
          </w:tcPr>
          <w:p>
            <w:pPr>
              <w:suppressAutoHyphens/>
              <w:jc w:val="right"/>
              <w:rPr>
                <w:lang w:eastAsia="lt-LT"/>
              </w:rPr>
            </w:pPr>
          </w:p>
        </w:tc>
        <w:tc>
          <w:tcPr>
            <w:tcW w:w="850" w:type="dxa"/>
          </w:tcPr>
          <w:p>
            <w:pPr>
              <w:suppressAutoHyphens/>
              <w:jc w:val="right"/>
              <w:rPr>
                <w:lang w:eastAsia="lt-LT"/>
              </w:rPr>
            </w:pPr>
          </w:p>
        </w:tc>
        <w:tc>
          <w:tcPr>
            <w:tcW w:w="850" w:type="dxa"/>
          </w:tcPr>
          <w:p>
            <w:pPr>
              <w:suppressAutoHyphens/>
              <w:jc w:val="right"/>
              <w:rPr>
                <w:lang w:eastAsia="lt-LT"/>
              </w:rPr>
            </w:pPr>
          </w:p>
        </w:tc>
        <w:tc>
          <w:tcPr>
            <w:tcW w:w="850" w:type="dxa"/>
          </w:tcPr>
          <w:p>
            <w:pPr>
              <w:suppressAutoHyphens/>
              <w:jc w:val="right"/>
              <w:rPr>
                <w:lang w:eastAsia="lt-LT"/>
              </w:rPr>
            </w:pPr>
          </w:p>
        </w:tc>
        <w:tc>
          <w:tcPr>
            <w:tcW w:w="1161" w:type="dxa"/>
          </w:tcPr>
          <w:p>
            <w:pPr>
              <w:suppressAutoHyphens/>
              <w:jc w:val="right"/>
              <w:rPr>
                <w:lang w:eastAsia="lt-LT"/>
              </w:rPr>
            </w:pPr>
          </w:p>
        </w:tc>
        <w:tc>
          <w:tcPr>
            <w:tcW w:w="850" w:type="dxa"/>
          </w:tcPr>
          <w:p>
            <w:pPr>
              <w:suppressAutoHyphens/>
              <w:jc w:val="right"/>
              <w:rPr>
                <w:lang w:eastAsia="lt-LT"/>
              </w:rPr>
            </w:pPr>
          </w:p>
        </w:tc>
      </w:tr>
      <w:tr>
        <w:tc>
          <w:tcPr>
            <w:tcW w:w="675" w:type="dxa"/>
            <w:tcBorders>
              <w:bottom w:val="single" w:sz="4" w:space="0" w:color="auto"/>
            </w:tcBorders>
          </w:tcPr>
          <w:p>
            <w:pPr>
              <w:suppressAutoHyphens/>
              <w:jc w:val="center"/>
              <w:rPr>
                <w:lang w:eastAsia="lt-LT"/>
              </w:rPr>
            </w:pPr>
            <w:r>
              <w:rPr>
                <w:lang w:eastAsia="lt-LT"/>
              </w:rPr>
              <w:t>...</w:t>
            </w:r>
          </w:p>
        </w:tc>
        <w:tc>
          <w:tcPr>
            <w:tcW w:w="993" w:type="dxa"/>
            <w:tcBorders>
              <w:bottom w:val="single" w:sz="4" w:space="0" w:color="auto"/>
            </w:tcBorders>
          </w:tcPr>
          <w:p>
            <w:pPr>
              <w:suppressAutoHyphens/>
              <w:jc w:val="right"/>
              <w:rPr>
                <w:lang w:eastAsia="lt-LT"/>
              </w:rPr>
            </w:pPr>
          </w:p>
        </w:tc>
        <w:tc>
          <w:tcPr>
            <w:tcW w:w="1045" w:type="dxa"/>
            <w:tcBorders>
              <w:bottom w:val="single" w:sz="4" w:space="0" w:color="auto"/>
            </w:tcBorders>
          </w:tcPr>
          <w:p>
            <w:pPr>
              <w:suppressAutoHyphens/>
              <w:jc w:val="right"/>
              <w:rPr>
                <w:lang w:eastAsia="lt-LT"/>
              </w:rPr>
            </w:pPr>
          </w:p>
        </w:tc>
        <w:tc>
          <w:tcPr>
            <w:tcW w:w="1170" w:type="dxa"/>
            <w:tcBorders>
              <w:bottom w:val="single" w:sz="4" w:space="0" w:color="auto"/>
            </w:tcBorders>
          </w:tcPr>
          <w:p>
            <w:pPr>
              <w:suppressAutoHyphens/>
              <w:jc w:val="right"/>
              <w:rPr>
                <w:lang w:eastAsia="lt-LT"/>
              </w:rPr>
            </w:pPr>
          </w:p>
        </w:tc>
        <w:tc>
          <w:tcPr>
            <w:tcW w:w="1474" w:type="dxa"/>
          </w:tcPr>
          <w:p>
            <w:pPr>
              <w:suppressAutoHyphens/>
              <w:jc w:val="right"/>
              <w:rPr>
                <w:lang w:eastAsia="lt-LT"/>
              </w:rPr>
            </w:pPr>
          </w:p>
        </w:tc>
        <w:tc>
          <w:tcPr>
            <w:tcW w:w="1170" w:type="dxa"/>
          </w:tcPr>
          <w:p>
            <w:pPr>
              <w:suppressAutoHyphens/>
              <w:jc w:val="right"/>
              <w:rPr>
                <w:lang w:eastAsia="lt-LT"/>
              </w:rPr>
            </w:pPr>
          </w:p>
        </w:tc>
        <w:tc>
          <w:tcPr>
            <w:tcW w:w="1170" w:type="dxa"/>
          </w:tcPr>
          <w:p>
            <w:pPr>
              <w:suppressAutoHyphens/>
              <w:jc w:val="right"/>
              <w:rPr>
                <w:lang w:eastAsia="lt-LT"/>
              </w:rPr>
            </w:pPr>
          </w:p>
        </w:tc>
        <w:tc>
          <w:tcPr>
            <w:tcW w:w="1296" w:type="dxa"/>
          </w:tcPr>
          <w:p>
            <w:pPr>
              <w:suppressAutoHyphens/>
              <w:jc w:val="right"/>
              <w:rPr>
                <w:lang w:eastAsia="lt-LT"/>
              </w:rPr>
            </w:pPr>
          </w:p>
        </w:tc>
        <w:tc>
          <w:tcPr>
            <w:tcW w:w="1296" w:type="dxa"/>
          </w:tcPr>
          <w:p>
            <w:pPr>
              <w:suppressAutoHyphens/>
              <w:jc w:val="right"/>
              <w:rPr>
                <w:lang w:eastAsia="lt-LT"/>
              </w:rPr>
            </w:pPr>
          </w:p>
        </w:tc>
        <w:tc>
          <w:tcPr>
            <w:tcW w:w="850" w:type="dxa"/>
          </w:tcPr>
          <w:p>
            <w:pPr>
              <w:suppressAutoHyphens/>
              <w:jc w:val="right"/>
              <w:rPr>
                <w:lang w:eastAsia="lt-LT"/>
              </w:rPr>
            </w:pPr>
          </w:p>
        </w:tc>
        <w:tc>
          <w:tcPr>
            <w:tcW w:w="850" w:type="dxa"/>
          </w:tcPr>
          <w:p>
            <w:pPr>
              <w:suppressAutoHyphens/>
              <w:jc w:val="right"/>
              <w:rPr>
                <w:lang w:eastAsia="lt-LT"/>
              </w:rPr>
            </w:pPr>
          </w:p>
        </w:tc>
        <w:tc>
          <w:tcPr>
            <w:tcW w:w="850" w:type="dxa"/>
          </w:tcPr>
          <w:p>
            <w:pPr>
              <w:suppressAutoHyphens/>
              <w:jc w:val="right"/>
              <w:rPr>
                <w:lang w:eastAsia="lt-LT"/>
              </w:rPr>
            </w:pPr>
          </w:p>
        </w:tc>
        <w:tc>
          <w:tcPr>
            <w:tcW w:w="1161" w:type="dxa"/>
          </w:tcPr>
          <w:p>
            <w:pPr>
              <w:suppressAutoHyphens/>
              <w:jc w:val="right"/>
              <w:rPr>
                <w:lang w:eastAsia="lt-LT"/>
              </w:rPr>
            </w:pPr>
          </w:p>
        </w:tc>
        <w:tc>
          <w:tcPr>
            <w:tcW w:w="850" w:type="dxa"/>
          </w:tcPr>
          <w:p>
            <w:pPr>
              <w:suppressAutoHyphens/>
              <w:jc w:val="right"/>
              <w:rPr>
                <w:lang w:eastAsia="lt-LT"/>
              </w:rPr>
            </w:pPr>
          </w:p>
        </w:tc>
      </w:tr>
      <w:tr>
        <w:tc>
          <w:tcPr>
            <w:tcW w:w="675" w:type="dxa"/>
            <w:tcBorders>
              <w:right w:val="nil"/>
            </w:tcBorders>
          </w:tcPr>
          <w:p>
            <w:pPr>
              <w:suppressAutoHyphens/>
              <w:jc w:val="center"/>
              <w:rPr>
                <w:lang w:eastAsia="lt-LT"/>
              </w:rPr>
            </w:pPr>
          </w:p>
        </w:tc>
        <w:tc>
          <w:tcPr>
            <w:tcW w:w="993" w:type="dxa"/>
            <w:tcBorders>
              <w:left w:val="nil"/>
              <w:right w:val="nil"/>
            </w:tcBorders>
          </w:tcPr>
          <w:p>
            <w:pPr>
              <w:suppressAutoHyphens/>
              <w:jc w:val="right"/>
              <w:rPr>
                <w:lang w:eastAsia="lt-LT"/>
              </w:rPr>
            </w:pPr>
          </w:p>
        </w:tc>
        <w:tc>
          <w:tcPr>
            <w:tcW w:w="1045" w:type="dxa"/>
            <w:tcBorders>
              <w:left w:val="nil"/>
              <w:right w:val="nil"/>
            </w:tcBorders>
          </w:tcPr>
          <w:p>
            <w:pPr>
              <w:suppressAutoHyphens/>
              <w:jc w:val="right"/>
              <w:rPr>
                <w:lang w:eastAsia="lt-LT"/>
              </w:rPr>
            </w:pPr>
          </w:p>
        </w:tc>
        <w:tc>
          <w:tcPr>
            <w:tcW w:w="1170" w:type="dxa"/>
            <w:tcBorders>
              <w:left w:val="nil"/>
              <w:right w:val="nil"/>
            </w:tcBorders>
          </w:tcPr>
          <w:p>
            <w:pPr>
              <w:suppressAutoHyphens/>
              <w:jc w:val="right"/>
              <w:rPr>
                <w:lang w:eastAsia="lt-LT"/>
              </w:rPr>
            </w:pPr>
          </w:p>
        </w:tc>
        <w:tc>
          <w:tcPr>
            <w:tcW w:w="1474" w:type="dxa"/>
            <w:tcBorders>
              <w:left w:val="nil"/>
            </w:tcBorders>
          </w:tcPr>
          <w:p>
            <w:pPr>
              <w:suppressAutoHyphens/>
              <w:jc w:val="right"/>
              <w:rPr>
                <w:lang w:eastAsia="lt-LT"/>
              </w:rPr>
            </w:pPr>
            <w:r>
              <w:rPr>
                <w:lang w:eastAsia="lt-LT"/>
              </w:rPr>
              <w:t>Iš viso:</w:t>
            </w:r>
          </w:p>
        </w:tc>
        <w:tc>
          <w:tcPr>
            <w:tcW w:w="1170" w:type="dxa"/>
          </w:tcPr>
          <w:p>
            <w:pPr>
              <w:suppressAutoHyphens/>
              <w:jc w:val="right"/>
              <w:rPr>
                <w:lang w:eastAsia="lt-LT"/>
              </w:rPr>
            </w:pPr>
          </w:p>
        </w:tc>
        <w:tc>
          <w:tcPr>
            <w:tcW w:w="1170" w:type="dxa"/>
          </w:tcPr>
          <w:p>
            <w:pPr>
              <w:suppressAutoHyphens/>
              <w:jc w:val="right"/>
              <w:rPr>
                <w:lang w:eastAsia="lt-LT"/>
              </w:rPr>
            </w:pPr>
          </w:p>
        </w:tc>
        <w:tc>
          <w:tcPr>
            <w:tcW w:w="1296" w:type="dxa"/>
          </w:tcPr>
          <w:p>
            <w:pPr>
              <w:suppressAutoHyphens/>
              <w:jc w:val="right"/>
              <w:rPr>
                <w:lang w:eastAsia="lt-LT"/>
              </w:rPr>
            </w:pPr>
          </w:p>
        </w:tc>
        <w:tc>
          <w:tcPr>
            <w:tcW w:w="1296" w:type="dxa"/>
          </w:tcPr>
          <w:p>
            <w:pPr>
              <w:suppressAutoHyphens/>
              <w:jc w:val="right"/>
              <w:rPr>
                <w:lang w:eastAsia="lt-LT"/>
              </w:rPr>
            </w:pPr>
          </w:p>
        </w:tc>
        <w:tc>
          <w:tcPr>
            <w:tcW w:w="850" w:type="dxa"/>
          </w:tcPr>
          <w:p>
            <w:pPr>
              <w:suppressAutoHyphens/>
              <w:jc w:val="right"/>
              <w:rPr>
                <w:lang w:eastAsia="lt-LT"/>
              </w:rPr>
            </w:pPr>
          </w:p>
        </w:tc>
        <w:tc>
          <w:tcPr>
            <w:tcW w:w="850" w:type="dxa"/>
          </w:tcPr>
          <w:p>
            <w:pPr>
              <w:suppressAutoHyphens/>
              <w:jc w:val="right"/>
              <w:rPr>
                <w:lang w:eastAsia="lt-LT"/>
              </w:rPr>
            </w:pPr>
          </w:p>
        </w:tc>
        <w:tc>
          <w:tcPr>
            <w:tcW w:w="850" w:type="dxa"/>
          </w:tcPr>
          <w:p>
            <w:pPr>
              <w:suppressAutoHyphens/>
              <w:jc w:val="right"/>
              <w:rPr>
                <w:lang w:eastAsia="lt-LT"/>
              </w:rPr>
            </w:pPr>
          </w:p>
        </w:tc>
        <w:tc>
          <w:tcPr>
            <w:tcW w:w="1161" w:type="dxa"/>
          </w:tcPr>
          <w:p>
            <w:pPr>
              <w:suppressAutoHyphens/>
              <w:jc w:val="right"/>
              <w:rPr>
                <w:lang w:eastAsia="lt-LT"/>
              </w:rPr>
            </w:pPr>
          </w:p>
        </w:tc>
        <w:tc>
          <w:tcPr>
            <w:tcW w:w="850" w:type="dxa"/>
          </w:tcPr>
          <w:p>
            <w:pPr>
              <w:suppressAutoHyphens/>
              <w:jc w:val="right"/>
              <w:rPr>
                <w:lang w:eastAsia="lt-LT"/>
              </w:rPr>
            </w:pPr>
          </w:p>
        </w:tc>
      </w:tr>
    </w:tbl>
    <w:p>
      <w:pPr>
        <w:suppressAutoHyphens/>
        <w:jc w:val="both"/>
        <w:rPr>
          <w:lang w:eastAsia="lt-LT"/>
        </w:rPr>
      </w:pPr>
    </w:p>
    <w:tbl>
      <w:tblPr>
        <w:tblW w:w="14850" w:type="dxa"/>
        <w:tblLook w:val="01E0" w:firstRow="1" w:lastRow="1" w:firstColumn="1" w:lastColumn="1" w:noHBand="0" w:noVBand="0"/>
      </w:tblPr>
      <w:tblGrid>
        <w:gridCol w:w="3468"/>
        <w:gridCol w:w="5571"/>
        <w:gridCol w:w="5811"/>
      </w:tblGrid>
      <w:tr>
        <w:tc>
          <w:tcPr>
            <w:tcW w:w="3468" w:type="dxa"/>
          </w:tcPr>
          <w:p>
            <w:pPr>
              <w:suppressAutoHyphens/>
              <w:rPr>
                <w:sz w:val="22"/>
                <w:lang w:eastAsia="lt-LT"/>
              </w:rPr>
            </w:pPr>
            <w:r>
              <w:rPr>
                <w:sz w:val="22"/>
                <w:lang w:eastAsia="lt-LT"/>
              </w:rPr>
              <w:t>(Pareigų pavadinimas)</w:t>
            </w:r>
          </w:p>
        </w:tc>
        <w:tc>
          <w:tcPr>
            <w:tcW w:w="5571" w:type="dxa"/>
          </w:tcPr>
          <w:p>
            <w:pPr>
              <w:suppressAutoHyphens/>
              <w:jc w:val="center"/>
              <w:rPr>
                <w:sz w:val="22"/>
                <w:lang w:eastAsia="lt-LT"/>
              </w:rPr>
            </w:pPr>
            <w:r>
              <w:rPr>
                <w:sz w:val="22"/>
                <w:lang w:eastAsia="lt-LT"/>
              </w:rPr>
              <w:t>(Parašas)</w:t>
            </w:r>
          </w:p>
        </w:tc>
        <w:tc>
          <w:tcPr>
            <w:tcW w:w="5811" w:type="dxa"/>
          </w:tcPr>
          <w:p>
            <w:pPr>
              <w:suppressAutoHyphens/>
              <w:jc w:val="right"/>
              <w:rPr>
                <w:sz w:val="22"/>
                <w:lang w:eastAsia="lt-LT"/>
              </w:rPr>
            </w:pPr>
            <w:r>
              <w:rPr>
                <w:sz w:val="22"/>
                <w:lang w:eastAsia="lt-LT"/>
              </w:rPr>
              <w:t>(Vardas ir pavardė)</w:t>
            </w:r>
          </w:p>
        </w:tc>
      </w:tr>
    </w:tbl>
    <w:p>
      <w:pPr>
        <w:suppressAutoHyphens/>
        <w:jc w:val="both"/>
        <w:rPr>
          <w:sz w:val="22"/>
          <w:lang w:eastAsia="lt-LT"/>
        </w:rPr>
      </w:pPr>
    </w:p>
    <w:p>
      <w:pPr>
        <w:suppressAutoHyphens/>
        <w:jc w:val="both"/>
        <w:rPr>
          <w:sz w:val="22"/>
          <w:lang w:eastAsia="lt-LT"/>
        </w:rPr>
      </w:pPr>
      <w:r>
        <w:rPr>
          <w:b/>
          <w:sz w:val="22"/>
          <w:lang w:eastAsia="lt-LT"/>
        </w:rPr>
        <w:t>Pastaba.</w:t>
      </w:r>
      <w:r>
        <w:rPr>
          <w:sz w:val="22"/>
          <w:lang w:eastAsia="lt-LT"/>
        </w:rPr>
        <w:t xml:space="preserve"> Lentelės 5 skiltyje įgyvendintas energiją taupančias priemones žymėti indeksais:</w:t>
      </w:r>
    </w:p>
    <w:p>
      <w:pPr>
        <w:suppressAutoHyphens/>
        <w:jc w:val="both"/>
        <w:rPr>
          <w:sz w:val="22"/>
          <w:lang w:eastAsia="lt-LT"/>
        </w:rPr>
      </w:pPr>
      <w:r>
        <w:rPr>
          <w:sz w:val="22"/>
          <w:lang w:eastAsia="lt-LT"/>
        </w:rPr>
        <w:t>ŠSM – šildymo sistemos modernizavimas;</w:t>
      </w:r>
    </w:p>
    <w:p>
      <w:pPr>
        <w:suppressAutoHyphens/>
        <w:jc w:val="both"/>
        <w:rPr>
          <w:sz w:val="22"/>
          <w:lang w:eastAsia="lt-LT"/>
        </w:rPr>
      </w:pPr>
      <w:r>
        <w:rPr>
          <w:sz w:val="22"/>
          <w:lang w:eastAsia="lt-LT"/>
        </w:rPr>
        <w:t xml:space="preserve">BLK – butų ir kitų patalpų langų keitimas; </w:t>
      </w:r>
    </w:p>
    <w:p>
      <w:pPr>
        <w:suppressAutoHyphens/>
        <w:jc w:val="both"/>
        <w:rPr>
          <w:sz w:val="22"/>
          <w:lang w:eastAsia="lt-LT"/>
        </w:rPr>
      </w:pPr>
      <w:r>
        <w:rPr>
          <w:sz w:val="22"/>
          <w:lang w:eastAsia="lt-LT"/>
        </w:rPr>
        <w:t xml:space="preserve">LLK – laiptinės langų ir durų keitimas; </w:t>
      </w:r>
    </w:p>
    <w:p>
      <w:pPr>
        <w:suppressAutoHyphens/>
        <w:jc w:val="both"/>
        <w:rPr>
          <w:sz w:val="22"/>
          <w:lang w:eastAsia="lt-LT"/>
        </w:rPr>
      </w:pPr>
      <w:r>
        <w:rPr>
          <w:sz w:val="22"/>
          <w:lang w:eastAsia="lt-LT"/>
        </w:rPr>
        <w:t xml:space="preserve">BST – balkonų įstiklinimas; </w:t>
      </w:r>
    </w:p>
    <w:p>
      <w:pPr>
        <w:suppressAutoHyphens/>
        <w:jc w:val="both"/>
        <w:rPr>
          <w:sz w:val="22"/>
          <w:lang w:eastAsia="lt-LT"/>
        </w:rPr>
      </w:pPr>
      <w:r>
        <w:rPr>
          <w:sz w:val="22"/>
          <w:lang w:eastAsia="lt-LT"/>
        </w:rPr>
        <w:t>SA – sienų apšiltinimas;</w:t>
      </w:r>
    </w:p>
    <w:p>
      <w:pPr>
        <w:suppressAutoHyphens/>
        <w:jc w:val="both"/>
        <w:rPr>
          <w:sz w:val="22"/>
          <w:lang w:eastAsia="lt-LT"/>
        </w:rPr>
      </w:pPr>
      <w:r>
        <w:rPr>
          <w:sz w:val="22"/>
          <w:lang w:eastAsia="lt-LT"/>
        </w:rPr>
        <w:t xml:space="preserve">STA – stogo apšiltinimas; </w:t>
      </w:r>
    </w:p>
    <w:p>
      <w:pPr>
        <w:suppressAutoHyphens/>
        <w:jc w:val="both"/>
        <w:rPr>
          <w:sz w:val="22"/>
          <w:lang w:eastAsia="lt-LT"/>
        </w:rPr>
      </w:pPr>
      <w:r>
        <w:rPr>
          <w:sz w:val="22"/>
          <w:lang w:eastAsia="lt-LT"/>
        </w:rPr>
        <w:t>RPA – rūsio perdangos apšiltinimas;</w:t>
      </w:r>
    </w:p>
    <w:p>
      <w:pPr>
        <w:suppressAutoHyphens/>
        <w:jc w:val="both"/>
        <w:rPr>
          <w:sz w:val="22"/>
          <w:lang w:eastAsia="lt-LT"/>
        </w:rPr>
      </w:pPr>
      <w:r>
        <w:rPr>
          <w:sz w:val="22"/>
          <w:lang w:eastAsia="lt-LT"/>
        </w:rPr>
        <w:t>LFK – lifto keitimas.</w:t>
      </w:r>
    </w:p>
    <w:p>
      <w:pPr>
        <w:suppressAutoHyphens/>
        <w:jc w:val="center"/>
        <w:rPr>
          <w:lang w:eastAsia="lt-LT"/>
        </w:rPr>
        <w:sectPr>
          <w:headerReference w:type="default" r:id="rId14"/>
          <w:pgSz w:w="16840" w:h="11907" w:orient="landscape" w:code="9"/>
          <w:pgMar w:top="1134" w:right="567" w:bottom="567" w:left="1701" w:header="567" w:footer="284" w:gutter="0"/>
          <w:pgNumType w:start="1"/>
          <w:cols w:space="1296"/>
          <w:titlePg/>
          <w:docGrid w:linePitch="360"/>
        </w:sectPr>
      </w:pPr>
      <w:r>
        <w:rPr>
          <w:lang w:eastAsia="lt-LT"/>
        </w:rPr>
        <w:t>_________________</w:t>
      </w:r>
    </w:p>
    <w:p>
      <w:pPr>
        <w:suppressAutoHyphens/>
        <w:ind w:left="5529"/>
        <w:rPr>
          <w:lang w:eastAsia="lt-LT"/>
        </w:rPr>
      </w:pPr>
      <w:r>
        <w:rPr>
          <w:lang w:eastAsia="lt-LT"/>
        </w:rPr>
        <w:t xml:space="preserve">Daugiabučių namų atnaujinimo </w:t>
      </w:r>
    </w:p>
    <w:p>
      <w:pPr>
        <w:suppressAutoHyphens/>
        <w:ind w:left="5529"/>
        <w:rPr>
          <w:lang w:eastAsia="lt-LT"/>
        </w:rPr>
      </w:pPr>
      <w:r>
        <w:rPr>
          <w:lang w:eastAsia="lt-LT"/>
        </w:rPr>
        <w:t xml:space="preserve">modernizavimo) programos įgyvendinimo </w:t>
      </w:r>
    </w:p>
    <w:p>
      <w:pPr>
        <w:suppressAutoHyphens/>
        <w:ind w:left="5529"/>
        <w:rPr>
          <w:lang w:eastAsia="lt-LT"/>
        </w:rPr>
      </w:pPr>
      <w:r>
        <w:rPr>
          <w:lang w:eastAsia="lt-LT"/>
        </w:rPr>
        <w:t xml:space="preserve">stebėsenos aprašo </w:t>
      </w:r>
    </w:p>
    <w:p>
      <w:pPr>
        <w:suppressAutoHyphens/>
        <w:ind w:left="5529"/>
        <w:rPr>
          <w:lang w:eastAsia="lt-LT"/>
        </w:rPr>
      </w:pPr>
      <w:r>
        <w:rPr>
          <w:lang w:eastAsia="lt-LT"/>
        </w:rPr>
        <w:t>2</w:t>
      </w:r>
      <w:r>
        <w:rPr>
          <w:lang w:eastAsia="lt-LT"/>
        </w:rPr>
        <w:t xml:space="preserve"> priedas</w:t>
      </w:r>
    </w:p>
    <w:p>
      <w:pPr>
        <w:suppressAutoHyphens/>
        <w:jc w:val="center"/>
        <w:rPr>
          <w:lang w:eastAsia="lt-LT"/>
        </w:rPr>
      </w:pPr>
    </w:p>
    <w:p>
      <w:pPr>
        <w:suppressAutoHyphens/>
        <w:jc w:val="center"/>
        <w:rPr>
          <w:b/>
          <w:lang w:eastAsia="lt-LT"/>
        </w:rPr>
      </w:pPr>
      <w:r>
        <w:rPr>
          <w:b/>
          <w:lang w:eastAsia="lt-LT"/>
        </w:rPr>
        <w:t>(Skaičiuojamųjų sutaupytos šiluminės energijos kiekio duomenų pateikimo forma)</w:t>
      </w:r>
    </w:p>
    <w:p>
      <w:pPr>
        <w:tabs>
          <w:tab w:val="left" w:leader="underscore" w:pos="8901"/>
        </w:tabs>
        <w:suppressAutoHyphens/>
        <w:jc w:val="center"/>
        <w:rPr>
          <w:lang w:eastAsia="lt-LT"/>
        </w:rPr>
      </w:pPr>
      <w:r>
        <w:rPr>
          <w:lang w:eastAsia="lt-LT"/>
        </w:rPr>
        <w:tab/>
      </w:r>
    </w:p>
    <w:p>
      <w:pPr>
        <w:suppressAutoHyphens/>
        <w:jc w:val="center"/>
        <w:rPr>
          <w:lang w:eastAsia="lt-LT"/>
        </w:rPr>
      </w:pPr>
      <w:r>
        <w:rPr>
          <w:lang w:eastAsia="lt-LT"/>
        </w:rPr>
        <w:t>(daugiabučio namo bendrojo naudojimo objektų valdytojo pavadinimas,</w:t>
      </w:r>
    </w:p>
    <w:p>
      <w:pPr>
        <w:tabs>
          <w:tab w:val="left" w:leader="underscore" w:pos="8901"/>
        </w:tabs>
        <w:suppressAutoHyphens/>
        <w:jc w:val="center"/>
        <w:rPr>
          <w:lang w:eastAsia="lt-LT"/>
        </w:rPr>
      </w:pPr>
      <w:r>
        <w:rPr>
          <w:lang w:eastAsia="lt-LT"/>
        </w:rPr>
        <w:tab/>
      </w:r>
    </w:p>
    <w:p>
      <w:pPr>
        <w:suppressAutoHyphens/>
        <w:jc w:val="center"/>
        <w:rPr>
          <w:lang w:eastAsia="lt-LT"/>
        </w:rPr>
      </w:pPr>
      <w:r>
        <w:rPr>
          <w:lang w:eastAsia="lt-LT"/>
        </w:rPr>
        <w:t xml:space="preserve">buveinės adresas, kontaktiniai duomenys) </w:t>
      </w:r>
    </w:p>
    <w:p>
      <w:pPr>
        <w:suppressAutoHyphens/>
        <w:jc w:val="center"/>
        <w:rPr>
          <w:rFonts w:eastAsia="Calibri"/>
          <w:lang w:eastAsia="lt-LT"/>
        </w:rPr>
      </w:pPr>
    </w:p>
    <w:p>
      <w:pPr>
        <w:suppressAutoHyphens/>
        <w:jc w:val="center"/>
        <w:rPr>
          <w:b/>
          <w:lang w:eastAsia="lt-LT"/>
        </w:rPr>
      </w:pPr>
      <w:r>
        <w:rPr>
          <w:b/>
          <w:lang w:eastAsia="lt-LT"/>
        </w:rPr>
        <w:t xml:space="preserve">DUOMENYS APIE SKAIČIUOJAMĄJĮ SUTAUPYTOS ŠILUMINĖS ENERGIJOS KIEKĮ IR IŠMETAMŲJŲ ŠILTNAMIO EFEKTĄ SUKELIANČIŲ DUJŲ </w:t>
      </w:r>
      <w:r>
        <w:rPr>
          <w:b/>
          <w:color w:val="000000"/>
          <w:szCs w:val="24"/>
          <w:lang w:eastAsia="lt-LT"/>
        </w:rPr>
        <w:t>– ANGLIES DIOKSIDO</w:t>
      </w:r>
      <w:r>
        <w:rPr>
          <w:b/>
          <w:lang w:eastAsia="lt-LT"/>
        </w:rPr>
        <w:t xml:space="preserve"> (CO</w:t>
      </w:r>
      <w:r>
        <w:rPr>
          <w:b/>
          <w:vertAlign w:val="subscript"/>
          <w:lang w:eastAsia="lt-LT"/>
        </w:rPr>
        <w:t>2</w:t>
      </w:r>
      <w:r>
        <w:rPr>
          <w:b/>
          <w:lang w:eastAsia="lt-LT"/>
        </w:rPr>
        <w:t>) SUMAŽĖJIMĄ ATASKAITINIAIS METAIS BUTŲ IR KITŲ PATALPŲ SAVININKŲ LĖŠOMIS ĮGYVENDINUS ENERGIJĄ TAUPANČIAS PRIEMONES DAUGIABUČIUOSE NAMUOSE</w:t>
      </w:r>
    </w:p>
    <w:p>
      <w:pPr>
        <w:suppressAutoHyphens/>
        <w:jc w:val="center"/>
        <w:rPr>
          <w:sz w:val="14"/>
          <w:lang w:eastAsia="lt-LT"/>
        </w:rPr>
      </w:pPr>
    </w:p>
    <w:p>
      <w:pPr>
        <w:suppressAutoHyphens/>
        <w:jc w:val="center"/>
        <w:rPr>
          <w:lang w:eastAsia="lt-LT"/>
        </w:rPr>
      </w:pPr>
      <w:r>
        <w:rPr>
          <w:lang w:eastAsia="lt-LT"/>
        </w:rPr>
        <w:t>-----------------------------</w:t>
      </w:r>
    </w:p>
    <w:p>
      <w:pPr>
        <w:suppressAutoHyphens/>
        <w:jc w:val="center"/>
        <w:rPr>
          <w:lang w:eastAsia="lt-LT"/>
        </w:rPr>
      </w:pPr>
      <w:r>
        <w:rPr>
          <w:lang w:eastAsia="lt-LT"/>
        </w:rPr>
        <w:t>(duomenų pateikimo data)</w:t>
      </w:r>
    </w:p>
    <w:p>
      <w:pPr>
        <w:tabs>
          <w:tab w:val="left" w:leader="dot" w:pos="9072"/>
        </w:tabs>
        <w:suppressAutoHyphens/>
        <w:jc w:val="both"/>
        <w:rPr>
          <w:lang w:eastAsia="lt-LT"/>
        </w:rPr>
      </w:pPr>
      <w:r>
        <w:rPr>
          <w:lang w:eastAsia="lt-LT"/>
        </w:rPr>
        <w:t xml:space="preserve">Ataskaitiniai metai: </w:t>
        <w:tab/>
      </w:r>
    </w:p>
    <w:p>
      <w:pPr>
        <w:suppressAutoHyphens/>
        <w:jc w:val="center"/>
        <w:rPr>
          <w:lang w:eastAsia="lt-LT"/>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1090"/>
        <w:gridCol w:w="1004"/>
        <w:gridCol w:w="1081"/>
        <w:gridCol w:w="1551"/>
        <w:gridCol w:w="1170"/>
        <w:gridCol w:w="1584"/>
        <w:gridCol w:w="1559"/>
      </w:tblGrid>
      <w:tr>
        <w:tc>
          <w:tcPr>
            <w:tcW w:w="708" w:type="dxa"/>
          </w:tcPr>
          <w:p>
            <w:pPr>
              <w:suppressAutoHyphens/>
              <w:jc w:val="center"/>
              <w:rPr>
                <w:lang w:eastAsia="lt-LT"/>
              </w:rPr>
            </w:pPr>
            <w:r>
              <w:rPr>
                <w:lang w:eastAsia="lt-LT"/>
              </w:rPr>
              <w:t>Eil. Nr.</w:t>
            </w:r>
          </w:p>
        </w:tc>
        <w:tc>
          <w:tcPr>
            <w:tcW w:w="1090" w:type="dxa"/>
          </w:tcPr>
          <w:p>
            <w:pPr>
              <w:suppressAutoHyphens/>
              <w:jc w:val="center"/>
              <w:rPr>
                <w:lang w:eastAsia="lt-LT"/>
              </w:rPr>
            </w:pPr>
            <w:r>
              <w:rPr>
                <w:lang w:eastAsia="lt-LT"/>
              </w:rPr>
              <w:t>Daugia-bučio namo adresas</w:t>
            </w:r>
          </w:p>
        </w:tc>
        <w:tc>
          <w:tcPr>
            <w:tcW w:w="1004" w:type="dxa"/>
          </w:tcPr>
          <w:p>
            <w:pPr>
              <w:suppressAutoHyphens/>
              <w:jc w:val="center"/>
              <w:rPr>
                <w:lang w:eastAsia="lt-LT"/>
              </w:rPr>
            </w:pPr>
            <w:r>
              <w:rPr>
                <w:lang w:eastAsia="lt-LT"/>
              </w:rPr>
              <w:t>Pastato statybos metai / sienų medžia-ga</w:t>
            </w:r>
          </w:p>
        </w:tc>
        <w:tc>
          <w:tcPr>
            <w:tcW w:w="1081" w:type="dxa"/>
          </w:tcPr>
          <w:p>
            <w:pPr>
              <w:suppressAutoHyphens/>
              <w:jc w:val="center"/>
              <w:rPr>
                <w:lang w:eastAsia="lt-LT"/>
              </w:rPr>
            </w:pPr>
            <w:r>
              <w:rPr>
                <w:lang w:eastAsia="lt-LT"/>
              </w:rPr>
              <w:t>Pastato naudin-gasis plotas,</w:t>
            </w:r>
          </w:p>
          <w:p>
            <w:pPr>
              <w:suppressAutoHyphens/>
              <w:jc w:val="center"/>
              <w:rPr>
                <w:vertAlign w:val="superscript"/>
                <w:lang w:eastAsia="lt-LT"/>
              </w:rPr>
            </w:pPr>
            <w:r>
              <w:rPr>
                <w:lang w:eastAsia="lt-LT"/>
              </w:rPr>
              <w:t>m</w:t>
            </w:r>
            <w:r>
              <w:rPr>
                <w:vertAlign w:val="superscript"/>
                <w:lang w:eastAsia="lt-LT"/>
              </w:rPr>
              <w:t>2</w:t>
            </w:r>
          </w:p>
        </w:tc>
        <w:tc>
          <w:tcPr>
            <w:tcW w:w="1551" w:type="dxa"/>
          </w:tcPr>
          <w:p>
            <w:pPr>
              <w:suppressAutoHyphens/>
              <w:jc w:val="center"/>
              <w:rPr>
                <w:lang w:eastAsia="lt-LT"/>
              </w:rPr>
            </w:pPr>
            <w:r>
              <w:rPr>
                <w:lang w:eastAsia="lt-LT"/>
              </w:rPr>
              <w:t>Įgyvendintos energiją taupančios priemonės</w:t>
            </w:r>
          </w:p>
        </w:tc>
        <w:tc>
          <w:tcPr>
            <w:tcW w:w="1170" w:type="dxa"/>
          </w:tcPr>
          <w:p>
            <w:pPr>
              <w:suppressAutoHyphens/>
              <w:jc w:val="center"/>
              <w:rPr>
                <w:lang w:eastAsia="lt-LT"/>
              </w:rPr>
            </w:pPr>
            <w:r>
              <w:rPr>
                <w:lang w:eastAsia="lt-LT"/>
              </w:rPr>
              <w:t>Lygina-masis šiluminės energijos sutaupy-mas,</w:t>
            </w:r>
          </w:p>
          <w:p>
            <w:pPr>
              <w:suppressAutoHyphens/>
              <w:jc w:val="center"/>
              <w:rPr>
                <w:vertAlign w:val="superscript"/>
                <w:lang w:eastAsia="lt-LT"/>
              </w:rPr>
            </w:pPr>
            <w:r>
              <w:rPr>
                <w:lang w:eastAsia="lt-LT"/>
              </w:rPr>
              <w:t>kWh/m</w:t>
            </w:r>
            <w:r>
              <w:rPr>
                <w:vertAlign w:val="superscript"/>
                <w:lang w:eastAsia="lt-LT"/>
              </w:rPr>
              <w:t>2</w:t>
            </w:r>
            <w:r>
              <w:rPr>
                <w:lang w:eastAsia="lt-LT"/>
              </w:rPr>
              <w:t>/ metus</w:t>
            </w:r>
          </w:p>
        </w:tc>
        <w:tc>
          <w:tcPr>
            <w:tcW w:w="1584" w:type="dxa"/>
          </w:tcPr>
          <w:p>
            <w:pPr>
              <w:suppressAutoHyphens/>
              <w:jc w:val="center"/>
              <w:rPr>
                <w:lang w:eastAsia="lt-LT"/>
              </w:rPr>
            </w:pPr>
            <w:r>
              <w:rPr>
                <w:lang w:eastAsia="lt-LT"/>
              </w:rPr>
              <w:t>Metinis šiluminės energijos sutaupymas pastate,</w:t>
            </w:r>
          </w:p>
          <w:p>
            <w:pPr>
              <w:suppressAutoHyphens/>
              <w:jc w:val="center"/>
              <w:rPr>
                <w:lang w:eastAsia="lt-LT"/>
              </w:rPr>
            </w:pPr>
            <w:r>
              <w:rPr>
                <w:lang w:eastAsia="lt-LT"/>
              </w:rPr>
              <w:t>MWh/metus</w:t>
            </w:r>
          </w:p>
        </w:tc>
        <w:tc>
          <w:tcPr>
            <w:tcW w:w="1559" w:type="dxa"/>
          </w:tcPr>
          <w:p>
            <w:pPr>
              <w:suppressAutoHyphens/>
              <w:jc w:val="center"/>
              <w:rPr>
                <w:vertAlign w:val="subscript"/>
                <w:lang w:eastAsia="lt-LT"/>
              </w:rPr>
            </w:pPr>
            <w:r>
              <w:rPr>
                <w:lang w:eastAsia="lt-LT"/>
              </w:rPr>
              <w:t>CO</w:t>
            </w:r>
            <w:r>
              <w:rPr>
                <w:vertAlign w:val="subscript"/>
                <w:lang w:eastAsia="lt-LT"/>
              </w:rPr>
              <w:t>2</w:t>
            </w:r>
          </w:p>
          <w:p>
            <w:pPr>
              <w:suppressAutoHyphens/>
              <w:jc w:val="center"/>
              <w:rPr>
                <w:lang w:eastAsia="lt-LT"/>
              </w:rPr>
            </w:pPr>
            <w:r>
              <w:rPr>
                <w:lang w:eastAsia="lt-LT"/>
              </w:rPr>
              <w:t>išmetimo sumažėjimas,</w:t>
            </w:r>
          </w:p>
          <w:p>
            <w:pPr>
              <w:suppressAutoHyphens/>
              <w:jc w:val="center"/>
              <w:rPr>
                <w:lang w:eastAsia="lt-LT"/>
              </w:rPr>
            </w:pPr>
            <w:r>
              <w:rPr>
                <w:lang w:eastAsia="lt-LT"/>
              </w:rPr>
              <w:t>t/metus</w:t>
            </w:r>
          </w:p>
        </w:tc>
      </w:tr>
      <w:tr>
        <w:tc>
          <w:tcPr>
            <w:tcW w:w="708" w:type="dxa"/>
          </w:tcPr>
          <w:p>
            <w:pPr>
              <w:suppressAutoHyphens/>
              <w:jc w:val="center"/>
              <w:rPr>
                <w:lang w:eastAsia="lt-LT"/>
              </w:rPr>
            </w:pPr>
            <w:r>
              <w:rPr>
                <w:lang w:eastAsia="lt-LT"/>
              </w:rPr>
              <w:t>1</w:t>
            </w:r>
          </w:p>
        </w:tc>
        <w:tc>
          <w:tcPr>
            <w:tcW w:w="1090" w:type="dxa"/>
          </w:tcPr>
          <w:p>
            <w:pPr>
              <w:suppressAutoHyphens/>
              <w:jc w:val="center"/>
              <w:rPr>
                <w:lang w:eastAsia="lt-LT"/>
              </w:rPr>
            </w:pPr>
            <w:r>
              <w:rPr>
                <w:lang w:eastAsia="lt-LT"/>
              </w:rPr>
              <w:t>2</w:t>
            </w:r>
          </w:p>
        </w:tc>
        <w:tc>
          <w:tcPr>
            <w:tcW w:w="1004" w:type="dxa"/>
          </w:tcPr>
          <w:p>
            <w:pPr>
              <w:suppressAutoHyphens/>
              <w:jc w:val="center"/>
              <w:rPr>
                <w:lang w:eastAsia="lt-LT"/>
              </w:rPr>
            </w:pPr>
            <w:r>
              <w:rPr>
                <w:lang w:eastAsia="lt-LT"/>
              </w:rPr>
              <w:t>3</w:t>
            </w:r>
          </w:p>
        </w:tc>
        <w:tc>
          <w:tcPr>
            <w:tcW w:w="1081" w:type="dxa"/>
          </w:tcPr>
          <w:p>
            <w:pPr>
              <w:suppressAutoHyphens/>
              <w:jc w:val="center"/>
              <w:rPr>
                <w:lang w:eastAsia="lt-LT"/>
              </w:rPr>
            </w:pPr>
            <w:r>
              <w:rPr>
                <w:lang w:eastAsia="lt-LT"/>
              </w:rPr>
              <w:t>4</w:t>
            </w:r>
          </w:p>
        </w:tc>
        <w:tc>
          <w:tcPr>
            <w:tcW w:w="1551" w:type="dxa"/>
          </w:tcPr>
          <w:p>
            <w:pPr>
              <w:suppressAutoHyphens/>
              <w:jc w:val="center"/>
              <w:rPr>
                <w:lang w:eastAsia="lt-LT"/>
              </w:rPr>
            </w:pPr>
            <w:r>
              <w:rPr>
                <w:lang w:eastAsia="lt-LT"/>
              </w:rPr>
              <w:t>5</w:t>
            </w:r>
          </w:p>
        </w:tc>
        <w:tc>
          <w:tcPr>
            <w:tcW w:w="1170" w:type="dxa"/>
          </w:tcPr>
          <w:p>
            <w:pPr>
              <w:suppressAutoHyphens/>
              <w:jc w:val="center"/>
              <w:rPr>
                <w:lang w:eastAsia="lt-LT"/>
              </w:rPr>
            </w:pPr>
            <w:r>
              <w:rPr>
                <w:lang w:eastAsia="lt-LT"/>
              </w:rPr>
              <w:t>6</w:t>
            </w:r>
          </w:p>
        </w:tc>
        <w:tc>
          <w:tcPr>
            <w:tcW w:w="1584" w:type="dxa"/>
          </w:tcPr>
          <w:p>
            <w:pPr>
              <w:suppressAutoHyphens/>
              <w:jc w:val="center"/>
              <w:rPr>
                <w:lang w:eastAsia="lt-LT"/>
              </w:rPr>
            </w:pPr>
            <w:r>
              <w:rPr>
                <w:lang w:eastAsia="lt-LT"/>
              </w:rPr>
              <w:t>7</w:t>
            </w:r>
          </w:p>
        </w:tc>
        <w:tc>
          <w:tcPr>
            <w:tcW w:w="1559" w:type="dxa"/>
          </w:tcPr>
          <w:p>
            <w:pPr>
              <w:suppressAutoHyphens/>
              <w:jc w:val="center"/>
              <w:rPr>
                <w:lang w:eastAsia="lt-LT"/>
              </w:rPr>
            </w:pPr>
            <w:r>
              <w:rPr>
                <w:lang w:eastAsia="lt-LT"/>
              </w:rPr>
              <w:t>8</w:t>
            </w:r>
          </w:p>
        </w:tc>
      </w:tr>
      <w:tr>
        <w:tc>
          <w:tcPr>
            <w:tcW w:w="708" w:type="dxa"/>
          </w:tcPr>
          <w:p>
            <w:pPr>
              <w:suppressAutoHyphens/>
              <w:jc w:val="center"/>
              <w:rPr>
                <w:lang w:eastAsia="lt-LT"/>
              </w:rPr>
            </w:pPr>
            <w:r>
              <w:rPr>
                <w:lang w:eastAsia="lt-LT"/>
              </w:rPr>
              <w:t>1.</w:t>
            </w:r>
          </w:p>
        </w:tc>
        <w:tc>
          <w:tcPr>
            <w:tcW w:w="1090" w:type="dxa"/>
          </w:tcPr>
          <w:p>
            <w:pPr>
              <w:suppressAutoHyphens/>
              <w:jc w:val="right"/>
              <w:rPr>
                <w:lang w:eastAsia="lt-LT"/>
              </w:rPr>
            </w:pPr>
          </w:p>
        </w:tc>
        <w:tc>
          <w:tcPr>
            <w:tcW w:w="1004" w:type="dxa"/>
          </w:tcPr>
          <w:p>
            <w:pPr>
              <w:suppressAutoHyphens/>
              <w:jc w:val="right"/>
              <w:rPr>
                <w:lang w:eastAsia="lt-LT"/>
              </w:rPr>
            </w:pPr>
          </w:p>
        </w:tc>
        <w:tc>
          <w:tcPr>
            <w:tcW w:w="1081" w:type="dxa"/>
          </w:tcPr>
          <w:p>
            <w:pPr>
              <w:suppressAutoHyphens/>
              <w:jc w:val="right"/>
              <w:rPr>
                <w:lang w:eastAsia="lt-LT"/>
              </w:rPr>
            </w:pPr>
          </w:p>
        </w:tc>
        <w:tc>
          <w:tcPr>
            <w:tcW w:w="1551" w:type="dxa"/>
          </w:tcPr>
          <w:p>
            <w:pPr>
              <w:suppressAutoHyphens/>
              <w:jc w:val="right"/>
              <w:rPr>
                <w:lang w:eastAsia="lt-LT"/>
              </w:rPr>
            </w:pPr>
          </w:p>
        </w:tc>
        <w:tc>
          <w:tcPr>
            <w:tcW w:w="1170" w:type="dxa"/>
          </w:tcPr>
          <w:p>
            <w:pPr>
              <w:suppressAutoHyphens/>
              <w:jc w:val="right"/>
              <w:rPr>
                <w:lang w:eastAsia="lt-LT"/>
              </w:rPr>
            </w:pPr>
          </w:p>
        </w:tc>
        <w:tc>
          <w:tcPr>
            <w:tcW w:w="1584" w:type="dxa"/>
          </w:tcPr>
          <w:p>
            <w:pPr>
              <w:suppressAutoHyphens/>
              <w:jc w:val="right"/>
              <w:rPr>
                <w:lang w:eastAsia="lt-LT"/>
              </w:rPr>
            </w:pPr>
          </w:p>
        </w:tc>
        <w:tc>
          <w:tcPr>
            <w:tcW w:w="1559" w:type="dxa"/>
          </w:tcPr>
          <w:p>
            <w:pPr>
              <w:suppressAutoHyphens/>
              <w:jc w:val="right"/>
              <w:rPr>
                <w:lang w:eastAsia="lt-LT"/>
              </w:rPr>
            </w:pPr>
          </w:p>
        </w:tc>
      </w:tr>
      <w:tr>
        <w:tc>
          <w:tcPr>
            <w:tcW w:w="708" w:type="dxa"/>
          </w:tcPr>
          <w:p>
            <w:pPr>
              <w:suppressAutoHyphens/>
              <w:jc w:val="center"/>
              <w:rPr>
                <w:lang w:eastAsia="lt-LT"/>
              </w:rPr>
            </w:pPr>
            <w:r>
              <w:rPr>
                <w:lang w:eastAsia="lt-LT"/>
              </w:rPr>
              <w:t>2.</w:t>
            </w:r>
          </w:p>
        </w:tc>
        <w:tc>
          <w:tcPr>
            <w:tcW w:w="1090" w:type="dxa"/>
          </w:tcPr>
          <w:p>
            <w:pPr>
              <w:suppressAutoHyphens/>
              <w:jc w:val="right"/>
              <w:rPr>
                <w:lang w:eastAsia="lt-LT"/>
              </w:rPr>
            </w:pPr>
          </w:p>
        </w:tc>
        <w:tc>
          <w:tcPr>
            <w:tcW w:w="1004" w:type="dxa"/>
          </w:tcPr>
          <w:p>
            <w:pPr>
              <w:suppressAutoHyphens/>
              <w:jc w:val="right"/>
              <w:rPr>
                <w:lang w:eastAsia="lt-LT"/>
              </w:rPr>
            </w:pPr>
          </w:p>
        </w:tc>
        <w:tc>
          <w:tcPr>
            <w:tcW w:w="1081" w:type="dxa"/>
          </w:tcPr>
          <w:p>
            <w:pPr>
              <w:suppressAutoHyphens/>
              <w:jc w:val="right"/>
              <w:rPr>
                <w:lang w:eastAsia="lt-LT"/>
              </w:rPr>
            </w:pPr>
          </w:p>
        </w:tc>
        <w:tc>
          <w:tcPr>
            <w:tcW w:w="1551" w:type="dxa"/>
          </w:tcPr>
          <w:p>
            <w:pPr>
              <w:suppressAutoHyphens/>
              <w:jc w:val="right"/>
              <w:rPr>
                <w:lang w:eastAsia="lt-LT"/>
              </w:rPr>
            </w:pPr>
          </w:p>
        </w:tc>
        <w:tc>
          <w:tcPr>
            <w:tcW w:w="1170" w:type="dxa"/>
          </w:tcPr>
          <w:p>
            <w:pPr>
              <w:suppressAutoHyphens/>
              <w:jc w:val="right"/>
              <w:rPr>
                <w:lang w:eastAsia="lt-LT"/>
              </w:rPr>
            </w:pPr>
          </w:p>
        </w:tc>
        <w:tc>
          <w:tcPr>
            <w:tcW w:w="1584" w:type="dxa"/>
          </w:tcPr>
          <w:p>
            <w:pPr>
              <w:suppressAutoHyphens/>
              <w:jc w:val="right"/>
              <w:rPr>
                <w:lang w:eastAsia="lt-LT"/>
              </w:rPr>
            </w:pPr>
          </w:p>
        </w:tc>
        <w:tc>
          <w:tcPr>
            <w:tcW w:w="1559" w:type="dxa"/>
          </w:tcPr>
          <w:p>
            <w:pPr>
              <w:suppressAutoHyphens/>
              <w:jc w:val="right"/>
              <w:rPr>
                <w:lang w:eastAsia="lt-LT"/>
              </w:rPr>
            </w:pPr>
          </w:p>
        </w:tc>
      </w:tr>
      <w:tr>
        <w:tc>
          <w:tcPr>
            <w:tcW w:w="708" w:type="dxa"/>
          </w:tcPr>
          <w:p>
            <w:pPr>
              <w:suppressAutoHyphens/>
              <w:jc w:val="center"/>
              <w:rPr>
                <w:lang w:eastAsia="lt-LT"/>
              </w:rPr>
            </w:pPr>
            <w:r>
              <w:rPr>
                <w:lang w:eastAsia="lt-LT"/>
              </w:rPr>
              <w:t>3.</w:t>
            </w:r>
          </w:p>
        </w:tc>
        <w:tc>
          <w:tcPr>
            <w:tcW w:w="1090" w:type="dxa"/>
          </w:tcPr>
          <w:p>
            <w:pPr>
              <w:suppressAutoHyphens/>
              <w:jc w:val="right"/>
              <w:rPr>
                <w:lang w:eastAsia="lt-LT"/>
              </w:rPr>
            </w:pPr>
          </w:p>
        </w:tc>
        <w:tc>
          <w:tcPr>
            <w:tcW w:w="1004" w:type="dxa"/>
          </w:tcPr>
          <w:p>
            <w:pPr>
              <w:suppressAutoHyphens/>
              <w:jc w:val="right"/>
              <w:rPr>
                <w:lang w:eastAsia="lt-LT"/>
              </w:rPr>
            </w:pPr>
          </w:p>
        </w:tc>
        <w:tc>
          <w:tcPr>
            <w:tcW w:w="1081" w:type="dxa"/>
          </w:tcPr>
          <w:p>
            <w:pPr>
              <w:suppressAutoHyphens/>
              <w:jc w:val="right"/>
              <w:rPr>
                <w:lang w:eastAsia="lt-LT"/>
              </w:rPr>
            </w:pPr>
          </w:p>
        </w:tc>
        <w:tc>
          <w:tcPr>
            <w:tcW w:w="1551" w:type="dxa"/>
          </w:tcPr>
          <w:p>
            <w:pPr>
              <w:suppressAutoHyphens/>
              <w:jc w:val="right"/>
              <w:rPr>
                <w:lang w:eastAsia="lt-LT"/>
              </w:rPr>
            </w:pPr>
          </w:p>
        </w:tc>
        <w:tc>
          <w:tcPr>
            <w:tcW w:w="1170" w:type="dxa"/>
          </w:tcPr>
          <w:p>
            <w:pPr>
              <w:suppressAutoHyphens/>
              <w:jc w:val="right"/>
              <w:rPr>
                <w:lang w:eastAsia="lt-LT"/>
              </w:rPr>
            </w:pPr>
          </w:p>
        </w:tc>
        <w:tc>
          <w:tcPr>
            <w:tcW w:w="1584" w:type="dxa"/>
          </w:tcPr>
          <w:p>
            <w:pPr>
              <w:suppressAutoHyphens/>
              <w:jc w:val="right"/>
              <w:rPr>
                <w:lang w:eastAsia="lt-LT"/>
              </w:rPr>
            </w:pPr>
          </w:p>
        </w:tc>
        <w:tc>
          <w:tcPr>
            <w:tcW w:w="1559" w:type="dxa"/>
          </w:tcPr>
          <w:p>
            <w:pPr>
              <w:suppressAutoHyphens/>
              <w:jc w:val="right"/>
              <w:rPr>
                <w:lang w:eastAsia="lt-LT"/>
              </w:rPr>
            </w:pPr>
          </w:p>
        </w:tc>
      </w:tr>
      <w:tr>
        <w:tc>
          <w:tcPr>
            <w:tcW w:w="708" w:type="dxa"/>
          </w:tcPr>
          <w:p>
            <w:pPr>
              <w:suppressAutoHyphens/>
              <w:jc w:val="center"/>
              <w:rPr>
                <w:lang w:eastAsia="lt-LT"/>
              </w:rPr>
            </w:pPr>
            <w:r>
              <w:rPr>
                <w:lang w:eastAsia="lt-LT"/>
              </w:rPr>
              <w:t>4.</w:t>
            </w:r>
          </w:p>
        </w:tc>
        <w:tc>
          <w:tcPr>
            <w:tcW w:w="1090" w:type="dxa"/>
          </w:tcPr>
          <w:p>
            <w:pPr>
              <w:suppressAutoHyphens/>
              <w:jc w:val="right"/>
              <w:rPr>
                <w:lang w:eastAsia="lt-LT"/>
              </w:rPr>
            </w:pPr>
          </w:p>
        </w:tc>
        <w:tc>
          <w:tcPr>
            <w:tcW w:w="1004" w:type="dxa"/>
          </w:tcPr>
          <w:p>
            <w:pPr>
              <w:suppressAutoHyphens/>
              <w:jc w:val="right"/>
              <w:rPr>
                <w:lang w:eastAsia="lt-LT"/>
              </w:rPr>
            </w:pPr>
          </w:p>
        </w:tc>
        <w:tc>
          <w:tcPr>
            <w:tcW w:w="1081" w:type="dxa"/>
          </w:tcPr>
          <w:p>
            <w:pPr>
              <w:suppressAutoHyphens/>
              <w:jc w:val="right"/>
              <w:rPr>
                <w:lang w:eastAsia="lt-LT"/>
              </w:rPr>
            </w:pPr>
          </w:p>
        </w:tc>
        <w:tc>
          <w:tcPr>
            <w:tcW w:w="1551" w:type="dxa"/>
          </w:tcPr>
          <w:p>
            <w:pPr>
              <w:suppressAutoHyphens/>
              <w:jc w:val="right"/>
              <w:rPr>
                <w:lang w:eastAsia="lt-LT"/>
              </w:rPr>
            </w:pPr>
          </w:p>
        </w:tc>
        <w:tc>
          <w:tcPr>
            <w:tcW w:w="1170" w:type="dxa"/>
          </w:tcPr>
          <w:p>
            <w:pPr>
              <w:suppressAutoHyphens/>
              <w:jc w:val="right"/>
              <w:rPr>
                <w:lang w:eastAsia="lt-LT"/>
              </w:rPr>
            </w:pPr>
          </w:p>
        </w:tc>
        <w:tc>
          <w:tcPr>
            <w:tcW w:w="1584" w:type="dxa"/>
          </w:tcPr>
          <w:p>
            <w:pPr>
              <w:suppressAutoHyphens/>
              <w:jc w:val="right"/>
              <w:rPr>
                <w:lang w:eastAsia="lt-LT"/>
              </w:rPr>
            </w:pPr>
          </w:p>
        </w:tc>
        <w:tc>
          <w:tcPr>
            <w:tcW w:w="1559" w:type="dxa"/>
          </w:tcPr>
          <w:p>
            <w:pPr>
              <w:suppressAutoHyphens/>
              <w:jc w:val="right"/>
              <w:rPr>
                <w:lang w:eastAsia="lt-LT"/>
              </w:rPr>
            </w:pPr>
          </w:p>
        </w:tc>
      </w:tr>
      <w:tr>
        <w:tc>
          <w:tcPr>
            <w:tcW w:w="708" w:type="dxa"/>
          </w:tcPr>
          <w:p>
            <w:pPr>
              <w:suppressAutoHyphens/>
              <w:jc w:val="center"/>
              <w:rPr>
                <w:lang w:eastAsia="lt-LT"/>
              </w:rPr>
            </w:pPr>
            <w:r>
              <w:rPr>
                <w:lang w:eastAsia="lt-LT"/>
              </w:rPr>
              <w:t>5.</w:t>
            </w:r>
          </w:p>
        </w:tc>
        <w:tc>
          <w:tcPr>
            <w:tcW w:w="1090" w:type="dxa"/>
          </w:tcPr>
          <w:p>
            <w:pPr>
              <w:suppressAutoHyphens/>
              <w:jc w:val="right"/>
              <w:rPr>
                <w:lang w:eastAsia="lt-LT"/>
              </w:rPr>
            </w:pPr>
          </w:p>
        </w:tc>
        <w:tc>
          <w:tcPr>
            <w:tcW w:w="1004" w:type="dxa"/>
          </w:tcPr>
          <w:p>
            <w:pPr>
              <w:suppressAutoHyphens/>
              <w:jc w:val="right"/>
              <w:rPr>
                <w:lang w:eastAsia="lt-LT"/>
              </w:rPr>
            </w:pPr>
          </w:p>
        </w:tc>
        <w:tc>
          <w:tcPr>
            <w:tcW w:w="1081" w:type="dxa"/>
          </w:tcPr>
          <w:p>
            <w:pPr>
              <w:suppressAutoHyphens/>
              <w:jc w:val="right"/>
              <w:rPr>
                <w:lang w:eastAsia="lt-LT"/>
              </w:rPr>
            </w:pPr>
          </w:p>
        </w:tc>
        <w:tc>
          <w:tcPr>
            <w:tcW w:w="1551" w:type="dxa"/>
          </w:tcPr>
          <w:p>
            <w:pPr>
              <w:suppressAutoHyphens/>
              <w:jc w:val="right"/>
              <w:rPr>
                <w:lang w:eastAsia="lt-LT"/>
              </w:rPr>
            </w:pPr>
          </w:p>
        </w:tc>
        <w:tc>
          <w:tcPr>
            <w:tcW w:w="1170" w:type="dxa"/>
          </w:tcPr>
          <w:p>
            <w:pPr>
              <w:suppressAutoHyphens/>
              <w:jc w:val="right"/>
              <w:rPr>
                <w:lang w:eastAsia="lt-LT"/>
              </w:rPr>
            </w:pPr>
          </w:p>
        </w:tc>
        <w:tc>
          <w:tcPr>
            <w:tcW w:w="1584" w:type="dxa"/>
          </w:tcPr>
          <w:p>
            <w:pPr>
              <w:suppressAutoHyphens/>
              <w:jc w:val="right"/>
              <w:rPr>
                <w:lang w:eastAsia="lt-LT"/>
              </w:rPr>
            </w:pPr>
          </w:p>
        </w:tc>
        <w:tc>
          <w:tcPr>
            <w:tcW w:w="1559" w:type="dxa"/>
          </w:tcPr>
          <w:p>
            <w:pPr>
              <w:suppressAutoHyphens/>
              <w:jc w:val="right"/>
              <w:rPr>
                <w:lang w:eastAsia="lt-LT"/>
              </w:rPr>
            </w:pPr>
          </w:p>
        </w:tc>
      </w:tr>
      <w:tr>
        <w:tc>
          <w:tcPr>
            <w:tcW w:w="708" w:type="dxa"/>
            <w:tcBorders>
              <w:bottom w:val="single" w:sz="4" w:space="0" w:color="auto"/>
            </w:tcBorders>
          </w:tcPr>
          <w:p>
            <w:pPr>
              <w:suppressAutoHyphens/>
              <w:jc w:val="center"/>
              <w:rPr>
                <w:lang w:eastAsia="lt-LT"/>
              </w:rPr>
            </w:pPr>
            <w:r>
              <w:rPr>
                <w:lang w:eastAsia="lt-LT"/>
              </w:rPr>
              <w:t>...</w:t>
            </w:r>
          </w:p>
        </w:tc>
        <w:tc>
          <w:tcPr>
            <w:tcW w:w="1090" w:type="dxa"/>
            <w:tcBorders>
              <w:bottom w:val="single" w:sz="4" w:space="0" w:color="auto"/>
            </w:tcBorders>
          </w:tcPr>
          <w:p>
            <w:pPr>
              <w:suppressAutoHyphens/>
              <w:jc w:val="right"/>
              <w:rPr>
                <w:lang w:eastAsia="lt-LT"/>
              </w:rPr>
            </w:pPr>
          </w:p>
        </w:tc>
        <w:tc>
          <w:tcPr>
            <w:tcW w:w="1004" w:type="dxa"/>
            <w:tcBorders>
              <w:bottom w:val="single" w:sz="4" w:space="0" w:color="auto"/>
            </w:tcBorders>
          </w:tcPr>
          <w:p>
            <w:pPr>
              <w:suppressAutoHyphens/>
              <w:jc w:val="right"/>
              <w:rPr>
                <w:lang w:eastAsia="lt-LT"/>
              </w:rPr>
            </w:pPr>
          </w:p>
        </w:tc>
        <w:tc>
          <w:tcPr>
            <w:tcW w:w="1081" w:type="dxa"/>
            <w:tcBorders>
              <w:bottom w:val="single" w:sz="4" w:space="0" w:color="auto"/>
            </w:tcBorders>
          </w:tcPr>
          <w:p>
            <w:pPr>
              <w:suppressAutoHyphens/>
              <w:jc w:val="right"/>
              <w:rPr>
                <w:lang w:eastAsia="lt-LT"/>
              </w:rPr>
            </w:pPr>
          </w:p>
        </w:tc>
        <w:tc>
          <w:tcPr>
            <w:tcW w:w="1551" w:type="dxa"/>
          </w:tcPr>
          <w:p>
            <w:pPr>
              <w:suppressAutoHyphens/>
              <w:jc w:val="right"/>
              <w:rPr>
                <w:lang w:eastAsia="lt-LT"/>
              </w:rPr>
            </w:pPr>
          </w:p>
        </w:tc>
        <w:tc>
          <w:tcPr>
            <w:tcW w:w="1170" w:type="dxa"/>
          </w:tcPr>
          <w:p>
            <w:pPr>
              <w:suppressAutoHyphens/>
              <w:jc w:val="right"/>
              <w:rPr>
                <w:lang w:eastAsia="lt-LT"/>
              </w:rPr>
            </w:pPr>
          </w:p>
        </w:tc>
        <w:tc>
          <w:tcPr>
            <w:tcW w:w="1584" w:type="dxa"/>
          </w:tcPr>
          <w:p>
            <w:pPr>
              <w:suppressAutoHyphens/>
              <w:jc w:val="right"/>
              <w:rPr>
                <w:lang w:eastAsia="lt-LT"/>
              </w:rPr>
            </w:pPr>
          </w:p>
        </w:tc>
        <w:tc>
          <w:tcPr>
            <w:tcW w:w="1559" w:type="dxa"/>
          </w:tcPr>
          <w:p>
            <w:pPr>
              <w:suppressAutoHyphens/>
              <w:jc w:val="right"/>
              <w:rPr>
                <w:lang w:eastAsia="lt-LT"/>
              </w:rPr>
            </w:pPr>
          </w:p>
        </w:tc>
      </w:tr>
      <w:tr>
        <w:tc>
          <w:tcPr>
            <w:tcW w:w="708" w:type="dxa"/>
            <w:tcBorders>
              <w:right w:val="nil"/>
            </w:tcBorders>
          </w:tcPr>
          <w:p>
            <w:pPr>
              <w:suppressAutoHyphens/>
              <w:jc w:val="center"/>
              <w:rPr>
                <w:lang w:eastAsia="lt-LT"/>
              </w:rPr>
            </w:pPr>
          </w:p>
        </w:tc>
        <w:tc>
          <w:tcPr>
            <w:tcW w:w="1090" w:type="dxa"/>
            <w:tcBorders>
              <w:left w:val="nil"/>
              <w:right w:val="nil"/>
            </w:tcBorders>
          </w:tcPr>
          <w:p>
            <w:pPr>
              <w:suppressAutoHyphens/>
              <w:jc w:val="right"/>
              <w:rPr>
                <w:lang w:eastAsia="lt-LT"/>
              </w:rPr>
            </w:pPr>
          </w:p>
        </w:tc>
        <w:tc>
          <w:tcPr>
            <w:tcW w:w="1004" w:type="dxa"/>
            <w:tcBorders>
              <w:left w:val="nil"/>
              <w:right w:val="nil"/>
            </w:tcBorders>
          </w:tcPr>
          <w:p>
            <w:pPr>
              <w:suppressAutoHyphens/>
              <w:jc w:val="right"/>
              <w:rPr>
                <w:lang w:eastAsia="lt-LT"/>
              </w:rPr>
            </w:pPr>
          </w:p>
        </w:tc>
        <w:tc>
          <w:tcPr>
            <w:tcW w:w="1081" w:type="dxa"/>
            <w:tcBorders>
              <w:left w:val="nil"/>
              <w:right w:val="nil"/>
            </w:tcBorders>
          </w:tcPr>
          <w:p>
            <w:pPr>
              <w:suppressAutoHyphens/>
              <w:jc w:val="right"/>
              <w:rPr>
                <w:lang w:eastAsia="lt-LT"/>
              </w:rPr>
            </w:pPr>
          </w:p>
        </w:tc>
        <w:tc>
          <w:tcPr>
            <w:tcW w:w="1551" w:type="dxa"/>
            <w:tcBorders>
              <w:left w:val="nil"/>
            </w:tcBorders>
          </w:tcPr>
          <w:p>
            <w:pPr>
              <w:suppressAutoHyphens/>
              <w:jc w:val="right"/>
              <w:rPr>
                <w:lang w:eastAsia="lt-LT"/>
              </w:rPr>
            </w:pPr>
            <w:r>
              <w:rPr>
                <w:lang w:eastAsia="lt-LT"/>
              </w:rPr>
              <w:t>Iš viso:</w:t>
            </w:r>
          </w:p>
        </w:tc>
        <w:tc>
          <w:tcPr>
            <w:tcW w:w="1170" w:type="dxa"/>
          </w:tcPr>
          <w:p>
            <w:pPr>
              <w:suppressAutoHyphens/>
              <w:jc w:val="right"/>
              <w:rPr>
                <w:lang w:eastAsia="lt-LT"/>
              </w:rPr>
            </w:pPr>
          </w:p>
        </w:tc>
        <w:tc>
          <w:tcPr>
            <w:tcW w:w="1584" w:type="dxa"/>
          </w:tcPr>
          <w:p>
            <w:pPr>
              <w:suppressAutoHyphens/>
              <w:jc w:val="right"/>
              <w:rPr>
                <w:lang w:eastAsia="lt-LT"/>
              </w:rPr>
            </w:pPr>
          </w:p>
        </w:tc>
        <w:tc>
          <w:tcPr>
            <w:tcW w:w="1559" w:type="dxa"/>
          </w:tcPr>
          <w:p>
            <w:pPr>
              <w:suppressAutoHyphens/>
              <w:jc w:val="right"/>
              <w:rPr>
                <w:lang w:eastAsia="lt-LT"/>
              </w:rPr>
            </w:pPr>
          </w:p>
        </w:tc>
      </w:tr>
    </w:tbl>
    <w:p>
      <w:pPr>
        <w:suppressAutoHyphens/>
        <w:rPr>
          <w:sz w:val="16"/>
          <w:lang w:eastAsia="lt-LT"/>
        </w:rPr>
      </w:pPr>
    </w:p>
    <w:p>
      <w:pPr>
        <w:suppressAutoHyphens/>
        <w:rPr>
          <w:sz w:val="22"/>
          <w:lang w:eastAsia="lt-LT"/>
        </w:rPr>
      </w:pPr>
      <w:r>
        <w:rPr>
          <w:sz w:val="22"/>
          <w:lang w:eastAsia="lt-LT"/>
        </w:rPr>
        <w:t>1, 2, 3, 4, 5 skiltis pildo daugiabučio namo bendrojo naudojimo objektų valdytojas.</w:t>
      </w:r>
    </w:p>
    <w:p>
      <w:pPr>
        <w:suppressAutoHyphens/>
        <w:jc w:val="both"/>
        <w:rPr>
          <w:sz w:val="22"/>
          <w:lang w:eastAsia="lt-LT"/>
        </w:rPr>
      </w:pPr>
      <w:r>
        <w:rPr>
          <w:sz w:val="22"/>
          <w:lang w:eastAsia="lt-LT"/>
        </w:rPr>
        <w:t>6, 7, 8 skiltis pildo stebėsenos organizatorius.</w:t>
      </w:r>
    </w:p>
    <w:p>
      <w:pPr>
        <w:suppressAutoHyphens/>
        <w:jc w:val="both"/>
        <w:rPr>
          <w:lang w:eastAsia="lt-LT"/>
        </w:rPr>
      </w:pPr>
    </w:p>
    <w:tbl>
      <w:tblPr>
        <w:tblW w:w="0" w:type="auto"/>
        <w:tblLook w:val="01E0" w:firstRow="1" w:lastRow="1" w:firstColumn="1" w:lastColumn="1" w:noHBand="0" w:noVBand="0"/>
      </w:tblPr>
      <w:tblGrid>
        <w:gridCol w:w="3468"/>
        <w:gridCol w:w="2724"/>
        <w:gridCol w:w="3096"/>
      </w:tblGrid>
      <w:tr>
        <w:tc>
          <w:tcPr>
            <w:tcW w:w="3468" w:type="dxa"/>
          </w:tcPr>
          <w:p>
            <w:pPr>
              <w:suppressAutoHyphens/>
              <w:rPr>
                <w:sz w:val="22"/>
                <w:lang w:eastAsia="lt-LT"/>
              </w:rPr>
            </w:pPr>
            <w:r>
              <w:rPr>
                <w:sz w:val="22"/>
                <w:lang w:eastAsia="lt-LT"/>
              </w:rPr>
              <w:t>(Pareigų pavadinimas)</w:t>
            </w:r>
          </w:p>
        </w:tc>
        <w:tc>
          <w:tcPr>
            <w:tcW w:w="2724" w:type="dxa"/>
          </w:tcPr>
          <w:p>
            <w:pPr>
              <w:suppressAutoHyphens/>
              <w:jc w:val="center"/>
              <w:rPr>
                <w:sz w:val="22"/>
                <w:lang w:eastAsia="lt-LT"/>
              </w:rPr>
            </w:pPr>
            <w:r>
              <w:rPr>
                <w:sz w:val="22"/>
                <w:lang w:eastAsia="lt-LT"/>
              </w:rPr>
              <w:t>(Parašas)</w:t>
            </w:r>
          </w:p>
        </w:tc>
        <w:tc>
          <w:tcPr>
            <w:tcW w:w="3096" w:type="dxa"/>
          </w:tcPr>
          <w:p>
            <w:pPr>
              <w:suppressAutoHyphens/>
              <w:jc w:val="right"/>
              <w:rPr>
                <w:sz w:val="22"/>
                <w:lang w:eastAsia="lt-LT"/>
              </w:rPr>
            </w:pPr>
            <w:r>
              <w:rPr>
                <w:sz w:val="22"/>
                <w:lang w:eastAsia="lt-LT"/>
              </w:rPr>
              <w:t>(Vardas ir pavardė)</w:t>
            </w:r>
          </w:p>
        </w:tc>
      </w:tr>
    </w:tbl>
    <w:p>
      <w:pPr>
        <w:suppressAutoHyphens/>
        <w:jc w:val="both"/>
        <w:rPr>
          <w:lang w:eastAsia="lt-LT"/>
        </w:rPr>
      </w:pPr>
    </w:p>
    <w:p>
      <w:pPr>
        <w:suppressAutoHyphens/>
        <w:jc w:val="both"/>
        <w:rPr>
          <w:sz w:val="22"/>
          <w:lang w:eastAsia="lt-LT"/>
        </w:rPr>
      </w:pPr>
      <w:r>
        <w:rPr>
          <w:b/>
          <w:sz w:val="22"/>
          <w:lang w:eastAsia="lt-LT"/>
        </w:rPr>
        <w:t>Pastaba.</w:t>
      </w:r>
      <w:r>
        <w:rPr>
          <w:sz w:val="22"/>
          <w:lang w:eastAsia="lt-LT"/>
        </w:rPr>
        <w:t xml:space="preserve"> Lentelės 5 grafoje įgyvendintas energiją taupančias priemones žymėti indeksais:</w:t>
      </w:r>
    </w:p>
    <w:p>
      <w:pPr>
        <w:suppressAutoHyphens/>
        <w:jc w:val="both"/>
        <w:rPr>
          <w:sz w:val="22"/>
          <w:lang w:eastAsia="lt-LT"/>
        </w:rPr>
      </w:pPr>
      <w:r>
        <w:rPr>
          <w:sz w:val="22"/>
          <w:lang w:eastAsia="lt-LT"/>
        </w:rPr>
        <w:t>ŠSM – šildymo sistemos modernizavimas (nurodyti konkrečias priemones);</w:t>
      </w:r>
    </w:p>
    <w:p>
      <w:pPr>
        <w:suppressAutoHyphens/>
        <w:jc w:val="both"/>
        <w:rPr>
          <w:sz w:val="22"/>
          <w:lang w:eastAsia="lt-LT"/>
        </w:rPr>
      </w:pPr>
      <w:r>
        <w:rPr>
          <w:sz w:val="22"/>
          <w:lang w:eastAsia="lt-LT"/>
        </w:rPr>
        <w:t xml:space="preserve">BLK – butų ir kitų patalpų langų keitimas (nurodyti pakeistus langus procentais); </w:t>
      </w:r>
    </w:p>
    <w:p>
      <w:pPr>
        <w:suppressAutoHyphens/>
        <w:jc w:val="both"/>
        <w:rPr>
          <w:sz w:val="22"/>
          <w:lang w:eastAsia="lt-LT"/>
        </w:rPr>
      </w:pPr>
      <w:r>
        <w:rPr>
          <w:sz w:val="22"/>
          <w:lang w:eastAsia="lt-LT"/>
        </w:rPr>
        <w:t xml:space="preserve">LLK – laiptinės langų ir durų keitimas (nurodyti pakeistų langų ir durų lyginamąją dalį procentais) </w:t>
      </w:r>
      <w:r>
        <w:rPr>
          <w:color w:val="000000"/>
          <w:sz w:val="22"/>
          <w:szCs w:val="24"/>
          <w:lang w:eastAsia="lt-LT"/>
        </w:rPr>
        <w:t>BST-balkonų įstiklinimas;</w:t>
      </w:r>
    </w:p>
    <w:p>
      <w:pPr>
        <w:suppressAutoHyphens/>
        <w:jc w:val="both"/>
        <w:rPr>
          <w:sz w:val="22"/>
          <w:lang w:eastAsia="lt-LT"/>
        </w:rPr>
      </w:pPr>
      <w:r>
        <w:rPr>
          <w:sz w:val="22"/>
          <w:lang w:eastAsia="lt-LT"/>
        </w:rPr>
        <w:t>SA – sienų apšiltinimas (nurodyti apšiltintų sienų dalį procentais);</w:t>
      </w:r>
    </w:p>
    <w:p>
      <w:pPr>
        <w:suppressAutoHyphens/>
        <w:jc w:val="both"/>
        <w:rPr>
          <w:sz w:val="22"/>
          <w:lang w:eastAsia="lt-LT"/>
        </w:rPr>
      </w:pPr>
      <w:r>
        <w:rPr>
          <w:sz w:val="22"/>
          <w:lang w:eastAsia="lt-LT"/>
        </w:rPr>
        <w:t xml:space="preserve">STA – stogo apšiltinimas; </w:t>
      </w:r>
    </w:p>
    <w:p>
      <w:pPr>
        <w:suppressAutoHyphens/>
        <w:rPr>
          <w:sz w:val="22"/>
          <w:lang w:eastAsia="lt-LT"/>
        </w:rPr>
      </w:pPr>
      <w:r>
        <w:rPr>
          <w:sz w:val="22"/>
          <w:lang w:eastAsia="lt-LT"/>
        </w:rPr>
        <w:t>RPA – rūsio perdangos apšiltinimas;</w:t>
      </w:r>
    </w:p>
    <w:p>
      <w:pPr>
        <w:suppressAutoHyphens/>
        <w:jc w:val="both"/>
        <w:rPr>
          <w:sz w:val="22"/>
          <w:lang w:eastAsia="lt-LT"/>
        </w:rPr>
      </w:pPr>
      <w:r>
        <w:rPr>
          <w:sz w:val="22"/>
          <w:lang w:eastAsia="lt-LT"/>
        </w:rPr>
        <w:t>LFK – lifto keitimas.</w:t>
      </w:r>
    </w:p>
    <w:p>
      <w:pPr>
        <w:suppressAutoHyphens/>
        <w:jc w:val="center"/>
        <w:rPr>
          <w:lang w:eastAsia="lt-LT"/>
        </w:rPr>
      </w:pPr>
      <w:r>
        <w:rPr>
          <w:lang w:eastAsia="lt-LT"/>
        </w:rPr>
        <w:t>_________________</w:t>
      </w:r>
    </w:p>
    <w:p>
      <w:pPr>
        <w:suppressAutoHyphens/>
        <w:rPr>
          <w:lang w:eastAsia="lt-LT"/>
        </w:rPr>
        <w:sectPr>
          <w:headerReference w:type="default" r:id="rId15"/>
          <w:footerReference w:type="default" r:id="rId16"/>
          <w:pgSz w:w="11907" w:h="16840" w:code="9"/>
          <w:pgMar w:top="1134" w:right="567" w:bottom="1134" w:left="1701" w:header="567" w:footer="284" w:gutter="0"/>
          <w:cols w:space="1296"/>
          <w:docGrid w:linePitch="360"/>
        </w:sectPr>
      </w:pPr>
    </w:p>
    <w:p>
      <w:pPr>
        <w:tabs>
          <w:tab w:val="center" w:pos="4153"/>
          <w:tab w:val="right" w:pos="9100"/>
        </w:tabs>
        <w:suppressAutoHyphens/>
        <w:rPr>
          <w:rFonts w:ascii="Tahoma" w:hAnsi="Tahoma"/>
          <w:spacing w:val="10"/>
          <w:sz w:val="20"/>
          <w:lang w:eastAsia="lt-LT"/>
        </w:rPr>
      </w:pPr>
    </w:p>
    <w:p>
      <w:pPr>
        <w:tabs>
          <w:tab w:val="center" w:pos="4153"/>
          <w:tab w:val="right" w:pos="9100"/>
        </w:tabs>
        <w:suppressAutoHyphens/>
        <w:jc w:val="center"/>
        <w:rPr>
          <w:rFonts w:ascii="Tahoma" w:hAnsi="Tahoma"/>
          <w:spacing w:val="10"/>
          <w:sz w:val="20"/>
          <w:lang w:eastAsia="lt-LT"/>
        </w:rPr>
      </w:pPr>
    </w:p>
    <w:p>
      <w:pPr>
        <w:tabs>
          <w:tab w:val="center" w:pos="4153"/>
          <w:tab w:val="right" w:pos="8306"/>
        </w:tabs>
        <w:suppressAutoHyphens/>
        <w:rPr>
          <w:lang w:val="en-GB" w:eastAsia="lt-LT"/>
        </w:rPr>
      </w:pPr>
    </w:p>
    <w:p>
      <w:pPr>
        <w:suppressAutoHyphens/>
        <w:ind w:left="9781"/>
        <w:rPr>
          <w:rFonts w:eastAsia="Calibri"/>
          <w:lang w:eastAsia="lt-LT"/>
        </w:rPr>
      </w:pPr>
      <w:r>
        <w:rPr>
          <w:rFonts w:eastAsia="Calibri"/>
          <w:lang w:eastAsia="lt-LT"/>
        </w:rPr>
        <w:t xml:space="preserve">Daugiabučių namų atnaujinimo (modernizavimo) </w:t>
      </w:r>
    </w:p>
    <w:p>
      <w:pPr>
        <w:suppressAutoHyphens/>
        <w:ind w:left="9781"/>
        <w:rPr>
          <w:rFonts w:eastAsia="Calibri"/>
          <w:lang w:eastAsia="lt-LT"/>
        </w:rPr>
      </w:pPr>
      <w:r>
        <w:rPr>
          <w:rFonts w:eastAsia="Calibri"/>
          <w:lang w:eastAsia="lt-LT"/>
        </w:rPr>
        <w:t xml:space="preserve">programos įgyvendinimo stebėsenos aprašo </w:t>
      </w:r>
    </w:p>
    <w:p>
      <w:pPr>
        <w:suppressAutoHyphens/>
        <w:ind w:left="9781"/>
        <w:rPr>
          <w:rFonts w:eastAsia="Calibri"/>
          <w:lang w:eastAsia="lt-LT"/>
        </w:rPr>
      </w:pPr>
      <w:r>
        <w:rPr>
          <w:rFonts w:eastAsia="Calibri"/>
          <w:lang w:eastAsia="lt-LT"/>
        </w:rPr>
        <w:t>3</w:t>
      </w:r>
      <w:r>
        <w:rPr>
          <w:rFonts w:eastAsia="Calibri"/>
          <w:lang w:eastAsia="lt-LT"/>
        </w:rPr>
        <w:t xml:space="preserve"> priedas</w:t>
      </w:r>
    </w:p>
    <w:p>
      <w:pPr>
        <w:tabs>
          <w:tab w:val="left" w:pos="4111"/>
        </w:tabs>
        <w:suppressAutoHyphens/>
        <w:jc w:val="center"/>
        <w:rPr>
          <w:lang w:eastAsia="lt-LT"/>
        </w:rPr>
      </w:pPr>
    </w:p>
    <w:p>
      <w:pPr>
        <w:tabs>
          <w:tab w:val="left" w:pos="4111"/>
        </w:tabs>
        <w:suppressAutoHyphens/>
        <w:jc w:val="center"/>
        <w:rPr>
          <w:b/>
          <w:lang w:eastAsia="lt-LT"/>
        </w:rPr>
      </w:pPr>
      <w:r>
        <w:rPr>
          <w:b/>
          <w:lang w:eastAsia="lt-LT"/>
        </w:rPr>
        <w:t>(Skaičiuojamųjų sutaupytos šiluminės energijos kiekio duomenų pateikimo forma)</w:t>
      </w:r>
    </w:p>
    <w:p>
      <w:pPr>
        <w:tabs>
          <w:tab w:val="left" w:leader="underscore" w:pos="8901"/>
        </w:tabs>
        <w:suppressAutoHyphens/>
        <w:jc w:val="center"/>
        <w:rPr>
          <w:lang w:eastAsia="lt-LT"/>
        </w:rPr>
      </w:pPr>
    </w:p>
    <w:p>
      <w:pPr>
        <w:tabs>
          <w:tab w:val="left" w:leader="underscore" w:pos="8901"/>
        </w:tabs>
        <w:suppressAutoHyphens/>
        <w:jc w:val="center"/>
        <w:rPr>
          <w:lang w:eastAsia="lt-LT"/>
        </w:rPr>
      </w:pPr>
      <w:r>
        <w:rPr>
          <w:lang w:eastAsia="lt-LT"/>
        </w:rPr>
        <w:tab/>
      </w:r>
    </w:p>
    <w:p>
      <w:pPr>
        <w:suppressAutoHyphens/>
        <w:jc w:val="center"/>
        <w:rPr>
          <w:rFonts w:eastAsia="Calibri"/>
          <w:lang w:eastAsia="lt-LT"/>
        </w:rPr>
      </w:pPr>
      <w:r>
        <w:rPr>
          <w:rFonts w:eastAsia="Calibri"/>
          <w:lang w:eastAsia="lt-LT"/>
        </w:rPr>
        <w:t>(duomenis teikiančiojo asmens pavadinimas,</w:t>
      </w:r>
    </w:p>
    <w:p>
      <w:pPr>
        <w:tabs>
          <w:tab w:val="left" w:leader="underscore" w:pos="8901"/>
        </w:tabs>
        <w:suppressAutoHyphens/>
        <w:jc w:val="center"/>
        <w:rPr>
          <w:lang w:eastAsia="lt-LT"/>
        </w:rPr>
      </w:pPr>
      <w:r>
        <w:rPr>
          <w:lang w:eastAsia="lt-LT"/>
        </w:rPr>
        <w:tab/>
      </w:r>
    </w:p>
    <w:p>
      <w:pPr>
        <w:suppressAutoHyphens/>
        <w:jc w:val="center"/>
        <w:rPr>
          <w:lang w:eastAsia="lt-LT"/>
        </w:rPr>
      </w:pPr>
      <w:r>
        <w:rPr>
          <w:lang w:eastAsia="lt-LT"/>
        </w:rPr>
        <w:t>buveinės adresas, kontaktiniai duomenys)</w:t>
      </w:r>
    </w:p>
    <w:p>
      <w:pPr>
        <w:suppressAutoHyphens/>
        <w:jc w:val="center"/>
        <w:rPr>
          <w:lang w:eastAsia="lt-LT"/>
        </w:rPr>
      </w:pPr>
    </w:p>
    <w:p>
      <w:pPr>
        <w:suppressAutoHyphens/>
        <w:jc w:val="center"/>
        <w:rPr>
          <w:b/>
          <w:lang w:eastAsia="lt-LT"/>
        </w:rPr>
      </w:pPr>
      <w:r>
        <w:rPr>
          <w:b/>
          <w:lang w:eastAsia="lt-LT"/>
        </w:rPr>
        <w:t xml:space="preserve">SUVESTINIAI SKAIČIUOJAMOJO SUTAUPYTOS ŠILUMINĖS ENERGIJOS KIEKIO IR IŠMETAMŲJŲ DUJŲ </w:t>
      </w:r>
      <w:r>
        <w:rPr>
          <w:b/>
          <w:color w:val="000000"/>
          <w:szCs w:val="24"/>
          <w:lang w:eastAsia="lt-LT"/>
        </w:rPr>
        <w:t>– ANGLIES DIOKSIDO</w:t>
      </w:r>
      <w:r>
        <w:rPr>
          <w:b/>
          <w:lang w:eastAsia="lt-LT"/>
        </w:rPr>
        <w:t xml:space="preserve"> (CO</w:t>
      </w:r>
      <w:r>
        <w:rPr>
          <w:b/>
          <w:vertAlign w:val="subscript"/>
          <w:lang w:eastAsia="lt-LT"/>
        </w:rPr>
        <w:t>2</w:t>
      </w:r>
      <w:r>
        <w:rPr>
          <w:b/>
          <w:lang w:eastAsia="lt-LT"/>
        </w:rPr>
        <w:t>) SUMAŽĖJIMO ATNAUJINTUOSE (MODERNIZUOTUOSE) DAUGIABUČIUOSE NAMUOSE DUOMENYS, APSKAITOMI PAGAL DAUGIABUČIŲ NAMŲ ATNAUJINIMO (MODERNIZAVIMO) PROGRAMĄ</w:t>
      </w:r>
    </w:p>
    <w:p>
      <w:pPr>
        <w:suppressAutoHyphens/>
        <w:jc w:val="center"/>
        <w:rPr>
          <w:b/>
          <w:lang w:eastAsia="lt-LT"/>
        </w:rPr>
      </w:pPr>
    </w:p>
    <w:p>
      <w:pPr>
        <w:suppressAutoHyphens/>
        <w:jc w:val="center"/>
        <w:rPr>
          <w:lang w:eastAsia="lt-LT"/>
        </w:rPr>
      </w:pPr>
      <w:r>
        <w:rPr>
          <w:lang w:eastAsia="lt-LT"/>
        </w:rPr>
        <w:t>_____________________________</w:t>
      </w:r>
    </w:p>
    <w:p>
      <w:pPr>
        <w:suppressAutoHyphens/>
        <w:jc w:val="center"/>
        <w:rPr>
          <w:lang w:eastAsia="lt-LT"/>
        </w:rPr>
      </w:pPr>
      <w:r>
        <w:rPr>
          <w:lang w:eastAsia="lt-LT"/>
        </w:rPr>
        <w:t>(duomenų pateikimo data)</w:t>
      </w:r>
    </w:p>
    <w:p>
      <w:pPr>
        <w:suppressAutoHyphens/>
        <w:jc w:val="center"/>
        <w:rPr>
          <w:lang w:eastAsia="lt-LT"/>
        </w:rPr>
      </w:pPr>
    </w:p>
    <w:p>
      <w:pPr>
        <w:tabs>
          <w:tab w:val="left" w:leader="underscore" w:pos="14742"/>
        </w:tabs>
        <w:suppressAutoHyphens/>
        <w:rPr>
          <w:lang w:eastAsia="lt-LT"/>
        </w:rPr>
      </w:pPr>
      <w:r>
        <w:rPr>
          <w:lang w:eastAsia="lt-LT"/>
        </w:rPr>
        <w:t xml:space="preserve">Ataskaitiniai metai </w:t>
        <w:tab/>
      </w:r>
    </w:p>
    <w:p>
      <w:pPr>
        <w:suppressAutoHyphens/>
        <w:jc w:val="center"/>
        <w:rPr>
          <w:lang w:eastAsia="lt-LT"/>
        </w:rPr>
      </w:pPr>
    </w:p>
    <w:tbl>
      <w:tblPr>
        <w:tblW w:w="14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8"/>
        <w:gridCol w:w="3563"/>
        <w:gridCol w:w="1043"/>
        <w:gridCol w:w="922"/>
        <w:gridCol w:w="966"/>
        <w:gridCol w:w="998"/>
        <w:gridCol w:w="923"/>
        <w:gridCol w:w="788"/>
        <w:gridCol w:w="949"/>
        <w:gridCol w:w="1038"/>
        <w:gridCol w:w="782"/>
        <w:gridCol w:w="871"/>
        <w:gridCol w:w="949"/>
      </w:tblGrid>
      <w:tr>
        <w:tc>
          <w:tcPr>
            <w:tcW w:w="948" w:type="dxa"/>
            <w:vMerge w:val="restart"/>
          </w:tcPr>
          <w:p>
            <w:pPr>
              <w:suppressAutoHyphens/>
              <w:jc w:val="center"/>
              <w:rPr>
                <w:lang w:eastAsia="lt-LT"/>
              </w:rPr>
            </w:pPr>
            <w:r>
              <w:rPr>
                <w:lang w:eastAsia="lt-LT"/>
              </w:rPr>
              <w:t>Eil. Nr.</w:t>
            </w:r>
          </w:p>
        </w:tc>
        <w:tc>
          <w:tcPr>
            <w:tcW w:w="3563" w:type="dxa"/>
            <w:vMerge w:val="restart"/>
          </w:tcPr>
          <w:p>
            <w:pPr>
              <w:suppressAutoHyphens/>
              <w:jc w:val="center"/>
              <w:rPr>
                <w:lang w:eastAsia="lt-LT"/>
              </w:rPr>
            </w:pPr>
            <w:r>
              <w:rPr>
                <w:lang w:eastAsia="lt-LT"/>
              </w:rPr>
              <w:t>Rodikliai</w:t>
            </w:r>
          </w:p>
        </w:tc>
        <w:tc>
          <w:tcPr>
            <w:tcW w:w="1043" w:type="dxa"/>
            <w:vMerge w:val="restart"/>
          </w:tcPr>
          <w:p>
            <w:pPr>
              <w:suppressAutoHyphens/>
              <w:jc w:val="center"/>
              <w:rPr>
                <w:lang w:eastAsia="lt-LT"/>
              </w:rPr>
            </w:pPr>
            <w:r>
              <w:rPr>
                <w:lang w:eastAsia="lt-LT"/>
              </w:rPr>
              <w:t>Mato vnt.</w:t>
            </w:r>
          </w:p>
        </w:tc>
        <w:tc>
          <w:tcPr>
            <w:tcW w:w="1888" w:type="dxa"/>
            <w:gridSpan w:val="2"/>
          </w:tcPr>
          <w:p>
            <w:pPr>
              <w:suppressAutoHyphens/>
              <w:jc w:val="center"/>
              <w:rPr>
                <w:lang w:eastAsia="lt-LT"/>
              </w:rPr>
            </w:pPr>
            <w:r>
              <w:rPr>
                <w:lang w:eastAsia="lt-LT"/>
              </w:rPr>
              <w:t>Daugiabučių namų atnaujinimo (modernizavimo) programa (DNMP)</w:t>
            </w:r>
          </w:p>
        </w:tc>
        <w:tc>
          <w:tcPr>
            <w:tcW w:w="1921" w:type="dxa"/>
            <w:gridSpan w:val="2"/>
          </w:tcPr>
          <w:p>
            <w:pPr>
              <w:suppressAutoHyphens/>
              <w:jc w:val="center"/>
              <w:rPr>
                <w:lang w:eastAsia="lt-LT"/>
              </w:rPr>
            </w:pPr>
            <w:r>
              <w:rPr>
                <w:lang w:eastAsia="lt-LT"/>
              </w:rPr>
              <w:t xml:space="preserve">Sanglaudos skatinimo veiksmų programa </w:t>
            </w:r>
          </w:p>
        </w:tc>
        <w:tc>
          <w:tcPr>
            <w:tcW w:w="1737" w:type="dxa"/>
            <w:gridSpan w:val="2"/>
          </w:tcPr>
          <w:p>
            <w:pPr>
              <w:suppressAutoHyphens/>
              <w:jc w:val="center"/>
              <w:rPr>
                <w:lang w:eastAsia="lt-LT"/>
              </w:rPr>
            </w:pPr>
            <w:r>
              <w:rPr>
                <w:lang w:eastAsia="lt-LT"/>
              </w:rPr>
              <w:t xml:space="preserve">Kitos programos </w:t>
            </w:r>
          </w:p>
        </w:tc>
        <w:tc>
          <w:tcPr>
            <w:tcW w:w="1820" w:type="dxa"/>
            <w:gridSpan w:val="2"/>
          </w:tcPr>
          <w:p>
            <w:pPr>
              <w:suppressAutoHyphens/>
              <w:jc w:val="center"/>
              <w:rPr>
                <w:lang w:eastAsia="lt-LT"/>
              </w:rPr>
            </w:pPr>
            <w:r>
              <w:rPr>
                <w:lang w:eastAsia="lt-LT"/>
              </w:rPr>
              <w:t>Butų ir kitų patalpų savininkų įgyvendintos priemonės</w:t>
            </w:r>
          </w:p>
        </w:tc>
        <w:tc>
          <w:tcPr>
            <w:tcW w:w="1820" w:type="dxa"/>
            <w:gridSpan w:val="2"/>
          </w:tcPr>
          <w:p>
            <w:pPr>
              <w:suppressAutoHyphens/>
              <w:jc w:val="center"/>
              <w:rPr>
                <w:lang w:eastAsia="lt-LT"/>
              </w:rPr>
            </w:pPr>
            <w:r>
              <w:rPr>
                <w:lang w:eastAsia="lt-LT"/>
              </w:rPr>
              <w:t>Iš viso</w:t>
            </w:r>
          </w:p>
        </w:tc>
      </w:tr>
      <w:tr>
        <w:tc>
          <w:tcPr>
            <w:tcW w:w="948" w:type="dxa"/>
            <w:vMerge/>
          </w:tcPr>
          <w:p>
            <w:pPr>
              <w:suppressAutoHyphens/>
              <w:jc w:val="center"/>
              <w:rPr>
                <w:lang w:eastAsia="lt-LT"/>
              </w:rPr>
            </w:pPr>
          </w:p>
        </w:tc>
        <w:tc>
          <w:tcPr>
            <w:tcW w:w="3563" w:type="dxa"/>
            <w:vMerge/>
          </w:tcPr>
          <w:p>
            <w:pPr>
              <w:suppressAutoHyphens/>
              <w:jc w:val="center"/>
              <w:rPr>
                <w:lang w:eastAsia="lt-LT"/>
              </w:rPr>
            </w:pPr>
          </w:p>
        </w:tc>
        <w:tc>
          <w:tcPr>
            <w:tcW w:w="1043" w:type="dxa"/>
            <w:vMerge/>
          </w:tcPr>
          <w:p>
            <w:pPr>
              <w:suppressAutoHyphens/>
              <w:jc w:val="center"/>
              <w:rPr>
                <w:lang w:eastAsia="lt-LT"/>
              </w:rPr>
            </w:pPr>
          </w:p>
        </w:tc>
        <w:tc>
          <w:tcPr>
            <w:tcW w:w="922" w:type="dxa"/>
          </w:tcPr>
          <w:p>
            <w:pPr>
              <w:suppressAutoHyphens/>
              <w:jc w:val="center"/>
              <w:rPr>
                <w:lang w:eastAsia="lt-LT"/>
              </w:rPr>
            </w:pPr>
            <w:r>
              <w:rPr>
                <w:lang w:eastAsia="lt-LT"/>
              </w:rPr>
              <w:t>atask. metais</w:t>
            </w:r>
          </w:p>
        </w:tc>
        <w:tc>
          <w:tcPr>
            <w:tcW w:w="966" w:type="dxa"/>
          </w:tcPr>
          <w:p>
            <w:pPr>
              <w:tabs>
                <w:tab w:val="left" w:pos="-249"/>
                <w:tab w:val="left" w:pos="-108"/>
              </w:tabs>
              <w:suppressAutoHyphens/>
              <w:ind w:left="-108"/>
              <w:jc w:val="center"/>
              <w:rPr>
                <w:lang w:eastAsia="lt-LT"/>
              </w:rPr>
            </w:pPr>
            <w:r>
              <w:rPr>
                <w:lang w:eastAsia="lt-LT"/>
              </w:rPr>
              <w:t>nuo 2005 m. iki 20.. m.</w:t>
            </w:r>
          </w:p>
        </w:tc>
        <w:tc>
          <w:tcPr>
            <w:tcW w:w="998" w:type="dxa"/>
          </w:tcPr>
          <w:p>
            <w:pPr>
              <w:suppressAutoHyphens/>
              <w:jc w:val="center"/>
              <w:rPr>
                <w:lang w:eastAsia="lt-LT"/>
              </w:rPr>
            </w:pPr>
            <w:r>
              <w:rPr>
                <w:lang w:eastAsia="lt-LT"/>
              </w:rPr>
              <w:t>atask. metais</w:t>
            </w:r>
          </w:p>
        </w:tc>
        <w:tc>
          <w:tcPr>
            <w:tcW w:w="923" w:type="dxa"/>
          </w:tcPr>
          <w:p>
            <w:pPr>
              <w:suppressAutoHyphens/>
              <w:jc w:val="center"/>
              <w:rPr>
                <w:lang w:eastAsia="lt-LT"/>
              </w:rPr>
            </w:pPr>
            <w:r>
              <w:rPr>
                <w:lang w:eastAsia="lt-LT"/>
              </w:rPr>
              <w:t>nuo 2005 m. iki 20... m.</w:t>
            </w:r>
          </w:p>
        </w:tc>
        <w:tc>
          <w:tcPr>
            <w:tcW w:w="788" w:type="dxa"/>
          </w:tcPr>
          <w:p>
            <w:pPr>
              <w:suppressAutoHyphens/>
              <w:jc w:val="center"/>
              <w:rPr>
                <w:lang w:eastAsia="lt-LT"/>
              </w:rPr>
            </w:pPr>
            <w:r>
              <w:rPr>
                <w:lang w:eastAsia="lt-LT"/>
              </w:rPr>
              <w:t>atask. metais</w:t>
            </w:r>
          </w:p>
        </w:tc>
        <w:tc>
          <w:tcPr>
            <w:tcW w:w="949" w:type="dxa"/>
          </w:tcPr>
          <w:p>
            <w:pPr>
              <w:suppressAutoHyphens/>
              <w:jc w:val="center"/>
              <w:rPr>
                <w:lang w:eastAsia="lt-LT"/>
              </w:rPr>
            </w:pPr>
            <w:r>
              <w:rPr>
                <w:lang w:eastAsia="lt-LT"/>
              </w:rPr>
              <w:t>nuo 2005 m. iki 20... m.</w:t>
            </w:r>
          </w:p>
        </w:tc>
        <w:tc>
          <w:tcPr>
            <w:tcW w:w="1038" w:type="dxa"/>
          </w:tcPr>
          <w:p>
            <w:pPr>
              <w:suppressAutoHyphens/>
              <w:jc w:val="center"/>
              <w:rPr>
                <w:lang w:eastAsia="lt-LT"/>
              </w:rPr>
            </w:pPr>
            <w:r>
              <w:rPr>
                <w:lang w:eastAsia="lt-LT"/>
              </w:rPr>
              <w:t>atask. metais</w:t>
            </w:r>
          </w:p>
        </w:tc>
        <w:tc>
          <w:tcPr>
            <w:tcW w:w="782" w:type="dxa"/>
          </w:tcPr>
          <w:p>
            <w:pPr>
              <w:suppressAutoHyphens/>
              <w:jc w:val="center"/>
              <w:rPr>
                <w:lang w:eastAsia="lt-LT"/>
              </w:rPr>
            </w:pPr>
            <w:r>
              <w:rPr>
                <w:lang w:eastAsia="lt-LT"/>
              </w:rPr>
              <w:t>nuo 2005 m. iki 20... m.</w:t>
            </w:r>
          </w:p>
        </w:tc>
        <w:tc>
          <w:tcPr>
            <w:tcW w:w="871" w:type="dxa"/>
          </w:tcPr>
          <w:p>
            <w:pPr>
              <w:suppressAutoHyphens/>
              <w:jc w:val="center"/>
              <w:rPr>
                <w:lang w:eastAsia="lt-LT"/>
              </w:rPr>
            </w:pPr>
            <w:r>
              <w:rPr>
                <w:lang w:eastAsia="lt-LT"/>
              </w:rPr>
              <w:t>atask. metais</w:t>
            </w:r>
          </w:p>
        </w:tc>
        <w:tc>
          <w:tcPr>
            <w:tcW w:w="949" w:type="dxa"/>
          </w:tcPr>
          <w:p>
            <w:pPr>
              <w:suppressAutoHyphens/>
              <w:jc w:val="center"/>
              <w:rPr>
                <w:lang w:eastAsia="lt-LT"/>
              </w:rPr>
            </w:pPr>
            <w:r>
              <w:rPr>
                <w:lang w:eastAsia="lt-LT"/>
              </w:rPr>
              <w:t>nuo 2005 m. iki 20... m.</w:t>
            </w:r>
          </w:p>
        </w:tc>
      </w:tr>
      <w:tr>
        <w:tc>
          <w:tcPr>
            <w:tcW w:w="948" w:type="dxa"/>
          </w:tcPr>
          <w:p>
            <w:pPr>
              <w:suppressAutoHyphens/>
              <w:ind w:left="360"/>
              <w:rPr>
                <w:lang w:eastAsia="lt-LT"/>
              </w:rPr>
            </w:pPr>
            <w:r>
              <w:rPr>
                <w:lang w:eastAsia="lt-LT"/>
              </w:rPr>
              <w:t>1</w:t>
            </w:r>
          </w:p>
        </w:tc>
        <w:tc>
          <w:tcPr>
            <w:tcW w:w="3563" w:type="dxa"/>
          </w:tcPr>
          <w:p>
            <w:pPr>
              <w:suppressAutoHyphens/>
              <w:jc w:val="center"/>
              <w:rPr>
                <w:lang w:eastAsia="lt-LT"/>
              </w:rPr>
            </w:pPr>
            <w:r>
              <w:rPr>
                <w:lang w:eastAsia="lt-LT"/>
              </w:rPr>
              <w:t>2</w:t>
            </w:r>
          </w:p>
        </w:tc>
        <w:tc>
          <w:tcPr>
            <w:tcW w:w="1043" w:type="dxa"/>
          </w:tcPr>
          <w:p>
            <w:pPr>
              <w:suppressAutoHyphens/>
              <w:jc w:val="center"/>
              <w:rPr>
                <w:lang w:eastAsia="lt-LT"/>
              </w:rPr>
            </w:pPr>
            <w:r>
              <w:rPr>
                <w:lang w:eastAsia="lt-LT"/>
              </w:rPr>
              <w:t>3</w:t>
            </w:r>
          </w:p>
        </w:tc>
        <w:tc>
          <w:tcPr>
            <w:tcW w:w="922" w:type="dxa"/>
          </w:tcPr>
          <w:p>
            <w:pPr>
              <w:suppressAutoHyphens/>
              <w:jc w:val="center"/>
              <w:rPr>
                <w:lang w:eastAsia="lt-LT"/>
              </w:rPr>
            </w:pPr>
            <w:r>
              <w:rPr>
                <w:lang w:eastAsia="lt-LT"/>
              </w:rPr>
              <w:t>4</w:t>
            </w:r>
          </w:p>
        </w:tc>
        <w:tc>
          <w:tcPr>
            <w:tcW w:w="966" w:type="dxa"/>
          </w:tcPr>
          <w:p>
            <w:pPr>
              <w:suppressAutoHyphens/>
              <w:jc w:val="center"/>
              <w:rPr>
                <w:lang w:eastAsia="lt-LT"/>
              </w:rPr>
            </w:pPr>
            <w:r>
              <w:rPr>
                <w:lang w:eastAsia="lt-LT"/>
              </w:rPr>
              <w:t>5</w:t>
            </w:r>
          </w:p>
        </w:tc>
        <w:tc>
          <w:tcPr>
            <w:tcW w:w="998" w:type="dxa"/>
          </w:tcPr>
          <w:p>
            <w:pPr>
              <w:suppressAutoHyphens/>
              <w:jc w:val="center"/>
              <w:rPr>
                <w:lang w:eastAsia="lt-LT"/>
              </w:rPr>
            </w:pPr>
            <w:r>
              <w:rPr>
                <w:lang w:eastAsia="lt-LT"/>
              </w:rPr>
              <w:t>6</w:t>
            </w:r>
          </w:p>
        </w:tc>
        <w:tc>
          <w:tcPr>
            <w:tcW w:w="923" w:type="dxa"/>
          </w:tcPr>
          <w:p>
            <w:pPr>
              <w:suppressAutoHyphens/>
              <w:jc w:val="center"/>
              <w:rPr>
                <w:lang w:eastAsia="lt-LT"/>
              </w:rPr>
            </w:pPr>
            <w:r>
              <w:rPr>
                <w:lang w:eastAsia="lt-LT"/>
              </w:rPr>
              <w:t>7</w:t>
            </w:r>
          </w:p>
        </w:tc>
        <w:tc>
          <w:tcPr>
            <w:tcW w:w="788" w:type="dxa"/>
          </w:tcPr>
          <w:p>
            <w:pPr>
              <w:suppressAutoHyphens/>
              <w:jc w:val="center"/>
              <w:rPr>
                <w:lang w:eastAsia="lt-LT"/>
              </w:rPr>
            </w:pPr>
            <w:r>
              <w:rPr>
                <w:lang w:eastAsia="lt-LT"/>
              </w:rPr>
              <w:t>8</w:t>
            </w:r>
          </w:p>
        </w:tc>
        <w:tc>
          <w:tcPr>
            <w:tcW w:w="949" w:type="dxa"/>
          </w:tcPr>
          <w:p>
            <w:pPr>
              <w:suppressAutoHyphens/>
              <w:jc w:val="center"/>
              <w:rPr>
                <w:lang w:eastAsia="lt-LT"/>
              </w:rPr>
            </w:pPr>
            <w:r>
              <w:rPr>
                <w:lang w:eastAsia="lt-LT"/>
              </w:rPr>
              <w:t>9</w:t>
            </w:r>
          </w:p>
        </w:tc>
        <w:tc>
          <w:tcPr>
            <w:tcW w:w="1038" w:type="dxa"/>
          </w:tcPr>
          <w:p>
            <w:pPr>
              <w:suppressAutoHyphens/>
              <w:jc w:val="center"/>
              <w:rPr>
                <w:lang w:eastAsia="lt-LT"/>
              </w:rPr>
            </w:pPr>
            <w:r>
              <w:rPr>
                <w:lang w:eastAsia="lt-LT"/>
              </w:rPr>
              <w:t>10</w:t>
            </w:r>
          </w:p>
        </w:tc>
        <w:tc>
          <w:tcPr>
            <w:tcW w:w="782" w:type="dxa"/>
          </w:tcPr>
          <w:p>
            <w:pPr>
              <w:suppressAutoHyphens/>
              <w:jc w:val="center"/>
              <w:rPr>
                <w:lang w:eastAsia="lt-LT"/>
              </w:rPr>
            </w:pPr>
            <w:r>
              <w:rPr>
                <w:lang w:eastAsia="lt-LT"/>
              </w:rPr>
              <w:t>11</w:t>
            </w:r>
          </w:p>
        </w:tc>
        <w:tc>
          <w:tcPr>
            <w:tcW w:w="871" w:type="dxa"/>
          </w:tcPr>
          <w:p>
            <w:pPr>
              <w:suppressAutoHyphens/>
              <w:jc w:val="center"/>
              <w:rPr>
                <w:lang w:eastAsia="lt-LT"/>
              </w:rPr>
            </w:pPr>
            <w:r>
              <w:rPr>
                <w:lang w:eastAsia="lt-LT"/>
              </w:rPr>
              <w:t>12</w:t>
            </w:r>
          </w:p>
        </w:tc>
        <w:tc>
          <w:tcPr>
            <w:tcW w:w="949" w:type="dxa"/>
          </w:tcPr>
          <w:p>
            <w:pPr>
              <w:suppressAutoHyphens/>
              <w:jc w:val="center"/>
              <w:rPr>
                <w:lang w:eastAsia="lt-LT"/>
              </w:rPr>
            </w:pPr>
            <w:r>
              <w:rPr>
                <w:lang w:eastAsia="lt-LT"/>
              </w:rPr>
              <w:t>13</w:t>
            </w:r>
          </w:p>
        </w:tc>
      </w:tr>
      <w:tr>
        <w:trPr>
          <w:trHeight w:val="407"/>
        </w:trPr>
        <w:tc>
          <w:tcPr>
            <w:tcW w:w="948" w:type="dxa"/>
          </w:tcPr>
          <w:p>
            <w:pPr>
              <w:suppressAutoHyphens/>
              <w:jc w:val="center"/>
              <w:rPr>
                <w:lang w:eastAsia="lt-LT"/>
              </w:rPr>
            </w:pPr>
            <w:r>
              <w:rPr>
                <w:lang w:eastAsia="lt-LT"/>
              </w:rPr>
              <w:t>1.</w:t>
            </w:r>
          </w:p>
        </w:tc>
        <w:tc>
          <w:tcPr>
            <w:tcW w:w="3563" w:type="dxa"/>
          </w:tcPr>
          <w:p>
            <w:pPr>
              <w:suppressAutoHyphens/>
              <w:rPr>
                <w:lang w:eastAsia="lt-LT"/>
              </w:rPr>
            </w:pPr>
            <w:r>
              <w:rPr>
                <w:lang w:eastAsia="lt-LT"/>
              </w:rPr>
              <w:t>Atnaujintų (modernizuotų) daugiabučių namų ar įgyvendintų priemonių (10 ir 11 grafos) skaičius</w:t>
            </w:r>
          </w:p>
        </w:tc>
        <w:tc>
          <w:tcPr>
            <w:tcW w:w="1043" w:type="dxa"/>
          </w:tcPr>
          <w:p>
            <w:pPr>
              <w:suppressAutoHyphens/>
              <w:jc w:val="center"/>
              <w:rPr>
                <w:lang w:eastAsia="lt-LT"/>
              </w:rPr>
            </w:pPr>
            <w:r>
              <w:rPr>
                <w:lang w:eastAsia="lt-LT"/>
              </w:rPr>
              <w:t>namai/</w:t>
            </w:r>
          </w:p>
          <w:p>
            <w:pPr>
              <w:suppressAutoHyphens/>
              <w:ind w:hanging="108"/>
              <w:jc w:val="center"/>
              <w:rPr>
                <w:lang w:eastAsia="lt-LT"/>
              </w:rPr>
            </w:pPr>
            <w:r>
              <w:rPr>
                <w:lang w:eastAsia="lt-LT"/>
              </w:rPr>
              <w:t>priemonės vnt.</w:t>
            </w:r>
          </w:p>
        </w:tc>
        <w:tc>
          <w:tcPr>
            <w:tcW w:w="922" w:type="dxa"/>
          </w:tcPr>
          <w:p>
            <w:pPr>
              <w:suppressAutoHyphens/>
              <w:jc w:val="center"/>
              <w:rPr>
                <w:lang w:eastAsia="lt-LT"/>
              </w:rPr>
            </w:pPr>
          </w:p>
        </w:tc>
        <w:tc>
          <w:tcPr>
            <w:tcW w:w="966" w:type="dxa"/>
          </w:tcPr>
          <w:p>
            <w:pPr>
              <w:suppressAutoHyphens/>
              <w:jc w:val="center"/>
              <w:rPr>
                <w:lang w:eastAsia="lt-LT"/>
              </w:rPr>
            </w:pPr>
          </w:p>
        </w:tc>
        <w:tc>
          <w:tcPr>
            <w:tcW w:w="998" w:type="dxa"/>
          </w:tcPr>
          <w:p>
            <w:pPr>
              <w:suppressAutoHyphens/>
              <w:jc w:val="center"/>
              <w:rPr>
                <w:lang w:eastAsia="lt-LT"/>
              </w:rPr>
            </w:pPr>
          </w:p>
        </w:tc>
        <w:tc>
          <w:tcPr>
            <w:tcW w:w="923" w:type="dxa"/>
          </w:tcPr>
          <w:p>
            <w:pPr>
              <w:suppressAutoHyphens/>
              <w:jc w:val="center"/>
              <w:rPr>
                <w:lang w:eastAsia="lt-LT"/>
              </w:rPr>
            </w:pPr>
          </w:p>
        </w:tc>
        <w:tc>
          <w:tcPr>
            <w:tcW w:w="788" w:type="dxa"/>
          </w:tcPr>
          <w:p>
            <w:pPr>
              <w:suppressAutoHyphens/>
              <w:jc w:val="center"/>
              <w:rPr>
                <w:lang w:eastAsia="lt-LT"/>
              </w:rPr>
            </w:pPr>
          </w:p>
        </w:tc>
        <w:tc>
          <w:tcPr>
            <w:tcW w:w="949" w:type="dxa"/>
          </w:tcPr>
          <w:p>
            <w:pPr>
              <w:suppressAutoHyphens/>
              <w:jc w:val="center"/>
              <w:rPr>
                <w:lang w:eastAsia="lt-LT"/>
              </w:rPr>
            </w:pPr>
          </w:p>
        </w:tc>
        <w:tc>
          <w:tcPr>
            <w:tcW w:w="1038" w:type="dxa"/>
          </w:tcPr>
          <w:p>
            <w:pPr>
              <w:suppressAutoHyphens/>
              <w:jc w:val="center"/>
              <w:rPr>
                <w:lang w:eastAsia="lt-LT"/>
              </w:rPr>
            </w:pPr>
          </w:p>
        </w:tc>
        <w:tc>
          <w:tcPr>
            <w:tcW w:w="782" w:type="dxa"/>
          </w:tcPr>
          <w:p>
            <w:pPr>
              <w:suppressAutoHyphens/>
              <w:jc w:val="center"/>
              <w:rPr>
                <w:lang w:eastAsia="lt-LT"/>
              </w:rPr>
            </w:pPr>
          </w:p>
        </w:tc>
        <w:tc>
          <w:tcPr>
            <w:tcW w:w="871" w:type="dxa"/>
          </w:tcPr>
          <w:p>
            <w:pPr>
              <w:suppressAutoHyphens/>
              <w:jc w:val="center"/>
              <w:rPr>
                <w:lang w:eastAsia="lt-LT"/>
              </w:rPr>
            </w:pPr>
          </w:p>
        </w:tc>
        <w:tc>
          <w:tcPr>
            <w:tcW w:w="949" w:type="dxa"/>
          </w:tcPr>
          <w:p>
            <w:pPr>
              <w:suppressAutoHyphens/>
              <w:jc w:val="center"/>
              <w:rPr>
                <w:lang w:eastAsia="lt-LT"/>
              </w:rPr>
            </w:pPr>
          </w:p>
        </w:tc>
      </w:tr>
      <w:tr>
        <w:tc>
          <w:tcPr>
            <w:tcW w:w="948" w:type="dxa"/>
            <w:vAlign w:val="center"/>
          </w:tcPr>
          <w:p>
            <w:pPr>
              <w:suppressAutoHyphens/>
              <w:jc w:val="center"/>
              <w:rPr>
                <w:lang w:eastAsia="lt-LT"/>
              </w:rPr>
            </w:pPr>
            <w:r>
              <w:rPr>
                <w:lang w:eastAsia="lt-LT"/>
              </w:rPr>
              <w:t>2.</w:t>
            </w:r>
          </w:p>
        </w:tc>
        <w:tc>
          <w:tcPr>
            <w:tcW w:w="3563" w:type="dxa"/>
          </w:tcPr>
          <w:p>
            <w:pPr>
              <w:suppressAutoHyphens/>
              <w:rPr>
                <w:lang w:eastAsia="lt-LT"/>
              </w:rPr>
            </w:pPr>
            <w:r>
              <w:rPr>
                <w:lang w:eastAsia="lt-LT"/>
              </w:rPr>
              <w:t>Atnaujintų (modernizuotų) daugiabučių namų naudingasis plotas</w:t>
            </w:r>
          </w:p>
        </w:tc>
        <w:tc>
          <w:tcPr>
            <w:tcW w:w="1043" w:type="dxa"/>
          </w:tcPr>
          <w:p>
            <w:pPr>
              <w:suppressAutoHyphens/>
              <w:jc w:val="center"/>
              <w:rPr>
                <w:vertAlign w:val="superscript"/>
                <w:lang w:eastAsia="lt-LT"/>
              </w:rPr>
            </w:pPr>
            <w:r>
              <w:rPr>
                <w:lang w:eastAsia="lt-LT"/>
              </w:rPr>
              <w:t>tūkst. m</w:t>
            </w:r>
            <w:r>
              <w:rPr>
                <w:vertAlign w:val="superscript"/>
                <w:lang w:eastAsia="lt-LT"/>
              </w:rPr>
              <w:t>2</w:t>
            </w:r>
          </w:p>
        </w:tc>
        <w:tc>
          <w:tcPr>
            <w:tcW w:w="922" w:type="dxa"/>
          </w:tcPr>
          <w:p>
            <w:pPr>
              <w:suppressAutoHyphens/>
              <w:jc w:val="center"/>
              <w:rPr>
                <w:lang w:eastAsia="lt-LT"/>
              </w:rPr>
            </w:pPr>
          </w:p>
        </w:tc>
        <w:tc>
          <w:tcPr>
            <w:tcW w:w="966" w:type="dxa"/>
          </w:tcPr>
          <w:p>
            <w:pPr>
              <w:suppressAutoHyphens/>
              <w:jc w:val="center"/>
              <w:rPr>
                <w:lang w:eastAsia="lt-LT"/>
              </w:rPr>
            </w:pPr>
          </w:p>
        </w:tc>
        <w:tc>
          <w:tcPr>
            <w:tcW w:w="998" w:type="dxa"/>
          </w:tcPr>
          <w:p>
            <w:pPr>
              <w:suppressAutoHyphens/>
              <w:jc w:val="center"/>
              <w:rPr>
                <w:lang w:eastAsia="lt-LT"/>
              </w:rPr>
            </w:pPr>
          </w:p>
        </w:tc>
        <w:tc>
          <w:tcPr>
            <w:tcW w:w="923" w:type="dxa"/>
          </w:tcPr>
          <w:p>
            <w:pPr>
              <w:suppressAutoHyphens/>
              <w:jc w:val="center"/>
              <w:rPr>
                <w:lang w:eastAsia="lt-LT"/>
              </w:rPr>
            </w:pPr>
          </w:p>
        </w:tc>
        <w:tc>
          <w:tcPr>
            <w:tcW w:w="788" w:type="dxa"/>
          </w:tcPr>
          <w:p>
            <w:pPr>
              <w:suppressAutoHyphens/>
              <w:jc w:val="center"/>
              <w:rPr>
                <w:lang w:eastAsia="lt-LT"/>
              </w:rPr>
            </w:pPr>
          </w:p>
        </w:tc>
        <w:tc>
          <w:tcPr>
            <w:tcW w:w="949" w:type="dxa"/>
          </w:tcPr>
          <w:p>
            <w:pPr>
              <w:suppressAutoHyphens/>
              <w:jc w:val="center"/>
              <w:rPr>
                <w:lang w:eastAsia="lt-LT"/>
              </w:rPr>
            </w:pPr>
          </w:p>
        </w:tc>
        <w:tc>
          <w:tcPr>
            <w:tcW w:w="1038" w:type="dxa"/>
          </w:tcPr>
          <w:p>
            <w:pPr>
              <w:suppressAutoHyphens/>
              <w:jc w:val="center"/>
              <w:rPr>
                <w:lang w:eastAsia="lt-LT"/>
              </w:rPr>
            </w:pPr>
          </w:p>
        </w:tc>
        <w:tc>
          <w:tcPr>
            <w:tcW w:w="782" w:type="dxa"/>
          </w:tcPr>
          <w:p>
            <w:pPr>
              <w:suppressAutoHyphens/>
              <w:jc w:val="center"/>
              <w:rPr>
                <w:lang w:eastAsia="lt-LT"/>
              </w:rPr>
            </w:pPr>
          </w:p>
        </w:tc>
        <w:tc>
          <w:tcPr>
            <w:tcW w:w="871" w:type="dxa"/>
          </w:tcPr>
          <w:p>
            <w:pPr>
              <w:suppressAutoHyphens/>
              <w:jc w:val="center"/>
              <w:rPr>
                <w:lang w:eastAsia="lt-LT"/>
              </w:rPr>
            </w:pPr>
          </w:p>
        </w:tc>
        <w:tc>
          <w:tcPr>
            <w:tcW w:w="949" w:type="dxa"/>
          </w:tcPr>
          <w:p>
            <w:pPr>
              <w:suppressAutoHyphens/>
              <w:jc w:val="center"/>
              <w:rPr>
                <w:lang w:eastAsia="lt-LT"/>
              </w:rPr>
            </w:pPr>
          </w:p>
        </w:tc>
      </w:tr>
      <w:tr>
        <w:tc>
          <w:tcPr>
            <w:tcW w:w="948" w:type="dxa"/>
            <w:vAlign w:val="center"/>
          </w:tcPr>
          <w:p>
            <w:pPr>
              <w:suppressAutoHyphens/>
              <w:jc w:val="center"/>
              <w:rPr>
                <w:lang w:eastAsia="lt-LT"/>
              </w:rPr>
            </w:pPr>
            <w:r>
              <w:rPr>
                <w:lang w:eastAsia="lt-LT"/>
              </w:rPr>
              <w:t>3.</w:t>
            </w:r>
          </w:p>
        </w:tc>
        <w:tc>
          <w:tcPr>
            <w:tcW w:w="3563" w:type="dxa"/>
          </w:tcPr>
          <w:p>
            <w:pPr>
              <w:suppressAutoHyphens/>
              <w:rPr>
                <w:lang w:eastAsia="lt-LT"/>
              </w:rPr>
            </w:pPr>
            <w:r>
              <w:rPr>
                <w:lang w:eastAsia="lt-LT"/>
              </w:rPr>
              <w:t>Skaičiuojamasis sutaupytos šiluminės energijos kiekis</w:t>
            </w:r>
          </w:p>
        </w:tc>
        <w:tc>
          <w:tcPr>
            <w:tcW w:w="1043" w:type="dxa"/>
          </w:tcPr>
          <w:p>
            <w:pPr>
              <w:suppressAutoHyphens/>
              <w:jc w:val="center"/>
              <w:rPr>
                <w:lang w:eastAsia="lt-LT"/>
              </w:rPr>
            </w:pPr>
            <w:r>
              <w:rPr>
                <w:lang w:eastAsia="lt-LT"/>
              </w:rPr>
              <w:t>GWh/ metus</w:t>
            </w:r>
          </w:p>
        </w:tc>
        <w:tc>
          <w:tcPr>
            <w:tcW w:w="922" w:type="dxa"/>
          </w:tcPr>
          <w:p>
            <w:pPr>
              <w:suppressAutoHyphens/>
              <w:jc w:val="center"/>
              <w:rPr>
                <w:lang w:eastAsia="lt-LT"/>
              </w:rPr>
            </w:pPr>
          </w:p>
        </w:tc>
        <w:tc>
          <w:tcPr>
            <w:tcW w:w="966" w:type="dxa"/>
          </w:tcPr>
          <w:p>
            <w:pPr>
              <w:suppressAutoHyphens/>
              <w:jc w:val="center"/>
              <w:rPr>
                <w:lang w:eastAsia="lt-LT"/>
              </w:rPr>
            </w:pPr>
          </w:p>
        </w:tc>
        <w:tc>
          <w:tcPr>
            <w:tcW w:w="998" w:type="dxa"/>
          </w:tcPr>
          <w:p>
            <w:pPr>
              <w:suppressAutoHyphens/>
              <w:jc w:val="center"/>
              <w:rPr>
                <w:lang w:eastAsia="lt-LT"/>
              </w:rPr>
            </w:pPr>
          </w:p>
        </w:tc>
        <w:tc>
          <w:tcPr>
            <w:tcW w:w="923" w:type="dxa"/>
          </w:tcPr>
          <w:p>
            <w:pPr>
              <w:suppressAutoHyphens/>
              <w:jc w:val="center"/>
              <w:rPr>
                <w:lang w:eastAsia="lt-LT"/>
              </w:rPr>
            </w:pPr>
          </w:p>
        </w:tc>
        <w:tc>
          <w:tcPr>
            <w:tcW w:w="788" w:type="dxa"/>
          </w:tcPr>
          <w:p>
            <w:pPr>
              <w:suppressAutoHyphens/>
              <w:jc w:val="center"/>
              <w:rPr>
                <w:lang w:eastAsia="lt-LT"/>
              </w:rPr>
            </w:pPr>
          </w:p>
        </w:tc>
        <w:tc>
          <w:tcPr>
            <w:tcW w:w="949" w:type="dxa"/>
          </w:tcPr>
          <w:p>
            <w:pPr>
              <w:suppressAutoHyphens/>
              <w:jc w:val="center"/>
              <w:rPr>
                <w:lang w:eastAsia="lt-LT"/>
              </w:rPr>
            </w:pPr>
          </w:p>
        </w:tc>
        <w:tc>
          <w:tcPr>
            <w:tcW w:w="1038" w:type="dxa"/>
          </w:tcPr>
          <w:p>
            <w:pPr>
              <w:suppressAutoHyphens/>
              <w:jc w:val="center"/>
              <w:rPr>
                <w:lang w:eastAsia="lt-LT"/>
              </w:rPr>
            </w:pPr>
          </w:p>
        </w:tc>
        <w:tc>
          <w:tcPr>
            <w:tcW w:w="782" w:type="dxa"/>
          </w:tcPr>
          <w:p>
            <w:pPr>
              <w:suppressAutoHyphens/>
              <w:jc w:val="center"/>
              <w:rPr>
                <w:lang w:eastAsia="lt-LT"/>
              </w:rPr>
            </w:pPr>
          </w:p>
        </w:tc>
        <w:tc>
          <w:tcPr>
            <w:tcW w:w="871" w:type="dxa"/>
          </w:tcPr>
          <w:p>
            <w:pPr>
              <w:suppressAutoHyphens/>
              <w:jc w:val="center"/>
              <w:rPr>
                <w:lang w:eastAsia="lt-LT"/>
              </w:rPr>
            </w:pPr>
          </w:p>
        </w:tc>
        <w:tc>
          <w:tcPr>
            <w:tcW w:w="949" w:type="dxa"/>
          </w:tcPr>
          <w:p>
            <w:pPr>
              <w:suppressAutoHyphens/>
              <w:jc w:val="center"/>
              <w:rPr>
                <w:lang w:eastAsia="lt-LT"/>
              </w:rPr>
            </w:pPr>
          </w:p>
        </w:tc>
      </w:tr>
      <w:tr>
        <w:tc>
          <w:tcPr>
            <w:tcW w:w="948" w:type="dxa"/>
            <w:vAlign w:val="center"/>
          </w:tcPr>
          <w:p>
            <w:pPr>
              <w:suppressAutoHyphens/>
              <w:jc w:val="center"/>
              <w:rPr>
                <w:lang w:eastAsia="lt-LT"/>
              </w:rPr>
            </w:pPr>
            <w:r>
              <w:rPr>
                <w:lang w:eastAsia="lt-LT"/>
              </w:rPr>
              <w:t>4.</w:t>
            </w:r>
          </w:p>
        </w:tc>
        <w:tc>
          <w:tcPr>
            <w:tcW w:w="3563" w:type="dxa"/>
          </w:tcPr>
          <w:p>
            <w:pPr>
              <w:suppressAutoHyphens/>
              <w:rPr>
                <w:lang w:eastAsia="lt-LT"/>
              </w:rPr>
            </w:pPr>
            <w:r>
              <w:rPr>
                <w:lang w:eastAsia="lt-LT"/>
              </w:rPr>
              <w:t>Skaičiuojamojo sutaupytos šiluminės energijos kiekio santykis su siektinu DNMP tikslu – 1000 GWh/metus</w:t>
            </w:r>
          </w:p>
        </w:tc>
        <w:tc>
          <w:tcPr>
            <w:tcW w:w="1043" w:type="dxa"/>
          </w:tcPr>
          <w:p>
            <w:pPr>
              <w:suppressAutoHyphens/>
              <w:jc w:val="center"/>
              <w:rPr>
                <w:lang w:eastAsia="lt-LT"/>
              </w:rPr>
            </w:pPr>
            <w:r>
              <w:rPr>
                <w:lang w:eastAsia="lt-LT"/>
              </w:rPr>
              <w:t>procentai</w:t>
            </w:r>
          </w:p>
        </w:tc>
        <w:tc>
          <w:tcPr>
            <w:tcW w:w="922" w:type="dxa"/>
          </w:tcPr>
          <w:p>
            <w:pPr>
              <w:suppressAutoHyphens/>
              <w:jc w:val="center"/>
              <w:rPr>
                <w:lang w:eastAsia="lt-LT"/>
              </w:rPr>
            </w:pPr>
          </w:p>
        </w:tc>
        <w:tc>
          <w:tcPr>
            <w:tcW w:w="966" w:type="dxa"/>
          </w:tcPr>
          <w:p>
            <w:pPr>
              <w:suppressAutoHyphens/>
              <w:jc w:val="center"/>
              <w:rPr>
                <w:lang w:eastAsia="lt-LT"/>
              </w:rPr>
            </w:pPr>
          </w:p>
        </w:tc>
        <w:tc>
          <w:tcPr>
            <w:tcW w:w="998" w:type="dxa"/>
          </w:tcPr>
          <w:p>
            <w:pPr>
              <w:suppressAutoHyphens/>
              <w:jc w:val="center"/>
              <w:rPr>
                <w:lang w:eastAsia="lt-LT"/>
              </w:rPr>
            </w:pPr>
          </w:p>
        </w:tc>
        <w:tc>
          <w:tcPr>
            <w:tcW w:w="923" w:type="dxa"/>
          </w:tcPr>
          <w:p>
            <w:pPr>
              <w:suppressAutoHyphens/>
              <w:jc w:val="center"/>
              <w:rPr>
                <w:lang w:eastAsia="lt-LT"/>
              </w:rPr>
            </w:pPr>
          </w:p>
        </w:tc>
        <w:tc>
          <w:tcPr>
            <w:tcW w:w="788" w:type="dxa"/>
          </w:tcPr>
          <w:p>
            <w:pPr>
              <w:suppressAutoHyphens/>
              <w:jc w:val="center"/>
              <w:rPr>
                <w:lang w:eastAsia="lt-LT"/>
              </w:rPr>
            </w:pPr>
          </w:p>
        </w:tc>
        <w:tc>
          <w:tcPr>
            <w:tcW w:w="949" w:type="dxa"/>
          </w:tcPr>
          <w:p>
            <w:pPr>
              <w:suppressAutoHyphens/>
              <w:jc w:val="center"/>
              <w:rPr>
                <w:lang w:eastAsia="lt-LT"/>
              </w:rPr>
            </w:pPr>
          </w:p>
        </w:tc>
        <w:tc>
          <w:tcPr>
            <w:tcW w:w="1038" w:type="dxa"/>
          </w:tcPr>
          <w:p>
            <w:pPr>
              <w:suppressAutoHyphens/>
              <w:jc w:val="center"/>
              <w:rPr>
                <w:lang w:eastAsia="lt-LT"/>
              </w:rPr>
            </w:pPr>
          </w:p>
        </w:tc>
        <w:tc>
          <w:tcPr>
            <w:tcW w:w="782" w:type="dxa"/>
          </w:tcPr>
          <w:p>
            <w:pPr>
              <w:suppressAutoHyphens/>
              <w:jc w:val="center"/>
              <w:rPr>
                <w:lang w:eastAsia="lt-LT"/>
              </w:rPr>
            </w:pPr>
          </w:p>
        </w:tc>
        <w:tc>
          <w:tcPr>
            <w:tcW w:w="871" w:type="dxa"/>
          </w:tcPr>
          <w:p>
            <w:pPr>
              <w:suppressAutoHyphens/>
              <w:jc w:val="center"/>
              <w:rPr>
                <w:lang w:eastAsia="lt-LT"/>
              </w:rPr>
            </w:pPr>
          </w:p>
        </w:tc>
        <w:tc>
          <w:tcPr>
            <w:tcW w:w="949" w:type="dxa"/>
          </w:tcPr>
          <w:p>
            <w:pPr>
              <w:suppressAutoHyphens/>
              <w:jc w:val="center"/>
              <w:rPr>
                <w:lang w:eastAsia="lt-LT"/>
              </w:rPr>
            </w:pPr>
          </w:p>
        </w:tc>
      </w:tr>
      <w:tr>
        <w:tc>
          <w:tcPr>
            <w:tcW w:w="948" w:type="dxa"/>
            <w:vAlign w:val="center"/>
          </w:tcPr>
          <w:p>
            <w:pPr>
              <w:suppressAutoHyphens/>
              <w:jc w:val="center"/>
              <w:rPr>
                <w:lang w:eastAsia="lt-LT"/>
              </w:rPr>
            </w:pPr>
            <w:r>
              <w:rPr>
                <w:lang w:eastAsia="lt-LT"/>
              </w:rPr>
              <w:t>5.</w:t>
            </w:r>
          </w:p>
        </w:tc>
        <w:tc>
          <w:tcPr>
            <w:tcW w:w="3563" w:type="dxa"/>
          </w:tcPr>
          <w:p>
            <w:pPr>
              <w:suppressAutoHyphens/>
              <w:rPr>
                <w:lang w:eastAsia="lt-LT"/>
              </w:rPr>
            </w:pPr>
            <w:r>
              <w:rPr>
                <w:lang w:eastAsia="lt-LT"/>
              </w:rPr>
              <w:t>Lyginamasis skaičiuojamasis sutaupytos šiluminės energijos kiekis</w:t>
            </w:r>
          </w:p>
        </w:tc>
        <w:tc>
          <w:tcPr>
            <w:tcW w:w="1043" w:type="dxa"/>
          </w:tcPr>
          <w:p>
            <w:pPr>
              <w:suppressAutoHyphens/>
              <w:jc w:val="center"/>
              <w:rPr>
                <w:lang w:eastAsia="lt-LT"/>
              </w:rPr>
            </w:pPr>
            <w:r>
              <w:rPr>
                <w:lang w:eastAsia="lt-LT"/>
              </w:rPr>
              <w:t>kWh/m</w:t>
            </w:r>
            <w:r>
              <w:rPr>
                <w:vertAlign w:val="superscript"/>
                <w:lang w:eastAsia="lt-LT"/>
              </w:rPr>
              <w:t>2</w:t>
            </w:r>
            <w:r>
              <w:rPr>
                <w:lang w:eastAsia="lt-LT"/>
              </w:rPr>
              <w:t>/metus</w:t>
            </w:r>
          </w:p>
        </w:tc>
        <w:tc>
          <w:tcPr>
            <w:tcW w:w="922" w:type="dxa"/>
          </w:tcPr>
          <w:p>
            <w:pPr>
              <w:suppressAutoHyphens/>
              <w:jc w:val="center"/>
              <w:rPr>
                <w:lang w:eastAsia="lt-LT"/>
              </w:rPr>
            </w:pPr>
          </w:p>
        </w:tc>
        <w:tc>
          <w:tcPr>
            <w:tcW w:w="966" w:type="dxa"/>
          </w:tcPr>
          <w:p>
            <w:pPr>
              <w:suppressAutoHyphens/>
              <w:jc w:val="center"/>
              <w:rPr>
                <w:lang w:eastAsia="lt-LT"/>
              </w:rPr>
            </w:pPr>
          </w:p>
        </w:tc>
        <w:tc>
          <w:tcPr>
            <w:tcW w:w="998" w:type="dxa"/>
          </w:tcPr>
          <w:p>
            <w:pPr>
              <w:suppressAutoHyphens/>
              <w:jc w:val="center"/>
              <w:rPr>
                <w:lang w:eastAsia="lt-LT"/>
              </w:rPr>
            </w:pPr>
          </w:p>
        </w:tc>
        <w:tc>
          <w:tcPr>
            <w:tcW w:w="923" w:type="dxa"/>
          </w:tcPr>
          <w:p>
            <w:pPr>
              <w:suppressAutoHyphens/>
              <w:jc w:val="center"/>
              <w:rPr>
                <w:lang w:eastAsia="lt-LT"/>
              </w:rPr>
            </w:pPr>
          </w:p>
        </w:tc>
        <w:tc>
          <w:tcPr>
            <w:tcW w:w="788" w:type="dxa"/>
          </w:tcPr>
          <w:p>
            <w:pPr>
              <w:suppressAutoHyphens/>
              <w:jc w:val="center"/>
              <w:rPr>
                <w:lang w:eastAsia="lt-LT"/>
              </w:rPr>
            </w:pPr>
          </w:p>
        </w:tc>
        <w:tc>
          <w:tcPr>
            <w:tcW w:w="949" w:type="dxa"/>
          </w:tcPr>
          <w:p>
            <w:pPr>
              <w:suppressAutoHyphens/>
              <w:jc w:val="center"/>
              <w:rPr>
                <w:lang w:eastAsia="lt-LT"/>
              </w:rPr>
            </w:pPr>
          </w:p>
        </w:tc>
        <w:tc>
          <w:tcPr>
            <w:tcW w:w="1038" w:type="dxa"/>
          </w:tcPr>
          <w:p>
            <w:pPr>
              <w:suppressAutoHyphens/>
              <w:jc w:val="center"/>
              <w:rPr>
                <w:lang w:eastAsia="lt-LT"/>
              </w:rPr>
            </w:pPr>
          </w:p>
        </w:tc>
        <w:tc>
          <w:tcPr>
            <w:tcW w:w="782" w:type="dxa"/>
          </w:tcPr>
          <w:p>
            <w:pPr>
              <w:suppressAutoHyphens/>
              <w:jc w:val="center"/>
              <w:rPr>
                <w:lang w:eastAsia="lt-LT"/>
              </w:rPr>
            </w:pPr>
          </w:p>
        </w:tc>
        <w:tc>
          <w:tcPr>
            <w:tcW w:w="871" w:type="dxa"/>
          </w:tcPr>
          <w:p>
            <w:pPr>
              <w:suppressAutoHyphens/>
              <w:jc w:val="center"/>
              <w:rPr>
                <w:lang w:eastAsia="lt-LT"/>
              </w:rPr>
            </w:pPr>
          </w:p>
        </w:tc>
        <w:tc>
          <w:tcPr>
            <w:tcW w:w="949" w:type="dxa"/>
          </w:tcPr>
          <w:p>
            <w:pPr>
              <w:suppressAutoHyphens/>
              <w:jc w:val="center"/>
              <w:rPr>
                <w:lang w:eastAsia="lt-LT"/>
              </w:rPr>
            </w:pPr>
          </w:p>
        </w:tc>
      </w:tr>
      <w:tr>
        <w:tc>
          <w:tcPr>
            <w:tcW w:w="948" w:type="dxa"/>
            <w:vAlign w:val="center"/>
          </w:tcPr>
          <w:p>
            <w:pPr>
              <w:suppressAutoHyphens/>
              <w:jc w:val="center"/>
              <w:rPr>
                <w:lang w:eastAsia="lt-LT"/>
              </w:rPr>
            </w:pPr>
            <w:r>
              <w:rPr>
                <w:lang w:eastAsia="lt-LT"/>
              </w:rPr>
              <w:t>6.</w:t>
            </w:r>
          </w:p>
        </w:tc>
        <w:tc>
          <w:tcPr>
            <w:tcW w:w="3563" w:type="dxa"/>
          </w:tcPr>
          <w:p>
            <w:pPr>
              <w:suppressAutoHyphens/>
              <w:rPr>
                <w:lang w:eastAsia="lt-LT"/>
              </w:rPr>
            </w:pPr>
            <w:r>
              <w:rPr>
                <w:lang w:eastAsia="lt-LT"/>
              </w:rPr>
              <w:t>Išmetamųjų šiltnamio efektą sukeliančių dujų (CO</w:t>
            </w:r>
            <w:r>
              <w:rPr>
                <w:vertAlign w:val="subscript"/>
                <w:lang w:eastAsia="lt-LT"/>
              </w:rPr>
              <w:t>2</w:t>
            </w:r>
            <w:r>
              <w:rPr>
                <w:lang w:eastAsia="lt-LT"/>
              </w:rPr>
              <w:t>) sumažėjimas</w:t>
            </w:r>
          </w:p>
        </w:tc>
        <w:tc>
          <w:tcPr>
            <w:tcW w:w="1043" w:type="dxa"/>
          </w:tcPr>
          <w:p>
            <w:pPr>
              <w:suppressAutoHyphens/>
              <w:jc w:val="center"/>
              <w:rPr>
                <w:lang w:eastAsia="lt-LT"/>
              </w:rPr>
            </w:pPr>
            <w:r>
              <w:rPr>
                <w:lang w:eastAsia="lt-LT"/>
              </w:rPr>
              <w:t>tūkst. tonų/ metus</w:t>
            </w:r>
          </w:p>
        </w:tc>
        <w:tc>
          <w:tcPr>
            <w:tcW w:w="922" w:type="dxa"/>
          </w:tcPr>
          <w:p>
            <w:pPr>
              <w:suppressAutoHyphens/>
              <w:jc w:val="center"/>
              <w:rPr>
                <w:lang w:eastAsia="lt-LT"/>
              </w:rPr>
            </w:pPr>
          </w:p>
        </w:tc>
        <w:tc>
          <w:tcPr>
            <w:tcW w:w="966" w:type="dxa"/>
          </w:tcPr>
          <w:p>
            <w:pPr>
              <w:suppressAutoHyphens/>
              <w:jc w:val="center"/>
              <w:rPr>
                <w:lang w:eastAsia="lt-LT"/>
              </w:rPr>
            </w:pPr>
          </w:p>
        </w:tc>
        <w:tc>
          <w:tcPr>
            <w:tcW w:w="998" w:type="dxa"/>
          </w:tcPr>
          <w:p>
            <w:pPr>
              <w:suppressAutoHyphens/>
              <w:jc w:val="center"/>
              <w:rPr>
                <w:lang w:eastAsia="lt-LT"/>
              </w:rPr>
            </w:pPr>
          </w:p>
        </w:tc>
        <w:tc>
          <w:tcPr>
            <w:tcW w:w="923" w:type="dxa"/>
          </w:tcPr>
          <w:p>
            <w:pPr>
              <w:suppressAutoHyphens/>
              <w:jc w:val="center"/>
              <w:rPr>
                <w:lang w:eastAsia="lt-LT"/>
              </w:rPr>
            </w:pPr>
          </w:p>
        </w:tc>
        <w:tc>
          <w:tcPr>
            <w:tcW w:w="788" w:type="dxa"/>
          </w:tcPr>
          <w:p>
            <w:pPr>
              <w:suppressAutoHyphens/>
              <w:jc w:val="center"/>
              <w:rPr>
                <w:lang w:eastAsia="lt-LT"/>
              </w:rPr>
            </w:pPr>
          </w:p>
        </w:tc>
        <w:tc>
          <w:tcPr>
            <w:tcW w:w="949" w:type="dxa"/>
          </w:tcPr>
          <w:p>
            <w:pPr>
              <w:suppressAutoHyphens/>
              <w:jc w:val="center"/>
              <w:rPr>
                <w:lang w:eastAsia="lt-LT"/>
              </w:rPr>
            </w:pPr>
          </w:p>
        </w:tc>
        <w:tc>
          <w:tcPr>
            <w:tcW w:w="1038" w:type="dxa"/>
          </w:tcPr>
          <w:p>
            <w:pPr>
              <w:suppressAutoHyphens/>
              <w:jc w:val="center"/>
              <w:rPr>
                <w:lang w:eastAsia="lt-LT"/>
              </w:rPr>
            </w:pPr>
          </w:p>
        </w:tc>
        <w:tc>
          <w:tcPr>
            <w:tcW w:w="782" w:type="dxa"/>
          </w:tcPr>
          <w:p>
            <w:pPr>
              <w:suppressAutoHyphens/>
              <w:jc w:val="center"/>
              <w:rPr>
                <w:lang w:eastAsia="lt-LT"/>
              </w:rPr>
            </w:pPr>
          </w:p>
        </w:tc>
        <w:tc>
          <w:tcPr>
            <w:tcW w:w="871" w:type="dxa"/>
          </w:tcPr>
          <w:p>
            <w:pPr>
              <w:suppressAutoHyphens/>
              <w:jc w:val="center"/>
              <w:rPr>
                <w:lang w:eastAsia="lt-LT"/>
              </w:rPr>
            </w:pPr>
          </w:p>
        </w:tc>
        <w:tc>
          <w:tcPr>
            <w:tcW w:w="949" w:type="dxa"/>
          </w:tcPr>
          <w:p>
            <w:pPr>
              <w:suppressAutoHyphens/>
              <w:jc w:val="center"/>
              <w:rPr>
                <w:lang w:eastAsia="lt-LT"/>
              </w:rPr>
            </w:pPr>
          </w:p>
        </w:tc>
      </w:tr>
      <w:tr>
        <w:tc>
          <w:tcPr>
            <w:tcW w:w="948" w:type="dxa"/>
            <w:vAlign w:val="center"/>
          </w:tcPr>
          <w:p>
            <w:pPr>
              <w:suppressAutoHyphens/>
              <w:jc w:val="center"/>
              <w:rPr>
                <w:lang w:eastAsia="lt-LT"/>
              </w:rPr>
            </w:pPr>
            <w:r>
              <w:rPr>
                <w:lang w:eastAsia="lt-LT"/>
              </w:rPr>
              <w:t>7.</w:t>
            </w:r>
          </w:p>
        </w:tc>
        <w:tc>
          <w:tcPr>
            <w:tcW w:w="3563" w:type="dxa"/>
          </w:tcPr>
          <w:p>
            <w:pPr>
              <w:suppressAutoHyphens/>
              <w:rPr>
                <w:lang w:eastAsia="lt-LT"/>
              </w:rPr>
            </w:pPr>
            <w:r>
              <w:rPr>
                <w:lang w:eastAsia="lt-LT"/>
              </w:rPr>
              <w:t>Išmetamųjų šiltnamio efektą sukeliančių dujų (CO</w:t>
            </w:r>
            <w:r>
              <w:rPr>
                <w:vertAlign w:val="subscript"/>
                <w:lang w:eastAsia="lt-LT"/>
              </w:rPr>
              <w:t>2</w:t>
            </w:r>
            <w:r>
              <w:rPr>
                <w:lang w:eastAsia="lt-LT"/>
              </w:rPr>
              <w:t>) sumažėjimas lyginant su DNMP tikslu – 230 tūkst. tonų/metus</w:t>
            </w:r>
          </w:p>
        </w:tc>
        <w:tc>
          <w:tcPr>
            <w:tcW w:w="1043" w:type="dxa"/>
          </w:tcPr>
          <w:p>
            <w:pPr>
              <w:suppressAutoHyphens/>
              <w:jc w:val="center"/>
              <w:rPr>
                <w:lang w:eastAsia="lt-LT"/>
              </w:rPr>
            </w:pPr>
            <w:r>
              <w:rPr>
                <w:lang w:eastAsia="lt-LT"/>
              </w:rPr>
              <w:t>procentai</w:t>
            </w:r>
          </w:p>
        </w:tc>
        <w:tc>
          <w:tcPr>
            <w:tcW w:w="922" w:type="dxa"/>
          </w:tcPr>
          <w:p>
            <w:pPr>
              <w:suppressAutoHyphens/>
              <w:jc w:val="center"/>
              <w:rPr>
                <w:lang w:eastAsia="lt-LT"/>
              </w:rPr>
            </w:pPr>
          </w:p>
        </w:tc>
        <w:tc>
          <w:tcPr>
            <w:tcW w:w="966" w:type="dxa"/>
          </w:tcPr>
          <w:p>
            <w:pPr>
              <w:suppressAutoHyphens/>
              <w:jc w:val="center"/>
              <w:rPr>
                <w:lang w:eastAsia="lt-LT"/>
              </w:rPr>
            </w:pPr>
          </w:p>
        </w:tc>
        <w:tc>
          <w:tcPr>
            <w:tcW w:w="998" w:type="dxa"/>
          </w:tcPr>
          <w:p>
            <w:pPr>
              <w:suppressAutoHyphens/>
              <w:jc w:val="center"/>
              <w:rPr>
                <w:lang w:eastAsia="lt-LT"/>
              </w:rPr>
            </w:pPr>
          </w:p>
        </w:tc>
        <w:tc>
          <w:tcPr>
            <w:tcW w:w="923" w:type="dxa"/>
          </w:tcPr>
          <w:p>
            <w:pPr>
              <w:suppressAutoHyphens/>
              <w:jc w:val="center"/>
              <w:rPr>
                <w:lang w:eastAsia="lt-LT"/>
              </w:rPr>
            </w:pPr>
          </w:p>
        </w:tc>
        <w:tc>
          <w:tcPr>
            <w:tcW w:w="788" w:type="dxa"/>
          </w:tcPr>
          <w:p>
            <w:pPr>
              <w:suppressAutoHyphens/>
              <w:jc w:val="center"/>
              <w:rPr>
                <w:lang w:eastAsia="lt-LT"/>
              </w:rPr>
            </w:pPr>
          </w:p>
        </w:tc>
        <w:tc>
          <w:tcPr>
            <w:tcW w:w="949" w:type="dxa"/>
          </w:tcPr>
          <w:p>
            <w:pPr>
              <w:suppressAutoHyphens/>
              <w:jc w:val="center"/>
              <w:rPr>
                <w:lang w:eastAsia="lt-LT"/>
              </w:rPr>
            </w:pPr>
          </w:p>
        </w:tc>
        <w:tc>
          <w:tcPr>
            <w:tcW w:w="1038" w:type="dxa"/>
          </w:tcPr>
          <w:p>
            <w:pPr>
              <w:suppressAutoHyphens/>
              <w:jc w:val="center"/>
              <w:rPr>
                <w:lang w:eastAsia="lt-LT"/>
              </w:rPr>
            </w:pPr>
          </w:p>
        </w:tc>
        <w:tc>
          <w:tcPr>
            <w:tcW w:w="782" w:type="dxa"/>
          </w:tcPr>
          <w:p>
            <w:pPr>
              <w:suppressAutoHyphens/>
              <w:jc w:val="center"/>
              <w:rPr>
                <w:lang w:eastAsia="lt-LT"/>
              </w:rPr>
            </w:pPr>
          </w:p>
        </w:tc>
        <w:tc>
          <w:tcPr>
            <w:tcW w:w="871" w:type="dxa"/>
          </w:tcPr>
          <w:p>
            <w:pPr>
              <w:suppressAutoHyphens/>
              <w:jc w:val="center"/>
              <w:rPr>
                <w:lang w:eastAsia="lt-LT"/>
              </w:rPr>
            </w:pPr>
          </w:p>
        </w:tc>
        <w:tc>
          <w:tcPr>
            <w:tcW w:w="949" w:type="dxa"/>
          </w:tcPr>
          <w:p>
            <w:pPr>
              <w:suppressAutoHyphens/>
              <w:jc w:val="center"/>
              <w:rPr>
                <w:lang w:eastAsia="lt-LT"/>
              </w:rPr>
            </w:pPr>
          </w:p>
        </w:tc>
      </w:tr>
      <w:tr>
        <w:tc>
          <w:tcPr>
            <w:tcW w:w="948" w:type="dxa"/>
            <w:vAlign w:val="center"/>
          </w:tcPr>
          <w:p>
            <w:pPr>
              <w:suppressAutoHyphens/>
              <w:jc w:val="center"/>
              <w:rPr>
                <w:lang w:val="en-GB" w:eastAsia="lt-LT"/>
              </w:rPr>
            </w:pPr>
            <w:r>
              <w:rPr>
                <w:lang w:val="en-GB" w:eastAsia="lt-LT"/>
              </w:rPr>
              <w:t>8.</w:t>
            </w:r>
          </w:p>
        </w:tc>
        <w:tc>
          <w:tcPr>
            <w:tcW w:w="3563" w:type="dxa"/>
          </w:tcPr>
          <w:p>
            <w:pPr>
              <w:suppressAutoHyphens/>
              <w:rPr>
                <w:lang w:eastAsia="lt-LT"/>
              </w:rPr>
            </w:pPr>
            <w:r>
              <w:rPr>
                <w:lang w:eastAsia="lt-LT"/>
              </w:rPr>
              <w:t>Investicijų suma</w:t>
            </w:r>
          </w:p>
        </w:tc>
        <w:tc>
          <w:tcPr>
            <w:tcW w:w="1043" w:type="dxa"/>
          </w:tcPr>
          <w:p>
            <w:pPr>
              <w:suppressAutoHyphens/>
              <w:jc w:val="center"/>
              <w:rPr>
                <w:lang w:eastAsia="lt-LT"/>
              </w:rPr>
            </w:pPr>
            <w:r>
              <w:rPr>
                <w:lang w:eastAsia="lt-LT"/>
              </w:rPr>
              <w:t>mln. Eur</w:t>
            </w:r>
          </w:p>
        </w:tc>
        <w:tc>
          <w:tcPr>
            <w:tcW w:w="922" w:type="dxa"/>
          </w:tcPr>
          <w:p>
            <w:pPr>
              <w:suppressAutoHyphens/>
              <w:jc w:val="center"/>
              <w:rPr>
                <w:lang w:eastAsia="lt-LT"/>
              </w:rPr>
            </w:pPr>
          </w:p>
        </w:tc>
        <w:tc>
          <w:tcPr>
            <w:tcW w:w="966" w:type="dxa"/>
          </w:tcPr>
          <w:p>
            <w:pPr>
              <w:suppressAutoHyphens/>
              <w:jc w:val="center"/>
              <w:rPr>
                <w:lang w:eastAsia="lt-LT"/>
              </w:rPr>
            </w:pPr>
          </w:p>
        </w:tc>
        <w:tc>
          <w:tcPr>
            <w:tcW w:w="998" w:type="dxa"/>
          </w:tcPr>
          <w:p>
            <w:pPr>
              <w:suppressAutoHyphens/>
              <w:jc w:val="center"/>
              <w:rPr>
                <w:lang w:eastAsia="lt-LT"/>
              </w:rPr>
            </w:pPr>
            <w:r>
              <w:rPr>
                <w:lang w:eastAsia="lt-LT"/>
              </w:rPr>
              <w:t>-</w:t>
            </w:r>
          </w:p>
        </w:tc>
        <w:tc>
          <w:tcPr>
            <w:tcW w:w="923" w:type="dxa"/>
          </w:tcPr>
          <w:p>
            <w:pPr>
              <w:suppressAutoHyphens/>
              <w:jc w:val="center"/>
              <w:rPr>
                <w:lang w:eastAsia="lt-LT"/>
              </w:rPr>
            </w:pPr>
            <w:r>
              <w:rPr>
                <w:lang w:eastAsia="lt-LT"/>
              </w:rPr>
              <w:t>-</w:t>
            </w:r>
          </w:p>
        </w:tc>
        <w:tc>
          <w:tcPr>
            <w:tcW w:w="788" w:type="dxa"/>
          </w:tcPr>
          <w:p>
            <w:pPr>
              <w:suppressAutoHyphens/>
              <w:jc w:val="center"/>
              <w:rPr>
                <w:lang w:eastAsia="lt-LT"/>
              </w:rPr>
            </w:pPr>
            <w:r>
              <w:rPr>
                <w:lang w:eastAsia="lt-LT"/>
              </w:rPr>
              <w:t>-</w:t>
            </w:r>
          </w:p>
        </w:tc>
        <w:tc>
          <w:tcPr>
            <w:tcW w:w="949" w:type="dxa"/>
          </w:tcPr>
          <w:p>
            <w:pPr>
              <w:suppressAutoHyphens/>
              <w:jc w:val="center"/>
              <w:rPr>
                <w:lang w:eastAsia="lt-LT"/>
              </w:rPr>
            </w:pPr>
            <w:r>
              <w:rPr>
                <w:lang w:eastAsia="lt-LT"/>
              </w:rPr>
              <w:t>-</w:t>
            </w:r>
          </w:p>
        </w:tc>
        <w:tc>
          <w:tcPr>
            <w:tcW w:w="1038" w:type="dxa"/>
          </w:tcPr>
          <w:p>
            <w:pPr>
              <w:suppressAutoHyphens/>
              <w:jc w:val="center"/>
              <w:rPr>
                <w:lang w:eastAsia="lt-LT"/>
              </w:rPr>
            </w:pPr>
            <w:r>
              <w:rPr>
                <w:lang w:eastAsia="lt-LT"/>
              </w:rPr>
              <w:t>-</w:t>
            </w:r>
          </w:p>
        </w:tc>
        <w:tc>
          <w:tcPr>
            <w:tcW w:w="782" w:type="dxa"/>
          </w:tcPr>
          <w:p>
            <w:pPr>
              <w:suppressAutoHyphens/>
              <w:jc w:val="center"/>
              <w:rPr>
                <w:lang w:eastAsia="lt-LT"/>
              </w:rPr>
            </w:pPr>
            <w:r>
              <w:rPr>
                <w:lang w:eastAsia="lt-LT"/>
              </w:rPr>
              <w:t>-</w:t>
            </w:r>
          </w:p>
        </w:tc>
        <w:tc>
          <w:tcPr>
            <w:tcW w:w="871" w:type="dxa"/>
          </w:tcPr>
          <w:p>
            <w:pPr>
              <w:suppressAutoHyphens/>
              <w:jc w:val="center"/>
              <w:rPr>
                <w:lang w:eastAsia="lt-LT"/>
              </w:rPr>
            </w:pPr>
            <w:r>
              <w:rPr>
                <w:lang w:eastAsia="lt-LT"/>
              </w:rPr>
              <w:t>-</w:t>
            </w:r>
          </w:p>
        </w:tc>
        <w:tc>
          <w:tcPr>
            <w:tcW w:w="949" w:type="dxa"/>
          </w:tcPr>
          <w:p>
            <w:pPr>
              <w:suppressAutoHyphens/>
              <w:jc w:val="center"/>
              <w:rPr>
                <w:lang w:eastAsia="lt-LT"/>
              </w:rPr>
            </w:pPr>
            <w:r>
              <w:rPr>
                <w:lang w:eastAsia="lt-LT"/>
              </w:rPr>
              <w:t>-</w:t>
            </w:r>
          </w:p>
        </w:tc>
      </w:tr>
      <w:tr>
        <w:tc>
          <w:tcPr>
            <w:tcW w:w="948" w:type="dxa"/>
            <w:vAlign w:val="center"/>
          </w:tcPr>
          <w:p>
            <w:pPr>
              <w:suppressAutoHyphens/>
              <w:jc w:val="center"/>
              <w:rPr>
                <w:lang w:eastAsia="lt-LT"/>
              </w:rPr>
            </w:pPr>
            <w:r>
              <w:rPr>
                <w:lang w:eastAsia="lt-LT"/>
              </w:rPr>
              <w:t>9.</w:t>
            </w:r>
          </w:p>
        </w:tc>
        <w:tc>
          <w:tcPr>
            <w:tcW w:w="3563" w:type="dxa"/>
          </w:tcPr>
          <w:p>
            <w:pPr>
              <w:suppressAutoHyphens/>
              <w:rPr>
                <w:lang w:eastAsia="lt-LT"/>
              </w:rPr>
            </w:pPr>
            <w:r>
              <w:rPr>
                <w:lang w:eastAsia="lt-LT"/>
              </w:rPr>
              <w:t>Suteikta valstybės parama</w:t>
            </w:r>
          </w:p>
        </w:tc>
        <w:tc>
          <w:tcPr>
            <w:tcW w:w="1043" w:type="dxa"/>
          </w:tcPr>
          <w:p>
            <w:pPr>
              <w:suppressAutoHyphens/>
              <w:jc w:val="center"/>
              <w:rPr>
                <w:lang w:eastAsia="lt-LT"/>
              </w:rPr>
            </w:pPr>
            <w:r>
              <w:rPr>
                <w:lang w:eastAsia="lt-LT"/>
              </w:rPr>
              <w:t>mln. Eur</w:t>
            </w:r>
          </w:p>
        </w:tc>
        <w:tc>
          <w:tcPr>
            <w:tcW w:w="922" w:type="dxa"/>
          </w:tcPr>
          <w:p>
            <w:pPr>
              <w:suppressAutoHyphens/>
              <w:jc w:val="center"/>
              <w:rPr>
                <w:lang w:eastAsia="lt-LT"/>
              </w:rPr>
            </w:pPr>
          </w:p>
        </w:tc>
        <w:tc>
          <w:tcPr>
            <w:tcW w:w="966" w:type="dxa"/>
          </w:tcPr>
          <w:p>
            <w:pPr>
              <w:suppressAutoHyphens/>
              <w:jc w:val="center"/>
              <w:rPr>
                <w:lang w:eastAsia="lt-LT"/>
              </w:rPr>
            </w:pPr>
          </w:p>
        </w:tc>
        <w:tc>
          <w:tcPr>
            <w:tcW w:w="998" w:type="dxa"/>
          </w:tcPr>
          <w:p>
            <w:pPr>
              <w:suppressAutoHyphens/>
              <w:jc w:val="center"/>
              <w:rPr>
                <w:lang w:eastAsia="lt-LT"/>
              </w:rPr>
            </w:pPr>
            <w:r>
              <w:rPr>
                <w:lang w:eastAsia="lt-LT"/>
              </w:rPr>
              <w:t>-</w:t>
            </w:r>
          </w:p>
        </w:tc>
        <w:tc>
          <w:tcPr>
            <w:tcW w:w="923" w:type="dxa"/>
          </w:tcPr>
          <w:p>
            <w:pPr>
              <w:suppressAutoHyphens/>
              <w:jc w:val="center"/>
              <w:rPr>
                <w:lang w:eastAsia="lt-LT"/>
              </w:rPr>
            </w:pPr>
            <w:r>
              <w:rPr>
                <w:lang w:eastAsia="lt-LT"/>
              </w:rPr>
              <w:t>-</w:t>
            </w:r>
          </w:p>
        </w:tc>
        <w:tc>
          <w:tcPr>
            <w:tcW w:w="788" w:type="dxa"/>
          </w:tcPr>
          <w:p>
            <w:pPr>
              <w:suppressAutoHyphens/>
              <w:jc w:val="center"/>
              <w:rPr>
                <w:lang w:eastAsia="lt-LT"/>
              </w:rPr>
            </w:pPr>
            <w:r>
              <w:rPr>
                <w:lang w:eastAsia="lt-LT"/>
              </w:rPr>
              <w:t>-</w:t>
            </w:r>
          </w:p>
        </w:tc>
        <w:tc>
          <w:tcPr>
            <w:tcW w:w="949" w:type="dxa"/>
          </w:tcPr>
          <w:p>
            <w:pPr>
              <w:suppressAutoHyphens/>
              <w:jc w:val="center"/>
              <w:rPr>
                <w:lang w:eastAsia="lt-LT"/>
              </w:rPr>
            </w:pPr>
            <w:r>
              <w:rPr>
                <w:lang w:eastAsia="lt-LT"/>
              </w:rPr>
              <w:t>-</w:t>
            </w:r>
          </w:p>
        </w:tc>
        <w:tc>
          <w:tcPr>
            <w:tcW w:w="1038" w:type="dxa"/>
          </w:tcPr>
          <w:p>
            <w:pPr>
              <w:suppressAutoHyphens/>
              <w:jc w:val="center"/>
              <w:rPr>
                <w:lang w:eastAsia="lt-LT"/>
              </w:rPr>
            </w:pPr>
            <w:r>
              <w:rPr>
                <w:lang w:eastAsia="lt-LT"/>
              </w:rPr>
              <w:t>-</w:t>
            </w:r>
          </w:p>
        </w:tc>
        <w:tc>
          <w:tcPr>
            <w:tcW w:w="782" w:type="dxa"/>
          </w:tcPr>
          <w:p>
            <w:pPr>
              <w:suppressAutoHyphens/>
              <w:jc w:val="center"/>
              <w:rPr>
                <w:lang w:eastAsia="lt-LT"/>
              </w:rPr>
            </w:pPr>
            <w:r>
              <w:rPr>
                <w:lang w:eastAsia="lt-LT"/>
              </w:rPr>
              <w:t>-</w:t>
            </w:r>
          </w:p>
        </w:tc>
        <w:tc>
          <w:tcPr>
            <w:tcW w:w="871" w:type="dxa"/>
          </w:tcPr>
          <w:p>
            <w:pPr>
              <w:suppressAutoHyphens/>
              <w:jc w:val="center"/>
              <w:rPr>
                <w:lang w:eastAsia="lt-LT"/>
              </w:rPr>
            </w:pPr>
            <w:r>
              <w:rPr>
                <w:lang w:eastAsia="lt-LT"/>
              </w:rPr>
              <w:t>-</w:t>
            </w:r>
          </w:p>
        </w:tc>
        <w:tc>
          <w:tcPr>
            <w:tcW w:w="949" w:type="dxa"/>
          </w:tcPr>
          <w:p>
            <w:pPr>
              <w:suppressAutoHyphens/>
              <w:jc w:val="center"/>
              <w:rPr>
                <w:lang w:eastAsia="lt-LT"/>
              </w:rPr>
            </w:pPr>
            <w:r>
              <w:rPr>
                <w:lang w:eastAsia="lt-LT"/>
              </w:rPr>
              <w:t>-</w:t>
            </w:r>
          </w:p>
        </w:tc>
      </w:tr>
    </w:tbl>
    <w:p>
      <w:pPr>
        <w:suppressAutoHyphens/>
        <w:jc w:val="both"/>
        <w:rPr>
          <w:lang w:eastAsia="lt-LT"/>
        </w:rPr>
      </w:pPr>
    </w:p>
    <w:tbl>
      <w:tblPr>
        <w:tblW w:w="14740" w:type="dxa"/>
        <w:tblLook w:val="01E0" w:firstRow="1" w:lastRow="1" w:firstColumn="1" w:lastColumn="1" w:noHBand="0" w:noVBand="0"/>
      </w:tblPr>
      <w:tblGrid>
        <w:gridCol w:w="5628"/>
        <w:gridCol w:w="4199"/>
        <w:gridCol w:w="4913"/>
      </w:tblGrid>
      <w:tr>
        <w:tc>
          <w:tcPr>
            <w:tcW w:w="5628" w:type="dxa"/>
          </w:tcPr>
          <w:p>
            <w:pPr>
              <w:suppressAutoHyphens/>
              <w:rPr>
                <w:sz w:val="22"/>
                <w:lang w:eastAsia="lt-LT"/>
              </w:rPr>
            </w:pPr>
            <w:r>
              <w:rPr>
                <w:sz w:val="22"/>
                <w:lang w:eastAsia="lt-LT"/>
              </w:rPr>
              <w:t>(Pareigų pavadinimas)</w:t>
            </w:r>
          </w:p>
        </w:tc>
        <w:tc>
          <w:tcPr>
            <w:tcW w:w="4199" w:type="dxa"/>
          </w:tcPr>
          <w:p>
            <w:pPr>
              <w:suppressAutoHyphens/>
              <w:jc w:val="center"/>
              <w:rPr>
                <w:sz w:val="22"/>
                <w:lang w:eastAsia="lt-LT"/>
              </w:rPr>
            </w:pPr>
            <w:r>
              <w:rPr>
                <w:sz w:val="22"/>
                <w:lang w:eastAsia="lt-LT"/>
              </w:rPr>
              <w:t>(Parašas)</w:t>
            </w:r>
          </w:p>
        </w:tc>
        <w:tc>
          <w:tcPr>
            <w:tcW w:w="4913" w:type="dxa"/>
          </w:tcPr>
          <w:p>
            <w:pPr>
              <w:suppressAutoHyphens/>
              <w:jc w:val="right"/>
              <w:rPr>
                <w:sz w:val="22"/>
                <w:lang w:eastAsia="lt-LT"/>
              </w:rPr>
            </w:pPr>
            <w:r>
              <w:rPr>
                <w:sz w:val="22"/>
                <w:lang w:eastAsia="lt-LT"/>
              </w:rPr>
              <w:t>(Vardas ir pavardė)</w:t>
            </w:r>
          </w:p>
        </w:tc>
      </w:tr>
    </w:tbl>
    <w:p>
      <w:pPr>
        <w:suppressAutoHyphens/>
        <w:jc w:val="both"/>
        <w:rPr>
          <w:lang w:eastAsia="lt-LT"/>
        </w:rPr>
      </w:pPr>
    </w:p>
    <w:p>
      <w:pPr>
        <w:suppressAutoHyphens/>
        <w:jc w:val="center"/>
        <w:rPr>
          <w:lang w:eastAsia="lt-LT"/>
        </w:rPr>
      </w:pPr>
      <w:r>
        <w:rPr>
          <w:lang w:eastAsia="lt-LT"/>
        </w:rPr>
        <w:t>_________________</w:t>
      </w:r>
    </w:p>
    <w:p/>
    <w:sectPr>
      <w:headerReference w:type="default" r:id="rId17"/>
      <w:headerReference w:type="first" r:id="rId18"/>
      <w:footnotePr>
        <w:pos w:val="beneathText"/>
      </w:footnotePr>
      <w:pgSz w:w="16837" w:h="11905" w:orient="landscape"/>
      <w:pgMar w:top="1701" w:right="1134" w:bottom="567" w:left="1134" w:header="1140" w:footer="919" w:gutter="0"/>
      <w:pgNumType w:start="1"/>
      <w:cols w:space="1296"/>
      <w:formProt w:val="0"/>
      <w:titlePg/>
      <w:docGrid w:linePitch="360"/>
    </w:sectPr>
  </w:body>
</w:document>
</file>

<file path=word/endnotes.xml><?xml version="1.0" encoding="utf-8"?>
<w:endnot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pPr>
        <w:suppressAutoHyphens/>
        <w:rPr>
          <w:lang w:eastAsia="lt-LT"/>
        </w:rPr>
      </w:pPr>
      <w:r>
        <w:rPr>
          <w:lang w:eastAsia="lt-LT"/>
        </w:rPr>
        <w:separator/>
      </w:r>
    </w:p>
  </w:endnote>
  <w:endnote w:type="continuationSeparator" w:id="0">
    <w:p>
      <w:pPr>
        <w:suppressAutoHyphens/>
        <w:rPr>
          <w:lang w:eastAsia="lt-LT"/>
        </w:rPr>
      </w:pPr>
      <w:r>
        <w:rPr>
          <w:lang w:eastAsia="lt-LT"/>
        </w:rPr>
        <w:continuationSeparator/>
      </w:r>
    </w:p>
  </w:endnote>
</w:endnotes>
</file>

<file path=word/fontTable.xml><?xml version="1.0" encoding="utf-8"?>
<w:fonts xmlns:w="http://schemas.openxmlformats.org/wordprocessingml/2006/main" xmlns:mc="http://schemas.openxmlformats.org/markup-compatibility/2006" xmlns:r="http://schemas.openxmlformats.org/officeDocument/2006/relationships"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819"/>
        <w:tab w:val="right" w:pos="9638"/>
      </w:tabs>
      <w:suppressAutoHyphens/>
      <w:rPr>
        <w:lang w:eastAsia="lt-LT"/>
      </w:rPr>
    </w:pPr>
  </w:p>
</w:ftr>
</file>

<file path=word/footer2.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819"/>
        <w:tab w:val="right" w:pos="9638"/>
      </w:tabs>
      <w:suppressAutoHyphens/>
      <w:rPr>
        <w:lang w:eastAsia="lt-LT"/>
      </w:rPr>
    </w:pPr>
  </w:p>
</w:ftr>
</file>

<file path=word/footer3.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819"/>
        <w:tab w:val="right" w:pos="9638"/>
      </w:tabs>
      <w:suppressAutoHyphens/>
      <w:rPr>
        <w:lang w:eastAsia="lt-LT"/>
      </w:rPr>
    </w:pPr>
  </w:p>
</w:ftr>
</file>

<file path=word/footer4.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819"/>
        <w:tab w:val="right" w:pos="9638"/>
      </w:tabs>
      <w:suppressAutoHyphens/>
      <w:rPr>
        <w:lang w:eastAsia="lt-LT"/>
      </w:rPr>
    </w:pPr>
  </w:p>
</w:ftr>
</file>

<file path=word/footnotes.xml><?xml version="1.0" encoding="utf-8"?>
<w:footnot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pPr>
        <w:suppressAutoHyphens/>
        <w:rPr>
          <w:lang w:eastAsia="lt-LT"/>
        </w:rPr>
      </w:pPr>
      <w:r>
        <w:rPr>
          <w:lang w:eastAsia="lt-LT"/>
        </w:rPr>
        <w:separator/>
      </w:r>
    </w:p>
  </w:footnote>
  <w:footnote w:type="continuationSeparator" w:id="0">
    <w:p>
      <w:pPr>
        <w:suppressAutoHyphens/>
        <w:rPr>
          <w:lang w:eastAsia="lt-LT"/>
        </w:rPr>
      </w:pPr>
      <w:r>
        <w:rPr>
          <w:lang w:eastAsia="lt-LT"/>
        </w:rPr>
        <w:continuationSeparator/>
      </w:r>
    </w:p>
  </w:footnote>
</w:footnotes>
</file>

<file path=word/header1.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8306"/>
      </w:tabs>
      <w:suppressAutoHyphens/>
      <w:rPr>
        <w:lang w:val="en-GB" w:eastAsia="lt-LT"/>
      </w:rPr>
    </w:pPr>
  </w:p>
</w:hdr>
</file>

<file path=word/header2.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9100"/>
      </w:tabs>
      <w:suppressAutoHyphens/>
      <w:jc w:val="center"/>
      <w:rPr>
        <w:spacing w:val="10"/>
        <w:szCs w:val="24"/>
        <w:lang w:eastAsia="lt-LT"/>
      </w:rPr>
    </w:pPr>
    <w:r>
      <w:rPr>
        <w:spacing w:val="10"/>
        <w:szCs w:val="24"/>
        <w:lang w:eastAsia="lt-LT"/>
      </w:rPr>
      <w:fldChar w:fldCharType="begin"/>
    </w:r>
    <w:r>
      <w:rPr>
        <w:spacing w:val="10"/>
        <w:szCs w:val="24"/>
        <w:lang w:eastAsia="lt-LT"/>
      </w:rPr>
      <w:instrText>PAGE   \* MERGEFORMAT</w:instrText>
    </w:r>
    <w:r>
      <w:rPr>
        <w:spacing w:val="10"/>
        <w:szCs w:val="24"/>
        <w:lang w:eastAsia="lt-LT"/>
      </w:rPr>
      <w:fldChar w:fldCharType="separate"/>
    </w:r>
    <w:r>
      <w:rPr>
        <w:spacing w:val="10"/>
        <w:szCs w:val="24"/>
        <w:lang w:eastAsia="lt-LT"/>
      </w:rPr>
      <w:t>4</w:t>
    </w:r>
    <w:r>
      <w:rPr>
        <w:spacing w:val="10"/>
        <w:szCs w:val="24"/>
        <w:lang w:eastAsia="lt-LT"/>
      </w:rPr>
      <w:fldChar w:fldCharType="end"/>
    </w:r>
  </w:p>
  <w:p>
    <w:pPr>
      <w:tabs>
        <w:tab w:val="center" w:pos="4153"/>
        <w:tab w:val="right" w:pos="8306"/>
      </w:tabs>
      <w:suppressAutoHyphens/>
      <w:rPr>
        <w:lang w:val="en-GB" w:eastAsia="lt-LT"/>
      </w:rPr>
    </w:pPr>
  </w:p>
</w:hdr>
</file>

<file path=word/header3.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986"/>
        <w:tab w:val="right" w:pos="9972"/>
      </w:tabs>
    </w:pPr>
  </w:p>
</w:hdr>
</file>

<file path=word/header4.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9100"/>
      </w:tabs>
      <w:suppressAutoHyphens/>
      <w:jc w:val="center"/>
      <w:rPr>
        <w:spacing w:val="10"/>
        <w:lang w:eastAsia="lt-LT"/>
      </w:rPr>
    </w:pPr>
    <w:r>
      <w:rPr>
        <w:spacing w:val="10"/>
        <w:lang w:eastAsia="lt-LT"/>
      </w:rPr>
      <w:fldChar w:fldCharType="begin"/>
    </w:r>
    <w:r>
      <w:rPr>
        <w:spacing w:val="10"/>
        <w:lang w:eastAsia="lt-LT"/>
      </w:rPr>
      <w:instrText>PAGE   \* MERGEFORMAT</w:instrText>
    </w:r>
    <w:r>
      <w:rPr>
        <w:spacing w:val="10"/>
        <w:lang w:eastAsia="lt-LT"/>
      </w:rPr>
      <w:fldChar w:fldCharType="separate"/>
    </w:r>
    <w:r>
      <w:rPr>
        <w:spacing w:val="10"/>
        <w:lang w:eastAsia="lt-LT"/>
      </w:rPr>
      <w:t>2</w:t>
    </w:r>
    <w:r>
      <w:rPr>
        <w:spacing w:val="10"/>
        <w:lang w:eastAsia="lt-LT"/>
      </w:rPr>
      <w:fldChar w:fldCharType="end"/>
    </w:r>
  </w:p>
  <w:p>
    <w:pPr>
      <w:tabs>
        <w:tab w:val="center" w:pos="4153"/>
        <w:tab w:val="right" w:pos="8306"/>
      </w:tabs>
      <w:suppressAutoHyphens/>
      <w:rPr>
        <w:lang w:val="en-GB" w:eastAsia="lt-LT"/>
      </w:rPr>
    </w:pPr>
  </w:p>
</w:hdr>
</file>

<file path=word/header5.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9100"/>
      </w:tabs>
      <w:suppressAutoHyphens/>
      <w:jc w:val="center"/>
      <w:rPr>
        <w:rFonts w:ascii="Tahoma" w:hAnsi="Tahoma"/>
        <w:spacing w:val="10"/>
        <w:sz w:val="20"/>
        <w:lang w:eastAsia="lt-LT"/>
      </w:rPr>
    </w:pPr>
  </w:p>
  <w:p>
    <w:pPr>
      <w:tabs>
        <w:tab w:val="center" w:pos="4153"/>
        <w:tab w:val="right" w:pos="8306"/>
      </w:tabs>
      <w:suppressAutoHyphens/>
      <w:rPr>
        <w:lang w:val="en-GB" w:eastAsia="lt-LT"/>
      </w:rPr>
    </w:pPr>
  </w:p>
</w:hdr>
</file>

<file path=word/header6.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9100"/>
      </w:tabs>
      <w:suppressAutoHyphens/>
      <w:jc w:val="center"/>
      <w:rPr>
        <w:spacing w:val="10"/>
        <w:szCs w:val="24"/>
        <w:lang w:eastAsia="lt-LT"/>
      </w:rPr>
    </w:pPr>
    <w:r>
      <w:rPr>
        <w:spacing w:val="10"/>
        <w:szCs w:val="24"/>
        <w:lang w:eastAsia="lt-LT"/>
      </w:rPr>
      <w:fldChar w:fldCharType="begin"/>
    </w:r>
    <w:r>
      <w:rPr>
        <w:spacing w:val="10"/>
        <w:szCs w:val="24"/>
        <w:lang w:eastAsia="lt-LT"/>
      </w:rPr>
      <w:instrText>PAGE   \* MERGEFORMAT</w:instrText>
    </w:r>
    <w:r>
      <w:rPr>
        <w:spacing w:val="10"/>
        <w:szCs w:val="24"/>
        <w:lang w:eastAsia="lt-LT"/>
      </w:rPr>
      <w:fldChar w:fldCharType="separate"/>
    </w:r>
    <w:r>
      <w:rPr>
        <w:spacing w:val="10"/>
        <w:szCs w:val="24"/>
        <w:lang w:eastAsia="lt-LT"/>
      </w:rPr>
      <w:t>3</w:t>
    </w:r>
    <w:r>
      <w:rPr>
        <w:spacing w:val="10"/>
        <w:szCs w:val="24"/>
        <w:lang w:eastAsia="lt-LT"/>
      </w:rPr>
      <w:fldChar w:fldCharType="end"/>
    </w:r>
  </w:p>
  <w:p>
    <w:pPr>
      <w:tabs>
        <w:tab w:val="center" w:pos="4153"/>
        <w:tab w:val="right" w:pos="8306"/>
      </w:tabs>
      <w:suppressAutoHyphens/>
      <w:rPr>
        <w:lang w:val="en-GB" w:eastAsia="lt-LT"/>
      </w:rPr>
    </w:pPr>
  </w:p>
</w:hdr>
</file>

<file path=word/header7.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986"/>
        <w:tab w:val="right" w:pos="9972"/>
      </w:tabs>
    </w:pPr>
  </w:p>
</w:hdr>
</file>

<file path=word/settings.xml><?xml version="1.0" encoding="utf-8"?>
<w:settings xmlns:w="http://schemas.openxmlformats.org/wordprocessingml/2006/main"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sl="http://schemas.openxmlformats.org/schemaLibrary/2006/main" mc:Ignorable="w14">
  <w:view w:val="normal"/>
  <w:zoom w:percent="100"/>
  <w:removePersonalInformation/>
  <w:removeDateAndTime/>
  <w:defaultTabStop w:val="284"/>
  <w:hyphenationZone w:val="396"/>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52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settings>
</file>

<file path=word/styles.xml><?xml version="1.0" encoding="utf-8"?>
<w:styles xmlns:w="http://schemas.openxmlformats.org/wordprocessingml/2006/main" xmlns:mc="http://schemas.openxmlformats.org/markup-compatibility/2006" xmlns:r="http://schemas.openxmlformats.org/officeDocument/2006/relationships"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w="http://schemas.openxmlformats.org/wordprocessingml/2006/main" xmlns:mc="http://schemas.openxmlformats.org/markup-compatibility/2006" xmlns:r="http://schemas.openxmlformats.org/officeDocument/2006/relationships" xmlns:w14="http://schemas.microsoft.com/office/word/2010/wordml" mc:Ignorable="w14">
  <w:divs>
    <w:div w:id="272513958">
      <w:bodyDiv w:val="1"/>
      <w:marLeft w:val="0"/>
      <w:marRight w:val="0"/>
      <w:marTop w:val="0"/>
      <w:marBottom w:val="0"/>
      <w:divBdr>
        <w:top w:val="none" w:sz="0" w:space="0" w:color="auto"/>
        <w:left w:val="none" w:sz="0" w:space="0" w:color="auto"/>
        <w:bottom w:val="none" w:sz="0" w:space="0" w:color="auto"/>
        <w:right w:val="none" w:sz="0" w:space="0" w:color="auto"/>
      </w:divBdr>
      <w:divsChild>
        <w:div w:id="1648120821">
          <w:marLeft w:val="0"/>
          <w:marRight w:val="0"/>
          <w:marTop w:val="0"/>
          <w:marBottom w:val="0"/>
          <w:divBdr>
            <w:top w:val="none" w:sz="0" w:space="0" w:color="auto"/>
            <w:left w:val="none" w:sz="0" w:space="0" w:color="auto"/>
            <w:bottom w:val="none" w:sz="0" w:space="0" w:color="auto"/>
            <w:right w:val="none" w:sz="0" w:space="0" w:color="auto"/>
          </w:divBdr>
        </w:div>
      </w:divsChild>
    </w:div>
    <w:div w:id="487283611">
      <w:bodyDiv w:val="1"/>
      <w:marLeft w:val="0"/>
      <w:marRight w:val="0"/>
      <w:marTop w:val="0"/>
      <w:marBottom w:val="0"/>
      <w:divBdr>
        <w:top w:val="none" w:sz="0" w:space="0" w:color="auto"/>
        <w:left w:val="none" w:sz="0" w:space="0" w:color="auto"/>
        <w:bottom w:val="none" w:sz="0" w:space="0" w:color="auto"/>
        <w:right w:val="none" w:sz="0" w:space="0" w:color="auto"/>
      </w:divBdr>
      <w:divsChild>
        <w:div w:id="1019508936">
          <w:marLeft w:val="0"/>
          <w:marRight w:val="0"/>
          <w:marTop w:val="0"/>
          <w:marBottom w:val="0"/>
          <w:divBdr>
            <w:top w:val="none" w:sz="0" w:space="0" w:color="auto"/>
            <w:left w:val="none" w:sz="0" w:space="0" w:color="auto"/>
            <w:bottom w:val="none" w:sz="0" w:space="0" w:color="auto"/>
            <w:right w:val="none" w:sz="0" w:space="0" w:color="auto"/>
          </w:divBdr>
        </w:div>
        <w:div w:id="1276399493">
          <w:marLeft w:val="0"/>
          <w:marRight w:val="0"/>
          <w:marTop w:val="0"/>
          <w:marBottom w:val="0"/>
          <w:divBdr>
            <w:top w:val="none" w:sz="0" w:space="0" w:color="auto"/>
            <w:left w:val="none" w:sz="0" w:space="0" w:color="auto"/>
            <w:bottom w:val="none" w:sz="0" w:space="0" w:color="auto"/>
            <w:right w:val="none" w:sz="0" w:space="0" w:color="auto"/>
          </w:divBdr>
        </w:div>
        <w:div w:id="1032540086">
          <w:marLeft w:val="0"/>
          <w:marRight w:val="0"/>
          <w:marTop w:val="0"/>
          <w:marBottom w:val="0"/>
          <w:divBdr>
            <w:top w:val="none" w:sz="0" w:space="0" w:color="auto"/>
            <w:left w:val="none" w:sz="0" w:space="0" w:color="auto"/>
            <w:bottom w:val="none" w:sz="0" w:space="0" w:color="auto"/>
            <w:right w:val="none" w:sz="0" w:space="0" w:color="auto"/>
          </w:divBdr>
        </w:div>
      </w:divsChild>
    </w:div>
    <w:div w:id="543062031">
      <w:bodyDiv w:val="1"/>
      <w:marLeft w:val="0"/>
      <w:marRight w:val="0"/>
      <w:marTop w:val="0"/>
      <w:marBottom w:val="0"/>
      <w:divBdr>
        <w:top w:val="none" w:sz="0" w:space="0" w:color="auto"/>
        <w:left w:val="none" w:sz="0" w:space="0" w:color="auto"/>
        <w:bottom w:val="none" w:sz="0" w:space="0" w:color="auto"/>
        <w:right w:val="none" w:sz="0" w:space="0" w:color="auto"/>
      </w:divBdr>
    </w:div>
    <w:div w:id="643510211">
      <w:bodyDiv w:val="1"/>
      <w:marLeft w:val="0"/>
      <w:marRight w:val="0"/>
      <w:marTop w:val="0"/>
      <w:marBottom w:val="0"/>
      <w:divBdr>
        <w:top w:val="none" w:sz="0" w:space="0" w:color="auto"/>
        <w:left w:val="none" w:sz="0" w:space="0" w:color="auto"/>
        <w:bottom w:val="none" w:sz="0" w:space="0" w:color="auto"/>
        <w:right w:val="none" w:sz="0" w:space="0" w:color="auto"/>
      </w:divBdr>
    </w:div>
    <w:div w:id="886138929">
      <w:bodyDiv w:val="1"/>
      <w:marLeft w:val="0"/>
      <w:marRight w:val="0"/>
      <w:marTop w:val="0"/>
      <w:marBottom w:val="0"/>
      <w:divBdr>
        <w:top w:val="none" w:sz="0" w:space="0" w:color="auto"/>
        <w:left w:val="none" w:sz="0" w:space="0" w:color="auto"/>
        <w:bottom w:val="none" w:sz="0" w:space="0" w:color="auto"/>
        <w:right w:val="none" w:sz="0" w:space="0" w:color="auto"/>
      </w:divBdr>
      <w:divsChild>
        <w:div w:id="1785537539">
          <w:marLeft w:val="0"/>
          <w:marRight w:val="0"/>
          <w:marTop w:val="0"/>
          <w:marBottom w:val="0"/>
          <w:divBdr>
            <w:top w:val="none" w:sz="0" w:space="0" w:color="auto"/>
            <w:left w:val="none" w:sz="0" w:space="0" w:color="auto"/>
            <w:bottom w:val="none" w:sz="0" w:space="0" w:color="auto"/>
            <w:right w:val="none" w:sz="0" w:space="0" w:color="auto"/>
          </w:divBdr>
        </w:div>
        <w:div w:id="401686640">
          <w:marLeft w:val="0"/>
          <w:marRight w:val="0"/>
          <w:marTop w:val="0"/>
          <w:marBottom w:val="0"/>
          <w:divBdr>
            <w:top w:val="none" w:sz="0" w:space="0" w:color="auto"/>
            <w:left w:val="none" w:sz="0" w:space="0" w:color="auto"/>
            <w:bottom w:val="none" w:sz="0" w:space="0" w:color="auto"/>
            <w:right w:val="none" w:sz="0" w:space="0" w:color="auto"/>
          </w:divBdr>
        </w:div>
        <w:div w:id="789081998">
          <w:marLeft w:val="0"/>
          <w:marRight w:val="0"/>
          <w:marTop w:val="0"/>
          <w:marBottom w:val="0"/>
          <w:divBdr>
            <w:top w:val="none" w:sz="0" w:space="0" w:color="auto"/>
            <w:left w:val="none" w:sz="0" w:space="0" w:color="auto"/>
            <w:bottom w:val="none" w:sz="0" w:space="0" w:color="auto"/>
            <w:right w:val="none" w:sz="0" w:space="0" w:color="auto"/>
          </w:divBdr>
        </w:div>
      </w:divsChild>
    </w:div>
    <w:div w:id="1206259425">
      <w:bodyDiv w:val="1"/>
      <w:marLeft w:val="0"/>
      <w:marRight w:val="0"/>
      <w:marTop w:val="0"/>
      <w:marBottom w:val="0"/>
      <w:divBdr>
        <w:top w:val="none" w:sz="0" w:space="0" w:color="auto"/>
        <w:left w:val="none" w:sz="0" w:space="0" w:color="auto"/>
        <w:bottom w:val="none" w:sz="0" w:space="0" w:color="auto"/>
        <w:right w:val="none" w:sz="0" w:space="0" w:color="auto"/>
      </w:divBdr>
      <w:divsChild>
        <w:div w:id="1119882306">
          <w:marLeft w:val="0"/>
          <w:marRight w:val="0"/>
          <w:marTop w:val="0"/>
          <w:marBottom w:val="0"/>
          <w:divBdr>
            <w:top w:val="none" w:sz="0" w:space="0" w:color="auto"/>
            <w:left w:val="none" w:sz="0" w:space="0" w:color="auto"/>
            <w:bottom w:val="none" w:sz="0" w:space="0" w:color="auto"/>
            <w:right w:val="none" w:sz="0" w:space="0" w:color="auto"/>
          </w:divBdr>
        </w:div>
        <w:div w:id="1256554150">
          <w:marLeft w:val="0"/>
          <w:marRight w:val="0"/>
          <w:marTop w:val="0"/>
          <w:marBottom w:val="0"/>
          <w:divBdr>
            <w:top w:val="none" w:sz="0" w:space="0" w:color="auto"/>
            <w:left w:val="none" w:sz="0" w:space="0" w:color="auto"/>
            <w:bottom w:val="none" w:sz="0" w:space="0" w:color="auto"/>
            <w:right w:val="none" w:sz="0" w:space="0" w:color="auto"/>
          </w:divBdr>
        </w:div>
      </w:divsChild>
    </w:div>
    <w:div w:id="1529487748">
      <w:bodyDiv w:val="1"/>
      <w:marLeft w:val="0"/>
      <w:marRight w:val="0"/>
      <w:marTop w:val="0"/>
      <w:marBottom w:val="0"/>
      <w:divBdr>
        <w:top w:val="none" w:sz="0" w:space="0" w:color="auto"/>
        <w:left w:val="none" w:sz="0" w:space="0" w:color="auto"/>
        <w:bottom w:val="none" w:sz="0" w:space="0" w:color="auto"/>
        <w:right w:val="none" w:sz="0" w:space="0" w:color="auto"/>
      </w:divBdr>
    </w:div>
    <w:div w:id="1759787025">
      <w:bodyDiv w:val="1"/>
      <w:marLeft w:val="0"/>
      <w:marRight w:val="0"/>
      <w:marTop w:val="0"/>
      <w:marBottom w:val="0"/>
      <w:divBdr>
        <w:top w:val="none" w:sz="0" w:space="0" w:color="auto"/>
        <w:left w:val="none" w:sz="0" w:space="0" w:color="auto"/>
        <w:bottom w:val="none" w:sz="0" w:space="0" w:color="auto"/>
        <w:right w:val="none" w:sz="0" w:space="0" w:color="auto"/>
      </w:divBdr>
    </w:div>
    <w:div w:id="1907034016">
      <w:bodyDiv w:val="1"/>
      <w:marLeft w:val="0"/>
      <w:marRight w:val="0"/>
      <w:marTop w:val="0"/>
      <w:marBottom w:val="0"/>
      <w:divBdr>
        <w:top w:val="none" w:sz="0" w:space="0" w:color="auto"/>
        <w:left w:val="none" w:sz="0" w:space="0" w:color="auto"/>
        <w:bottom w:val="none" w:sz="0" w:space="0" w:color="auto"/>
        <w:right w:val="none" w:sz="0" w:space="0" w:color="auto"/>
      </w:divBdr>
      <w:divsChild>
        <w:div w:id="317081474">
          <w:marLeft w:val="0"/>
          <w:marRight w:val="0"/>
          <w:marTop w:val="0"/>
          <w:marBottom w:val="0"/>
          <w:divBdr>
            <w:top w:val="none" w:sz="0" w:space="0" w:color="auto"/>
            <w:left w:val="none" w:sz="0" w:space="0" w:color="auto"/>
            <w:bottom w:val="none" w:sz="0" w:space="0" w:color="auto"/>
            <w:right w:val="none" w:sz="0" w:space="0" w:color="auto"/>
          </w:divBdr>
        </w:div>
        <w:div w:id="15154126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header" Target="header6.xml"/>
  <Relationship Id="rId18" Type="http://schemas.openxmlformats.org/officeDocument/2006/relationships/header" Target="header7.xml"/>
  <Relationship Id="rId19" Type="http://schemas.openxmlformats.org/officeDocument/2006/relationships/fontTable" Target="fontTable.xml"/>
  <Relationship Id="rId2" Type="http://schemas.openxmlformats.org/officeDocument/2006/relationships/styles" Target="styles.xml"/>
  <Relationship Id="rId20" Type="http://schemas.openxmlformats.org/officeDocument/2006/relationships/theme" Target="theme/theme1.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F4E221-5ED8-4079-B76C-7B761163B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2061</Words>
  <Characters>15298</Characters>
  <Application>Microsoft Office Word</Application>
  <DocSecurity>4</DocSecurity>
  <Lines>805</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17075</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2021-09-08T13:13:00Z</dcterms:created>
  <dcterms:modified xsi:type="dcterms:W3CDTF">2021-09-08T13:13:00Z</dcterms:modified>
  <revision>1</revision>
</coreProperties>
</file>