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36DA5" w14:textId="13F89F79" w:rsidR="00AE1039" w:rsidRDefault="00AE1039" w:rsidP="00AE1039">
      <w:pPr>
        <w:jc w:val="center"/>
        <w:rPr>
          <w:b/>
          <w:noProof/>
          <w:szCs w:val="24"/>
          <w:lang w:eastAsia="lt-LT"/>
        </w:rPr>
      </w:pPr>
      <w:bookmarkStart w:id="0" w:name="_GoBack"/>
      <w:bookmarkEnd w:id="0"/>
      <w:r>
        <w:rPr>
          <w:b/>
          <w:noProof/>
          <w:szCs w:val="24"/>
          <w:lang w:eastAsia="lt-LT"/>
        </w:rPr>
        <w:t xml:space="preserve">                                                                                                     Projekto</w:t>
      </w:r>
    </w:p>
    <w:p w14:paraId="242FDB17" w14:textId="1B94A2F1" w:rsidR="002A3D73" w:rsidRDefault="00AE1039" w:rsidP="00AE1039">
      <w:pPr>
        <w:jc w:val="right"/>
        <w:rPr>
          <w:b/>
          <w:noProof/>
          <w:szCs w:val="24"/>
          <w:lang w:eastAsia="lt-LT"/>
        </w:rPr>
      </w:pPr>
      <w:r>
        <w:rPr>
          <w:b/>
          <w:noProof/>
          <w:szCs w:val="24"/>
          <w:lang w:eastAsia="lt-LT"/>
        </w:rPr>
        <w:t xml:space="preserve"> lyginamasis variantas</w:t>
      </w:r>
    </w:p>
    <w:p w14:paraId="303BAC00" w14:textId="77777777" w:rsidR="005859F8" w:rsidRPr="001F2DC6" w:rsidRDefault="005859F8" w:rsidP="00AE1039">
      <w:pPr>
        <w:jc w:val="right"/>
        <w:rPr>
          <w:b/>
          <w:noProof/>
          <w:szCs w:val="24"/>
          <w:lang w:eastAsia="lt-LT"/>
        </w:rPr>
      </w:pPr>
    </w:p>
    <w:p w14:paraId="7B84A19F" w14:textId="77777777" w:rsidR="00C86AA1" w:rsidRPr="001F2DC6" w:rsidRDefault="00C86AA1" w:rsidP="00C86AA1">
      <w:pPr>
        <w:spacing w:before="160"/>
        <w:jc w:val="center"/>
        <w:rPr>
          <w:b/>
          <w:caps/>
          <w:szCs w:val="24"/>
        </w:rPr>
      </w:pPr>
      <w:r w:rsidRPr="001F2DC6">
        <w:rPr>
          <w:b/>
          <w:caps/>
          <w:szCs w:val="24"/>
        </w:rPr>
        <w:t>LIETUVOS RESPUBLIKOS Ekonomikos ir inovacijų MINISTRAS</w:t>
      </w:r>
    </w:p>
    <w:p w14:paraId="2A394C8B" w14:textId="77777777" w:rsidR="00C86AA1" w:rsidRPr="001F2DC6" w:rsidRDefault="00C86AA1" w:rsidP="00C86AA1">
      <w:pPr>
        <w:jc w:val="center"/>
        <w:rPr>
          <w:b/>
          <w:caps/>
          <w:szCs w:val="24"/>
        </w:rPr>
      </w:pPr>
    </w:p>
    <w:p w14:paraId="733A4D08" w14:textId="77777777" w:rsidR="00C86AA1" w:rsidRPr="001F2DC6" w:rsidRDefault="00C86AA1" w:rsidP="00C86AA1">
      <w:pPr>
        <w:jc w:val="center"/>
        <w:rPr>
          <w:b/>
          <w:caps/>
          <w:szCs w:val="24"/>
        </w:rPr>
      </w:pPr>
      <w:r w:rsidRPr="001F2DC6">
        <w:rPr>
          <w:b/>
          <w:caps/>
          <w:szCs w:val="24"/>
        </w:rPr>
        <w:t>įsakymas</w:t>
      </w:r>
    </w:p>
    <w:p w14:paraId="028EA5A3" w14:textId="77777777" w:rsidR="00EC37F4" w:rsidRDefault="00C86AA1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1F2DC6">
        <w:rPr>
          <w:sz w:val="24"/>
          <w:szCs w:val="24"/>
        </w:rPr>
        <w:t xml:space="preserve"> </w:t>
      </w:r>
      <w:r w:rsidR="004D59CD" w:rsidRPr="001F2DC6">
        <w:rPr>
          <w:sz w:val="24"/>
          <w:szCs w:val="24"/>
        </w:rPr>
        <w:t xml:space="preserve">dėl lietuvos respublikos ekonomikos ir inovacijų ministro </w:t>
      </w:r>
      <w:r w:rsidR="000D1000" w:rsidRPr="001F2DC6">
        <w:rPr>
          <w:sz w:val="24"/>
          <w:szCs w:val="24"/>
        </w:rPr>
        <w:br/>
      </w:r>
      <w:r w:rsidR="004D59CD" w:rsidRPr="001F2DC6">
        <w:rPr>
          <w:sz w:val="24"/>
          <w:szCs w:val="24"/>
        </w:rPr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</w:t>
      </w:r>
    </w:p>
    <w:p w14:paraId="1EAA1243" w14:textId="4FA18596" w:rsidR="004D59CD" w:rsidRPr="001F2DC6" w:rsidRDefault="004D59CD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1F2DC6">
        <w:rPr>
          <w:sz w:val="24"/>
          <w:szCs w:val="24"/>
        </w:rPr>
        <w:t xml:space="preserve">pakeitimo </w:t>
      </w:r>
    </w:p>
    <w:p w14:paraId="4A67F1D9" w14:textId="35EBEBCE" w:rsidR="004C5731" w:rsidRDefault="004C5731" w:rsidP="009D1DD5">
      <w:pPr>
        <w:jc w:val="center"/>
        <w:rPr>
          <w:szCs w:val="24"/>
        </w:rPr>
      </w:pPr>
    </w:p>
    <w:p w14:paraId="7D8B4C9C" w14:textId="015D58A0" w:rsidR="004D59CD" w:rsidRPr="001F2DC6" w:rsidRDefault="00C7137A" w:rsidP="009D1DD5">
      <w:pPr>
        <w:jc w:val="center"/>
        <w:rPr>
          <w:szCs w:val="24"/>
        </w:rPr>
      </w:pPr>
      <w:r>
        <w:rPr>
          <w:szCs w:val="24"/>
        </w:rPr>
        <w:t>202</w:t>
      </w:r>
      <w:r w:rsidR="00B20C80">
        <w:rPr>
          <w:szCs w:val="24"/>
        </w:rPr>
        <w:t>2</w:t>
      </w:r>
      <w:r w:rsidR="004D59CD" w:rsidRPr="001F2DC6">
        <w:rPr>
          <w:szCs w:val="24"/>
        </w:rPr>
        <w:t xml:space="preserve"> m.</w:t>
      </w:r>
      <w:r w:rsidR="004C5731">
        <w:rPr>
          <w:szCs w:val="24"/>
        </w:rPr>
        <w:t xml:space="preserve">      </w:t>
      </w:r>
      <w:r w:rsidR="002A3D73" w:rsidRPr="001F2DC6">
        <w:rPr>
          <w:szCs w:val="24"/>
        </w:rPr>
        <w:t xml:space="preserve">   </w:t>
      </w:r>
      <w:r w:rsidR="00CF5F9F">
        <w:rPr>
          <w:szCs w:val="24"/>
        </w:rPr>
        <w:t xml:space="preserve">   </w:t>
      </w:r>
      <w:r w:rsidR="002A3D73" w:rsidRPr="001F2DC6">
        <w:rPr>
          <w:szCs w:val="24"/>
        </w:rPr>
        <w:t xml:space="preserve"> d. Nr. </w:t>
      </w:r>
      <w:r>
        <w:rPr>
          <w:szCs w:val="24"/>
        </w:rPr>
        <w:t>4-</w:t>
      </w:r>
    </w:p>
    <w:p w14:paraId="6406E652" w14:textId="686ECDF4" w:rsidR="004D59CD" w:rsidRPr="001F2DC6" w:rsidRDefault="004D59CD" w:rsidP="009D1DD5">
      <w:pPr>
        <w:jc w:val="center"/>
        <w:rPr>
          <w:szCs w:val="24"/>
        </w:rPr>
      </w:pPr>
      <w:r w:rsidRPr="001F2DC6">
        <w:rPr>
          <w:szCs w:val="24"/>
        </w:rPr>
        <w:t>Vilnius</w:t>
      </w:r>
    </w:p>
    <w:p w14:paraId="77BEB61F" w14:textId="77777777" w:rsidR="004D59CD" w:rsidRPr="001F2DC6" w:rsidRDefault="004D59CD" w:rsidP="009D1DD5">
      <w:pPr>
        <w:jc w:val="center"/>
        <w:rPr>
          <w:szCs w:val="24"/>
        </w:rPr>
      </w:pPr>
    </w:p>
    <w:p w14:paraId="4A457BD4" w14:textId="77777777" w:rsidR="00175700" w:rsidRDefault="00D46B40" w:rsidP="000A36F5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4D59CD" w:rsidRPr="001F2DC6">
        <w:rPr>
          <w:color w:val="000000"/>
          <w:szCs w:val="24"/>
        </w:rPr>
        <w:t xml:space="preserve"> a k e i č i u  2014–2020 m. Europos Sąjungos fondų investicijų veiksmų programos prioriteto įgyvendinimo priemonių įgyvendinimo planą, patvirtintą Lietuvos Respublikos ekonomikos ir inovacijų ministro 2014 m. gruodžio 19 d. įsakymu Nr. 4-933 „Dėl 2014–2020 m. Europos Sąjungos fondų investicijų veiksmų programos prioriteto įgyvendinimo priemonių įgyvendinimo plano ir Nacionalinių stebėsenos rodiklių skaičiavimo aprašo patvirtinimo“</w:t>
      </w:r>
      <w:r w:rsidR="00175700">
        <w:rPr>
          <w:color w:val="000000"/>
          <w:szCs w:val="24"/>
        </w:rPr>
        <w:t>:</w:t>
      </w:r>
    </w:p>
    <w:p w14:paraId="614807A6" w14:textId="3CDAC392" w:rsidR="004D59CD" w:rsidRPr="000A36F5" w:rsidRDefault="00175700" w:rsidP="000A36F5">
      <w:pPr>
        <w:suppressAutoHyphens/>
        <w:ind w:firstLine="720"/>
        <w:jc w:val="both"/>
        <w:textAlignment w:val="center"/>
        <w:rPr>
          <w:szCs w:val="24"/>
        </w:rPr>
      </w:pPr>
      <w:r>
        <w:rPr>
          <w:szCs w:val="24"/>
        </w:rPr>
        <w:t>1. P</w:t>
      </w:r>
      <w:r w:rsidR="005276F3" w:rsidRPr="000A36F5">
        <w:rPr>
          <w:szCs w:val="24"/>
        </w:rPr>
        <w:t>akeičiu V</w:t>
      </w:r>
      <w:r w:rsidR="00337357" w:rsidRPr="000A36F5">
        <w:rPr>
          <w:szCs w:val="24"/>
        </w:rPr>
        <w:t xml:space="preserve"> </w:t>
      </w:r>
      <w:r w:rsidR="004D59CD" w:rsidRPr="000A36F5">
        <w:rPr>
          <w:szCs w:val="24"/>
        </w:rPr>
        <w:t xml:space="preserve">skyriaus </w:t>
      </w:r>
      <w:r w:rsidR="00B20C80" w:rsidRPr="000A36F5">
        <w:rPr>
          <w:szCs w:val="24"/>
        </w:rPr>
        <w:t>penkto</w:t>
      </w:r>
      <w:r w:rsidR="0071662E" w:rsidRPr="000A36F5">
        <w:rPr>
          <w:szCs w:val="24"/>
        </w:rPr>
        <w:t>j</w:t>
      </w:r>
      <w:r w:rsidR="00B20C80" w:rsidRPr="000A36F5">
        <w:rPr>
          <w:szCs w:val="24"/>
        </w:rPr>
        <w:t>o</w:t>
      </w:r>
      <w:r w:rsidR="004D59CD" w:rsidRPr="000A36F5">
        <w:rPr>
          <w:szCs w:val="24"/>
        </w:rPr>
        <w:t xml:space="preserve"> skirsn</w:t>
      </w:r>
      <w:r w:rsidR="00B20C80" w:rsidRPr="000A36F5">
        <w:rPr>
          <w:szCs w:val="24"/>
        </w:rPr>
        <w:t>io</w:t>
      </w:r>
      <w:r w:rsidR="004D59CD" w:rsidRPr="000A36F5">
        <w:rPr>
          <w:szCs w:val="24"/>
        </w:rPr>
        <w:t xml:space="preserve"> </w:t>
      </w:r>
      <w:r w:rsidR="000A36F5" w:rsidRPr="000A36F5">
        <w:rPr>
          <w:szCs w:val="24"/>
        </w:rPr>
        <w:t xml:space="preserve">1 punktą </w:t>
      </w:r>
      <w:r w:rsidR="004D59CD" w:rsidRPr="000A36F5">
        <w:rPr>
          <w:szCs w:val="24"/>
        </w:rPr>
        <w:t>ir jį išdėstau taip:</w:t>
      </w:r>
    </w:p>
    <w:p w14:paraId="7E745279" w14:textId="1CCD4A34" w:rsidR="00747E44" w:rsidRPr="001F2DC6" w:rsidRDefault="00747E44" w:rsidP="00CD061F">
      <w:pPr>
        <w:jc w:val="both"/>
        <w:rPr>
          <w:szCs w:val="24"/>
        </w:rPr>
      </w:pPr>
    </w:p>
    <w:p w14:paraId="75779DEA" w14:textId="3F6D5FE4" w:rsidR="00076539" w:rsidRPr="001F2DC6" w:rsidRDefault="00E96D30" w:rsidP="00076539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 w:rsidRPr="001F2DC6">
        <w:rPr>
          <w:b/>
          <w:szCs w:val="24"/>
          <w:lang w:eastAsia="lt-LT"/>
        </w:rPr>
        <w:t xml:space="preserve"> </w:t>
      </w:r>
      <w:r w:rsidR="00076539" w:rsidRPr="00B27987">
        <w:rPr>
          <w:szCs w:val="24"/>
          <w:lang w:eastAsia="lt-LT"/>
        </w:rPr>
        <w:t>„</w:t>
      </w:r>
      <w:r w:rsidR="00076539" w:rsidRPr="001F2DC6">
        <w:rPr>
          <w:b/>
          <w:szCs w:val="24"/>
          <w:lang w:eastAsia="lt-LT"/>
        </w:rPr>
        <w:t>P</w:t>
      </w:r>
      <w:r w:rsidR="00B20C80">
        <w:rPr>
          <w:b/>
          <w:szCs w:val="24"/>
          <w:lang w:eastAsia="lt-LT"/>
        </w:rPr>
        <w:t>ENKTA</w:t>
      </w:r>
      <w:r w:rsidR="00076539" w:rsidRPr="001F2DC6">
        <w:rPr>
          <w:b/>
          <w:szCs w:val="24"/>
          <w:lang w:eastAsia="lt-LT"/>
        </w:rPr>
        <w:t>SIS SKIRSNIS</w:t>
      </w:r>
      <w:r w:rsidR="00076539" w:rsidRPr="001F2DC6">
        <w:rPr>
          <w:szCs w:val="24"/>
          <w:lang w:eastAsia="lt-LT"/>
        </w:rPr>
        <w:t xml:space="preserve"> </w:t>
      </w:r>
    </w:p>
    <w:p w14:paraId="4BA212D4" w14:textId="620493A7" w:rsidR="00076539" w:rsidRDefault="00B20C80" w:rsidP="00B20C80">
      <w:pPr>
        <w:tabs>
          <w:tab w:val="left" w:pos="0"/>
          <w:tab w:val="left" w:pos="567"/>
        </w:tabs>
        <w:jc w:val="center"/>
        <w:rPr>
          <w:b/>
          <w:bCs/>
          <w:caps/>
          <w:color w:val="000000"/>
        </w:rPr>
      </w:pPr>
      <w:r>
        <w:rPr>
          <w:b/>
          <w:bCs/>
          <w:color w:val="000000"/>
        </w:rPr>
        <w:t>PRIEMONĖ</w:t>
      </w:r>
      <w:r>
        <w:rPr>
          <w:color w:val="000000"/>
        </w:rPr>
        <w:t> </w:t>
      </w:r>
      <w:r>
        <w:rPr>
          <w:b/>
          <w:bCs/>
          <w:color w:val="000000"/>
        </w:rPr>
        <w:t>NR. 09.4.3-ESFA-V-834 „</w:t>
      </w:r>
      <w:r>
        <w:rPr>
          <w:b/>
          <w:bCs/>
          <w:caps/>
          <w:color w:val="000000"/>
        </w:rPr>
        <w:t>ŽMOGIŠKŲJŲ IŠTEKLIŲ STEBĖSENOS, PROGNOZAVIMO IR PLĖTROS MECHANIZMAI“</w:t>
      </w:r>
    </w:p>
    <w:p w14:paraId="2CC79C86" w14:textId="77777777" w:rsidR="00B20C80" w:rsidRDefault="00B20C80" w:rsidP="00B20C80">
      <w:pPr>
        <w:ind w:firstLine="709"/>
        <w:rPr>
          <w:color w:val="000000"/>
          <w:sz w:val="27"/>
          <w:szCs w:val="27"/>
        </w:rPr>
      </w:pPr>
    </w:p>
    <w:p w14:paraId="0732E002" w14:textId="5F21BFCA" w:rsidR="00B20C80" w:rsidRPr="00B20C80" w:rsidRDefault="00B20C80" w:rsidP="00B20C80">
      <w:pPr>
        <w:ind w:firstLine="709"/>
        <w:rPr>
          <w:color w:val="000000"/>
          <w:szCs w:val="24"/>
          <w:lang w:val="en-US"/>
        </w:rPr>
      </w:pPr>
      <w:r w:rsidRPr="00B20C80">
        <w:rPr>
          <w:color w:val="000000"/>
          <w:szCs w:val="24"/>
        </w:rPr>
        <w:t>1. Priemonės aprašymas</w:t>
      </w:r>
    </w:p>
    <w:tbl>
      <w:tblPr>
        <w:tblW w:w="963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20C80" w:rsidRPr="00B20C80" w14:paraId="31E06AEB" w14:textId="77777777" w:rsidTr="00B20C80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57E3" w14:textId="77777777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1.1. Priemonės įgyvendinimas finansuojamas Europos socialinio fondo lėšomis.</w:t>
            </w:r>
          </w:p>
        </w:tc>
      </w:tr>
      <w:tr w:rsidR="00B20C80" w:rsidRPr="00B20C80" w14:paraId="0B04F61D" w14:textId="77777777" w:rsidTr="00B20C80"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8FD8" w14:textId="77777777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1.2. Įgyvendinant priemonę, prisidedama prie uždavinio „Padidinti dirbančių žmogiškųjų išteklių konkurencingumą, užtikrinant galimybes prisitaikyti prie ūkio poreikių“</w:t>
            </w:r>
            <w:r w:rsidRPr="00B20C80">
              <w:rPr>
                <w:b/>
                <w:bCs/>
                <w:szCs w:val="24"/>
              </w:rPr>
              <w:t> </w:t>
            </w:r>
            <w:r w:rsidRPr="00B20C80">
              <w:rPr>
                <w:szCs w:val="24"/>
              </w:rPr>
              <w:t>įgyvendinimo</w:t>
            </w:r>
            <w:r w:rsidRPr="00B20C80">
              <w:rPr>
                <w:i/>
                <w:iCs/>
                <w:szCs w:val="24"/>
              </w:rPr>
              <w:t>.</w:t>
            </w:r>
          </w:p>
        </w:tc>
      </w:tr>
      <w:tr w:rsidR="00B20C80" w:rsidRPr="00B20C80" w14:paraId="0B02854D" w14:textId="77777777" w:rsidTr="00B20C80"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6331" w14:textId="77777777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1.3. Remiamos veiklos:</w:t>
            </w:r>
          </w:p>
          <w:p w14:paraId="51843288" w14:textId="77777777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1.3.1. vidutinės trukmės žmogiškųjų išteklių paklausos prognozavimo sistemos sukūrimas ir jos funkcionalumo palaikymo ir tobulinimo užtikrinimas, periodiškas žmogiškųjų išteklių paklausos darbo rinkoje informacinės bazės atnaujinimas;</w:t>
            </w:r>
          </w:p>
          <w:p w14:paraId="57935C2E" w14:textId="77777777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1.3.2. žmogiškųjų išteklių paklausos darbo rinkoje prognostinių tyrimų rezultatų apdorojimas ir sklaida vykdant profesinį orientavimą;</w:t>
            </w:r>
          </w:p>
          <w:p w14:paraId="4B442335" w14:textId="77777777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1.3.3. visaverčio instrumento, paremto išplėstine Lietuvos profesijų klasifikatoriaus versija (ISCO-08 pagrindu), skirto darbo rinkos profesinei struktūrai palyginti tarptautiniu ir šalies mastu, apimančio nuolat atnaujinamą profesijų sąrašą, visų profesijų aprašus ir jų sąsajas su išsilavinimo ir kvalifikacijų lygiais, sukūrimas;</w:t>
            </w:r>
          </w:p>
          <w:p w14:paraId="10078192" w14:textId="77777777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1.3.4. darbo veikloje įgyjamų aukšto meistriškumo kvalifikacijų posistemės modelio ir bazinių multiplikavimo prielaidų sukūrimas, tolesnio šios posistemės veikimo įvairiuose ūkio sektoriuose užtikrinimas.</w:t>
            </w:r>
          </w:p>
        </w:tc>
      </w:tr>
      <w:tr w:rsidR="00B20C80" w:rsidRPr="00B20C80" w14:paraId="416010C0" w14:textId="77777777" w:rsidTr="00B20C80"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847B" w14:textId="77777777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1.4. Galimi pareiškėjai:</w:t>
            </w:r>
          </w:p>
          <w:p w14:paraId="46A754A6" w14:textId="27E81E7C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 xml:space="preserve">1.4.1. </w:t>
            </w:r>
            <w:r w:rsidRPr="00B26328">
              <w:rPr>
                <w:strike/>
                <w:szCs w:val="24"/>
              </w:rPr>
              <w:t>viešoji įstaiga „Stebėsenos ir prognozių agentūra“</w:t>
            </w:r>
            <w:r w:rsidR="00B26328">
              <w:rPr>
                <w:szCs w:val="24"/>
              </w:rPr>
              <w:t xml:space="preserve"> </w:t>
            </w:r>
            <w:r w:rsidR="003D33E2" w:rsidRPr="00B26328">
              <w:rPr>
                <w:b/>
                <w:bCs/>
                <w:szCs w:val="24"/>
              </w:rPr>
              <w:t>VšĮ</w:t>
            </w:r>
            <w:r w:rsidR="000A36F5" w:rsidRPr="00B26328">
              <w:rPr>
                <w:b/>
                <w:bCs/>
                <w:szCs w:val="24"/>
              </w:rPr>
              <w:t xml:space="preserve"> „Valdymo koordinavimo centras“</w:t>
            </w:r>
            <w:r w:rsidR="003D33E2" w:rsidRPr="00B26328">
              <w:rPr>
                <w:szCs w:val="24"/>
              </w:rPr>
              <w:t>;</w:t>
            </w:r>
          </w:p>
          <w:p w14:paraId="1C6748C9" w14:textId="77777777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1.4.2. Vyriausybės strateginės analizės centras (tik 1.3.1 papunktyje nurodyta veikla).</w:t>
            </w:r>
          </w:p>
        </w:tc>
      </w:tr>
      <w:tr w:rsidR="00B20C80" w:rsidRPr="00B20C80" w14:paraId="5591D71D" w14:textId="77777777" w:rsidTr="00B20C80">
        <w:tc>
          <w:tcPr>
            <w:tcW w:w="9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6567" w14:textId="28FB93F0" w:rsidR="00B20C80" w:rsidRPr="00B20C80" w:rsidRDefault="00B20C80" w:rsidP="00B20C80">
            <w:pPr>
              <w:ind w:firstLine="604"/>
              <w:jc w:val="both"/>
              <w:rPr>
                <w:szCs w:val="24"/>
                <w:lang w:val="en-US"/>
              </w:rPr>
            </w:pPr>
            <w:r w:rsidRPr="00B20C80">
              <w:rPr>
                <w:szCs w:val="24"/>
              </w:rPr>
              <w:t>1.5. Galimi partneriai: Lietuvos Respublikos ekonomikos ir inovacijų ministerija</w:t>
            </w:r>
            <w:r w:rsidRPr="00B20C80">
              <w:rPr>
                <w:szCs w:val="24"/>
              </w:rPr>
              <w:br/>
              <w:t xml:space="preserve">(1.3.1–1.3.4 papunkčiuose nurodyta veikla), Kvalifikacijų ir profesinio mokymo plėtros centras </w:t>
            </w:r>
            <w:r w:rsidRPr="00B20C80">
              <w:rPr>
                <w:szCs w:val="24"/>
              </w:rPr>
              <w:lastRenderedPageBreak/>
              <w:t>(tik 1.3.4 papunktyje nurodyta veikla), Lietuvos statistikos departamentas (tik 1.3.1 papunktyje nurodyta veikla).</w:t>
            </w:r>
            <w:r w:rsidR="000A36F5">
              <w:rPr>
                <w:szCs w:val="24"/>
              </w:rPr>
              <w:t>“</w:t>
            </w:r>
          </w:p>
        </w:tc>
      </w:tr>
    </w:tbl>
    <w:p w14:paraId="64A16819" w14:textId="77777777" w:rsidR="00B20C80" w:rsidRPr="001F2DC6" w:rsidRDefault="00B20C80" w:rsidP="00B20C80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03162677" w14:textId="21D57FE5" w:rsidR="00904152" w:rsidRPr="00904152" w:rsidRDefault="00904152" w:rsidP="00904152">
      <w:pPr>
        <w:suppressAutoHyphens/>
        <w:ind w:firstLine="720"/>
        <w:jc w:val="both"/>
        <w:textAlignment w:val="center"/>
        <w:rPr>
          <w:szCs w:val="24"/>
        </w:rPr>
      </w:pPr>
      <w:r w:rsidRPr="00904152">
        <w:rPr>
          <w:szCs w:val="24"/>
        </w:rPr>
        <w:t>2. Pakeičiu II skyriaus penktojo skirsnio 1 punktą ir jį išdėstau taip:</w:t>
      </w:r>
    </w:p>
    <w:p w14:paraId="16983681" w14:textId="77777777" w:rsidR="00904152" w:rsidRPr="00904152" w:rsidRDefault="00904152" w:rsidP="00904152">
      <w:pPr>
        <w:suppressAutoHyphens/>
        <w:ind w:firstLine="720"/>
        <w:jc w:val="both"/>
        <w:textAlignment w:val="center"/>
        <w:rPr>
          <w:szCs w:val="24"/>
        </w:rPr>
      </w:pPr>
    </w:p>
    <w:p w14:paraId="13337EA6" w14:textId="14E0DE11" w:rsidR="00904152" w:rsidRPr="00904152" w:rsidRDefault="00904152" w:rsidP="00904152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 w:rsidRPr="00904152">
        <w:rPr>
          <w:b/>
          <w:szCs w:val="24"/>
          <w:lang w:eastAsia="lt-LT"/>
        </w:rPr>
        <w:t>„PENKTASIS SKIRSNIS</w:t>
      </w:r>
    </w:p>
    <w:p w14:paraId="07DB23A1" w14:textId="499A764B" w:rsidR="00904152" w:rsidRPr="00904152" w:rsidRDefault="00904152" w:rsidP="00904152">
      <w:pPr>
        <w:suppressAutoHyphens/>
        <w:ind w:firstLine="720"/>
        <w:jc w:val="both"/>
        <w:textAlignment w:val="center"/>
        <w:rPr>
          <w:rFonts w:eastAsia="Calibri"/>
          <w:b/>
          <w:szCs w:val="24"/>
          <w:lang w:eastAsia="lt-LT"/>
        </w:rPr>
      </w:pPr>
      <w:r w:rsidRPr="00904152">
        <w:rPr>
          <w:b/>
          <w:szCs w:val="24"/>
          <w:lang w:eastAsia="lt-LT"/>
        </w:rPr>
        <w:t>PRIEMONĖ NR.</w:t>
      </w:r>
      <w:r w:rsidRPr="00904152">
        <w:rPr>
          <w:szCs w:val="24"/>
          <w:lang w:eastAsia="lt-LT"/>
        </w:rPr>
        <w:t xml:space="preserve"> </w:t>
      </w:r>
      <w:r w:rsidRPr="00904152">
        <w:rPr>
          <w:b/>
          <w:szCs w:val="24"/>
          <w:lang w:eastAsia="lt-LT"/>
        </w:rPr>
        <w:t xml:space="preserve">03.2.1-LVPA-K-801 </w:t>
      </w:r>
      <w:r w:rsidRPr="00904152">
        <w:rPr>
          <w:rFonts w:eastAsia="Calibri"/>
          <w:b/>
          <w:szCs w:val="24"/>
          <w:lang w:eastAsia="lt-LT"/>
        </w:rPr>
        <w:t>„NAUJOS GALIMYBĖS LT“</w:t>
      </w:r>
    </w:p>
    <w:p w14:paraId="45B9068B" w14:textId="77777777" w:rsidR="00904152" w:rsidRPr="00904152" w:rsidRDefault="00904152" w:rsidP="00904152">
      <w:pPr>
        <w:suppressAutoHyphens/>
        <w:ind w:firstLine="720"/>
        <w:jc w:val="both"/>
        <w:textAlignment w:val="center"/>
        <w:rPr>
          <w:szCs w:val="24"/>
        </w:rPr>
      </w:pPr>
    </w:p>
    <w:p w14:paraId="0E1CAAB7" w14:textId="77777777" w:rsidR="00904152" w:rsidRPr="00904152" w:rsidRDefault="00904152" w:rsidP="00904152">
      <w:pPr>
        <w:tabs>
          <w:tab w:val="left" w:pos="0"/>
          <w:tab w:val="left" w:pos="567"/>
        </w:tabs>
        <w:ind w:left="1134" w:hanging="425"/>
        <w:rPr>
          <w:szCs w:val="24"/>
          <w:lang w:eastAsia="lt-LT"/>
        </w:rPr>
      </w:pPr>
      <w:r w:rsidRPr="00904152">
        <w:rPr>
          <w:szCs w:val="24"/>
          <w:lang w:eastAsia="lt-LT"/>
        </w:rPr>
        <w:t>1.</w:t>
      </w:r>
      <w:r w:rsidRPr="00904152">
        <w:rPr>
          <w:szCs w:val="24"/>
          <w:lang w:eastAsia="lt-LT"/>
        </w:rPr>
        <w:tab/>
        <w:t>Priemonės aprašymas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152" w:rsidRPr="00904152" w14:paraId="02175D88" w14:textId="77777777" w:rsidTr="00340F6B">
        <w:tc>
          <w:tcPr>
            <w:tcW w:w="9639" w:type="dxa"/>
            <w:hideMark/>
          </w:tcPr>
          <w:p w14:paraId="7CCDE6AC" w14:textId="77777777" w:rsidR="00904152" w:rsidRPr="00904152" w:rsidRDefault="00904152" w:rsidP="00340F6B">
            <w:pPr>
              <w:tabs>
                <w:tab w:val="left" w:pos="0"/>
                <w:tab w:val="left" w:pos="1026"/>
              </w:tabs>
              <w:ind w:left="1440" w:hanging="836"/>
              <w:jc w:val="both"/>
              <w:rPr>
                <w:szCs w:val="24"/>
                <w:lang w:eastAsia="lt-LT"/>
              </w:rPr>
            </w:pPr>
            <w:r w:rsidRPr="00904152">
              <w:rPr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904152" w:rsidRPr="00904152" w14:paraId="2773AA09" w14:textId="77777777" w:rsidTr="00340F6B">
        <w:tc>
          <w:tcPr>
            <w:tcW w:w="9639" w:type="dxa"/>
            <w:hideMark/>
          </w:tcPr>
          <w:p w14:paraId="556BE66C" w14:textId="77777777" w:rsidR="00904152" w:rsidRPr="00904152" w:rsidRDefault="00904152" w:rsidP="00340F6B">
            <w:pPr>
              <w:tabs>
                <w:tab w:val="left" w:pos="0"/>
                <w:tab w:val="left" w:pos="1026"/>
              </w:tabs>
              <w:ind w:left="34" w:firstLine="570"/>
              <w:jc w:val="both"/>
              <w:rPr>
                <w:szCs w:val="24"/>
                <w:lang w:eastAsia="lt-LT"/>
              </w:rPr>
            </w:pPr>
            <w:r w:rsidRPr="00904152">
              <w:rPr>
                <w:szCs w:val="24"/>
                <w:lang w:eastAsia="lt-LT"/>
              </w:rPr>
              <w:t>1.2.</w:t>
            </w:r>
            <w:r w:rsidRPr="00904152">
              <w:rPr>
                <w:i/>
                <w:szCs w:val="24"/>
                <w:lang w:eastAsia="lt-LT"/>
              </w:rPr>
              <w:t xml:space="preserve"> </w:t>
            </w:r>
            <w:r w:rsidRPr="00904152">
              <w:rPr>
                <w:szCs w:val="24"/>
                <w:lang w:eastAsia="lt-LT"/>
              </w:rPr>
              <w:t>Įgyvendinant priemonę, prisidedama prie uždavinio „</w:t>
            </w:r>
            <w:r w:rsidRPr="00904152">
              <w:rPr>
                <w:szCs w:val="24"/>
              </w:rPr>
              <w:t xml:space="preserve">Padidinti MVĮ </w:t>
            </w:r>
            <w:proofErr w:type="spellStart"/>
            <w:r w:rsidRPr="00904152">
              <w:rPr>
                <w:szCs w:val="24"/>
              </w:rPr>
              <w:t>tarptautiškumą</w:t>
            </w:r>
            <w:proofErr w:type="spellEnd"/>
            <w:r w:rsidRPr="00904152">
              <w:rPr>
                <w:szCs w:val="24"/>
              </w:rPr>
              <w:t>“</w:t>
            </w:r>
            <w:r w:rsidRPr="00904152">
              <w:rPr>
                <w:b/>
                <w:szCs w:val="24"/>
              </w:rPr>
              <w:t xml:space="preserve"> </w:t>
            </w:r>
            <w:r w:rsidRPr="00904152">
              <w:rPr>
                <w:szCs w:val="24"/>
                <w:lang w:eastAsia="lt-LT"/>
              </w:rPr>
              <w:t>įgyvendinimo</w:t>
            </w:r>
            <w:r w:rsidRPr="00904152">
              <w:rPr>
                <w:i/>
                <w:szCs w:val="24"/>
                <w:lang w:eastAsia="lt-LT"/>
              </w:rPr>
              <w:t>.</w:t>
            </w:r>
          </w:p>
        </w:tc>
      </w:tr>
      <w:tr w:rsidR="00904152" w:rsidRPr="00904152" w14:paraId="0CD450D1" w14:textId="77777777" w:rsidTr="00340F6B">
        <w:tc>
          <w:tcPr>
            <w:tcW w:w="9639" w:type="dxa"/>
          </w:tcPr>
          <w:p w14:paraId="1B4EDBDC" w14:textId="77777777" w:rsidR="00904152" w:rsidRPr="00904152" w:rsidRDefault="00904152" w:rsidP="00340F6B">
            <w:pPr>
              <w:tabs>
                <w:tab w:val="left" w:pos="0"/>
                <w:tab w:val="left" w:pos="1026"/>
              </w:tabs>
              <w:ind w:left="34" w:firstLine="570"/>
              <w:jc w:val="both"/>
              <w:rPr>
                <w:szCs w:val="24"/>
              </w:rPr>
            </w:pPr>
            <w:r w:rsidRPr="00904152">
              <w:rPr>
                <w:szCs w:val="24"/>
              </w:rPr>
              <w:t xml:space="preserve">1.3. Remiamos veiklos: </w:t>
            </w:r>
          </w:p>
          <w:p w14:paraId="3B55506D" w14:textId="77777777" w:rsidR="00904152" w:rsidRPr="00904152" w:rsidRDefault="00904152" w:rsidP="00340F6B">
            <w:pPr>
              <w:tabs>
                <w:tab w:val="left" w:pos="0"/>
                <w:tab w:val="left" w:pos="1026"/>
              </w:tabs>
              <w:ind w:left="34" w:firstLine="570"/>
              <w:jc w:val="both"/>
              <w:rPr>
                <w:szCs w:val="24"/>
              </w:rPr>
            </w:pPr>
            <w:r w:rsidRPr="00904152">
              <w:rPr>
                <w:szCs w:val="24"/>
              </w:rPr>
              <w:t>1.3.1. pavienis MVĮ ir jos produkcijos pristatymas užsienyje vykstančiose tarptautinėse parodose;</w:t>
            </w:r>
          </w:p>
          <w:p w14:paraId="52FB46B4" w14:textId="77777777" w:rsidR="00904152" w:rsidRPr="00904152" w:rsidRDefault="00904152" w:rsidP="00340F6B">
            <w:pPr>
              <w:tabs>
                <w:tab w:val="left" w:pos="1026"/>
              </w:tabs>
              <w:ind w:left="34" w:firstLine="570"/>
              <w:jc w:val="both"/>
              <w:rPr>
                <w:szCs w:val="24"/>
              </w:rPr>
            </w:pPr>
            <w:r w:rsidRPr="00904152">
              <w:rPr>
                <w:szCs w:val="24"/>
              </w:rPr>
              <w:t>1.3.2. grupinis MVĮ ir jų produkcijos pristatymas užsienyje ir (ar) Lietuvoje vykstančiose tarptautinėse parodose, mugėse ir verslo misijose.</w:t>
            </w:r>
          </w:p>
        </w:tc>
      </w:tr>
      <w:tr w:rsidR="00904152" w:rsidRPr="00904152" w14:paraId="163E6DEA" w14:textId="77777777" w:rsidTr="00340F6B">
        <w:tc>
          <w:tcPr>
            <w:tcW w:w="9639" w:type="dxa"/>
          </w:tcPr>
          <w:p w14:paraId="482D2B35" w14:textId="77777777" w:rsidR="00904152" w:rsidRPr="00904152" w:rsidRDefault="00904152" w:rsidP="00340F6B">
            <w:pPr>
              <w:tabs>
                <w:tab w:val="left" w:pos="0"/>
                <w:tab w:val="left" w:pos="1026"/>
              </w:tabs>
              <w:ind w:left="34" w:firstLine="570"/>
              <w:jc w:val="both"/>
              <w:rPr>
                <w:szCs w:val="24"/>
              </w:rPr>
            </w:pPr>
            <w:r w:rsidRPr="00904152">
              <w:rPr>
                <w:szCs w:val="24"/>
              </w:rPr>
              <w:t>1.4. Galimi pareiškėjai:</w:t>
            </w:r>
          </w:p>
          <w:p w14:paraId="07DF5C76" w14:textId="77777777" w:rsidR="00904152" w:rsidRPr="00904152" w:rsidRDefault="00904152" w:rsidP="00340F6B">
            <w:pPr>
              <w:tabs>
                <w:tab w:val="left" w:pos="284"/>
              </w:tabs>
              <w:ind w:left="1288" w:hanging="684"/>
              <w:jc w:val="both"/>
              <w:rPr>
                <w:szCs w:val="24"/>
              </w:rPr>
            </w:pPr>
            <w:r w:rsidRPr="00904152">
              <w:rPr>
                <w:rFonts w:eastAsia="AngsanaUPC"/>
                <w:bCs/>
                <w:szCs w:val="24"/>
              </w:rPr>
              <w:t>1.4.1. MVĮ (pavienis dalyvavimas);</w:t>
            </w:r>
          </w:p>
          <w:p w14:paraId="1EEAC3EE" w14:textId="77777777" w:rsidR="00904152" w:rsidRPr="00904152" w:rsidRDefault="00904152" w:rsidP="00340F6B">
            <w:pPr>
              <w:tabs>
                <w:tab w:val="left" w:pos="284"/>
              </w:tabs>
              <w:ind w:left="1288" w:hanging="684"/>
              <w:jc w:val="both"/>
              <w:rPr>
                <w:szCs w:val="24"/>
              </w:rPr>
            </w:pPr>
            <w:r w:rsidRPr="00904152">
              <w:rPr>
                <w:rFonts w:eastAsia="AngsanaUPC"/>
                <w:bCs/>
                <w:szCs w:val="24"/>
              </w:rPr>
              <w:t>1.4.2. grupinis dalyvavimas:</w:t>
            </w:r>
          </w:p>
          <w:p w14:paraId="2F6B499E" w14:textId="77777777" w:rsidR="00904152" w:rsidRPr="00904152" w:rsidRDefault="00904152" w:rsidP="00340F6B">
            <w:pPr>
              <w:tabs>
                <w:tab w:val="left" w:pos="743"/>
              </w:tabs>
              <w:ind w:left="360" w:firstLine="244"/>
              <w:jc w:val="both"/>
              <w:rPr>
                <w:szCs w:val="24"/>
              </w:rPr>
            </w:pPr>
            <w:r w:rsidRPr="00904152">
              <w:rPr>
                <w:rFonts w:eastAsia="AngsanaUPC"/>
                <w:bCs/>
                <w:szCs w:val="24"/>
              </w:rPr>
              <w:t>1.4.2.1. VšĮ „Versli Lietuva“;</w:t>
            </w:r>
          </w:p>
          <w:p w14:paraId="41F4092A" w14:textId="77777777" w:rsidR="00904152" w:rsidRPr="00904152" w:rsidRDefault="00904152" w:rsidP="00340F6B">
            <w:pPr>
              <w:tabs>
                <w:tab w:val="left" w:pos="743"/>
              </w:tabs>
              <w:ind w:left="601" w:firstLine="3"/>
              <w:jc w:val="both"/>
              <w:rPr>
                <w:szCs w:val="24"/>
              </w:rPr>
            </w:pPr>
            <w:r w:rsidRPr="00904152">
              <w:rPr>
                <w:rFonts w:eastAsia="AngsanaUPC"/>
                <w:bCs/>
                <w:szCs w:val="24"/>
              </w:rPr>
              <w:t>1.4.2.2. verslo asociacijos;</w:t>
            </w:r>
          </w:p>
          <w:p w14:paraId="4A107722" w14:textId="77777777" w:rsidR="00904152" w:rsidRPr="00904152" w:rsidRDefault="00904152" w:rsidP="00340F6B">
            <w:pPr>
              <w:tabs>
                <w:tab w:val="left" w:pos="743"/>
              </w:tabs>
              <w:ind w:left="360" w:firstLine="244"/>
              <w:jc w:val="both"/>
              <w:rPr>
                <w:szCs w:val="24"/>
              </w:rPr>
            </w:pPr>
            <w:r w:rsidRPr="00904152">
              <w:rPr>
                <w:szCs w:val="24"/>
              </w:rPr>
              <w:t>1.4.2.3. prekybos, pramonės ir amatų rūmai;</w:t>
            </w:r>
          </w:p>
          <w:p w14:paraId="74B73C40" w14:textId="77777777" w:rsidR="00904152" w:rsidRPr="00904152" w:rsidRDefault="00904152" w:rsidP="00340F6B">
            <w:pPr>
              <w:tabs>
                <w:tab w:val="left" w:pos="743"/>
              </w:tabs>
              <w:ind w:left="360" w:firstLine="244"/>
              <w:jc w:val="both"/>
              <w:rPr>
                <w:szCs w:val="24"/>
              </w:rPr>
            </w:pPr>
            <w:r w:rsidRPr="00904152">
              <w:rPr>
                <w:rFonts w:eastAsia="AngsanaUPC"/>
                <w:bCs/>
                <w:szCs w:val="24"/>
              </w:rPr>
              <w:t>1.4.2.4. klasterio koordinatorius;</w:t>
            </w:r>
          </w:p>
          <w:p w14:paraId="348F487B" w14:textId="1CACDE6D" w:rsidR="00904152" w:rsidRPr="00904152" w:rsidRDefault="00904152" w:rsidP="00340F6B">
            <w:pPr>
              <w:tabs>
                <w:tab w:val="left" w:pos="743"/>
              </w:tabs>
              <w:ind w:left="34" w:firstLine="570"/>
              <w:jc w:val="both"/>
              <w:rPr>
                <w:szCs w:val="24"/>
              </w:rPr>
            </w:pPr>
            <w:r w:rsidRPr="00904152">
              <w:rPr>
                <w:rFonts w:eastAsia="AngsanaUPC"/>
                <w:bCs/>
                <w:szCs w:val="24"/>
              </w:rPr>
              <w:t xml:space="preserve">1.4.2.5. </w:t>
            </w:r>
            <w:r w:rsidRPr="003312D0">
              <w:rPr>
                <w:rFonts w:eastAsia="AngsanaUPC"/>
                <w:bCs/>
                <w:strike/>
                <w:szCs w:val="24"/>
              </w:rPr>
              <w:t>valstybės įmonė Lietuvos žemės ūkio ir maisto produktų rinkos reguliavimo agentūra</w:t>
            </w:r>
            <w:r w:rsidR="00A76662">
              <w:t xml:space="preserve"> </w:t>
            </w:r>
            <w:r w:rsidR="00A76662">
              <w:rPr>
                <w:rFonts w:eastAsia="AngsanaUPC"/>
                <w:b/>
                <w:bCs/>
                <w:szCs w:val="24"/>
              </w:rPr>
              <w:t xml:space="preserve">VšĮ </w:t>
            </w:r>
            <w:r w:rsidR="00A76662" w:rsidRPr="00A76662">
              <w:rPr>
                <w:rFonts w:eastAsia="AngsanaUPC"/>
                <w:b/>
                <w:bCs/>
                <w:szCs w:val="24"/>
              </w:rPr>
              <w:t>Kaimo verslo ir rinkų plėtros agentūra</w:t>
            </w:r>
            <w:r w:rsidRPr="00904152">
              <w:rPr>
                <w:rFonts w:eastAsia="AngsanaUPC"/>
                <w:bCs/>
                <w:szCs w:val="24"/>
              </w:rPr>
              <w:t>.</w:t>
            </w:r>
          </w:p>
          <w:p w14:paraId="77DC5971" w14:textId="77777777" w:rsidR="00904152" w:rsidRPr="00904152" w:rsidRDefault="00904152" w:rsidP="00340F6B">
            <w:pPr>
              <w:tabs>
                <w:tab w:val="left" w:pos="743"/>
              </w:tabs>
              <w:ind w:left="601" w:firstLine="3"/>
              <w:jc w:val="both"/>
              <w:rPr>
                <w:szCs w:val="24"/>
              </w:rPr>
            </w:pPr>
            <w:r w:rsidRPr="00904152">
              <w:rPr>
                <w:rFonts w:eastAsia="AngsanaUPC"/>
                <w:bCs/>
                <w:szCs w:val="24"/>
              </w:rPr>
              <w:t>1.4.2.6. viešoji įstaiga „Keliauk Lietuvoje“.</w:t>
            </w:r>
          </w:p>
          <w:p w14:paraId="5B603E2F" w14:textId="77777777" w:rsidR="00904152" w:rsidRPr="00904152" w:rsidRDefault="00904152" w:rsidP="00340F6B">
            <w:pPr>
              <w:tabs>
                <w:tab w:val="left" w:pos="0"/>
                <w:tab w:val="left" w:pos="1026"/>
              </w:tabs>
              <w:ind w:left="601" w:firstLine="3"/>
              <w:jc w:val="both"/>
              <w:rPr>
                <w:szCs w:val="24"/>
              </w:rPr>
            </w:pPr>
            <w:r w:rsidRPr="00904152">
              <w:rPr>
                <w:rFonts w:eastAsia="AngsanaUPC"/>
                <w:bCs/>
                <w:szCs w:val="24"/>
              </w:rPr>
              <w:t>(Galutiniai naudos gavėjai – MVĮ.)</w:t>
            </w:r>
          </w:p>
        </w:tc>
      </w:tr>
    </w:tbl>
    <w:p w14:paraId="411EFAE3" w14:textId="77777777" w:rsidR="003D33E2" w:rsidRPr="00904152" w:rsidRDefault="003D33E2" w:rsidP="00712FBD">
      <w:pPr>
        <w:contextualSpacing/>
        <w:jc w:val="both"/>
        <w:rPr>
          <w:color w:val="000000"/>
          <w:szCs w:val="24"/>
        </w:rPr>
      </w:pPr>
    </w:p>
    <w:p w14:paraId="75C3B455" w14:textId="77777777" w:rsidR="003D33E2" w:rsidRPr="00904152" w:rsidRDefault="003D33E2" w:rsidP="00712FBD">
      <w:pPr>
        <w:contextualSpacing/>
        <w:jc w:val="both"/>
        <w:rPr>
          <w:color w:val="000000"/>
          <w:szCs w:val="24"/>
        </w:rPr>
      </w:pPr>
    </w:p>
    <w:p w14:paraId="3F80B087" w14:textId="5C8BAEF4" w:rsidR="00712FBD" w:rsidRPr="00904152" w:rsidRDefault="00712FBD" w:rsidP="00712FBD">
      <w:pPr>
        <w:contextualSpacing/>
        <w:jc w:val="both"/>
        <w:rPr>
          <w:color w:val="000000"/>
          <w:szCs w:val="24"/>
        </w:rPr>
      </w:pPr>
      <w:r w:rsidRPr="00904152">
        <w:rPr>
          <w:color w:val="000000"/>
          <w:szCs w:val="24"/>
        </w:rPr>
        <w:t>Ekonomikos ir inovacijų ministras</w:t>
      </w:r>
    </w:p>
    <w:p w14:paraId="1C7CAC8A" w14:textId="77777777" w:rsidR="00941ECD" w:rsidRPr="00904152" w:rsidRDefault="00941ECD" w:rsidP="00712FBD">
      <w:pPr>
        <w:contextualSpacing/>
        <w:jc w:val="both"/>
        <w:rPr>
          <w:color w:val="000000"/>
          <w:szCs w:val="24"/>
        </w:rPr>
      </w:pPr>
    </w:p>
    <w:p w14:paraId="2AA5B786" w14:textId="77777777" w:rsidR="00941ECD" w:rsidRPr="00904152" w:rsidRDefault="00941ECD" w:rsidP="00712FBD">
      <w:pPr>
        <w:contextualSpacing/>
        <w:jc w:val="both"/>
        <w:rPr>
          <w:color w:val="000000"/>
          <w:szCs w:val="24"/>
        </w:rPr>
      </w:pPr>
    </w:p>
    <w:p w14:paraId="323C17AF" w14:textId="698D6948" w:rsidR="00941ECD" w:rsidRDefault="00941ECD" w:rsidP="00712FBD">
      <w:pPr>
        <w:contextualSpacing/>
        <w:jc w:val="both"/>
        <w:rPr>
          <w:color w:val="000000"/>
          <w:szCs w:val="24"/>
        </w:rPr>
      </w:pPr>
    </w:p>
    <w:p w14:paraId="710CE2EB" w14:textId="166A4391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56D46ABD" w14:textId="2E0FA73C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298F62B8" w14:textId="7CCAEFFA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1065406F" w14:textId="1765AA7C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324A0774" w14:textId="5D0CADA7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4A6EC891" w14:textId="171147E8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0D0051F9" w14:textId="605563E5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0331A4FE" w14:textId="2293489E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4C8B74C6" w14:textId="1D0BAAF8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63AABA2B" w14:textId="27B4E7CD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622D77B1" w14:textId="77777777" w:rsidR="003D33E2" w:rsidRDefault="003D33E2" w:rsidP="00712FBD">
      <w:pPr>
        <w:contextualSpacing/>
        <w:jc w:val="both"/>
        <w:rPr>
          <w:color w:val="000000"/>
          <w:szCs w:val="24"/>
        </w:rPr>
      </w:pPr>
    </w:p>
    <w:p w14:paraId="636927C8" w14:textId="7AD32EA1" w:rsidR="00560770" w:rsidRPr="001F2DC6" w:rsidRDefault="0029177C" w:rsidP="00712FBD">
      <w:pPr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CB3D28" w:rsidRPr="001F2DC6">
        <w:rPr>
          <w:color w:val="000000"/>
          <w:szCs w:val="24"/>
        </w:rPr>
        <w:t>arengė</w:t>
      </w:r>
    </w:p>
    <w:p w14:paraId="5427FF25" w14:textId="77777777" w:rsidR="00560770" w:rsidRPr="0069696D" w:rsidRDefault="00560770" w:rsidP="00560770">
      <w:pPr>
        <w:pStyle w:val="Footer"/>
        <w:rPr>
          <w:szCs w:val="24"/>
        </w:rPr>
      </w:pPr>
      <w:r w:rsidRPr="0069696D">
        <w:rPr>
          <w:szCs w:val="24"/>
        </w:rPr>
        <w:t xml:space="preserve">Ekonomikos ir inovacijų ministerijos Europos Sąjungos </w:t>
      </w:r>
    </w:p>
    <w:p w14:paraId="1D73FFF7" w14:textId="77777777" w:rsidR="00560770" w:rsidRPr="0023273F" w:rsidRDefault="00560770" w:rsidP="00560770">
      <w:pPr>
        <w:pStyle w:val="Footer"/>
        <w:rPr>
          <w:szCs w:val="24"/>
        </w:rPr>
      </w:pPr>
      <w:r w:rsidRPr="0023273F">
        <w:rPr>
          <w:szCs w:val="24"/>
        </w:rPr>
        <w:t>investicijų koordinavimo departamento</w:t>
      </w:r>
    </w:p>
    <w:p w14:paraId="062F7230" w14:textId="77777777" w:rsidR="00560770" w:rsidRPr="003272D1" w:rsidRDefault="00560770" w:rsidP="00560770">
      <w:pPr>
        <w:pStyle w:val="Footer"/>
        <w:rPr>
          <w:szCs w:val="24"/>
        </w:rPr>
      </w:pPr>
      <w:r w:rsidRPr="0023273F">
        <w:rPr>
          <w:szCs w:val="24"/>
        </w:rPr>
        <w:t xml:space="preserve">Europos Sąjungos investicijų planavimo skyriaus </w:t>
      </w:r>
    </w:p>
    <w:p w14:paraId="653C4B8A" w14:textId="77777777" w:rsidR="00560770" w:rsidRPr="001B77F0" w:rsidRDefault="00560770" w:rsidP="00560770">
      <w:pPr>
        <w:pStyle w:val="Footer"/>
        <w:rPr>
          <w:szCs w:val="24"/>
        </w:rPr>
      </w:pPr>
      <w:r w:rsidRPr="001B77F0">
        <w:rPr>
          <w:szCs w:val="24"/>
        </w:rPr>
        <w:t>vyriausioji specialistė</w:t>
      </w:r>
    </w:p>
    <w:p w14:paraId="552ADE80" w14:textId="77777777" w:rsidR="00560770" w:rsidRPr="005E2B8D" w:rsidRDefault="00560770" w:rsidP="00560770">
      <w:pPr>
        <w:pStyle w:val="Footer"/>
        <w:rPr>
          <w:szCs w:val="24"/>
        </w:rPr>
      </w:pPr>
    </w:p>
    <w:p w14:paraId="68A6A785" w14:textId="76FB7E1E" w:rsidR="00560770" w:rsidRPr="001F2DC6" w:rsidRDefault="00705669" w:rsidP="00953A75">
      <w:pPr>
        <w:pStyle w:val="Footer"/>
        <w:rPr>
          <w:color w:val="000000"/>
          <w:szCs w:val="24"/>
        </w:rPr>
      </w:pPr>
      <w:r>
        <w:rPr>
          <w:szCs w:val="24"/>
        </w:rPr>
        <w:t>Renata Čitavičienė</w:t>
      </w:r>
    </w:p>
    <w:sectPr w:rsidR="00560770" w:rsidRPr="001F2DC6" w:rsidSect="00791977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B3C41" w14:textId="77777777" w:rsidR="000C1A4B" w:rsidRDefault="000C1A4B" w:rsidP="005F66D6">
      <w:r>
        <w:separator/>
      </w:r>
    </w:p>
  </w:endnote>
  <w:endnote w:type="continuationSeparator" w:id="0">
    <w:p w14:paraId="1164C956" w14:textId="77777777" w:rsidR="000C1A4B" w:rsidRDefault="000C1A4B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C8E46" w14:textId="77777777" w:rsidR="000C1A4B" w:rsidRDefault="000C1A4B" w:rsidP="005F66D6">
      <w:r>
        <w:separator/>
      </w:r>
    </w:p>
  </w:footnote>
  <w:footnote w:type="continuationSeparator" w:id="0">
    <w:p w14:paraId="64497383" w14:textId="77777777" w:rsidR="000C1A4B" w:rsidRDefault="000C1A4B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1584"/>
      <w:docPartObj>
        <w:docPartGallery w:val="Page Numbers (Top of Page)"/>
        <w:docPartUnique/>
      </w:docPartObj>
    </w:sdtPr>
    <w:sdtEndPr/>
    <w:sdtContent>
      <w:p w14:paraId="22C06DFF" w14:textId="0C432C5B" w:rsidR="00C7137A" w:rsidRDefault="00C713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05B">
          <w:rPr>
            <w:noProof/>
          </w:rPr>
          <w:t>2</w:t>
        </w:r>
        <w:r>
          <w:fldChar w:fldCharType="end"/>
        </w:r>
      </w:p>
    </w:sdtContent>
  </w:sdt>
  <w:p w14:paraId="4B4886EF" w14:textId="77777777" w:rsidR="00C7137A" w:rsidRDefault="00C71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3C25"/>
    <w:rsid w:val="00012B9A"/>
    <w:rsid w:val="00026423"/>
    <w:rsid w:val="0002712D"/>
    <w:rsid w:val="00036049"/>
    <w:rsid w:val="000365F1"/>
    <w:rsid w:val="000420D0"/>
    <w:rsid w:val="00044149"/>
    <w:rsid w:val="00046A58"/>
    <w:rsid w:val="00060668"/>
    <w:rsid w:val="000671E9"/>
    <w:rsid w:val="00075F19"/>
    <w:rsid w:val="00076539"/>
    <w:rsid w:val="00076708"/>
    <w:rsid w:val="00091532"/>
    <w:rsid w:val="00094589"/>
    <w:rsid w:val="000A07EB"/>
    <w:rsid w:val="000A36F5"/>
    <w:rsid w:val="000B145B"/>
    <w:rsid w:val="000B155F"/>
    <w:rsid w:val="000B6104"/>
    <w:rsid w:val="000B76B7"/>
    <w:rsid w:val="000C0727"/>
    <w:rsid w:val="000C1A4B"/>
    <w:rsid w:val="000C437B"/>
    <w:rsid w:val="000D1000"/>
    <w:rsid w:val="000E06B0"/>
    <w:rsid w:val="0010384E"/>
    <w:rsid w:val="00103A7E"/>
    <w:rsid w:val="00106B3C"/>
    <w:rsid w:val="00113BD4"/>
    <w:rsid w:val="00120137"/>
    <w:rsid w:val="00121546"/>
    <w:rsid w:val="0013017D"/>
    <w:rsid w:val="00134D3B"/>
    <w:rsid w:val="00137A9A"/>
    <w:rsid w:val="0014065F"/>
    <w:rsid w:val="00144873"/>
    <w:rsid w:val="001505D4"/>
    <w:rsid w:val="00165F15"/>
    <w:rsid w:val="00172495"/>
    <w:rsid w:val="00172D8B"/>
    <w:rsid w:val="001744AF"/>
    <w:rsid w:val="00175700"/>
    <w:rsid w:val="001807A4"/>
    <w:rsid w:val="0018619E"/>
    <w:rsid w:val="00190E7A"/>
    <w:rsid w:val="001953F0"/>
    <w:rsid w:val="001A1E82"/>
    <w:rsid w:val="001A74DA"/>
    <w:rsid w:val="001A7F9E"/>
    <w:rsid w:val="001B0D1E"/>
    <w:rsid w:val="001B353A"/>
    <w:rsid w:val="001B77F0"/>
    <w:rsid w:val="001C6C07"/>
    <w:rsid w:val="001E2E90"/>
    <w:rsid w:val="001F2DC6"/>
    <w:rsid w:val="001F31AF"/>
    <w:rsid w:val="001F6083"/>
    <w:rsid w:val="001F6A20"/>
    <w:rsid w:val="001F6D71"/>
    <w:rsid w:val="002010F0"/>
    <w:rsid w:val="0021131E"/>
    <w:rsid w:val="0022017F"/>
    <w:rsid w:val="0022110E"/>
    <w:rsid w:val="0023273F"/>
    <w:rsid w:val="00241D9A"/>
    <w:rsid w:val="00243D21"/>
    <w:rsid w:val="00267C32"/>
    <w:rsid w:val="002864E6"/>
    <w:rsid w:val="0029177C"/>
    <w:rsid w:val="002918A9"/>
    <w:rsid w:val="002A3D73"/>
    <w:rsid w:val="002A423A"/>
    <w:rsid w:val="002B3D4E"/>
    <w:rsid w:val="002C1A6D"/>
    <w:rsid w:val="002C4E61"/>
    <w:rsid w:val="002C6215"/>
    <w:rsid w:val="002C7AD4"/>
    <w:rsid w:val="002D1225"/>
    <w:rsid w:val="002D1B0F"/>
    <w:rsid w:val="002D65AC"/>
    <w:rsid w:val="002D6BF3"/>
    <w:rsid w:val="002D6CAD"/>
    <w:rsid w:val="002D6D0A"/>
    <w:rsid w:val="002E2486"/>
    <w:rsid w:val="002E265D"/>
    <w:rsid w:val="002F1FE3"/>
    <w:rsid w:val="003002B4"/>
    <w:rsid w:val="00302378"/>
    <w:rsid w:val="00310788"/>
    <w:rsid w:val="00311043"/>
    <w:rsid w:val="00313E7F"/>
    <w:rsid w:val="003272D1"/>
    <w:rsid w:val="003312D0"/>
    <w:rsid w:val="00334120"/>
    <w:rsid w:val="00334FDE"/>
    <w:rsid w:val="00337357"/>
    <w:rsid w:val="00342BAD"/>
    <w:rsid w:val="00344493"/>
    <w:rsid w:val="00351A57"/>
    <w:rsid w:val="00353F49"/>
    <w:rsid w:val="003631F4"/>
    <w:rsid w:val="00367951"/>
    <w:rsid w:val="00380A6A"/>
    <w:rsid w:val="00384044"/>
    <w:rsid w:val="00386214"/>
    <w:rsid w:val="00392300"/>
    <w:rsid w:val="00392F35"/>
    <w:rsid w:val="003A3A15"/>
    <w:rsid w:val="003B2254"/>
    <w:rsid w:val="003B3C0B"/>
    <w:rsid w:val="003B490E"/>
    <w:rsid w:val="003B4F7B"/>
    <w:rsid w:val="003B6BC2"/>
    <w:rsid w:val="003C08C4"/>
    <w:rsid w:val="003C1DDC"/>
    <w:rsid w:val="003C5E3E"/>
    <w:rsid w:val="003D33E2"/>
    <w:rsid w:val="003D3999"/>
    <w:rsid w:val="003D60ED"/>
    <w:rsid w:val="003E00FC"/>
    <w:rsid w:val="003E1A27"/>
    <w:rsid w:val="003F5451"/>
    <w:rsid w:val="003F7B1C"/>
    <w:rsid w:val="004059B3"/>
    <w:rsid w:val="00416D93"/>
    <w:rsid w:val="004236E1"/>
    <w:rsid w:val="00426043"/>
    <w:rsid w:val="00427319"/>
    <w:rsid w:val="004300FD"/>
    <w:rsid w:val="004302B4"/>
    <w:rsid w:val="0043261C"/>
    <w:rsid w:val="00434AC3"/>
    <w:rsid w:val="00435023"/>
    <w:rsid w:val="0043610A"/>
    <w:rsid w:val="00441C41"/>
    <w:rsid w:val="00470929"/>
    <w:rsid w:val="00476ACA"/>
    <w:rsid w:val="0048345D"/>
    <w:rsid w:val="00490DB3"/>
    <w:rsid w:val="00492282"/>
    <w:rsid w:val="004B3B56"/>
    <w:rsid w:val="004B4B0E"/>
    <w:rsid w:val="004B7E6A"/>
    <w:rsid w:val="004C2EA5"/>
    <w:rsid w:val="004C44B8"/>
    <w:rsid w:val="004C5731"/>
    <w:rsid w:val="004D0626"/>
    <w:rsid w:val="004D558E"/>
    <w:rsid w:val="004D59CD"/>
    <w:rsid w:val="004E30EB"/>
    <w:rsid w:val="004E469E"/>
    <w:rsid w:val="004F0802"/>
    <w:rsid w:val="004F0F86"/>
    <w:rsid w:val="005060F2"/>
    <w:rsid w:val="005073B3"/>
    <w:rsid w:val="0051794B"/>
    <w:rsid w:val="005276F3"/>
    <w:rsid w:val="00543B18"/>
    <w:rsid w:val="00547576"/>
    <w:rsid w:val="005513EB"/>
    <w:rsid w:val="00555116"/>
    <w:rsid w:val="00560770"/>
    <w:rsid w:val="00562350"/>
    <w:rsid w:val="005634A5"/>
    <w:rsid w:val="00563563"/>
    <w:rsid w:val="00576C24"/>
    <w:rsid w:val="00584AEC"/>
    <w:rsid w:val="005859F8"/>
    <w:rsid w:val="00586442"/>
    <w:rsid w:val="005905BB"/>
    <w:rsid w:val="00590D98"/>
    <w:rsid w:val="00597C50"/>
    <w:rsid w:val="005C2987"/>
    <w:rsid w:val="005C33F6"/>
    <w:rsid w:val="005D7577"/>
    <w:rsid w:val="005D7BF9"/>
    <w:rsid w:val="005E023E"/>
    <w:rsid w:val="005E2B8D"/>
    <w:rsid w:val="005E6580"/>
    <w:rsid w:val="005F2806"/>
    <w:rsid w:val="005F3223"/>
    <w:rsid w:val="005F66D6"/>
    <w:rsid w:val="006265B7"/>
    <w:rsid w:val="00630CC8"/>
    <w:rsid w:val="00635F20"/>
    <w:rsid w:val="00637540"/>
    <w:rsid w:val="006427BA"/>
    <w:rsid w:val="00643500"/>
    <w:rsid w:val="00646789"/>
    <w:rsid w:val="00652314"/>
    <w:rsid w:val="0065461C"/>
    <w:rsid w:val="00660B37"/>
    <w:rsid w:val="00661C4F"/>
    <w:rsid w:val="00671C6D"/>
    <w:rsid w:val="00673A23"/>
    <w:rsid w:val="00680BF6"/>
    <w:rsid w:val="0069696D"/>
    <w:rsid w:val="006A0F3F"/>
    <w:rsid w:val="006A2A2A"/>
    <w:rsid w:val="006A422B"/>
    <w:rsid w:val="006A48AC"/>
    <w:rsid w:val="006B451C"/>
    <w:rsid w:val="006B695F"/>
    <w:rsid w:val="006D0AC8"/>
    <w:rsid w:val="006F1C73"/>
    <w:rsid w:val="006F1FE5"/>
    <w:rsid w:val="006F391B"/>
    <w:rsid w:val="00705669"/>
    <w:rsid w:val="007074CD"/>
    <w:rsid w:val="007074EB"/>
    <w:rsid w:val="00710B3F"/>
    <w:rsid w:val="00712FBD"/>
    <w:rsid w:val="0071662E"/>
    <w:rsid w:val="007238E8"/>
    <w:rsid w:val="007300CE"/>
    <w:rsid w:val="00731C78"/>
    <w:rsid w:val="007339F7"/>
    <w:rsid w:val="007343F9"/>
    <w:rsid w:val="0074787E"/>
    <w:rsid w:val="00747E44"/>
    <w:rsid w:val="007507DA"/>
    <w:rsid w:val="007552E2"/>
    <w:rsid w:val="00756A3A"/>
    <w:rsid w:val="00762084"/>
    <w:rsid w:val="0076596F"/>
    <w:rsid w:val="00772046"/>
    <w:rsid w:val="0078230B"/>
    <w:rsid w:val="0079006A"/>
    <w:rsid w:val="00791977"/>
    <w:rsid w:val="00796ED5"/>
    <w:rsid w:val="00797FF3"/>
    <w:rsid w:val="007B1BA1"/>
    <w:rsid w:val="007B289B"/>
    <w:rsid w:val="007B3095"/>
    <w:rsid w:val="007D621E"/>
    <w:rsid w:val="007E161F"/>
    <w:rsid w:val="007E21BF"/>
    <w:rsid w:val="007E2A08"/>
    <w:rsid w:val="007E628C"/>
    <w:rsid w:val="007F6BC8"/>
    <w:rsid w:val="0080189D"/>
    <w:rsid w:val="00807A5C"/>
    <w:rsid w:val="00812471"/>
    <w:rsid w:val="00817AC3"/>
    <w:rsid w:val="0082626A"/>
    <w:rsid w:val="0083140A"/>
    <w:rsid w:val="00832773"/>
    <w:rsid w:val="00832B30"/>
    <w:rsid w:val="008373AE"/>
    <w:rsid w:val="00842D69"/>
    <w:rsid w:val="00843DB7"/>
    <w:rsid w:val="00844F61"/>
    <w:rsid w:val="008470EC"/>
    <w:rsid w:val="00856C93"/>
    <w:rsid w:val="00860ABB"/>
    <w:rsid w:val="00861A19"/>
    <w:rsid w:val="0087081C"/>
    <w:rsid w:val="00882392"/>
    <w:rsid w:val="008A0355"/>
    <w:rsid w:val="008A1D31"/>
    <w:rsid w:val="008A7226"/>
    <w:rsid w:val="008B33E3"/>
    <w:rsid w:val="008B5DC9"/>
    <w:rsid w:val="008C3308"/>
    <w:rsid w:val="008C33BC"/>
    <w:rsid w:val="008D1D03"/>
    <w:rsid w:val="008D26AA"/>
    <w:rsid w:val="008D6C9B"/>
    <w:rsid w:val="008E511A"/>
    <w:rsid w:val="008E5B14"/>
    <w:rsid w:val="0090006B"/>
    <w:rsid w:val="00904152"/>
    <w:rsid w:val="00904B5A"/>
    <w:rsid w:val="00907C0E"/>
    <w:rsid w:val="009248B1"/>
    <w:rsid w:val="009347E1"/>
    <w:rsid w:val="00941ECD"/>
    <w:rsid w:val="00953A75"/>
    <w:rsid w:val="009574A5"/>
    <w:rsid w:val="0096201C"/>
    <w:rsid w:val="0096743C"/>
    <w:rsid w:val="009704EF"/>
    <w:rsid w:val="00970DB6"/>
    <w:rsid w:val="00980422"/>
    <w:rsid w:val="00992007"/>
    <w:rsid w:val="009931E1"/>
    <w:rsid w:val="009A32D6"/>
    <w:rsid w:val="009A7E2A"/>
    <w:rsid w:val="009C2789"/>
    <w:rsid w:val="009C31AE"/>
    <w:rsid w:val="009C49AA"/>
    <w:rsid w:val="009C79FA"/>
    <w:rsid w:val="009D1DD5"/>
    <w:rsid w:val="009D390C"/>
    <w:rsid w:val="009D690A"/>
    <w:rsid w:val="009D717F"/>
    <w:rsid w:val="009E129B"/>
    <w:rsid w:val="009E1624"/>
    <w:rsid w:val="009E68A0"/>
    <w:rsid w:val="009E7DD0"/>
    <w:rsid w:val="009F3E0C"/>
    <w:rsid w:val="009F74F5"/>
    <w:rsid w:val="00A00947"/>
    <w:rsid w:val="00A02EAE"/>
    <w:rsid w:val="00A058EC"/>
    <w:rsid w:val="00A1259E"/>
    <w:rsid w:val="00A32313"/>
    <w:rsid w:val="00A46BFB"/>
    <w:rsid w:val="00A47BF6"/>
    <w:rsid w:val="00A533B3"/>
    <w:rsid w:val="00A60195"/>
    <w:rsid w:val="00A724EC"/>
    <w:rsid w:val="00A73AB2"/>
    <w:rsid w:val="00A76662"/>
    <w:rsid w:val="00A83E03"/>
    <w:rsid w:val="00A8515C"/>
    <w:rsid w:val="00A9217E"/>
    <w:rsid w:val="00AA60CB"/>
    <w:rsid w:val="00AA6374"/>
    <w:rsid w:val="00AB2B30"/>
    <w:rsid w:val="00AE1039"/>
    <w:rsid w:val="00AE288C"/>
    <w:rsid w:val="00AE35F4"/>
    <w:rsid w:val="00AF799A"/>
    <w:rsid w:val="00B00397"/>
    <w:rsid w:val="00B05DB0"/>
    <w:rsid w:val="00B20C80"/>
    <w:rsid w:val="00B21D77"/>
    <w:rsid w:val="00B2237C"/>
    <w:rsid w:val="00B23F19"/>
    <w:rsid w:val="00B26328"/>
    <w:rsid w:val="00B2666D"/>
    <w:rsid w:val="00B26B63"/>
    <w:rsid w:val="00B27987"/>
    <w:rsid w:val="00B31A8A"/>
    <w:rsid w:val="00B41453"/>
    <w:rsid w:val="00B42161"/>
    <w:rsid w:val="00B47924"/>
    <w:rsid w:val="00B65300"/>
    <w:rsid w:val="00B6753A"/>
    <w:rsid w:val="00B706D2"/>
    <w:rsid w:val="00B768AA"/>
    <w:rsid w:val="00B82F1A"/>
    <w:rsid w:val="00B86B38"/>
    <w:rsid w:val="00B97242"/>
    <w:rsid w:val="00BA6D58"/>
    <w:rsid w:val="00BB5CA7"/>
    <w:rsid w:val="00BB6851"/>
    <w:rsid w:val="00BC65EA"/>
    <w:rsid w:val="00BC6ED1"/>
    <w:rsid w:val="00BE5D9E"/>
    <w:rsid w:val="00C0093A"/>
    <w:rsid w:val="00C10ADF"/>
    <w:rsid w:val="00C152F7"/>
    <w:rsid w:val="00C25FF6"/>
    <w:rsid w:val="00C34CB8"/>
    <w:rsid w:val="00C366A3"/>
    <w:rsid w:val="00C37204"/>
    <w:rsid w:val="00C51188"/>
    <w:rsid w:val="00C524C2"/>
    <w:rsid w:val="00C62F21"/>
    <w:rsid w:val="00C7137A"/>
    <w:rsid w:val="00C724E1"/>
    <w:rsid w:val="00C76291"/>
    <w:rsid w:val="00C82FA5"/>
    <w:rsid w:val="00C86AA1"/>
    <w:rsid w:val="00C96630"/>
    <w:rsid w:val="00CA3678"/>
    <w:rsid w:val="00CA36DF"/>
    <w:rsid w:val="00CA51B5"/>
    <w:rsid w:val="00CA78D0"/>
    <w:rsid w:val="00CB3983"/>
    <w:rsid w:val="00CB3D28"/>
    <w:rsid w:val="00CB4FFE"/>
    <w:rsid w:val="00CB59F2"/>
    <w:rsid w:val="00CC341A"/>
    <w:rsid w:val="00CD0422"/>
    <w:rsid w:val="00CD061F"/>
    <w:rsid w:val="00CD7340"/>
    <w:rsid w:val="00CF1EC0"/>
    <w:rsid w:val="00CF5F9F"/>
    <w:rsid w:val="00CF6E9E"/>
    <w:rsid w:val="00CF77C8"/>
    <w:rsid w:val="00D04462"/>
    <w:rsid w:val="00D061CE"/>
    <w:rsid w:val="00D1078D"/>
    <w:rsid w:val="00D15CA1"/>
    <w:rsid w:val="00D20419"/>
    <w:rsid w:val="00D20D13"/>
    <w:rsid w:val="00D231E5"/>
    <w:rsid w:val="00D326D3"/>
    <w:rsid w:val="00D3462D"/>
    <w:rsid w:val="00D36DFB"/>
    <w:rsid w:val="00D42390"/>
    <w:rsid w:val="00D43792"/>
    <w:rsid w:val="00D44D35"/>
    <w:rsid w:val="00D44D5F"/>
    <w:rsid w:val="00D4626C"/>
    <w:rsid w:val="00D46B40"/>
    <w:rsid w:val="00D46D19"/>
    <w:rsid w:val="00D521F7"/>
    <w:rsid w:val="00D638A2"/>
    <w:rsid w:val="00D7608E"/>
    <w:rsid w:val="00D81C24"/>
    <w:rsid w:val="00DA45A5"/>
    <w:rsid w:val="00DA5D59"/>
    <w:rsid w:val="00DB00D7"/>
    <w:rsid w:val="00DB42E4"/>
    <w:rsid w:val="00DC2621"/>
    <w:rsid w:val="00DC2A0E"/>
    <w:rsid w:val="00DC5466"/>
    <w:rsid w:val="00DC776B"/>
    <w:rsid w:val="00DD1454"/>
    <w:rsid w:val="00DD314E"/>
    <w:rsid w:val="00DE14A7"/>
    <w:rsid w:val="00DE284C"/>
    <w:rsid w:val="00DF6AD9"/>
    <w:rsid w:val="00E10481"/>
    <w:rsid w:val="00E13E4F"/>
    <w:rsid w:val="00E1405B"/>
    <w:rsid w:val="00E1584E"/>
    <w:rsid w:val="00E20F95"/>
    <w:rsid w:val="00E24838"/>
    <w:rsid w:val="00E277E1"/>
    <w:rsid w:val="00E3151B"/>
    <w:rsid w:val="00E42CB6"/>
    <w:rsid w:val="00E5464E"/>
    <w:rsid w:val="00E567EB"/>
    <w:rsid w:val="00E611DA"/>
    <w:rsid w:val="00E61CAD"/>
    <w:rsid w:val="00E65DFC"/>
    <w:rsid w:val="00E7098D"/>
    <w:rsid w:val="00E828C4"/>
    <w:rsid w:val="00E96D30"/>
    <w:rsid w:val="00EA2289"/>
    <w:rsid w:val="00EA277D"/>
    <w:rsid w:val="00EA49FA"/>
    <w:rsid w:val="00EA62E0"/>
    <w:rsid w:val="00EC14DA"/>
    <w:rsid w:val="00EC3653"/>
    <w:rsid w:val="00EC37F4"/>
    <w:rsid w:val="00ED3EAD"/>
    <w:rsid w:val="00ED5D85"/>
    <w:rsid w:val="00EE3530"/>
    <w:rsid w:val="00EF198F"/>
    <w:rsid w:val="00F04315"/>
    <w:rsid w:val="00F07758"/>
    <w:rsid w:val="00F121FC"/>
    <w:rsid w:val="00F26653"/>
    <w:rsid w:val="00F31CF4"/>
    <w:rsid w:val="00F32A17"/>
    <w:rsid w:val="00F3655A"/>
    <w:rsid w:val="00F71C9E"/>
    <w:rsid w:val="00F7664A"/>
    <w:rsid w:val="00F85CC4"/>
    <w:rsid w:val="00F86B41"/>
    <w:rsid w:val="00F94019"/>
    <w:rsid w:val="00F96D5D"/>
    <w:rsid w:val="00F970AE"/>
    <w:rsid w:val="00FA1D27"/>
    <w:rsid w:val="00FA457F"/>
    <w:rsid w:val="00FA7160"/>
    <w:rsid w:val="00FA7597"/>
    <w:rsid w:val="00FB507A"/>
    <w:rsid w:val="00FB5AC4"/>
    <w:rsid w:val="00FB6A92"/>
    <w:rsid w:val="00FC6675"/>
    <w:rsid w:val="00FC6B39"/>
    <w:rsid w:val="00FD3499"/>
    <w:rsid w:val="00FE17DE"/>
    <w:rsid w:val="00FE2085"/>
    <w:rsid w:val="00FE3CFC"/>
    <w:rsid w:val="00FF37BA"/>
    <w:rsid w:val="00FF4CA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795A"/>
  <w15:docId w15:val="{5C6649FA-FAC2-43AB-A008-C59EFF6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6442-00C5-4C2D-A0AE-78EE0D09F740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719f2f48-e82b-4af2-ba57-9e7ba8cce623"/>
    <ds:schemaRef ds:uri="http://schemas.microsoft.com/office/2006/documentManagement/types"/>
    <ds:schemaRef ds:uri="http://schemas.microsoft.com/office/infopath/2007/PartnerControls"/>
    <ds:schemaRef ds:uri="d2811805-4cad-4ed1-a948-ebb0acb1a4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0E88EF-38E0-4B10-B244-BF730299E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3E734-CAED-4352-B617-212A3D69E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34A99-87A7-4963-99A0-5E69C9F0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2680</Words>
  <Characters>1529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2019-12-20T06:05:00Z</cp:lastPrinted>
  <dcterms:created xsi:type="dcterms:W3CDTF">2022-01-26T06:04:00Z</dcterms:created>
  <dcterms:modified xsi:type="dcterms:W3CDTF">2022-01-26T06:04:00Z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