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2013" w14:textId="00B54E2A" w:rsidR="0036662A" w:rsidRDefault="0036662A" w:rsidP="0036662A">
      <w:pPr>
        <w:jc w:val="center"/>
        <w:rPr>
          <w:b/>
          <w:bCs/>
        </w:rPr>
      </w:pPr>
      <w:r>
        <w:rPr>
          <w:b/>
          <w:bCs/>
        </w:rPr>
        <w:t>LIETU</w:t>
      </w:r>
      <w:r w:rsidR="00E6314B">
        <w:rPr>
          <w:b/>
          <w:bCs/>
        </w:rPr>
        <w:t xml:space="preserve">VOS RESPUBLIKOS </w:t>
      </w:r>
      <w:r w:rsidR="00E6314B" w:rsidRPr="002039C1">
        <w:rPr>
          <w:b/>
          <w:caps/>
          <w:szCs w:val="24"/>
        </w:rPr>
        <w:t xml:space="preserve">EKONOMIKOS IR INOVACIJŲ </w:t>
      </w:r>
      <w:r>
        <w:rPr>
          <w:b/>
          <w:bCs/>
        </w:rPr>
        <w:t>MINISTERIJA</w:t>
      </w:r>
    </w:p>
    <w:p w14:paraId="415F2014" w14:textId="77777777" w:rsidR="0036662A" w:rsidRDefault="0036662A" w:rsidP="0036662A">
      <w:pPr>
        <w:jc w:val="center"/>
        <w:rPr>
          <w:b/>
          <w:bCs/>
        </w:rPr>
      </w:pPr>
    </w:p>
    <w:p w14:paraId="415F2015" w14:textId="2C4C1137" w:rsidR="0036662A" w:rsidRDefault="0036662A" w:rsidP="0036662A">
      <w:pPr>
        <w:jc w:val="center"/>
        <w:rPr>
          <w:b/>
          <w:bCs/>
        </w:rPr>
      </w:pPr>
      <w:r>
        <w:rPr>
          <w:b/>
          <w:bCs/>
        </w:rPr>
        <w:t>SOCIALINIŲ IR EKONOMINIŲ PARTNERIŲ PATEIKTŲ PASTABŲ IR PASIŪLYMŲ DĖL 2014–2020 METŲ EUROPOS SĄJUNGOS FONDŲ INVE</w:t>
      </w:r>
      <w:r w:rsidR="00696DEF">
        <w:rPr>
          <w:b/>
          <w:bCs/>
        </w:rPr>
        <w:t>STICIJŲ VEIKSMŲ PROGRAMOS 3</w:t>
      </w:r>
      <w:r>
        <w:rPr>
          <w:b/>
          <w:bCs/>
        </w:rPr>
        <w:t xml:space="preserve"> PRIORITETO „</w:t>
      </w:r>
      <w:r w:rsidR="004121E6" w:rsidRPr="009E1C89">
        <w:rPr>
          <w:b/>
          <w:bCs/>
          <w:caps/>
          <w:szCs w:val="24"/>
        </w:rPr>
        <w:t>smulkiojo ir vidutinio verslo konkurencingumo skatinimas“</w:t>
      </w:r>
      <w:r w:rsidR="00696DEF">
        <w:rPr>
          <w:b/>
          <w:bCs/>
        </w:rPr>
        <w:t xml:space="preserve"> PRIEMONĖS</w:t>
      </w:r>
      <w:r w:rsidR="00696DEF" w:rsidRPr="009E1C89">
        <w:rPr>
          <w:b/>
          <w:bCs/>
          <w:caps/>
          <w:szCs w:val="24"/>
        </w:rPr>
        <w:t xml:space="preserve"> </w:t>
      </w:r>
      <w:r w:rsidR="00696DEF" w:rsidRPr="009E1C89">
        <w:rPr>
          <w:b/>
          <w:kern w:val="16"/>
          <w:szCs w:val="24"/>
        </w:rPr>
        <w:t>N</w:t>
      </w:r>
      <w:r w:rsidR="00453F8F">
        <w:rPr>
          <w:b/>
          <w:szCs w:val="24"/>
        </w:rPr>
        <w:t>R. 03.2.1-LVPA-K-80</w:t>
      </w:r>
      <w:r w:rsidR="0080619C">
        <w:rPr>
          <w:b/>
          <w:szCs w:val="24"/>
        </w:rPr>
        <w:t>2</w:t>
      </w:r>
      <w:r w:rsidR="00696DEF" w:rsidRPr="009E1C89">
        <w:rPr>
          <w:b/>
          <w:szCs w:val="24"/>
        </w:rPr>
        <w:t xml:space="preserve"> </w:t>
      </w:r>
      <w:r w:rsidR="00453F8F">
        <w:rPr>
          <w:rFonts w:eastAsia="Calibri"/>
          <w:b/>
          <w:szCs w:val="24"/>
        </w:rPr>
        <w:t>„</w:t>
      </w:r>
      <w:r w:rsidR="0080619C">
        <w:rPr>
          <w:rFonts w:eastAsia="Calibri"/>
          <w:b/>
          <w:szCs w:val="24"/>
        </w:rPr>
        <w:t>EXPO SERTIFIKATAS</w:t>
      </w:r>
      <w:r w:rsidR="00696DEF" w:rsidRPr="009E1C89">
        <w:rPr>
          <w:rFonts w:eastAsia="Calibri"/>
          <w:b/>
          <w:szCs w:val="24"/>
        </w:rPr>
        <w:t xml:space="preserve"> LT“</w:t>
      </w:r>
      <w:r w:rsidR="00696DEF" w:rsidRPr="009E1C89">
        <w:rPr>
          <w:b/>
          <w:bCs/>
          <w:caps/>
          <w:szCs w:val="24"/>
        </w:rPr>
        <w:t xml:space="preserve"> projektų finansa</w:t>
      </w:r>
      <w:r w:rsidR="00453F8F">
        <w:rPr>
          <w:b/>
          <w:bCs/>
          <w:caps/>
          <w:szCs w:val="24"/>
        </w:rPr>
        <w:t xml:space="preserve">vimo sąlygų aprašo nr. </w:t>
      </w:r>
      <w:r w:rsidR="00D119ED">
        <w:rPr>
          <w:b/>
          <w:bCs/>
          <w:caps/>
          <w:szCs w:val="24"/>
        </w:rPr>
        <w:t>4</w:t>
      </w:r>
      <w:r w:rsidR="00696DEF">
        <w:rPr>
          <w:b/>
          <w:bCs/>
          <w:caps/>
          <w:szCs w:val="24"/>
        </w:rPr>
        <w:t xml:space="preserve"> </w:t>
      </w:r>
      <w:r>
        <w:rPr>
          <w:b/>
          <w:bCs/>
        </w:rPr>
        <w:t>DERINIMAS</w:t>
      </w:r>
    </w:p>
    <w:p w14:paraId="415F2016"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415F2019" w14:textId="77777777" w:rsidTr="00335D39">
        <w:tc>
          <w:tcPr>
            <w:tcW w:w="6804" w:type="dxa"/>
          </w:tcPr>
          <w:p w14:paraId="415F2017" w14:textId="6EAABF3D"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r w:rsidR="008151B3">
              <w:rPr>
                <w:b/>
                <w:szCs w:val="24"/>
              </w:rPr>
              <w:t xml:space="preserve"> 202</w:t>
            </w:r>
            <w:r w:rsidR="00B75E41">
              <w:rPr>
                <w:b/>
                <w:szCs w:val="24"/>
              </w:rPr>
              <w:t>2-01-</w:t>
            </w:r>
            <w:r w:rsidR="00D119ED">
              <w:rPr>
                <w:b/>
                <w:szCs w:val="24"/>
              </w:rPr>
              <w:t>20</w:t>
            </w:r>
          </w:p>
        </w:tc>
        <w:tc>
          <w:tcPr>
            <w:tcW w:w="7938" w:type="dxa"/>
          </w:tcPr>
          <w:p w14:paraId="415F2018" w14:textId="77777777" w:rsidR="0036662A" w:rsidRDefault="0036662A" w:rsidP="00335D39">
            <w:pPr>
              <w:rPr>
                <w:szCs w:val="24"/>
              </w:rPr>
            </w:pPr>
          </w:p>
        </w:tc>
      </w:tr>
      <w:tr w:rsidR="0036662A" w14:paraId="415F201D" w14:textId="77777777" w:rsidTr="00335D39">
        <w:tc>
          <w:tcPr>
            <w:tcW w:w="6804" w:type="dxa"/>
          </w:tcPr>
          <w:p w14:paraId="415F201A"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415F201B"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415F201C" w14:textId="568E70AD" w:rsidR="0036662A" w:rsidRPr="007070FE" w:rsidRDefault="00126B32" w:rsidP="00DC3BA3">
            <w:sdt>
              <w:sdtPr>
                <w:id w:val="1312749902"/>
              </w:sdtPr>
              <w:sdtEndPr/>
              <w:sdtContent>
                <w:bookmarkStart w:id="0" w:name="Check1"/>
                <w:sdt>
                  <w:sdtPr>
                    <w:rPr>
                      <w:szCs w:val="24"/>
                    </w:rPr>
                    <w:id w:val="-523253346"/>
                  </w:sdtPr>
                  <w:sdtEndPr/>
                  <w:sdtContent>
                    <w:r w:rsidR="00F1207E">
                      <w:rPr>
                        <w:szCs w:val="24"/>
                      </w:rPr>
                      <w:fldChar w:fldCharType="begin">
                        <w:ffData>
                          <w:name w:val=""/>
                          <w:enabled/>
                          <w:calcOnExit w:val="0"/>
                          <w:checkBox>
                            <w:sizeAuto/>
                            <w:default w:val="1"/>
                          </w:checkBox>
                        </w:ffData>
                      </w:fldChar>
                    </w:r>
                    <w:r w:rsidR="00F1207E">
                      <w:rPr>
                        <w:szCs w:val="24"/>
                      </w:rPr>
                      <w:instrText xml:space="preserve"> FORMCHECKBOX </w:instrText>
                    </w:r>
                    <w:r>
                      <w:rPr>
                        <w:szCs w:val="24"/>
                      </w:rPr>
                    </w:r>
                    <w:r>
                      <w:rPr>
                        <w:szCs w:val="24"/>
                      </w:rPr>
                      <w:fldChar w:fldCharType="separate"/>
                    </w:r>
                    <w:r w:rsidR="00F1207E">
                      <w:rPr>
                        <w:szCs w:val="24"/>
                      </w:rPr>
                      <w:fldChar w:fldCharType="end"/>
                    </w:r>
                  </w:sdtContent>
                </w:sdt>
                <w:bookmarkEnd w:id="0"/>
                <w:r w:rsidR="0036662A">
                  <w:t xml:space="preserve"> </w:t>
                </w:r>
              </w:sdtContent>
            </w:sdt>
            <w:r w:rsidR="0036662A">
              <w:rPr>
                <w:szCs w:val="24"/>
              </w:rPr>
              <w:t xml:space="preserve">Taip </w:t>
            </w:r>
            <w:sdt>
              <w:sdtPr>
                <w:rPr>
                  <w:szCs w:val="24"/>
                </w:rPr>
                <w:id w:val="164368749"/>
              </w:sdtPr>
              <w:sdtEndPr/>
              <w:sdtContent>
                <w:sdt>
                  <w:sdtPr>
                    <w:id w:val="1764946617"/>
                  </w:sdtPr>
                  <w:sdtEndPr/>
                  <w:sdtContent>
                    <w:r w:rsidR="00DC3BA3">
                      <w:fldChar w:fldCharType="begin">
                        <w:ffData>
                          <w:name w:val="Check1"/>
                          <w:enabled/>
                          <w:calcOnExit w:val="0"/>
                          <w:checkBox>
                            <w:sizeAuto/>
                            <w:default w:val="0"/>
                          </w:checkBox>
                        </w:ffData>
                      </w:fldChar>
                    </w:r>
                    <w:r w:rsidR="00DC3BA3">
                      <w:instrText xml:space="preserve"> FORMCHECKBOX </w:instrText>
                    </w:r>
                    <w:r>
                      <w:fldChar w:fldCharType="separate"/>
                    </w:r>
                    <w:r w:rsidR="00DC3BA3">
                      <w:fldChar w:fldCharType="end"/>
                    </w:r>
                  </w:sdtContent>
                </w:sdt>
              </w:sdtContent>
            </w:sdt>
            <w:r w:rsidR="00DC3BA3">
              <w:rPr>
                <w:szCs w:val="24"/>
              </w:rPr>
              <w:t xml:space="preserve"> </w:t>
            </w:r>
            <w:r w:rsidR="0036662A">
              <w:rPr>
                <w:szCs w:val="24"/>
              </w:rPr>
              <w:t>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415F2021" w14:textId="77777777" w:rsidTr="00335D39">
        <w:tc>
          <w:tcPr>
            <w:tcW w:w="6804" w:type="dxa"/>
          </w:tcPr>
          <w:p w14:paraId="415F201E"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415F201F"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415F2020" w14:textId="46BCF999" w:rsidR="0036662A" w:rsidRDefault="00126B32" w:rsidP="00F1207E">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sdt>
                  <w:sdtPr>
                    <w:rPr>
                      <w:szCs w:val="24"/>
                    </w:rPr>
                    <w:id w:val="1111176446"/>
                  </w:sdtPr>
                  <w:sdtEndPr/>
                  <w:sdtContent>
                    <w:r w:rsidR="00F1207E">
                      <w:rPr>
                        <w:szCs w:val="24"/>
                      </w:rPr>
                      <w:fldChar w:fldCharType="begin">
                        <w:ffData>
                          <w:name w:val=""/>
                          <w:enabled/>
                          <w:calcOnExit w:val="0"/>
                          <w:checkBox>
                            <w:sizeAuto/>
                            <w:default w:val="1"/>
                          </w:checkBox>
                        </w:ffData>
                      </w:fldChar>
                    </w:r>
                    <w:r w:rsidR="00F1207E">
                      <w:rPr>
                        <w:szCs w:val="24"/>
                      </w:rPr>
                      <w:instrText xml:space="preserve"> FORMCHECKBOX </w:instrText>
                    </w:r>
                    <w:r>
                      <w:rPr>
                        <w:szCs w:val="24"/>
                      </w:rPr>
                    </w:r>
                    <w:r>
                      <w:rPr>
                        <w:szCs w:val="24"/>
                      </w:rPr>
                      <w:fldChar w:fldCharType="separate"/>
                    </w:r>
                    <w:r w:rsidR="00F1207E">
                      <w:rPr>
                        <w:szCs w:val="24"/>
                      </w:rPr>
                      <w:fldChar w:fldCharType="end"/>
                    </w:r>
                  </w:sdtContent>
                </w:sdt>
              </w:sdtContent>
            </w:sdt>
            <w:r w:rsidR="0036662A">
              <w:rPr>
                <w:szCs w:val="24"/>
              </w:rPr>
              <w:t xml:space="preserve"> Ne </w:t>
            </w:r>
          </w:p>
        </w:tc>
      </w:tr>
    </w:tbl>
    <w:p w14:paraId="415F2022" w14:textId="77777777" w:rsidR="0036662A" w:rsidRPr="00781CA4" w:rsidRDefault="0036662A" w:rsidP="0036662A">
      <w:pPr>
        <w:rPr>
          <w:szCs w:val="24"/>
        </w:rPr>
      </w:pPr>
    </w:p>
    <w:tbl>
      <w:tblPr>
        <w:tblStyle w:val="TableGrid"/>
        <w:tblW w:w="14914" w:type="dxa"/>
        <w:tblInd w:w="-147" w:type="dxa"/>
        <w:tblLayout w:type="fixed"/>
        <w:tblLook w:val="04A0" w:firstRow="1" w:lastRow="0" w:firstColumn="1" w:lastColumn="0" w:noHBand="0" w:noVBand="1"/>
      </w:tblPr>
      <w:tblGrid>
        <w:gridCol w:w="568"/>
        <w:gridCol w:w="1985"/>
        <w:gridCol w:w="6266"/>
        <w:gridCol w:w="6095"/>
      </w:tblGrid>
      <w:tr w:rsidR="0036662A" w:rsidRPr="00781CA4" w14:paraId="415F2027" w14:textId="77777777" w:rsidTr="301D159F">
        <w:tc>
          <w:tcPr>
            <w:tcW w:w="568" w:type="dxa"/>
          </w:tcPr>
          <w:p w14:paraId="415F2023" w14:textId="77777777" w:rsidR="0036662A" w:rsidRPr="00781CA4" w:rsidRDefault="0036662A" w:rsidP="00335D39">
            <w:pPr>
              <w:jc w:val="center"/>
              <w:rPr>
                <w:b/>
                <w:szCs w:val="24"/>
              </w:rPr>
            </w:pPr>
            <w:r w:rsidRPr="00781CA4">
              <w:rPr>
                <w:b/>
                <w:szCs w:val="24"/>
              </w:rPr>
              <w:t>Nr.</w:t>
            </w:r>
          </w:p>
        </w:tc>
        <w:tc>
          <w:tcPr>
            <w:tcW w:w="1985" w:type="dxa"/>
          </w:tcPr>
          <w:p w14:paraId="415F2024" w14:textId="77777777" w:rsidR="0036662A" w:rsidRPr="00781CA4" w:rsidRDefault="0036662A" w:rsidP="00335D39">
            <w:pPr>
              <w:jc w:val="center"/>
              <w:rPr>
                <w:b/>
                <w:szCs w:val="24"/>
              </w:rPr>
            </w:pPr>
            <w:r w:rsidRPr="00781CA4">
              <w:rPr>
                <w:b/>
                <w:szCs w:val="24"/>
              </w:rPr>
              <w:t>Institucija</w:t>
            </w:r>
          </w:p>
        </w:tc>
        <w:tc>
          <w:tcPr>
            <w:tcW w:w="6266" w:type="dxa"/>
          </w:tcPr>
          <w:p w14:paraId="415F2025" w14:textId="77777777" w:rsidR="0036662A" w:rsidRPr="00781CA4" w:rsidRDefault="0036662A" w:rsidP="00335D39">
            <w:pPr>
              <w:jc w:val="center"/>
              <w:rPr>
                <w:b/>
                <w:szCs w:val="24"/>
              </w:rPr>
            </w:pPr>
            <w:r>
              <w:rPr>
                <w:b/>
                <w:bCs/>
              </w:rPr>
              <w:t>Pastabos ir pasiūlymai</w:t>
            </w:r>
          </w:p>
        </w:tc>
        <w:tc>
          <w:tcPr>
            <w:tcW w:w="6095" w:type="dxa"/>
          </w:tcPr>
          <w:p w14:paraId="415F2026"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F24643" w:rsidRPr="00781CA4" w14:paraId="415F202C" w14:textId="77777777" w:rsidTr="301D159F">
        <w:tc>
          <w:tcPr>
            <w:tcW w:w="568" w:type="dxa"/>
            <w:vMerge w:val="restart"/>
          </w:tcPr>
          <w:p w14:paraId="415F2028" w14:textId="77777777" w:rsidR="00F24643" w:rsidRPr="0038099D" w:rsidRDefault="00F24643" w:rsidP="0036662A">
            <w:pPr>
              <w:pStyle w:val="ListParagraph"/>
              <w:numPr>
                <w:ilvl w:val="0"/>
                <w:numId w:val="1"/>
              </w:numPr>
              <w:jc w:val="both"/>
            </w:pPr>
          </w:p>
        </w:tc>
        <w:tc>
          <w:tcPr>
            <w:tcW w:w="1985" w:type="dxa"/>
            <w:vMerge w:val="restart"/>
          </w:tcPr>
          <w:p w14:paraId="6BD22802" w14:textId="77777777" w:rsidR="00F24643" w:rsidRPr="00237AED" w:rsidRDefault="00F24643" w:rsidP="00237AED">
            <w:pPr>
              <w:tabs>
                <w:tab w:val="left" w:pos="0"/>
                <w:tab w:val="left" w:pos="1843"/>
              </w:tabs>
              <w:jc w:val="center"/>
              <w:rPr>
                <w:b/>
                <w:szCs w:val="24"/>
              </w:rPr>
            </w:pPr>
            <w:r w:rsidRPr="00237AED">
              <w:rPr>
                <w:b/>
                <w:szCs w:val="24"/>
              </w:rPr>
              <w:t>Lietuvos prekybos, pramonės ir</w:t>
            </w:r>
          </w:p>
          <w:p w14:paraId="7855B4DB" w14:textId="77777777" w:rsidR="00F24643" w:rsidRPr="00237AED" w:rsidRDefault="00F24643" w:rsidP="00237AED">
            <w:pPr>
              <w:jc w:val="center"/>
              <w:rPr>
                <w:b/>
                <w:szCs w:val="24"/>
              </w:rPr>
            </w:pPr>
            <w:r w:rsidRPr="00237AED">
              <w:rPr>
                <w:b/>
                <w:szCs w:val="24"/>
              </w:rPr>
              <w:t>amatų rūmų asociacija</w:t>
            </w:r>
          </w:p>
          <w:p w14:paraId="202BD6E3" w14:textId="77777777" w:rsidR="00F24643" w:rsidRPr="00A96633" w:rsidRDefault="00F24643" w:rsidP="00A96633">
            <w:pPr>
              <w:rPr>
                <w:b/>
                <w:szCs w:val="24"/>
              </w:rPr>
            </w:pPr>
          </w:p>
          <w:p w14:paraId="415F2029" w14:textId="77777777" w:rsidR="00F24643" w:rsidRPr="0038099D" w:rsidRDefault="00F24643" w:rsidP="00335D39"/>
        </w:tc>
        <w:tc>
          <w:tcPr>
            <w:tcW w:w="6266" w:type="dxa"/>
          </w:tcPr>
          <w:p w14:paraId="69A3829E" w14:textId="77777777" w:rsidR="00F24643" w:rsidRPr="00CA1535" w:rsidRDefault="00F24643" w:rsidP="00687403">
            <w:pPr>
              <w:jc w:val="both"/>
              <w:rPr>
                <w:rFonts w:eastAsia="Calibri"/>
                <w:szCs w:val="24"/>
              </w:rPr>
            </w:pPr>
            <w:r w:rsidRPr="00CA1535">
              <w:rPr>
                <w:rFonts w:eastAsia="Calibri"/>
                <w:szCs w:val="24"/>
              </w:rPr>
              <w:t xml:space="preserve">4.7. Produkcijos sertifikavimo išlaidos – pareiškėjo lėšos, kuriomis sumokėta už produkcijos sertifikavimą ir (ar) privalomą registravimą, įskaitant reikalingus bandymus ir tyrimus. </w:t>
            </w:r>
          </w:p>
          <w:p w14:paraId="4EB68CE6" w14:textId="77777777" w:rsidR="00F24643" w:rsidRPr="00CA1535" w:rsidRDefault="00F24643" w:rsidP="00687403">
            <w:pPr>
              <w:jc w:val="both"/>
              <w:rPr>
                <w:rFonts w:eastAsia="Calibri"/>
                <w:szCs w:val="24"/>
              </w:rPr>
            </w:pPr>
            <w:r w:rsidRPr="00CA1535">
              <w:rPr>
                <w:rFonts w:eastAsia="Calibri"/>
                <w:szCs w:val="24"/>
              </w:rPr>
              <w:t xml:space="preserve">Reikia papildyti punkto </w:t>
            </w:r>
          </w:p>
          <w:p w14:paraId="4C483569" w14:textId="77777777" w:rsidR="00F24643" w:rsidRPr="00CA1535" w:rsidRDefault="00F24643" w:rsidP="00687403">
            <w:pPr>
              <w:shd w:val="clear" w:color="auto" w:fill="FFFFFF"/>
              <w:jc w:val="both"/>
              <w:rPr>
                <w:rFonts w:eastAsia="Calibri"/>
                <w:bCs/>
                <w:szCs w:val="24"/>
              </w:rPr>
            </w:pPr>
            <w:r w:rsidRPr="00CA1535">
              <w:rPr>
                <w:rFonts w:eastAsia="Calibri"/>
                <w:szCs w:val="24"/>
              </w:rPr>
              <w:t xml:space="preserve">39. Pagal Aprašą tinkamų arba netinkamų finansuoti išlaidų kategorijos yra nustatytos Aprašo lentelės 5 dalį </w:t>
            </w:r>
            <w:r w:rsidRPr="00CA1535">
              <w:rPr>
                <w:rFonts w:eastAsia="Calibri"/>
                <w:b/>
                <w:szCs w:val="24"/>
              </w:rPr>
              <w:t>„</w:t>
            </w:r>
            <w:r w:rsidRPr="00CA1535">
              <w:rPr>
                <w:rFonts w:eastAsia="Calibri"/>
                <w:b/>
                <w:bCs/>
                <w:szCs w:val="24"/>
              </w:rPr>
              <w:t>Projekto vykdymas“,</w:t>
            </w:r>
            <w:r w:rsidRPr="00CA1535">
              <w:rPr>
                <w:rFonts w:eastAsia="Calibri"/>
                <w:bCs/>
                <w:szCs w:val="24"/>
              </w:rPr>
              <w:t xml:space="preserve"> nes jame nėra numatytos išlaidos privalomam registravimui. </w:t>
            </w:r>
          </w:p>
          <w:p w14:paraId="0935DF87" w14:textId="77777777" w:rsidR="00F24643" w:rsidRPr="00CA1535" w:rsidRDefault="00F24643" w:rsidP="00687403">
            <w:pPr>
              <w:shd w:val="clear" w:color="auto" w:fill="FFFFFF"/>
              <w:jc w:val="both"/>
              <w:rPr>
                <w:rFonts w:eastAsia="Calibri"/>
                <w:bCs/>
                <w:szCs w:val="24"/>
              </w:rPr>
            </w:pPr>
          </w:p>
          <w:p w14:paraId="72CD0479" w14:textId="77777777" w:rsidR="00F24643" w:rsidRPr="00CA1535" w:rsidRDefault="00F24643" w:rsidP="00687403">
            <w:pPr>
              <w:shd w:val="clear" w:color="auto" w:fill="FFFFFF"/>
              <w:jc w:val="both"/>
              <w:rPr>
                <w:rFonts w:eastAsia="Calibri"/>
                <w:szCs w:val="24"/>
              </w:rPr>
            </w:pPr>
            <w:r w:rsidRPr="00CA1535">
              <w:rPr>
                <w:rFonts w:eastAsia="Calibri"/>
                <w:bCs/>
                <w:szCs w:val="24"/>
              </w:rPr>
              <w:t xml:space="preserve">Dalyje šalių reikalinga produktų privaloma registracija, be kurios produktai negali būti parduodami konkrečioje šalyje. Dalies kaštų reikalingų privalomam produktų registravimui padėtų įmonėms įeiti į tam tikras rinkas ir užtikrinti savo </w:t>
            </w:r>
            <w:r w:rsidRPr="00CA1535">
              <w:rPr>
                <w:rFonts w:eastAsia="Calibri"/>
                <w:bCs/>
                <w:szCs w:val="24"/>
                <w:shd w:val="clear" w:color="auto" w:fill="FFFFFF"/>
              </w:rPr>
              <w:t xml:space="preserve">konkurencingumą. Tai atspindėti pilnai priemonės tikslą - </w:t>
            </w:r>
            <w:r w:rsidRPr="00CA1535">
              <w:rPr>
                <w:rFonts w:eastAsia="Calibri"/>
                <w:szCs w:val="24"/>
                <w:shd w:val="clear" w:color="auto" w:fill="FFFFFF"/>
              </w:rPr>
              <w:t xml:space="preserve">paskatinti įmonių </w:t>
            </w:r>
            <w:proofErr w:type="spellStart"/>
            <w:r w:rsidRPr="00CA1535">
              <w:rPr>
                <w:rFonts w:eastAsia="Calibri"/>
                <w:szCs w:val="24"/>
                <w:shd w:val="clear" w:color="auto" w:fill="FFFFFF"/>
              </w:rPr>
              <w:t>tarptautiškumą</w:t>
            </w:r>
            <w:proofErr w:type="spellEnd"/>
            <w:r w:rsidRPr="00CA1535">
              <w:rPr>
                <w:rFonts w:eastAsia="Calibri"/>
                <w:szCs w:val="24"/>
                <w:shd w:val="clear" w:color="auto" w:fill="FFFFFF"/>
              </w:rPr>
              <w:t>, teikiant paramą planuojamai eksportuoti produkcijai sertifikuoti, tai padėtų tarptautinėse rinkose sukurti teigiamą įvaizdį, kad Lietuvos Respublikos įmonės teikia kokybiškus ir tarptautinius standartus atitinkančius produktus</w:t>
            </w:r>
            <w:r w:rsidRPr="00CA1535">
              <w:rPr>
                <w:rFonts w:eastAsia="Calibri"/>
                <w:i/>
                <w:szCs w:val="24"/>
                <w:shd w:val="clear" w:color="auto" w:fill="FFFFFF"/>
              </w:rPr>
              <w:t>.</w:t>
            </w:r>
          </w:p>
          <w:p w14:paraId="2437A8AB" w14:textId="4E9412EC" w:rsidR="00F24643" w:rsidRPr="00260441" w:rsidRDefault="00F24643" w:rsidP="00687403">
            <w:pPr>
              <w:shd w:val="clear" w:color="auto" w:fill="FFFFFF"/>
              <w:jc w:val="both"/>
              <w:rPr>
                <w:rFonts w:eastAsia="Calibri"/>
                <w:szCs w:val="24"/>
              </w:rPr>
            </w:pPr>
            <w:r w:rsidRPr="00260441">
              <w:rPr>
                <w:rFonts w:eastAsia="Calibri"/>
                <w:bCs/>
                <w:szCs w:val="24"/>
              </w:rPr>
              <w:t xml:space="preserve">Pvz.: </w:t>
            </w:r>
            <w:r w:rsidRPr="00260441">
              <w:rPr>
                <w:rFonts w:eastAsia="Calibri"/>
                <w:szCs w:val="24"/>
              </w:rPr>
              <w:t xml:space="preserve">Biotechnologiniai produktai sukurti Lietuvoje ir skirti augalininkystei ir gyvulininkystei, kad pasiektų kitas rinkas, turi būti jose registruoti, registracija trunka nuo 5 mėn. iki 24 mėn. priklausomai nuo valstybės. Produktas skirtas B2B segmentui, t. y. tos kitos šalies distributorius negali dirbti su Lietuvos įmone, kol produktai nebus registruoti. </w:t>
            </w:r>
          </w:p>
          <w:p w14:paraId="415F202A" w14:textId="4856FBD2" w:rsidR="00F24643" w:rsidRPr="00CA1535" w:rsidRDefault="00F24643" w:rsidP="00687403">
            <w:pPr>
              <w:shd w:val="clear" w:color="auto" w:fill="FFFFFF"/>
              <w:jc w:val="both"/>
              <w:rPr>
                <w:rFonts w:eastAsia="Calibri"/>
                <w:color w:val="222222"/>
                <w:szCs w:val="24"/>
              </w:rPr>
            </w:pPr>
            <w:r w:rsidRPr="00260441">
              <w:rPr>
                <w:rFonts w:eastAsia="Calibri"/>
                <w:szCs w:val="24"/>
              </w:rPr>
              <w:t xml:space="preserve">Registracijos kainos labai įvairios priklausomai nuo šalies ir gali siekti nuo kelių tūkstančių </w:t>
            </w:r>
            <w:proofErr w:type="spellStart"/>
            <w:r w:rsidRPr="00260441">
              <w:rPr>
                <w:rFonts w:eastAsia="Calibri"/>
                <w:szCs w:val="24"/>
              </w:rPr>
              <w:t>Eur</w:t>
            </w:r>
            <w:proofErr w:type="spellEnd"/>
            <w:r w:rsidRPr="00260441">
              <w:rPr>
                <w:rFonts w:eastAsia="Calibri"/>
                <w:szCs w:val="24"/>
              </w:rPr>
              <w:t xml:space="preserve"> iki 250K EUR. </w:t>
            </w:r>
          </w:p>
        </w:tc>
        <w:tc>
          <w:tcPr>
            <w:tcW w:w="6095" w:type="dxa"/>
          </w:tcPr>
          <w:p w14:paraId="20771E42" w14:textId="77777777" w:rsidR="00F24643" w:rsidRDefault="004A7CAC" w:rsidP="008F48D3">
            <w:r>
              <w:t>Atsižvelgta</w:t>
            </w:r>
            <w:r w:rsidR="00F24643">
              <w:t>.</w:t>
            </w:r>
          </w:p>
          <w:p w14:paraId="57C484BC" w14:textId="267E3CEB" w:rsidR="004A7CAC" w:rsidRDefault="004A7CAC" w:rsidP="004A7CAC">
            <w:pPr>
              <w:jc w:val="both"/>
              <w:rPr>
                <w:rFonts w:ascii="Arno Pro" w:hAnsi="Arno Pro"/>
                <w:szCs w:val="24"/>
                <w:lang w:eastAsia="en-US"/>
              </w:rPr>
            </w:pPr>
            <w:r>
              <w:rPr>
                <w:rFonts w:ascii="Arno Pro" w:hAnsi="Arno Pro"/>
                <w:szCs w:val="24"/>
              </w:rPr>
              <w:t>Privalomos produkcijos registracijos išlaidos yra tinkamos finansuoti ir prilyginamos sertifikavimo išlaidoms.</w:t>
            </w:r>
          </w:p>
          <w:p w14:paraId="415F202B" w14:textId="4FFC6337" w:rsidR="004A7CAC" w:rsidRPr="0072531D" w:rsidRDefault="004A7CAC" w:rsidP="008F48D3"/>
        </w:tc>
      </w:tr>
      <w:tr w:rsidR="00F24643" w:rsidRPr="00781CA4" w14:paraId="4F144777" w14:textId="77777777" w:rsidTr="301D159F">
        <w:tc>
          <w:tcPr>
            <w:tcW w:w="568" w:type="dxa"/>
            <w:vMerge/>
          </w:tcPr>
          <w:p w14:paraId="7DDB2937" w14:textId="77777777" w:rsidR="00F24643" w:rsidRPr="0038099D" w:rsidRDefault="00F24643" w:rsidP="00427618">
            <w:pPr>
              <w:pStyle w:val="ListParagraph"/>
              <w:ind w:left="360"/>
              <w:jc w:val="both"/>
            </w:pPr>
          </w:p>
        </w:tc>
        <w:tc>
          <w:tcPr>
            <w:tcW w:w="1985" w:type="dxa"/>
            <w:vMerge/>
          </w:tcPr>
          <w:p w14:paraId="5BC9176B" w14:textId="77777777" w:rsidR="00F24643" w:rsidRPr="00694A3B" w:rsidRDefault="00F24643" w:rsidP="00694A3B">
            <w:pPr>
              <w:rPr>
                <w:b/>
                <w:szCs w:val="24"/>
              </w:rPr>
            </w:pPr>
          </w:p>
        </w:tc>
        <w:tc>
          <w:tcPr>
            <w:tcW w:w="6266" w:type="dxa"/>
          </w:tcPr>
          <w:p w14:paraId="296D3C36" w14:textId="46049173" w:rsidR="00F24643" w:rsidRPr="00DA5A92" w:rsidRDefault="00F24643" w:rsidP="00DA5A92">
            <w:pPr>
              <w:shd w:val="clear" w:color="auto" w:fill="FFFFFF"/>
              <w:jc w:val="both"/>
              <w:rPr>
                <w:rFonts w:eastAsia="Calibri"/>
                <w:szCs w:val="24"/>
              </w:rPr>
            </w:pPr>
            <w:r w:rsidRPr="00DA5A92">
              <w:rPr>
                <w:rFonts w:eastAsia="Calibri"/>
                <w:szCs w:val="24"/>
              </w:rPr>
              <w:t xml:space="preserve">22. Teikiamų pagal Aprašą projektų veiklos turi būti baigtos ne vėliau nei 2023 m. rugpjūčio 31 d., nepažeidžiant Projektų taisyklių 213.1 ir 213.5 papunkčiuose nustatytų terminų. </w:t>
            </w:r>
          </w:p>
          <w:p w14:paraId="4C944833" w14:textId="62B72D8A" w:rsidR="00F24643" w:rsidRPr="00CA1535" w:rsidRDefault="00F24643" w:rsidP="00DA5A92">
            <w:pPr>
              <w:shd w:val="clear" w:color="auto" w:fill="FFFFFF"/>
              <w:jc w:val="both"/>
              <w:rPr>
                <w:szCs w:val="24"/>
              </w:rPr>
            </w:pPr>
            <w:r w:rsidRPr="00DA5A92">
              <w:rPr>
                <w:rFonts w:eastAsia="Calibri"/>
                <w:szCs w:val="24"/>
              </w:rPr>
              <w:t>Siūloma ilginti terminą, nes kaip minėta anksčiau registracijos trunka ilgai ir siekia 24 mėn. priklausomai nuo šalies.</w:t>
            </w:r>
          </w:p>
        </w:tc>
        <w:tc>
          <w:tcPr>
            <w:tcW w:w="6095" w:type="dxa"/>
          </w:tcPr>
          <w:p w14:paraId="5D57BB5E" w14:textId="77777777" w:rsidR="00F24643" w:rsidRDefault="00F24643" w:rsidP="00335D39">
            <w:r>
              <w:t>Neatsižvelgta.</w:t>
            </w:r>
          </w:p>
          <w:p w14:paraId="65103BB4" w14:textId="7E09CA78" w:rsidR="00F24643" w:rsidRDefault="00F24643" w:rsidP="00880DBC">
            <w:pPr>
              <w:jc w:val="both"/>
              <w:rPr>
                <w:szCs w:val="24"/>
              </w:rPr>
            </w:pPr>
            <w:r>
              <w:t xml:space="preserve">Projektų administravimo ir finansavimo taisyklių (toliau – PAFT) </w:t>
            </w:r>
            <w:r>
              <w:rPr>
                <w:szCs w:val="24"/>
              </w:rPr>
              <w:t>213.1. p. numato, kad „</w:t>
            </w:r>
            <w:r>
              <w:rPr>
                <w:i/>
                <w:iCs/>
                <w:szCs w:val="24"/>
              </w:rPr>
              <w:t>m</w:t>
            </w:r>
            <w:r w:rsidRPr="00045A11">
              <w:rPr>
                <w:i/>
                <w:iCs/>
                <w:szCs w:val="24"/>
              </w:rPr>
              <w:t xml:space="preserve">okėjimo prašymus projekto vykdytojas įgyvendinančiajai institucijai gali teikti nuo projekto sutarties pasirašymo dienos iki projekto finansavimo pabaigos, bet ne vėliau kaip </w:t>
            </w:r>
            <w:r w:rsidRPr="00045A11">
              <w:rPr>
                <w:b/>
                <w:bCs/>
                <w:i/>
                <w:iCs/>
                <w:szCs w:val="24"/>
              </w:rPr>
              <w:t>iki 2023 m. spalio 1 dienos</w:t>
            </w:r>
            <w:r>
              <w:rPr>
                <w:b/>
                <w:bCs/>
                <w:szCs w:val="24"/>
              </w:rPr>
              <w:t>“</w:t>
            </w:r>
            <w:r>
              <w:rPr>
                <w:szCs w:val="24"/>
              </w:rPr>
              <w:t xml:space="preserve">. </w:t>
            </w:r>
          </w:p>
          <w:p w14:paraId="59594B0E" w14:textId="3989E1DA" w:rsidR="00F24643" w:rsidRDefault="00F24643" w:rsidP="001C65EE">
            <w:pPr>
              <w:tabs>
                <w:tab w:val="left" w:pos="851"/>
                <w:tab w:val="left" w:pos="1134"/>
              </w:tabs>
              <w:jc w:val="both"/>
              <w:rPr>
                <w:szCs w:val="24"/>
              </w:rPr>
            </w:pPr>
            <w:r>
              <w:rPr>
                <w:szCs w:val="24"/>
              </w:rPr>
              <w:t>PAFT 213.5 p. numato, kad „</w:t>
            </w:r>
            <w:r w:rsidRPr="00BB037D">
              <w:rPr>
                <w:i/>
                <w:iCs/>
                <w:szCs w:val="24"/>
              </w:rPr>
              <w:t xml:space="preserve">galutinis mokėjimo prašymas teikiamas iki projekto sutartyje nustatyto termino, </w:t>
            </w:r>
            <w:r w:rsidRPr="00BB037D">
              <w:rPr>
                <w:bCs/>
                <w:i/>
                <w:iCs/>
                <w:szCs w:val="24"/>
              </w:rPr>
              <w:t xml:space="preserve">kuris negali būti trumpesnis kaip 30 dienų nuo </w:t>
            </w:r>
            <w:r w:rsidRPr="00BB037D">
              <w:rPr>
                <w:i/>
                <w:iCs/>
                <w:szCs w:val="24"/>
              </w:rPr>
              <w:t xml:space="preserve">projekto </w:t>
            </w:r>
            <w:r w:rsidRPr="00BB037D">
              <w:rPr>
                <w:bCs/>
                <w:i/>
                <w:iCs/>
                <w:szCs w:val="24"/>
              </w:rPr>
              <w:t>veiklų įgyvendinimo pabaigos</w:t>
            </w:r>
            <w:r>
              <w:rPr>
                <w:bCs/>
                <w:szCs w:val="24"/>
              </w:rPr>
              <w:t>“.</w:t>
            </w:r>
          </w:p>
          <w:p w14:paraId="6FA2AEAE" w14:textId="4E3FDF02" w:rsidR="00F24643" w:rsidRPr="0072531D" w:rsidRDefault="00F24643" w:rsidP="00F24643">
            <w:pPr>
              <w:tabs>
                <w:tab w:val="left" w:pos="851"/>
                <w:tab w:val="left" w:pos="1134"/>
              </w:tabs>
              <w:jc w:val="both"/>
            </w:pPr>
            <w:r>
              <w:rPr>
                <w:szCs w:val="24"/>
              </w:rPr>
              <w:t>Atsižvelgiant į aukščiau nurodytus PAFT reikalavimus, nustatyta projektų veiklų pabaigos data iki 2023-08-31.</w:t>
            </w:r>
          </w:p>
        </w:tc>
      </w:tr>
      <w:tr w:rsidR="00F24643" w:rsidRPr="00781CA4" w14:paraId="42525FA4" w14:textId="77777777" w:rsidTr="301D159F">
        <w:tc>
          <w:tcPr>
            <w:tcW w:w="568" w:type="dxa"/>
          </w:tcPr>
          <w:p w14:paraId="6DBD401A" w14:textId="77777777" w:rsidR="00F24643" w:rsidRPr="0038099D" w:rsidRDefault="00F24643" w:rsidP="00427618">
            <w:pPr>
              <w:pStyle w:val="ListParagraph"/>
              <w:ind w:left="360"/>
              <w:jc w:val="both"/>
            </w:pPr>
          </w:p>
        </w:tc>
        <w:tc>
          <w:tcPr>
            <w:tcW w:w="1985" w:type="dxa"/>
            <w:vMerge/>
          </w:tcPr>
          <w:p w14:paraId="1051050F" w14:textId="77777777" w:rsidR="00F24643" w:rsidRPr="00694A3B" w:rsidRDefault="00F24643" w:rsidP="00694A3B">
            <w:pPr>
              <w:rPr>
                <w:b/>
                <w:szCs w:val="24"/>
              </w:rPr>
            </w:pPr>
          </w:p>
        </w:tc>
        <w:tc>
          <w:tcPr>
            <w:tcW w:w="6266" w:type="dxa"/>
          </w:tcPr>
          <w:p w14:paraId="2C66C53A" w14:textId="5D3B56D3" w:rsidR="00F24643" w:rsidRPr="00B86EF7" w:rsidRDefault="00F24643" w:rsidP="00B86EF7">
            <w:pPr>
              <w:tabs>
                <w:tab w:val="left" w:pos="452"/>
              </w:tabs>
              <w:jc w:val="both"/>
              <w:rPr>
                <w:bCs/>
              </w:rPr>
            </w:pPr>
            <w:r w:rsidRPr="00B86EF7">
              <w:rPr>
                <w:bCs/>
              </w:rPr>
              <w:t>2 priedas. Pareiškėjo eksporto augimo potencialas.</w:t>
            </w:r>
          </w:p>
          <w:p w14:paraId="487EBF68" w14:textId="2ECA14CB" w:rsidR="00F24643" w:rsidRPr="00B86EF7" w:rsidRDefault="00F24643" w:rsidP="00B86EF7">
            <w:pPr>
              <w:tabs>
                <w:tab w:val="left" w:pos="452"/>
              </w:tabs>
              <w:jc w:val="both"/>
              <w:rPr>
                <w:bCs/>
              </w:rPr>
            </w:pPr>
            <w:r w:rsidRPr="00B86EF7">
              <w:rPr>
                <w:bCs/>
              </w:rPr>
              <w:t>Praėjusiose aprašuose buvo išskirtos įmonių kategorijos pagal dydį. Šį kartą atsisakyta, kokia to priežastis?</w:t>
            </w:r>
          </w:p>
          <w:p w14:paraId="0F3BBB3D" w14:textId="56E86490" w:rsidR="00F24643" w:rsidRPr="00F65C3A" w:rsidRDefault="00F24643" w:rsidP="003F39AF">
            <w:pPr>
              <w:spacing w:after="160" w:line="259" w:lineRule="auto"/>
              <w:jc w:val="both"/>
              <w:rPr>
                <w:rFonts w:eastAsia="Calibri"/>
                <w:szCs w:val="24"/>
              </w:rPr>
            </w:pPr>
          </w:p>
        </w:tc>
        <w:tc>
          <w:tcPr>
            <w:tcW w:w="6095" w:type="dxa"/>
          </w:tcPr>
          <w:p w14:paraId="4BB4A619" w14:textId="77777777" w:rsidR="00F24643" w:rsidRDefault="00F24643" w:rsidP="00335D39">
            <w:r>
              <w:t>Neatsižvelgta.</w:t>
            </w:r>
          </w:p>
          <w:p w14:paraId="018ABBC7" w14:textId="33A0A8C3" w:rsidR="00F24643" w:rsidRPr="002906E9" w:rsidRDefault="00F24643" w:rsidP="002906E9">
            <w:pPr>
              <w:jc w:val="both"/>
              <w:rPr>
                <w:bCs/>
              </w:rPr>
            </w:pPr>
            <w:r w:rsidRPr="002906E9">
              <w:rPr>
                <w:bCs/>
              </w:rPr>
              <w:t>Atsižvelgiant į tai, kad būtina kuo greičiau ir efektyviau įvertinti paraiškas, nes 2014-2020 m. programavimo laikotarpis eina į pabaigą, patikslinti prioritetinio kriterijaus „Pareiškėjo eksporto augimo potencialas“ vertinimo aspektai, atsisakant pareiškėjų vertinimo pagal grupes. Pažymėtina, ES investicijų fondų  priemonės skirtos paskatinti įmones gautas investicijas investuoti efektyviai nepriklausomai nuo įmonės dydžio.</w:t>
            </w:r>
          </w:p>
        </w:tc>
      </w:tr>
      <w:tr w:rsidR="00F24643" w:rsidRPr="00781CA4" w14:paraId="059BAB03" w14:textId="77777777" w:rsidTr="301D159F">
        <w:tc>
          <w:tcPr>
            <w:tcW w:w="568" w:type="dxa"/>
          </w:tcPr>
          <w:p w14:paraId="2525D4AB" w14:textId="77777777" w:rsidR="00F24643" w:rsidRPr="0038099D" w:rsidRDefault="00F24643" w:rsidP="00427618">
            <w:pPr>
              <w:pStyle w:val="ListParagraph"/>
              <w:ind w:left="360"/>
              <w:jc w:val="both"/>
            </w:pPr>
          </w:p>
        </w:tc>
        <w:tc>
          <w:tcPr>
            <w:tcW w:w="1985" w:type="dxa"/>
            <w:vMerge/>
          </w:tcPr>
          <w:p w14:paraId="375C581F" w14:textId="77777777" w:rsidR="00F24643" w:rsidRPr="00694A3B" w:rsidRDefault="00F24643" w:rsidP="00694A3B">
            <w:pPr>
              <w:rPr>
                <w:b/>
                <w:szCs w:val="24"/>
              </w:rPr>
            </w:pPr>
          </w:p>
        </w:tc>
        <w:tc>
          <w:tcPr>
            <w:tcW w:w="6266" w:type="dxa"/>
          </w:tcPr>
          <w:p w14:paraId="4BF73DFE" w14:textId="0C8D89B7" w:rsidR="00F24643" w:rsidRPr="00EF4456" w:rsidRDefault="00F24643" w:rsidP="00EA1D73">
            <w:pPr>
              <w:tabs>
                <w:tab w:val="left" w:pos="394"/>
              </w:tabs>
              <w:spacing w:after="160" w:line="259" w:lineRule="auto"/>
              <w:ind w:left="29"/>
              <w:jc w:val="both"/>
              <w:rPr>
                <w:rFonts w:eastAsia="Calibri"/>
                <w:szCs w:val="24"/>
              </w:rPr>
            </w:pPr>
            <w:r w:rsidRPr="00EA1D73">
              <w:rPr>
                <w:rFonts w:eastAsia="Calibri"/>
                <w:szCs w:val="24"/>
              </w:rPr>
              <w:t xml:space="preserve">2 priedas. </w:t>
            </w:r>
            <w:r w:rsidRPr="00EA1D73">
              <w:rPr>
                <w:rFonts w:eastAsia="Calibri"/>
                <w:bCs/>
                <w:szCs w:val="24"/>
              </w:rPr>
              <w:t>Galutinio naudos gavėjo vykdoma pagrindinė ekonominė veikla įtraukta į Karantino metu ribojamų ir netiesiogiai ribojamų ūkinių veiklų sąrašą, patvirtintą Lietuvos Respublikos ekonomikos ir inovacijų ministro ir Lietuvos Respublikos socialinės apsaugos ir darbo ministro 2020 m. gruodžio 30 d. įsakymu Nr. 4-1171/A1-1301 „Dėl Karantino metu ribojamų ir netiesiogiai ribojamų ūkinių veiklų sąrašo patvirtinimo“</w:t>
            </w:r>
            <w:r w:rsidRPr="00EA1D73">
              <w:rPr>
                <w:rFonts w:eastAsia="Calibri"/>
                <w:szCs w:val="24"/>
              </w:rPr>
              <w:t xml:space="preserve"> (toliau –  Sąrašas).</w:t>
            </w:r>
          </w:p>
          <w:p w14:paraId="6CAD7959" w14:textId="64CC91A7" w:rsidR="00F24643" w:rsidRPr="00EA1D73" w:rsidRDefault="00F24643" w:rsidP="00EA1D73">
            <w:pPr>
              <w:tabs>
                <w:tab w:val="left" w:pos="394"/>
              </w:tabs>
              <w:spacing w:after="160" w:line="259" w:lineRule="auto"/>
              <w:ind w:left="29"/>
              <w:jc w:val="both"/>
              <w:rPr>
                <w:rFonts w:ascii="Calibri" w:eastAsia="Calibri" w:hAnsi="Calibri" w:cs="Calibri"/>
                <w:sz w:val="22"/>
                <w:szCs w:val="22"/>
              </w:rPr>
            </w:pPr>
            <w:r w:rsidRPr="00EF4456">
              <w:rPr>
                <w:rFonts w:eastAsia="Calibri"/>
                <w:szCs w:val="24"/>
              </w:rPr>
              <w:t xml:space="preserve">Kad daugiau įmonių galėtų pasinaudoti šia priemone siūlome praplėsti sąrašą kaip numatyta 2022-01-19  </w:t>
            </w:r>
            <w:r w:rsidRPr="00EF4456">
              <w:rPr>
                <w:rFonts w:eastAsia="Calibri"/>
                <w:szCs w:val="24"/>
                <w:shd w:val="clear" w:color="auto" w:fill="FFFFFF"/>
              </w:rPr>
              <w:t>LRV pasitarime dėl paskolų priemonės nuo Covid-19 nukentėjusiems verslams</w:t>
            </w:r>
            <w:r w:rsidRPr="00EA1D73">
              <w:rPr>
                <w:rFonts w:eastAsia="Calibri"/>
                <w:color w:val="222222"/>
                <w:szCs w:val="24"/>
                <w:shd w:val="clear" w:color="auto" w:fill="FFFFFF"/>
              </w:rPr>
              <w:t>.</w:t>
            </w:r>
          </w:p>
        </w:tc>
        <w:tc>
          <w:tcPr>
            <w:tcW w:w="6095" w:type="dxa"/>
          </w:tcPr>
          <w:p w14:paraId="5268E319" w14:textId="77777777" w:rsidR="00F24643" w:rsidRDefault="00F24643" w:rsidP="00A04FA9">
            <w:r>
              <w:t>Atsižvelgta.</w:t>
            </w:r>
          </w:p>
          <w:p w14:paraId="2E728B00" w14:textId="0C3E1AB2" w:rsidR="00F24643" w:rsidRDefault="00F24643" w:rsidP="00A04FA9">
            <w:pPr>
              <w:jc w:val="both"/>
            </w:pPr>
            <w:r>
              <w:t xml:space="preserve">Sąrašas </w:t>
            </w:r>
            <w:r>
              <w:rPr>
                <w:color w:val="000000"/>
              </w:rPr>
              <w:t xml:space="preserve">buvo papildytas naujais ekonominės veiklos rūšių klasifikatorių kodais, </w:t>
            </w:r>
            <w:r>
              <w:t>siekiant kad kuo daugiau dėl COVID-19 pandemijos su likvidumo sunkumais ir tiekimo grandinės sutrikimais susiduriančių verslo subjektų turėtų galimybę gauti pagalbą, bei atsižvelgiant į tebesitęsiantį neigiamą COVID- 19 pandemijos poveikį Lietuvos ekonomikai.</w:t>
            </w:r>
          </w:p>
          <w:p w14:paraId="7B4B4953" w14:textId="77777777" w:rsidR="00F24643" w:rsidRPr="00A04FA9" w:rsidRDefault="00F24643" w:rsidP="00A04FA9">
            <w:pPr>
              <w:pStyle w:val="xxmsonormal"/>
              <w:spacing w:line="276" w:lineRule="auto"/>
              <w:ind w:right="283"/>
              <w:jc w:val="both"/>
              <w:rPr>
                <w:rFonts w:ascii="Times New Roman" w:eastAsia="Times New Roman" w:hAnsi="Times New Roman" w:cs="Times New Roman"/>
                <w:sz w:val="24"/>
                <w:szCs w:val="20"/>
              </w:rPr>
            </w:pPr>
            <w:r w:rsidRPr="00A04FA9">
              <w:rPr>
                <w:rFonts w:ascii="Times New Roman" w:eastAsia="Times New Roman" w:hAnsi="Times New Roman" w:cs="Times New Roman"/>
                <w:sz w:val="24"/>
                <w:szCs w:val="20"/>
              </w:rPr>
              <w:t>Sąrašas papildytas šiais ekonominės veiklos rūšių klasifikatorių kodais:</w:t>
            </w:r>
          </w:p>
          <w:p w14:paraId="1248FC8D" w14:textId="77777777" w:rsidR="00F24643" w:rsidRPr="00A04FA9" w:rsidRDefault="00F24643" w:rsidP="00A04FA9">
            <w:pPr>
              <w:pStyle w:val="xxmsonormal"/>
              <w:spacing w:line="276" w:lineRule="auto"/>
              <w:ind w:right="283" w:firstLine="720"/>
              <w:rPr>
                <w:rFonts w:ascii="Times New Roman" w:eastAsia="Times New Roman" w:hAnsi="Times New Roman" w:cs="Times New Roman"/>
                <w:sz w:val="24"/>
                <w:szCs w:val="20"/>
              </w:rPr>
            </w:pPr>
            <w:r w:rsidRPr="00A04FA9">
              <w:rPr>
                <w:rFonts w:ascii="Times New Roman" w:eastAsia="Times New Roman" w:hAnsi="Times New Roman" w:cs="Times New Roman"/>
                <w:sz w:val="24"/>
                <w:szCs w:val="20"/>
              </w:rPr>
              <w:t>-10 Maisto produktų gamyba</w:t>
            </w:r>
          </w:p>
          <w:p w14:paraId="150D6965" w14:textId="77777777" w:rsidR="00F24643" w:rsidRPr="00A04FA9" w:rsidRDefault="00F24643" w:rsidP="00A04FA9">
            <w:pPr>
              <w:pStyle w:val="xxmsonormal"/>
              <w:spacing w:line="276" w:lineRule="auto"/>
              <w:ind w:right="283" w:firstLine="720"/>
              <w:rPr>
                <w:rFonts w:ascii="Times New Roman" w:eastAsia="Times New Roman" w:hAnsi="Times New Roman" w:cs="Times New Roman"/>
                <w:sz w:val="24"/>
                <w:szCs w:val="20"/>
              </w:rPr>
            </w:pPr>
            <w:r w:rsidRPr="00A04FA9">
              <w:rPr>
                <w:rFonts w:ascii="Times New Roman" w:eastAsia="Times New Roman" w:hAnsi="Times New Roman" w:cs="Times New Roman"/>
                <w:sz w:val="24"/>
                <w:szCs w:val="20"/>
              </w:rPr>
              <w:t>-11 Gėrimų gamyba</w:t>
            </w:r>
          </w:p>
          <w:p w14:paraId="3E90F5B3" w14:textId="77777777" w:rsidR="00F24643" w:rsidRPr="00A04FA9" w:rsidRDefault="00F24643" w:rsidP="00A04FA9">
            <w:pPr>
              <w:pStyle w:val="xxmsonormal"/>
              <w:spacing w:line="276" w:lineRule="auto"/>
              <w:ind w:right="283" w:firstLine="720"/>
              <w:rPr>
                <w:rFonts w:ascii="Times New Roman" w:eastAsia="Times New Roman" w:hAnsi="Times New Roman" w:cs="Times New Roman"/>
                <w:sz w:val="24"/>
                <w:szCs w:val="20"/>
              </w:rPr>
            </w:pPr>
            <w:r w:rsidRPr="00A04FA9">
              <w:rPr>
                <w:rFonts w:ascii="Times New Roman" w:eastAsia="Times New Roman" w:hAnsi="Times New Roman" w:cs="Times New Roman"/>
                <w:sz w:val="24"/>
                <w:szCs w:val="20"/>
              </w:rPr>
              <w:t>-16 Medienos bei medienos ir kamštienos gaminių, išskyrus baldus, gamyba; gaminių iš šiaudų ir pynimo medžiagų gamyba</w:t>
            </w:r>
          </w:p>
          <w:p w14:paraId="5A2E9BBC" w14:textId="77777777" w:rsidR="00F24643" w:rsidRPr="00A04FA9" w:rsidRDefault="00F24643" w:rsidP="00A04FA9">
            <w:pPr>
              <w:pStyle w:val="xxmsonormal"/>
              <w:spacing w:line="276" w:lineRule="auto"/>
              <w:ind w:right="283" w:firstLine="720"/>
              <w:rPr>
                <w:rFonts w:ascii="Times New Roman" w:eastAsia="Times New Roman" w:hAnsi="Times New Roman" w:cs="Times New Roman"/>
                <w:sz w:val="24"/>
                <w:szCs w:val="20"/>
              </w:rPr>
            </w:pPr>
            <w:r w:rsidRPr="00A04FA9">
              <w:rPr>
                <w:rFonts w:ascii="Times New Roman" w:eastAsia="Times New Roman" w:hAnsi="Times New Roman" w:cs="Times New Roman"/>
                <w:sz w:val="24"/>
                <w:szCs w:val="20"/>
              </w:rPr>
              <w:t>-17 Popieriaus ir popieriaus gaminių gamyba</w:t>
            </w:r>
          </w:p>
          <w:p w14:paraId="49194E9E" w14:textId="77777777" w:rsidR="00F24643" w:rsidRPr="00A04FA9" w:rsidRDefault="00F24643" w:rsidP="00A04FA9">
            <w:pPr>
              <w:pStyle w:val="xxmsonormal"/>
              <w:spacing w:line="276" w:lineRule="auto"/>
              <w:ind w:right="283" w:firstLine="720"/>
              <w:rPr>
                <w:rFonts w:ascii="Times New Roman" w:eastAsia="Times New Roman" w:hAnsi="Times New Roman" w:cs="Times New Roman"/>
                <w:sz w:val="24"/>
                <w:szCs w:val="20"/>
              </w:rPr>
            </w:pPr>
            <w:r w:rsidRPr="00A04FA9">
              <w:rPr>
                <w:rFonts w:ascii="Times New Roman" w:eastAsia="Times New Roman" w:hAnsi="Times New Roman" w:cs="Times New Roman"/>
                <w:sz w:val="24"/>
                <w:szCs w:val="20"/>
              </w:rPr>
              <w:t>-20 Chemikalų ir chemijos produktų gamyba</w:t>
            </w:r>
          </w:p>
          <w:p w14:paraId="6AE9DCA3" w14:textId="77777777" w:rsidR="00F24643" w:rsidRPr="00A04FA9" w:rsidRDefault="00F24643" w:rsidP="00A04FA9">
            <w:pPr>
              <w:pStyle w:val="xxmsonormal"/>
              <w:spacing w:line="276" w:lineRule="auto"/>
              <w:ind w:right="283" w:firstLine="720"/>
              <w:rPr>
                <w:rFonts w:ascii="Times New Roman" w:eastAsia="Times New Roman" w:hAnsi="Times New Roman" w:cs="Times New Roman"/>
                <w:sz w:val="24"/>
                <w:szCs w:val="20"/>
              </w:rPr>
            </w:pPr>
            <w:r w:rsidRPr="00A04FA9">
              <w:rPr>
                <w:rFonts w:ascii="Times New Roman" w:eastAsia="Times New Roman" w:hAnsi="Times New Roman" w:cs="Times New Roman"/>
                <w:sz w:val="24"/>
                <w:szCs w:val="20"/>
              </w:rPr>
              <w:t>-21 Pagrindinių vaistų pramonės gaminių ir farmacinių preparatų gamyba</w:t>
            </w:r>
          </w:p>
          <w:p w14:paraId="28C23FDE" w14:textId="77777777" w:rsidR="00F24643" w:rsidRPr="00A04FA9" w:rsidRDefault="00F24643" w:rsidP="00A04FA9">
            <w:pPr>
              <w:pStyle w:val="xxmsonormal"/>
              <w:spacing w:line="276" w:lineRule="auto"/>
              <w:ind w:right="283" w:firstLine="720"/>
              <w:rPr>
                <w:rFonts w:ascii="Times New Roman" w:eastAsia="Times New Roman" w:hAnsi="Times New Roman" w:cs="Times New Roman"/>
                <w:sz w:val="24"/>
                <w:szCs w:val="20"/>
              </w:rPr>
            </w:pPr>
            <w:r w:rsidRPr="00A04FA9">
              <w:rPr>
                <w:rFonts w:ascii="Times New Roman" w:eastAsia="Times New Roman" w:hAnsi="Times New Roman" w:cs="Times New Roman"/>
                <w:sz w:val="24"/>
                <w:szCs w:val="20"/>
              </w:rPr>
              <w:t>-25 Metalo gaminių, išskyrus mašinas ir įrenginius, gamyba</w:t>
            </w:r>
          </w:p>
          <w:p w14:paraId="3F18FBCB" w14:textId="77777777" w:rsidR="00F24643" w:rsidRPr="00A04FA9" w:rsidRDefault="00F24643" w:rsidP="00A04FA9">
            <w:pPr>
              <w:pStyle w:val="xxmsonormal"/>
              <w:spacing w:line="276" w:lineRule="auto"/>
              <w:ind w:right="283" w:firstLine="720"/>
              <w:rPr>
                <w:rFonts w:ascii="Times New Roman" w:eastAsia="Times New Roman" w:hAnsi="Times New Roman" w:cs="Times New Roman"/>
                <w:sz w:val="24"/>
                <w:szCs w:val="20"/>
              </w:rPr>
            </w:pPr>
            <w:r w:rsidRPr="00A04FA9">
              <w:rPr>
                <w:rFonts w:ascii="Times New Roman" w:eastAsia="Times New Roman" w:hAnsi="Times New Roman" w:cs="Times New Roman"/>
                <w:sz w:val="24"/>
                <w:szCs w:val="20"/>
              </w:rPr>
              <w:t>-26 Kompiuterinių, elektroninių ir optinių gaminių gamyba</w:t>
            </w:r>
          </w:p>
          <w:p w14:paraId="56152E3D" w14:textId="03409F37" w:rsidR="00F24643" w:rsidRPr="007739A8" w:rsidRDefault="00F24643" w:rsidP="007739A8">
            <w:pPr>
              <w:pStyle w:val="xxmsonormal"/>
              <w:spacing w:line="276" w:lineRule="auto"/>
              <w:ind w:right="283" w:firstLine="720"/>
              <w:rPr>
                <w:rFonts w:ascii="Times New Roman" w:eastAsia="Times New Roman" w:hAnsi="Times New Roman" w:cs="Times New Roman"/>
                <w:sz w:val="24"/>
                <w:szCs w:val="20"/>
              </w:rPr>
            </w:pPr>
            <w:r w:rsidRPr="00A04FA9">
              <w:rPr>
                <w:rFonts w:ascii="Times New Roman" w:eastAsia="Times New Roman" w:hAnsi="Times New Roman" w:cs="Times New Roman"/>
                <w:sz w:val="24"/>
                <w:szCs w:val="20"/>
              </w:rPr>
              <w:t>-31 Baldų gamyba</w:t>
            </w:r>
          </w:p>
        </w:tc>
      </w:tr>
      <w:tr w:rsidR="00C1455D" w:rsidRPr="00781CA4" w14:paraId="1BDB81C4" w14:textId="77777777" w:rsidTr="301D159F">
        <w:tc>
          <w:tcPr>
            <w:tcW w:w="568" w:type="dxa"/>
            <w:vMerge w:val="restart"/>
          </w:tcPr>
          <w:p w14:paraId="4F1CC06C" w14:textId="7EB03BCF" w:rsidR="00C1455D" w:rsidRDefault="000B76A4" w:rsidP="009C5C32">
            <w:pPr>
              <w:tabs>
                <w:tab w:val="left" w:pos="777"/>
              </w:tabs>
              <w:ind w:right="-12"/>
              <w:jc w:val="both"/>
            </w:pPr>
            <w:r>
              <w:t>2</w:t>
            </w:r>
            <w:r w:rsidR="00C1455D">
              <w:t>.</w:t>
            </w:r>
          </w:p>
        </w:tc>
        <w:tc>
          <w:tcPr>
            <w:tcW w:w="1985" w:type="dxa"/>
            <w:vMerge w:val="restart"/>
          </w:tcPr>
          <w:p w14:paraId="1D0EC375" w14:textId="147CA0A0" w:rsidR="00C1455D" w:rsidRPr="0083361A" w:rsidRDefault="00C1455D" w:rsidP="0083361A">
            <w:pPr>
              <w:rPr>
                <w:b/>
                <w:bCs/>
              </w:rPr>
            </w:pPr>
            <w:r>
              <w:rPr>
                <w:b/>
                <w:bCs/>
              </w:rPr>
              <w:t>VšĮ Versli Lietuva</w:t>
            </w:r>
          </w:p>
        </w:tc>
        <w:tc>
          <w:tcPr>
            <w:tcW w:w="6266" w:type="dxa"/>
          </w:tcPr>
          <w:p w14:paraId="5A6D1946" w14:textId="088BFB8C" w:rsidR="00C1455D" w:rsidRDefault="003544FA" w:rsidP="003D2C9E">
            <w:pPr>
              <w:pStyle w:val="ListParagraph"/>
              <w:tabs>
                <w:tab w:val="left" w:pos="564"/>
              </w:tabs>
              <w:ind w:left="36"/>
              <w:jc w:val="both"/>
            </w:pPr>
            <w:r>
              <w:t>Kaip su paslaugų ar procesų sertifikavimu? Kokiais argumentais remiantis pasirinktas tik produktų sertifikavimas?</w:t>
            </w:r>
          </w:p>
        </w:tc>
        <w:tc>
          <w:tcPr>
            <w:tcW w:w="6095" w:type="dxa"/>
          </w:tcPr>
          <w:p w14:paraId="41D209A1" w14:textId="62DAD774" w:rsidR="00C1455D" w:rsidRDefault="00C1455D" w:rsidP="00CD2632">
            <w:r>
              <w:t>Neatsižvelgta.</w:t>
            </w:r>
            <w:r w:rsidR="00423B17">
              <w:t xml:space="preserve"> Paaiškinta.</w:t>
            </w:r>
          </w:p>
          <w:p w14:paraId="7CA36E9E" w14:textId="57A14E55" w:rsidR="00DB7A01" w:rsidRDefault="00B91D16" w:rsidP="00DB7A01">
            <w:pPr>
              <w:jc w:val="both"/>
              <w:rPr>
                <w:rFonts w:eastAsia="AngsanaUPC"/>
              </w:rPr>
            </w:pPr>
            <w:r>
              <w:t>Pagal Priemonę remiama veikla</w:t>
            </w:r>
            <w:r w:rsidR="00DB7A01">
              <w:t xml:space="preserve"> </w:t>
            </w:r>
            <w:r w:rsidR="00DB7A01" w:rsidRPr="7F0AC96A">
              <w:rPr>
                <w:rFonts w:eastAsia="Calibri"/>
              </w:rPr>
              <w:t xml:space="preserve">– </w:t>
            </w:r>
            <w:r w:rsidR="00DB7A01" w:rsidRPr="7F0AC96A">
              <w:rPr>
                <w:rFonts w:eastAsia="AngsanaUPC"/>
              </w:rPr>
              <w:t xml:space="preserve">planuojamų eksportuoti </w:t>
            </w:r>
            <w:r w:rsidR="00DB7A01" w:rsidRPr="00DB7A01">
              <w:rPr>
                <w:rFonts w:eastAsia="AngsanaUPC"/>
                <w:b/>
                <w:bCs/>
              </w:rPr>
              <w:t>produktų sertifikavimas</w:t>
            </w:r>
            <w:r w:rsidR="00DB7A01" w:rsidRPr="7F0AC96A">
              <w:rPr>
                <w:rFonts w:eastAsia="AngsanaUPC"/>
              </w:rPr>
              <w:t>, įskaitant reikalingus bandymus ir tyrimus.</w:t>
            </w:r>
            <w:r w:rsidR="00DB7A01">
              <w:rPr>
                <w:rFonts w:eastAsia="AngsanaUPC"/>
              </w:rPr>
              <w:t xml:space="preserve"> </w:t>
            </w:r>
          </w:p>
          <w:p w14:paraId="457A93A1" w14:textId="77777777" w:rsidR="00CE6245" w:rsidRPr="002E2CC9" w:rsidRDefault="00CE6245" w:rsidP="00CE6245">
            <w:pPr>
              <w:tabs>
                <w:tab w:val="left" w:pos="851"/>
              </w:tabs>
              <w:jc w:val="both"/>
              <w:rPr>
                <w:b/>
                <w:szCs w:val="24"/>
              </w:rPr>
            </w:pPr>
            <w:r>
              <w:rPr>
                <w:b/>
                <w:szCs w:val="24"/>
              </w:rPr>
              <w:t>Paties pareiškėjo pagaminta produkcija</w:t>
            </w:r>
            <w:r>
              <w:rPr>
                <w:szCs w:val="24"/>
              </w:rPr>
              <w:t xml:space="preserve"> – pareiškėjo</w:t>
            </w:r>
            <w:r w:rsidRPr="00262545">
              <w:rPr>
                <w:szCs w:val="24"/>
              </w:rPr>
              <w:t xml:space="preserve"> gaminami gaminiai ir (arba) teikiamos paslaugos.</w:t>
            </w:r>
            <w:r>
              <w:rPr>
                <w:szCs w:val="24"/>
              </w:rPr>
              <w:t xml:space="preserve"> Taigi įeina ir paslaugos.</w:t>
            </w:r>
          </w:p>
          <w:p w14:paraId="7612F8CC" w14:textId="0BB87455" w:rsidR="000F0DE8" w:rsidRPr="00803143" w:rsidRDefault="00DB7A01" w:rsidP="00DC5646">
            <w:pPr>
              <w:jc w:val="both"/>
              <w:rPr>
                <w:rFonts w:eastAsia="Calibri"/>
                <w:szCs w:val="24"/>
              </w:rPr>
            </w:pPr>
            <w:r>
              <w:rPr>
                <w:rFonts w:eastAsia="Calibri"/>
                <w:szCs w:val="24"/>
              </w:rPr>
              <w:t>2014–2020 metų Europos Sąjungos fondų investicijų veiksmų programo</w:t>
            </w:r>
            <w:r w:rsidR="000F0DE8">
              <w:rPr>
                <w:rFonts w:eastAsia="Calibri"/>
                <w:szCs w:val="24"/>
              </w:rPr>
              <w:t xml:space="preserve">je </w:t>
            </w:r>
            <w:r w:rsidR="00803143">
              <w:rPr>
                <w:rFonts w:eastAsia="Calibri"/>
                <w:szCs w:val="24"/>
              </w:rPr>
              <w:t xml:space="preserve">(toliau – Veiksmų programa) </w:t>
            </w:r>
            <w:r w:rsidR="000F0DE8">
              <w:rPr>
                <w:rFonts w:eastAsia="Calibri"/>
                <w:szCs w:val="24"/>
              </w:rPr>
              <w:t xml:space="preserve">nurodyta tokia </w:t>
            </w:r>
            <w:r>
              <w:rPr>
                <w:rFonts w:eastAsia="Calibri"/>
                <w:szCs w:val="24"/>
              </w:rPr>
              <w:t xml:space="preserve">3 prioritetą </w:t>
            </w:r>
            <w:r>
              <w:rPr>
                <w:rFonts w:eastAsia="Calibri"/>
                <w:kern w:val="16"/>
                <w:szCs w:val="24"/>
              </w:rPr>
              <w:t xml:space="preserve">„Smulkiojo ir vidutinio verslo konkurencingumo skatinimas“ įgyvendinanti veikla </w:t>
            </w:r>
            <w:r w:rsidR="000F0DE8">
              <w:rPr>
                <w:rFonts w:eastAsia="Calibri"/>
                <w:kern w:val="16"/>
                <w:szCs w:val="24"/>
              </w:rPr>
              <w:t>– „į</w:t>
            </w:r>
            <w:r w:rsidR="000F0DE8">
              <w:t xml:space="preserve">monių gaminių ir paslaugų sertifikavimas. Numatoma teikti finansavimą planuojamų eksportuoti produktų sertifikavimo paslaugoms įsigyti“. </w:t>
            </w:r>
          </w:p>
          <w:p w14:paraId="266F6DFE" w14:textId="70A89E45" w:rsidR="00C1455D" w:rsidRPr="000F0DE8" w:rsidRDefault="000F0DE8" w:rsidP="00DC5646">
            <w:pPr>
              <w:jc w:val="both"/>
              <w:rPr>
                <w:rFonts w:eastAsia="Calibri"/>
                <w:kern w:val="16"/>
                <w:szCs w:val="24"/>
              </w:rPr>
            </w:pPr>
            <w:r>
              <w:t>Pažymėtina, kad p</w:t>
            </w:r>
            <w:r w:rsidR="00B91D16">
              <w:t xml:space="preserve">rocesų sertifikavimui buvo </w:t>
            </w:r>
            <w:r>
              <w:t xml:space="preserve">įgyvendinama </w:t>
            </w:r>
            <w:r w:rsidR="00B91D16">
              <w:t xml:space="preserve">priemonė </w:t>
            </w:r>
            <w:r>
              <w:t>„</w:t>
            </w:r>
            <w:r w:rsidR="00B91D16">
              <w:t>Procesas LT</w:t>
            </w:r>
            <w:r>
              <w:t>“</w:t>
            </w:r>
            <w:r w:rsidR="00B91D16">
              <w:t>.</w:t>
            </w:r>
          </w:p>
        </w:tc>
      </w:tr>
      <w:tr w:rsidR="00C1455D" w:rsidRPr="00781CA4" w14:paraId="0A6880CA" w14:textId="77777777" w:rsidTr="301D159F">
        <w:tc>
          <w:tcPr>
            <w:tcW w:w="568" w:type="dxa"/>
            <w:vMerge/>
          </w:tcPr>
          <w:p w14:paraId="73979500" w14:textId="77777777" w:rsidR="00C1455D" w:rsidRDefault="00C1455D" w:rsidP="009C5C32">
            <w:pPr>
              <w:tabs>
                <w:tab w:val="left" w:pos="777"/>
              </w:tabs>
              <w:ind w:right="-12"/>
              <w:jc w:val="both"/>
            </w:pPr>
          </w:p>
        </w:tc>
        <w:tc>
          <w:tcPr>
            <w:tcW w:w="1985" w:type="dxa"/>
            <w:vMerge/>
          </w:tcPr>
          <w:p w14:paraId="193C1AFC" w14:textId="77777777" w:rsidR="00C1455D" w:rsidRDefault="00C1455D" w:rsidP="0083361A">
            <w:pPr>
              <w:rPr>
                <w:b/>
                <w:bCs/>
              </w:rPr>
            </w:pPr>
          </w:p>
        </w:tc>
        <w:tc>
          <w:tcPr>
            <w:tcW w:w="6266" w:type="dxa"/>
          </w:tcPr>
          <w:p w14:paraId="745D5905" w14:textId="77777777" w:rsidR="00054AEC" w:rsidRDefault="00054AEC" w:rsidP="00054AEC">
            <w:pPr>
              <w:jc w:val="both"/>
              <w:rPr>
                <w:rFonts w:eastAsia="Calibri"/>
              </w:rPr>
            </w:pPr>
            <w:r w:rsidRPr="7F0AC96A">
              <w:rPr>
                <w:rFonts w:eastAsia="Calibri"/>
              </w:rPr>
              <w:t xml:space="preserve">15. Pagal Aprašą finansavimas nėra teikiamas pareiškėjui, jei jis yra priskiriamas sunkumų patiriančios įmonės kategorijai. </w:t>
            </w:r>
          </w:p>
          <w:p w14:paraId="7644F664" w14:textId="77777777" w:rsidR="00C1455D" w:rsidRPr="00D50BCE" w:rsidRDefault="00C1455D" w:rsidP="003F5729">
            <w:pPr>
              <w:pStyle w:val="CommentText"/>
              <w:jc w:val="both"/>
              <w:rPr>
                <w:rFonts w:eastAsia="Calibri"/>
                <w:sz w:val="24"/>
                <w:szCs w:val="24"/>
                <w:lang w:eastAsia="lt-LT"/>
              </w:rPr>
            </w:pPr>
            <w:r w:rsidRPr="00D50BCE">
              <w:rPr>
                <w:rFonts w:eastAsia="Calibri"/>
                <w:sz w:val="24"/>
                <w:szCs w:val="24"/>
                <w:lang w:eastAsia="lt-LT"/>
              </w:rPr>
              <w:t xml:space="preserve">Ar nėra taikomos išimtys dėl sunkumų patyrimo šiuo </w:t>
            </w:r>
            <w:proofErr w:type="spellStart"/>
            <w:r w:rsidRPr="00D50BCE">
              <w:rPr>
                <w:rFonts w:eastAsia="Calibri"/>
                <w:sz w:val="24"/>
                <w:szCs w:val="24"/>
                <w:lang w:eastAsia="lt-LT"/>
              </w:rPr>
              <w:t>pandeminiu</w:t>
            </w:r>
            <w:proofErr w:type="spellEnd"/>
            <w:r w:rsidRPr="00D50BCE">
              <w:rPr>
                <w:rFonts w:eastAsia="Calibri"/>
                <w:sz w:val="24"/>
                <w:szCs w:val="24"/>
                <w:lang w:eastAsia="lt-LT"/>
              </w:rPr>
              <w:t xml:space="preserve"> laikotarpiu? </w:t>
            </w:r>
          </w:p>
          <w:p w14:paraId="31E4044C" w14:textId="5D1A5273" w:rsidR="00C1455D" w:rsidRDefault="00C1455D" w:rsidP="00D50BCE">
            <w:pPr>
              <w:tabs>
                <w:tab w:val="left" w:pos="1134"/>
              </w:tabs>
              <w:jc w:val="both"/>
              <w:rPr>
                <w:rFonts w:eastAsia="Calibri"/>
                <w:szCs w:val="24"/>
              </w:rPr>
            </w:pPr>
          </w:p>
        </w:tc>
        <w:tc>
          <w:tcPr>
            <w:tcW w:w="6095" w:type="dxa"/>
          </w:tcPr>
          <w:p w14:paraId="7ECCC8E8" w14:textId="77777777" w:rsidR="00C1455D" w:rsidRDefault="00C1455D" w:rsidP="00CD2632">
            <w:r>
              <w:t>Neatsižvelgta.</w:t>
            </w:r>
          </w:p>
          <w:p w14:paraId="1385ADC8" w14:textId="1B313984" w:rsidR="00C1455D" w:rsidRDefault="301D159F" w:rsidP="00020CE9">
            <w:pPr>
              <w:jc w:val="both"/>
            </w:pPr>
            <w:r>
              <w:t>Siekiant, kad sėkmingo ir efektyvaus projektų įgyvendinimo bei suplanuotų stebėsenos rodiklių pasiekimo, nenumatyta taikyti išimčių sunkumų patiriančioms įmonėms.</w:t>
            </w:r>
          </w:p>
        </w:tc>
      </w:tr>
      <w:tr w:rsidR="00C1455D" w:rsidRPr="00781CA4" w14:paraId="36F9B8C3" w14:textId="77777777" w:rsidTr="301D159F">
        <w:tc>
          <w:tcPr>
            <w:tcW w:w="568" w:type="dxa"/>
            <w:vMerge/>
          </w:tcPr>
          <w:p w14:paraId="1E79B913" w14:textId="77777777" w:rsidR="00C1455D" w:rsidRDefault="00C1455D" w:rsidP="009C5C32">
            <w:pPr>
              <w:tabs>
                <w:tab w:val="left" w:pos="777"/>
              </w:tabs>
              <w:ind w:right="-12"/>
              <w:jc w:val="both"/>
            </w:pPr>
          </w:p>
        </w:tc>
        <w:tc>
          <w:tcPr>
            <w:tcW w:w="1985" w:type="dxa"/>
            <w:vMerge/>
          </w:tcPr>
          <w:p w14:paraId="3EBDDE4D" w14:textId="77777777" w:rsidR="00C1455D" w:rsidRDefault="00C1455D" w:rsidP="0083361A">
            <w:pPr>
              <w:rPr>
                <w:b/>
                <w:bCs/>
              </w:rPr>
            </w:pPr>
          </w:p>
        </w:tc>
        <w:tc>
          <w:tcPr>
            <w:tcW w:w="6266" w:type="dxa"/>
          </w:tcPr>
          <w:p w14:paraId="6EE51D16" w14:textId="542F3BB3" w:rsidR="000840BE" w:rsidRDefault="000840BE" w:rsidP="000840BE">
            <w:pPr>
              <w:jc w:val="both"/>
              <w:rPr>
                <w:rFonts w:eastAsia="Calibri"/>
              </w:rPr>
            </w:pPr>
            <w:r w:rsidRPr="7F0AC96A">
              <w:rPr>
                <w:rFonts w:eastAsia="Calibri"/>
              </w:rPr>
              <w:t>22. Teikiamų pagal Aprašą projektų veiklos</w:t>
            </w:r>
            <w:r w:rsidR="006813A2">
              <w:rPr>
                <w:rFonts w:eastAsia="Calibri"/>
              </w:rPr>
              <w:t xml:space="preserve"> </w:t>
            </w:r>
            <w:r w:rsidRPr="7F0AC96A">
              <w:rPr>
                <w:rFonts w:eastAsia="Calibri"/>
              </w:rPr>
              <w:t xml:space="preserve">turi būti baigtos ne vėliau nei 2023 m.  rugpjūčio </w:t>
            </w:r>
            <w:r w:rsidRPr="7F0AC96A">
              <w:rPr>
                <w:rFonts w:eastAsia="Calibri"/>
                <w:lang w:val="en-GB"/>
              </w:rPr>
              <w:t xml:space="preserve">31 d., </w:t>
            </w:r>
            <w:proofErr w:type="spellStart"/>
            <w:proofErr w:type="gramStart"/>
            <w:r w:rsidRPr="7F0AC96A">
              <w:rPr>
                <w:rFonts w:eastAsia="Calibri"/>
                <w:lang w:val="en-GB"/>
              </w:rPr>
              <w:t>nepa</w:t>
            </w:r>
            <w:proofErr w:type="spellEnd"/>
            <w:r w:rsidRPr="7F0AC96A">
              <w:rPr>
                <w:rFonts w:eastAsia="Calibri"/>
              </w:rPr>
              <w:t>žeidžiant</w:t>
            </w:r>
            <w:proofErr w:type="gramEnd"/>
            <w:r w:rsidRPr="7F0AC96A">
              <w:rPr>
                <w:rFonts w:eastAsia="Calibri"/>
              </w:rPr>
              <w:t xml:space="preserve"> Projektų taisyklių </w:t>
            </w:r>
            <w:r w:rsidRPr="7F0AC96A">
              <w:rPr>
                <w:rFonts w:eastAsia="Calibri"/>
                <w:lang w:val="en-GB"/>
              </w:rPr>
              <w:t xml:space="preserve">213.1 ir 213.5 </w:t>
            </w:r>
            <w:proofErr w:type="spellStart"/>
            <w:r w:rsidRPr="7F0AC96A">
              <w:rPr>
                <w:rFonts w:eastAsia="Calibri"/>
                <w:lang w:val="en-GB"/>
              </w:rPr>
              <w:t>papunk</w:t>
            </w:r>
            <w:r w:rsidRPr="7F0AC96A">
              <w:rPr>
                <w:rFonts w:eastAsia="Calibri"/>
              </w:rPr>
              <w:t>čiuose</w:t>
            </w:r>
            <w:proofErr w:type="spellEnd"/>
            <w:r w:rsidRPr="7F0AC96A">
              <w:rPr>
                <w:rFonts w:eastAsia="Calibri"/>
              </w:rPr>
              <w:t xml:space="preserve"> nustatytų terminų. </w:t>
            </w:r>
          </w:p>
          <w:p w14:paraId="439F5E9D" w14:textId="53FD7A83" w:rsidR="000840BE" w:rsidRPr="00331C4F" w:rsidRDefault="000840BE" w:rsidP="000840BE">
            <w:pPr>
              <w:jc w:val="both"/>
              <w:rPr>
                <w:rFonts w:eastAsia="Calibri"/>
              </w:rPr>
            </w:pPr>
            <w:r>
              <w:t>Manau, reikėtų detalesnio paaiškinimo, ką šiuo atveju reiškia "baigta veikla": pvz., jau turimas gautas sertifikatas; ar pradėtos jo visos gavimo procedūros?</w:t>
            </w:r>
          </w:p>
          <w:p w14:paraId="150605FE" w14:textId="567C0553" w:rsidR="00C1455D" w:rsidRDefault="00C1455D" w:rsidP="00D50BCE">
            <w:pPr>
              <w:tabs>
                <w:tab w:val="left" w:pos="1134"/>
              </w:tabs>
              <w:jc w:val="both"/>
            </w:pPr>
          </w:p>
        </w:tc>
        <w:tc>
          <w:tcPr>
            <w:tcW w:w="6095" w:type="dxa"/>
          </w:tcPr>
          <w:p w14:paraId="65892DD3" w14:textId="45B709AC" w:rsidR="00C1455D" w:rsidRDefault="00C1455D" w:rsidP="002840FE">
            <w:r>
              <w:t>Neatsižvelgta.</w:t>
            </w:r>
            <w:r w:rsidR="000840BE">
              <w:t xml:space="preserve"> Paaiškinta</w:t>
            </w:r>
            <w:r w:rsidR="006813A2">
              <w:t>.</w:t>
            </w:r>
          </w:p>
          <w:p w14:paraId="2320A8D5" w14:textId="676CE9DA" w:rsidR="00C1455D" w:rsidRDefault="000840BE" w:rsidP="000840BE">
            <w:pPr>
              <w:jc w:val="both"/>
            </w:pPr>
            <w:r>
              <w:t xml:space="preserve">Projektų administravimo ir finansavimo taisyklių 6.27 p. numatyta, kad </w:t>
            </w:r>
            <w:r w:rsidR="007E7DC3">
              <w:t>„</w:t>
            </w:r>
            <w:r>
              <w:rPr>
                <w:b/>
                <w:bCs/>
                <w:color w:val="000000"/>
              </w:rPr>
              <w:t>Projekto veiklų įgyvendinimo pabaiga</w:t>
            </w:r>
            <w:r>
              <w:rPr>
                <w:color w:val="000000"/>
              </w:rPr>
              <w:t> – projekto sutartyje nustatyta projekto veiklų įgyvendinimo pabaigos data</w:t>
            </w:r>
            <w:r w:rsidR="007E7DC3">
              <w:rPr>
                <w:color w:val="000000"/>
              </w:rPr>
              <w:t>“</w:t>
            </w:r>
            <w:r>
              <w:rPr>
                <w:color w:val="000000"/>
              </w:rPr>
              <w:t>.</w:t>
            </w:r>
          </w:p>
        </w:tc>
      </w:tr>
      <w:tr w:rsidR="00C1455D" w:rsidRPr="00781CA4" w14:paraId="173A3165" w14:textId="77777777" w:rsidTr="301D159F">
        <w:tc>
          <w:tcPr>
            <w:tcW w:w="568" w:type="dxa"/>
            <w:vMerge/>
          </w:tcPr>
          <w:p w14:paraId="3AB538E3" w14:textId="77777777" w:rsidR="00C1455D" w:rsidRDefault="00C1455D" w:rsidP="009C5C32">
            <w:pPr>
              <w:tabs>
                <w:tab w:val="left" w:pos="777"/>
              </w:tabs>
              <w:ind w:right="-12"/>
              <w:jc w:val="both"/>
            </w:pPr>
          </w:p>
        </w:tc>
        <w:tc>
          <w:tcPr>
            <w:tcW w:w="1985" w:type="dxa"/>
            <w:vMerge/>
          </w:tcPr>
          <w:p w14:paraId="555432B5" w14:textId="77777777" w:rsidR="00C1455D" w:rsidRDefault="00C1455D" w:rsidP="0083361A">
            <w:pPr>
              <w:rPr>
                <w:b/>
                <w:bCs/>
              </w:rPr>
            </w:pPr>
          </w:p>
        </w:tc>
        <w:tc>
          <w:tcPr>
            <w:tcW w:w="6266" w:type="dxa"/>
          </w:tcPr>
          <w:p w14:paraId="5C503C74" w14:textId="6E9B7CC2" w:rsidR="006813A2" w:rsidRDefault="006813A2" w:rsidP="006813A2">
            <w:pPr>
              <w:jc w:val="both"/>
              <w:rPr>
                <w:rFonts w:eastAsia="Calibri"/>
              </w:rPr>
            </w:pPr>
            <w:r w:rsidRPr="7F0AC96A">
              <w:rPr>
                <w:rFonts w:eastAsia="Calibri"/>
              </w:rPr>
              <w:t>25. 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Lietuvos Respublikoje, tokių veiklų išlaidos neturi viršyti 15 procentų projekto tinkamų finansuoti išlaidų sumos.</w:t>
            </w:r>
          </w:p>
          <w:p w14:paraId="5E0E13BD" w14:textId="12C6CA5E" w:rsidR="006813A2" w:rsidRDefault="006813A2" w:rsidP="006813A2">
            <w:pPr>
              <w:jc w:val="both"/>
              <w:rPr>
                <w:rFonts w:eastAsia="Calibri"/>
              </w:rPr>
            </w:pPr>
            <w:r>
              <w:t>Kodėl numatytas teritorinis apribojimas tik ES narėse? Kaip su Europos, bet ne ES šalimis, pvz., JK, taip pat kitomis trečiosiomis tikslinėmis eksporto rinkomis?</w:t>
            </w:r>
          </w:p>
          <w:p w14:paraId="1A2A2638" w14:textId="3312338B" w:rsidR="00C1455D" w:rsidRPr="45E25F92" w:rsidRDefault="00C1455D" w:rsidP="00D50BCE">
            <w:pPr>
              <w:tabs>
                <w:tab w:val="left" w:pos="1134"/>
              </w:tabs>
              <w:jc w:val="both"/>
              <w:rPr>
                <w:rFonts w:eastAsia="Calibri"/>
              </w:rPr>
            </w:pPr>
          </w:p>
        </w:tc>
        <w:tc>
          <w:tcPr>
            <w:tcW w:w="6095" w:type="dxa"/>
          </w:tcPr>
          <w:p w14:paraId="37B61DF8" w14:textId="07A7A6CF" w:rsidR="00C1455D" w:rsidRDefault="00C1455D" w:rsidP="000F0D6C">
            <w:r>
              <w:t>Neatsižvelgta.</w:t>
            </w:r>
            <w:r w:rsidR="006813A2">
              <w:t xml:space="preserve"> Paaiškinta.</w:t>
            </w:r>
          </w:p>
          <w:p w14:paraId="5E08EB5D" w14:textId="6C6FC16D" w:rsidR="00C1455D" w:rsidRDefault="00B93FC1" w:rsidP="000F0D6C">
            <w:pPr>
              <w:jc w:val="both"/>
            </w:pPr>
            <w:r>
              <w:t>Šis reikalavimas nustatytas atsižvelgiant į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70 str. nuostat</w:t>
            </w:r>
            <w:r w:rsidR="00651A01">
              <w:t>a</w:t>
            </w:r>
            <w:r>
              <w:t>s.</w:t>
            </w:r>
          </w:p>
        </w:tc>
      </w:tr>
      <w:tr w:rsidR="00C1455D" w:rsidRPr="00781CA4" w14:paraId="378C2173" w14:textId="77777777" w:rsidTr="301D159F">
        <w:tc>
          <w:tcPr>
            <w:tcW w:w="568" w:type="dxa"/>
            <w:vMerge/>
          </w:tcPr>
          <w:p w14:paraId="1D7798B3" w14:textId="77777777" w:rsidR="00C1455D" w:rsidRDefault="00C1455D" w:rsidP="009C5C32">
            <w:pPr>
              <w:tabs>
                <w:tab w:val="left" w:pos="777"/>
              </w:tabs>
              <w:ind w:right="-12"/>
              <w:jc w:val="both"/>
            </w:pPr>
          </w:p>
        </w:tc>
        <w:tc>
          <w:tcPr>
            <w:tcW w:w="1985" w:type="dxa"/>
            <w:vMerge/>
          </w:tcPr>
          <w:p w14:paraId="1029D236" w14:textId="77777777" w:rsidR="00C1455D" w:rsidRDefault="00C1455D" w:rsidP="0083361A">
            <w:pPr>
              <w:rPr>
                <w:b/>
                <w:bCs/>
              </w:rPr>
            </w:pPr>
          </w:p>
        </w:tc>
        <w:tc>
          <w:tcPr>
            <w:tcW w:w="6266" w:type="dxa"/>
          </w:tcPr>
          <w:p w14:paraId="7B49A1AD" w14:textId="5320CA69" w:rsidR="00C16876" w:rsidRDefault="00C16876" w:rsidP="00C16876">
            <w:pPr>
              <w:jc w:val="both"/>
              <w:rPr>
                <w:rFonts w:eastAsia="Calibri"/>
                <w:color w:val="000000" w:themeColor="text1"/>
              </w:rPr>
            </w:pPr>
            <w:r w:rsidRPr="7F0AC96A">
              <w:rPr>
                <w:rFonts w:eastAsia="Calibri"/>
                <w:color w:val="000000" w:themeColor="text1"/>
              </w:rPr>
              <w:t>28.3. pareiškėjas kartu su paraiška turi pateikti dokumentus, pagrindžiančius projekto biudžeto pagrįstumą, nuorodas į rinkoje esančias kainas (ne mažiau kaip 3 komerciniai pasiūlymai kiekvienoms į projekto biudžetą įtrauktoms išlaidoms). Jei projektas pradėtas įgyvendinti – pasirašytas pirkimo–pardavimo sutartis, sąskaitas faktūras</w:t>
            </w:r>
            <w:r>
              <w:rPr>
                <w:rFonts w:eastAsia="Calibri"/>
                <w:color w:val="000000" w:themeColor="text1"/>
              </w:rPr>
              <w:t>.</w:t>
            </w:r>
          </w:p>
          <w:p w14:paraId="2F722A86" w14:textId="18C0297A" w:rsidR="00C1455D" w:rsidRDefault="00C16876" w:rsidP="00891CB9">
            <w:pPr>
              <w:jc w:val="both"/>
            </w:pPr>
            <w:r>
              <w:t xml:space="preserve">O jei tai yra kokia labai </w:t>
            </w:r>
            <w:proofErr w:type="spellStart"/>
            <w:r>
              <w:t>nišinė</w:t>
            </w:r>
            <w:proofErr w:type="spellEnd"/>
            <w:r>
              <w:t xml:space="preserve"> paslauga </w:t>
            </w:r>
            <w:proofErr w:type="spellStart"/>
            <w:r>
              <w:t>nišiniam</w:t>
            </w:r>
            <w:proofErr w:type="spellEnd"/>
            <w:r>
              <w:t xml:space="preserve"> produktui? Gal turėtų būti tokiu atveju taikoma išimtis, ją pagrindžiant (pvz., kad yra tik du tokios paslaugos teikėjai ar pan.)</w:t>
            </w:r>
          </w:p>
        </w:tc>
        <w:tc>
          <w:tcPr>
            <w:tcW w:w="6095" w:type="dxa"/>
          </w:tcPr>
          <w:p w14:paraId="05F08BEA" w14:textId="7FD14D8E" w:rsidR="00C1455D" w:rsidRDefault="00EB4E57" w:rsidP="000F0D6C">
            <w:r>
              <w:t>A</w:t>
            </w:r>
            <w:r w:rsidR="00C1455D">
              <w:t>tsižvelgta</w:t>
            </w:r>
            <w:r>
              <w:t xml:space="preserve"> iš dalies</w:t>
            </w:r>
            <w:r w:rsidR="00C1455D">
              <w:t>.</w:t>
            </w:r>
          </w:p>
          <w:p w14:paraId="49D62667" w14:textId="005C420D" w:rsidR="00C1455D" w:rsidRDefault="00EB4E57" w:rsidP="00597CAF">
            <w:pPr>
              <w:jc w:val="both"/>
            </w:pPr>
            <w:r>
              <w:t xml:space="preserve">Nutarta atsisakyti šios nuostatos kaip </w:t>
            </w:r>
            <w:proofErr w:type="spellStart"/>
            <w:r>
              <w:t>parengtumo</w:t>
            </w:r>
            <w:proofErr w:type="spellEnd"/>
            <w:r>
              <w:t xml:space="preserve"> reikalavimo. Tačiau tam, kad būtų įmanoma nustatyti individualią fiksuotąją </w:t>
            </w:r>
            <w:r w:rsidR="003E628D">
              <w:t>sumą</w:t>
            </w:r>
            <w:r>
              <w:t xml:space="preserve"> vertinimo metu, pareiškėjas kartu su paraiška turi pateikti ne mažiau 3 komerciniai pasiūlymai. Fiksuotoji suma nustatoma pagal 3 komercinius pasiūlymus. Dėl </w:t>
            </w:r>
            <w:r w:rsidR="003E628D">
              <w:t>išimtinių</w:t>
            </w:r>
            <w:r>
              <w:t xml:space="preserve"> atvejų kai nėra galimybės pateikti 3 komercinius, </w:t>
            </w:r>
            <w:r w:rsidR="003E628D">
              <w:t>planuojama pasikonsultuoti su</w:t>
            </w:r>
            <w:r>
              <w:t xml:space="preserve"> </w:t>
            </w:r>
            <w:r w:rsidR="00E72315">
              <w:t>ESFA</w:t>
            </w:r>
            <w:r w:rsidR="003E628D">
              <w:t xml:space="preserve"> Metodinės pagalbos centru</w:t>
            </w:r>
            <w:r>
              <w:t>.</w:t>
            </w:r>
          </w:p>
        </w:tc>
      </w:tr>
      <w:tr w:rsidR="00C1455D" w:rsidRPr="00781CA4" w14:paraId="22F9BF06" w14:textId="77777777" w:rsidTr="301D159F">
        <w:tc>
          <w:tcPr>
            <w:tcW w:w="568" w:type="dxa"/>
            <w:vMerge/>
          </w:tcPr>
          <w:p w14:paraId="607950D0" w14:textId="77777777" w:rsidR="00C1455D" w:rsidRDefault="00C1455D" w:rsidP="009C5C32">
            <w:pPr>
              <w:tabs>
                <w:tab w:val="left" w:pos="777"/>
              </w:tabs>
              <w:ind w:right="-12"/>
              <w:jc w:val="both"/>
            </w:pPr>
          </w:p>
        </w:tc>
        <w:tc>
          <w:tcPr>
            <w:tcW w:w="1985" w:type="dxa"/>
            <w:vMerge/>
          </w:tcPr>
          <w:p w14:paraId="291E158E" w14:textId="77777777" w:rsidR="00C1455D" w:rsidRDefault="00C1455D" w:rsidP="0083361A">
            <w:pPr>
              <w:rPr>
                <w:b/>
                <w:bCs/>
              </w:rPr>
            </w:pPr>
          </w:p>
        </w:tc>
        <w:tc>
          <w:tcPr>
            <w:tcW w:w="6266" w:type="dxa"/>
          </w:tcPr>
          <w:p w14:paraId="07FB82D7" w14:textId="77777777" w:rsidR="006E43A5" w:rsidRDefault="006E43A5" w:rsidP="006E43A5">
            <w:pPr>
              <w:jc w:val="both"/>
            </w:pPr>
            <w:r w:rsidRPr="7F0AC96A">
              <w:t>36. Didžiausia galima projekto finansuojamoji dalis negali viršyti 50 proc. visų tinkamų finansuoti projekto išlaidų. Pareiškėjas privalo prisidėti prie projekto finansavimo ne mažiau nei 50 proc. visų tinkamų finansuoti projekto išlaidų.</w:t>
            </w:r>
          </w:p>
          <w:p w14:paraId="022DA1D6" w14:textId="7960139F" w:rsidR="00C1455D" w:rsidRPr="00AB39B4" w:rsidRDefault="006E43A5" w:rsidP="002B7007">
            <w:pPr>
              <w:pStyle w:val="CommentText"/>
              <w:jc w:val="both"/>
              <w:rPr>
                <w:sz w:val="24"/>
                <w:lang w:eastAsia="lt-LT"/>
              </w:rPr>
            </w:pPr>
            <w:r w:rsidRPr="006E43A5">
              <w:rPr>
                <w:sz w:val="24"/>
                <w:szCs w:val="24"/>
              </w:rPr>
              <w:t>Labai mažas finansavimo intensyvumas, atsižvelgiant į tai, kad tai MVĮ. Siūlome didinti bent iki 70%.</w:t>
            </w:r>
          </w:p>
        </w:tc>
        <w:tc>
          <w:tcPr>
            <w:tcW w:w="6095" w:type="dxa"/>
          </w:tcPr>
          <w:p w14:paraId="66E9DAD5" w14:textId="77777777" w:rsidR="00C1455D" w:rsidRDefault="00C1455D" w:rsidP="000F0D6C">
            <w:r>
              <w:t>Neatsižvelgta.</w:t>
            </w:r>
          </w:p>
          <w:p w14:paraId="2BA63987" w14:textId="04922987" w:rsidR="00D94F38" w:rsidRDefault="00D94F38" w:rsidP="00D94F38">
            <w:pPr>
              <w:jc w:val="both"/>
            </w:pPr>
            <w:r>
              <w:rPr>
                <w:szCs w:val="24"/>
              </w:rPr>
              <w:t xml:space="preserve">Siekiant pritraukti privačių lėšų, kad pareiškėjai prisidėtų prie projekto finansavimo ne mažiau nei </w:t>
            </w:r>
            <w:r w:rsidR="00803143">
              <w:rPr>
                <w:szCs w:val="24"/>
              </w:rPr>
              <w:t>5</w:t>
            </w:r>
            <w:r>
              <w:rPr>
                <w:szCs w:val="24"/>
              </w:rPr>
              <w:t xml:space="preserve">0 procentų jiems tenkančių tinkamų finansuoti projekto išlaidų, nustatytas toks finansavimo intensyvumas. Be to, pritaikius būtent </w:t>
            </w:r>
            <w:r w:rsidR="00803143">
              <w:rPr>
                <w:szCs w:val="24"/>
              </w:rPr>
              <w:t>5</w:t>
            </w:r>
            <w:r>
              <w:rPr>
                <w:szCs w:val="24"/>
              </w:rPr>
              <w:t xml:space="preserve">0 proc. finansavimo intensyvumą ir </w:t>
            </w:r>
            <w:r w:rsidR="00803143">
              <w:rPr>
                <w:szCs w:val="24"/>
              </w:rPr>
              <w:t>5</w:t>
            </w:r>
            <w:r>
              <w:rPr>
                <w:szCs w:val="24"/>
              </w:rPr>
              <w:t>0 proc. privačių lėšų prisidėjimą, paskaičiuotos lėšos ir Veiksmų programos rodiklių reikšmės.</w:t>
            </w:r>
          </w:p>
        </w:tc>
      </w:tr>
      <w:tr w:rsidR="00C1455D" w:rsidRPr="00781CA4" w14:paraId="168BD5D5" w14:textId="77777777" w:rsidTr="301D159F">
        <w:tc>
          <w:tcPr>
            <w:tcW w:w="568" w:type="dxa"/>
            <w:vMerge/>
          </w:tcPr>
          <w:p w14:paraId="4D177EA0" w14:textId="77777777" w:rsidR="00C1455D" w:rsidRDefault="00C1455D" w:rsidP="00C10C51">
            <w:pPr>
              <w:tabs>
                <w:tab w:val="left" w:pos="777"/>
              </w:tabs>
              <w:ind w:right="-12"/>
              <w:jc w:val="both"/>
            </w:pPr>
          </w:p>
        </w:tc>
        <w:tc>
          <w:tcPr>
            <w:tcW w:w="1985" w:type="dxa"/>
            <w:vMerge/>
          </w:tcPr>
          <w:p w14:paraId="19619A1E" w14:textId="77777777" w:rsidR="00C1455D" w:rsidRDefault="00C1455D" w:rsidP="00C10C51">
            <w:pPr>
              <w:rPr>
                <w:b/>
                <w:bCs/>
              </w:rPr>
            </w:pPr>
          </w:p>
        </w:tc>
        <w:tc>
          <w:tcPr>
            <w:tcW w:w="6266" w:type="dxa"/>
          </w:tcPr>
          <w:p w14:paraId="7D6F144D" w14:textId="6B312DAB" w:rsidR="00251A80" w:rsidRDefault="00251A80" w:rsidP="00251A80">
            <w:pPr>
              <w:jc w:val="both"/>
              <w:rPr>
                <w:rFonts w:eastAsia="Calibri"/>
              </w:rPr>
            </w:pPr>
            <w:r w:rsidRPr="7F0AC96A">
              <w:rPr>
                <w:rFonts w:eastAsia="Calibri"/>
              </w:rPr>
              <w:t>52.2. patvirtintą paskutinių ataskaitinių finansinių metų metinių finansinių ataskaitų rinkinį arba patvirtintą įmonių grupės metinių konsoliduotųjų finansinių ataskaitų rinkinį, jei jį pareiškėjas privalo rengti pagal Lietuvos Respublikos įmonių grupių konsoliduotosios finansinės atskaitomybės įstatymo nuostatas (netaikoma, jeigu pareiškėjas yra pateikęs metinių finansinių ataskaitų rinkinį Juridinių asmenų registrui);</w:t>
            </w:r>
          </w:p>
          <w:p w14:paraId="58B1D8A7" w14:textId="39D16F49" w:rsidR="00251A80" w:rsidRDefault="00251A80" w:rsidP="00251A80">
            <w:pPr>
              <w:jc w:val="both"/>
              <w:rPr>
                <w:rFonts w:eastAsia="Calibri"/>
                <w:color w:val="000000"/>
              </w:rPr>
            </w:pPr>
            <w:r>
              <w:t>FA dokumentai prieinami Įmonių duomenų bazėse, kurias naudoja LVPA, tad nėra tikslo prašyti šių dokumentų pateikimo.</w:t>
            </w:r>
          </w:p>
          <w:p w14:paraId="50622A25" w14:textId="61C55A97" w:rsidR="00C1455D" w:rsidRPr="00C10C51" w:rsidRDefault="00C1455D" w:rsidP="00C10C51">
            <w:pPr>
              <w:pStyle w:val="CommentText"/>
              <w:jc w:val="both"/>
            </w:pPr>
          </w:p>
        </w:tc>
        <w:tc>
          <w:tcPr>
            <w:tcW w:w="6095" w:type="dxa"/>
          </w:tcPr>
          <w:p w14:paraId="14A5CDF6" w14:textId="3158F104" w:rsidR="00C1455D" w:rsidRDefault="00554D8A" w:rsidP="00C10C51">
            <w:r>
              <w:t>A</w:t>
            </w:r>
            <w:r w:rsidR="00C1455D">
              <w:t>tsižvelgta.</w:t>
            </w:r>
          </w:p>
          <w:p w14:paraId="60F79E96" w14:textId="4A784E1A" w:rsidR="00C1455D" w:rsidRDefault="301D159F" w:rsidP="00554D8A">
            <w:pPr>
              <w:jc w:val="both"/>
            </w:pPr>
            <w:r>
              <w:t>Taip, dokumentai prieinami, jei įmonė yra juos pateikusi Registrų centrui. Šio papunkčio pabaigoje nurodyta „</w:t>
            </w:r>
            <w:r w:rsidRPr="301D159F">
              <w:rPr>
                <w:i/>
                <w:iCs/>
              </w:rPr>
              <w:t>netaikoma, jeigu pareiškėjas yra pateikęs metinių finansinių ataskaitų rinkinį Juridinių asmenų registrui".</w:t>
            </w:r>
          </w:p>
        </w:tc>
      </w:tr>
      <w:tr w:rsidR="00C1455D" w:rsidRPr="00781CA4" w14:paraId="63A86CF2" w14:textId="77777777" w:rsidTr="301D159F">
        <w:tc>
          <w:tcPr>
            <w:tcW w:w="568" w:type="dxa"/>
            <w:vMerge/>
          </w:tcPr>
          <w:p w14:paraId="2AFA96BB" w14:textId="77777777" w:rsidR="00C1455D" w:rsidRDefault="00C1455D" w:rsidP="00C10C51">
            <w:pPr>
              <w:tabs>
                <w:tab w:val="left" w:pos="777"/>
              </w:tabs>
              <w:ind w:right="-12"/>
              <w:jc w:val="both"/>
            </w:pPr>
          </w:p>
        </w:tc>
        <w:tc>
          <w:tcPr>
            <w:tcW w:w="1985" w:type="dxa"/>
            <w:vMerge/>
          </w:tcPr>
          <w:p w14:paraId="6A7544D2" w14:textId="77777777" w:rsidR="00C1455D" w:rsidRDefault="00C1455D" w:rsidP="00C10C51">
            <w:pPr>
              <w:rPr>
                <w:b/>
                <w:bCs/>
              </w:rPr>
            </w:pPr>
          </w:p>
        </w:tc>
        <w:tc>
          <w:tcPr>
            <w:tcW w:w="6266" w:type="dxa"/>
          </w:tcPr>
          <w:p w14:paraId="4813D73B" w14:textId="05715474" w:rsidR="00E74F78" w:rsidRDefault="00E74F78" w:rsidP="00E74F78">
            <w:pPr>
              <w:jc w:val="both"/>
            </w:pPr>
            <w:r w:rsidRPr="7F0AC96A">
              <w:t>52.4.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w:t>
            </w:r>
          </w:p>
          <w:p w14:paraId="67C189E1" w14:textId="19BBD43A" w:rsidR="002F559F" w:rsidRDefault="002F559F" w:rsidP="00E74F78">
            <w:pPr>
              <w:jc w:val="both"/>
            </w:pPr>
            <w:r>
              <w:t xml:space="preserve">Apsiriboti Deklaracijos pateikimu, kad įmonė atitinka SVV subjekto sąlygas. Sąsajas su kitomis įmonėmis LVPA gali pasitikrinti JADIS sistemoje, taip pat preliminariai įvertinti naudojamose įmonių duomenų bazėse, pvz., </w:t>
            </w:r>
            <w:proofErr w:type="spellStart"/>
            <w:r>
              <w:t>Creditinfo</w:t>
            </w:r>
            <w:proofErr w:type="spellEnd"/>
            <w:r>
              <w:t xml:space="preserve">. </w:t>
            </w:r>
          </w:p>
          <w:p w14:paraId="2FDE11AB" w14:textId="6D926290" w:rsidR="00C1455D" w:rsidRPr="00C10C51" w:rsidRDefault="002F559F" w:rsidP="00EC68F3">
            <w:pPr>
              <w:jc w:val="both"/>
              <w:rPr>
                <w:szCs w:val="24"/>
              </w:rPr>
            </w:pPr>
            <w:r>
              <w:t>Analogiška pastaba dėl 52.7 p.</w:t>
            </w:r>
          </w:p>
        </w:tc>
        <w:tc>
          <w:tcPr>
            <w:tcW w:w="6095" w:type="dxa"/>
          </w:tcPr>
          <w:p w14:paraId="4C095854" w14:textId="6076473F" w:rsidR="00C1455D" w:rsidRDefault="00C1455D" w:rsidP="00C10C51">
            <w:r>
              <w:t>Neatsižvelgta.</w:t>
            </w:r>
          </w:p>
          <w:p w14:paraId="6EBDBFBE" w14:textId="59A29991" w:rsidR="00094471" w:rsidRDefault="00094471" w:rsidP="00094471">
            <w:pPr>
              <w:jc w:val="both"/>
              <w:rPr>
                <w:sz w:val="20"/>
              </w:rPr>
            </w:pPr>
            <w:r>
              <w:t xml:space="preserve">Preliminarus įvertinimas duomenų bazėse netinkamas, pagal Aprašą tinkamas pareiškėjas turi turėti MVĮ statusą. </w:t>
            </w:r>
            <w:r w:rsidRPr="00094471">
              <w:t xml:space="preserve">Deklaruodamas savo statusą, pareiškėjas turi pildyti deklaraciją ir nurodyti Smulkiojo ir vidutinio verslo plėtros įstatyme apibrėžtus duomenis.  </w:t>
            </w:r>
          </w:p>
          <w:p w14:paraId="0071D26A" w14:textId="77777777" w:rsidR="00094471" w:rsidRDefault="00094471" w:rsidP="00094471"/>
          <w:p w14:paraId="75589DBE" w14:textId="04590A6C" w:rsidR="00C1455D" w:rsidRDefault="301D159F" w:rsidP="00094471">
            <w:pPr>
              <w:jc w:val="both"/>
            </w:pPr>
            <w:r>
              <w:t xml:space="preserve">Analogiškai dėl „Vienos įmonės" deklaracijos. Pagal pareiškėjo nurodytus duomenis, patikrinama pareiškėjo teisę gauti bendrą vienai įmonei suteikiamą </w:t>
            </w:r>
            <w:r w:rsidRPr="301D159F">
              <w:rPr>
                <w:i/>
                <w:iCs/>
              </w:rPr>
              <w:t xml:space="preserve">de </w:t>
            </w:r>
            <w:proofErr w:type="spellStart"/>
            <w:r w:rsidRPr="301D159F">
              <w:rPr>
                <w:i/>
                <w:iCs/>
              </w:rPr>
              <w:t>minimis</w:t>
            </w:r>
            <w:proofErr w:type="spellEnd"/>
            <w:r>
              <w:t xml:space="preserve"> pagalbą.</w:t>
            </w:r>
          </w:p>
        </w:tc>
      </w:tr>
      <w:tr w:rsidR="00C1455D" w:rsidRPr="00781CA4" w14:paraId="428E9E8E" w14:textId="77777777" w:rsidTr="301D159F">
        <w:tc>
          <w:tcPr>
            <w:tcW w:w="568" w:type="dxa"/>
            <w:vMerge/>
          </w:tcPr>
          <w:p w14:paraId="7318813B" w14:textId="77777777" w:rsidR="00C1455D" w:rsidRDefault="00C1455D" w:rsidP="00C10C51">
            <w:pPr>
              <w:tabs>
                <w:tab w:val="left" w:pos="777"/>
              </w:tabs>
              <w:ind w:right="-12"/>
              <w:jc w:val="both"/>
            </w:pPr>
          </w:p>
        </w:tc>
        <w:tc>
          <w:tcPr>
            <w:tcW w:w="1985" w:type="dxa"/>
            <w:vMerge/>
          </w:tcPr>
          <w:p w14:paraId="0E22A68E" w14:textId="77777777" w:rsidR="00C1455D" w:rsidRDefault="00C1455D" w:rsidP="00C10C51">
            <w:pPr>
              <w:rPr>
                <w:b/>
                <w:bCs/>
              </w:rPr>
            </w:pPr>
          </w:p>
        </w:tc>
        <w:tc>
          <w:tcPr>
            <w:tcW w:w="6266" w:type="dxa"/>
          </w:tcPr>
          <w:p w14:paraId="485457EC" w14:textId="21858539" w:rsidR="004E4A8A" w:rsidRDefault="004E4A8A" w:rsidP="004E4A8A">
            <w:pPr>
              <w:jc w:val="both"/>
            </w:pPr>
            <w:r>
              <w:t>68. Ne vėliau kaip iki projekto sutarties pasirašymo pareiškėjas turi būti sudaręs sutartį gauti paskolą ir pateikęs jos kopiją įgyvendinančiajai institucijai, jei pareiškėjo įnašas arba įnašo dalis yra paskola. Jei pareiškėjas skolinasi ne iš kredito įstaigos (banko ar kredito unijos), kaip ji suprantama pagal Lietuvos Respublikos finansų įstaigų įstatymą, iki projekto sutarties pasirašymo pareiškėjas turi pateikti ir skolintojo finansinį pajėgumą skolinti atitinkamą lėšų sumą įrodančius dokumentus. Jei pareiškėjas per įgyvendinančiosios institucijos nustatytą projekto sutarties pasirašymo terminą neįvykdo šio reikalavimo, pasiūlymas pasirašyti projekto sutartį netenka galios ir projektas nefinansuojamas. Įgyvendinančiajai institucijai Aprašo 67 punkte nustatytu atveju pratęsus projekto sutarties pasirašymo terminą, atitinkamai prasitęsia paskolos sutarties kopijos pateikimo terminas.</w:t>
            </w:r>
          </w:p>
          <w:p w14:paraId="625C3B46" w14:textId="33EF071B" w:rsidR="00C1455D" w:rsidRDefault="004E4A8A" w:rsidP="00842849">
            <w:pPr>
              <w:pStyle w:val="CommentText"/>
              <w:jc w:val="both"/>
              <w:rPr>
                <w:szCs w:val="24"/>
              </w:rPr>
            </w:pPr>
            <w:r w:rsidRPr="004E4A8A">
              <w:rPr>
                <w:sz w:val="24"/>
                <w:szCs w:val="24"/>
              </w:rPr>
              <w:t>Ar yra buvusi praktika, kai projekto vykdytojas neturėjo nuosavų lėšų prisidėti prie projekto? Perteklinis reikalavimas, nepagrįstas verslo logika - jei verslas teikia paraišką, supranta, kiek ir kada jam reikės prisidėti.</w:t>
            </w:r>
          </w:p>
        </w:tc>
        <w:tc>
          <w:tcPr>
            <w:tcW w:w="6095" w:type="dxa"/>
          </w:tcPr>
          <w:p w14:paraId="6BD394F0" w14:textId="21395952" w:rsidR="00C1455D" w:rsidRDefault="00C1455D" w:rsidP="00C10C51">
            <w:r>
              <w:t>Atsižvelgta.</w:t>
            </w:r>
            <w:r w:rsidR="006A1A9F">
              <w:t xml:space="preserve"> Paaiškinta.</w:t>
            </w:r>
          </w:p>
          <w:p w14:paraId="075AD449" w14:textId="365163CE" w:rsidR="00C1455D" w:rsidRDefault="006A1A9F" w:rsidP="006A1A9F">
            <w:pPr>
              <w:jc w:val="both"/>
            </w:pPr>
            <w:r>
              <w:t>Taip, būna pareiškėjų, kurie neturi nuosavų lėšų prisidėti prie projekto finansavimo ir tokiu atveju įnašas į projektą yra skolintos lėšos.</w:t>
            </w:r>
          </w:p>
        </w:tc>
      </w:tr>
      <w:tr w:rsidR="00C1455D" w:rsidRPr="00781CA4" w14:paraId="772BB8B5" w14:textId="77777777" w:rsidTr="301D159F">
        <w:tc>
          <w:tcPr>
            <w:tcW w:w="568" w:type="dxa"/>
            <w:vMerge/>
          </w:tcPr>
          <w:p w14:paraId="1AF151C4" w14:textId="77777777" w:rsidR="00C1455D" w:rsidRDefault="00C1455D" w:rsidP="00C10C51">
            <w:pPr>
              <w:tabs>
                <w:tab w:val="left" w:pos="777"/>
              </w:tabs>
              <w:ind w:right="-12"/>
              <w:jc w:val="both"/>
            </w:pPr>
          </w:p>
        </w:tc>
        <w:tc>
          <w:tcPr>
            <w:tcW w:w="1985" w:type="dxa"/>
            <w:vMerge/>
          </w:tcPr>
          <w:p w14:paraId="36DA90EA" w14:textId="77777777" w:rsidR="00C1455D" w:rsidRDefault="00C1455D" w:rsidP="00C10C51">
            <w:pPr>
              <w:rPr>
                <w:b/>
                <w:bCs/>
              </w:rPr>
            </w:pPr>
          </w:p>
        </w:tc>
        <w:tc>
          <w:tcPr>
            <w:tcW w:w="6266" w:type="dxa"/>
          </w:tcPr>
          <w:p w14:paraId="4BD5620C" w14:textId="77777777" w:rsidR="00C1455D" w:rsidRDefault="00714FFB" w:rsidP="007B4B1A">
            <w:pPr>
              <w:jc w:val="both"/>
              <w:rPr>
                <w:rFonts w:eastAsia="Calibri"/>
              </w:rPr>
            </w:pPr>
            <w:r>
              <w:rPr>
                <w:rFonts w:eastAsia="Calibri"/>
              </w:rPr>
              <w:t>Prioritetinis projektų atrankos kriterijus. „</w:t>
            </w:r>
            <w:r w:rsidRPr="7F0AC96A">
              <w:rPr>
                <w:rFonts w:eastAsia="Calibri"/>
              </w:rPr>
              <w:t>Pareiškėjo eksporto augimo potencialas</w:t>
            </w:r>
            <w:r>
              <w:rPr>
                <w:rFonts w:eastAsia="Calibri"/>
              </w:rPr>
              <w:t>“</w:t>
            </w:r>
            <w:r w:rsidRPr="7F0AC96A">
              <w:rPr>
                <w:rFonts w:eastAsia="Calibri"/>
              </w:rPr>
              <w:t>.</w:t>
            </w:r>
          </w:p>
          <w:p w14:paraId="79F62A22" w14:textId="26A9DAC3" w:rsidR="00C249F6" w:rsidRPr="001E60AC" w:rsidRDefault="00C249F6" w:rsidP="00C249F6">
            <w:pPr>
              <w:jc w:val="both"/>
              <w:rPr>
                <w:highlight w:val="yellow"/>
              </w:rPr>
            </w:pPr>
            <w:r>
              <w:t>Siūlytume didesnį prioritetą teikti eksporto patirtį turinčioms įmonėms, vertinant tiek eksportavimo trukmę, tiek ir eksporto apimtis. Didesnė tikimybė, kad patyrusi įmonė sertifikavusi naują produktą/paslaugą sėkmingiau eksportuos, nei ta, kuri eksporto patirties neturi arba eksportas atsitiktinis ir nereikšmingas įmonės veiklai.</w:t>
            </w:r>
          </w:p>
        </w:tc>
        <w:tc>
          <w:tcPr>
            <w:tcW w:w="6095" w:type="dxa"/>
          </w:tcPr>
          <w:p w14:paraId="68B83DF9" w14:textId="77777777" w:rsidR="00C1455D" w:rsidRPr="00C249F6" w:rsidRDefault="00C1455D" w:rsidP="00C10C51">
            <w:r w:rsidRPr="00C249F6">
              <w:t>Neatsižvelgta.</w:t>
            </w:r>
          </w:p>
          <w:p w14:paraId="73BB6557" w14:textId="7AF1BA67" w:rsidR="00C1455D" w:rsidRPr="00B9120E" w:rsidRDefault="301D159F" w:rsidP="005308AC">
            <w:pPr>
              <w:jc w:val="both"/>
              <w:rPr>
                <w:highlight w:val="yellow"/>
                <w:lang w:val="en-US"/>
              </w:rPr>
            </w:pPr>
            <w:r>
              <w:t xml:space="preserve">Projektų atrankos kriterijai jau patvirtinti 2022 m. sausio 17 d. </w:t>
            </w:r>
            <w:r w:rsidRPr="301D159F">
              <w:rPr>
                <w:rFonts w:eastAsia="Calibri"/>
              </w:rPr>
              <w:t>2014–2020 metų Europos Sąjungos fondų investicijų veiksmų programos stebėsenos komiteto protokoliniu sprendimu</w:t>
            </w:r>
            <w:r>
              <w:t xml:space="preserve"> Nr. 44P-1 (71), todėl jų keisti negalime. Be to, kriterijai buvo paskelbti viešam aptarimui nuo 2021-12-23 iki 2021-12-31, bet socialinių ekonominių partneriu pastabų negauta.</w:t>
            </w:r>
          </w:p>
        </w:tc>
      </w:tr>
      <w:tr w:rsidR="00C1455D" w:rsidRPr="00781CA4" w14:paraId="4C6AF21D" w14:textId="77777777" w:rsidTr="301D159F">
        <w:tc>
          <w:tcPr>
            <w:tcW w:w="568" w:type="dxa"/>
            <w:vMerge/>
          </w:tcPr>
          <w:p w14:paraId="2BCE8A79" w14:textId="77777777" w:rsidR="00C1455D" w:rsidRDefault="00C1455D" w:rsidP="00C10C51">
            <w:pPr>
              <w:tabs>
                <w:tab w:val="left" w:pos="777"/>
              </w:tabs>
              <w:ind w:right="-12"/>
              <w:jc w:val="both"/>
            </w:pPr>
          </w:p>
        </w:tc>
        <w:tc>
          <w:tcPr>
            <w:tcW w:w="1985" w:type="dxa"/>
            <w:vMerge/>
          </w:tcPr>
          <w:p w14:paraId="2DA300CD" w14:textId="77777777" w:rsidR="00C1455D" w:rsidRDefault="00C1455D" w:rsidP="00C10C51">
            <w:pPr>
              <w:rPr>
                <w:b/>
                <w:bCs/>
              </w:rPr>
            </w:pPr>
          </w:p>
        </w:tc>
        <w:tc>
          <w:tcPr>
            <w:tcW w:w="6266" w:type="dxa"/>
          </w:tcPr>
          <w:p w14:paraId="79B85E1C" w14:textId="77777777" w:rsidR="00C1455D" w:rsidRDefault="008B6F37" w:rsidP="007B4B1A">
            <w:pPr>
              <w:jc w:val="both"/>
            </w:pPr>
            <w:r>
              <w:t xml:space="preserve">Pareiškėjo vykdoma pagrindinė ekonominė veikla yra įtraukta į </w:t>
            </w:r>
            <w:hyperlink r:id="rId7">
              <w:r w:rsidRPr="7F0AC96A">
                <w:rPr>
                  <w:rStyle w:val="Hyperlink"/>
                </w:rPr>
                <w:t>Karantino metu ribojamų ir netiesiogiai ribojamų ūkinių veiklų sąrašą, patvirtintą Lietuvos Respublikos ekonomikos ir inovacijų ministro ir Lietuvos Respublikos socialinės apsaugos ir darbo ministro 2020 m. gruodžio 30 d. įsakymu Nr. 4-1171/A1-1301 „Dėl Karantino metu ribojamų ir netiesiogiai ribojamų ūkinių veiklų sąrašo patvirtinimo“</w:t>
              </w:r>
            </w:hyperlink>
            <w:r>
              <w:t xml:space="preserve"> (toliau – Sąrašas).</w:t>
            </w:r>
          </w:p>
          <w:p w14:paraId="3B3D0F2F" w14:textId="77777777" w:rsidR="00941F77" w:rsidRPr="00941F77" w:rsidRDefault="00941F77" w:rsidP="00941F77">
            <w:pPr>
              <w:pStyle w:val="CommentText"/>
              <w:jc w:val="both"/>
              <w:rPr>
                <w:sz w:val="24"/>
                <w:szCs w:val="24"/>
              </w:rPr>
            </w:pPr>
            <w:r w:rsidRPr="00941F77">
              <w:rPr>
                <w:sz w:val="24"/>
                <w:szCs w:val="24"/>
              </w:rPr>
              <w:t xml:space="preserve">Veiklos sąraše visiškai nesusijusios su eksporto skatinamosiomis – proveržio veiklomis, numatytomis sumanios specializacijos programoje. Keista būtų nesilaikyti vieningos krypties ir šia priemone skatinti kitus sektorius. Šiame dokumente numatyti sektoriai didžiąją dalimi susiję su veikla vietinėje rinkoje, o ne eksportu. </w:t>
            </w:r>
          </w:p>
          <w:p w14:paraId="307C590A" w14:textId="77777777" w:rsidR="00941F77" w:rsidRPr="00941F77" w:rsidRDefault="00941F77" w:rsidP="00941F77">
            <w:pPr>
              <w:pStyle w:val="CommentText"/>
              <w:jc w:val="both"/>
              <w:rPr>
                <w:sz w:val="24"/>
                <w:szCs w:val="24"/>
              </w:rPr>
            </w:pPr>
            <w:r w:rsidRPr="00941F77">
              <w:rPr>
                <w:sz w:val="24"/>
                <w:szCs w:val="24"/>
              </w:rPr>
              <w:t>Mano nuomone nėra tinkamas prioritetas. Siūloma prioritetą taikyti Proveržio sritims pagal sumanią specializaciją.</w:t>
            </w:r>
          </w:p>
          <w:p w14:paraId="4AE51F1D" w14:textId="77777777" w:rsidR="00941F77" w:rsidRDefault="00941F77" w:rsidP="00941F77">
            <w:pPr>
              <w:jc w:val="both"/>
            </w:pPr>
            <w:r>
              <w:t xml:space="preserve">Taip pat prasilenkia su logika dėl sunkumus patiriančių įmonių kriterijų taikymo: šiame sąraše nurodyti sektoriai, labiausiai nukentėję nuo </w:t>
            </w:r>
            <w:proofErr w:type="spellStart"/>
            <w:r>
              <w:t>covid</w:t>
            </w:r>
            <w:proofErr w:type="spellEnd"/>
            <w:r>
              <w:t>, bet iš kitos pusės ribojama dėl sunkumų patyrimo.</w:t>
            </w:r>
          </w:p>
          <w:p w14:paraId="61627ED4" w14:textId="0CBA4E95" w:rsidR="00974333" w:rsidRDefault="00974333" w:rsidP="00941F77">
            <w:pPr>
              <w:jc w:val="both"/>
              <w:rPr>
                <w:rFonts w:eastAsia="Calibri"/>
                <w:szCs w:val="24"/>
              </w:rPr>
            </w:pPr>
            <w:r>
              <w:t>Tai yra žemesnės pridėtinės vertės, ne į eksportą orientuotos veiklos.</w:t>
            </w:r>
          </w:p>
        </w:tc>
        <w:tc>
          <w:tcPr>
            <w:tcW w:w="6095" w:type="dxa"/>
          </w:tcPr>
          <w:p w14:paraId="4FA653C8" w14:textId="1A2EA2AD" w:rsidR="00C1455D" w:rsidRPr="007D0A65" w:rsidRDefault="007D0A65" w:rsidP="00C10C51">
            <w:pPr>
              <w:rPr>
                <w:szCs w:val="24"/>
              </w:rPr>
            </w:pPr>
            <w:r w:rsidRPr="007D0A65">
              <w:rPr>
                <w:szCs w:val="24"/>
              </w:rPr>
              <w:t>Neatsižvelgta.</w:t>
            </w:r>
          </w:p>
          <w:p w14:paraId="0A2394C7" w14:textId="77777777" w:rsidR="007D0A65" w:rsidRPr="007D0A65" w:rsidRDefault="007D0A65" w:rsidP="00126B32">
            <w:pPr>
              <w:pStyle w:val="xxmsonormal"/>
              <w:ind w:right="283"/>
              <w:jc w:val="both"/>
              <w:rPr>
                <w:rFonts w:ascii="Times New Roman" w:eastAsia="Times New Roman" w:hAnsi="Times New Roman" w:cs="Times New Roman"/>
                <w:sz w:val="24"/>
                <w:szCs w:val="24"/>
              </w:rPr>
            </w:pPr>
            <w:bookmarkStart w:id="1" w:name="_GoBack"/>
            <w:r w:rsidRPr="007D0A65">
              <w:rPr>
                <w:rFonts w:ascii="Times New Roman" w:eastAsia="Times New Roman" w:hAnsi="Times New Roman" w:cs="Times New Roman"/>
                <w:sz w:val="24"/>
                <w:szCs w:val="24"/>
              </w:rPr>
              <w:t>Karantino metu ribojamų ir netiesiogiai ribojamų ūkinių veiklų sąrašas, patvirtintas Lietuvos Respublikos ekonomikos ir inovacijų ministro ir Lietuvos Respublikos socialinės apsaugos ir darbo ministro 2020 m. gruodžio 30 d. įsakymu Nr. 4-1171/A1-1301 „Dėl Karantino metu ribojamų ir netiesiogiai ribojamų ūkinių veiklų sąrašo patvirtinimo“ (toliau – Sąrašas), buvo papildytas naujais ekonominės veiklos rūšių klasifikatorių kodais, siekiant kad kuo daugiau dėl COVID-19 pandemijos su likvidumo sunkumais ir tiekimo grandinės sutrikimais susiduriančių verslo subjektų turėtų galimybę gauti pagalbą, bei atsižvelgiant į tebesitęsiantį neigiamą COVID- 19 pandemijos poveikį Lietuvos ekonomikai.</w:t>
            </w:r>
          </w:p>
          <w:p w14:paraId="120F462D" w14:textId="77777777" w:rsidR="007D0A65" w:rsidRPr="007D0A65" w:rsidRDefault="007D0A65" w:rsidP="00126B32">
            <w:pPr>
              <w:pStyle w:val="xxmsonormal"/>
              <w:ind w:right="283"/>
              <w:jc w:val="both"/>
              <w:rPr>
                <w:rFonts w:ascii="Times New Roman" w:eastAsia="Times New Roman" w:hAnsi="Times New Roman" w:cs="Times New Roman"/>
                <w:sz w:val="24"/>
                <w:szCs w:val="24"/>
              </w:rPr>
            </w:pPr>
            <w:r w:rsidRPr="007D0A65">
              <w:rPr>
                <w:rFonts w:ascii="Times New Roman" w:eastAsia="Times New Roman" w:hAnsi="Times New Roman" w:cs="Times New Roman"/>
                <w:sz w:val="24"/>
                <w:szCs w:val="24"/>
              </w:rPr>
              <w:t>Sąrašas papildytas šiais ekonominės veiklos rūšių klasifikatorių kodais:</w:t>
            </w:r>
          </w:p>
          <w:p w14:paraId="6F03E271" w14:textId="77777777" w:rsidR="007D0A65" w:rsidRPr="007D0A65" w:rsidRDefault="007D0A65" w:rsidP="00126B32">
            <w:pPr>
              <w:pStyle w:val="xxmsonormal"/>
              <w:ind w:right="283" w:firstLine="720"/>
              <w:jc w:val="both"/>
              <w:rPr>
                <w:rFonts w:ascii="Times New Roman" w:eastAsia="Times New Roman" w:hAnsi="Times New Roman" w:cs="Times New Roman"/>
                <w:sz w:val="24"/>
                <w:szCs w:val="24"/>
              </w:rPr>
            </w:pPr>
            <w:r w:rsidRPr="007D0A65">
              <w:rPr>
                <w:rFonts w:ascii="Times New Roman" w:eastAsia="Times New Roman" w:hAnsi="Times New Roman" w:cs="Times New Roman"/>
                <w:sz w:val="24"/>
                <w:szCs w:val="24"/>
              </w:rPr>
              <w:t>-10 Maisto produktų gamyba</w:t>
            </w:r>
          </w:p>
          <w:p w14:paraId="03130ECD" w14:textId="77777777" w:rsidR="007D0A65" w:rsidRPr="007D0A65" w:rsidRDefault="007D0A65" w:rsidP="00126B32">
            <w:pPr>
              <w:pStyle w:val="xxmsonormal"/>
              <w:ind w:right="283" w:firstLine="720"/>
              <w:jc w:val="both"/>
              <w:rPr>
                <w:rFonts w:ascii="Times New Roman" w:eastAsia="Times New Roman" w:hAnsi="Times New Roman" w:cs="Times New Roman"/>
                <w:sz w:val="24"/>
                <w:szCs w:val="24"/>
              </w:rPr>
            </w:pPr>
            <w:r w:rsidRPr="007D0A65">
              <w:rPr>
                <w:rFonts w:ascii="Times New Roman" w:eastAsia="Times New Roman" w:hAnsi="Times New Roman" w:cs="Times New Roman"/>
                <w:sz w:val="24"/>
                <w:szCs w:val="24"/>
              </w:rPr>
              <w:t>-11 Gėrimų gamyba</w:t>
            </w:r>
          </w:p>
          <w:p w14:paraId="0D2B8ACB" w14:textId="77777777" w:rsidR="007D0A65" w:rsidRPr="007D0A65" w:rsidRDefault="007D0A65" w:rsidP="00126B32">
            <w:pPr>
              <w:pStyle w:val="xxmsonormal"/>
              <w:ind w:right="283" w:firstLine="720"/>
              <w:jc w:val="both"/>
              <w:rPr>
                <w:rFonts w:ascii="Times New Roman" w:eastAsia="Times New Roman" w:hAnsi="Times New Roman" w:cs="Times New Roman"/>
                <w:sz w:val="24"/>
                <w:szCs w:val="24"/>
              </w:rPr>
            </w:pPr>
            <w:r w:rsidRPr="007D0A65">
              <w:rPr>
                <w:rFonts w:ascii="Times New Roman" w:eastAsia="Times New Roman" w:hAnsi="Times New Roman" w:cs="Times New Roman"/>
                <w:sz w:val="24"/>
                <w:szCs w:val="24"/>
              </w:rPr>
              <w:t>-16 Medienos bei medienos ir kamštienos gaminių, išskyrus baldus, gamyba; gaminių iš šiaudų ir pynimo medžiagų gamyba</w:t>
            </w:r>
          </w:p>
          <w:p w14:paraId="5A7849B1" w14:textId="77777777" w:rsidR="007D0A65" w:rsidRPr="007D0A65" w:rsidRDefault="007D0A65" w:rsidP="00126B32">
            <w:pPr>
              <w:pStyle w:val="xxmsonormal"/>
              <w:ind w:right="283" w:firstLine="720"/>
              <w:jc w:val="both"/>
              <w:rPr>
                <w:rFonts w:ascii="Times New Roman" w:eastAsia="Times New Roman" w:hAnsi="Times New Roman" w:cs="Times New Roman"/>
                <w:sz w:val="24"/>
                <w:szCs w:val="24"/>
              </w:rPr>
            </w:pPr>
            <w:r w:rsidRPr="007D0A65">
              <w:rPr>
                <w:rFonts w:ascii="Times New Roman" w:eastAsia="Times New Roman" w:hAnsi="Times New Roman" w:cs="Times New Roman"/>
                <w:sz w:val="24"/>
                <w:szCs w:val="24"/>
              </w:rPr>
              <w:t>-17 Popieriaus ir popieriaus gaminių gamyba</w:t>
            </w:r>
          </w:p>
          <w:p w14:paraId="53AFE1C2" w14:textId="77777777" w:rsidR="007D0A65" w:rsidRPr="007D0A65" w:rsidRDefault="007D0A65" w:rsidP="00126B32">
            <w:pPr>
              <w:pStyle w:val="xxmsonormal"/>
              <w:ind w:right="283" w:firstLine="720"/>
              <w:jc w:val="both"/>
              <w:rPr>
                <w:rFonts w:ascii="Times New Roman" w:eastAsia="Times New Roman" w:hAnsi="Times New Roman" w:cs="Times New Roman"/>
                <w:sz w:val="24"/>
                <w:szCs w:val="24"/>
              </w:rPr>
            </w:pPr>
            <w:r w:rsidRPr="007D0A65">
              <w:rPr>
                <w:rFonts w:ascii="Times New Roman" w:eastAsia="Times New Roman" w:hAnsi="Times New Roman" w:cs="Times New Roman"/>
                <w:sz w:val="24"/>
                <w:szCs w:val="24"/>
              </w:rPr>
              <w:t>-20 Chemikalų ir chemijos produktų gamyba</w:t>
            </w:r>
          </w:p>
          <w:p w14:paraId="1D74B18F" w14:textId="77777777" w:rsidR="007D0A65" w:rsidRPr="007D0A65" w:rsidRDefault="007D0A65" w:rsidP="00126B32">
            <w:pPr>
              <w:pStyle w:val="xxmsonormal"/>
              <w:ind w:right="283" w:firstLine="720"/>
              <w:jc w:val="both"/>
              <w:rPr>
                <w:rFonts w:ascii="Times New Roman" w:eastAsia="Times New Roman" w:hAnsi="Times New Roman" w:cs="Times New Roman"/>
                <w:sz w:val="24"/>
                <w:szCs w:val="24"/>
              </w:rPr>
            </w:pPr>
            <w:r w:rsidRPr="007D0A65">
              <w:rPr>
                <w:rFonts w:ascii="Times New Roman" w:eastAsia="Times New Roman" w:hAnsi="Times New Roman" w:cs="Times New Roman"/>
                <w:sz w:val="24"/>
                <w:szCs w:val="24"/>
              </w:rPr>
              <w:t>-21 Pagrindinių vaistų pramonės gaminių ir farmacinių preparatų gamyba</w:t>
            </w:r>
          </w:p>
          <w:p w14:paraId="20CC8BE0" w14:textId="77777777" w:rsidR="007D0A65" w:rsidRPr="007D0A65" w:rsidRDefault="007D0A65" w:rsidP="00126B32">
            <w:pPr>
              <w:pStyle w:val="xxmsonormal"/>
              <w:ind w:right="283" w:firstLine="720"/>
              <w:jc w:val="both"/>
              <w:rPr>
                <w:rFonts w:ascii="Times New Roman" w:eastAsia="Times New Roman" w:hAnsi="Times New Roman" w:cs="Times New Roman"/>
                <w:sz w:val="24"/>
                <w:szCs w:val="24"/>
              </w:rPr>
            </w:pPr>
            <w:r w:rsidRPr="007D0A65">
              <w:rPr>
                <w:rFonts w:ascii="Times New Roman" w:eastAsia="Times New Roman" w:hAnsi="Times New Roman" w:cs="Times New Roman"/>
                <w:sz w:val="24"/>
                <w:szCs w:val="24"/>
              </w:rPr>
              <w:t>-25 Metalo gaminių, išskyrus mašinas ir įrenginius, gamyba</w:t>
            </w:r>
          </w:p>
          <w:p w14:paraId="621ECA71" w14:textId="77777777" w:rsidR="007D0A65" w:rsidRPr="007D0A65" w:rsidRDefault="007D0A65" w:rsidP="00126B32">
            <w:pPr>
              <w:pStyle w:val="xxmsonormal"/>
              <w:ind w:right="283" w:firstLine="720"/>
              <w:jc w:val="both"/>
              <w:rPr>
                <w:rFonts w:ascii="Times New Roman" w:eastAsia="Times New Roman" w:hAnsi="Times New Roman" w:cs="Times New Roman"/>
                <w:sz w:val="24"/>
                <w:szCs w:val="24"/>
              </w:rPr>
            </w:pPr>
            <w:r w:rsidRPr="007D0A65">
              <w:rPr>
                <w:rFonts w:ascii="Times New Roman" w:eastAsia="Times New Roman" w:hAnsi="Times New Roman" w:cs="Times New Roman"/>
                <w:sz w:val="24"/>
                <w:szCs w:val="24"/>
              </w:rPr>
              <w:t>-26 Kompiuterinių, elektroninių ir optinių gaminių gamyba</w:t>
            </w:r>
          </w:p>
          <w:p w14:paraId="5249487C" w14:textId="77777777" w:rsidR="007D0A65" w:rsidRPr="007D0A65" w:rsidRDefault="007D0A65" w:rsidP="00126B32">
            <w:pPr>
              <w:pStyle w:val="xxmsonormal"/>
              <w:ind w:right="283" w:firstLine="720"/>
              <w:jc w:val="both"/>
              <w:rPr>
                <w:rFonts w:ascii="Times New Roman" w:eastAsia="Times New Roman" w:hAnsi="Times New Roman" w:cs="Times New Roman"/>
                <w:sz w:val="24"/>
                <w:szCs w:val="24"/>
              </w:rPr>
            </w:pPr>
            <w:r w:rsidRPr="007D0A65">
              <w:rPr>
                <w:rFonts w:ascii="Times New Roman" w:eastAsia="Times New Roman" w:hAnsi="Times New Roman" w:cs="Times New Roman"/>
                <w:sz w:val="24"/>
                <w:szCs w:val="24"/>
              </w:rPr>
              <w:t>-31 Baldų gamyba</w:t>
            </w:r>
          </w:p>
          <w:p w14:paraId="1AA87A5D" w14:textId="61310B08" w:rsidR="00C1455D" w:rsidRPr="00CA4EDF" w:rsidRDefault="006709B0" w:rsidP="00126B32">
            <w:pPr>
              <w:pStyle w:val="xxmsonormal"/>
              <w:ind w:right="-71"/>
              <w:jc w:val="both"/>
              <w:rPr>
                <w:rFonts w:ascii="Times New Roman" w:hAnsi="Times New Roman" w:cs="Times New Roman"/>
                <w:color w:val="000000"/>
                <w:sz w:val="24"/>
                <w:szCs w:val="24"/>
              </w:rPr>
            </w:pPr>
            <w:r>
              <w:rPr>
                <w:rFonts w:ascii="Times New Roman" w:eastAsia="Times New Roman" w:hAnsi="Times New Roman" w:cs="Times New Roman"/>
                <w:sz w:val="24"/>
                <w:szCs w:val="24"/>
              </w:rPr>
              <w:t>Pažymėtina, kad s</w:t>
            </w:r>
            <w:r w:rsidR="007D0A65" w:rsidRPr="007D0A65">
              <w:rPr>
                <w:rFonts w:ascii="Times New Roman" w:eastAsia="Times New Roman" w:hAnsi="Times New Roman" w:cs="Times New Roman"/>
                <w:sz w:val="24"/>
                <w:szCs w:val="24"/>
              </w:rPr>
              <w:t>ąrašo papildymui šiais ekonominės veiklos rūšių klasifikatorių kodais buvo pritarta LR Vyriausybės 2022 m. sausio 19 d. pasitarimo protokolu  Nr.</w:t>
            </w:r>
            <w:r w:rsidR="007D0A65" w:rsidRPr="007D0A65">
              <w:rPr>
                <w:rFonts w:ascii="Times New Roman" w:hAnsi="Times New Roman" w:cs="Times New Roman"/>
                <w:color w:val="000000"/>
                <w:sz w:val="24"/>
                <w:szCs w:val="24"/>
              </w:rPr>
              <w:t xml:space="preserve"> 3. Taip pat Sąrašas buvo derinamas su visuomene, tačiau pastabų ir pasiūlymų dėl Sąrašo papildymo naujais ek</w:t>
            </w:r>
            <w:bookmarkEnd w:id="1"/>
            <w:r w:rsidR="007D0A65" w:rsidRPr="007D0A65">
              <w:rPr>
                <w:rFonts w:ascii="Times New Roman" w:hAnsi="Times New Roman" w:cs="Times New Roman"/>
                <w:color w:val="000000"/>
                <w:sz w:val="24"/>
                <w:szCs w:val="24"/>
              </w:rPr>
              <w:t>onominės veiklos rūšių klasifikatorių kodais nebuvo gauta.</w:t>
            </w:r>
          </w:p>
        </w:tc>
      </w:tr>
    </w:tbl>
    <w:p w14:paraId="415F2037" w14:textId="77777777" w:rsidR="005C5ECB" w:rsidRPr="0036662A" w:rsidRDefault="005C5ECB" w:rsidP="00126B32">
      <w:pPr>
        <w:rPr>
          <w:b/>
          <w:bCs/>
          <w:caps/>
          <w:szCs w:val="24"/>
        </w:rPr>
      </w:pPr>
    </w:p>
    <w:sectPr w:rsidR="005C5ECB" w:rsidRPr="0036662A" w:rsidSect="00AC66DF">
      <w:headerReference w:type="default" r:id="rId8"/>
      <w:pgSz w:w="16838" w:h="11906" w:orient="landscape"/>
      <w:pgMar w:top="1701" w:right="1701" w:bottom="567" w:left="1134" w:header="567" w:footer="567" w:gutter="5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F82C0" w14:textId="77777777" w:rsidR="002A22B7" w:rsidRDefault="002A22B7" w:rsidP="00ED3CF6">
      <w:r>
        <w:separator/>
      </w:r>
    </w:p>
  </w:endnote>
  <w:endnote w:type="continuationSeparator" w:id="0">
    <w:p w14:paraId="74B27A47" w14:textId="77777777" w:rsidR="002A22B7" w:rsidRDefault="002A22B7" w:rsidP="00ED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Arno Pro">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E64E5" w14:textId="77777777" w:rsidR="002A22B7" w:rsidRDefault="002A22B7" w:rsidP="00ED3CF6">
      <w:r>
        <w:separator/>
      </w:r>
    </w:p>
  </w:footnote>
  <w:footnote w:type="continuationSeparator" w:id="0">
    <w:p w14:paraId="6E7C3D7E" w14:textId="77777777" w:rsidR="002A22B7" w:rsidRDefault="002A22B7" w:rsidP="00ED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414820"/>
      <w:docPartObj>
        <w:docPartGallery w:val="Page Numbers (Top of Page)"/>
        <w:docPartUnique/>
      </w:docPartObj>
    </w:sdtPr>
    <w:sdtEndPr/>
    <w:sdtContent>
      <w:p w14:paraId="51AEA7AF" w14:textId="110088B6" w:rsidR="00AC66DF" w:rsidRDefault="00AC66DF">
        <w:pPr>
          <w:pStyle w:val="Header"/>
          <w:jc w:val="center"/>
        </w:pPr>
        <w:r>
          <w:fldChar w:fldCharType="begin"/>
        </w:r>
        <w:r>
          <w:instrText>PAGE   \* MERGEFORMAT</w:instrText>
        </w:r>
        <w:r>
          <w:fldChar w:fldCharType="separate"/>
        </w:r>
        <w:r w:rsidR="00126B32">
          <w:rPr>
            <w:noProof/>
          </w:rPr>
          <w:t>7</w:t>
        </w:r>
        <w:r>
          <w:fldChar w:fldCharType="end"/>
        </w:r>
      </w:p>
    </w:sdtContent>
  </w:sdt>
  <w:p w14:paraId="7C23CB94" w14:textId="77777777" w:rsidR="00AC66DF" w:rsidRDefault="00AC6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AD7"/>
    <w:multiLevelType w:val="hybridMultilevel"/>
    <w:tmpl w:val="2264A0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25567D"/>
    <w:multiLevelType w:val="hybridMultilevel"/>
    <w:tmpl w:val="A364BA40"/>
    <w:lvl w:ilvl="0" w:tplc="B9D22B3A">
      <w:start w:val="2"/>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B811AD"/>
    <w:multiLevelType w:val="hybridMultilevel"/>
    <w:tmpl w:val="FFEA792E"/>
    <w:lvl w:ilvl="0" w:tplc="94646526">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246584"/>
    <w:multiLevelType w:val="hybridMultilevel"/>
    <w:tmpl w:val="BF9C5992"/>
    <w:lvl w:ilvl="0" w:tplc="6854B414">
      <w:numFmt w:val="bullet"/>
      <w:lvlText w:val="-"/>
      <w:lvlJc w:val="left"/>
      <w:pPr>
        <w:ind w:left="720" w:hanging="360"/>
      </w:pPr>
      <w:rPr>
        <w:rFonts w:ascii="Calibri" w:eastAsia="Calibr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D96130"/>
    <w:multiLevelType w:val="hybridMultilevel"/>
    <w:tmpl w:val="72AC8F62"/>
    <w:lvl w:ilvl="0" w:tplc="12BAA798">
      <w:start w:val="4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A85A49"/>
    <w:multiLevelType w:val="hybridMultilevel"/>
    <w:tmpl w:val="3C8ADB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E65D90"/>
    <w:multiLevelType w:val="hybridMultilevel"/>
    <w:tmpl w:val="44D6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55322"/>
    <w:multiLevelType w:val="hybridMultilevel"/>
    <w:tmpl w:val="2E0013D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6EA632D0"/>
    <w:multiLevelType w:val="multilevel"/>
    <w:tmpl w:val="0548E5CE"/>
    <w:lvl w:ilvl="0">
      <w:start w:val="1"/>
      <w:numFmt w:val="decimal"/>
      <w:lvlText w:val="%1."/>
      <w:lvlJc w:val="left"/>
      <w:pPr>
        <w:ind w:left="360" w:hanging="360"/>
      </w:pPr>
    </w:lvl>
    <w:lvl w:ilvl="1">
      <w:start w:val="1"/>
      <w:numFmt w:val="decimal"/>
      <w:isLgl/>
      <w:lvlText w:val="%1.%2."/>
      <w:lvlJc w:val="left"/>
      <w:pPr>
        <w:ind w:left="360" w:hanging="360"/>
      </w:pPr>
      <w:rPr>
        <w:rFonts w:eastAsia="AngsanaUPC" w:hint="default"/>
        <w:b/>
        <w:color w:val="000000" w:themeColor="text1"/>
      </w:rPr>
    </w:lvl>
    <w:lvl w:ilvl="2">
      <w:start w:val="1"/>
      <w:numFmt w:val="decimal"/>
      <w:isLgl/>
      <w:lvlText w:val="%1.%2.%3."/>
      <w:lvlJc w:val="left"/>
      <w:pPr>
        <w:ind w:left="720" w:hanging="720"/>
      </w:pPr>
      <w:rPr>
        <w:rFonts w:eastAsia="AngsanaUPC" w:hint="default"/>
        <w:color w:val="000000" w:themeColor="text1"/>
      </w:rPr>
    </w:lvl>
    <w:lvl w:ilvl="3">
      <w:start w:val="1"/>
      <w:numFmt w:val="decimal"/>
      <w:isLgl/>
      <w:lvlText w:val="%1.%2.%3.%4."/>
      <w:lvlJc w:val="left"/>
      <w:pPr>
        <w:ind w:left="720" w:hanging="720"/>
      </w:pPr>
      <w:rPr>
        <w:rFonts w:eastAsia="AngsanaUPC" w:hint="default"/>
        <w:color w:val="000000" w:themeColor="text1"/>
      </w:rPr>
    </w:lvl>
    <w:lvl w:ilvl="4">
      <w:start w:val="1"/>
      <w:numFmt w:val="decimal"/>
      <w:isLgl/>
      <w:lvlText w:val="%1.%2.%3.%4.%5."/>
      <w:lvlJc w:val="left"/>
      <w:pPr>
        <w:ind w:left="1080" w:hanging="1080"/>
      </w:pPr>
      <w:rPr>
        <w:rFonts w:eastAsia="AngsanaUPC" w:hint="default"/>
        <w:color w:val="000000" w:themeColor="text1"/>
      </w:rPr>
    </w:lvl>
    <w:lvl w:ilvl="5">
      <w:start w:val="1"/>
      <w:numFmt w:val="decimal"/>
      <w:isLgl/>
      <w:lvlText w:val="%1.%2.%3.%4.%5.%6."/>
      <w:lvlJc w:val="left"/>
      <w:pPr>
        <w:ind w:left="1080" w:hanging="1080"/>
      </w:pPr>
      <w:rPr>
        <w:rFonts w:eastAsia="AngsanaUPC" w:hint="default"/>
        <w:color w:val="000000" w:themeColor="text1"/>
      </w:rPr>
    </w:lvl>
    <w:lvl w:ilvl="6">
      <w:start w:val="1"/>
      <w:numFmt w:val="decimal"/>
      <w:isLgl/>
      <w:lvlText w:val="%1.%2.%3.%4.%5.%6.%7."/>
      <w:lvlJc w:val="left"/>
      <w:pPr>
        <w:ind w:left="1440" w:hanging="1440"/>
      </w:pPr>
      <w:rPr>
        <w:rFonts w:eastAsia="AngsanaUPC" w:hint="default"/>
        <w:color w:val="000000" w:themeColor="text1"/>
      </w:rPr>
    </w:lvl>
    <w:lvl w:ilvl="7">
      <w:start w:val="1"/>
      <w:numFmt w:val="decimal"/>
      <w:isLgl/>
      <w:lvlText w:val="%1.%2.%3.%4.%5.%6.%7.%8."/>
      <w:lvlJc w:val="left"/>
      <w:pPr>
        <w:ind w:left="1440" w:hanging="1440"/>
      </w:pPr>
      <w:rPr>
        <w:rFonts w:eastAsia="AngsanaUPC" w:hint="default"/>
        <w:color w:val="000000" w:themeColor="text1"/>
      </w:rPr>
    </w:lvl>
    <w:lvl w:ilvl="8">
      <w:start w:val="1"/>
      <w:numFmt w:val="decimal"/>
      <w:isLgl/>
      <w:lvlText w:val="%1.%2.%3.%4.%5.%6.%7.%8.%9."/>
      <w:lvlJc w:val="left"/>
      <w:pPr>
        <w:ind w:left="1800" w:hanging="1800"/>
      </w:pPr>
      <w:rPr>
        <w:rFonts w:eastAsia="AngsanaUPC" w:hint="default"/>
        <w:color w:val="000000" w:themeColor="text1"/>
      </w:rPr>
    </w:lvl>
  </w:abstractNum>
  <w:num w:numId="1">
    <w:abstractNumId w:val="8"/>
  </w:num>
  <w:num w:numId="2">
    <w:abstractNumId w:val="6"/>
  </w:num>
  <w:num w:numId="3">
    <w:abstractNumId w:val="7"/>
  </w:num>
  <w:num w:numId="4">
    <w:abstractNumId w:val="1"/>
  </w:num>
  <w:num w:numId="5">
    <w:abstractNumId w:val="0"/>
  </w:num>
  <w:num w:numId="6">
    <w:abstractNumId w:val="2"/>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03F6F"/>
    <w:rsid w:val="00012532"/>
    <w:rsid w:val="0001428A"/>
    <w:rsid w:val="00016435"/>
    <w:rsid w:val="00020CE9"/>
    <w:rsid w:val="000224D9"/>
    <w:rsid w:val="000240C4"/>
    <w:rsid w:val="00026927"/>
    <w:rsid w:val="000325F9"/>
    <w:rsid w:val="00032985"/>
    <w:rsid w:val="00035C6A"/>
    <w:rsid w:val="00041B0F"/>
    <w:rsid w:val="00045A11"/>
    <w:rsid w:val="00046DFE"/>
    <w:rsid w:val="00050427"/>
    <w:rsid w:val="00053D41"/>
    <w:rsid w:val="00054AEC"/>
    <w:rsid w:val="00055BED"/>
    <w:rsid w:val="00055EA3"/>
    <w:rsid w:val="00070ED6"/>
    <w:rsid w:val="000840BE"/>
    <w:rsid w:val="00094471"/>
    <w:rsid w:val="000A3FD2"/>
    <w:rsid w:val="000A4701"/>
    <w:rsid w:val="000B1AF5"/>
    <w:rsid w:val="000B2D7C"/>
    <w:rsid w:val="000B6E69"/>
    <w:rsid w:val="000B76A4"/>
    <w:rsid w:val="000C0E1B"/>
    <w:rsid w:val="000C7385"/>
    <w:rsid w:val="000D08D1"/>
    <w:rsid w:val="000D3EFE"/>
    <w:rsid w:val="000D5556"/>
    <w:rsid w:val="000E1F0C"/>
    <w:rsid w:val="000E275C"/>
    <w:rsid w:val="000E4A03"/>
    <w:rsid w:val="000E5AD6"/>
    <w:rsid w:val="000E6199"/>
    <w:rsid w:val="000E7A99"/>
    <w:rsid w:val="000F0D6C"/>
    <w:rsid w:val="000F0DE8"/>
    <w:rsid w:val="000F5CE6"/>
    <w:rsid w:val="000F783C"/>
    <w:rsid w:val="000F7B7D"/>
    <w:rsid w:val="00102638"/>
    <w:rsid w:val="001033DF"/>
    <w:rsid w:val="00105F91"/>
    <w:rsid w:val="00106820"/>
    <w:rsid w:val="001123D9"/>
    <w:rsid w:val="00115372"/>
    <w:rsid w:val="001177CD"/>
    <w:rsid w:val="001269AD"/>
    <w:rsid w:val="00126B32"/>
    <w:rsid w:val="00142CF2"/>
    <w:rsid w:val="001443AF"/>
    <w:rsid w:val="00145DCA"/>
    <w:rsid w:val="00154E53"/>
    <w:rsid w:val="001577E4"/>
    <w:rsid w:val="0018373E"/>
    <w:rsid w:val="00184FC3"/>
    <w:rsid w:val="00186E43"/>
    <w:rsid w:val="0018762C"/>
    <w:rsid w:val="00187928"/>
    <w:rsid w:val="00194702"/>
    <w:rsid w:val="001A5935"/>
    <w:rsid w:val="001A5A15"/>
    <w:rsid w:val="001B1663"/>
    <w:rsid w:val="001C14EA"/>
    <w:rsid w:val="001C2F60"/>
    <w:rsid w:val="001C65EE"/>
    <w:rsid w:val="001D6507"/>
    <w:rsid w:val="001E4CE7"/>
    <w:rsid w:val="001E60AC"/>
    <w:rsid w:val="001E6748"/>
    <w:rsid w:val="001E67A5"/>
    <w:rsid w:val="001E76B8"/>
    <w:rsid w:val="00203971"/>
    <w:rsid w:val="0020434A"/>
    <w:rsid w:val="00205014"/>
    <w:rsid w:val="00234AE2"/>
    <w:rsid w:val="002353B0"/>
    <w:rsid w:val="00236B58"/>
    <w:rsid w:val="00237AED"/>
    <w:rsid w:val="00241C69"/>
    <w:rsid w:val="00247BB5"/>
    <w:rsid w:val="00251A80"/>
    <w:rsid w:val="00260441"/>
    <w:rsid w:val="00266DAE"/>
    <w:rsid w:val="00270AE5"/>
    <w:rsid w:val="00271C86"/>
    <w:rsid w:val="002840FE"/>
    <w:rsid w:val="002906E9"/>
    <w:rsid w:val="002923A6"/>
    <w:rsid w:val="002A22B7"/>
    <w:rsid w:val="002A27A2"/>
    <w:rsid w:val="002B4D70"/>
    <w:rsid w:val="002B7007"/>
    <w:rsid w:val="002C0AE9"/>
    <w:rsid w:val="002C0DB0"/>
    <w:rsid w:val="002C79BA"/>
    <w:rsid w:val="002D01C0"/>
    <w:rsid w:val="002D4D56"/>
    <w:rsid w:val="002E1B28"/>
    <w:rsid w:val="002E71E2"/>
    <w:rsid w:val="002F1F1B"/>
    <w:rsid w:val="002F2595"/>
    <w:rsid w:val="002F559F"/>
    <w:rsid w:val="002F5994"/>
    <w:rsid w:val="00326999"/>
    <w:rsid w:val="00330EC9"/>
    <w:rsid w:val="00351081"/>
    <w:rsid w:val="003529B3"/>
    <w:rsid w:val="003531A8"/>
    <w:rsid w:val="003544FA"/>
    <w:rsid w:val="00366151"/>
    <w:rsid w:val="00366312"/>
    <w:rsid w:val="0036662A"/>
    <w:rsid w:val="003724E7"/>
    <w:rsid w:val="00380E4C"/>
    <w:rsid w:val="003859EA"/>
    <w:rsid w:val="003865B8"/>
    <w:rsid w:val="00386BB3"/>
    <w:rsid w:val="003A0CF5"/>
    <w:rsid w:val="003A1AD9"/>
    <w:rsid w:val="003B2FAE"/>
    <w:rsid w:val="003B3A76"/>
    <w:rsid w:val="003B5444"/>
    <w:rsid w:val="003C299D"/>
    <w:rsid w:val="003D2C9E"/>
    <w:rsid w:val="003E628D"/>
    <w:rsid w:val="003E77A4"/>
    <w:rsid w:val="003F0CCB"/>
    <w:rsid w:val="003F39AF"/>
    <w:rsid w:val="003F5676"/>
    <w:rsid w:val="003F5729"/>
    <w:rsid w:val="00402B69"/>
    <w:rsid w:val="004121E6"/>
    <w:rsid w:val="00412A15"/>
    <w:rsid w:val="004136A8"/>
    <w:rsid w:val="00423B17"/>
    <w:rsid w:val="00427618"/>
    <w:rsid w:val="00436B53"/>
    <w:rsid w:val="004378EE"/>
    <w:rsid w:val="00441C29"/>
    <w:rsid w:val="00446CAA"/>
    <w:rsid w:val="00447529"/>
    <w:rsid w:val="00452AAF"/>
    <w:rsid w:val="00453F8F"/>
    <w:rsid w:val="00475C29"/>
    <w:rsid w:val="00475E13"/>
    <w:rsid w:val="00482B56"/>
    <w:rsid w:val="0048473E"/>
    <w:rsid w:val="00487761"/>
    <w:rsid w:val="004A13C2"/>
    <w:rsid w:val="004A1F09"/>
    <w:rsid w:val="004A5F41"/>
    <w:rsid w:val="004A7CAC"/>
    <w:rsid w:val="004C44BD"/>
    <w:rsid w:val="004C5701"/>
    <w:rsid w:val="004C7BE5"/>
    <w:rsid w:val="004D11D5"/>
    <w:rsid w:val="004D39F2"/>
    <w:rsid w:val="004E4A8A"/>
    <w:rsid w:val="004E6B69"/>
    <w:rsid w:val="005004F3"/>
    <w:rsid w:val="00501DDF"/>
    <w:rsid w:val="0050581C"/>
    <w:rsid w:val="00524BCB"/>
    <w:rsid w:val="005308AC"/>
    <w:rsid w:val="00532330"/>
    <w:rsid w:val="00543430"/>
    <w:rsid w:val="0054453C"/>
    <w:rsid w:val="00547C74"/>
    <w:rsid w:val="005516A5"/>
    <w:rsid w:val="005533C2"/>
    <w:rsid w:val="00554D8A"/>
    <w:rsid w:val="00564D10"/>
    <w:rsid w:val="00567B25"/>
    <w:rsid w:val="00571253"/>
    <w:rsid w:val="0057782E"/>
    <w:rsid w:val="00581B51"/>
    <w:rsid w:val="00593EE0"/>
    <w:rsid w:val="005942A3"/>
    <w:rsid w:val="00597CAF"/>
    <w:rsid w:val="005A3A5E"/>
    <w:rsid w:val="005B1293"/>
    <w:rsid w:val="005B79FB"/>
    <w:rsid w:val="005C5B4A"/>
    <w:rsid w:val="005C5ECB"/>
    <w:rsid w:val="005D4349"/>
    <w:rsid w:val="005E0604"/>
    <w:rsid w:val="005E2954"/>
    <w:rsid w:val="005F038F"/>
    <w:rsid w:val="005F0F88"/>
    <w:rsid w:val="006106A7"/>
    <w:rsid w:val="00625165"/>
    <w:rsid w:val="00631A9D"/>
    <w:rsid w:val="00634F1A"/>
    <w:rsid w:val="00643773"/>
    <w:rsid w:val="00651A01"/>
    <w:rsid w:val="0065383C"/>
    <w:rsid w:val="00661E14"/>
    <w:rsid w:val="00665BE2"/>
    <w:rsid w:val="006709B0"/>
    <w:rsid w:val="00677B1E"/>
    <w:rsid w:val="006813A2"/>
    <w:rsid w:val="006824CC"/>
    <w:rsid w:val="00687403"/>
    <w:rsid w:val="00694A3B"/>
    <w:rsid w:val="00696DEF"/>
    <w:rsid w:val="006A1A9F"/>
    <w:rsid w:val="006A1E78"/>
    <w:rsid w:val="006A22E2"/>
    <w:rsid w:val="006B0D85"/>
    <w:rsid w:val="006B4B3B"/>
    <w:rsid w:val="006B526A"/>
    <w:rsid w:val="006B75D2"/>
    <w:rsid w:val="006C0163"/>
    <w:rsid w:val="006C081F"/>
    <w:rsid w:val="006C7855"/>
    <w:rsid w:val="006D217A"/>
    <w:rsid w:val="006D4E10"/>
    <w:rsid w:val="006D699A"/>
    <w:rsid w:val="006E16C9"/>
    <w:rsid w:val="006E43A5"/>
    <w:rsid w:val="006F218A"/>
    <w:rsid w:val="006F330D"/>
    <w:rsid w:val="00703262"/>
    <w:rsid w:val="00707C95"/>
    <w:rsid w:val="00714FFB"/>
    <w:rsid w:val="00716F3E"/>
    <w:rsid w:val="00724F2B"/>
    <w:rsid w:val="0072531D"/>
    <w:rsid w:val="0072623F"/>
    <w:rsid w:val="0073015C"/>
    <w:rsid w:val="00732073"/>
    <w:rsid w:val="007419EF"/>
    <w:rsid w:val="00741C32"/>
    <w:rsid w:val="00742585"/>
    <w:rsid w:val="00747BC9"/>
    <w:rsid w:val="007537EC"/>
    <w:rsid w:val="00753A96"/>
    <w:rsid w:val="00761496"/>
    <w:rsid w:val="00766640"/>
    <w:rsid w:val="007739A8"/>
    <w:rsid w:val="007769FC"/>
    <w:rsid w:val="00781A3C"/>
    <w:rsid w:val="007B3E81"/>
    <w:rsid w:val="007B4B1A"/>
    <w:rsid w:val="007C2F31"/>
    <w:rsid w:val="007C53D4"/>
    <w:rsid w:val="007D0A65"/>
    <w:rsid w:val="007D3038"/>
    <w:rsid w:val="007E559E"/>
    <w:rsid w:val="007E7DC3"/>
    <w:rsid w:val="007F266B"/>
    <w:rsid w:val="007F4377"/>
    <w:rsid w:val="007F4A24"/>
    <w:rsid w:val="007F5F38"/>
    <w:rsid w:val="0080172F"/>
    <w:rsid w:val="00803143"/>
    <w:rsid w:val="00803F8A"/>
    <w:rsid w:val="0080619C"/>
    <w:rsid w:val="00810C03"/>
    <w:rsid w:val="008151B3"/>
    <w:rsid w:val="008226A4"/>
    <w:rsid w:val="00823B64"/>
    <w:rsid w:val="008262B7"/>
    <w:rsid w:val="0083361A"/>
    <w:rsid w:val="00834FDE"/>
    <w:rsid w:val="008359DC"/>
    <w:rsid w:val="00842011"/>
    <w:rsid w:val="00842849"/>
    <w:rsid w:val="0085384B"/>
    <w:rsid w:val="00856EDA"/>
    <w:rsid w:val="008576A6"/>
    <w:rsid w:val="008620DE"/>
    <w:rsid w:val="00865C80"/>
    <w:rsid w:val="008663E3"/>
    <w:rsid w:val="00872E46"/>
    <w:rsid w:val="00880DBC"/>
    <w:rsid w:val="00883E46"/>
    <w:rsid w:val="00885965"/>
    <w:rsid w:val="00885C3D"/>
    <w:rsid w:val="00886F30"/>
    <w:rsid w:val="00891CB9"/>
    <w:rsid w:val="008A00FC"/>
    <w:rsid w:val="008A53CB"/>
    <w:rsid w:val="008B218F"/>
    <w:rsid w:val="008B6F37"/>
    <w:rsid w:val="008C0EF8"/>
    <w:rsid w:val="008C3DAE"/>
    <w:rsid w:val="008C4489"/>
    <w:rsid w:val="008D1557"/>
    <w:rsid w:val="008D2FE1"/>
    <w:rsid w:val="008D5F38"/>
    <w:rsid w:val="008D62AA"/>
    <w:rsid w:val="008D7133"/>
    <w:rsid w:val="008E3C68"/>
    <w:rsid w:val="008F0946"/>
    <w:rsid w:val="008F38C3"/>
    <w:rsid w:val="008F39A1"/>
    <w:rsid w:val="008F48D3"/>
    <w:rsid w:val="008F4F83"/>
    <w:rsid w:val="00900E29"/>
    <w:rsid w:val="0091353C"/>
    <w:rsid w:val="009237E3"/>
    <w:rsid w:val="00924588"/>
    <w:rsid w:val="009248A6"/>
    <w:rsid w:val="00926630"/>
    <w:rsid w:val="00932580"/>
    <w:rsid w:val="00933886"/>
    <w:rsid w:val="0094080C"/>
    <w:rsid w:val="00941F77"/>
    <w:rsid w:val="00947C9D"/>
    <w:rsid w:val="00950BA8"/>
    <w:rsid w:val="00954EEB"/>
    <w:rsid w:val="00956C1E"/>
    <w:rsid w:val="009617D6"/>
    <w:rsid w:val="00961B85"/>
    <w:rsid w:val="0097341D"/>
    <w:rsid w:val="00973531"/>
    <w:rsid w:val="00974333"/>
    <w:rsid w:val="00975BED"/>
    <w:rsid w:val="0099342A"/>
    <w:rsid w:val="009A662F"/>
    <w:rsid w:val="009B3957"/>
    <w:rsid w:val="009B4714"/>
    <w:rsid w:val="009C08B1"/>
    <w:rsid w:val="009C5C32"/>
    <w:rsid w:val="009D3B8E"/>
    <w:rsid w:val="009D3BAD"/>
    <w:rsid w:val="009E1857"/>
    <w:rsid w:val="009E69E2"/>
    <w:rsid w:val="009F5F93"/>
    <w:rsid w:val="009F71E8"/>
    <w:rsid w:val="00A00DB1"/>
    <w:rsid w:val="00A04FA9"/>
    <w:rsid w:val="00A058B9"/>
    <w:rsid w:val="00A05E79"/>
    <w:rsid w:val="00A24DB0"/>
    <w:rsid w:val="00A26E23"/>
    <w:rsid w:val="00A2721F"/>
    <w:rsid w:val="00A35603"/>
    <w:rsid w:val="00A360C4"/>
    <w:rsid w:val="00A4128B"/>
    <w:rsid w:val="00A437EE"/>
    <w:rsid w:val="00A47552"/>
    <w:rsid w:val="00A47E71"/>
    <w:rsid w:val="00A52C00"/>
    <w:rsid w:val="00A54BBD"/>
    <w:rsid w:val="00A64411"/>
    <w:rsid w:val="00A64A56"/>
    <w:rsid w:val="00A66195"/>
    <w:rsid w:val="00A6632E"/>
    <w:rsid w:val="00A80ADA"/>
    <w:rsid w:val="00A845D7"/>
    <w:rsid w:val="00A867C6"/>
    <w:rsid w:val="00A91F0C"/>
    <w:rsid w:val="00A96633"/>
    <w:rsid w:val="00A97440"/>
    <w:rsid w:val="00AB1D2D"/>
    <w:rsid w:val="00AB39B4"/>
    <w:rsid w:val="00AB6DE7"/>
    <w:rsid w:val="00AC4B6C"/>
    <w:rsid w:val="00AC66DF"/>
    <w:rsid w:val="00AD5789"/>
    <w:rsid w:val="00AD723E"/>
    <w:rsid w:val="00AE51DA"/>
    <w:rsid w:val="00AF0A0D"/>
    <w:rsid w:val="00AF25D0"/>
    <w:rsid w:val="00AF2A89"/>
    <w:rsid w:val="00B028BD"/>
    <w:rsid w:val="00B029FB"/>
    <w:rsid w:val="00B0591B"/>
    <w:rsid w:val="00B06DF8"/>
    <w:rsid w:val="00B14AA0"/>
    <w:rsid w:val="00B15500"/>
    <w:rsid w:val="00B246F1"/>
    <w:rsid w:val="00B26628"/>
    <w:rsid w:val="00B3560F"/>
    <w:rsid w:val="00B411F4"/>
    <w:rsid w:val="00B43F54"/>
    <w:rsid w:val="00B46548"/>
    <w:rsid w:val="00B7378D"/>
    <w:rsid w:val="00B75709"/>
    <w:rsid w:val="00B75E41"/>
    <w:rsid w:val="00B83F2E"/>
    <w:rsid w:val="00B85CA5"/>
    <w:rsid w:val="00B86EF7"/>
    <w:rsid w:val="00B87894"/>
    <w:rsid w:val="00B9120E"/>
    <w:rsid w:val="00B91D16"/>
    <w:rsid w:val="00B93FC1"/>
    <w:rsid w:val="00B9676C"/>
    <w:rsid w:val="00BA3F54"/>
    <w:rsid w:val="00BB037D"/>
    <w:rsid w:val="00BB138B"/>
    <w:rsid w:val="00BB22B4"/>
    <w:rsid w:val="00BC5BDA"/>
    <w:rsid w:val="00BD1075"/>
    <w:rsid w:val="00BD17AE"/>
    <w:rsid w:val="00BE08E9"/>
    <w:rsid w:val="00BE0A8B"/>
    <w:rsid w:val="00BE1E8F"/>
    <w:rsid w:val="00BE20ED"/>
    <w:rsid w:val="00BE6468"/>
    <w:rsid w:val="00BE6CC1"/>
    <w:rsid w:val="00BF587A"/>
    <w:rsid w:val="00C10C51"/>
    <w:rsid w:val="00C1455D"/>
    <w:rsid w:val="00C16876"/>
    <w:rsid w:val="00C249F6"/>
    <w:rsid w:val="00C25B44"/>
    <w:rsid w:val="00C25F1D"/>
    <w:rsid w:val="00C26626"/>
    <w:rsid w:val="00C3317D"/>
    <w:rsid w:val="00C33E49"/>
    <w:rsid w:val="00C35591"/>
    <w:rsid w:val="00C40FC7"/>
    <w:rsid w:val="00C41BD5"/>
    <w:rsid w:val="00C41EDB"/>
    <w:rsid w:val="00C42327"/>
    <w:rsid w:val="00C535B1"/>
    <w:rsid w:val="00C546C3"/>
    <w:rsid w:val="00C551F0"/>
    <w:rsid w:val="00C61253"/>
    <w:rsid w:val="00C61C36"/>
    <w:rsid w:val="00C6260A"/>
    <w:rsid w:val="00C64EE1"/>
    <w:rsid w:val="00C74A2E"/>
    <w:rsid w:val="00C77C92"/>
    <w:rsid w:val="00C856EB"/>
    <w:rsid w:val="00C916C8"/>
    <w:rsid w:val="00C9306D"/>
    <w:rsid w:val="00C94B40"/>
    <w:rsid w:val="00C95732"/>
    <w:rsid w:val="00C97E60"/>
    <w:rsid w:val="00CA1535"/>
    <w:rsid w:val="00CA2E85"/>
    <w:rsid w:val="00CA4EDF"/>
    <w:rsid w:val="00CA6AE7"/>
    <w:rsid w:val="00CA6CAA"/>
    <w:rsid w:val="00CB2790"/>
    <w:rsid w:val="00CB423C"/>
    <w:rsid w:val="00CB505F"/>
    <w:rsid w:val="00CC43BD"/>
    <w:rsid w:val="00CD03AD"/>
    <w:rsid w:val="00CD2632"/>
    <w:rsid w:val="00CE53AB"/>
    <w:rsid w:val="00CE6245"/>
    <w:rsid w:val="00CF2C5D"/>
    <w:rsid w:val="00CF7C87"/>
    <w:rsid w:val="00D05C5E"/>
    <w:rsid w:val="00D10846"/>
    <w:rsid w:val="00D119ED"/>
    <w:rsid w:val="00D11E36"/>
    <w:rsid w:val="00D12BDB"/>
    <w:rsid w:val="00D308E9"/>
    <w:rsid w:val="00D47AF6"/>
    <w:rsid w:val="00D50BCE"/>
    <w:rsid w:val="00D5311A"/>
    <w:rsid w:val="00D548C8"/>
    <w:rsid w:val="00D54ED4"/>
    <w:rsid w:val="00D552D6"/>
    <w:rsid w:val="00D66763"/>
    <w:rsid w:val="00D83292"/>
    <w:rsid w:val="00D94CBB"/>
    <w:rsid w:val="00D94F38"/>
    <w:rsid w:val="00D967B4"/>
    <w:rsid w:val="00DA37F1"/>
    <w:rsid w:val="00DA5A92"/>
    <w:rsid w:val="00DB3586"/>
    <w:rsid w:val="00DB7A01"/>
    <w:rsid w:val="00DC0BB9"/>
    <w:rsid w:val="00DC3BA3"/>
    <w:rsid w:val="00DC5385"/>
    <w:rsid w:val="00DC5646"/>
    <w:rsid w:val="00DC7728"/>
    <w:rsid w:val="00DC7AB7"/>
    <w:rsid w:val="00DE1BD0"/>
    <w:rsid w:val="00DE693B"/>
    <w:rsid w:val="00DF757C"/>
    <w:rsid w:val="00E10B8C"/>
    <w:rsid w:val="00E23B5B"/>
    <w:rsid w:val="00E307F8"/>
    <w:rsid w:val="00E314FC"/>
    <w:rsid w:val="00E31811"/>
    <w:rsid w:val="00E33534"/>
    <w:rsid w:val="00E42284"/>
    <w:rsid w:val="00E47926"/>
    <w:rsid w:val="00E53DCA"/>
    <w:rsid w:val="00E6314B"/>
    <w:rsid w:val="00E6399A"/>
    <w:rsid w:val="00E72315"/>
    <w:rsid w:val="00E7385F"/>
    <w:rsid w:val="00E74F78"/>
    <w:rsid w:val="00E95B1A"/>
    <w:rsid w:val="00EA1D73"/>
    <w:rsid w:val="00EB1D81"/>
    <w:rsid w:val="00EB3C33"/>
    <w:rsid w:val="00EB4E57"/>
    <w:rsid w:val="00EC036E"/>
    <w:rsid w:val="00EC0828"/>
    <w:rsid w:val="00EC68F3"/>
    <w:rsid w:val="00EC6B07"/>
    <w:rsid w:val="00EC7354"/>
    <w:rsid w:val="00ED2BCA"/>
    <w:rsid w:val="00ED3CF6"/>
    <w:rsid w:val="00EE24A3"/>
    <w:rsid w:val="00EE6178"/>
    <w:rsid w:val="00EF0A83"/>
    <w:rsid w:val="00EF2DA0"/>
    <w:rsid w:val="00EF4456"/>
    <w:rsid w:val="00EF5D3D"/>
    <w:rsid w:val="00F04309"/>
    <w:rsid w:val="00F1207E"/>
    <w:rsid w:val="00F1429F"/>
    <w:rsid w:val="00F16636"/>
    <w:rsid w:val="00F17A0F"/>
    <w:rsid w:val="00F24643"/>
    <w:rsid w:val="00F26D31"/>
    <w:rsid w:val="00F27478"/>
    <w:rsid w:val="00F34D6A"/>
    <w:rsid w:val="00F36C2E"/>
    <w:rsid w:val="00F43604"/>
    <w:rsid w:val="00F43952"/>
    <w:rsid w:val="00F449CA"/>
    <w:rsid w:val="00F45F44"/>
    <w:rsid w:val="00F46B15"/>
    <w:rsid w:val="00F50CBF"/>
    <w:rsid w:val="00F55EF7"/>
    <w:rsid w:val="00F56078"/>
    <w:rsid w:val="00F602C9"/>
    <w:rsid w:val="00F614A0"/>
    <w:rsid w:val="00F65C3A"/>
    <w:rsid w:val="00F720D1"/>
    <w:rsid w:val="00F74AD4"/>
    <w:rsid w:val="00F7759E"/>
    <w:rsid w:val="00F8394C"/>
    <w:rsid w:val="00F858D4"/>
    <w:rsid w:val="00FA1C73"/>
    <w:rsid w:val="00FA2FE9"/>
    <w:rsid w:val="00FD0EAB"/>
    <w:rsid w:val="00FD5711"/>
    <w:rsid w:val="00FE151B"/>
    <w:rsid w:val="00FE2A36"/>
    <w:rsid w:val="029309C2"/>
    <w:rsid w:val="1D502006"/>
    <w:rsid w:val="301D159F"/>
    <w:rsid w:val="3EE4F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2013"/>
  <w15:docId w15:val="{3B302E5F-30EE-48AB-BF2C-B2AA16B8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3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Strong">
    <w:name w:val="Strong"/>
    <w:basedOn w:val="DefaultParagraphFont"/>
    <w:uiPriority w:val="22"/>
    <w:qFormat/>
    <w:rsid w:val="00D05C5E"/>
    <w:rPr>
      <w:rFonts w:cs="Times New Roman"/>
      <w:b/>
      <w:bCs/>
    </w:rPr>
  </w:style>
  <w:style w:type="character" w:styleId="CommentReference">
    <w:name w:val="annotation reference"/>
    <w:basedOn w:val="DefaultParagraphFont"/>
    <w:semiHidden/>
    <w:unhideWhenUsed/>
    <w:rsid w:val="0072531D"/>
    <w:rPr>
      <w:sz w:val="16"/>
      <w:szCs w:val="16"/>
    </w:rPr>
  </w:style>
  <w:style w:type="paragraph" w:styleId="CommentText">
    <w:name w:val="annotation text"/>
    <w:basedOn w:val="Normal"/>
    <w:link w:val="CommentTextChar"/>
    <w:unhideWhenUsed/>
    <w:rsid w:val="0072531D"/>
    <w:rPr>
      <w:sz w:val="20"/>
      <w:lang w:eastAsia="en-US"/>
    </w:rPr>
  </w:style>
  <w:style w:type="character" w:customStyle="1" w:styleId="CommentTextChar">
    <w:name w:val="Comment Text Char"/>
    <w:basedOn w:val="DefaultParagraphFont"/>
    <w:link w:val="CommentText"/>
    <w:rsid w:val="0072531D"/>
    <w:rPr>
      <w:rFonts w:eastAsia="Times New Roman"/>
      <w:sz w:val="20"/>
      <w:szCs w:val="20"/>
    </w:rPr>
  </w:style>
  <w:style w:type="paragraph" w:styleId="FootnoteText">
    <w:name w:val="footnote text"/>
    <w:basedOn w:val="Normal"/>
    <w:link w:val="FootnoteTextChar"/>
    <w:uiPriority w:val="99"/>
    <w:unhideWhenUsed/>
    <w:rsid w:val="00ED3CF6"/>
    <w:pPr>
      <w:jc w:val="both"/>
    </w:pPr>
    <w:rPr>
      <w:sz w:val="20"/>
      <w:lang w:eastAsia="en-US"/>
    </w:rPr>
  </w:style>
  <w:style w:type="character" w:customStyle="1" w:styleId="FootnoteTextChar">
    <w:name w:val="Footnote Text Char"/>
    <w:basedOn w:val="DefaultParagraphFont"/>
    <w:link w:val="FootnoteText"/>
    <w:uiPriority w:val="99"/>
    <w:rsid w:val="00ED3CF6"/>
    <w:rPr>
      <w:rFonts w:eastAsia="Times New Roman"/>
      <w:sz w:val="20"/>
      <w:szCs w:val="20"/>
    </w:rPr>
  </w:style>
  <w:style w:type="character" w:styleId="FootnoteReference">
    <w:name w:val="footnote reference"/>
    <w:basedOn w:val="DefaultParagraphFont"/>
    <w:uiPriority w:val="99"/>
    <w:unhideWhenUsed/>
    <w:rsid w:val="00ED3CF6"/>
    <w:rPr>
      <w:vertAlign w:val="superscript"/>
    </w:rPr>
  </w:style>
  <w:style w:type="paragraph" w:customStyle="1" w:styleId="CM1">
    <w:name w:val="CM1"/>
    <w:basedOn w:val="Normal"/>
    <w:next w:val="Normal"/>
    <w:uiPriority w:val="99"/>
    <w:rsid w:val="00900E29"/>
    <w:pPr>
      <w:autoSpaceDE w:val="0"/>
      <w:autoSpaceDN w:val="0"/>
      <w:adjustRightInd w:val="0"/>
    </w:pPr>
    <w:rPr>
      <w:rFonts w:ascii="EUAlbertina" w:eastAsiaTheme="minorHAnsi" w:hAnsi="EUAlbertina"/>
      <w:szCs w:val="24"/>
      <w:lang w:val="en-US" w:eastAsia="en-US"/>
    </w:rPr>
  </w:style>
  <w:style w:type="paragraph" w:styleId="CommentSubject">
    <w:name w:val="annotation subject"/>
    <w:basedOn w:val="CommentText"/>
    <w:next w:val="CommentText"/>
    <w:link w:val="CommentSubjectChar"/>
    <w:uiPriority w:val="99"/>
    <w:semiHidden/>
    <w:unhideWhenUsed/>
    <w:rsid w:val="0094080C"/>
    <w:rPr>
      <w:b/>
      <w:bCs/>
      <w:lang w:eastAsia="lt-LT"/>
    </w:rPr>
  </w:style>
  <w:style w:type="character" w:customStyle="1" w:styleId="CommentSubjectChar">
    <w:name w:val="Comment Subject Char"/>
    <w:basedOn w:val="CommentTextChar"/>
    <w:link w:val="CommentSubject"/>
    <w:uiPriority w:val="99"/>
    <w:semiHidden/>
    <w:rsid w:val="0094080C"/>
    <w:rPr>
      <w:rFonts w:eastAsia="Times New Roman"/>
      <w:b/>
      <w:bCs/>
      <w:sz w:val="20"/>
      <w:szCs w:val="20"/>
      <w:lang w:eastAsia="lt-LT"/>
    </w:rPr>
  </w:style>
  <w:style w:type="paragraph" w:customStyle="1" w:styleId="xmsonormal">
    <w:name w:val="x_msonormal"/>
    <w:basedOn w:val="Normal"/>
    <w:uiPriority w:val="99"/>
    <w:rsid w:val="00950BA8"/>
    <w:rPr>
      <w:rFonts w:eastAsiaTheme="minorHAnsi"/>
      <w:szCs w:val="24"/>
      <w:lang w:val="en-US" w:eastAsia="en-US"/>
    </w:rPr>
  </w:style>
  <w:style w:type="paragraph" w:customStyle="1" w:styleId="xxmsonormal">
    <w:name w:val="x_xmsonormal"/>
    <w:basedOn w:val="Normal"/>
    <w:rsid w:val="00A04FA9"/>
    <w:rPr>
      <w:rFonts w:ascii="Calibri" w:eastAsiaTheme="minorHAnsi" w:hAnsi="Calibri" w:cs="Calibri"/>
      <w:sz w:val="22"/>
      <w:szCs w:val="22"/>
    </w:rPr>
  </w:style>
  <w:style w:type="character" w:styleId="Hyperlink">
    <w:name w:val="Hyperlink"/>
    <w:basedOn w:val="DefaultParagraphFont"/>
    <w:uiPriority w:val="99"/>
    <w:semiHidden/>
    <w:unhideWhenUsed/>
    <w:rsid w:val="00412A15"/>
    <w:rPr>
      <w:color w:val="0000FF"/>
      <w:u w:val="single"/>
    </w:rPr>
  </w:style>
  <w:style w:type="paragraph" w:styleId="NormalWeb">
    <w:name w:val="Normal (Web)"/>
    <w:basedOn w:val="Normal"/>
    <w:uiPriority w:val="99"/>
    <w:semiHidden/>
    <w:unhideWhenUsed/>
    <w:rsid w:val="00703262"/>
    <w:pPr>
      <w:spacing w:before="100" w:beforeAutospacing="1" w:after="100" w:afterAutospacing="1"/>
    </w:pPr>
    <w:rPr>
      <w:rFonts w:ascii="Calibri" w:eastAsiaTheme="minorHAnsi" w:hAnsi="Calibri" w:cs="Calibri"/>
      <w:sz w:val="22"/>
      <w:szCs w:val="22"/>
    </w:rPr>
  </w:style>
  <w:style w:type="paragraph" w:styleId="Header">
    <w:name w:val="header"/>
    <w:basedOn w:val="Normal"/>
    <w:link w:val="HeaderChar"/>
    <w:uiPriority w:val="99"/>
    <w:unhideWhenUsed/>
    <w:rsid w:val="00AC66DF"/>
    <w:pPr>
      <w:tabs>
        <w:tab w:val="center" w:pos="4819"/>
        <w:tab w:val="right" w:pos="9638"/>
      </w:tabs>
    </w:pPr>
  </w:style>
  <w:style w:type="character" w:customStyle="1" w:styleId="HeaderChar">
    <w:name w:val="Header Char"/>
    <w:basedOn w:val="DefaultParagraphFont"/>
    <w:link w:val="Header"/>
    <w:uiPriority w:val="99"/>
    <w:rsid w:val="00AC66DF"/>
    <w:rPr>
      <w:rFonts w:eastAsia="Times New Roman"/>
      <w:szCs w:val="20"/>
      <w:lang w:eastAsia="lt-LT"/>
    </w:rPr>
  </w:style>
  <w:style w:type="paragraph" w:styleId="Footer">
    <w:name w:val="footer"/>
    <w:basedOn w:val="Normal"/>
    <w:link w:val="FooterChar"/>
    <w:uiPriority w:val="99"/>
    <w:unhideWhenUsed/>
    <w:rsid w:val="00AC66DF"/>
    <w:pPr>
      <w:tabs>
        <w:tab w:val="center" w:pos="4819"/>
        <w:tab w:val="right" w:pos="9638"/>
      </w:tabs>
    </w:pPr>
  </w:style>
  <w:style w:type="character" w:customStyle="1" w:styleId="FooterChar">
    <w:name w:val="Footer Char"/>
    <w:basedOn w:val="DefaultParagraphFont"/>
    <w:link w:val="Footer"/>
    <w:uiPriority w:val="99"/>
    <w:rsid w:val="00AC66DF"/>
    <w:rPr>
      <w:rFonts w:eastAsia="Times New Roman"/>
      <w:szCs w:val="20"/>
      <w:lang w:eastAsia="lt-LT"/>
    </w:rPr>
  </w:style>
  <w:style w:type="paragraph" w:customStyle="1" w:styleId="xxdefault">
    <w:name w:val="x_xdefault"/>
    <w:basedOn w:val="Normal"/>
    <w:rsid w:val="008B6F3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3270">
      <w:bodyDiv w:val="1"/>
      <w:marLeft w:val="0"/>
      <w:marRight w:val="0"/>
      <w:marTop w:val="0"/>
      <w:marBottom w:val="0"/>
      <w:divBdr>
        <w:top w:val="none" w:sz="0" w:space="0" w:color="auto"/>
        <w:left w:val="none" w:sz="0" w:space="0" w:color="auto"/>
        <w:bottom w:val="none" w:sz="0" w:space="0" w:color="auto"/>
        <w:right w:val="none" w:sz="0" w:space="0" w:color="auto"/>
      </w:divBdr>
    </w:div>
    <w:div w:id="243145646">
      <w:bodyDiv w:val="1"/>
      <w:marLeft w:val="0"/>
      <w:marRight w:val="0"/>
      <w:marTop w:val="0"/>
      <w:marBottom w:val="0"/>
      <w:divBdr>
        <w:top w:val="none" w:sz="0" w:space="0" w:color="auto"/>
        <w:left w:val="none" w:sz="0" w:space="0" w:color="auto"/>
        <w:bottom w:val="none" w:sz="0" w:space="0" w:color="auto"/>
        <w:right w:val="none" w:sz="0" w:space="0" w:color="auto"/>
      </w:divBdr>
    </w:div>
    <w:div w:id="368336030">
      <w:bodyDiv w:val="1"/>
      <w:marLeft w:val="0"/>
      <w:marRight w:val="0"/>
      <w:marTop w:val="0"/>
      <w:marBottom w:val="0"/>
      <w:divBdr>
        <w:top w:val="none" w:sz="0" w:space="0" w:color="auto"/>
        <w:left w:val="none" w:sz="0" w:space="0" w:color="auto"/>
        <w:bottom w:val="none" w:sz="0" w:space="0" w:color="auto"/>
        <w:right w:val="none" w:sz="0" w:space="0" w:color="auto"/>
      </w:divBdr>
    </w:div>
    <w:div w:id="477724640">
      <w:bodyDiv w:val="1"/>
      <w:marLeft w:val="0"/>
      <w:marRight w:val="0"/>
      <w:marTop w:val="0"/>
      <w:marBottom w:val="0"/>
      <w:divBdr>
        <w:top w:val="none" w:sz="0" w:space="0" w:color="auto"/>
        <w:left w:val="none" w:sz="0" w:space="0" w:color="auto"/>
        <w:bottom w:val="none" w:sz="0" w:space="0" w:color="auto"/>
        <w:right w:val="none" w:sz="0" w:space="0" w:color="auto"/>
      </w:divBdr>
    </w:div>
    <w:div w:id="602029192">
      <w:bodyDiv w:val="1"/>
      <w:marLeft w:val="0"/>
      <w:marRight w:val="0"/>
      <w:marTop w:val="0"/>
      <w:marBottom w:val="0"/>
      <w:divBdr>
        <w:top w:val="none" w:sz="0" w:space="0" w:color="auto"/>
        <w:left w:val="none" w:sz="0" w:space="0" w:color="auto"/>
        <w:bottom w:val="none" w:sz="0" w:space="0" w:color="auto"/>
        <w:right w:val="none" w:sz="0" w:space="0" w:color="auto"/>
      </w:divBdr>
    </w:div>
    <w:div w:id="615063864">
      <w:bodyDiv w:val="1"/>
      <w:marLeft w:val="0"/>
      <w:marRight w:val="0"/>
      <w:marTop w:val="0"/>
      <w:marBottom w:val="0"/>
      <w:divBdr>
        <w:top w:val="none" w:sz="0" w:space="0" w:color="auto"/>
        <w:left w:val="none" w:sz="0" w:space="0" w:color="auto"/>
        <w:bottom w:val="none" w:sz="0" w:space="0" w:color="auto"/>
        <w:right w:val="none" w:sz="0" w:space="0" w:color="auto"/>
      </w:divBdr>
    </w:div>
    <w:div w:id="642583597">
      <w:bodyDiv w:val="1"/>
      <w:marLeft w:val="0"/>
      <w:marRight w:val="0"/>
      <w:marTop w:val="0"/>
      <w:marBottom w:val="0"/>
      <w:divBdr>
        <w:top w:val="none" w:sz="0" w:space="0" w:color="auto"/>
        <w:left w:val="none" w:sz="0" w:space="0" w:color="auto"/>
        <w:bottom w:val="none" w:sz="0" w:space="0" w:color="auto"/>
        <w:right w:val="none" w:sz="0" w:space="0" w:color="auto"/>
      </w:divBdr>
    </w:div>
    <w:div w:id="844247892">
      <w:bodyDiv w:val="1"/>
      <w:marLeft w:val="0"/>
      <w:marRight w:val="0"/>
      <w:marTop w:val="0"/>
      <w:marBottom w:val="0"/>
      <w:divBdr>
        <w:top w:val="none" w:sz="0" w:space="0" w:color="auto"/>
        <w:left w:val="none" w:sz="0" w:space="0" w:color="auto"/>
        <w:bottom w:val="none" w:sz="0" w:space="0" w:color="auto"/>
        <w:right w:val="none" w:sz="0" w:space="0" w:color="auto"/>
      </w:divBdr>
    </w:div>
    <w:div w:id="1048408929">
      <w:bodyDiv w:val="1"/>
      <w:marLeft w:val="0"/>
      <w:marRight w:val="0"/>
      <w:marTop w:val="0"/>
      <w:marBottom w:val="0"/>
      <w:divBdr>
        <w:top w:val="none" w:sz="0" w:space="0" w:color="auto"/>
        <w:left w:val="none" w:sz="0" w:space="0" w:color="auto"/>
        <w:bottom w:val="none" w:sz="0" w:space="0" w:color="auto"/>
        <w:right w:val="none" w:sz="0" w:space="0" w:color="auto"/>
      </w:divBdr>
    </w:div>
    <w:div w:id="1137913222">
      <w:bodyDiv w:val="1"/>
      <w:marLeft w:val="0"/>
      <w:marRight w:val="0"/>
      <w:marTop w:val="0"/>
      <w:marBottom w:val="0"/>
      <w:divBdr>
        <w:top w:val="none" w:sz="0" w:space="0" w:color="auto"/>
        <w:left w:val="none" w:sz="0" w:space="0" w:color="auto"/>
        <w:bottom w:val="none" w:sz="0" w:space="0" w:color="auto"/>
        <w:right w:val="none" w:sz="0" w:space="0" w:color="auto"/>
      </w:divBdr>
    </w:div>
    <w:div w:id="1265848344">
      <w:bodyDiv w:val="1"/>
      <w:marLeft w:val="0"/>
      <w:marRight w:val="0"/>
      <w:marTop w:val="0"/>
      <w:marBottom w:val="0"/>
      <w:divBdr>
        <w:top w:val="none" w:sz="0" w:space="0" w:color="auto"/>
        <w:left w:val="none" w:sz="0" w:space="0" w:color="auto"/>
        <w:bottom w:val="none" w:sz="0" w:space="0" w:color="auto"/>
        <w:right w:val="none" w:sz="0" w:space="0" w:color="auto"/>
      </w:divBdr>
    </w:div>
    <w:div w:id="1323004616">
      <w:bodyDiv w:val="1"/>
      <w:marLeft w:val="0"/>
      <w:marRight w:val="0"/>
      <w:marTop w:val="0"/>
      <w:marBottom w:val="0"/>
      <w:divBdr>
        <w:top w:val="none" w:sz="0" w:space="0" w:color="auto"/>
        <w:left w:val="none" w:sz="0" w:space="0" w:color="auto"/>
        <w:bottom w:val="none" w:sz="0" w:space="0" w:color="auto"/>
        <w:right w:val="none" w:sz="0" w:space="0" w:color="auto"/>
      </w:divBdr>
    </w:div>
    <w:div w:id="1335914782">
      <w:bodyDiv w:val="1"/>
      <w:marLeft w:val="0"/>
      <w:marRight w:val="0"/>
      <w:marTop w:val="0"/>
      <w:marBottom w:val="0"/>
      <w:divBdr>
        <w:top w:val="none" w:sz="0" w:space="0" w:color="auto"/>
        <w:left w:val="none" w:sz="0" w:space="0" w:color="auto"/>
        <w:bottom w:val="none" w:sz="0" w:space="0" w:color="auto"/>
        <w:right w:val="none" w:sz="0" w:space="0" w:color="auto"/>
      </w:divBdr>
    </w:div>
    <w:div w:id="1361514715">
      <w:bodyDiv w:val="1"/>
      <w:marLeft w:val="0"/>
      <w:marRight w:val="0"/>
      <w:marTop w:val="0"/>
      <w:marBottom w:val="0"/>
      <w:divBdr>
        <w:top w:val="none" w:sz="0" w:space="0" w:color="auto"/>
        <w:left w:val="none" w:sz="0" w:space="0" w:color="auto"/>
        <w:bottom w:val="none" w:sz="0" w:space="0" w:color="auto"/>
        <w:right w:val="none" w:sz="0" w:space="0" w:color="auto"/>
      </w:divBdr>
    </w:div>
    <w:div w:id="1494490993">
      <w:bodyDiv w:val="1"/>
      <w:marLeft w:val="0"/>
      <w:marRight w:val="0"/>
      <w:marTop w:val="0"/>
      <w:marBottom w:val="0"/>
      <w:divBdr>
        <w:top w:val="none" w:sz="0" w:space="0" w:color="auto"/>
        <w:left w:val="none" w:sz="0" w:space="0" w:color="auto"/>
        <w:bottom w:val="none" w:sz="0" w:space="0" w:color="auto"/>
        <w:right w:val="none" w:sz="0" w:space="0" w:color="auto"/>
      </w:divBdr>
    </w:div>
    <w:div w:id="1523933236">
      <w:bodyDiv w:val="1"/>
      <w:marLeft w:val="0"/>
      <w:marRight w:val="0"/>
      <w:marTop w:val="0"/>
      <w:marBottom w:val="0"/>
      <w:divBdr>
        <w:top w:val="none" w:sz="0" w:space="0" w:color="auto"/>
        <w:left w:val="none" w:sz="0" w:space="0" w:color="auto"/>
        <w:bottom w:val="none" w:sz="0" w:space="0" w:color="auto"/>
        <w:right w:val="none" w:sz="0" w:space="0" w:color="auto"/>
      </w:divBdr>
    </w:div>
    <w:div w:id="1807158444">
      <w:bodyDiv w:val="1"/>
      <w:marLeft w:val="0"/>
      <w:marRight w:val="0"/>
      <w:marTop w:val="0"/>
      <w:marBottom w:val="0"/>
      <w:divBdr>
        <w:top w:val="none" w:sz="0" w:space="0" w:color="auto"/>
        <w:left w:val="none" w:sz="0" w:space="0" w:color="auto"/>
        <w:bottom w:val="none" w:sz="0" w:space="0" w:color="auto"/>
        <w:right w:val="none" w:sz="0" w:space="0" w:color="auto"/>
      </w:divBdr>
    </w:div>
    <w:div w:id="1840776950">
      <w:bodyDiv w:val="1"/>
      <w:marLeft w:val="0"/>
      <w:marRight w:val="0"/>
      <w:marTop w:val="0"/>
      <w:marBottom w:val="0"/>
      <w:divBdr>
        <w:top w:val="none" w:sz="0" w:space="0" w:color="auto"/>
        <w:left w:val="none" w:sz="0" w:space="0" w:color="auto"/>
        <w:bottom w:val="none" w:sz="0" w:space="0" w:color="auto"/>
        <w:right w:val="none" w:sz="0" w:space="0" w:color="auto"/>
      </w:divBdr>
    </w:div>
    <w:div w:id="1842114605">
      <w:bodyDiv w:val="1"/>
      <w:marLeft w:val="0"/>
      <w:marRight w:val="0"/>
      <w:marTop w:val="0"/>
      <w:marBottom w:val="0"/>
      <w:divBdr>
        <w:top w:val="none" w:sz="0" w:space="0" w:color="auto"/>
        <w:left w:val="none" w:sz="0" w:space="0" w:color="auto"/>
        <w:bottom w:val="none" w:sz="0" w:space="0" w:color="auto"/>
        <w:right w:val="none" w:sz="0" w:space="0" w:color="auto"/>
      </w:divBdr>
    </w:div>
    <w:div w:id="1862668185">
      <w:bodyDiv w:val="1"/>
      <w:marLeft w:val="0"/>
      <w:marRight w:val="0"/>
      <w:marTop w:val="0"/>
      <w:marBottom w:val="0"/>
      <w:divBdr>
        <w:top w:val="none" w:sz="0" w:space="0" w:color="auto"/>
        <w:left w:val="none" w:sz="0" w:space="0" w:color="auto"/>
        <w:bottom w:val="none" w:sz="0" w:space="0" w:color="auto"/>
        <w:right w:val="none" w:sz="0" w:space="0" w:color="auto"/>
      </w:divBdr>
    </w:div>
    <w:div w:id="2028361737">
      <w:bodyDiv w:val="1"/>
      <w:marLeft w:val="0"/>
      <w:marRight w:val="0"/>
      <w:marTop w:val="0"/>
      <w:marBottom w:val="0"/>
      <w:divBdr>
        <w:top w:val="none" w:sz="0" w:space="0" w:color="auto"/>
        <w:left w:val="none" w:sz="0" w:space="0" w:color="auto"/>
        <w:bottom w:val="none" w:sz="0" w:space="0" w:color="auto"/>
        <w:right w:val="none" w:sz="0" w:space="0" w:color="auto"/>
      </w:divBdr>
    </w:div>
    <w:div w:id="20379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67d781c04a8311eb8d9fe110e148c770/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Arno Pro">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9968E3"/>
    <w:rsid w:val="0099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2541</Words>
  <Characters>14488</Characters>
  <Application>Microsoft Office Word</Application>
  <DocSecurity>0</DocSecurity>
  <Lines>120</Lines>
  <Paragraphs>33</Paragraphs>
  <ScaleCrop>false</ScaleCrop>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Bilotiene Zivile</cp:lastModifiedBy>
  <cp:revision>271</cp:revision>
  <dcterms:created xsi:type="dcterms:W3CDTF">2020-11-19T06:39:00Z</dcterms:created>
  <dcterms:modified xsi:type="dcterms:W3CDTF">2022-02-15T11:40:00Z</dcterms:modified>
</cp:coreProperties>
</file>