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EBCBA" w14:textId="66ED1E9E" w:rsidR="001C27BE" w:rsidRDefault="004C666B" w:rsidP="00490390">
      <w:pPr>
        <w:tabs>
          <w:tab w:val="left" w:pos="709"/>
        </w:tabs>
        <w:spacing w:before="160"/>
        <w:jc w:val="center"/>
        <w:rPr>
          <w:rFonts w:eastAsia="Calibri"/>
          <w:b/>
          <w:caps/>
          <w:szCs w:val="24"/>
        </w:rPr>
      </w:pPr>
      <w:bookmarkStart w:id="0" w:name="_GoBack"/>
      <w:bookmarkEnd w:id="0"/>
      <w:r w:rsidRPr="00ED686D">
        <w:rPr>
          <w:noProof/>
          <w:szCs w:val="24"/>
          <w:lang w:eastAsia="lt-LT"/>
        </w:rPr>
        <w:drawing>
          <wp:anchor distT="0" distB="0" distL="114300" distR="114300" simplePos="0" relativeHeight="251661312" behindDoc="0" locked="0" layoutInCell="0" allowOverlap="1" wp14:anchorId="157A0C6D" wp14:editId="3313CE9E">
            <wp:simplePos x="0" y="0"/>
            <wp:positionH relativeFrom="margin">
              <wp:posOffset>2737541</wp:posOffset>
            </wp:positionH>
            <wp:positionV relativeFrom="margin">
              <wp:posOffset>-40511</wp:posOffset>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1C27BE">
        <w:rPr>
          <w:rFonts w:eastAsia="Calibri"/>
          <w:b/>
          <w:caps/>
          <w:szCs w:val="24"/>
        </w:rPr>
        <w:t>LIETUVOS RESPUBLIKOS ekonomikos ir inovacijų 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15BF1BA7" w14:textId="77777777" w:rsidR="004C666B" w:rsidRDefault="00581D63" w:rsidP="00581D63">
      <w:pPr>
        <w:jc w:val="center"/>
        <w:rPr>
          <w:b/>
          <w:szCs w:val="24"/>
        </w:rPr>
      </w:pPr>
      <w:r w:rsidRPr="002D2728">
        <w:rPr>
          <w:b/>
          <w:szCs w:val="24"/>
        </w:rPr>
        <w:t xml:space="preserve">DĖL </w:t>
      </w:r>
      <w:r>
        <w:rPr>
          <w:b/>
          <w:szCs w:val="24"/>
        </w:rPr>
        <w:t xml:space="preserve">EKONOMIKOS IR INOVACIJŲ MINISTRO </w:t>
      </w:r>
      <w:r w:rsidR="00A05A6B">
        <w:rPr>
          <w:b/>
          <w:szCs w:val="24"/>
        </w:rPr>
        <w:t>2022 M. VASARIO 15</w:t>
      </w:r>
      <w:r w:rsidR="000A410D">
        <w:rPr>
          <w:b/>
          <w:szCs w:val="24"/>
        </w:rPr>
        <w:t xml:space="preserve"> D. </w:t>
      </w:r>
      <w:r w:rsidR="00BE5F2F">
        <w:rPr>
          <w:b/>
          <w:szCs w:val="24"/>
        </w:rPr>
        <w:t xml:space="preserve">ĮSAKYMO </w:t>
      </w:r>
    </w:p>
    <w:p w14:paraId="4FECFDF1" w14:textId="05547FFF" w:rsidR="00581D63" w:rsidRPr="002039C1" w:rsidRDefault="000A410D" w:rsidP="00581D63">
      <w:pPr>
        <w:jc w:val="center"/>
        <w:rPr>
          <w:b/>
          <w:bCs/>
          <w:caps/>
          <w:szCs w:val="24"/>
        </w:rPr>
      </w:pPr>
      <w:r>
        <w:rPr>
          <w:b/>
          <w:szCs w:val="24"/>
        </w:rPr>
        <w:t>NR</w:t>
      </w:r>
      <w:r w:rsidR="00A05A6B">
        <w:rPr>
          <w:b/>
          <w:szCs w:val="24"/>
        </w:rPr>
        <w:t>. 4-251</w:t>
      </w:r>
      <w:r w:rsidR="00581D63" w:rsidRPr="002D2728">
        <w:rPr>
          <w:b/>
          <w:szCs w:val="24"/>
        </w:rPr>
        <w:t xml:space="preserve"> „</w:t>
      </w:r>
      <w:r w:rsidR="00A05A6B">
        <w:rPr>
          <w:b/>
          <w:bCs/>
          <w:caps/>
          <w:szCs w:val="24"/>
        </w:rPr>
        <w:t xml:space="preserve">dėl </w:t>
      </w:r>
      <w:r w:rsidR="00A05A6B">
        <w:rPr>
          <w:b/>
          <w:szCs w:val="24"/>
        </w:rPr>
        <w:t xml:space="preserve">2014–2020 METŲ EUROPOS SĄJUNGOS FONDŲ INVESTICIJŲ VEIKSMŲ PROGRAMOS </w:t>
      </w:r>
      <w:r w:rsidR="00A05A6B">
        <w:rPr>
          <w:b/>
          <w:caps/>
          <w:szCs w:val="24"/>
        </w:rPr>
        <w:t>3 PRIORITETO „Smulkiojo ir Vidutinio verslo Konkurencingumo skatinimas“ PRIEMONĖS</w:t>
      </w:r>
      <w:r w:rsidR="00A05A6B">
        <w:rPr>
          <w:b/>
          <w:color w:val="000000"/>
          <w:szCs w:val="24"/>
        </w:rPr>
        <w:t xml:space="preserve"> NR. 03.2.1-LVPA-K-801 „NAUJOS GALIMYBĖS LT“</w:t>
      </w:r>
      <w:r w:rsidR="00A05A6B">
        <w:rPr>
          <w:b/>
          <w:bCs/>
          <w:caps/>
          <w:szCs w:val="24"/>
        </w:rPr>
        <w:t xml:space="preserve"> projektų finansavimo sąlygų aprašo NR. 5 patvirtinimo</w:t>
      </w:r>
      <w:r w:rsidR="00581D63" w:rsidRPr="002D2728">
        <w:rPr>
          <w:b/>
          <w:caps/>
          <w:szCs w:val="24"/>
        </w:rPr>
        <w:t>“ PAKEITIMO</w:t>
      </w:r>
    </w:p>
    <w:p w14:paraId="6AD47E50" w14:textId="77777777" w:rsidR="00A04672" w:rsidRPr="002039C1" w:rsidRDefault="00A04672">
      <w:pPr>
        <w:rPr>
          <w:szCs w:val="24"/>
        </w:rPr>
      </w:pPr>
    </w:p>
    <w:p w14:paraId="74FEA358" w14:textId="506B10F8"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DC4F03">
        <w:rPr>
          <w:szCs w:val="24"/>
        </w:rPr>
        <w:t>birželio</w:t>
      </w:r>
      <w:r w:rsidR="00A05A6B">
        <w:rPr>
          <w:szCs w:val="24"/>
        </w:rPr>
        <w:t xml:space="preserve"> </w:t>
      </w:r>
      <w:r w:rsidR="00DC4F03">
        <w:rPr>
          <w:szCs w:val="24"/>
        </w:rPr>
        <w:t>13</w:t>
      </w:r>
      <w:r w:rsidR="007477CB">
        <w:rPr>
          <w:szCs w:val="24"/>
        </w:rPr>
        <w:t xml:space="preserve"> </w:t>
      </w:r>
      <w:r w:rsidR="00AE5EF5" w:rsidRPr="002039C1">
        <w:rPr>
          <w:szCs w:val="24"/>
        </w:rPr>
        <w:t xml:space="preserve">d. Nr. </w:t>
      </w:r>
      <w:r w:rsidR="001C5A8D">
        <w:rPr>
          <w:szCs w:val="24"/>
        </w:rPr>
        <w:t>4-</w:t>
      </w:r>
      <w:r w:rsidR="00DC4F03">
        <w:rPr>
          <w:szCs w:val="24"/>
        </w:rPr>
        <w:t>823</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30121E48" w14:textId="76969E90" w:rsidR="00BD2084" w:rsidRDefault="00DC0406" w:rsidP="002B487E">
      <w:pPr>
        <w:tabs>
          <w:tab w:val="left" w:pos="851"/>
        </w:tabs>
        <w:ind w:firstLine="851"/>
        <w:jc w:val="both"/>
        <w:rPr>
          <w:szCs w:val="24"/>
        </w:rPr>
      </w:pPr>
      <w:r>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4C666B">
        <w:rPr>
          <w:color w:val="000000"/>
          <w:szCs w:val="24"/>
        </w:rPr>
        <w:br/>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ansavimo sąlygų aprašą Nr. 5</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A12135">
        <w:rPr>
          <w:rFonts w:eastAsia="Calibri"/>
        </w:rPr>
        <w:t>2022 m. vasario 15</w:t>
      </w:r>
      <w:r w:rsidR="00852FDA">
        <w:rPr>
          <w:rFonts w:eastAsia="Calibri"/>
        </w:rPr>
        <w:t xml:space="preserve"> d. įsakymu Nr. 4-251</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852FDA">
        <w:rPr>
          <w:szCs w:val="24"/>
        </w:rPr>
        <w:t>imo sąlygų aprašo Nr. 5</w:t>
      </w:r>
      <w:r w:rsidR="00820EBD">
        <w:rPr>
          <w:szCs w:val="24"/>
        </w:rPr>
        <w:t xml:space="preserve"> patvirtinimo“:</w:t>
      </w:r>
    </w:p>
    <w:p w14:paraId="58B79A69" w14:textId="67866133" w:rsidR="009B737D" w:rsidRPr="00852FDA" w:rsidRDefault="00852FDA" w:rsidP="00852FDA">
      <w:pPr>
        <w:pStyle w:val="ListParagraph"/>
        <w:numPr>
          <w:ilvl w:val="0"/>
          <w:numId w:val="10"/>
        </w:numPr>
        <w:tabs>
          <w:tab w:val="left" w:pos="709"/>
        </w:tabs>
        <w:rPr>
          <w:bCs/>
        </w:rPr>
      </w:pPr>
      <w:r>
        <w:rPr>
          <w:bCs/>
        </w:rPr>
        <w:t>Pakeičiu</w:t>
      </w:r>
      <w:r w:rsidR="00BE0D18">
        <w:rPr>
          <w:bCs/>
        </w:rPr>
        <w:t xml:space="preserve"> </w:t>
      </w:r>
      <w:r w:rsidR="00DC0406">
        <w:rPr>
          <w:bCs/>
        </w:rPr>
        <w:t>3.11</w:t>
      </w:r>
      <w:r w:rsidR="009B737D" w:rsidRPr="00852FDA">
        <w:rPr>
          <w:bCs/>
        </w:rPr>
        <w:t xml:space="preserve"> </w:t>
      </w:r>
      <w:r w:rsidR="00DC0406">
        <w:rPr>
          <w:bCs/>
        </w:rPr>
        <w:t>papunktį</w:t>
      </w:r>
      <w:r w:rsidR="009B737D" w:rsidRPr="00852FDA">
        <w:rPr>
          <w:bCs/>
        </w:rPr>
        <w:t xml:space="preserve"> ir jį išdėstau taip:</w:t>
      </w:r>
    </w:p>
    <w:p w14:paraId="5E005B21" w14:textId="60FCCB29" w:rsidR="00852FDA" w:rsidRPr="00465815" w:rsidRDefault="009B737D" w:rsidP="00122CC1">
      <w:pPr>
        <w:tabs>
          <w:tab w:val="left" w:pos="1134"/>
        </w:tabs>
        <w:ind w:firstLine="851"/>
        <w:jc w:val="both"/>
        <w:rPr>
          <w:rFonts w:eastAsia="Calibri"/>
          <w:szCs w:val="24"/>
        </w:rPr>
      </w:pPr>
      <w:r w:rsidRPr="00D53B46">
        <w:rPr>
          <w:bCs/>
        </w:rPr>
        <w:t>„</w:t>
      </w:r>
      <w:r w:rsidR="00DC0406">
        <w:rPr>
          <w:rFonts w:eastAsia="Calibri"/>
          <w:szCs w:val="24"/>
        </w:rPr>
        <w:t>3.11.</w:t>
      </w:r>
      <w:r w:rsidR="00DC0406">
        <w:rPr>
          <w:rFonts w:eastAsia="Calibri"/>
          <w:b/>
          <w:szCs w:val="24"/>
        </w:rPr>
        <w:t xml:space="preserve"> Produkcija</w:t>
      </w:r>
      <w:r w:rsidR="00DC0406">
        <w:rPr>
          <w:rFonts w:eastAsia="Calibri"/>
          <w:szCs w:val="24"/>
        </w:rPr>
        <w:t xml:space="preserve"> </w:t>
      </w:r>
      <w:r w:rsidR="00DC0406">
        <w:rPr>
          <w:rFonts w:eastAsia="Calibri"/>
          <w:b/>
          <w:szCs w:val="24"/>
        </w:rPr>
        <w:t>(produktas)</w:t>
      </w:r>
      <w:r w:rsidR="00DC0406">
        <w:rPr>
          <w:rFonts w:eastAsia="Calibri"/>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pasirengimo gaminti gaminius ir (arba) teikti paslaugas etapą (parengti produktų, paslaugų projektiniai dokumentai (eskizai, brėžiniai, planai ir panašiai), pagamintas prototipas, beta versija ar </w:t>
      </w:r>
      <w:r w:rsidR="00DC0406" w:rsidRPr="00465815">
        <w:rPr>
          <w:rFonts w:eastAsia="Calibri"/>
          <w:szCs w:val="24"/>
        </w:rPr>
        <w:t xml:space="preserve">bandomasis pavyzdys, gauti leidimai, licencijos ar veiklos atestatas, jei tai būtina pagal Lietuvos Respublikos teisės aktus, ar kita) ir per 6 mėnesius nuo paraiškos pateikimo viešajai įstaigai </w:t>
      </w:r>
      <w:r w:rsidR="00363675" w:rsidRPr="00465815">
        <w:rPr>
          <w:rFonts w:eastAsia="Calibri"/>
          <w:szCs w:val="24"/>
        </w:rPr>
        <w:t>Inovacijų agentūrai</w:t>
      </w:r>
      <w:r w:rsidR="00DC0406" w:rsidRPr="00465815">
        <w:rPr>
          <w:rFonts w:eastAsia="Calibri"/>
          <w:szCs w:val="24"/>
        </w:rPr>
        <w:t xml:space="preserve"> dienos pradės gaminti ir (arba) teikti paslaugas).</w:t>
      </w:r>
      <w:r w:rsidR="00852FDA" w:rsidRPr="00465815">
        <w:rPr>
          <w:rFonts w:eastAsia="Calibri"/>
          <w:szCs w:val="24"/>
        </w:rPr>
        <w:t>“</w:t>
      </w:r>
    </w:p>
    <w:p w14:paraId="44078E48" w14:textId="534AF2FB" w:rsidR="009A7068" w:rsidRPr="00465815" w:rsidRDefault="00523840" w:rsidP="00601288">
      <w:pPr>
        <w:pStyle w:val="ListParagraph"/>
        <w:tabs>
          <w:tab w:val="left" w:pos="0"/>
        </w:tabs>
        <w:ind w:left="851" w:firstLine="0"/>
        <w:rPr>
          <w:rFonts w:cs="Arial"/>
          <w:lang w:eastAsia="lt-LT"/>
        </w:rPr>
      </w:pPr>
      <w:r w:rsidRPr="00465815">
        <w:rPr>
          <w:rFonts w:cs="Arial"/>
          <w:lang w:eastAsia="lt-LT"/>
        </w:rPr>
        <w:t>2.</w:t>
      </w:r>
      <w:r w:rsidR="00B23E65" w:rsidRPr="00465815">
        <w:rPr>
          <w:rFonts w:cs="Arial"/>
          <w:lang w:eastAsia="lt-LT"/>
        </w:rPr>
        <w:t xml:space="preserve"> </w:t>
      </w:r>
      <w:r w:rsidR="00933227" w:rsidRPr="00465815">
        <w:t>Pakeičiu 4</w:t>
      </w:r>
      <w:r w:rsidR="009A7068" w:rsidRPr="00465815">
        <w:t xml:space="preserve"> punktą ir jį išdėstau taip:</w:t>
      </w:r>
    </w:p>
    <w:p w14:paraId="3824557A" w14:textId="5D0ACD04" w:rsidR="009A7068" w:rsidRDefault="009A7068" w:rsidP="009A7068">
      <w:pPr>
        <w:pStyle w:val="ListParagraph"/>
        <w:tabs>
          <w:tab w:val="left" w:pos="0"/>
        </w:tabs>
        <w:ind w:left="0"/>
        <w:rPr>
          <w:rFonts w:eastAsia="Calibri"/>
          <w:lang w:eastAsia="lt-LT"/>
        </w:rPr>
      </w:pPr>
      <w:r w:rsidRPr="00465815">
        <w:rPr>
          <w:rFonts w:eastAsia="Calibri"/>
          <w:lang w:eastAsia="lt-LT"/>
        </w:rPr>
        <w:t>„</w:t>
      </w:r>
      <w:r w:rsidR="00933227" w:rsidRPr="00465815">
        <w:t>4. Priemonės įgyvendinimą administruoja Lietuvos Respublikos ekonomikos ir inovacijų ministerija (toliau – Ministerija) ir viešoji įstaiga Inovacijų agentūra</w:t>
      </w:r>
      <w:r w:rsidR="00933227">
        <w:t xml:space="preserve"> (toliau –</w:t>
      </w:r>
      <w:r w:rsidR="00933227">
        <w:rPr>
          <w:bCs/>
        </w:rPr>
        <w:t xml:space="preserve"> įgyvendinančioji institucija)</w:t>
      </w:r>
      <w:r w:rsidRPr="00697F2F">
        <w:rPr>
          <w:rFonts w:eastAsia="Calibri"/>
          <w:lang w:eastAsia="lt-LT"/>
        </w:rPr>
        <w:t>.“</w:t>
      </w:r>
    </w:p>
    <w:p w14:paraId="7F0016C5" w14:textId="341569CF" w:rsidR="001553E3" w:rsidRDefault="001553E3" w:rsidP="001553E3">
      <w:pPr>
        <w:pStyle w:val="ListParagraph"/>
        <w:tabs>
          <w:tab w:val="left" w:pos="0"/>
        </w:tabs>
        <w:ind w:left="851" w:firstLine="0"/>
        <w:rPr>
          <w:rFonts w:cs="Arial"/>
          <w:lang w:eastAsia="lt-LT"/>
        </w:rPr>
      </w:pPr>
      <w:r>
        <w:rPr>
          <w:rFonts w:cs="Arial"/>
          <w:lang w:eastAsia="lt-LT"/>
        </w:rPr>
        <w:t xml:space="preserve">3. </w:t>
      </w:r>
      <w:r>
        <w:rPr>
          <w:bCs/>
        </w:rPr>
        <w:t>Pakeičiu 1 priedo 5.4 papunktį</w:t>
      </w:r>
      <w:r w:rsidRPr="00852FDA">
        <w:rPr>
          <w:bCs/>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2268"/>
        <w:gridCol w:w="567"/>
        <w:gridCol w:w="567"/>
      </w:tblGrid>
      <w:tr w:rsidR="001553E3" w14:paraId="42BF3DA0" w14:textId="77777777" w:rsidTr="00490390">
        <w:trPr>
          <w:trHeight w:val="20"/>
        </w:trPr>
        <w:tc>
          <w:tcPr>
            <w:tcW w:w="6237" w:type="dxa"/>
            <w:tcBorders>
              <w:top w:val="single" w:sz="4" w:space="0" w:color="000000"/>
              <w:left w:val="single" w:sz="4" w:space="0" w:color="000000"/>
              <w:bottom w:val="single" w:sz="4" w:space="0" w:color="000000"/>
              <w:right w:val="single" w:sz="4" w:space="0" w:color="000000"/>
            </w:tcBorders>
            <w:hideMark/>
          </w:tcPr>
          <w:p w14:paraId="12438114" w14:textId="5FF6E406" w:rsidR="001553E3" w:rsidRDefault="005468E9" w:rsidP="00EF73DF">
            <w:pPr>
              <w:jc w:val="both"/>
              <w:rPr>
                <w:szCs w:val="24"/>
                <w:lang w:eastAsia="lt-LT"/>
              </w:rPr>
            </w:pPr>
            <w:r>
              <w:rPr>
                <w:szCs w:val="24"/>
                <w:lang w:eastAsia="lt-LT"/>
              </w:rPr>
              <w:t>„</w:t>
            </w:r>
            <w:r w:rsidR="001553E3">
              <w:rPr>
                <w:szCs w:val="24"/>
                <w:lang w:eastAsia="lt-LT"/>
              </w:rPr>
              <w:t>5.4. Pareiškėjui ir partneriui (-</w:t>
            </w:r>
            <w:proofErr w:type="spellStart"/>
            <w:r w:rsidR="001553E3">
              <w:rPr>
                <w:szCs w:val="24"/>
                <w:lang w:eastAsia="lt-LT"/>
              </w:rPr>
              <w:t>iams</w:t>
            </w:r>
            <w:proofErr w:type="spellEnd"/>
            <w:r w:rsidR="001553E3">
              <w:rPr>
                <w:szCs w:val="24"/>
                <w:lang w:eastAsia="lt-LT"/>
              </w:rPr>
              <w:t>) nėra apribojimų gauti finansavimą:</w:t>
            </w:r>
          </w:p>
          <w:p w14:paraId="42BB8BD8" w14:textId="77777777" w:rsidR="001553E3" w:rsidRDefault="001553E3" w:rsidP="00EF73DF">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w:t>
            </w:r>
            <w:r w:rsidRPr="00972E6B">
              <w:rPr>
                <w:szCs w:val="24"/>
                <w:lang w:eastAsia="lt-LT"/>
              </w:rPr>
              <w:t>bankroto procedūras atlikti</w:t>
            </w:r>
            <w:r>
              <w:rPr>
                <w:szCs w:val="24"/>
                <w:lang w:eastAsia="lt-LT"/>
              </w:rPr>
              <w:t xml:space="preserve">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2FF0C46C" w14:textId="4A5E5522" w:rsidR="001553E3" w:rsidRDefault="001553E3" w:rsidP="00EF73DF">
            <w:pPr>
              <w:jc w:val="both"/>
              <w:rPr>
                <w:szCs w:val="24"/>
                <w:lang w:eastAsia="lt-LT"/>
              </w:rPr>
            </w:pPr>
            <w:r>
              <w:rPr>
                <w:szCs w:val="24"/>
                <w:lang w:eastAsia="lt-LT"/>
              </w:rPr>
              <w:t xml:space="preserve">5.4.2. </w:t>
            </w:r>
            <w:r w:rsidR="000215D9" w:rsidRPr="0060661A">
              <w:rPr>
                <w:szCs w:val="24"/>
                <w:lang w:eastAsia="lt-LT"/>
              </w:rPr>
              <w:t xml:space="preserve">paraiškos </w:t>
            </w:r>
            <w:r w:rsidR="000215D9" w:rsidRPr="0060661A">
              <w:rPr>
                <w:szCs w:val="24"/>
              </w:rPr>
              <w:t xml:space="preserve">pateikimo dieną </w:t>
            </w:r>
            <w:r w:rsidR="000215D9" w:rsidRPr="0060661A">
              <w:rPr>
                <w:szCs w:val="24"/>
                <w:lang w:eastAsia="lt-LT"/>
              </w:rPr>
              <w:t>pareiškėjas ir partneris (-</w:t>
            </w:r>
            <w:proofErr w:type="spellStart"/>
            <w:r w:rsidR="000215D9" w:rsidRPr="0060661A">
              <w:rPr>
                <w:szCs w:val="24"/>
                <w:lang w:eastAsia="lt-LT"/>
              </w:rPr>
              <w:t>iai</w:t>
            </w:r>
            <w:proofErr w:type="spellEnd"/>
            <w:r w:rsidR="000215D9" w:rsidRPr="0060661A">
              <w:rPr>
                <w:szCs w:val="24"/>
                <w:lang w:eastAsia="lt-LT"/>
              </w:rPr>
              <w:t xml:space="preserve">) </w:t>
            </w:r>
            <w:r w:rsidR="000215D9" w:rsidRPr="0060661A">
              <w:rPr>
                <w:szCs w:val="24"/>
              </w:rPr>
              <w:t xml:space="preserve">galutiniu teismo sprendimu ar galutiniu administraciniu </w:t>
            </w:r>
            <w:r w:rsidR="000215D9" w:rsidRPr="0060661A">
              <w:rPr>
                <w:szCs w:val="24"/>
              </w:rPr>
              <w:lastRenderedPageBreak/>
              <w:t xml:space="preserve">sprendimu nėra pripažinti nevykdančiais pareigų, susijusių su mokesčių ar socialinio draudimo įmokų mokėjimu </w:t>
            </w:r>
            <w:r w:rsidR="000215D9" w:rsidRPr="0060661A">
              <w:rPr>
                <w:szCs w:val="24"/>
                <w:lang w:eastAsia="lt-LT"/>
              </w:rPr>
              <w:t>pagal Lietuvos Respublikos teisės aktus arba pagal kitos valstybės teisės aktus, jei pareiškėjas ir partneris (-</w:t>
            </w:r>
            <w:proofErr w:type="spellStart"/>
            <w:r w:rsidR="000215D9" w:rsidRPr="0060661A">
              <w:rPr>
                <w:szCs w:val="24"/>
                <w:lang w:eastAsia="lt-LT"/>
              </w:rPr>
              <w:t>iai</w:t>
            </w:r>
            <w:proofErr w:type="spellEnd"/>
            <w:r w:rsidR="000215D9" w:rsidRPr="0060661A">
              <w:rPr>
                <w:szCs w:val="24"/>
                <w:lang w:eastAsia="lt-LT"/>
              </w:rPr>
              <w:t xml:space="preserve">) yra užsienyje registruoti juridiniai asmenys ar </w:t>
            </w:r>
            <w:r w:rsidR="000215D9" w:rsidRPr="0060661A">
              <w:rPr>
                <w:szCs w:val="24"/>
              </w:rPr>
              <w:t xml:space="preserve">užsienyje gyvenantys fiziniai asmenys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42AC2CBD" w14:textId="5C946FE5" w:rsidR="001553E3" w:rsidRDefault="001553E3" w:rsidP="00EF73DF">
            <w:pPr>
              <w:jc w:val="both"/>
              <w:rPr>
                <w:color w:val="000000"/>
                <w:szCs w:val="24"/>
                <w:lang w:eastAsia="lt-LT"/>
              </w:rPr>
            </w:pPr>
            <w:r>
              <w:rPr>
                <w:szCs w:val="24"/>
                <w:lang w:eastAsia="lt-LT"/>
              </w:rPr>
              <w:t>5.4.3.</w:t>
            </w:r>
            <w:r>
              <w:rPr>
                <w:rFonts w:eastAsia="Calibri"/>
                <w:szCs w:val="24"/>
              </w:rPr>
              <w:t xml:space="preserve"> </w:t>
            </w:r>
            <w:r w:rsidRPr="000D1D5A">
              <w:rPr>
                <w:szCs w:val="24"/>
                <w:lang w:eastAsia="lt-LT"/>
              </w:rPr>
              <w:t xml:space="preserve">paraiškos vertinimo metu </w:t>
            </w:r>
            <w:r w:rsidRPr="000D1D5A">
              <w:rPr>
                <w:rFonts w:eastAsia="Calibri"/>
                <w:szCs w:val="24"/>
              </w:rPr>
              <w:t>pareiškėjas ir partneris (-</w:t>
            </w:r>
            <w:proofErr w:type="spellStart"/>
            <w:r w:rsidRPr="000D1D5A">
              <w:rPr>
                <w:rFonts w:eastAsia="Calibri"/>
                <w:szCs w:val="24"/>
              </w:rPr>
              <w:t>iai</w:t>
            </w:r>
            <w:proofErr w:type="spellEnd"/>
            <w:r w:rsidRPr="000D1D5A">
              <w:rPr>
                <w:rFonts w:eastAsia="Calibri"/>
                <w:szCs w:val="24"/>
              </w:rPr>
              <w:t>), kurie yra fiziniai asmenys, arba</w:t>
            </w:r>
            <w:r w:rsidRPr="000D1D5A">
              <w:rPr>
                <w:rFonts w:ascii="Calibri" w:eastAsia="Calibri" w:hAnsi="Calibri"/>
                <w:b/>
                <w:szCs w:val="24"/>
              </w:rPr>
              <w:t xml:space="preserve"> </w:t>
            </w:r>
            <w:r w:rsidRPr="000D1D5A">
              <w:rPr>
                <w:color w:val="000000"/>
                <w:szCs w:val="24"/>
                <w:lang w:eastAsia="lt-LT"/>
              </w:rPr>
              <w:t xml:space="preserve">pareiškėjo </w:t>
            </w:r>
            <w:r w:rsidRPr="000D1D5A">
              <w:rPr>
                <w:szCs w:val="24"/>
                <w:lang w:eastAsia="lt-LT"/>
              </w:rPr>
              <w:t>ir partnerio (-</w:t>
            </w:r>
            <w:proofErr w:type="spellStart"/>
            <w:r w:rsidRPr="000D1D5A">
              <w:rPr>
                <w:szCs w:val="24"/>
                <w:lang w:eastAsia="lt-LT"/>
              </w:rPr>
              <w:t>ių</w:t>
            </w:r>
            <w:proofErr w:type="spellEnd"/>
            <w:r w:rsidRPr="000D1D5A">
              <w:rPr>
                <w:szCs w:val="24"/>
                <w:lang w:eastAsia="lt-LT"/>
              </w:rPr>
              <w:t xml:space="preserve">), </w:t>
            </w:r>
            <w:r w:rsidRPr="000D1D5A">
              <w:rPr>
                <w:color w:val="000000"/>
                <w:szCs w:val="24"/>
                <w:lang w:eastAsia="lt-LT"/>
              </w:rPr>
              <w:t>kurie yra juridiniai asmenys,</w:t>
            </w:r>
            <w:r w:rsidRPr="000D1D5A">
              <w:rPr>
                <w:szCs w:val="24"/>
                <w:lang w:eastAsia="lt-LT"/>
              </w:rPr>
              <w:t xml:space="preserve"> </w:t>
            </w:r>
            <w:r w:rsidRPr="000D1D5A">
              <w:rPr>
                <w:color w:val="000000"/>
                <w:szCs w:val="24"/>
                <w:lang w:eastAsia="lt-LT"/>
              </w:rPr>
              <w:t xml:space="preserve">vadovas, </w:t>
            </w:r>
            <w:r w:rsidR="000D1D5A" w:rsidRPr="004715A6">
              <w:rPr>
                <w:szCs w:val="24"/>
                <w:lang w:eastAsia="lt-LT"/>
              </w:rPr>
              <w:t xml:space="preserve">pagrindinis akcininkas (turintis daugiau nei 50 proc. akcijų) ar savininkas, </w:t>
            </w:r>
            <w:r w:rsidRPr="004715A6">
              <w:rPr>
                <w:color w:val="000000"/>
                <w:szCs w:val="24"/>
                <w:lang w:eastAsia="lt-LT"/>
              </w:rPr>
              <w:t>ūkinės bendrijos tikrasis narys (-</w:t>
            </w:r>
            <w:proofErr w:type="spellStart"/>
            <w:r w:rsidRPr="004715A6">
              <w:rPr>
                <w:color w:val="000000"/>
                <w:szCs w:val="24"/>
                <w:lang w:eastAsia="lt-LT"/>
              </w:rPr>
              <w:t>iai</w:t>
            </w:r>
            <w:proofErr w:type="spellEnd"/>
            <w:r w:rsidRPr="004715A6">
              <w:rPr>
                <w:color w:val="000000"/>
                <w:szCs w:val="24"/>
                <w:lang w:eastAsia="lt-LT"/>
              </w:rPr>
              <w:t>) ar mažosios bendrijos atstovas</w:t>
            </w:r>
            <w:r w:rsidRPr="000D1D5A">
              <w:rPr>
                <w:color w:val="000000"/>
                <w:szCs w:val="24"/>
                <w:lang w:eastAsia="lt-LT"/>
              </w:rPr>
              <w:t xml:space="preserve"> (-ai), turintis (-</w:t>
            </w:r>
            <w:proofErr w:type="spellStart"/>
            <w:r w:rsidRPr="000D1D5A">
              <w:rPr>
                <w:color w:val="000000"/>
                <w:szCs w:val="24"/>
                <w:lang w:eastAsia="lt-LT"/>
              </w:rPr>
              <w:t>ys</w:t>
            </w:r>
            <w:proofErr w:type="spellEnd"/>
            <w:r w:rsidRPr="000D1D5A">
              <w:rPr>
                <w:color w:val="000000"/>
                <w:szCs w:val="24"/>
                <w:lang w:eastAsia="lt-LT"/>
              </w:rPr>
              <w:t>) teisę juridinio asmens vardu sudaryti sandorį, ar buhalteris (-</w:t>
            </w:r>
            <w:proofErr w:type="spellStart"/>
            <w:r w:rsidRPr="000D1D5A">
              <w:rPr>
                <w:color w:val="000000"/>
                <w:szCs w:val="24"/>
                <w:lang w:eastAsia="lt-LT"/>
              </w:rPr>
              <w:t>iai</w:t>
            </w:r>
            <w:proofErr w:type="spellEnd"/>
            <w:r w:rsidRPr="000D1D5A">
              <w:rPr>
                <w:color w:val="000000"/>
                <w:szCs w:val="24"/>
                <w:lang w:eastAsia="lt-LT"/>
              </w:rPr>
              <w:t>), ar kitas (kiti) asmuo (asmenys), turintis (-</w:t>
            </w:r>
            <w:proofErr w:type="spellStart"/>
            <w:r w:rsidRPr="000D1D5A">
              <w:rPr>
                <w:color w:val="000000"/>
                <w:szCs w:val="24"/>
                <w:lang w:eastAsia="lt-LT"/>
              </w:rPr>
              <w:t>ys</w:t>
            </w:r>
            <w:proofErr w:type="spellEnd"/>
            <w:r w:rsidRPr="000D1D5A">
              <w:rPr>
                <w:color w:val="000000"/>
                <w:szCs w:val="24"/>
                <w:lang w:eastAsia="lt-LT"/>
              </w:rPr>
              <w:t>) teisę surašyti ir pasirašyti pareiškėjo apskaitos dokumentus, neturi neišnykusio arba nepanaikinto teistumo arba dėl pareiškėjo ir partnerio (-</w:t>
            </w:r>
            <w:proofErr w:type="spellStart"/>
            <w:r w:rsidRPr="000D1D5A">
              <w:rPr>
                <w:color w:val="000000"/>
                <w:szCs w:val="24"/>
                <w:lang w:eastAsia="lt-LT"/>
              </w:rPr>
              <w:t>ių</w:t>
            </w:r>
            <w:proofErr w:type="spellEnd"/>
            <w:r w:rsidRPr="000D1D5A">
              <w:rPr>
                <w:color w:val="000000"/>
                <w:szCs w:val="24"/>
                <w:lang w:eastAsia="lt-LT"/>
              </w:rPr>
              <w:t xml:space="preserve">) per paskutinius 5 metus nebuvo priimtas ir įsiteisėjęs apkaltinamasis teismo nuosprendis </w:t>
            </w:r>
            <w:r w:rsidRPr="000D1D5A">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0D1D5A">
              <w:rPr>
                <w:rFonts w:eastAsia="Calibri"/>
                <w:szCs w:val="24"/>
              </w:rPr>
              <w:t>vertimąsi</w:t>
            </w:r>
            <w:proofErr w:type="spellEnd"/>
            <w:r w:rsidRPr="000D1D5A">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w:t>
            </w:r>
            <w:r w:rsidRPr="000D1D5A">
              <w:rPr>
                <w:rFonts w:eastAsia="Calibri"/>
                <w:szCs w:val="24"/>
              </w:rPr>
              <w:lastRenderedPageBreak/>
              <w:t xml:space="preserve">finansiniams interesams </w:t>
            </w:r>
            <w:r w:rsidRPr="000D1D5A">
              <w:rPr>
                <w:i/>
                <w:color w:val="000000"/>
                <w:szCs w:val="24"/>
                <w:lang w:eastAsia="lt-LT"/>
              </w:rPr>
              <w:t>(šis apribojimas netaikomas, jei pareiškėjo arba partnerio (-</w:t>
            </w:r>
            <w:proofErr w:type="spellStart"/>
            <w:r w:rsidRPr="000D1D5A">
              <w:rPr>
                <w:i/>
                <w:color w:val="000000"/>
                <w:szCs w:val="24"/>
                <w:lang w:eastAsia="lt-LT"/>
              </w:rPr>
              <w:t>ių</w:t>
            </w:r>
            <w:proofErr w:type="spellEnd"/>
            <w:r w:rsidRPr="000D1D5A">
              <w:rPr>
                <w:i/>
                <w:color w:val="000000"/>
                <w:szCs w:val="24"/>
                <w:lang w:eastAsia="lt-LT"/>
              </w:rPr>
              <w:t>) veikla yra finansuojama iš Lietuvos Respublikos valstybės ir (arba) savivaldybių biudžetų ir (arba) valstybės pinigų fondų, taip pat Europos investicijų fondui ir Europos investicijų bankui)</w:t>
            </w:r>
            <w:r w:rsidR="00335BCC">
              <w:rPr>
                <w:szCs w:val="24"/>
                <w:lang w:eastAsia="lt-LT"/>
              </w:rPr>
              <w:t>;</w:t>
            </w:r>
          </w:p>
          <w:p w14:paraId="623D2FC4" w14:textId="77777777" w:rsidR="001553E3" w:rsidRDefault="001553E3" w:rsidP="00EF73DF">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605E5BA0" w14:textId="77777777" w:rsidR="001553E3" w:rsidRDefault="001553E3" w:rsidP="00EF73DF">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1EEDF8C5" w14:textId="77777777" w:rsidR="001553E3" w:rsidRDefault="001553E3" w:rsidP="00EF73DF">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A6D69C5" w14:textId="77777777" w:rsidR="001553E3" w:rsidRDefault="001553E3" w:rsidP="00EF73DF">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 xml:space="preserve">ši nuostata taikoma tik tais atvejais, kai finansines ataskaitas būtina rengti pagal įstatymus, taikomus juridiniam asmeniui, užsienio juridiniam asmeniui ar kitai organizacijai </w:t>
            </w:r>
            <w:r>
              <w:rPr>
                <w:rFonts w:eastAsia="Calibri"/>
                <w:i/>
                <w:szCs w:val="24"/>
              </w:rPr>
              <w:t>arba jų filialui</w:t>
            </w:r>
            <w:r>
              <w:rPr>
                <w:i/>
                <w:szCs w:val="24"/>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427F79FE" w14:textId="1FF4D571" w:rsidR="001553E3" w:rsidRDefault="001553E3" w:rsidP="00BC6FBF">
            <w:pPr>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Pr>
                <w:szCs w:val="24"/>
                <w:lang w:eastAsia="lt-LT"/>
              </w:rPr>
              <w:lastRenderedPageBreak/>
              <w:t xml:space="preserve">Juridinių asmenų registro duomenys, </w:t>
            </w:r>
            <w:r>
              <w:rPr>
                <w:rFonts w:eastAsia="Calibri"/>
                <w:szCs w:val="24"/>
              </w:rPr>
              <w:t>Audito, apskaitos, turto vertinimo ir nemokumo valdymo tarnybos prie Lietuvos Respublikos finansų ministerijos,</w:t>
            </w:r>
            <w:r>
              <w:rPr>
                <w:szCs w:val="24"/>
                <w:lang w:eastAsia="lt-LT"/>
              </w:rPr>
              <w:t xml:space="preserve"> taip pat </w:t>
            </w:r>
            <w:r w:rsidRPr="0060661A">
              <w:rPr>
                <w:szCs w:val="24"/>
                <w:lang w:eastAsia="lt-LT"/>
              </w:rPr>
              <w:t xml:space="preserve">kita viešajai įstaigai </w:t>
            </w:r>
            <w:r w:rsidR="005468E9" w:rsidRPr="0060661A">
              <w:rPr>
                <w:szCs w:val="24"/>
                <w:lang w:eastAsia="lt-LT"/>
              </w:rPr>
              <w:t xml:space="preserve">Inovacijų agentūrai </w:t>
            </w:r>
            <w:r w:rsidRPr="0060661A">
              <w:rPr>
                <w:szCs w:val="24"/>
                <w:lang w:eastAsia="lt-LT"/>
              </w:rPr>
              <w:t>(toliau – įgyvendinančioji institucija) prieinama</w:t>
            </w:r>
            <w:r>
              <w:rPr>
                <w:szCs w:val="24"/>
                <w:lang w:eastAsia="lt-LT"/>
              </w:rPr>
              <w:t xml:space="preserve"> informacija.</w:t>
            </w:r>
          </w:p>
          <w:p w14:paraId="2F77CD6E" w14:textId="77777777" w:rsidR="001553E3" w:rsidRDefault="001553E3" w:rsidP="00EF73DF">
            <w:pPr>
              <w:jc w:val="both"/>
              <w:rPr>
                <w:szCs w:val="24"/>
                <w:lang w:eastAsia="lt-LT"/>
              </w:rPr>
            </w:pPr>
          </w:p>
          <w:p w14:paraId="2210CBBB" w14:textId="77777777" w:rsidR="001553E3" w:rsidRPr="00382855" w:rsidRDefault="001553E3" w:rsidP="00EF73DF">
            <w:pPr>
              <w:pStyle w:val="pf0"/>
              <w:spacing w:before="0" w:beforeAutospacing="0" w:after="0" w:afterAutospacing="0"/>
              <w:jc w:val="both"/>
            </w:pPr>
            <w:r w:rsidRPr="00382855">
              <w:t xml:space="preserve">Vertinant atitiktį šiam vertinimo aspektui, vadovaujamasi pareiškėjo pateikta deklaracija. </w:t>
            </w:r>
          </w:p>
          <w:p w14:paraId="79648572" w14:textId="77777777" w:rsidR="001553E3" w:rsidRPr="00382855" w:rsidRDefault="001553E3" w:rsidP="00EF73DF">
            <w:pPr>
              <w:pStyle w:val="pf0"/>
              <w:spacing w:before="0" w:beforeAutospacing="0" w:after="0" w:afterAutospacing="0"/>
              <w:jc w:val="both"/>
            </w:pPr>
          </w:p>
          <w:p w14:paraId="20604F51" w14:textId="4FCAE982" w:rsidR="001553E3" w:rsidRDefault="001553E3" w:rsidP="00EF73DF">
            <w:pPr>
              <w:jc w:val="both"/>
              <w:rPr>
                <w:szCs w:val="24"/>
                <w:lang w:eastAsia="lt-LT"/>
              </w:rPr>
            </w:pPr>
            <w:r w:rsidRPr="00382855">
              <w:rPr>
                <w:lang w:eastAsia="lt-LT"/>
              </w:rPr>
              <w:t>Pareiškėjo deklaracijoje pateiktų teiginių dėl atitikties šiam vertinimo aspektui nurodytų apribojimų tikrumas tikrinamas atrankiniu būdu įgyvendinančiosios institucijos vidaus procedūrų apraše nustatyta tvarka.</w:t>
            </w:r>
            <w:r w:rsidR="00F63C40">
              <w:rPr>
                <w:lang w:eastAsia="lt-LT"/>
              </w:rPr>
              <w:t>“</w:t>
            </w:r>
          </w:p>
        </w:tc>
        <w:tc>
          <w:tcPr>
            <w:tcW w:w="567" w:type="dxa"/>
            <w:tcBorders>
              <w:top w:val="single" w:sz="4" w:space="0" w:color="000000"/>
              <w:left w:val="single" w:sz="4" w:space="0" w:color="000000"/>
              <w:bottom w:val="single" w:sz="4" w:space="0" w:color="000000"/>
              <w:right w:val="single" w:sz="4" w:space="0" w:color="000000"/>
            </w:tcBorders>
          </w:tcPr>
          <w:p w14:paraId="29CF954B" w14:textId="77777777" w:rsidR="001553E3" w:rsidRDefault="001553E3" w:rsidP="00EF73DF">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B9F20EF" w14:textId="77777777" w:rsidR="001553E3" w:rsidRDefault="001553E3" w:rsidP="00EF73DF">
            <w:pPr>
              <w:rPr>
                <w:szCs w:val="24"/>
                <w:lang w:eastAsia="lt-LT"/>
              </w:rPr>
            </w:pPr>
          </w:p>
        </w:tc>
      </w:tr>
    </w:tbl>
    <w:p w14:paraId="3E4E0ED9" w14:textId="77777777" w:rsidR="001553E3" w:rsidRPr="00697F2F" w:rsidRDefault="001553E3" w:rsidP="009A7068">
      <w:pPr>
        <w:pStyle w:val="ListParagraph"/>
        <w:tabs>
          <w:tab w:val="left" w:pos="0"/>
        </w:tabs>
        <w:ind w:left="0"/>
        <w:rPr>
          <w:rFonts w:cs="Arial"/>
          <w:lang w:eastAsia="lt-LT"/>
        </w:rPr>
      </w:pPr>
    </w:p>
    <w:p w14:paraId="0573F2A9" w14:textId="7A3BD88D" w:rsidR="003C5E3A" w:rsidRDefault="003C5E3A" w:rsidP="003641AC">
      <w:pPr>
        <w:jc w:val="both"/>
      </w:pPr>
    </w:p>
    <w:p w14:paraId="3F31D45B" w14:textId="77A1A8BC" w:rsidR="003C5E3A" w:rsidRDefault="003C5E3A" w:rsidP="003641AC">
      <w:pPr>
        <w:jc w:val="both"/>
      </w:pPr>
    </w:p>
    <w:p w14:paraId="02257144" w14:textId="2A5A8DE9" w:rsidR="00AD1A12" w:rsidRDefault="00AD1A12" w:rsidP="00AD1A12">
      <w:pPr>
        <w:tabs>
          <w:tab w:val="left" w:pos="7088"/>
        </w:tabs>
        <w:rPr>
          <w:szCs w:val="24"/>
          <w:lang w:eastAsia="lt-LT"/>
        </w:rPr>
      </w:pPr>
      <w:r>
        <w:rPr>
          <w:szCs w:val="24"/>
          <w:lang w:eastAsia="lt-LT"/>
        </w:rPr>
        <w:t>Ekonomikos ir inovacijų ministrė                                                                            Aušrinė Armonaitė</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132E472E" w14:textId="0EBFA935" w:rsidR="004715A6" w:rsidRDefault="004715A6">
      <w:pPr>
        <w:tabs>
          <w:tab w:val="center" w:pos="4819"/>
          <w:tab w:val="right" w:pos="9638"/>
        </w:tabs>
        <w:jc w:val="both"/>
        <w:rPr>
          <w:sz w:val="20"/>
        </w:rPr>
      </w:pPr>
    </w:p>
    <w:p w14:paraId="0B5247D2" w14:textId="0BB5FF3C" w:rsidR="004715A6" w:rsidRDefault="004715A6">
      <w:pPr>
        <w:tabs>
          <w:tab w:val="center" w:pos="4819"/>
          <w:tab w:val="right" w:pos="9638"/>
        </w:tabs>
        <w:jc w:val="both"/>
        <w:rPr>
          <w:sz w:val="20"/>
        </w:rPr>
      </w:pPr>
    </w:p>
    <w:p w14:paraId="6BA0E045" w14:textId="08C62C1C" w:rsidR="00555790" w:rsidRDefault="00555790">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49039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C71C" w14:textId="77777777" w:rsidR="00491C82" w:rsidRDefault="00491C82">
      <w:pPr>
        <w:ind w:firstLine="851"/>
        <w:jc w:val="both"/>
        <w:rPr>
          <w:szCs w:val="24"/>
        </w:rPr>
      </w:pPr>
      <w:r>
        <w:rPr>
          <w:szCs w:val="24"/>
        </w:rPr>
        <w:separator/>
      </w:r>
    </w:p>
    <w:p w14:paraId="5074513E" w14:textId="77777777" w:rsidR="00491C82" w:rsidRDefault="00491C82"/>
    <w:p w14:paraId="195D89B9" w14:textId="77777777" w:rsidR="00491C82" w:rsidRDefault="00491C82">
      <w:pPr>
        <w:ind w:firstLine="851"/>
        <w:jc w:val="both"/>
        <w:rPr>
          <w:szCs w:val="24"/>
        </w:rPr>
      </w:pPr>
    </w:p>
  </w:endnote>
  <w:endnote w:type="continuationSeparator" w:id="0">
    <w:p w14:paraId="29F2270C" w14:textId="77777777" w:rsidR="00491C82" w:rsidRDefault="00491C82">
      <w:pPr>
        <w:ind w:firstLine="851"/>
        <w:jc w:val="both"/>
        <w:rPr>
          <w:szCs w:val="24"/>
        </w:rPr>
      </w:pPr>
      <w:r>
        <w:rPr>
          <w:szCs w:val="24"/>
        </w:rPr>
        <w:continuationSeparator/>
      </w:r>
    </w:p>
    <w:p w14:paraId="49D0C5BC" w14:textId="77777777" w:rsidR="00491C82" w:rsidRDefault="00491C82"/>
    <w:p w14:paraId="693E96FC" w14:textId="77777777" w:rsidR="00491C82" w:rsidRDefault="00491C82">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73F9" w14:textId="77777777" w:rsidR="00491C82" w:rsidRDefault="00491C82">
      <w:pPr>
        <w:ind w:firstLine="851"/>
        <w:jc w:val="both"/>
        <w:rPr>
          <w:szCs w:val="24"/>
        </w:rPr>
      </w:pPr>
      <w:r>
        <w:rPr>
          <w:szCs w:val="24"/>
        </w:rPr>
        <w:separator/>
      </w:r>
    </w:p>
    <w:p w14:paraId="5BAB054D" w14:textId="77777777" w:rsidR="00491C82" w:rsidRDefault="00491C82"/>
    <w:p w14:paraId="4AF73FC0" w14:textId="77777777" w:rsidR="00491C82" w:rsidRDefault="00491C82">
      <w:pPr>
        <w:ind w:firstLine="851"/>
        <w:jc w:val="both"/>
        <w:rPr>
          <w:szCs w:val="24"/>
        </w:rPr>
      </w:pPr>
    </w:p>
  </w:footnote>
  <w:footnote w:type="continuationSeparator" w:id="0">
    <w:p w14:paraId="0F42F83A" w14:textId="77777777" w:rsidR="00491C82" w:rsidRDefault="00491C82">
      <w:pPr>
        <w:ind w:firstLine="851"/>
        <w:jc w:val="both"/>
        <w:rPr>
          <w:szCs w:val="24"/>
        </w:rPr>
      </w:pPr>
      <w:r>
        <w:rPr>
          <w:szCs w:val="24"/>
        </w:rPr>
        <w:continuationSeparator/>
      </w:r>
    </w:p>
    <w:p w14:paraId="17398145" w14:textId="77777777" w:rsidR="00491C82" w:rsidRDefault="00491C82"/>
    <w:p w14:paraId="1420F063" w14:textId="77777777" w:rsidR="00491C82" w:rsidRDefault="00491C82">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2617D4CE" w:rsidR="00ED0306" w:rsidRDefault="00ED0306" w:rsidP="002C04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31EE7">
      <w:rPr>
        <w:noProof/>
        <w:szCs w:val="24"/>
      </w:rPr>
      <w:t>3</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0B35B7"/>
    <w:multiLevelType w:val="hybridMultilevel"/>
    <w:tmpl w:val="02DE7C5C"/>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8"/>
  </w:num>
  <w:num w:numId="5">
    <w:abstractNumId w:val="7"/>
  </w:num>
  <w:num w:numId="6">
    <w:abstractNumId w:val="0"/>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5F4D"/>
    <w:rsid w:val="00006409"/>
    <w:rsid w:val="0000781B"/>
    <w:rsid w:val="000101DB"/>
    <w:rsid w:val="00015C9A"/>
    <w:rsid w:val="000176DF"/>
    <w:rsid w:val="000215D9"/>
    <w:rsid w:val="00022E1B"/>
    <w:rsid w:val="00023902"/>
    <w:rsid w:val="0002561D"/>
    <w:rsid w:val="000267D0"/>
    <w:rsid w:val="0003288A"/>
    <w:rsid w:val="00032B71"/>
    <w:rsid w:val="00032B80"/>
    <w:rsid w:val="0003613E"/>
    <w:rsid w:val="00036743"/>
    <w:rsid w:val="00043F61"/>
    <w:rsid w:val="00045EE1"/>
    <w:rsid w:val="00051B69"/>
    <w:rsid w:val="00051FF0"/>
    <w:rsid w:val="00053269"/>
    <w:rsid w:val="00054997"/>
    <w:rsid w:val="00057FB0"/>
    <w:rsid w:val="00060D98"/>
    <w:rsid w:val="00062609"/>
    <w:rsid w:val="00063341"/>
    <w:rsid w:val="000715F7"/>
    <w:rsid w:val="0007715E"/>
    <w:rsid w:val="000902BA"/>
    <w:rsid w:val="000941B4"/>
    <w:rsid w:val="00094FDA"/>
    <w:rsid w:val="00096227"/>
    <w:rsid w:val="000A1209"/>
    <w:rsid w:val="000A37F6"/>
    <w:rsid w:val="000A410D"/>
    <w:rsid w:val="000A47B6"/>
    <w:rsid w:val="000B164D"/>
    <w:rsid w:val="000B2419"/>
    <w:rsid w:val="000B377F"/>
    <w:rsid w:val="000B3E4E"/>
    <w:rsid w:val="000B42E2"/>
    <w:rsid w:val="000B521B"/>
    <w:rsid w:val="000C66EE"/>
    <w:rsid w:val="000C7AA2"/>
    <w:rsid w:val="000C7B3B"/>
    <w:rsid w:val="000D0327"/>
    <w:rsid w:val="000D196A"/>
    <w:rsid w:val="000D1D5A"/>
    <w:rsid w:val="000D1F09"/>
    <w:rsid w:val="000D7FC1"/>
    <w:rsid w:val="000E2E31"/>
    <w:rsid w:val="000E301F"/>
    <w:rsid w:val="000E3E8B"/>
    <w:rsid w:val="000E4CA3"/>
    <w:rsid w:val="000E6724"/>
    <w:rsid w:val="000E79FE"/>
    <w:rsid w:val="000F242F"/>
    <w:rsid w:val="000F3C92"/>
    <w:rsid w:val="000F5031"/>
    <w:rsid w:val="000F77C8"/>
    <w:rsid w:val="000F7EA0"/>
    <w:rsid w:val="0010052B"/>
    <w:rsid w:val="00116183"/>
    <w:rsid w:val="00122CC1"/>
    <w:rsid w:val="00124201"/>
    <w:rsid w:val="00125D1B"/>
    <w:rsid w:val="00126BE2"/>
    <w:rsid w:val="001304FB"/>
    <w:rsid w:val="0013125F"/>
    <w:rsid w:val="00132ACE"/>
    <w:rsid w:val="00136889"/>
    <w:rsid w:val="001438DD"/>
    <w:rsid w:val="00143BB3"/>
    <w:rsid w:val="00143CBF"/>
    <w:rsid w:val="00147642"/>
    <w:rsid w:val="001553E3"/>
    <w:rsid w:val="00156C53"/>
    <w:rsid w:val="00157A5C"/>
    <w:rsid w:val="0016084A"/>
    <w:rsid w:val="00162CCB"/>
    <w:rsid w:val="00164EDC"/>
    <w:rsid w:val="00175508"/>
    <w:rsid w:val="0017576A"/>
    <w:rsid w:val="00175E63"/>
    <w:rsid w:val="00182D89"/>
    <w:rsid w:val="00184D08"/>
    <w:rsid w:val="001877EB"/>
    <w:rsid w:val="00187893"/>
    <w:rsid w:val="001906C5"/>
    <w:rsid w:val="00192A94"/>
    <w:rsid w:val="00197BAC"/>
    <w:rsid w:val="001A5DE9"/>
    <w:rsid w:val="001A6324"/>
    <w:rsid w:val="001B13ED"/>
    <w:rsid w:val="001B5B75"/>
    <w:rsid w:val="001B79B5"/>
    <w:rsid w:val="001B7ABE"/>
    <w:rsid w:val="001C144F"/>
    <w:rsid w:val="001C1D95"/>
    <w:rsid w:val="001C1FF6"/>
    <w:rsid w:val="001C27BE"/>
    <w:rsid w:val="001C2FC9"/>
    <w:rsid w:val="001C3567"/>
    <w:rsid w:val="001C5A8D"/>
    <w:rsid w:val="001D09BE"/>
    <w:rsid w:val="001D532B"/>
    <w:rsid w:val="001D59BB"/>
    <w:rsid w:val="001D6C71"/>
    <w:rsid w:val="001D7B66"/>
    <w:rsid w:val="001D7E17"/>
    <w:rsid w:val="001E0EC9"/>
    <w:rsid w:val="001E3469"/>
    <w:rsid w:val="001F0455"/>
    <w:rsid w:val="001F2D4F"/>
    <w:rsid w:val="001F3B14"/>
    <w:rsid w:val="001F3FE3"/>
    <w:rsid w:val="001F4DE6"/>
    <w:rsid w:val="002039C1"/>
    <w:rsid w:val="00206631"/>
    <w:rsid w:val="00211DC6"/>
    <w:rsid w:val="00211EC1"/>
    <w:rsid w:val="00212DFA"/>
    <w:rsid w:val="00215F53"/>
    <w:rsid w:val="00226FBC"/>
    <w:rsid w:val="002311F2"/>
    <w:rsid w:val="0023416B"/>
    <w:rsid w:val="00235896"/>
    <w:rsid w:val="00236169"/>
    <w:rsid w:val="002422E3"/>
    <w:rsid w:val="00242E90"/>
    <w:rsid w:val="00243475"/>
    <w:rsid w:val="00246977"/>
    <w:rsid w:val="0024795C"/>
    <w:rsid w:val="0025174E"/>
    <w:rsid w:val="00255095"/>
    <w:rsid w:val="0025739D"/>
    <w:rsid w:val="00257F98"/>
    <w:rsid w:val="00260E70"/>
    <w:rsid w:val="00261138"/>
    <w:rsid w:val="002624CF"/>
    <w:rsid w:val="002656B5"/>
    <w:rsid w:val="00265CB1"/>
    <w:rsid w:val="00267220"/>
    <w:rsid w:val="002673B6"/>
    <w:rsid w:val="002733E9"/>
    <w:rsid w:val="0027689B"/>
    <w:rsid w:val="00287BBB"/>
    <w:rsid w:val="00290456"/>
    <w:rsid w:val="002912ED"/>
    <w:rsid w:val="002935E9"/>
    <w:rsid w:val="0029637D"/>
    <w:rsid w:val="00297B5B"/>
    <w:rsid w:val="00297F0C"/>
    <w:rsid w:val="00297F60"/>
    <w:rsid w:val="002A4DB2"/>
    <w:rsid w:val="002A5ECA"/>
    <w:rsid w:val="002A6604"/>
    <w:rsid w:val="002A7E43"/>
    <w:rsid w:val="002B01BD"/>
    <w:rsid w:val="002B487E"/>
    <w:rsid w:val="002C042F"/>
    <w:rsid w:val="002C5F09"/>
    <w:rsid w:val="002D6B5A"/>
    <w:rsid w:val="002D7964"/>
    <w:rsid w:val="002E2B03"/>
    <w:rsid w:val="002E42A9"/>
    <w:rsid w:val="002F1439"/>
    <w:rsid w:val="002F21AE"/>
    <w:rsid w:val="002F6FEE"/>
    <w:rsid w:val="003019D1"/>
    <w:rsid w:val="00303515"/>
    <w:rsid w:val="003059DA"/>
    <w:rsid w:val="00306124"/>
    <w:rsid w:val="00310FE7"/>
    <w:rsid w:val="00312C5E"/>
    <w:rsid w:val="0032299B"/>
    <w:rsid w:val="00331F5A"/>
    <w:rsid w:val="00335BCC"/>
    <w:rsid w:val="00335D70"/>
    <w:rsid w:val="00346BEE"/>
    <w:rsid w:val="00351303"/>
    <w:rsid w:val="003525DC"/>
    <w:rsid w:val="00354261"/>
    <w:rsid w:val="00354A45"/>
    <w:rsid w:val="003620A9"/>
    <w:rsid w:val="00363675"/>
    <w:rsid w:val="003641AC"/>
    <w:rsid w:val="00367189"/>
    <w:rsid w:val="00367B05"/>
    <w:rsid w:val="00370EF6"/>
    <w:rsid w:val="00372B93"/>
    <w:rsid w:val="00373A2D"/>
    <w:rsid w:val="00376EB0"/>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7118"/>
    <w:rsid w:val="003C481C"/>
    <w:rsid w:val="003C5E3A"/>
    <w:rsid w:val="003C673E"/>
    <w:rsid w:val="003D0046"/>
    <w:rsid w:val="003E11D3"/>
    <w:rsid w:val="003E30B8"/>
    <w:rsid w:val="003E3D11"/>
    <w:rsid w:val="003E730D"/>
    <w:rsid w:val="003F4BA2"/>
    <w:rsid w:val="003F4F04"/>
    <w:rsid w:val="003F5DCD"/>
    <w:rsid w:val="003F6D75"/>
    <w:rsid w:val="00401B1E"/>
    <w:rsid w:val="00401BA6"/>
    <w:rsid w:val="00402554"/>
    <w:rsid w:val="004064F7"/>
    <w:rsid w:val="00411A4D"/>
    <w:rsid w:val="0041446F"/>
    <w:rsid w:val="00420EBA"/>
    <w:rsid w:val="0042501E"/>
    <w:rsid w:val="00431A04"/>
    <w:rsid w:val="0043332D"/>
    <w:rsid w:val="00441AE6"/>
    <w:rsid w:val="00442251"/>
    <w:rsid w:val="004465DA"/>
    <w:rsid w:val="0045153F"/>
    <w:rsid w:val="00453A38"/>
    <w:rsid w:val="00453B31"/>
    <w:rsid w:val="004545C3"/>
    <w:rsid w:val="00455D03"/>
    <w:rsid w:val="00456B4C"/>
    <w:rsid w:val="00457C81"/>
    <w:rsid w:val="00461D35"/>
    <w:rsid w:val="00463B6A"/>
    <w:rsid w:val="00465815"/>
    <w:rsid w:val="004715A6"/>
    <w:rsid w:val="00471613"/>
    <w:rsid w:val="00473BA8"/>
    <w:rsid w:val="00484202"/>
    <w:rsid w:val="0048442A"/>
    <w:rsid w:val="004845F2"/>
    <w:rsid w:val="00490390"/>
    <w:rsid w:val="00491C82"/>
    <w:rsid w:val="004A13A8"/>
    <w:rsid w:val="004A1CDC"/>
    <w:rsid w:val="004A384F"/>
    <w:rsid w:val="004A458E"/>
    <w:rsid w:val="004A62A5"/>
    <w:rsid w:val="004B1A16"/>
    <w:rsid w:val="004B3919"/>
    <w:rsid w:val="004B4C0D"/>
    <w:rsid w:val="004B5017"/>
    <w:rsid w:val="004C16D0"/>
    <w:rsid w:val="004C2012"/>
    <w:rsid w:val="004C35C4"/>
    <w:rsid w:val="004C666B"/>
    <w:rsid w:val="004C711D"/>
    <w:rsid w:val="004D014D"/>
    <w:rsid w:val="004D2ADE"/>
    <w:rsid w:val="004D3066"/>
    <w:rsid w:val="004D36EF"/>
    <w:rsid w:val="004E312D"/>
    <w:rsid w:val="004E6B05"/>
    <w:rsid w:val="004E7EC0"/>
    <w:rsid w:val="004F1692"/>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1B8D"/>
    <w:rsid w:val="00551CD0"/>
    <w:rsid w:val="00552C2D"/>
    <w:rsid w:val="005537AD"/>
    <w:rsid w:val="00554A7B"/>
    <w:rsid w:val="00555790"/>
    <w:rsid w:val="00565899"/>
    <w:rsid w:val="00570166"/>
    <w:rsid w:val="005754CF"/>
    <w:rsid w:val="0057707D"/>
    <w:rsid w:val="00581D63"/>
    <w:rsid w:val="0058297D"/>
    <w:rsid w:val="00584E75"/>
    <w:rsid w:val="005861AB"/>
    <w:rsid w:val="00586CEF"/>
    <w:rsid w:val="00590F0F"/>
    <w:rsid w:val="00592B71"/>
    <w:rsid w:val="00595F81"/>
    <w:rsid w:val="0059630D"/>
    <w:rsid w:val="00596FC5"/>
    <w:rsid w:val="00597006"/>
    <w:rsid w:val="005A116A"/>
    <w:rsid w:val="005A61C5"/>
    <w:rsid w:val="005A6313"/>
    <w:rsid w:val="005B7210"/>
    <w:rsid w:val="005C1F67"/>
    <w:rsid w:val="005C2BA0"/>
    <w:rsid w:val="005C4251"/>
    <w:rsid w:val="005C5022"/>
    <w:rsid w:val="005C50A8"/>
    <w:rsid w:val="005D01DE"/>
    <w:rsid w:val="005D0CD3"/>
    <w:rsid w:val="005D0E67"/>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661A"/>
    <w:rsid w:val="00607F18"/>
    <w:rsid w:val="00610A96"/>
    <w:rsid w:val="00610C43"/>
    <w:rsid w:val="00613585"/>
    <w:rsid w:val="00616452"/>
    <w:rsid w:val="00616B1C"/>
    <w:rsid w:val="00617DC9"/>
    <w:rsid w:val="00622F0C"/>
    <w:rsid w:val="00633D7F"/>
    <w:rsid w:val="0063659E"/>
    <w:rsid w:val="006438DB"/>
    <w:rsid w:val="0064787E"/>
    <w:rsid w:val="00650C13"/>
    <w:rsid w:val="00650D87"/>
    <w:rsid w:val="006524E3"/>
    <w:rsid w:val="00662A2A"/>
    <w:rsid w:val="00664774"/>
    <w:rsid w:val="0067071C"/>
    <w:rsid w:val="00672DCE"/>
    <w:rsid w:val="00672FFE"/>
    <w:rsid w:val="00675192"/>
    <w:rsid w:val="00682A1A"/>
    <w:rsid w:val="00682CC9"/>
    <w:rsid w:val="006870A4"/>
    <w:rsid w:val="00695C3D"/>
    <w:rsid w:val="00697F2F"/>
    <w:rsid w:val="006A0090"/>
    <w:rsid w:val="006A2D0B"/>
    <w:rsid w:val="006A55F7"/>
    <w:rsid w:val="006A7852"/>
    <w:rsid w:val="006B2242"/>
    <w:rsid w:val="006B3A67"/>
    <w:rsid w:val="006B3ED9"/>
    <w:rsid w:val="006B743F"/>
    <w:rsid w:val="006C24D9"/>
    <w:rsid w:val="006C2D86"/>
    <w:rsid w:val="006C5D49"/>
    <w:rsid w:val="006E037C"/>
    <w:rsid w:val="006E3B1E"/>
    <w:rsid w:val="006F299A"/>
    <w:rsid w:val="006F555D"/>
    <w:rsid w:val="006F5D90"/>
    <w:rsid w:val="007032D0"/>
    <w:rsid w:val="00704745"/>
    <w:rsid w:val="00705313"/>
    <w:rsid w:val="00707E9E"/>
    <w:rsid w:val="00710110"/>
    <w:rsid w:val="00714AAE"/>
    <w:rsid w:val="00715B6B"/>
    <w:rsid w:val="00722B12"/>
    <w:rsid w:val="00731A11"/>
    <w:rsid w:val="00733A10"/>
    <w:rsid w:val="00735F7E"/>
    <w:rsid w:val="007365F8"/>
    <w:rsid w:val="00737314"/>
    <w:rsid w:val="00745BC3"/>
    <w:rsid w:val="0074745B"/>
    <w:rsid w:val="007477CB"/>
    <w:rsid w:val="00752DB3"/>
    <w:rsid w:val="00754EFE"/>
    <w:rsid w:val="00757B8C"/>
    <w:rsid w:val="00763988"/>
    <w:rsid w:val="007654BE"/>
    <w:rsid w:val="00765BCF"/>
    <w:rsid w:val="00770A23"/>
    <w:rsid w:val="00772D40"/>
    <w:rsid w:val="00774748"/>
    <w:rsid w:val="00777F6D"/>
    <w:rsid w:val="00780391"/>
    <w:rsid w:val="00781AD2"/>
    <w:rsid w:val="0078201E"/>
    <w:rsid w:val="00783B22"/>
    <w:rsid w:val="00790C87"/>
    <w:rsid w:val="007913C7"/>
    <w:rsid w:val="00791C53"/>
    <w:rsid w:val="0079345E"/>
    <w:rsid w:val="00797A67"/>
    <w:rsid w:val="007A0221"/>
    <w:rsid w:val="007A1AC4"/>
    <w:rsid w:val="007A237B"/>
    <w:rsid w:val="007A344A"/>
    <w:rsid w:val="007A425D"/>
    <w:rsid w:val="007A7733"/>
    <w:rsid w:val="007B1F63"/>
    <w:rsid w:val="007B5401"/>
    <w:rsid w:val="007B5EC9"/>
    <w:rsid w:val="007B6106"/>
    <w:rsid w:val="007B61FC"/>
    <w:rsid w:val="007B6BE9"/>
    <w:rsid w:val="007C0251"/>
    <w:rsid w:val="007C4E1F"/>
    <w:rsid w:val="007D171A"/>
    <w:rsid w:val="007D26C6"/>
    <w:rsid w:val="007D67C9"/>
    <w:rsid w:val="007D7324"/>
    <w:rsid w:val="007E027D"/>
    <w:rsid w:val="007E04DE"/>
    <w:rsid w:val="007E461B"/>
    <w:rsid w:val="007E4F2F"/>
    <w:rsid w:val="007E66F2"/>
    <w:rsid w:val="007E7504"/>
    <w:rsid w:val="007F2C8F"/>
    <w:rsid w:val="007F2F5E"/>
    <w:rsid w:val="00801946"/>
    <w:rsid w:val="00803111"/>
    <w:rsid w:val="00803795"/>
    <w:rsid w:val="00805087"/>
    <w:rsid w:val="00814001"/>
    <w:rsid w:val="00815F06"/>
    <w:rsid w:val="00815F1C"/>
    <w:rsid w:val="00820EBD"/>
    <w:rsid w:val="00821363"/>
    <w:rsid w:val="00823C2E"/>
    <w:rsid w:val="0082491E"/>
    <w:rsid w:val="00826E95"/>
    <w:rsid w:val="00833766"/>
    <w:rsid w:val="00843868"/>
    <w:rsid w:val="00844CFA"/>
    <w:rsid w:val="008467A2"/>
    <w:rsid w:val="00852FDA"/>
    <w:rsid w:val="00861699"/>
    <w:rsid w:val="00861964"/>
    <w:rsid w:val="00877AB7"/>
    <w:rsid w:val="00880B9A"/>
    <w:rsid w:val="00880DF3"/>
    <w:rsid w:val="00881201"/>
    <w:rsid w:val="00881395"/>
    <w:rsid w:val="0088647D"/>
    <w:rsid w:val="00887530"/>
    <w:rsid w:val="00892287"/>
    <w:rsid w:val="008948A8"/>
    <w:rsid w:val="008A0F85"/>
    <w:rsid w:val="008A2FA1"/>
    <w:rsid w:val="008A5213"/>
    <w:rsid w:val="008A6DAE"/>
    <w:rsid w:val="008B1499"/>
    <w:rsid w:val="008B1F8F"/>
    <w:rsid w:val="008B50A8"/>
    <w:rsid w:val="008B549F"/>
    <w:rsid w:val="008C0105"/>
    <w:rsid w:val="008C16AC"/>
    <w:rsid w:val="008C21FA"/>
    <w:rsid w:val="008C2D59"/>
    <w:rsid w:val="008C5B32"/>
    <w:rsid w:val="008C5D7A"/>
    <w:rsid w:val="008C5E16"/>
    <w:rsid w:val="008C62AC"/>
    <w:rsid w:val="008C7026"/>
    <w:rsid w:val="008C7790"/>
    <w:rsid w:val="008D3C6A"/>
    <w:rsid w:val="008D405F"/>
    <w:rsid w:val="008D46BC"/>
    <w:rsid w:val="008D48F7"/>
    <w:rsid w:val="008D4BF0"/>
    <w:rsid w:val="008D51D6"/>
    <w:rsid w:val="008E6BEE"/>
    <w:rsid w:val="008E7E70"/>
    <w:rsid w:val="008F0DF6"/>
    <w:rsid w:val="008F2E8A"/>
    <w:rsid w:val="008F5DD4"/>
    <w:rsid w:val="008F6844"/>
    <w:rsid w:val="00902BF6"/>
    <w:rsid w:val="00903EDC"/>
    <w:rsid w:val="00905C53"/>
    <w:rsid w:val="00907423"/>
    <w:rsid w:val="00910E2A"/>
    <w:rsid w:val="00914F13"/>
    <w:rsid w:val="00915BA3"/>
    <w:rsid w:val="00922D49"/>
    <w:rsid w:val="0092581D"/>
    <w:rsid w:val="0092700C"/>
    <w:rsid w:val="00932ECF"/>
    <w:rsid w:val="00933227"/>
    <w:rsid w:val="009407AA"/>
    <w:rsid w:val="0094179F"/>
    <w:rsid w:val="0094674A"/>
    <w:rsid w:val="00950F9C"/>
    <w:rsid w:val="00952C0C"/>
    <w:rsid w:val="00953015"/>
    <w:rsid w:val="009536F6"/>
    <w:rsid w:val="00953C60"/>
    <w:rsid w:val="009542FC"/>
    <w:rsid w:val="00957671"/>
    <w:rsid w:val="009617F1"/>
    <w:rsid w:val="00962038"/>
    <w:rsid w:val="00966281"/>
    <w:rsid w:val="00970448"/>
    <w:rsid w:val="00972EF9"/>
    <w:rsid w:val="0097396B"/>
    <w:rsid w:val="0097586A"/>
    <w:rsid w:val="00975A60"/>
    <w:rsid w:val="00993E18"/>
    <w:rsid w:val="00994E56"/>
    <w:rsid w:val="009A7068"/>
    <w:rsid w:val="009B1927"/>
    <w:rsid w:val="009B3315"/>
    <w:rsid w:val="009B5330"/>
    <w:rsid w:val="009B737D"/>
    <w:rsid w:val="009C1A72"/>
    <w:rsid w:val="009D0C01"/>
    <w:rsid w:val="009D1C9D"/>
    <w:rsid w:val="009E0618"/>
    <w:rsid w:val="009E07D9"/>
    <w:rsid w:val="009E303B"/>
    <w:rsid w:val="009E30ED"/>
    <w:rsid w:val="009E41C5"/>
    <w:rsid w:val="009F46A6"/>
    <w:rsid w:val="009F4B03"/>
    <w:rsid w:val="00A00482"/>
    <w:rsid w:val="00A030FC"/>
    <w:rsid w:val="00A04672"/>
    <w:rsid w:val="00A05A6B"/>
    <w:rsid w:val="00A11D0F"/>
    <w:rsid w:val="00A12135"/>
    <w:rsid w:val="00A12C4A"/>
    <w:rsid w:val="00A13C8B"/>
    <w:rsid w:val="00A17958"/>
    <w:rsid w:val="00A20018"/>
    <w:rsid w:val="00A22AFA"/>
    <w:rsid w:val="00A235E2"/>
    <w:rsid w:val="00A26E6A"/>
    <w:rsid w:val="00A277CF"/>
    <w:rsid w:val="00A27922"/>
    <w:rsid w:val="00A30E10"/>
    <w:rsid w:val="00A31EE7"/>
    <w:rsid w:val="00A361D2"/>
    <w:rsid w:val="00A3628F"/>
    <w:rsid w:val="00A36B47"/>
    <w:rsid w:val="00A3738A"/>
    <w:rsid w:val="00A41BAB"/>
    <w:rsid w:val="00A47260"/>
    <w:rsid w:val="00A5226E"/>
    <w:rsid w:val="00A55606"/>
    <w:rsid w:val="00A56658"/>
    <w:rsid w:val="00A5728C"/>
    <w:rsid w:val="00A57D23"/>
    <w:rsid w:val="00A57F99"/>
    <w:rsid w:val="00A602AB"/>
    <w:rsid w:val="00A608E8"/>
    <w:rsid w:val="00A627DD"/>
    <w:rsid w:val="00A660A8"/>
    <w:rsid w:val="00A679FF"/>
    <w:rsid w:val="00A70AD6"/>
    <w:rsid w:val="00A804B1"/>
    <w:rsid w:val="00A804CD"/>
    <w:rsid w:val="00A86B65"/>
    <w:rsid w:val="00A916C6"/>
    <w:rsid w:val="00A960F1"/>
    <w:rsid w:val="00AA2EA6"/>
    <w:rsid w:val="00AA3409"/>
    <w:rsid w:val="00AA429B"/>
    <w:rsid w:val="00AA74D2"/>
    <w:rsid w:val="00AB147F"/>
    <w:rsid w:val="00AB1660"/>
    <w:rsid w:val="00AB37AE"/>
    <w:rsid w:val="00AB569C"/>
    <w:rsid w:val="00AB6202"/>
    <w:rsid w:val="00AD1A12"/>
    <w:rsid w:val="00AD2616"/>
    <w:rsid w:val="00AD6B9F"/>
    <w:rsid w:val="00AD7A23"/>
    <w:rsid w:val="00AD7CDB"/>
    <w:rsid w:val="00AE247B"/>
    <w:rsid w:val="00AE5125"/>
    <w:rsid w:val="00AE5EF5"/>
    <w:rsid w:val="00AF1377"/>
    <w:rsid w:val="00AF1E85"/>
    <w:rsid w:val="00AF3453"/>
    <w:rsid w:val="00AF389C"/>
    <w:rsid w:val="00AF606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455F"/>
    <w:rsid w:val="00B94DEA"/>
    <w:rsid w:val="00B95000"/>
    <w:rsid w:val="00B967DC"/>
    <w:rsid w:val="00B96A7B"/>
    <w:rsid w:val="00B96BC4"/>
    <w:rsid w:val="00B97AA0"/>
    <w:rsid w:val="00BA03EE"/>
    <w:rsid w:val="00BA2517"/>
    <w:rsid w:val="00BA551F"/>
    <w:rsid w:val="00BA616D"/>
    <w:rsid w:val="00BA6653"/>
    <w:rsid w:val="00BA6CE9"/>
    <w:rsid w:val="00BB1163"/>
    <w:rsid w:val="00BB41D9"/>
    <w:rsid w:val="00BB5AED"/>
    <w:rsid w:val="00BB707A"/>
    <w:rsid w:val="00BC3C6E"/>
    <w:rsid w:val="00BC401C"/>
    <w:rsid w:val="00BC6FBF"/>
    <w:rsid w:val="00BC73DE"/>
    <w:rsid w:val="00BD0A11"/>
    <w:rsid w:val="00BD2084"/>
    <w:rsid w:val="00BD77E8"/>
    <w:rsid w:val="00BE0194"/>
    <w:rsid w:val="00BE0C93"/>
    <w:rsid w:val="00BE0D18"/>
    <w:rsid w:val="00BE30D7"/>
    <w:rsid w:val="00BE4B5C"/>
    <w:rsid w:val="00BE5F2F"/>
    <w:rsid w:val="00BF262D"/>
    <w:rsid w:val="00C139C8"/>
    <w:rsid w:val="00C14117"/>
    <w:rsid w:val="00C142FB"/>
    <w:rsid w:val="00C17F1A"/>
    <w:rsid w:val="00C22D24"/>
    <w:rsid w:val="00C2557C"/>
    <w:rsid w:val="00C256B6"/>
    <w:rsid w:val="00C25938"/>
    <w:rsid w:val="00C25D26"/>
    <w:rsid w:val="00C2787F"/>
    <w:rsid w:val="00C27DDA"/>
    <w:rsid w:val="00C30C16"/>
    <w:rsid w:val="00C42366"/>
    <w:rsid w:val="00C433AA"/>
    <w:rsid w:val="00C4389C"/>
    <w:rsid w:val="00C438C9"/>
    <w:rsid w:val="00C47DC7"/>
    <w:rsid w:val="00C55A69"/>
    <w:rsid w:val="00C6098D"/>
    <w:rsid w:val="00C66DA0"/>
    <w:rsid w:val="00C7320D"/>
    <w:rsid w:val="00C77351"/>
    <w:rsid w:val="00C7779E"/>
    <w:rsid w:val="00C83C95"/>
    <w:rsid w:val="00C86DE3"/>
    <w:rsid w:val="00C9057F"/>
    <w:rsid w:val="00C94462"/>
    <w:rsid w:val="00C95065"/>
    <w:rsid w:val="00C968B9"/>
    <w:rsid w:val="00CA1C4F"/>
    <w:rsid w:val="00CA241A"/>
    <w:rsid w:val="00CA2FC3"/>
    <w:rsid w:val="00CA78ED"/>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848"/>
    <w:rsid w:val="00D00C7D"/>
    <w:rsid w:val="00D305BB"/>
    <w:rsid w:val="00D35D9B"/>
    <w:rsid w:val="00D360EA"/>
    <w:rsid w:val="00D36488"/>
    <w:rsid w:val="00D375FE"/>
    <w:rsid w:val="00D4082C"/>
    <w:rsid w:val="00D414C3"/>
    <w:rsid w:val="00D421E4"/>
    <w:rsid w:val="00D47358"/>
    <w:rsid w:val="00D47D10"/>
    <w:rsid w:val="00D5336A"/>
    <w:rsid w:val="00D53B46"/>
    <w:rsid w:val="00D54FE7"/>
    <w:rsid w:val="00D554DF"/>
    <w:rsid w:val="00D55CD0"/>
    <w:rsid w:val="00D6106D"/>
    <w:rsid w:val="00D63B2C"/>
    <w:rsid w:val="00D64ABE"/>
    <w:rsid w:val="00D7647B"/>
    <w:rsid w:val="00D76BE5"/>
    <w:rsid w:val="00D77321"/>
    <w:rsid w:val="00D77F85"/>
    <w:rsid w:val="00D82282"/>
    <w:rsid w:val="00D8329B"/>
    <w:rsid w:val="00D84F72"/>
    <w:rsid w:val="00D921C6"/>
    <w:rsid w:val="00D95B2F"/>
    <w:rsid w:val="00DA133F"/>
    <w:rsid w:val="00DA46E0"/>
    <w:rsid w:val="00DA67D0"/>
    <w:rsid w:val="00DA6B1E"/>
    <w:rsid w:val="00DA7EB0"/>
    <w:rsid w:val="00DB007C"/>
    <w:rsid w:val="00DB00BE"/>
    <w:rsid w:val="00DB322F"/>
    <w:rsid w:val="00DB490D"/>
    <w:rsid w:val="00DB589A"/>
    <w:rsid w:val="00DB773A"/>
    <w:rsid w:val="00DC0406"/>
    <w:rsid w:val="00DC4F03"/>
    <w:rsid w:val="00DC6EBA"/>
    <w:rsid w:val="00DC6F70"/>
    <w:rsid w:val="00DD069E"/>
    <w:rsid w:val="00DD5F7D"/>
    <w:rsid w:val="00DE1941"/>
    <w:rsid w:val="00DE35B1"/>
    <w:rsid w:val="00DE41BF"/>
    <w:rsid w:val="00DF2951"/>
    <w:rsid w:val="00DF5035"/>
    <w:rsid w:val="00E00C10"/>
    <w:rsid w:val="00E06E90"/>
    <w:rsid w:val="00E075BE"/>
    <w:rsid w:val="00E1346A"/>
    <w:rsid w:val="00E223EA"/>
    <w:rsid w:val="00E22577"/>
    <w:rsid w:val="00E22AAC"/>
    <w:rsid w:val="00E31391"/>
    <w:rsid w:val="00E32C8D"/>
    <w:rsid w:val="00E33358"/>
    <w:rsid w:val="00E333A0"/>
    <w:rsid w:val="00E411AD"/>
    <w:rsid w:val="00E42DD2"/>
    <w:rsid w:val="00E42EE0"/>
    <w:rsid w:val="00E447A7"/>
    <w:rsid w:val="00E503F2"/>
    <w:rsid w:val="00E52253"/>
    <w:rsid w:val="00E61C41"/>
    <w:rsid w:val="00E6207D"/>
    <w:rsid w:val="00E624B6"/>
    <w:rsid w:val="00E63FE0"/>
    <w:rsid w:val="00E678A5"/>
    <w:rsid w:val="00E67F21"/>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B6EB0"/>
    <w:rsid w:val="00EC4991"/>
    <w:rsid w:val="00EC5359"/>
    <w:rsid w:val="00EC6276"/>
    <w:rsid w:val="00EC65F4"/>
    <w:rsid w:val="00EC758E"/>
    <w:rsid w:val="00ED0178"/>
    <w:rsid w:val="00ED0306"/>
    <w:rsid w:val="00ED095B"/>
    <w:rsid w:val="00ED09DB"/>
    <w:rsid w:val="00ED20C7"/>
    <w:rsid w:val="00EE434C"/>
    <w:rsid w:val="00EE64F9"/>
    <w:rsid w:val="00EE68EC"/>
    <w:rsid w:val="00EF0164"/>
    <w:rsid w:val="00EF11D7"/>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40A37"/>
    <w:rsid w:val="00F43DAF"/>
    <w:rsid w:val="00F44F00"/>
    <w:rsid w:val="00F51813"/>
    <w:rsid w:val="00F5264F"/>
    <w:rsid w:val="00F541B3"/>
    <w:rsid w:val="00F54622"/>
    <w:rsid w:val="00F6026D"/>
    <w:rsid w:val="00F61234"/>
    <w:rsid w:val="00F63C40"/>
    <w:rsid w:val="00F65474"/>
    <w:rsid w:val="00F66372"/>
    <w:rsid w:val="00F72E3C"/>
    <w:rsid w:val="00F81EA3"/>
    <w:rsid w:val="00F85101"/>
    <w:rsid w:val="00F859CA"/>
    <w:rsid w:val="00F90266"/>
    <w:rsid w:val="00F91085"/>
    <w:rsid w:val="00FA11CC"/>
    <w:rsid w:val="00FA5AC2"/>
    <w:rsid w:val="00FB36C8"/>
    <w:rsid w:val="00FB4893"/>
    <w:rsid w:val="00FC01EF"/>
    <w:rsid w:val="00FC063E"/>
    <w:rsid w:val="00FC12DE"/>
    <w:rsid w:val="00FC33C4"/>
    <w:rsid w:val="00FC4410"/>
    <w:rsid w:val="00FD1EB9"/>
    <w:rsid w:val="00FD7D61"/>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
    <w:basedOn w:val="Normal"/>
    <w:link w:val="CommentTextChar"/>
    <w:unhideWhenUsed/>
    <w:rsid w:val="00411A4D"/>
    <w:rPr>
      <w:sz w:val="20"/>
    </w:rPr>
  </w:style>
  <w:style w:type="character" w:customStyle="1" w:styleId="CommentTextChar">
    <w:name w:val="Comment Text Char"/>
    <w:aliases w:val=" 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iPriority w:val="99"/>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paragraph" w:customStyle="1" w:styleId="BodyText1">
    <w:name w:val="Body Text1"/>
    <w:basedOn w:val="Normal"/>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DefaultParagraphFont"/>
    <w:rsid w:val="001553E3"/>
    <w:rPr>
      <w:rFonts w:ascii="Segoe UI" w:hAnsi="Segoe UI" w:cs="Segoe UI" w:hint="default"/>
      <w:sz w:val="18"/>
      <w:szCs w:val="18"/>
    </w:rPr>
  </w:style>
  <w:style w:type="paragraph" w:customStyle="1" w:styleId="pf0">
    <w:name w:val="pf0"/>
    <w:basedOn w:val="Normal"/>
    <w:rsid w:val="001553E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3886278">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54348e1-8662-4887-9d6e-2f3aba196886"/>
    <ds:schemaRef ds:uri="http://www.w3.org/XML/1998/namespace"/>
    <ds:schemaRef ds:uri="http://purl.org/dc/dcmitype/"/>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EB0113CD-5E18-432B-AD63-248BF18F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5871</Words>
  <Characters>3348</Characters>
  <Application>Microsoft Office Word</Application>
  <DocSecurity>4</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2020-12-22T13:12:00Z</cp:lastPrinted>
  <dcterms:created xsi:type="dcterms:W3CDTF">2022-06-14T07:48:00Z</dcterms:created>
  <dcterms:modified xsi:type="dcterms:W3CDTF">2022-06-14T07:48:00Z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