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4E" w:rsidRDefault="005F0DB8">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8151C9F-2860-4E97-ACF4-87EDCCCD808A" style="width:451.4pt;height:352.5pt">
            <v:imagedata r:id="rId9" o:title=""/>
          </v:shape>
        </w:pict>
      </w:r>
    </w:p>
    <w:p w:rsidR="00355A4E" w:rsidRDefault="00355A4E">
      <w:pPr>
        <w:rPr>
          <w:noProof/>
        </w:rPr>
        <w:sectPr w:rsidR="00355A4E">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355A4E" w:rsidRDefault="005F0DB8">
      <w:pPr>
        <w:pStyle w:val="Exposdesmotifstitre"/>
        <w:rPr>
          <w:noProof/>
        </w:rPr>
      </w:pPr>
      <w:r>
        <w:rPr>
          <w:noProof/>
        </w:rPr>
        <w:lastRenderedPageBreak/>
        <w:t>AIŠKINAMASIS MEMORANDUMAS</w:t>
      </w:r>
    </w:p>
    <w:p w:rsidR="00355A4E" w:rsidRDefault="005F0DB8">
      <w:pPr>
        <w:pStyle w:val="ManualHeading1"/>
        <w:rPr>
          <w:noProof/>
          <w:u w:color="000000"/>
          <w:bdr w:val="nil"/>
        </w:rPr>
      </w:pPr>
      <w:r>
        <w:rPr>
          <w:noProof/>
        </w:rPr>
        <w:t>1.</w:t>
      </w:r>
      <w:r>
        <w:rPr>
          <w:noProof/>
        </w:rPr>
        <w:tab/>
        <w:t>PASIŪLYMO APLINKYBĖS</w:t>
      </w:r>
    </w:p>
    <w:p w:rsidR="00355A4E" w:rsidRDefault="005F0DB8">
      <w:pPr>
        <w:rPr>
          <w:noProof/>
        </w:rPr>
      </w:pPr>
      <w:r>
        <w:rPr>
          <w:noProof/>
        </w:rPr>
        <w:t xml:space="preserve">2018 m. gegužės 2 d. Komisija priėmė būsimos 2021–2027 m. daugiametės finansinės programos </w:t>
      </w:r>
      <w:r>
        <w:rPr>
          <w:noProof/>
        </w:rPr>
        <w:t>pasiūlymą</w:t>
      </w:r>
      <w:r>
        <w:rPr>
          <w:rStyle w:val="Puslapioinaosnuoroda"/>
          <w:noProof/>
        </w:rPr>
        <w:footnoteReference w:id="1"/>
      </w:r>
      <w:r>
        <w:rPr>
          <w:noProof/>
        </w:rPr>
        <w:t xml:space="preserve">. Jis apima Europos regioninės plėtros fondą (toliau – ERPF) ir Sanglaudos fondą. </w:t>
      </w:r>
    </w:p>
    <w:p w:rsidR="00355A4E" w:rsidRDefault="005F0DB8">
      <w:pPr>
        <w:rPr>
          <w:rFonts w:eastAsia="Arial Unicode MS"/>
          <w:noProof/>
          <w:u w:color="000000"/>
          <w:bdr w:val="nil"/>
        </w:rPr>
      </w:pPr>
      <w:r>
        <w:rPr>
          <w:noProof/>
        </w:rPr>
        <w:t xml:space="preserve">Diskusijoms skirtame dokumente dėl ES finansų, taip pat </w:t>
      </w:r>
      <w:r>
        <w:rPr>
          <w:i/>
          <w:noProof/>
        </w:rPr>
        <w:t>ex post</w:t>
      </w:r>
      <w:r>
        <w:rPr>
          <w:noProof/>
        </w:rPr>
        <w:t xml:space="preserve"> vertinime ir viešose konsultacijose administravimo supaprastinimas nurodytas kaip vienas pagrindini</w:t>
      </w:r>
      <w:r>
        <w:rPr>
          <w:noProof/>
        </w:rPr>
        <w:t>ų tikslų. Patirtis rodo, kad taisyklės yra pernelyg sudėtingos ir suskaidytos, todėl programų valdytojams ir galutiniams paramos gavėjams tenka nereikalinga našta.</w:t>
      </w:r>
    </w:p>
    <w:p w:rsidR="00355A4E" w:rsidRDefault="005F0DB8">
      <w:pPr>
        <w:rPr>
          <w:rFonts w:eastAsia="Arial Unicode MS"/>
          <w:noProof/>
          <w:u w:color="000000"/>
          <w:bdr w:val="nil"/>
        </w:rPr>
      </w:pPr>
      <w:r>
        <w:rPr>
          <w:noProof/>
        </w:rPr>
        <w:t>Siekiant suderinamumo</w:t>
      </w:r>
      <w:r>
        <w:rPr>
          <w:rStyle w:val="Puslapioinaosnuoroda"/>
          <w:noProof/>
          <w:u w:color="000000"/>
          <w:bdr w:val="nil"/>
        </w:rPr>
        <w:footnoteReference w:id="2"/>
      </w:r>
      <w:r>
        <w:rPr>
          <w:noProof/>
        </w:rPr>
        <w:t xml:space="preserve"> su kitų ES politikos sričių nuostatomis, įgyvendinamomis taikant pasi</w:t>
      </w:r>
      <w:r>
        <w:rPr>
          <w:noProof/>
        </w:rPr>
        <w:t>dalijamojo valdymo principą, ERPF ir Sanglaudos fondo lėšų panaudojimo ir įgyvendinimo taisyklės, kiek įmanoma, reglamentuojamos Bendrų nuostatų reglamentu (toliau – BNR). Jame išdėstytos bendros nuostatos dėl septynių ES lygmeniu veikiančių pasidalijamojo</w:t>
      </w:r>
      <w:r>
        <w:rPr>
          <w:noProof/>
        </w:rPr>
        <w:t xml:space="preserve"> valdymo fondų:</w:t>
      </w:r>
    </w:p>
    <w:p w:rsidR="00355A4E" w:rsidRDefault="005F0DB8">
      <w:pPr>
        <w:pStyle w:val="Bullet1"/>
        <w:numPr>
          <w:ilvl w:val="0"/>
          <w:numId w:val="19"/>
        </w:numPr>
        <w:rPr>
          <w:noProof/>
        </w:rPr>
      </w:pPr>
      <w:r>
        <w:rPr>
          <w:noProof/>
        </w:rPr>
        <w:t>SF</w:t>
      </w:r>
      <w:r>
        <w:rPr>
          <w:noProof/>
        </w:rPr>
        <w:tab/>
      </w:r>
      <w:r>
        <w:rPr>
          <w:noProof/>
        </w:rPr>
        <w:tab/>
        <w:t>Sanglaudos fondas</w:t>
      </w:r>
    </w:p>
    <w:p w:rsidR="00355A4E" w:rsidRDefault="005F0DB8">
      <w:pPr>
        <w:pStyle w:val="Bullet1"/>
        <w:numPr>
          <w:ilvl w:val="0"/>
          <w:numId w:val="18"/>
        </w:numPr>
        <w:rPr>
          <w:noProof/>
        </w:rPr>
      </w:pPr>
      <w:r>
        <w:rPr>
          <w:noProof/>
        </w:rPr>
        <w:t>EJRŽF</w:t>
      </w:r>
      <w:r>
        <w:rPr>
          <w:noProof/>
        </w:rPr>
        <w:tab/>
      </w:r>
      <w:r>
        <w:rPr>
          <w:noProof/>
        </w:rPr>
        <w:tab/>
        <w:t>Europos jūrų reikalų ir žuvininkystės fondas</w:t>
      </w:r>
      <w:r>
        <w:rPr>
          <w:rStyle w:val="Puslapioinaosnuoroda"/>
          <w:noProof/>
        </w:rPr>
        <w:footnoteReference w:id="3"/>
      </w:r>
    </w:p>
    <w:p w:rsidR="00355A4E" w:rsidRDefault="005F0DB8">
      <w:pPr>
        <w:pStyle w:val="Bullet1"/>
        <w:numPr>
          <w:ilvl w:val="0"/>
          <w:numId w:val="18"/>
        </w:numPr>
        <w:rPr>
          <w:noProof/>
        </w:rPr>
      </w:pPr>
      <w:r>
        <w:rPr>
          <w:noProof/>
        </w:rPr>
        <w:t>ERPF</w:t>
      </w:r>
      <w:r>
        <w:rPr>
          <w:noProof/>
        </w:rPr>
        <w:tab/>
      </w:r>
      <w:r>
        <w:rPr>
          <w:noProof/>
        </w:rPr>
        <w:tab/>
        <w:t>Europos regioninės plėtros fondas</w:t>
      </w:r>
    </w:p>
    <w:p w:rsidR="00355A4E" w:rsidRDefault="005F0DB8">
      <w:pPr>
        <w:pStyle w:val="Bullet1"/>
        <w:numPr>
          <w:ilvl w:val="0"/>
          <w:numId w:val="18"/>
        </w:numPr>
        <w:rPr>
          <w:noProof/>
        </w:rPr>
      </w:pPr>
      <w:r>
        <w:rPr>
          <w:noProof/>
        </w:rPr>
        <w:t>ESF+</w:t>
      </w:r>
      <w:r>
        <w:rPr>
          <w:noProof/>
        </w:rPr>
        <w:tab/>
      </w:r>
      <w:r>
        <w:rPr>
          <w:noProof/>
        </w:rPr>
        <w:tab/>
        <w:t>„Europos socialinis fondas plius“</w:t>
      </w:r>
      <w:r>
        <w:rPr>
          <w:rStyle w:val="Puslapioinaosnuoroda"/>
          <w:noProof/>
        </w:rPr>
        <w:footnoteReference w:id="4"/>
      </w:r>
    </w:p>
    <w:p w:rsidR="00355A4E" w:rsidRDefault="005F0DB8">
      <w:pPr>
        <w:pStyle w:val="Bullet1"/>
        <w:numPr>
          <w:ilvl w:val="0"/>
          <w:numId w:val="18"/>
        </w:numPr>
        <w:rPr>
          <w:noProof/>
        </w:rPr>
      </w:pPr>
      <w:r>
        <w:rPr>
          <w:noProof/>
        </w:rPr>
        <w:t>PMIF</w:t>
      </w:r>
      <w:r>
        <w:rPr>
          <w:noProof/>
        </w:rPr>
        <w:tab/>
      </w:r>
      <w:r>
        <w:rPr>
          <w:noProof/>
        </w:rPr>
        <w:tab/>
        <w:t>Prieglobsčio ir migracijos fondas</w:t>
      </w:r>
      <w:r>
        <w:rPr>
          <w:rStyle w:val="Puslapioinaosnuoroda"/>
          <w:noProof/>
        </w:rPr>
        <w:footnoteReference w:id="5"/>
      </w:r>
    </w:p>
    <w:p w:rsidR="00355A4E" w:rsidRDefault="005F0DB8">
      <w:pPr>
        <w:pStyle w:val="Bullet1"/>
        <w:numPr>
          <w:ilvl w:val="0"/>
          <w:numId w:val="18"/>
        </w:numPr>
        <w:rPr>
          <w:noProof/>
        </w:rPr>
      </w:pPr>
      <w:r>
        <w:rPr>
          <w:noProof/>
        </w:rPr>
        <w:t>VSF</w:t>
      </w:r>
      <w:r>
        <w:rPr>
          <w:noProof/>
        </w:rPr>
        <w:tab/>
      </w:r>
      <w:r>
        <w:rPr>
          <w:noProof/>
        </w:rPr>
        <w:tab/>
        <w:t>Vidaus saugumo fondas</w:t>
      </w:r>
      <w:r>
        <w:rPr>
          <w:rStyle w:val="Puslapioinaosnuoroda"/>
          <w:noProof/>
        </w:rPr>
        <w:footnoteReference w:id="6"/>
      </w:r>
      <w:r>
        <w:rPr>
          <w:noProof/>
        </w:rPr>
        <w:t xml:space="preserve"> </w:t>
      </w:r>
    </w:p>
    <w:p w:rsidR="00355A4E" w:rsidRDefault="005F0DB8">
      <w:pPr>
        <w:pStyle w:val="Bullet1"/>
        <w:numPr>
          <w:ilvl w:val="0"/>
          <w:numId w:val="18"/>
        </w:numPr>
        <w:rPr>
          <w:noProof/>
        </w:rPr>
      </w:pPr>
      <w:r>
        <w:rPr>
          <w:noProof/>
        </w:rPr>
        <w:t>SVVP</w:t>
      </w:r>
      <w:r>
        <w:rPr>
          <w:noProof/>
        </w:rPr>
        <w:tab/>
      </w:r>
      <w:r>
        <w:rPr>
          <w:noProof/>
        </w:rPr>
        <w:tab/>
        <w:t xml:space="preserve">Sienų </w:t>
      </w:r>
      <w:r>
        <w:rPr>
          <w:noProof/>
        </w:rPr>
        <w:t>valdymo ir vizų priemonė</w:t>
      </w:r>
      <w:r>
        <w:rPr>
          <w:rStyle w:val="Puslapioinaosnuoroda"/>
          <w:noProof/>
        </w:rPr>
        <w:footnoteReference w:id="7"/>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Siekiant suderinamumo su programa „Europos horizontas“, pastarąja priemone daugiausia dėmesio bus skiriama „Europos kompetencijai“ (naujų žinių kūrimui ir panaudojimui), o ERPF lėšomis visų pirma bus remiama „regionų svarba“ </w:t>
      </w:r>
      <w:r>
        <w:rPr>
          <w:noProof/>
          <w:color w:val="000000"/>
          <w:u w:color="000000"/>
          <w:bdr w:val="nil"/>
        </w:rPr>
        <w:t>(turimų žinių ir technologijų sklaida vietovėse, kuriose jų reikia, įtvirtinant jas vietoje pasitelkiant pažangiosios specializacijos strategijas).</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Siekiant suderinamumo su Europos infrastruktūros tinklų priemone (toliau – EITP), didesnės tarpusavio sąveik</w:t>
      </w:r>
      <w:r>
        <w:rPr>
          <w:noProof/>
          <w:color w:val="000000"/>
          <w:u w:color="000000"/>
          <w:bdr w:val="nil"/>
        </w:rPr>
        <w:t>os ir papildomumo bus pasiekta, jeigu EITP visų pirma bus remiamas „pagrindinis tinklas“, o ERPF ir Sanglaudos fondo lėšomis taip pat bus remiamas „visuotinis tinklas“, įskaitant galimybių regionų ir vietos mastu naudotis šiais tinklais ir transporto jungt</w:t>
      </w:r>
      <w:r>
        <w:rPr>
          <w:noProof/>
          <w:color w:val="000000"/>
          <w:u w:color="000000"/>
          <w:bdr w:val="nil"/>
        </w:rPr>
        <w:t>imis miestų vietovėse užtikrinimą.</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Siekiant supaprastinti ir aiškiau išdėstyti teisės aktus, šiame reglamente apibrėžiamos nuostatos, taikomos tiek ERPF, tiek Sanglaudos fondo intervenciniams veiksmams pagal investicijų į darbo vietų kūrimą ir ekonomikos a</w:t>
      </w:r>
      <w:r>
        <w:rPr>
          <w:noProof/>
          <w:color w:val="000000"/>
          <w:u w:color="000000"/>
          <w:bdr w:val="nil"/>
        </w:rPr>
        <w:t xml:space="preserve">ugimą tikslą, o ERPF atveju – pagal Europos teritorinio bendradarbiavimo tikslą (INTERREG). </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lastRenderedPageBreak/>
        <w:t>Tačiau dėl ypatingo pagal Europos teritorinio bendradarbiavimo tikslą (INTERREG) įgyvendinamų programų, kuriose dalyvauja keletas valstybių narių ir trečiųjų valst</w:t>
      </w:r>
      <w:r>
        <w:rPr>
          <w:noProof/>
          <w:color w:val="000000"/>
          <w:u w:color="000000"/>
          <w:bdr w:val="nil"/>
        </w:rPr>
        <w:t>ybių, pobūdžio specialiame reglamente dėl Europos teritorinio bendradarbiavimo tikslo (INTERREG) nustatomos konkrečios taisyklės, papildančios Bendrų nuostatų reglamentą ir šį reglamentą.</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Šiame pasiūlyme nustatyta taikymo data – nuo 2021 m. sausio 1 d. Pas</w:t>
      </w:r>
      <w:r>
        <w:rPr>
          <w:noProof/>
          <w:color w:val="000000"/>
          <w:u w:color="000000"/>
          <w:bdr w:val="nil"/>
        </w:rPr>
        <w:t>iūlymas teikiamas 27 valstybių narių Sąjungai, atsižvelgiant į 2017 m. kovo 29 d. Europos Vadovų Tarybos gautą Jungtinės Karalystės pranešimą dėl jos ketinimo išstoti iš Europos Sąjungos ir Euratomo remiantis Europos Sąjungos sutarties 50 straipsniu.</w:t>
      </w:r>
    </w:p>
    <w:p w:rsidR="00355A4E" w:rsidRDefault="005F0DB8">
      <w:pPr>
        <w:pStyle w:val="ManualHeading1"/>
        <w:rPr>
          <w:noProof/>
          <w:u w:color="000000"/>
          <w:bdr w:val="nil"/>
        </w:rPr>
      </w:pPr>
      <w:r>
        <w:rPr>
          <w:noProof/>
        </w:rPr>
        <w:t>2.</w:t>
      </w:r>
      <w:r>
        <w:rPr>
          <w:noProof/>
        </w:rPr>
        <w:tab/>
        <w:t>TE</w:t>
      </w:r>
      <w:r>
        <w:rPr>
          <w:noProof/>
        </w:rPr>
        <w:t>ISINIS PAGRINDAS, SUBSIDIARUMO IR PROPORCINGUMO PRINCIPAI</w:t>
      </w:r>
    </w:p>
    <w:p w:rsidR="00355A4E" w:rsidRDefault="005F0DB8">
      <w:pPr>
        <w:rPr>
          <w:rFonts w:eastAsia="Arial Unicode MS"/>
          <w:noProof/>
          <w:color w:val="000000"/>
          <w:szCs w:val="24"/>
          <w:u w:color="000000"/>
          <w:bdr w:val="nil"/>
        </w:rPr>
      </w:pPr>
      <w:r>
        <w:rPr>
          <w:noProof/>
          <w:color w:val="000000"/>
          <w:u w:color="000000"/>
          <w:bdr w:val="nil"/>
        </w:rPr>
        <w:t>ES veiksmai grindžiami Sutarties dėl Europos Sąjungos veikimo (toliau – SESV) 174 straipsniu: „Sąjunga plėtoja ir vykdo savo veiklą, padedančią stiprinti jos ekonominę, socialinę ir teritorinę sangl</w:t>
      </w:r>
      <w:r>
        <w:rPr>
          <w:noProof/>
          <w:color w:val="000000"/>
          <w:u w:color="000000"/>
          <w:bdr w:val="nil"/>
        </w:rPr>
        <w:t>audą. Sąjunga ypač siekia mažinti regionų plėtros lygio skirtumus ir nepalankiausias sąlygas turinčių regionų atsilikimą.“</w:t>
      </w:r>
    </w:p>
    <w:p w:rsidR="00355A4E" w:rsidRDefault="005F0DB8">
      <w:pPr>
        <w:rPr>
          <w:rFonts w:eastAsia="Arial Unicode MS"/>
          <w:noProof/>
          <w:color w:val="000000"/>
          <w:szCs w:val="24"/>
          <w:u w:color="000000"/>
          <w:bdr w:val="nil"/>
        </w:rPr>
      </w:pPr>
      <w:r>
        <w:rPr>
          <w:noProof/>
          <w:color w:val="000000"/>
          <w:u w:color="000000"/>
          <w:bdr w:val="nil"/>
        </w:rPr>
        <w:t>ERPF tikslai nustatyti SESV 176 straipsnyje: „Europos regioninės plėtros fondo paskirtis – padėti ištaisyti pagrindinius Sąjungos reg</w:t>
      </w:r>
      <w:r>
        <w:rPr>
          <w:noProof/>
          <w:color w:val="000000"/>
          <w:u w:color="000000"/>
          <w:bdr w:val="nil"/>
        </w:rPr>
        <w:t>ionų pusiausvyros sutrikimus prisidedant prie atsiliekančių regionų plėtros bei struktūrinio prisitaikymo ir nuosmukį patiriančių pramoninių regionų pertvarkos.“</w:t>
      </w:r>
    </w:p>
    <w:p w:rsidR="00355A4E" w:rsidRDefault="005F0DB8">
      <w:pPr>
        <w:rPr>
          <w:noProof/>
          <w:u w:color="000000"/>
          <w:bdr w:val="nil"/>
        </w:rPr>
      </w:pPr>
      <w:r>
        <w:rPr>
          <w:noProof/>
        </w:rPr>
        <w:t>Sanglaudos fondo tikslai nustatyti SESV 177 straipsnyje: „Ta pačia tvarka įsteigtas Sanglaudos</w:t>
      </w:r>
      <w:r>
        <w:rPr>
          <w:noProof/>
        </w:rPr>
        <w:t xml:space="preserve"> fondas teikia finansinę paramą aplinkos apsaugos ir transeuropinių tinklų projektams transporto infrastruktūros srityje.“</w:t>
      </w:r>
    </w:p>
    <w:p w:rsidR="00355A4E" w:rsidRDefault="005F0DB8">
      <w:pPr>
        <w:rPr>
          <w:noProof/>
          <w:u w:color="000000"/>
          <w:bdr w:val="nil"/>
        </w:rPr>
      </w:pPr>
      <w:r>
        <w:rPr>
          <w:noProof/>
        </w:rPr>
        <w:t>Be to, SESV 174 straipsnyje nustatyta, kad ypatingas dėmesys skiriamas kaimo vietovėms, pramonės pereinamojo laikotarpio vietovėms be</w:t>
      </w:r>
      <w:r>
        <w:rPr>
          <w:noProof/>
        </w:rPr>
        <w:t>i didelių ir nuolatinių gamtinių arba demografinių trūkumų turinčioms vietovėms, pavyzdžiui, labai retai apgyvendintiems toliausiai į šiaurę esantiems regionams bei salų, pasienio ir kalnuotoms vietovėms.</w:t>
      </w:r>
    </w:p>
    <w:p w:rsidR="00355A4E" w:rsidRDefault="005F0DB8">
      <w:pPr>
        <w:rPr>
          <w:noProof/>
          <w:u w:color="000000"/>
          <w:bdr w:val="nil"/>
        </w:rPr>
      </w:pPr>
      <w:r>
        <w:rPr>
          <w:noProof/>
        </w:rPr>
        <w:t>SESV 349 straipsnyje nustatyta, kad reikia patvirti</w:t>
      </w:r>
      <w:r>
        <w:rPr>
          <w:noProof/>
        </w:rPr>
        <w:t>nti konkrečias priemones siekiant atsižvelgti į struktūrinę, socialinę ir ekonominę atokiausių regionų padėtį, kuri yra dar sunkesnė dėl tam tikrų konkrečių ypatybių, labai ribojančių šių regionų plėtrą.</w:t>
      </w:r>
    </w:p>
    <w:p w:rsidR="00355A4E" w:rsidRDefault="005F0DB8">
      <w:pPr>
        <w:rPr>
          <w:b/>
          <w:noProof/>
          <w:u w:color="000000"/>
          <w:bdr w:val="nil"/>
        </w:rPr>
      </w:pPr>
      <w:r>
        <w:rPr>
          <w:b/>
          <w:noProof/>
          <w:u w:color="000000"/>
          <w:bdr w:val="nil"/>
        </w:rPr>
        <w:t>Subsidiarumo ir proporcingumo principai</w:t>
      </w:r>
    </w:p>
    <w:p w:rsidR="00355A4E" w:rsidRDefault="005F0DB8">
      <w:pPr>
        <w:rPr>
          <w:noProof/>
          <w:u w:color="000000"/>
          <w:bdr w:val="nil"/>
        </w:rPr>
      </w:pPr>
      <w:r>
        <w:rPr>
          <w:noProof/>
        </w:rPr>
        <w:t>Atliekant po</w:t>
      </w:r>
      <w:r>
        <w:rPr>
          <w:noProof/>
        </w:rPr>
        <w:t>veikio vertinimą</w:t>
      </w:r>
      <w:r>
        <w:rPr>
          <w:rStyle w:val="Puslapioinaosnuoroda"/>
          <w:noProof/>
          <w:u w:color="000000"/>
          <w:bdr w:val="nil"/>
        </w:rPr>
        <w:footnoteReference w:id="8"/>
      </w:r>
      <w:r>
        <w:rPr>
          <w:noProof/>
        </w:rPr>
        <w:t xml:space="preserve"> buvo nustatytos įvairios priežastys, dėl kurių ES lygmens veiksmais sukuriama pridėtinė vertė veiksmams nacionaliniu lygmeniu. Be kita ko, nustatyta, kad:</w:t>
      </w:r>
    </w:p>
    <w:p w:rsidR="00355A4E" w:rsidRDefault="005F0DB8">
      <w:pPr>
        <w:pStyle w:val="Bullet0"/>
        <w:numPr>
          <w:ilvl w:val="0"/>
          <w:numId w:val="20"/>
        </w:numPr>
        <w:rPr>
          <w:noProof/>
          <w:u w:color="000000"/>
          <w:bdr w:val="nil"/>
        </w:rPr>
      </w:pPr>
      <w:r>
        <w:rPr>
          <w:noProof/>
        </w:rPr>
        <w:t>daugelyje šalių ERPF ir Sanglaudos fondo lėšos sudaro bent 50 proc. valstybės inves</w:t>
      </w:r>
      <w:r>
        <w:rPr>
          <w:noProof/>
        </w:rPr>
        <w:t xml:space="preserve">ticijų – kitaip šios valstybės narės neturėtų </w:t>
      </w:r>
      <w:r>
        <w:rPr>
          <w:b/>
          <w:noProof/>
          <w:u w:color="000000"/>
          <w:bdr w:val="nil"/>
        </w:rPr>
        <w:t>finansinių pajėgumų tokioms investicijoms atlikti</w:t>
      </w:r>
      <w:r>
        <w:rPr>
          <w:noProof/>
        </w:rPr>
        <w:t>;</w:t>
      </w:r>
    </w:p>
    <w:p w:rsidR="00355A4E" w:rsidRDefault="005F0DB8">
      <w:pPr>
        <w:pStyle w:val="Bullet0"/>
        <w:numPr>
          <w:ilvl w:val="0"/>
          <w:numId w:val="17"/>
        </w:numPr>
        <w:rPr>
          <w:noProof/>
          <w:u w:color="000000"/>
          <w:bdr w:val="nil"/>
        </w:rPr>
      </w:pPr>
      <w:r>
        <w:rPr>
          <w:noProof/>
        </w:rPr>
        <w:t xml:space="preserve">galimas reikšmingas </w:t>
      </w:r>
      <w:r>
        <w:rPr>
          <w:b/>
          <w:noProof/>
          <w:u w:color="000000"/>
          <w:bdr w:val="nil"/>
        </w:rPr>
        <w:t>šalutinis poveikis</w:t>
      </w:r>
      <w:r>
        <w:rPr>
          <w:noProof/>
        </w:rPr>
        <w:t>, kuris peržengia nacionalines ir regionų ribas, pavyzdžiui, investicijoms į inovacijas ir MVĮ. ES lygmens veiksmams tenk</w:t>
      </w:r>
      <w:r>
        <w:rPr>
          <w:noProof/>
        </w:rPr>
        <w:t>a svarbus vaidmuo sukuriant šį šalutinį poveikį ir užkertant kelią nepakankamam investavimui. Be to, investicijomis turi būti siekiama kuo labiau padidinti šalutinį poveikį;</w:t>
      </w:r>
    </w:p>
    <w:p w:rsidR="00355A4E" w:rsidRDefault="005F0DB8">
      <w:pPr>
        <w:pStyle w:val="Bullet0"/>
        <w:numPr>
          <w:ilvl w:val="0"/>
          <w:numId w:val="17"/>
        </w:numPr>
        <w:rPr>
          <w:noProof/>
          <w:u w:color="000000"/>
          <w:bdr w:val="nil"/>
        </w:rPr>
      </w:pPr>
      <w:r>
        <w:rPr>
          <w:noProof/>
        </w:rPr>
        <w:t xml:space="preserve">daugumoje regionų, įskaitant labiau išsivysčiusius regionus, </w:t>
      </w:r>
      <w:r>
        <w:rPr>
          <w:b/>
          <w:noProof/>
          <w:u w:color="000000"/>
          <w:bdr w:val="nil"/>
        </w:rPr>
        <w:t>pažangiosios speciali</w:t>
      </w:r>
      <w:r>
        <w:rPr>
          <w:b/>
          <w:noProof/>
          <w:u w:color="000000"/>
          <w:bdr w:val="nil"/>
        </w:rPr>
        <w:t>zacijos strategijos</w:t>
      </w:r>
      <w:r>
        <w:rPr>
          <w:noProof/>
        </w:rPr>
        <w:t xml:space="preserve"> (RIS3) yra nuoseklus strateginis investicijų pagrindas ir jomis sukuriama didelė pridėtinė vertė. Jų atsiradimą paskatino strateginio programavimo reikalavimas dėl ERPF paramos ir atitinkama išankstinė sąlyga. Iš tiesų, tokių strategijų</w:t>
      </w:r>
      <w:r>
        <w:rPr>
          <w:noProof/>
        </w:rPr>
        <w:t xml:space="preserve"> nauda paprastai būna didžiausia labiausiai išsivysčiusiuose regionuose (ypač Šiaurės valstybėse, Austrijoje, Vokietijoje, Beniliukso valstybėse ir Prancūzijoje);</w:t>
      </w:r>
    </w:p>
    <w:p w:rsidR="00355A4E" w:rsidRDefault="005F0DB8">
      <w:pPr>
        <w:pStyle w:val="Bullet0"/>
        <w:numPr>
          <w:ilvl w:val="0"/>
          <w:numId w:val="17"/>
        </w:numPr>
        <w:rPr>
          <w:noProof/>
          <w:u w:color="000000"/>
          <w:bdr w:val="nil"/>
        </w:rPr>
      </w:pPr>
      <w:r>
        <w:rPr>
          <w:b/>
          <w:noProof/>
          <w:u w:color="000000"/>
          <w:bdr w:val="nil"/>
        </w:rPr>
        <w:t>remiami ES prioritetai</w:t>
      </w:r>
      <w:r>
        <w:rPr>
          <w:noProof/>
        </w:rPr>
        <w:t>, įskaitant struktūrines darbo rinkos reformas, transporto, aplinkos, k</w:t>
      </w:r>
      <w:r>
        <w:rPr>
          <w:noProof/>
        </w:rPr>
        <w:t>limato kaitos švelninimo ir prisitaikymo prie jos, energetikos, švietimo ir socialinės politikos sritis bei programas, taip pat administracinį modernizavimą;</w:t>
      </w:r>
    </w:p>
    <w:p w:rsidR="00355A4E" w:rsidRDefault="005F0DB8">
      <w:pPr>
        <w:pStyle w:val="Bullet0"/>
        <w:numPr>
          <w:ilvl w:val="0"/>
          <w:numId w:val="17"/>
        </w:numPr>
        <w:rPr>
          <w:noProof/>
          <w:u w:color="000000"/>
          <w:bdr w:val="nil"/>
        </w:rPr>
      </w:pPr>
      <w:r>
        <w:rPr>
          <w:noProof/>
        </w:rPr>
        <w:t xml:space="preserve">ERPF ir Sanglaudos fondas padeda pasiekti </w:t>
      </w:r>
      <w:r>
        <w:rPr>
          <w:b/>
          <w:noProof/>
          <w:u w:color="000000"/>
          <w:bdr w:val="nil"/>
        </w:rPr>
        <w:t>apčiuopiamų rezultatų srityse, kurios yra svarbios Europ</w:t>
      </w:r>
      <w:r>
        <w:rPr>
          <w:b/>
          <w:noProof/>
          <w:u w:color="000000"/>
          <w:bdr w:val="nil"/>
        </w:rPr>
        <w:t>os piliečiams</w:t>
      </w:r>
      <w:r>
        <w:rPr>
          <w:noProof/>
        </w:rPr>
        <w:t xml:space="preserve"> – „ES biudžetas padeda siekti to, kas europiečiams svarbu.“</w:t>
      </w:r>
      <w:r>
        <w:rPr>
          <w:rStyle w:val="Puslapioinaosnuoroda"/>
          <w:noProof/>
          <w:u w:color="000000"/>
          <w:bdr w:val="nil"/>
        </w:rPr>
        <w:footnoteReference w:id="9"/>
      </w:r>
      <w:r>
        <w:rPr>
          <w:noProof/>
        </w:rPr>
        <w:t xml:space="preserve"> Pagalba regionams prisitaikant prie globalizacijos iššūkio, 420 000 naujų darbo vietų sukūrimas, parama 1,1 mln. MVĮ</w:t>
      </w:r>
      <w:r>
        <w:rPr>
          <w:rStyle w:val="Puslapioinaosnuoroda"/>
          <w:noProof/>
          <w:u w:color="000000"/>
          <w:bdr w:val="nil"/>
        </w:rPr>
        <w:footnoteReference w:id="10"/>
      </w:r>
      <w:r>
        <w:rPr>
          <w:noProof/>
        </w:rPr>
        <w:t>, skurdo miestuose problemos sprendimas – visa tai yra europieči</w:t>
      </w:r>
      <w:r>
        <w:rPr>
          <w:noProof/>
        </w:rPr>
        <w:t>ų prioritetai. Pažymėtina, kad daugelis šių rezultatų yra ypač akivaizdūs ne sanglaudos šalyse.</w:t>
      </w:r>
    </w:p>
    <w:p w:rsidR="00355A4E" w:rsidRDefault="005F0DB8">
      <w:pPr>
        <w:rPr>
          <w:noProof/>
          <w:u w:color="000000"/>
          <w:bdr w:val="nil"/>
        </w:rPr>
      </w:pPr>
      <w:r>
        <w:rPr>
          <w:noProof/>
        </w:rPr>
        <w:t>Be to, reglamente pateikti politikos sprendimai yra proporcingi, kadangi, be kita ko:</w:t>
      </w:r>
    </w:p>
    <w:p w:rsidR="00355A4E" w:rsidRDefault="005F0DB8">
      <w:pPr>
        <w:pStyle w:val="Bullet1"/>
        <w:numPr>
          <w:ilvl w:val="0"/>
          <w:numId w:val="18"/>
        </w:numPr>
        <w:rPr>
          <w:noProof/>
          <w:u w:color="000000"/>
          <w:bdr w:val="nil"/>
        </w:rPr>
      </w:pPr>
      <w:r>
        <w:rPr>
          <w:noProof/>
        </w:rPr>
        <w:t xml:space="preserve">taikomas pasidalijamojo valdymo principas: programas tiesiogiai valdo ne </w:t>
      </w:r>
      <w:r>
        <w:rPr>
          <w:noProof/>
        </w:rPr>
        <w:t>Europos Komisija, o jos įgyvendinamos bendradarbiaujant su valstybėmis narėmis;</w:t>
      </w:r>
    </w:p>
    <w:p w:rsidR="00355A4E" w:rsidRDefault="005F0DB8">
      <w:pPr>
        <w:pStyle w:val="Bullet1"/>
        <w:numPr>
          <w:ilvl w:val="0"/>
          <w:numId w:val="18"/>
        </w:numPr>
        <w:rPr>
          <w:noProof/>
          <w:u w:color="000000"/>
          <w:bdr w:val="nil"/>
        </w:rPr>
      </w:pPr>
      <w:r>
        <w:rPr>
          <w:noProof/>
        </w:rPr>
        <w:t>bendros taisyklės (susijęs Bendrų nuostatų reglamentas kartu su šiuo reglamentu) yra gerokai supaprastintos ir konsoliduotos, palyginti su ankstesnio laikotarpio taisyklėmis.</w:t>
      </w:r>
    </w:p>
    <w:p w:rsidR="00355A4E" w:rsidRDefault="005F0DB8">
      <w:pPr>
        <w:pStyle w:val="ManualHeading1"/>
        <w:rPr>
          <w:noProof/>
          <w:u w:color="000000"/>
          <w:bdr w:val="nil"/>
        </w:rPr>
      </w:pPr>
      <w:r>
        <w:rPr>
          <w:noProof/>
        </w:rPr>
        <w:t>3.</w:t>
      </w:r>
      <w:r>
        <w:rPr>
          <w:noProof/>
        </w:rPr>
        <w:tab/>
        <w:t>EX POST VERTINIMO, KONSULTACIJŲ SU SUINTERESUOTOSIOMIS ŠALIMIS IR POVEIKIO VERTINIMO REZULTATAI</w:t>
      </w:r>
    </w:p>
    <w:p w:rsidR="00355A4E" w:rsidRDefault="005F0DB8">
      <w:pPr>
        <w:pBdr>
          <w:top w:val="nil"/>
          <w:left w:val="nil"/>
          <w:bottom w:val="nil"/>
          <w:right w:val="nil"/>
          <w:between w:val="nil"/>
          <w:bar w:val="nil"/>
        </w:pBdr>
        <w:rPr>
          <w:rFonts w:eastAsia="Arial Unicode MS"/>
          <w:b/>
          <w:noProof/>
          <w:color w:val="000000"/>
          <w:szCs w:val="24"/>
          <w:u w:color="000000"/>
          <w:bdr w:val="nil"/>
        </w:rPr>
      </w:pPr>
      <w:r>
        <w:rPr>
          <w:b/>
          <w:i/>
          <w:noProof/>
          <w:color w:val="000000"/>
          <w:u w:color="000000"/>
          <w:bdr w:val="nil"/>
        </w:rPr>
        <w:t>Ex post</w:t>
      </w:r>
      <w:r>
        <w:rPr>
          <w:b/>
          <w:noProof/>
          <w:color w:val="000000"/>
          <w:u w:color="000000"/>
          <w:bdr w:val="nil"/>
        </w:rPr>
        <w:t xml:space="preserve"> vertinimas</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Atsižvelgiant į strategiją, prioritetus ir politikos poveikį, </w:t>
      </w:r>
      <w:r>
        <w:rPr>
          <w:i/>
          <w:noProof/>
          <w:color w:val="000000"/>
          <w:u w:color="000000"/>
          <w:bdr w:val="nil"/>
        </w:rPr>
        <w:t>ex post</w:t>
      </w:r>
      <w:r>
        <w:rPr>
          <w:noProof/>
          <w:color w:val="000000"/>
          <w:u w:color="000000"/>
          <w:bdr w:val="nil"/>
        </w:rPr>
        <w:t xml:space="preserve"> vertinime pažymėta:</w:t>
      </w:r>
    </w:p>
    <w:p w:rsidR="00355A4E" w:rsidRDefault="005F0DB8">
      <w:pPr>
        <w:pStyle w:val="Bullet1"/>
        <w:numPr>
          <w:ilvl w:val="0"/>
          <w:numId w:val="18"/>
        </w:numPr>
        <w:rPr>
          <w:noProof/>
        </w:rPr>
      </w:pPr>
      <w:r>
        <w:rPr>
          <w:noProof/>
        </w:rPr>
        <w:t>parama MVĮ gali turėti didelį poveikį. Tačiau te</w:t>
      </w:r>
      <w:r>
        <w:rPr>
          <w:noProof/>
        </w:rPr>
        <w:t>ikiant paramą turėtų būti labiau siekiama padėti augti dinamiškoms MVĮ, skirti dėmesį pažangiosios specializacijos strategijoms ir padėti regionams pakilti ekonominėje vertės grandinėje, o ne stengtis išlaikyti praeities ekonomiką;</w:t>
      </w:r>
    </w:p>
    <w:p w:rsidR="00355A4E" w:rsidRDefault="005F0DB8">
      <w:pPr>
        <w:pStyle w:val="Bullet1"/>
        <w:numPr>
          <w:ilvl w:val="0"/>
          <w:numId w:val="18"/>
        </w:numPr>
        <w:rPr>
          <w:noProof/>
        </w:rPr>
      </w:pPr>
      <w:r>
        <w:rPr>
          <w:noProof/>
        </w:rPr>
        <w:t>tam tikra veikla, pavyzd</w:t>
      </w:r>
      <w:r>
        <w:rPr>
          <w:noProof/>
        </w:rPr>
        <w:t>žiui, parama didelėms įmonėms (veiksmingiausia strategija didelėms įmonėms pritraukti yra ne finansinės paskatos, bet vietos sąlygų, pavyzdžiui, vietos verslo aplinkos ir kt., pagerinimas) paprastai turi mažą poveikį. Panašiai investicijos į oro uostus daž</w:t>
      </w:r>
      <w:r>
        <w:rPr>
          <w:noProof/>
        </w:rPr>
        <w:t>niausiai nebuvo veiksmingos – tik atokiausiuose regionuose jos gali būti pagrįstos;</w:t>
      </w:r>
    </w:p>
    <w:p w:rsidR="00355A4E" w:rsidRDefault="005F0DB8">
      <w:pPr>
        <w:pStyle w:val="Bullet1"/>
        <w:numPr>
          <w:ilvl w:val="0"/>
          <w:numId w:val="18"/>
        </w:numPr>
        <w:rPr>
          <w:noProof/>
        </w:rPr>
      </w:pPr>
      <w:r>
        <w:rPr>
          <w:noProof/>
        </w:rPr>
        <w:t>didelę pridėtinę vertę turi investicijos į tokias sritis kaip mažo anglies dioksido kiekio technologijų ekonomika, tvari miestų plėtra ir regioninis bendradarbiavimas.</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Į ši</w:t>
      </w:r>
      <w:r>
        <w:rPr>
          <w:noProof/>
          <w:color w:val="000000"/>
          <w:u w:color="000000"/>
          <w:bdr w:val="nil"/>
        </w:rPr>
        <w:t>uos klausimus atsižvelgiama šiame ERPF ir Sanglaudos fondo reglamente, kuriame:</w:t>
      </w:r>
    </w:p>
    <w:p w:rsidR="00355A4E" w:rsidRDefault="005F0DB8">
      <w:pPr>
        <w:pStyle w:val="Bullet1"/>
        <w:numPr>
          <w:ilvl w:val="0"/>
          <w:numId w:val="18"/>
        </w:numPr>
        <w:rPr>
          <w:noProof/>
          <w:u w:color="000000"/>
          <w:bdr w:val="nil"/>
        </w:rPr>
      </w:pPr>
      <w:r>
        <w:rPr>
          <w:noProof/>
        </w:rPr>
        <w:t>išlaikomas paramos telkimo pagal temas principas, o svarbiausi prioritetai yra: parama inovacijoms, skaitmeninei ekonomikai ir MVĮ, teikiama pasitelkiant pažangiosios specializ</w:t>
      </w:r>
      <w:r>
        <w:rPr>
          <w:noProof/>
        </w:rPr>
        <w:t>acijos strategiją; mažo anglies dioksido kiekio technologijų ir žiedinė ekonomika, atsižvelgiant į bendrą įsipareigojimą skirti 25 proc. ES išlaidų klimato politikos tikslams paremti;</w:t>
      </w:r>
    </w:p>
    <w:p w:rsidR="00355A4E" w:rsidRDefault="005F0DB8">
      <w:pPr>
        <w:pStyle w:val="Bullet1"/>
        <w:numPr>
          <w:ilvl w:val="0"/>
          <w:numId w:val="18"/>
        </w:numPr>
        <w:rPr>
          <w:noProof/>
          <w:u w:color="000000"/>
          <w:bdr w:val="nil"/>
        </w:rPr>
      </w:pPr>
      <w:r>
        <w:rPr>
          <w:noProof/>
        </w:rPr>
        <w:t>pateikiamas veiklos, kuri nebus remiama, sąrašas, įskaitant tiesioginę p</w:t>
      </w:r>
      <w:r>
        <w:rPr>
          <w:noProof/>
        </w:rPr>
        <w:t>aramą didelėms įmonėms, oro uostų infrastruktūrai (ne atokiausiuose regionuose) ir tam tikrai atliekų tvarkymo veiklai (pvz., sąvartynams);</w:t>
      </w:r>
    </w:p>
    <w:p w:rsidR="00355A4E" w:rsidRDefault="005F0DB8">
      <w:pPr>
        <w:pStyle w:val="Bullet1"/>
        <w:numPr>
          <w:ilvl w:val="0"/>
          <w:numId w:val="18"/>
        </w:numPr>
        <w:rPr>
          <w:noProof/>
          <w:u w:color="000000"/>
          <w:bdr w:val="nil"/>
        </w:rPr>
      </w:pPr>
      <w:r>
        <w:rPr>
          <w:noProof/>
        </w:rPr>
        <w:t>toliau išplėtojami regioninio bendradarbiavimo, taip pat tvarios miestų plėtros srities veiksmai.</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Be to, </w:t>
      </w:r>
      <w:r>
        <w:rPr>
          <w:i/>
          <w:noProof/>
          <w:color w:val="000000"/>
          <w:u w:color="000000"/>
          <w:bdr w:val="nil"/>
        </w:rPr>
        <w:t>ex post</w:t>
      </w:r>
      <w:r>
        <w:rPr>
          <w:noProof/>
          <w:color w:val="000000"/>
          <w:u w:color="000000"/>
          <w:bdr w:val="nil"/>
        </w:rPr>
        <w:t xml:space="preserve"> ver</w:t>
      </w:r>
      <w:r>
        <w:rPr>
          <w:noProof/>
          <w:color w:val="000000"/>
          <w:u w:color="000000"/>
          <w:bdr w:val="nil"/>
        </w:rPr>
        <w:t>tinime apžvelgiama įvairi patirtis, susijusi su įgyvendinimo sistema (įskaitant supaprastinimą, lankstumą, finansines priemones). Į ją atsižvelgiama Bendrų nuostatų reglamente.</w:t>
      </w:r>
    </w:p>
    <w:p w:rsidR="00355A4E" w:rsidRDefault="005F0DB8">
      <w:pPr>
        <w:pBdr>
          <w:top w:val="nil"/>
          <w:left w:val="nil"/>
          <w:bottom w:val="nil"/>
          <w:right w:val="nil"/>
          <w:between w:val="nil"/>
          <w:bar w:val="nil"/>
        </w:pBdr>
        <w:rPr>
          <w:rFonts w:eastAsia="Arial Unicode MS"/>
          <w:b/>
          <w:noProof/>
          <w:color w:val="000000"/>
          <w:szCs w:val="24"/>
          <w:u w:color="000000"/>
          <w:bdr w:val="nil"/>
        </w:rPr>
      </w:pPr>
      <w:r>
        <w:rPr>
          <w:b/>
          <w:noProof/>
          <w:color w:val="000000"/>
          <w:u w:color="000000"/>
          <w:bdr w:val="nil"/>
        </w:rPr>
        <w:t>Konsultacijos su suinteresuotosiomis šalimis</w:t>
      </w:r>
    </w:p>
    <w:p w:rsidR="00355A4E" w:rsidRDefault="005F0DB8">
      <w:pPr>
        <w:pBdr>
          <w:top w:val="nil"/>
          <w:left w:val="nil"/>
          <w:bottom w:val="nil"/>
          <w:right w:val="nil"/>
          <w:between w:val="nil"/>
          <w:bar w:val="nil"/>
        </w:pBdr>
        <w:rPr>
          <w:rFonts w:eastAsia="Times New Roman"/>
          <w:noProof/>
          <w:szCs w:val="20"/>
        </w:rPr>
      </w:pPr>
      <w:r>
        <w:rPr>
          <w:noProof/>
        </w:rPr>
        <w:t>Viešos konsultacijos internetu vyk</w:t>
      </w:r>
      <w:r>
        <w:rPr>
          <w:noProof/>
        </w:rPr>
        <w:t>o 2018 m. sausio 10 d. – kovo 9 d. Konsultacijos aprėpė sanglaudos politiką, t. y. ERPF ir Sanglaudos fondą kartu su ESF.</w:t>
      </w:r>
    </w:p>
    <w:p w:rsidR="00355A4E" w:rsidRDefault="005F0DB8">
      <w:pPr>
        <w:pStyle w:val="Bullet1"/>
        <w:numPr>
          <w:ilvl w:val="0"/>
          <w:numId w:val="18"/>
        </w:numPr>
        <w:rPr>
          <w:noProof/>
          <w:u w:color="000000"/>
          <w:bdr w:val="nil"/>
        </w:rPr>
      </w:pPr>
      <w:r>
        <w:rPr>
          <w:noProof/>
        </w:rPr>
        <w:t xml:space="preserve">Kalbant apie svarbiausius iššūkius, didžiausia respondentų dalis (94 proc.) įvardijo „regionų plėtros skirtumų mažinimą“ kaip labai </w:t>
      </w:r>
      <w:r>
        <w:rPr>
          <w:noProof/>
        </w:rPr>
        <w:t>svarbų ar gana svarbų prioritetą, po to – „nedarbo mažinimo, kokybiškų darbo vietų ir darbo jėgos judumo“ bei „socialinės įtraukties skatinimo ir kovos su skurdu“ prioritetus (91 proc.).</w:t>
      </w:r>
    </w:p>
    <w:p w:rsidR="00355A4E" w:rsidRDefault="005F0DB8">
      <w:pPr>
        <w:pStyle w:val="Bullet1"/>
        <w:numPr>
          <w:ilvl w:val="0"/>
          <w:numId w:val="18"/>
        </w:numPr>
        <w:rPr>
          <w:noProof/>
          <w:u w:color="000000"/>
          <w:bdr w:val="nil"/>
        </w:rPr>
      </w:pPr>
      <w:r>
        <w:rPr>
          <w:noProof/>
        </w:rPr>
        <w:t>61 proc. respondentų manymu, sėkmingiausiai buvo sprendžiamas „moksli</w:t>
      </w:r>
      <w:r>
        <w:rPr>
          <w:noProof/>
        </w:rPr>
        <w:t>nių tyrimų ir inovacijų skatinimo“ uždavinys, o 59 proc. teigė maną, kad „teritorinio bendradarbiavimo“ uždavinys.</w:t>
      </w:r>
    </w:p>
    <w:p w:rsidR="00355A4E" w:rsidRDefault="005F0DB8">
      <w:pPr>
        <w:pStyle w:val="Bullet1"/>
        <w:numPr>
          <w:ilvl w:val="0"/>
          <w:numId w:val="18"/>
        </w:numPr>
        <w:rPr>
          <w:noProof/>
          <w:u w:color="000000"/>
          <w:bdr w:val="nil"/>
        </w:rPr>
      </w:pPr>
      <w:r>
        <w:rPr>
          <w:noProof/>
        </w:rPr>
        <w:t>Apie 76 proc. respondentų manė, kad fondais sukuriama didelė arba gana didelė pridėtinė vertė, o mažiau kaip 2 proc. respondentų – kad jais n</w:t>
      </w:r>
      <w:r>
        <w:rPr>
          <w:noProof/>
        </w:rPr>
        <w:t>ekuriama jokia pridėtinė vertė.</w:t>
      </w:r>
    </w:p>
    <w:p w:rsidR="00355A4E" w:rsidRDefault="005F0DB8">
      <w:pPr>
        <w:pStyle w:val="Bullet1"/>
        <w:numPr>
          <w:ilvl w:val="0"/>
          <w:numId w:val="18"/>
        </w:numPr>
        <w:rPr>
          <w:noProof/>
          <w:u w:color="000000"/>
          <w:bdr w:val="nil"/>
        </w:rPr>
      </w:pPr>
      <w:r>
        <w:rPr>
          <w:noProof/>
        </w:rPr>
        <w:t>Kalbant apie kliūtis tikslams pasiekti, dauguma respondentų (86 proc.) manė, kad pagrindinė kliūtis yra sudėtingos procedūros, 68 proc. manė, kad audito ir kontrolės procedūros, o 60 proc. – kad lankstumo reaguojant į nenuma</w:t>
      </w:r>
      <w:r>
        <w:rPr>
          <w:noProof/>
        </w:rPr>
        <w:t>tytas aplinkybes stoka.</w:t>
      </w:r>
    </w:p>
    <w:p w:rsidR="00355A4E" w:rsidRDefault="005F0DB8">
      <w:pPr>
        <w:pStyle w:val="Bullet1"/>
        <w:numPr>
          <w:ilvl w:val="0"/>
          <w:numId w:val="18"/>
        </w:numPr>
        <w:rPr>
          <w:noProof/>
          <w:u w:color="000000"/>
          <w:bdr w:val="nil"/>
        </w:rPr>
      </w:pPr>
      <w:r>
        <w:rPr>
          <w:noProof/>
        </w:rPr>
        <w:t>Dėl taisyklių supaprastinimo respondentai dažniausiai teigė pageidaują „mažiau ir aiškesnių bei trumpesnių taisyklių“ (90 proc.), 79 proc. pasirinko „ES fondų taisyklių tarpusavio suderinimo“ galimybę, o 76–77 proc. teigė norį „dide</w:t>
      </w:r>
      <w:r>
        <w:rPr>
          <w:noProof/>
        </w:rPr>
        <w:t>snio lankstumo“ tiek skiriant lėšas programos įgyvendinimo teritorijai, tiek skirstant jas toje teritorijoje.</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Atsakydami į atvirus klausimus, respondentai iš esmės tvirtai parėmė:</w:t>
      </w:r>
    </w:p>
    <w:p w:rsidR="00355A4E" w:rsidRDefault="005F0DB8">
      <w:pPr>
        <w:pStyle w:val="Bullet1"/>
        <w:numPr>
          <w:ilvl w:val="0"/>
          <w:numId w:val="18"/>
        </w:numPr>
        <w:rPr>
          <w:noProof/>
          <w:u w:color="000000"/>
          <w:bdr w:val="nil"/>
        </w:rPr>
      </w:pPr>
      <w:r>
        <w:rPr>
          <w:noProof/>
        </w:rPr>
        <w:t>sanglaudos politiką visiems regionams (tačiau ir toliau skiriant daugiau dėm</w:t>
      </w:r>
      <w:r>
        <w:rPr>
          <w:noProof/>
        </w:rPr>
        <w:t>esio mažiau išsivysčiusiems regionams);</w:t>
      </w:r>
    </w:p>
    <w:p w:rsidR="00355A4E" w:rsidRDefault="005F0DB8">
      <w:pPr>
        <w:pStyle w:val="Bullet1"/>
        <w:numPr>
          <w:ilvl w:val="0"/>
          <w:numId w:val="18"/>
        </w:numPr>
        <w:rPr>
          <w:noProof/>
          <w:u w:color="000000"/>
          <w:bdr w:val="nil"/>
        </w:rPr>
      </w:pPr>
      <w:r>
        <w:rPr>
          <w:noProof/>
        </w:rPr>
        <w:t>politikos atsinaujinimą, įskaitant pažangiosios specializacijos strategijas ir pažangiąsias investicijas bendresne prasme;</w:t>
      </w:r>
    </w:p>
    <w:p w:rsidR="00355A4E" w:rsidRDefault="005F0DB8">
      <w:pPr>
        <w:pStyle w:val="Bullet1"/>
        <w:numPr>
          <w:ilvl w:val="0"/>
          <w:numId w:val="18"/>
        </w:numPr>
        <w:rPr>
          <w:noProof/>
          <w:u w:color="000000"/>
          <w:bdr w:val="nil"/>
        </w:rPr>
      </w:pPr>
      <w:r>
        <w:rPr>
          <w:noProof/>
        </w:rPr>
        <w:t>tolesnį paramos telkimo pagal temas principo laikymąsi ir plėtojimą;</w:t>
      </w:r>
    </w:p>
    <w:p w:rsidR="00355A4E" w:rsidRDefault="005F0DB8">
      <w:pPr>
        <w:pStyle w:val="Bullet1"/>
        <w:numPr>
          <w:ilvl w:val="0"/>
          <w:numId w:val="18"/>
        </w:numPr>
        <w:rPr>
          <w:noProof/>
          <w:u w:color="000000"/>
          <w:bdr w:val="nil"/>
        </w:rPr>
      </w:pPr>
      <w:r>
        <w:rPr>
          <w:noProof/>
        </w:rPr>
        <w:t xml:space="preserve">siekį skirti didesnį </w:t>
      </w:r>
      <w:r>
        <w:rPr>
          <w:noProof/>
        </w:rPr>
        <w:t>dėmesį vietos uždaviniams (ypač tvariai miestų plėtrai);</w:t>
      </w:r>
    </w:p>
    <w:p w:rsidR="00355A4E" w:rsidRDefault="005F0DB8">
      <w:pPr>
        <w:pStyle w:val="Bullet1"/>
        <w:numPr>
          <w:ilvl w:val="0"/>
          <w:numId w:val="18"/>
        </w:numPr>
        <w:rPr>
          <w:noProof/>
          <w:u w:color="000000"/>
          <w:bdr w:val="nil"/>
        </w:rPr>
      </w:pPr>
      <w:r>
        <w:rPr>
          <w:noProof/>
        </w:rPr>
        <w:t>tarpregioninį bendradarbiavimą tiek tarp valstybių, tiek visoje Europoje. ES lygmens bendradarbiavimas yra svarbus pažangiosios specializacijos požiūriu – inovacijos aukštųjų technologijų sektoriuose</w:t>
      </w:r>
      <w:r>
        <w:rPr>
          <w:noProof/>
        </w:rPr>
        <w:t xml:space="preserve"> dažnai priklauso nuo mainų ir šalutinio poveikio, susijusių su visoje Europoje vykstančiu klasterių arba žinių centrų tarpusavio bendradarbiavimu.</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Šie klausimai sprendžiami ERPF ir Sanglaudos fondo reglamente, kuriame:</w:t>
      </w:r>
    </w:p>
    <w:p w:rsidR="00355A4E" w:rsidRDefault="005F0DB8">
      <w:pPr>
        <w:pStyle w:val="Bullet1"/>
        <w:numPr>
          <w:ilvl w:val="0"/>
          <w:numId w:val="18"/>
        </w:numPr>
        <w:rPr>
          <w:noProof/>
          <w:u w:color="000000"/>
          <w:bdr w:val="nil"/>
        </w:rPr>
      </w:pPr>
      <w:r>
        <w:rPr>
          <w:noProof/>
        </w:rPr>
        <w:t>toliau skiriama daug dėmesio regionų</w:t>
      </w:r>
      <w:r>
        <w:rPr>
          <w:noProof/>
        </w:rPr>
        <w:t xml:space="preserve"> plėtros lygio skirtumų klausimo ir visos Europos regionuose kylančių problemų sprendimui;</w:t>
      </w:r>
    </w:p>
    <w:p w:rsidR="00355A4E" w:rsidRDefault="005F0DB8">
      <w:pPr>
        <w:pStyle w:val="Bullet1"/>
        <w:numPr>
          <w:ilvl w:val="0"/>
          <w:numId w:val="18"/>
        </w:numPr>
        <w:rPr>
          <w:noProof/>
          <w:u w:color="000000"/>
          <w:bdr w:val="nil"/>
        </w:rPr>
      </w:pPr>
      <w:r>
        <w:rPr>
          <w:noProof/>
        </w:rPr>
        <w:t>toliau laikomasi paramos telkimo pagal temas principo ir sustiprinamas paramos telkimas pagal pažangaus augimo tikslą pasitelkiant pažangiosios specializacijos strat</w:t>
      </w:r>
      <w:r>
        <w:rPr>
          <w:noProof/>
        </w:rPr>
        <w:t>egijas ir pagal mažo anglies dioksido kiekio technologijų bei žiedinės ekonomikos tikslus;</w:t>
      </w:r>
    </w:p>
    <w:p w:rsidR="00355A4E" w:rsidRDefault="005F0DB8">
      <w:pPr>
        <w:pStyle w:val="Bullet1"/>
        <w:numPr>
          <w:ilvl w:val="0"/>
          <w:numId w:val="18"/>
        </w:numPr>
        <w:rPr>
          <w:noProof/>
          <w:u w:color="000000"/>
          <w:bdr w:val="nil"/>
        </w:rPr>
      </w:pPr>
      <w:r>
        <w:rPr>
          <w:noProof/>
        </w:rPr>
        <w:t>išlieka nuostata dėl paramos tarpregioniniam bendradarbiavimui, kuria tokia parama suteikiama pažangiajai specializacijai įgyti;</w:t>
      </w:r>
    </w:p>
    <w:p w:rsidR="00355A4E" w:rsidRDefault="005F0DB8">
      <w:pPr>
        <w:pStyle w:val="Bullet1"/>
        <w:numPr>
          <w:ilvl w:val="0"/>
          <w:numId w:val="18"/>
        </w:numPr>
        <w:rPr>
          <w:noProof/>
          <w:u w:color="000000"/>
          <w:bdr w:val="nil"/>
        </w:rPr>
      </w:pPr>
      <w:r>
        <w:rPr>
          <w:noProof/>
        </w:rPr>
        <w:t xml:space="preserve">remiama integruotomis teritorinėmis </w:t>
      </w:r>
      <w:r>
        <w:rPr>
          <w:noProof/>
        </w:rPr>
        <w:t>ir vietos strategijomis pagrįsta vietos plėtra ir skatinama tvari miestų plėtra, taip pat gebėjimų šioje srityje stiprinimas.</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Be to, BNR reglamentu bus nustatytas ERPF ir Sanglaudos fondo pagrindas siekiant:</w:t>
      </w:r>
    </w:p>
    <w:p w:rsidR="00355A4E" w:rsidRDefault="005F0DB8">
      <w:pPr>
        <w:pStyle w:val="Bullet1"/>
        <w:numPr>
          <w:ilvl w:val="0"/>
          <w:numId w:val="18"/>
        </w:numPr>
        <w:rPr>
          <w:noProof/>
          <w:u w:color="000000"/>
          <w:bdr w:val="nil"/>
        </w:rPr>
      </w:pPr>
      <w:r>
        <w:rPr>
          <w:noProof/>
        </w:rPr>
        <w:t>supaprastinti sudėtingas su ERPF ir Sanglaudos f</w:t>
      </w:r>
      <w:r>
        <w:rPr>
          <w:noProof/>
        </w:rPr>
        <w:t>ondu susijusias procedūras,</w:t>
      </w:r>
    </w:p>
    <w:p w:rsidR="00355A4E" w:rsidRDefault="005F0DB8">
      <w:pPr>
        <w:pStyle w:val="Bullet1"/>
        <w:numPr>
          <w:ilvl w:val="0"/>
          <w:numId w:val="18"/>
        </w:numPr>
        <w:rPr>
          <w:noProof/>
          <w:u w:color="000000"/>
          <w:bdr w:val="nil"/>
        </w:rPr>
      </w:pPr>
      <w:r>
        <w:rPr>
          <w:noProof/>
        </w:rPr>
        <w:t>padidinti lankstumą siekiant reaguoti į atsirandančias problemas,</w:t>
      </w:r>
    </w:p>
    <w:p w:rsidR="00355A4E" w:rsidRDefault="005F0DB8">
      <w:pPr>
        <w:pStyle w:val="Bullet1"/>
        <w:numPr>
          <w:ilvl w:val="0"/>
          <w:numId w:val="18"/>
        </w:numPr>
        <w:rPr>
          <w:noProof/>
          <w:u w:color="000000"/>
          <w:bdr w:val="nil"/>
        </w:rPr>
      </w:pPr>
      <w:r>
        <w:rPr>
          <w:noProof/>
        </w:rPr>
        <w:t>suderinti tarpusavyje įvairių reglamentuojamų ES fondų taisykles.</w:t>
      </w:r>
    </w:p>
    <w:p w:rsidR="00355A4E" w:rsidRDefault="005F0DB8">
      <w:pPr>
        <w:pBdr>
          <w:top w:val="nil"/>
          <w:left w:val="nil"/>
          <w:bottom w:val="nil"/>
          <w:right w:val="nil"/>
          <w:between w:val="nil"/>
          <w:bar w:val="nil"/>
        </w:pBdr>
        <w:rPr>
          <w:rFonts w:eastAsia="Arial Unicode MS"/>
          <w:b/>
          <w:noProof/>
          <w:color w:val="000000"/>
          <w:szCs w:val="24"/>
          <w:u w:color="000000"/>
          <w:bdr w:val="nil"/>
        </w:rPr>
      </w:pPr>
      <w:r>
        <w:rPr>
          <w:b/>
          <w:noProof/>
          <w:color w:val="000000"/>
          <w:u w:color="000000"/>
          <w:bdr w:val="nil"/>
        </w:rPr>
        <w:t>Poveikio vertinimas</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Šis pasiūlymas parengtas remiantis poveikio vertinimu. Tačiau pagrindinės ga</w:t>
      </w:r>
      <w:r>
        <w:rPr>
          <w:noProof/>
          <w:color w:val="000000"/>
          <w:u w:color="000000"/>
          <w:bdr w:val="nil"/>
        </w:rPr>
        <w:t xml:space="preserve">limybės ir tinkamiausia galimybė gali būti galutinai pasirinktos, o ekonominis poveikis – galutinai įvertintas tik priėmus sprendimą dėl finansinių paketų ir paskirstymo mechanizmo. </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Politikos galimybėmis siekiama sumažinti biudžetą 7 proc. šiais būdais:</w:t>
      </w:r>
    </w:p>
    <w:p w:rsidR="00355A4E" w:rsidRDefault="005F0DB8">
      <w:pPr>
        <w:pStyle w:val="Bullet1"/>
        <w:numPr>
          <w:ilvl w:val="0"/>
          <w:numId w:val="18"/>
        </w:numPr>
        <w:rPr>
          <w:noProof/>
          <w:u w:color="000000"/>
          <w:bdr w:val="nil"/>
        </w:rPr>
      </w:pPr>
      <w:r>
        <w:rPr>
          <w:noProof/>
        </w:rPr>
        <w:t>1</w:t>
      </w:r>
      <w:r>
        <w:rPr>
          <w:noProof/>
        </w:rPr>
        <w:t xml:space="preserve"> galimybė: paramos sumažinimas visoms sritims.</w:t>
      </w:r>
    </w:p>
    <w:p w:rsidR="00355A4E" w:rsidRDefault="005F0DB8">
      <w:pPr>
        <w:pStyle w:val="Bullet1"/>
        <w:numPr>
          <w:ilvl w:val="0"/>
          <w:numId w:val="18"/>
        </w:numPr>
        <w:rPr>
          <w:noProof/>
          <w:u w:color="000000"/>
          <w:bdr w:val="nil"/>
        </w:rPr>
      </w:pPr>
      <w:r>
        <w:rPr>
          <w:noProof/>
        </w:rPr>
        <w:t>2 galimybė: paramos labiau išsivysčiusiems regionams sumažinimas.</w:t>
      </w:r>
    </w:p>
    <w:p w:rsidR="00355A4E" w:rsidRDefault="005F0DB8">
      <w:pPr>
        <w:pStyle w:val="Bullet1"/>
        <w:numPr>
          <w:ilvl w:val="0"/>
          <w:numId w:val="18"/>
        </w:numPr>
        <w:rPr>
          <w:noProof/>
          <w:u w:color="000000"/>
          <w:bdr w:val="nil"/>
        </w:rPr>
      </w:pPr>
      <w:r>
        <w:rPr>
          <w:noProof/>
        </w:rPr>
        <w:t>3 galimybė: toliau teikti paramą pagrindinėms sritims (paramos telkimas pagal temas), o pagal kitas temas teikiamą paramą sumažinti.</w:t>
      </w:r>
    </w:p>
    <w:p w:rsidR="00355A4E" w:rsidRDefault="005F0DB8">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3 galimybė</w:t>
      </w:r>
      <w:r>
        <w:rPr>
          <w:noProof/>
          <w:color w:val="000000"/>
          <w:u w:color="000000"/>
          <w:bdr w:val="nil"/>
        </w:rPr>
        <w:t xml:space="preserve"> yra tinkamiausia, kadangi, be kita ko:</w:t>
      </w:r>
    </w:p>
    <w:p w:rsidR="00355A4E" w:rsidRDefault="005F0DB8">
      <w:pPr>
        <w:pStyle w:val="Bullet1"/>
        <w:numPr>
          <w:ilvl w:val="0"/>
          <w:numId w:val="18"/>
        </w:numPr>
        <w:rPr>
          <w:noProof/>
          <w:u w:color="000000"/>
          <w:bdr w:val="nil"/>
        </w:rPr>
      </w:pPr>
      <w:r>
        <w:rPr>
          <w:noProof/>
        </w:rPr>
        <w:t>ja sudaroma galimybė toliau skirti dėmesį didžiausios ES pridėtinės vertės sritims, kurioms, kaip rodo vertinimo rezultatai, politika turėjo didžiausią poveikį;</w:t>
      </w:r>
    </w:p>
    <w:p w:rsidR="00355A4E" w:rsidRDefault="005F0DB8">
      <w:pPr>
        <w:pStyle w:val="Bullet1"/>
        <w:numPr>
          <w:ilvl w:val="0"/>
          <w:numId w:val="18"/>
        </w:numPr>
        <w:rPr>
          <w:rFonts w:eastAsia="Calibri"/>
          <w:noProof/>
        </w:rPr>
      </w:pPr>
      <w:r>
        <w:rPr>
          <w:noProof/>
        </w:rPr>
        <w:t xml:space="preserve">įvairūs didžiausi iššūkiai (globalizacija ir ekonominė </w:t>
      </w:r>
      <w:r>
        <w:rPr>
          <w:noProof/>
        </w:rPr>
        <w:t>pertvarka, perėjimas prie mažo anglies dioksido kiekio technologijų ir žiedinės ekonomikos, aplinkos apsaugos problemos, migracija ir skurdo miestuose židiniai) daro vis didesnį poveikį daugeliui regionų visoje ES, įskaitant labiau išsivysčiusius regionus.</w:t>
      </w:r>
      <w:r>
        <w:rPr>
          <w:noProof/>
        </w:rPr>
        <w:t xml:space="preserve"> ES investicijos yra būtinos, jos yra ir solidarumo ženklas;</w:t>
      </w:r>
    </w:p>
    <w:p w:rsidR="00355A4E" w:rsidRDefault="005F0DB8">
      <w:pPr>
        <w:pStyle w:val="Bullet1"/>
        <w:rPr>
          <w:noProof/>
          <w:u w:color="000000"/>
          <w:bdr w:val="nil"/>
        </w:rPr>
      </w:pPr>
      <w:r>
        <w:rPr>
          <w:noProof/>
        </w:rPr>
        <w:t>būtina išlaikyti kritinę masę – investicijos į labiau išsivysčiusius regionus, vertinant pagal vienam gyventojui tenkančias investicijas, jau ir taip mažos;</w:t>
      </w:r>
    </w:p>
    <w:p w:rsidR="00355A4E" w:rsidRDefault="005F0DB8">
      <w:pPr>
        <w:pStyle w:val="Bullet1"/>
        <w:rPr>
          <w:noProof/>
          <w:u w:color="000000"/>
          <w:bdr w:val="nil"/>
        </w:rPr>
      </w:pPr>
      <w:r>
        <w:rPr>
          <w:noProof/>
        </w:rPr>
        <w:t xml:space="preserve">didžioji dauguma viešose </w:t>
      </w:r>
      <w:r>
        <w:rPr>
          <w:noProof/>
        </w:rPr>
        <w:t>konsultacijose dalyvavusių suinteresuotųjų šalių remia ERPF paramos teikimą visuose regionuose. Pagal šį scenarijų taip pat užtikrinamas geresnis sanglaudos politikos fondų matomumas visose valstybėse narėse.</w:t>
      </w:r>
    </w:p>
    <w:p w:rsidR="00355A4E" w:rsidRDefault="005F0DB8">
      <w:pPr>
        <w:rPr>
          <w:noProof/>
        </w:rPr>
      </w:pPr>
      <w:r>
        <w:rPr>
          <w:noProof/>
        </w:rPr>
        <w:t>Ataskaita du kartus pateikta Reglamentavimo pat</w:t>
      </w:r>
      <w:r>
        <w:rPr>
          <w:noProof/>
        </w:rPr>
        <w:t>ikros valdybai (toliau – RPV) ir dėl jos pateiktos toliau nurodytos pastabos.</w:t>
      </w:r>
    </w:p>
    <w:tbl>
      <w:tblPr>
        <w:tblStyle w:val="Lentelstinklelis"/>
        <w:tblW w:w="0" w:type="auto"/>
        <w:tblLook w:val="04A0" w:firstRow="1" w:lastRow="0" w:firstColumn="1" w:lastColumn="0" w:noHBand="0" w:noVBand="1"/>
      </w:tblPr>
      <w:tblGrid>
        <w:gridCol w:w="4417"/>
        <w:gridCol w:w="4417"/>
      </w:tblGrid>
      <w:tr w:rsidR="00355A4E">
        <w:tc>
          <w:tcPr>
            <w:tcW w:w="4417" w:type="dxa"/>
          </w:tcPr>
          <w:p w:rsidR="00355A4E" w:rsidRDefault="005F0DB8">
            <w:pPr>
              <w:rPr>
                <w:b/>
                <w:noProof/>
              </w:rPr>
            </w:pPr>
            <w:r>
              <w:rPr>
                <w:b/>
                <w:noProof/>
              </w:rPr>
              <w:t>RPV nuomonė</w:t>
            </w:r>
          </w:p>
        </w:tc>
        <w:tc>
          <w:tcPr>
            <w:tcW w:w="4417" w:type="dxa"/>
          </w:tcPr>
          <w:p w:rsidR="00355A4E" w:rsidRDefault="005F0DB8">
            <w:pPr>
              <w:rPr>
                <w:b/>
                <w:noProof/>
              </w:rPr>
            </w:pPr>
            <w:r>
              <w:rPr>
                <w:b/>
                <w:noProof/>
              </w:rPr>
              <w:t>Kokių veiksmų imtasi?</w:t>
            </w:r>
          </w:p>
        </w:tc>
      </w:tr>
      <w:tr w:rsidR="00355A4E">
        <w:tc>
          <w:tcPr>
            <w:tcW w:w="4417" w:type="dxa"/>
          </w:tcPr>
          <w:p w:rsidR="00355A4E" w:rsidRDefault="005F0DB8">
            <w:pPr>
              <w:rPr>
                <w:b/>
                <w:noProof/>
              </w:rPr>
            </w:pPr>
            <w:r>
              <w:rPr>
                <w:b/>
                <w:noProof/>
              </w:rPr>
              <w:t>1 teikimas: nepalanki nuomonė</w:t>
            </w:r>
          </w:p>
          <w:p w:rsidR="00355A4E" w:rsidRDefault="005F0DB8">
            <w:pPr>
              <w:rPr>
                <w:noProof/>
              </w:rPr>
            </w:pPr>
            <w:r>
              <w:rPr>
                <w:noProof/>
              </w:rPr>
              <w:t>1)</w:t>
            </w:r>
            <w:r>
              <w:rPr>
                <w:noProof/>
              </w:rPr>
              <w:tab/>
              <w:t xml:space="preserve">Ataskaitoje neatsižvelgiama į ERPF ir SF finansavimo pajėgumų sumažinimo poveikį. </w:t>
            </w:r>
          </w:p>
          <w:p w:rsidR="00355A4E" w:rsidRDefault="005F0DB8">
            <w:pPr>
              <w:rPr>
                <w:noProof/>
              </w:rPr>
            </w:pPr>
            <w:r>
              <w:rPr>
                <w:noProof/>
              </w:rPr>
              <w:t>2)</w:t>
            </w:r>
            <w:r>
              <w:rPr>
                <w:noProof/>
              </w:rPr>
              <w:tab/>
              <w:t>Ataskaitoje nepaaiškinam</w:t>
            </w:r>
            <w:r>
              <w:rPr>
                <w:noProof/>
              </w:rPr>
              <w:t xml:space="preserve">a, kaip pakeisti tikslai ir skyrimo kriterijai perorientuotų programą. </w:t>
            </w:r>
          </w:p>
          <w:p w:rsidR="00355A4E" w:rsidRDefault="005F0DB8">
            <w:pPr>
              <w:rPr>
                <w:noProof/>
              </w:rPr>
            </w:pPr>
            <w:r>
              <w:rPr>
                <w:noProof/>
              </w:rPr>
              <w:t>3)</w:t>
            </w:r>
            <w:r>
              <w:rPr>
                <w:noProof/>
              </w:rPr>
              <w:tab/>
              <w:t xml:space="preserve">Ataskaitoje nesvarstomos geografinės aprėpties, regionų tinkamumo ir finansinių asignavimų būdų pagal ERPF / SF galimybės (variantai). </w:t>
            </w:r>
          </w:p>
          <w:p w:rsidR="00355A4E" w:rsidRDefault="005F0DB8">
            <w:pPr>
              <w:rPr>
                <w:noProof/>
              </w:rPr>
            </w:pPr>
            <w:r>
              <w:rPr>
                <w:noProof/>
              </w:rPr>
              <w:t>4)</w:t>
            </w:r>
            <w:r>
              <w:rPr>
                <w:noProof/>
              </w:rPr>
              <w:tab/>
              <w:t>Ataskaitoje nepakankamai nagrinėjamas įgyv</w:t>
            </w:r>
            <w:r>
              <w:rPr>
                <w:noProof/>
              </w:rPr>
              <w:t xml:space="preserve">endinimo mechanizmų pakeitimų poveikis.  </w:t>
            </w:r>
          </w:p>
        </w:tc>
        <w:tc>
          <w:tcPr>
            <w:tcW w:w="4417" w:type="dxa"/>
          </w:tcPr>
          <w:p w:rsidR="00355A4E" w:rsidRDefault="00355A4E">
            <w:pPr>
              <w:rPr>
                <w:noProof/>
              </w:rPr>
            </w:pPr>
          </w:p>
          <w:p w:rsidR="00355A4E" w:rsidRDefault="005F0DB8">
            <w:pPr>
              <w:rPr>
                <w:noProof/>
              </w:rPr>
            </w:pPr>
            <w:r>
              <w:rPr>
                <w:noProof/>
              </w:rPr>
              <w:t>1) Dabar 3.2 skirsnyje sumodeliuotas 10 proc. finansavimo sumažinimas, naudojant tris skirtingas galimybes.</w:t>
            </w:r>
          </w:p>
          <w:p w:rsidR="00355A4E" w:rsidRDefault="005F0DB8">
            <w:pPr>
              <w:rPr>
                <w:noProof/>
              </w:rPr>
            </w:pPr>
            <w:r>
              <w:rPr>
                <w:noProof/>
              </w:rPr>
              <w:t>2) 3.2 skirsnio tekste ir grafikuose nurodyta, kaip programa būtų perorientuota pagal įvairias galimybes.</w:t>
            </w:r>
          </w:p>
          <w:p w:rsidR="00355A4E" w:rsidRDefault="005F0DB8">
            <w:pPr>
              <w:rPr>
                <w:noProof/>
              </w:rPr>
            </w:pPr>
            <w:r>
              <w:rPr>
                <w:noProof/>
              </w:rPr>
              <w:t>3) 3.2 skirsnyje pateiktos trys geografinių ir teminių asignavimų galimybės ir nurodyta pagrindinė programos perorientavimo kryptis.</w:t>
            </w:r>
          </w:p>
          <w:p w:rsidR="00355A4E" w:rsidRDefault="005F0DB8">
            <w:pPr>
              <w:rPr>
                <w:noProof/>
              </w:rPr>
            </w:pPr>
            <w:r>
              <w:rPr>
                <w:noProof/>
              </w:rPr>
              <w:t>4) Atsižvelgiant į RPV pageidavimą, parengtas įgyvendinimo mechanizmams skirtas skyrius (žr. tolesnį skirsnį, skirtą 8 pas</w:t>
            </w:r>
            <w:r>
              <w:rPr>
                <w:noProof/>
              </w:rPr>
              <w:t>tabai).</w:t>
            </w:r>
          </w:p>
        </w:tc>
      </w:tr>
      <w:tr w:rsidR="00355A4E">
        <w:tc>
          <w:tcPr>
            <w:tcW w:w="4417" w:type="dxa"/>
          </w:tcPr>
          <w:p w:rsidR="00355A4E" w:rsidRDefault="005F0DB8">
            <w:pPr>
              <w:rPr>
                <w:b/>
                <w:noProof/>
              </w:rPr>
            </w:pPr>
            <w:r>
              <w:rPr>
                <w:b/>
                <w:noProof/>
              </w:rPr>
              <w:t>2 teikimas: palanki nuomonė su toliau nurodytomis išlygomis.</w:t>
            </w:r>
          </w:p>
          <w:p w:rsidR="00355A4E" w:rsidRDefault="005F0DB8">
            <w:pPr>
              <w:rPr>
                <w:noProof/>
              </w:rPr>
            </w:pPr>
            <w:r>
              <w:rPr>
                <w:noProof/>
              </w:rPr>
              <w:t>1) Tinkamiausios galimybės (paramos telkimas pagal temas) turinys ir poveikis nepakankamai aiškūs. Peržiūrėtoje ataskaitoje nepateikta pakankamai įrodymų, kad paramos telkimas pagal tema</w:t>
            </w:r>
            <w:r>
              <w:rPr>
                <w:noProof/>
              </w:rPr>
              <w:t>s padės sumažinti regionų ir valstybių skirtumus.</w:t>
            </w:r>
          </w:p>
          <w:p w:rsidR="00355A4E" w:rsidRDefault="005F0DB8">
            <w:pPr>
              <w:rPr>
                <w:noProof/>
              </w:rPr>
            </w:pPr>
            <w:r>
              <w:rPr>
                <w:noProof/>
              </w:rPr>
              <w:t>2) Ataskaitoje nepateiktos būsimos Berlyno metodo taikymo finansiniams asignavimams sąlygos ir priežastys, kodėl nesvarstomos kitos galimybės.</w:t>
            </w:r>
          </w:p>
          <w:p w:rsidR="00355A4E" w:rsidRDefault="005F0DB8">
            <w:pPr>
              <w:rPr>
                <w:noProof/>
              </w:rPr>
            </w:pPr>
            <w:r>
              <w:rPr>
                <w:noProof/>
              </w:rPr>
              <w:t>3) Ataskaitoje neaprašyta Europos tarpvalstybinio mechanizmo ap</w:t>
            </w:r>
            <w:r>
              <w:rPr>
                <w:noProof/>
              </w:rPr>
              <w:t>rėptis ir galimas poveikis.</w:t>
            </w:r>
          </w:p>
          <w:p w:rsidR="00355A4E" w:rsidRDefault="005F0DB8">
            <w:pPr>
              <w:rPr>
                <w:b/>
                <w:noProof/>
              </w:rPr>
            </w:pPr>
            <w:r>
              <w:rPr>
                <w:noProof/>
              </w:rPr>
              <w:t>4) Ataskaitoje nepaaiškintas ERPF / SF ir naujosios Reformų rėmimo programos tarpusavio nuoseklumas / suderinamumas.</w:t>
            </w:r>
          </w:p>
        </w:tc>
        <w:tc>
          <w:tcPr>
            <w:tcW w:w="4417" w:type="dxa"/>
          </w:tcPr>
          <w:p w:rsidR="00355A4E" w:rsidRDefault="00355A4E">
            <w:pPr>
              <w:rPr>
                <w:noProof/>
              </w:rPr>
            </w:pPr>
          </w:p>
          <w:p w:rsidR="00355A4E" w:rsidRDefault="005F0DB8">
            <w:pPr>
              <w:rPr>
                <w:noProof/>
              </w:rPr>
            </w:pPr>
            <w:r>
              <w:rPr>
                <w:noProof/>
              </w:rPr>
              <w:t>1) Visų galimybių turinys dabar pateiktas 28–29 psl. ir jos palygintos 7 lentelėje. 5 diagramoje įvertintas ti</w:t>
            </w:r>
            <w:r>
              <w:rPr>
                <w:noProof/>
              </w:rPr>
              <w:t>nkamiausios galimybės teminis poveikis pagal valstybes nares. Įvairių galimybių poveikis regioniniam ir nacionaliniam augimo greičiui išnagrinėtas bei palygintas naudojantis makroekonominiu modeliu QUEST ir pateiktas tekstu 30–31 psl. bei skaičiais 9 lente</w:t>
            </w:r>
            <w:r>
              <w:rPr>
                <w:noProof/>
              </w:rPr>
              <w:t>lėje ir 6 bei 7 diagramose.</w:t>
            </w:r>
          </w:p>
          <w:p w:rsidR="00355A4E" w:rsidRDefault="005F0DB8">
            <w:pPr>
              <w:rPr>
                <w:noProof/>
              </w:rPr>
            </w:pPr>
            <w:r>
              <w:rPr>
                <w:noProof/>
              </w:rPr>
              <w:t>2) Dabar Berlyno metodas aprašytas 29 psl. langelyje, taip pat pateiktos priežastys, kodėl išlaikytas šis metodas ir nesvarstytos kitos galimybės.</w:t>
            </w:r>
          </w:p>
          <w:p w:rsidR="00355A4E" w:rsidRDefault="005F0DB8">
            <w:pPr>
              <w:rPr>
                <w:noProof/>
              </w:rPr>
            </w:pPr>
            <w:r>
              <w:rPr>
                <w:noProof/>
              </w:rPr>
              <w:t xml:space="preserve">3) Tarpvalstybinis mechanizmas aprašytas 41–42 psl. Cituojama galimo poveikio </w:t>
            </w:r>
            <w:r>
              <w:rPr>
                <w:noProof/>
              </w:rPr>
              <w:t>ataskaita, o nuoroda į šaltinį pateikta išnašoje.</w:t>
            </w:r>
          </w:p>
          <w:p w:rsidR="00355A4E" w:rsidRDefault="005F0DB8">
            <w:pPr>
              <w:rPr>
                <w:noProof/>
              </w:rPr>
            </w:pPr>
            <w:r>
              <w:rPr>
                <w:noProof/>
              </w:rPr>
              <w:t>4) Ryšys su reformų rėmimo programa apibūdintas 60 psl.</w:t>
            </w:r>
          </w:p>
        </w:tc>
      </w:tr>
    </w:tbl>
    <w:p w:rsidR="00355A4E" w:rsidRDefault="00355A4E">
      <w:pPr>
        <w:rPr>
          <w:noProof/>
          <w:u w:color="000000"/>
          <w:bdr w:val="nil"/>
        </w:rPr>
      </w:pPr>
    </w:p>
    <w:p w:rsidR="00355A4E" w:rsidRDefault="005F0DB8">
      <w:pPr>
        <w:pBdr>
          <w:top w:val="nil"/>
          <w:left w:val="nil"/>
          <w:bottom w:val="nil"/>
          <w:right w:val="nil"/>
          <w:between w:val="nil"/>
          <w:bar w:val="nil"/>
        </w:pBdr>
        <w:rPr>
          <w:rFonts w:eastAsia="Arial Unicode MS"/>
          <w:b/>
          <w:noProof/>
          <w:color w:val="000000"/>
          <w:szCs w:val="24"/>
          <w:u w:color="000000"/>
          <w:bdr w:val="nil"/>
        </w:rPr>
      </w:pPr>
      <w:r>
        <w:rPr>
          <w:b/>
          <w:noProof/>
          <w:color w:val="000000"/>
          <w:u w:color="000000"/>
          <w:bdr w:val="nil"/>
        </w:rPr>
        <w:t>Supaprastinimas</w:t>
      </w:r>
    </w:p>
    <w:p w:rsidR="00355A4E" w:rsidRDefault="005F0DB8">
      <w:pPr>
        <w:rPr>
          <w:noProof/>
          <w:szCs w:val="24"/>
        </w:rPr>
      </w:pPr>
      <w:r>
        <w:rPr>
          <w:noProof/>
        </w:rPr>
        <w:t>Yra įrodymų, kad patiriama didelių su ERPF ir Sanglaudos fondu susijusių administracinių išlaidų. Neseniai atliktame tyrime</w:t>
      </w:r>
      <w:r>
        <w:rPr>
          <w:rStyle w:val="Puslapioinaosnuoroda"/>
          <w:noProof/>
        </w:rPr>
        <w:footnoteReference w:id="11"/>
      </w:r>
      <w:r>
        <w:rPr>
          <w:noProof/>
        </w:rPr>
        <w:t xml:space="preserve"> apskaičiuota, kad jos siekia 3 proc. vidutinių programos išlaidų ERPF atveju ir 2,2 proc. Sanglaudos fondo atveju. Paramos gavėjams (įskaitant MVĮ) tenkanti administracinė našta yra didesnė.</w:t>
      </w:r>
    </w:p>
    <w:p w:rsidR="00355A4E" w:rsidRDefault="005F0DB8">
      <w:pPr>
        <w:rPr>
          <w:noProof/>
          <w:szCs w:val="24"/>
        </w:rPr>
      </w:pPr>
      <w:r>
        <w:rPr>
          <w:noProof/>
        </w:rPr>
        <w:t>Dauguma ERPF ir Sanglaudos fondui taikomų supaprastinimo priemon</w:t>
      </w:r>
      <w:r>
        <w:rPr>
          <w:noProof/>
        </w:rPr>
        <w:t>ių bus nustatyta BNR. Daugeliu atvejų šį supaprastinimą sunku iš anksto įvertinti kiekybiškai finansiniu požiūriu, tačiau atliekant tyrimą buvo nustatyta:</w:t>
      </w:r>
    </w:p>
    <w:p w:rsidR="00355A4E" w:rsidRDefault="005F0DB8">
      <w:pPr>
        <w:pStyle w:val="Bullet1"/>
        <w:numPr>
          <w:ilvl w:val="0"/>
          <w:numId w:val="18"/>
        </w:numPr>
        <w:rPr>
          <w:noProof/>
        </w:rPr>
      </w:pPr>
      <w:r>
        <w:rPr>
          <w:noProof/>
        </w:rPr>
        <w:t>platesnis supaprastinto išlaidų apmokėjimo (arba sąlygų įvykdymu grindžiamų mokėjimų) taikymas ERPF i</w:t>
      </w:r>
      <w:r>
        <w:rPr>
          <w:noProof/>
        </w:rPr>
        <w:t xml:space="preserve">r Sanglaudos fondo atveju galėtų padėti gerokai sumažinti bendras administracines išlaidas: 20–25 proc., jeigu tai būtų taikoma visose srityse; </w:t>
      </w:r>
    </w:p>
    <w:p w:rsidR="00355A4E" w:rsidRDefault="005F0DB8">
      <w:pPr>
        <w:pStyle w:val="Bullet1"/>
        <w:numPr>
          <w:ilvl w:val="0"/>
          <w:numId w:val="18"/>
        </w:numPr>
        <w:rPr>
          <w:rFonts w:eastAsia="Arial Unicode MS"/>
          <w:noProof/>
          <w:color w:val="000000"/>
          <w:u w:color="000000"/>
          <w:bdr w:val="nil"/>
        </w:rPr>
      </w:pPr>
      <w:r>
        <w:rPr>
          <w:noProof/>
        </w:rPr>
        <w:t>proporcingesnis požiūris į kontrolę ir auditą reikštų, kad labai sumažėtų patikrinimų ir audito našta vadinamųj</w:t>
      </w:r>
      <w:r>
        <w:rPr>
          <w:noProof/>
        </w:rPr>
        <w:t>ų mažos rizikos programų atveju.</w:t>
      </w:r>
      <w:r>
        <w:rPr>
          <w:noProof/>
          <w:color w:val="000000" w:themeColor="text1"/>
        </w:rPr>
        <w:t xml:space="preserve"> Taip bendros ERPF ir Sanglaudos fondo administracinės išlaidos būtų sumažintos 2–3 proc., o susijusių programų išlaidos – dar daugiau.</w:t>
      </w:r>
    </w:p>
    <w:p w:rsidR="00355A4E" w:rsidRDefault="005F0DB8">
      <w:pPr>
        <w:pBdr>
          <w:top w:val="nil"/>
          <w:left w:val="nil"/>
          <w:bottom w:val="nil"/>
          <w:right w:val="nil"/>
          <w:between w:val="nil"/>
          <w:bar w:val="nil"/>
        </w:pBdr>
        <w:rPr>
          <w:rFonts w:eastAsia="Arial Unicode MS"/>
          <w:b/>
          <w:noProof/>
          <w:color w:val="000000"/>
          <w:szCs w:val="24"/>
          <w:u w:color="000000"/>
          <w:bdr w:val="nil"/>
        </w:rPr>
      </w:pPr>
      <w:r>
        <w:rPr>
          <w:b/>
          <w:noProof/>
          <w:color w:val="000000"/>
          <w:u w:color="000000"/>
          <w:bdr w:val="nil"/>
        </w:rPr>
        <w:t>E. sanglauda ir keitimasis duomenimis</w:t>
      </w:r>
    </w:p>
    <w:p w:rsidR="00355A4E" w:rsidRDefault="005F0DB8">
      <w:pPr>
        <w:rPr>
          <w:rFonts w:eastAsia="Arial Unicode MS"/>
          <w:noProof/>
          <w:color w:val="000000"/>
          <w:szCs w:val="24"/>
          <w:u w:color="000000"/>
          <w:bdr w:val="nil"/>
        </w:rPr>
      </w:pPr>
      <w:r>
        <w:rPr>
          <w:noProof/>
          <w:color w:val="000000"/>
          <w:u w:color="000000"/>
          <w:bdr w:val="nil"/>
        </w:rPr>
        <w:t>Pagal 2014–2020 m. programas buvo reikalaujama, ka</w:t>
      </w:r>
      <w:r>
        <w:rPr>
          <w:noProof/>
          <w:color w:val="000000"/>
          <w:u w:color="000000"/>
          <w:bdr w:val="nil"/>
        </w:rPr>
        <w:t>d paramos gavėjai ir vadovaujančiosios institucijos, taip pat įvairios valdymo ir kontrolės sistemų institucijos tarpusavyje duomenimis keistųsi elektroniniu būdu per atitinkamą sistemą. Šiame reglamente į tai atsižvelgiama ir toliau plėtojami tam tikri du</w:t>
      </w:r>
      <w:r>
        <w:rPr>
          <w:noProof/>
          <w:color w:val="000000"/>
          <w:u w:color="000000"/>
          <w:bdr w:val="nil"/>
        </w:rPr>
        <w:t>omenų rinkimo aspektai. Dabar visi įgyvendinimo pažangai stebėti reikalingi duomenys, įskaitant programų veiklos rezultatus, bus perduodami elektroniniu būdu kas du mėnesius, o tai reiškia, kad atviroji duomenų platforma bus atnaujinama beveik realiuoju la</w:t>
      </w:r>
      <w:r>
        <w:rPr>
          <w:noProof/>
          <w:color w:val="000000"/>
          <w:u w:color="000000"/>
          <w:bdr w:val="nil"/>
        </w:rPr>
        <w:t xml:space="preserve">iku. </w:t>
      </w:r>
    </w:p>
    <w:p w:rsidR="00355A4E" w:rsidRDefault="005F0DB8">
      <w:pPr>
        <w:rPr>
          <w:rFonts w:eastAsia="Arial Unicode MS"/>
          <w:noProof/>
          <w:color w:val="000000"/>
          <w:szCs w:val="24"/>
          <w:u w:color="000000"/>
          <w:bdr w:val="nil"/>
        </w:rPr>
      </w:pPr>
      <w:r>
        <w:rPr>
          <w:noProof/>
          <w:color w:val="000000"/>
          <w:u w:color="000000"/>
          <w:bdr w:val="nil"/>
        </w:rPr>
        <w:t>Paramos gavėjo ir veiksmų duomenys taip pat bus skelbiami elektronine forma specialioje interneto svetainėje, kurią tvarko vadovaujančioji institucija.</w:t>
      </w:r>
    </w:p>
    <w:p w:rsidR="00355A4E" w:rsidRDefault="005F0DB8">
      <w:pPr>
        <w:pStyle w:val="ManualHeading1"/>
        <w:rPr>
          <w:rFonts w:eastAsia="Arial Unicode MS"/>
          <w:b w:val="0"/>
          <w:noProof/>
          <w:color w:val="000000"/>
          <w:szCs w:val="24"/>
          <w:u w:color="000000"/>
          <w:bdr w:val="nil"/>
        </w:rPr>
      </w:pPr>
      <w:r>
        <w:rPr>
          <w:noProof/>
          <w:color w:val="000000"/>
          <w:u w:color="000000"/>
          <w:bdr w:val="nil"/>
        </w:rPr>
        <w:t>4.</w:t>
      </w:r>
      <w:r>
        <w:rPr>
          <w:noProof/>
        </w:rPr>
        <w:tab/>
      </w:r>
      <w:r>
        <w:rPr>
          <w:noProof/>
          <w:color w:val="000000"/>
          <w:u w:color="000000"/>
          <w:bdr w:val="nil"/>
        </w:rPr>
        <w:t>POVEIKIS BIUDŽETUI</w:t>
      </w:r>
    </w:p>
    <w:p w:rsidR="00355A4E" w:rsidRDefault="005F0DB8">
      <w:pPr>
        <w:pBdr>
          <w:top w:val="nil"/>
          <w:left w:val="nil"/>
          <w:bottom w:val="nil"/>
          <w:right w:val="nil"/>
          <w:between w:val="nil"/>
          <w:bar w:val="nil"/>
        </w:pBdr>
        <w:spacing w:after="240"/>
        <w:rPr>
          <w:rFonts w:eastAsia="Times New Roman"/>
          <w:noProof/>
          <w:color w:val="000000"/>
          <w:szCs w:val="24"/>
        </w:rPr>
      </w:pPr>
      <w:r>
        <w:rPr>
          <w:noProof/>
          <w:color w:val="000000"/>
        </w:rPr>
        <w:t xml:space="preserve">Komisijos pasiūlyme dėl 2021–2027 m. daugiametės finansinės programos ERPF </w:t>
      </w:r>
      <w:r>
        <w:rPr>
          <w:noProof/>
          <w:color w:val="000000"/>
        </w:rPr>
        <w:t>ir Sanglaudos fondui numatyta skirti 273 mlrd. EUR.</w:t>
      </w:r>
    </w:p>
    <w:p w:rsidR="00355A4E" w:rsidRDefault="005F0DB8">
      <w:pPr>
        <w:pStyle w:val="Antrat"/>
        <w:keepNext/>
        <w:rPr>
          <w:noProof/>
          <w:color w:val="auto"/>
          <w:sz w:val="24"/>
          <w:szCs w:val="24"/>
        </w:rPr>
      </w:pPr>
      <w:bookmarkStart w:id="1" w:name="_Toc513194242"/>
      <w:r>
        <w:rPr>
          <w:noProof/>
          <w:color w:val="auto"/>
          <w:sz w:val="24"/>
        </w:rPr>
        <w:t>ERPF ir SF 2021–2027 m. paketai</w:t>
      </w:r>
      <w:bookmarkEnd w:id="1"/>
      <w:r>
        <w:rPr>
          <w:noProof/>
          <w:color w:val="auto"/>
          <w:sz w:val="24"/>
        </w:rPr>
        <w:t xml:space="preserve"> milijonais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126"/>
      </w:tblGrid>
      <w:tr w:rsidR="00355A4E">
        <w:trPr>
          <w:trHeight w:val="107"/>
        </w:trPr>
        <w:tc>
          <w:tcPr>
            <w:tcW w:w="6629" w:type="dxa"/>
          </w:tcPr>
          <w:p w:rsidR="00355A4E" w:rsidRDefault="005F0DB8">
            <w:pPr>
              <w:spacing w:before="60" w:after="60"/>
              <w:rPr>
                <w:noProof/>
                <w:szCs w:val="24"/>
              </w:rPr>
            </w:pPr>
            <w:r>
              <w:rPr>
                <w:b/>
                <w:noProof/>
              </w:rPr>
              <w:t>Visos ERPF ir SF skiriamos lėšos</w:t>
            </w:r>
          </w:p>
        </w:tc>
        <w:tc>
          <w:tcPr>
            <w:tcW w:w="2126" w:type="dxa"/>
          </w:tcPr>
          <w:p w:rsidR="00355A4E" w:rsidRDefault="005F0DB8">
            <w:pPr>
              <w:spacing w:before="60" w:after="60"/>
              <w:jc w:val="right"/>
              <w:rPr>
                <w:noProof/>
                <w:szCs w:val="24"/>
              </w:rPr>
            </w:pPr>
            <w:r>
              <w:rPr>
                <w:b/>
                <w:noProof/>
              </w:rPr>
              <w:t>241 978</w:t>
            </w:r>
          </w:p>
        </w:tc>
      </w:tr>
      <w:tr w:rsidR="00355A4E">
        <w:trPr>
          <w:trHeight w:val="107"/>
        </w:trPr>
        <w:tc>
          <w:tcPr>
            <w:tcW w:w="6629" w:type="dxa"/>
          </w:tcPr>
          <w:p w:rsidR="00355A4E" w:rsidRDefault="005F0DB8">
            <w:pPr>
              <w:spacing w:before="60" w:after="60"/>
              <w:rPr>
                <w:noProof/>
                <w:szCs w:val="24"/>
              </w:rPr>
            </w:pPr>
            <w:r>
              <w:rPr>
                <w:b/>
                <w:noProof/>
              </w:rPr>
              <w:t>Europos regioninės plėtros fondui (ERPF)</w:t>
            </w:r>
          </w:p>
        </w:tc>
        <w:tc>
          <w:tcPr>
            <w:tcW w:w="2126" w:type="dxa"/>
          </w:tcPr>
          <w:p w:rsidR="00355A4E" w:rsidRDefault="005F0DB8">
            <w:pPr>
              <w:spacing w:before="60" w:after="60"/>
              <w:jc w:val="right"/>
              <w:rPr>
                <w:noProof/>
                <w:szCs w:val="24"/>
              </w:rPr>
            </w:pPr>
            <w:r>
              <w:rPr>
                <w:b/>
                <w:noProof/>
              </w:rPr>
              <w:t>200 629</w:t>
            </w:r>
          </w:p>
        </w:tc>
      </w:tr>
      <w:tr w:rsidR="00355A4E">
        <w:trPr>
          <w:trHeight w:val="111"/>
        </w:trPr>
        <w:tc>
          <w:tcPr>
            <w:tcW w:w="6629" w:type="dxa"/>
          </w:tcPr>
          <w:p w:rsidR="00355A4E" w:rsidRDefault="005F0DB8">
            <w:pPr>
              <w:pStyle w:val="Sraopastraipa"/>
              <w:numPr>
                <w:ilvl w:val="0"/>
                <w:numId w:val="2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Investicijoms į darbo vietų kūrimą ir ekonomikos augimą </w:t>
            </w:r>
          </w:p>
        </w:tc>
        <w:tc>
          <w:tcPr>
            <w:tcW w:w="2126" w:type="dxa"/>
          </w:tcPr>
          <w:p w:rsidR="00355A4E" w:rsidRDefault="005F0DB8">
            <w:pPr>
              <w:spacing w:before="60" w:after="60"/>
              <w:jc w:val="right"/>
              <w:rPr>
                <w:noProof/>
                <w:szCs w:val="24"/>
              </w:rPr>
            </w:pPr>
            <w:r>
              <w:rPr>
                <w:noProof/>
              </w:rPr>
              <w:t>190 752</w:t>
            </w:r>
          </w:p>
        </w:tc>
      </w:tr>
      <w:tr w:rsidR="00355A4E">
        <w:trPr>
          <w:trHeight w:val="249"/>
        </w:trPr>
        <w:tc>
          <w:tcPr>
            <w:tcW w:w="6629" w:type="dxa"/>
          </w:tcPr>
          <w:p w:rsidR="00355A4E" w:rsidRDefault="005F0DB8">
            <w:pPr>
              <w:pStyle w:val="Sraopastraipa"/>
              <w:numPr>
                <w:ilvl w:val="0"/>
                <w:numId w:val="2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Europos teritoriniam bendradarbiavimui </w:t>
            </w:r>
          </w:p>
        </w:tc>
        <w:tc>
          <w:tcPr>
            <w:tcW w:w="2126" w:type="dxa"/>
          </w:tcPr>
          <w:p w:rsidR="00355A4E" w:rsidRDefault="005F0DB8">
            <w:pPr>
              <w:spacing w:before="60" w:after="60"/>
              <w:jc w:val="right"/>
              <w:rPr>
                <w:noProof/>
                <w:szCs w:val="24"/>
              </w:rPr>
            </w:pPr>
            <w:r>
              <w:rPr>
                <w:noProof/>
              </w:rPr>
              <w:t>8 430</w:t>
            </w:r>
          </w:p>
        </w:tc>
      </w:tr>
      <w:tr w:rsidR="00355A4E">
        <w:trPr>
          <w:trHeight w:val="111"/>
        </w:trPr>
        <w:tc>
          <w:tcPr>
            <w:tcW w:w="6629" w:type="dxa"/>
          </w:tcPr>
          <w:p w:rsidR="00355A4E" w:rsidRDefault="005F0DB8">
            <w:pPr>
              <w:pStyle w:val="Sraopastraipa"/>
              <w:numPr>
                <w:ilvl w:val="0"/>
                <w:numId w:val="2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Atokiausiems regionams ir retai apgyvendintoms vietovėms </w:t>
            </w:r>
          </w:p>
        </w:tc>
        <w:tc>
          <w:tcPr>
            <w:tcW w:w="2126" w:type="dxa"/>
          </w:tcPr>
          <w:p w:rsidR="00355A4E" w:rsidRDefault="005F0DB8">
            <w:pPr>
              <w:spacing w:before="60" w:after="60"/>
              <w:jc w:val="right"/>
              <w:rPr>
                <w:noProof/>
                <w:szCs w:val="24"/>
              </w:rPr>
            </w:pPr>
            <w:r>
              <w:rPr>
                <w:noProof/>
              </w:rPr>
              <w:t>1 447</w:t>
            </w:r>
          </w:p>
        </w:tc>
      </w:tr>
      <w:tr w:rsidR="00355A4E">
        <w:trPr>
          <w:trHeight w:val="107"/>
        </w:trPr>
        <w:tc>
          <w:tcPr>
            <w:tcW w:w="6629" w:type="dxa"/>
          </w:tcPr>
          <w:p w:rsidR="00355A4E" w:rsidRDefault="005F0DB8">
            <w:pPr>
              <w:spacing w:before="60" w:after="60"/>
              <w:rPr>
                <w:noProof/>
                <w:szCs w:val="24"/>
              </w:rPr>
            </w:pPr>
            <w:r>
              <w:rPr>
                <w:b/>
                <w:noProof/>
              </w:rPr>
              <w:t>Sanglaudos fondui (SF)</w:t>
            </w:r>
          </w:p>
        </w:tc>
        <w:tc>
          <w:tcPr>
            <w:tcW w:w="2126" w:type="dxa"/>
          </w:tcPr>
          <w:p w:rsidR="00355A4E" w:rsidRDefault="005F0DB8">
            <w:pPr>
              <w:spacing w:before="60" w:after="60"/>
              <w:jc w:val="right"/>
              <w:rPr>
                <w:noProof/>
                <w:szCs w:val="24"/>
              </w:rPr>
            </w:pPr>
            <w:r>
              <w:rPr>
                <w:b/>
                <w:noProof/>
              </w:rPr>
              <w:t>41 349</w:t>
            </w:r>
          </w:p>
        </w:tc>
      </w:tr>
      <w:tr w:rsidR="00355A4E">
        <w:trPr>
          <w:trHeight w:val="111"/>
        </w:trPr>
        <w:tc>
          <w:tcPr>
            <w:tcW w:w="6629" w:type="dxa"/>
          </w:tcPr>
          <w:p w:rsidR="00355A4E" w:rsidRDefault="005F0DB8">
            <w:pPr>
              <w:pStyle w:val="Sraopastraipa"/>
              <w:numPr>
                <w:ilvl w:val="0"/>
                <w:numId w:val="2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iš jų įnašas EITP transporto sektoriui </w:t>
            </w:r>
          </w:p>
        </w:tc>
        <w:tc>
          <w:tcPr>
            <w:tcW w:w="2126" w:type="dxa"/>
          </w:tcPr>
          <w:p w:rsidR="00355A4E" w:rsidRDefault="005F0DB8">
            <w:pPr>
              <w:spacing w:before="60" w:after="60"/>
              <w:jc w:val="right"/>
              <w:rPr>
                <w:noProof/>
                <w:szCs w:val="24"/>
              </w:rPr>
            </w:pPr>
            <w:r>
              <w:rPr>
                <w:noProof/>
              </w:rPr>
              <w:t>10 000</w:t>
            </w:r>
          </w:p>
        </w:tc>
      </w:tr>
    </w:tbl>
    <w:p w:rsidR="00355A4E" w:rsidRDefault="00355A4E">
      <w:pPr>
        <w:pBdr>
          <w:top w:val="nil"/>
          <w:left w:val="nil"/>
          <w:bottom w:val="nil"/>
          <w:right w:val="nil"/>
          <w:between w:val="nil"/>
          <w:bar w:val="nil"/>
        </w:pBdr>
        <w:spacing w:after="240"/>
        <w:rPr>
          <w:rFonts w:eastAsia="Arial Unicode MS"/>
          <w:noProof/>
          <w:color w:val="000000"/>
          <w:szCs w:val="24"/>
          <w:u w:color="000000"/>
          <w:bdr w:val="nil"/>
        </w:rPr>
      </w:pPr>
    </w:p>
    <w:p w:rsidR="00355A4E" w:rsidRDefault="005F0DB8">
      <w:pPr>
        <w:pStyle w:val="ManualHeading1"/>
        <w:rPr>
          <w:rFonts w:eastAsia="Arial Unicode MS"/>
          <w:b w:val="0"/>
          <w:noProof/>
          <w:color w:val="000000"/>
          <w:szCs w:val="24"/>
          <w:u w:color="000000"/>
          <w:bdr w:val="nil"/>
        </w:rPr>
      </w:pPr>
      <w:r>
        <w:rPr>
          <w:noProof/>
          <w:color w:val="000000"/>
          <w:u w:color="000000"/>
          <w:bdr w:val="nil"/>
        </w:rPr>
        <w:t>5.</w:t>
      </w:r>
      <w:r>
        <w:rPr>
          <w:noProof/>
        </w:rPr>
        <w:tab/>
      </w:r>
      <w:r>
        <w:rPr>
          <w:noProof/>
          <w:color w:val="000000"/>
          <w:u w:color="000000"/>
          <w:bdr w:val="nil"/>
        </w:rPr>
        <w:t>REGLAMENTO TURINIO SANTRAUKA</w:t>
      </w:r>
    </w:p>
    <w:p w:rsidR="00355A4E" w:rsidRDefault="005F0DB8">
      <w:pPr>
        <w:spacing w:after="240"/>
        <w:rPr>
          <w:rFonts w:eastAsia="Arial Unicode MS"/>
          <w:noProof/>
          <w:color w:val="000000"/>
          <w:szCs w:val="24"/>
          <w:u w:color="000000"/>
          <w:bdr w:val="nil"/>
        </w:rPr>
      </w:pPr>
      <w:r>
        <w:rPr>
          <w:noProof/>
          <w:color w:val="000000"/>
          <w:u w:color="000000"/>
          <w:bdr w:val="nil"/>
        </w:rPr>
        <w:t xml:space="preserve">Didelė ERPF ir Sanglaudos fondo </w:t>
      </w:r>
      <w:r>
        <w:rPr>
          <w:noProof/>
          <w:color w:val="000000"/>
          <w:u w:color="000000"/>
          <w:bdr w:val="nil"/>
        </w:rPr>
        <w:t>lėšų panaudojimo ir įgyvendinimo taisyklių dalis reglamentuojama BNR. Todėl šis reglamentas turėtų būti vertinamas atsižvelgiant į šias aplinkybes, ir daugiausia dėmesio jame turėtų būti skiriama tokiems pagrindiniams strateginiams klausimams kaip:</w:t>
      </w:r>
    </w:p>
    <w:p w:rsidR="00355A4E" w:rsidRDefault="005F0DB8">
      <w:pPr>
        <w:pStyle w:val="Bullet1"/>
        <w:rPr>
          <w:noProof/>
          <w:u w:color="000000"/>
          <w:bdr w:val="nil"/>
        </w:rPr>
      </w:pPr>
      <w:r>
        <w:rPr>
          <w:noProof/>
        </w:rPr>
        <w:t>pagrind</w:t>
      </w:r>
      <w:r>
        <w:rPr>
          <w:noProof/>
        </w:rPr>
        <w:t>iniai prioritetai ir tikslinės sritys;</w:t>
      </w:r>
    </w:p>
    <w:p w:rsidR="00355A4E" w:rsidRDefault="005F0DB8">
      <w:pPr>
        <w:pStyle w:val="Bullet1"/>
        <w:rPr>
          <w:noProof/>
          <w:u w:color="000000"/>
          <w:bdr w:val="nil"/>
        </w:rPr>
      </w:pPr>
      <w:r>
        <w:rPr>
          <w:noProof/>
        </w:rPr>
        <w:t>rodiklių sistema, kuri padėtų tai stebėti;</w:t>
      </w:r>
    </w:p>
    <w:p w:rsidR="00355A4E" w:rsidRDefault="005F0DB8">
      <w:pPr>
        <w:pStyle w:val="Bullet1"/>
        <w:rPr>
          <w:noProof/>
          <w:u w:color="000000"/>
          <w:bdr w:val="nil"/>
        </w:rPr>
      </w:pPr>
      <w:r>
        <w:rPr>
          <w:noProof/>
        </w:rPr>
        <w:t xml:space="preserve">požiūris į konkrečias teritorijas, įskaitant tvarią miestų plėtrą, taip pat atokiausius regionus. </w:t>
      </w:r>
    </w:p>
    <w:p w:rsidR="00355A4E" w:rsidRDefault="005F0DB8">
      <w:pPr>
        <w:keepNext/>
        <w:spacing w:before="240"/>
        <w:rPr>
          <w:rFonts w:eastAsia="Arial Unicode MS"/>
          <w:b/>
          <w:noProof/>
          <w:color w:val="000000"/>
          <w:szCs w:val="24"/>
          <w:u w:color="000000"/>
          <w:bdr w:val="nil"/>
        </w:rPr>
      </w:pPr>
      <w:r>
        <w:rPr>
          <w:b/>
          <w:noProof/>
          <w:color w:val="000000"/>
          <w:u w:color="000000"/>
          <w:bdr w:val="nil"/>
        </w:rPr>
        <w:t>I skyrius. Bendros nuostatos</w:t>
      </w:r>
    </w:p>
    <w:p w:rsidR="00355A4E" w:rsidRDefault="005F0DB8">
      <w:pPr>
        <w:keepNext/>
        <w:rPr>
          <w:rFonts w:eastAsia="Arial Unicode MS"/>
          <w:b/>
          <w:noProof/>
          <w:color w:val="000000"/>
          <w:szCs w:val="24"/>
          <w:u w:color="000000"/>
          <w:bdr w:val="nil"/>
        </w:rPr>
      </w:pPr>
      <w:r>
        <w:rPr>
          <w:b/>
          <w:noProof/>
          <w:color w:val="000000"/>
          <w:u w:color="000000"/>
          <w:bdr w:val="nil"/>
        </w:rPr>
        <w:t>Intervencijos metodas</w:t>
      </w:r>
    </w:p>
    <w:p w:rsidR="00355A4E" w:rsidRDefault="005F0DB8">
      <w:pPr>
        <w:rPr>
          <w:rFonts w:eastAsia="Arial Unicode MS"/>
          <w:noProof/>
          <w:color w:val="000000"/>
          <w:szCs w:val="24"/>
          <w:u w:color="000000"/>
          <w:bdr w:val="nil"/>
        </w:rPr>
      </w:pPr>
      <w:r>
        <w:rPr>
          <w:noProof/>
          <w:color w:val="000000"/>
          <w:u w:color="000000"/>
          <w:bdr w:val="nil"/>
        </w:rPr>
        <w:t>ERPF ir Sanglaudos fondo</w:t>
      </w:r>
      <w:r>
        <w:rPr>
          <w:noProof/>
          <w:color w:val="000000"/>
          <w:u w:color="000000"/>
          <w:bdr w:val="nil"/>
        </w:rPr>
        <w:t xml:space="preserve"> reglamente perimami Bendrų nuostatų reglamente nustatyti politikos tikslai ir jie išplėtojami į konkrečius tikslus, kurie yra svarbūs ERPF ir Sanglaudos fondui ir kurių siekimo pažangą galima stebėti naudojant atitinkamus rodiklius.</w:t>
      </w:r>
    </w:p>
    <w:p w:rsidR="00355A4E" w:rsidRDefault="005F0DB8">
      <w:pPr>
        <w:rPr>
          <w:rFonts w:eastAsia="Arial Unicode MS"/>
          <w:noProof/>
          <w:color w:val="000000"/>
          <w:szCs w:val="24"/>
          <w:u w:color="000000"/>
          <w:bdr w:val="nil"/>
        </w:rPr>
      </w:pPr>
      <w:r>
        <w:rPr>
          <w:noProof/>
          <w:color w:val="000000"/>
          <w:u w:color="000000"/>
          <w:bdr w:val="nil"/>
        </w:rPr>
        <w:t>Jame taip pat apibrėžt</w:t>
      </w:r>
      <w:r>
        <w:rPr>
          <w:noProof/>
          <w:color w:val="000000"/>
          <w:u w:color="000000"/>
          <w:bdr w:val="nil"/>
        </w:rPr>
        <w:t>as netinkamos finansuoti veiklos, kuri nepatenka į šių fondų intervencinių veiksmų taikymo sritį, baigtinis sąrašas. Fondų taikymo srities ir netinkamos finansuoti veiklos sąrašo nustatymu siekiama užtikrinti, kad parama investicijoms atitiktų vertinimo re</w:t>
      </w:r>
      <w:r>
        <w:rPr>
          <w:noProof/>
          <w:color w:val="000000"/>
          <w:u w:color="000000"/>
          <w:bdr w:val="nil"/>
        </w:rPr>
        <w:t>zultatus ir Europos Sąjungos politinius bei tvarumo tikslus – parama nebus skiriama sąvartynams, oro uostų infrastruktūrai, tabako pramonei ir branduolinės energetikos objektų eksploatacijos nutraukimui.</w:t>
      </w:r>
    </w:p>
    <w:p w:rsidR="00355A4E" w:rsidRDefault="005F0DB8">
      <w:pPr>
        <w:rPr>
          <w:rFonts w:eastAsia="Arial Unicode MS"/>
          <w:b/>
          <w:noProof/>
          <w:color w:val="000000"/>
          <w:szCs w:val="24"/>
          <w:u w:color="000000"/>
          <w:bdr w:val="nil"/>
        </w:rPr>
      </w:pPr>
      <w:r>
        <w:rPr>
          <w:b/>
          <w:noProof/>
          <w:color w:val="000000"/>
          <w:u w:color="000000"/>
          <w:bdr w:val="nil"/>
        </w:rPr>
        <w:t>Paramos telkimas pagal temas</w:t>
      </w:r>
    </w:p>
    <w:p w:rsidR="00355A4E" w:rsidRDefault="005F0DB8">
      <w:pPr>
        <w:rPr>
          <w:rFonts w:eastAsia="Arial Unicode MS"/>
          <w:noProof/>
          <w:color w:val="000000"/>
          <w:szCs w:val="24"/>
          <w:u w:color="000000"/>
          <w:bdr w:val="nil"/>
        </w:rPr>
      </w:pPr>
      <w:r>
        <w:rPr>
          <w:noProof/>
          <w:color w:val="000000"/>
          <w:u w:color="000000"/>
          <w:bdr w:val="nil"/>
        </w:rPr>
        <w:t>Siekiant užtikrinti, ka</w:t>
      </w:r>
      <w:r>
        <w:rPr>
          <w:noProof/>
          <w:color w:val="000000"/>
          <w:u w:color="000000"/>
          <w:bdr w:val="nil"/>
        </w:rPr>
        <w:t>d biudžeto išlaidų mažinimo aplinkybėmis būtų išlaikoma kritinė investicijų masė, ERPF ir Sanglaudos fondo reglamente išlieka nuostatos dėl paramos telkimo pagal temas reikalavimų. Didžioji lėšų dalis (65–85 proc.) bus sutelkta remti politikos tikslus (tol</w:t>
      </w:r>
      <w:r>
        <w:rPr>
          <w:noProof/>
          <w:color w:val="000000"/>
          <w:u w:color="000000"/>
          <w:bdr w:val="nil"/>
        </w:rPr>
        <w:t>iau – PT), kuriais, kaip rodo vertinimo rezultatai ir poveikio vertinimas, sukuriama didžiausia pridėtinė vertė ir kuriais daugiausia prisidedama prie ES prioritetų:</w:t>
      </w:r>
    </w:p>
    <w:p w:rsidR="00355A4E" w:rsidRDefault="005F0DB8">
      <w:pPr>
        <w:pStyle w:val="Bullet1"/>
        <w:numPr>
          <w:ilvl w:val="0"/>
          <w:numId w:val="18"/>
        </w:numPr>
        <w:rPr>
          <w:noProof/>
          <w:u w:color="000000"/>
          <w:bdr w:val="nil"/>
        </w:rPr>
      </w:pPr>
      <w:r>
        <w:rPr>
          <w:noProof/>
        </w:rPr>
        <w:t>1-asis PT – „pažangesnė Europa, skatinant novatorišką ir pažangią ekonomikos pertvarką“;</w:t>
      </w:r>
    </w:p>
    <w:p w:rsidR="00355A4E" w:rsidRDefault="005F0DB8">
      <w:pPr>
        <w:pStyle w:val="Bullet1"/>
        <w:numPr>
          <w:ilvl w:val="0"/>
          <w:numId w:val="18"/>
        </w:numPr>
        <w:rPr>
          <w:noProof/>
          <w:u w:color="000000"/>
          <w:bdr w:val="nil"/>
        </w:rPr>
      </w:pPr>
      <w:r>
        <w:rPr>
          <w:noProof/>
        </w:rPr>
        <w:t>2</w:t>
      </w:r>
      <w:r>
        <w:rPr>
          <w:noProof/>
        </w:rPr>
        <w:t>-asis PT – „žalesnė ir mažo anglies dioksido kiekio Europa, skatinant perėjimą prie švarios ir teisingos energetikos, žaliąsias ir mėlynąsias investicijas, žiedinę ekonomiką, prisitaikymą prie klimato kaitos ir rizikos prevenciją bei valdymą“.</w:t>
      </w:r>
    </w:p>
    <w:p w:rsidR="00355A4E" w:rsidRDefault="005F0DB8">
      <w:pPr>
        <w:rPr>
          <w:rFonts w:eastAsia="Arial Unicode MS"/>
          <w:noProof/>
          <w:color w:val="000000"/>
          <w:szCs w:val="24"/>
          <w:u w:color="000000"/>
          <w:bdr w:val="nil"/>
        </w:rPr>
      </w:pPr>
      <w:r>
        <w:rPr>
          <w:noProof/>
          <w:color w:val="000000"/>
          <w:u w:color="000000"/>
          <w:bdr w:val="nil"/>
        </w:rPr>
        <w:t>Siekiant užt</w:t>
      </w:r>
      <w:r>
        <w:rPr>
          <w:noProof/>
          <w:color w:val="000000"/>
          <w:u w:color="000000"/>
          <w:bdr w:val="nil"/>
        </w:rPr>
        <w:t>ikrinti lankstumą, paramos telkimo pagal temas kriterijai bus taikomi nacionaliniu lygmeniu.</w:t>
      </w:r>
    </w:p>
    <w:tbl>
      <w:tblPr>
        <w:tblStyle w:val="Lentelstinklelis"/>
        <w:tblW w:w="0" w:type="auto"/>
        <w:tblInd w:w="228" w:type="dxa"/>
        <w:tblLook w:val="04A0" w:firstRow="1" w:lastRow="0" w:firstColumn="1" w:lastColumn="0" w:noHBand="0" w:noVBand="1"/>
      </w:tblPr>
      <w:tblGrid>
        <w:gridCol w:w="2290"/>
        <w:gridCol w:w="2410"/>
        <w:gridCol w:w="3940"/>
      </w:tblGrid>
      <w:tr w:rsidR="00355A4E">
        <w:tc>
          <w:tcPr>
            <w:tcW w:w="2290" w:type="dxa"/>
          </w:tcPr>
          <w:p w:rsidR="00355A4E" w:rsidRDefault="005F0DB8">
            <w:pPr>
              <w:spacing w:before="60" w:after="60"/>
              <w:rPr>
                <w:rFonts w:eastAsia="Arial Unicode MS"/>
                <w:noProof/>
                <w:color w:val="000000"/>
                <w:szCs w:val="24"/>
                <w:u w:color="000000"/>
                <w:bdr w:val="nil"/>
              </w:rPr>
            </w:pPr>
            <w:r>
              <w:rPr>
                <w:b/>
                <w:noProof/>
                <w:color w:val="000000"/>
                <w:u w:color="000000"/>
                <w:bdr w:val="nil"/>
              </w:rPr>
              <w:t xml:space="preserve">Šalims, kurių: </w:t>
            </w:r>
          </w:p>
        </w:tc>
        <w:tc>
          <w:tcPr>
            <w:tcW w:w="2410" w:type="dxa"/>
          </w:tcPr>
          <w:p w:rsidR="00355A4E" w:rsidRDefault="005F0DB8">
            <w:pPr>
              <w:spacing w:before="60" w:after="60"/>
              <w:rPr>
                <w:rFonts w:eastAsia="Arial Unicode MS"/>
                <w:noProof/>
                <w:color w:val="000000"/>
                <w:szCs w:val="24"/>
                <w:u w:color="000000"/>
                <w:bdr w:val="nil"/>
              </w:rPr>
            </w:pPr>
            <w:r>
              <w:rPr>
                <w:b/>
                <w:noProof/>
                <w:color w:val="000000"/>
                <w:u w:color="000000"/>
                <w:bdr w:val="nil"/>
              </w:rPr>
              <w:t>mažiausia 1-ajam PT skiriama lėšų dalis proc.</w:t>
            </w:r>
          </w:p>
        </w:tc>
        <w:tc>
          <w:tcPr>
            <w:tcW w:w="3940" w:type="dxa"/>
          </w:tcPr>
          <w:p w:rsidR="00355A4E" w:rsidRDefault="005F0DB8">
            <w:pPr>
              <w:spacing w:before="60" w:after="60"/>
              <w:rPr>
                <w:rFonts w:eastAsia="Arial Unicode MS"/>
                <w:noProof/>
                <w:color w:val="000000"/>
                <w:szCs w:val="24"/>
                <w:u w:color="000000"/>
                <w:bdr w:val="nil"/>
              </w:rPr>
            </w:pPr>
            <w:r>
              <w:rPr>
                <w:b/>
                <w:noProof/>
                <w:color w:val="000000"/>
                <w:u w:color="000000"/>
                <w:bdr w:val="nil"/>
              </w:rPr>
              <w:t>mažiausia 2-ajam PT skiriama lėšų dalis proc.</w:t>
            </w:r>
          </w:p>
        </w:tc>
      </w:tr>
      <w:tr w:rsidR="00355A4E">
        <w:tc>
          <w:tcPr>
            <w:tcW w:w="2290" w:type="dxa"/>
          </w:tcPr>
          <w:p w:rsidR="00355A4E" w:rsidRDefault="005F0DB8">
            <w:pPr>
              <w:spacing w:before="60" w:after="60"/>
              <w:rPr>
                <w:rFonts w:eastAsia="Arial Unicode MS"/>
                <w:noProof/>
                <w:color w:val="000000"/>
                <w:szCs w:val="24"/>
                <w:u w:color="000000"/>
                <w:bdr w:val="nil"/>
              </w:rPr>
            </w:pPr>
            <w:r>
              <w:rPr>
                <w:noProof/>
                <w:color w:val="000000"/>
                <w:u w:color="000000"/>
                <w:bdr w:val="nil"/>
              </w:rPr>
              <w:t xml:space="preserve">bendrosios nacionalinės pajamos (toliau – BNPj) </w:t>
            </w:r>
            <w:r>
              <w:rPr>
                <w:noProof/>
                <w:color w:val="000000"/>
                <w:u w:color="000000"/>
                <w:bdr w:val="nil"/>
              </w:rPr>
              <w:t>mažesnės nei 75 proc.</w:t>
            </w:r>
          </w:p>
        </w:tc>
        <w:tc>
          <w:tcPr>
            <w:tcW w:w="2410" w:type="dxa"/>
          </w:tcPr>
          <w:p w:rsidR="00355A4E" w:rsidRDefault="005F0DB8">
            <w:pPr>
              <w:spacing w:before="60" w:after="60"/>
              <w:rPr>
                <w:rFonts w:eastAsia="Arial Unicode MS"/>
                <w:noProof/>
                <w:color w:val="000000"/>
                <w:szCs w:val="24"/>
                <w:u w:color="000000"/>
                <w:bdr w:val="nil"/>
              </w:rPr>
            </w:pPr>
            <w:r>
              <w:rPr>
                <w:noProof/>
                <w:color w:val="000000"/>
                <w:u w:color="000000"/>
                <w:bdr w:val="nil"/>
              </w:rPr>
              <w:t>35 proc.</w:t>
            </w:r>
          </w:p>
        </w:tc>
        <w:tc>
          <w:tcPr>
            <w:tcW w:w="3940" w:type="dxa"/>
          </w:tcPr>
          <w:p w:rsidR="00355A4E" w:rsidRDefault="005F0DB8">
            <w:pPr>
              <w:spacing w:before="60" w:after="60"/>
              <w:rPr>
                <w:rFonts w:eastAsia="Arial Unicode MS"/>
                <w:noProof/>
                <w:color w:val="000000"/>
                <w:szCs w:val="24"/>
                <w:u w:color="000000"/>
                <w:bdr w:val="nil"/>
              </w:rPr>
            </w:pPr>
            <w:r>
              <w:rPr>
                <w:noProof/>
                <w:color w:val="000000"/>
                <w:u w:color="000000"/>
                <w:bdr w:val="nil"/>
              </w:rPr>
              <w:t>30 proc.</w:t>
            </w:r>
          </w:p>
        </w:tc>
      </w:tr>
      <w:tr w:rsidR="00355A4E">
        <w:tc>
          <w:tcPr>
            <w:tcW w:w="2290" w:type="dxa"/>
          </w:tcPr>
          <w:p w:rsidR="00355A4E" w:rsidRDefault="005F0DB8">
            <w:pPr>
              <w:spacing w:before="60" w:after="60"/>
              <w:rPr>
                <w:rFonts w:eastAsia="Arial Unicode MS"/>
                <w:noProof/>
                <w:color w:val="000000"/>
                <w:szCs w:val="24"/>
                <w:u w:color="000000"/>
                <w:bdr w:val="nil"/>
              </w:rPr>
            </w:pPr>
            <w:r>
              <w:rPr>
                <w:noProof/>
                <w:color w:val="000000"/>
                <w:u w:color="000000"/>
                <w:bdr w:val="nil"/>
              </w:rPr>
              <w:t>BNPj 75–100 proc.</w:t>
            </w:r>
          </w:p>
        </w:tc>
        <w:tc>
          <w:tcPr>
            <w:tcW w:w="2410" w:type="dxa"/>
          </w:tcPr>
          <w:p w:rsidR="00355A4E" w:rsidRDefault="005F0DB8">
            <w:pPr>
              <w:spacing w:before="60" w:after="60"/>
              <w:rPr>
                <w:rFonts w:eastAsia="Arial Unicode MS"/>
                <w:noProof/>
                <w:color w:val="000000"/>
                <w:szCs w:val="24"/>
                <w:u w:color="000000"/>
                <w:bdr w:val="nil"/>
              </w:rPr>
            </w:pPr>
            <w:r>
              <w:rPr>
                <w:noProof/>
                <w:color w:val="000000"/>
                <w:u w:color="000000"/>
                <w:bdr w:val="nil"/>
              </w:rPr>
              <w:t>45 proc.</w:t>
            </w:r>
          </w:p>
        </w:tc>
        <w:tc>
          <w:tcPr>
            <w:tcW w:w="3940" w:type="dxa"/>
          </w:tcPr>
          <w:p w:rsidR="00355A4E" w:rsidRDefault="005F0DB8">
            <w:pPr>
              <w:spacing w:before="60" w:after="60"/>
              <w:rPr>
                <w:rFonts w:eastAsia="Arial Unicode MS"/>
                <w:noProof/>
                <w:color w:val="000000"/>
                <w:szCs w:val="24"/>
                <w:u w:color="000000"/>
                <w:bdr w:val="nil"/>
              </w:rPr>
            </w:pPr>
            <w:r>
              <w:rPr>
                <w:noProof/>
                <w:color w:val="000000"/>
                <w:u w:color="000000"/>
                <w:bdr w:val="nil"/>
              </w:rPr>
              <w:t>30 proc.</w:t>
            </w:r>
          </w:p>
        </w:tc>
      </w:tr>
      <w:tr w:rsidR="00355A4E">
        <w:tc>
          <w:tcPr>
            <w:tcW w:w="2290" w:type="dxa"/>
          </w:tcPr>
          <w:p w:rsidR="00355A4E" w:rsidRDefault="005F0DB8">
            <w:pPr>
              <w:spacing w:before="60" w:after="60"/>
              <w:rPr>
                <w:rFonts w:eastAsia="Arial Unicode MS"/>
                <w:noProof/>
                <w:color w:val="000000"/>
                <w:szCs w:val="24"/>
                <w:u w:color="000000"/>
                <w:bdr w:val="nil"/>
              </w:rPr>
            </w:pPr>
            <w:r>
              <w:rPr>
                <w:noProof/>
                <w:color w:val="000000"/>
                <w:u w:color="000000"/>
                <w:bdr w:val="nil"/>
              </w:rPr>
              <w:t>BNPj didesnės nei 100 proc.</w:t>
            </w:r>
          </w:p>
        </w:tc>
        <w:tc>
          <w:tcPr>
            <w:tcW w:w="2410" w:type="dxa"/>
          </w:tcPr>
          <w:p w:rsidR="00355A4E" w:rsidRDefault="005F0DB8">
            <w:pPr>
              <w:spacing w:before="60" w:after="60"/>
              <w:rPr>
                <w:rFonts w:eastAsia="Arial Unicode MS"/>
                <w:noProof/>
                <w:color w:val="000000"/>
                <w:szCs w:val="24"/>
                <w:u w:color="000000"/>
                <w:bdr w:val="nil"/>
              </w:rPr>
            </w:pPr>
            <w:r>
              <w:rPr>
                <w:noProof/>
                <w:color w:val="000000"/>
                <w:u w:color="000000"/>
                <w:bdr w:val="nil"/>
              </w:rPr>
              <w:t>60 proc.</w:t>
            </w:r>
          </w:p>
        </w:tc>
        <w:tc>
          <w:tcPr>
            <w:tcW w:w="3940" w:type="dxa"/>
          </w:tcPr>
          <w:p w:rsidR="00355A4E" w:rsidRDefault="005F0DB8">
            <w:pPr>
              <w:spacing w:before="60" w:after="60"/>
              <w:rPr>
                <w:rFonts w:eastAsia="Arial Unicode MS"/>
                <w:bCs/>
                <w:noProof/>
                <w:color w:val="000000"/>
                <w:szCs w:val="24"/>
                <w:u w:color="000000"/>
                <w:bdr w:val="nil"/>
              </w:rPr>
            </w:pPr>
            <w:r>
              <w:rPr>
                <w:noProof/>
                <w:color w:val="000000"/>
                <w:u w:color="000000"/>
                <w:bdr w:val="nil"/>
              </w:rPr>
              <w:t>netaikoma</w:t>
            </w:r>
          </w:p>
          <w:p w:rsidR="00355A4E" w:rsidRDefault="005F0DB8">
            <w:pPr>
              <w:spacing w:before="60" w:after="60"/>
              <w:rPr>
                <w:rFonts w:eastAsia="Arial Unicode MS"/>
                <w:i/>
                <w:noProof/>
                <w:color w:val="000000"/>
                <w:szCs w:val="24"/>
                <w:u w:color="000000"/>
                <w:bdr w:val="nil"/>
              </w:rPr>
            </w:pPr>
            <w:r>
              <w:rPr>
                <w:i/>
                <w:noProof/>
                <w:color w:val="000000"/>
                <w:u w:color="000000"/>
                <w:bdr w:val="nil"/>
              </w:rPr>
              <w:t>1-ajam PT ir 2-ajam PT mažiausiai 85 proc.</w:t>
            </w:r>
          </w:p>
        </w:tc>
      </w:tr>
    </w:tbl>
    <w:p w:rsidR="00355A4E" w:rsidRDefault="005F0DB8">
      <w:pPr>
        <w:rPr>
          <w:rFonts w:eastAsia="Arial Unicode MS"/>
          <w:b/>
          <w:noProof/>
          <w:color w:val="000000"/>
          <w:szCs w:val="24"/>
          <w:u w:color="000000"/>
          <w:bdr w:val="nil"/>
        </w:rPr>
      </w:pPr>
      <w:r>
        <w:rPr>
          <w:b/>
          <w:noProof/>
          <w:color w:val="000000"/>
          <w:u w:color="000000"/>
          <w:bdr w:val="nil"/>
        </w:rPr>
        <w:t>Rodikliai</w:t>
      </w:r>
    </w:p>
    <w:p w:rsidR="00355A4E" w:rsidRDefault="005F0DB8">
      <w:pPr>
        <w:rPr>
          <w:rFonts w:eastAsia="Arial Unicode MS"/>
          <w:noProof/>
          <w:color w:val="000000"/>
          <w:szCs w:val="24"/>
          <w:u w:color="000000"/>
          <w:bdr w:val="nil"/>
        </w:rPr>
      </w:pPr>
      <w:r>
        <w:rPr>
          <w:noProof/>
          <w:color w:val="000000"/>
          <w:u w:color="000000"/>
          <w:bdr w:val="nil"/>
        </w:rPr>
        <w:t xml:space="preserve">Siekiant užtikrinti nuoseklią pažangos siekiant veiklos rezultatų stebėseną, </w:t>
      </w:r>
      <w:r>
        <w:rPr>
          <w:noProof/>
          <w:color w:val="000000"/>
          <w:u w:color="000000"/>
          <w:bdr w:val="nil"/>
        </w:rPr>
        <w:t>reglamente taip pat paliekamas ir patobulinamas bendrųjų produkto rodiklių rinkinys, jį pirmą kartą papildant bendru rezultatų rodiklių rinkiniu. Pastaraisiais rodikliais sudaroma galimybė teikti rezultatų ataskaitas realiuoju laiku atviroje duomenų platfo</w:t>
      </w:r>
      <w:r>
        <w:rPr>
          <w:noProof/>
          <w:color w:val="000000"/>
          <w:u w:color="000000"/>
          <w:bdr w:val="nil"/>
        </w:rPr>
        <w:t>rmoje ir palyginti skirtingų programų ir valstybių narių tarpusavio rezultatus. Jie taip pat bus panaudoti aptariant veiklos rezultatus ir sėkmingus vertinimus ir suteiks galimybę sekti, kaip vykdomi su ES teisės aktais susiję įsipareigojimai.</w:t>
      </w:r>
    </w:p>
    <w:p w:rsidR="00355A4E" w:rsidRDefault="005F0DB8">
      <w:pPr>
        <w:rPr>
          <w:rFonts w:eastAsia="Arial Unicode MS"/>
          <w:noProof/>
          <w:color w:val="000000"/>
          <w:szCs w:val="24"/>
          <w:u w:color="000000"/>
          <w:bdr w:val="nil"/>
        </w:rPr>
      </w:pPr>
      <w:r>
        <w:rPr>
          <w:noProof/>
        </w:rPr>
        <w:t>Vertinimai b</w:t>
      </w:r>
      <w:r>
        <w:rPr>
          <w:noProof/>
        </w:rPr>
        <w:t>us atliekami pagal 2016 m. balandžio 13 d. Tarpinstitucinio susitarimo</w:t>
      </w:r>
      <w:r>
        <w:rPr>
          <w:rStyle w:val="Puslapioinaosnuoroda"/>
          <w:noProof/>
        </w:rPr>
        <w:footnoteReference w:id="12"/>
      </w:r>
      <w:r>
        <w:rPr>
          <w:noProof/>
        </w:rPr>
        <w:t xml:space="preserve"> 22 ir 23 punktus, kuriuose trys institucijos patvirtino, kad galiojančių teisės aktų ir vykdomos politikos vertinimai turėtų būti tolesnių veiksmų pasirinkimo poveikio vertinimų pagrin</w:t>
      </w:r>
      <w:r>
        <w:rPr>
          <w:noProof/>
        </w:rPr>
        <w:t>das. Vertinimuose bus įvertintas programos vietos poveikis remiantis programos rodikliais ir siektinomis reikšmėmis, taip pat išsamia programos svarbos, rezultatyvumo, veiksmingumo, ES pridėtinės vertės ir suderinamumo su kitomis ES politikos sritimis anal</w:t>
      </w:r>
      <w:r>
        <w:rPr>
          <w:noProof/>
        </w:rPr>
        <w:t>ize. Bus vertinama įgyta patirtis, problemos ir galimybės toliau tobulinti veiksmus ir jų poveikį.</w:t>
      </w:r>
    </w:p>
    <w:p w:rsidR="00355A4E" w:rsidRDefault="005F0DB8">
      <w:pPr>
        <w:spacing w:before="240"/>
        <w:rPr>
          <w:rFonts w:eastAsia="Arial Unicode MS"/>
          <w:b/>
          <w:noProof/>
          <w:color w:val="000000"/>
          <w:szCs w:val="24"/>
          <w:u w:color="000000"/>
          <w:bdr w:val="nil"/>
        </w:rPr>
      </w:pPr>
      <w:r>
        <w:rPr>
          <w:b/>
          <w:noProof/>
          <w:color w:val="000000"/>
          <w:u w:color="000000"/>
          <w:bdr w:val="nil"/>
        </w:rPr>
        <w:t>II skyrius. Konkrečios nuostatos dėl tam tikrų teritorinių aspektų</w:t>
      </w:r>
    </w:p>
    <w:p w:rsidR="00355A4E" w:rsidRDefault="005F0DB8">
      <w:pPr>
        <w:rPr>
          <w:rFonts w:eastAsia="Arial Unicode MS"/>
          <w:noProof/>
          <w:color w:val="000000"/>
          <w:szCs w:val="24"/>
          <w:u w:color="000000"/>
          <w:bdr w:val="nil"/>
        </w:rPr>
      </w:pPr>
      <w:r>
        <w:rPr>
          <w:noProof/>
          <w:color w:val="000000"/>
          <w:u w:color="000000"/>
          <w:bdr w:val="nil"/>
        </w:rPr>
        <w:t>Reglamentu taip pat sudaroma galimybė skirti daugiau dėmesio tvarios miestų plėtros tikslu</w:t>
      </w:r>
      <w:r>
        <w:rPr>
          <w:noProof/>
          <w:color w:val="000000"/>
          <w:u w:color="000000"/>
          <w:bdr w:val="nil"/>
        </w:rPr>
        <w:t>i skiriant šiai sričiai 6 proc. ERPF lėšų, teikiamų naudojant teritorines priemones. Tikimasi, kad integruotos teritorinės ir vietos plėtros strategijos padės užtikrinti intervencinių priemonių nuoseklumą. Siekiant palengvinti ir paremti dalyvaujančių subj</w:t>
      </w:r>
      <w:r>
        <w:rPr>
          <w:noProof/>
          <w:color w:val="000000"/>
          <w:u w:color="000000"/>
          <w:bdr w:val="nil"/>
        </w:rPr>
        <w:t>ektų pajėgumų stiprinimo veiklą, naujoviškus veiksmus, žinias, politikos kūrimą ir komunikacijos veiklą tvarios miestų plėtros srityje, reglamentu taip pat numatoma nustatyti Europos miestų iniciatyvą, kuriai vadovaus Europos Komisija.</w:t>
      </w:r>
    </w:p>
    <w:p w:rsidR="00355A4E" w:rsidRDefault="005F0DB8">
      <w:pPr>
        <w:rPr>
          <w:rFonts w:eastAsia="Arial Unicode MS"/>
          <w:noProof/>
          <w:color w:val="000000"/>
          <w:szCs w:val="24"/>
          <w:u w:color="000000"/>
          <w:bdr w:val="nil"/>
        </w:rPr>
      </w:pPr>
      <w:r>
        <w:rPr>
          <w:noProof/>
          <w:color w:val="000000"/>
          <w:u w:color="000000"/>
          <w:bdr w:val="nil"/>
        </w:rPr>
        <w:t>Visos miestų plėtros</w:t>
      </w:r>
      <w:r>
        <w:rPr>
          <w:noProof/>
          <w:color w:val="000000"/>
          <w:u w:color="000000"/>
          <w:bdr w:val="nil"/>
        </w:rPr>
        <w:t xml:space="preserve"> priemonės sujungiamos į vieną programą (Europos miestų iniciatyvą), įgyvendinamą taikant tiesioginio arba netiesioginio valdymo principą, siekiant sukurti nuoseklią miestams skirtą priemonę. Tai apima mainus, pajėgumų stiprinimą, bandomuosius veiksmus ir </w:t>
      </w:r>
      <w:r>
        <w:rPr>
          <w:noProof/>
          <w:color w:val="000000"/>
          <w:u w:color="000000"/>
          <w:bdr w:val="nil"/>
        </w:rPr>
        <w:t>komunikacijos veiklą.</w:t>
      </w:r>
    </w:p>
    <w:p w:rsidR="00355A4E" w:rsidRDefault="005F0DB8">
      <w:pPr>
        <w:rPr>
          <w:noProof/>
        </w:rPr>
      </w:pPr>
      <w:r>
        <w:rPr>
          <w:noProof/>
          <w:color w:val="000000"/>
          <w:u w:color="000000"/>
          <w:bdr w:val="nil"/>
        </w:rPr>
        <w:t>Reglamentu taip pat nustatomos specialios priemonės siekiant atsižvelgti į ypatingą atokiausių regionų padėtį. Jos apima schemas, kuriomis siekiama kompensuoti transporto ir investicijų išlaidas. Taip pat šiems regionams taikomi param</w:t>
      </w:r>
      <w:r>
        <w:rPr>
          <w:noProof/>
          <w:color w:val="000000"/>
          <w:u w:color="000000"/>
          <w:bdr w:val="nil"/>
        </w:rPr>
        <w:t>os telkimo pagal temas reikalavimai yra ne tokie griežti, palyginti su paramos normomis, kurios turėtų būti taikomos nacionaliniu lygmeniu.</w:t>
      </w:r>
    </w:p>
    <w:p w:rsidR="00355A4E" w:rsidRDefault="00355A4E">
      <w:pPr>
        <w:rPr>
          <w:noProof/>
        </w:rPr>
        <w:sectPr w:rsidR="00355A4E">
          <w:footerReference w:type="default" r:id="rId16"/>
          <w:footerReference w:type="first" r:id="rId17"/>
          <w:pgSz w:w="11907" w:h="16839"/>
          <w:pgMar w:top="1134" w:right="1417" w:bottom="1134" w:left="1417" w:header="709" w:footer="709" w:gutter="0"/>
          <w:cols w:space="708"/>
          <w:docGrid w:linePitch="360"/>
        </w:sectPr>
      </w:pPr>
    </w:p>
    <w:p w:rsidR="00355A4E" w:rsidRDefault="005F0DB8">
      <w:pPr>
        <w:pStyle w:val="Rfrenceinterinstitutionnelle"/>
        <w:rPr>
          <w:noProof/>
        </w:rPr>
      </w:pPr>
      <w:r>
        <w:rPr>
          <w:noProof/>
        </w:rPr>
        <w:t>2018/0197 (COD)</w:t>
      </w:r>
    </w:p>
    <w:p w:rsidR="00355A4E" w:rsidRDefault="005F0DB8">
      <w:pPr>
        <w:pStyle w:val="Statut"/>
        <w:rPr>
          <w:noProof/>
        </w:rPr>
      </w:pPr>
      <w:r>
        <w:rPr>
          <w:noProof/>
        </w:rPr>
        <w:t>Pasiūlymas</w:t>
      </w:r>
    </w:p>
    <w:p w:rsidR="00355A4E" w:rsidRDefault="005F0DB8">
      <w:pPr>
        <w:pStyle w:val="Typedudocument"/>
        <w:rPr>
          <w:noProof/>
        </w:rPr>
      </w:pPr>
      <w:r>
        <w:rPr>
          <w:noProof/>
        </w:rPr>
        <w:t xml:space="preserve">EUROPOS PARLAMENTO IR TARYBOS </w:t>
      </w:r>
      <w:r>
        <w:rPr>
          <w:noProof/>
        </w:rPr>
        <w:t>REGLAMENTAS</w:t>
      </w:r>
    </w:p>
    <w:p w:rsidR="00355A4E" w:rsidRDefault="005F0DB8">
      <w:pPr>
        <w:pStyle w:val="Titreobjet"/>
        <w:rPr>
          <w:noProof/>
        </w:rPr>
      </w:pPr>
      <w:r>
        <w:rPr>
          <w:noProof/>
        </w:rPr>
        <w:t>dėl Europos regioninės plėtros fondo ir Sanglaudos fondo</w:t>
      </w:r>
    </w:p>
    <w:p w:rsidR="00355A4E" w:rsidRDefault="005F0DB8">
      <w:pPr>
        <w:pStyle w:val="Institutionquiagit"/>
        <w:rPr>
          <w:noProof/>
        </w:rPr>
      </w:pPr>
      <w:r>
        <w:rPr>
          <w:noProof/>
        </w:rPr>
        <w:t>EUROPOS PARLAMENTAS IR EUROPOS SĄJUNGOS TARYBA,</w:t>
      </w:r>
    </w:p>
    <w:p w:rsidR="00355A4E" w:rsidRDefault="005F0DB8">
      <w:pPr>
        <w:rPr>
          <w:noProof/>
        </w:rPr>
      </w:pPr>
      <w:r>
        <w:rPr>
          <w:noProof/>
        </w:rPr>
        <w:t>atsižvelgdami į Sutartį dėl Europos Sąjungos veikimo, ypač į jos 177 straipsnio antrą pastraipą, 178 ir 349 straipsnius,</w:t>
      </w:r>
    </w:p>
    <w:p w:rsidR="00355A4E" w:rsidRDefault="005F0DB8">
      <w:pPr>
        <w:rPr>
          <w:noProof/>
        </w:rPr>
      </w:pPr>
      <w:r>
        <w:rPr>
          <w:noProof/>
        </w:rPr>
        <w:t>atsižvelgdami į Eu</w:t>
      </w:r>
      <w:r>
        <w:rPr>
          <w:noProof/>
        </w:rPr>
        <w:t>ropos Komisijos pasiūlymą,</w:t>
      </w:r>
    </w:p>
    <w:p w:rsidR="00355A4E" w:rsidRDefault="005F0DB8">
      <w:pPr>
        <w:rPr>
          <w:noProof/>
        </w:rPr>
      </w:pPr>
      <w:r>
        <w:rPr>
          <w:noProof/>
        </w:rPr>
        <w:t>teisėkūros procedūra priimamo akto projektą perdavus nacionaliniams parlamentams,</w:t>
      </w:r>
    </w:p>
    <w:p w:rsidR="00355A4E" w:rsidRDefault="005F0DB8">
      <w:pPr>
        <w:rPr>
          <w:noProof/>
        </w:rPr>
      </w:pPr>
      <w:r>
        <w:rPr>
          <w:noProof/>
        </w:rPr>
        <w:t>atsižvelgdami į Europos ekonomikos ir socialinių reikalų komiteto nuomonę</w:t>
      </w:r>
      <w:r>
        <w:rPr>
          <w:rStyle w:val="Puslapioinaosnuoroda"/>
          <w:noProof/>
        </w:rPr>
        <w:footnoteReference w:id="13"/>
      </w:r>
      <w:r>
        <w:rPr>
          <w:noProof/>
        </w:rPr>
        <w:t>,</w:t>
      </w:r>
    </w:p>
    <w:p w:rsidR="00355A4E" w:rsidRDefault="005F0DB8">
      <w:pPr>
        <w:rPr>
          <w:noProof/>
        </w:rPr>
      </w:pPr>
      <w:r>
        <w:rPr>
          <w:noProof/>
        </w:rPr>
        <w:t>atsižvelgdami į Regionų komiteto nuomonę</w:t>
      </w:r>
      <w:r>
        <w:rPr>
          <w:rStyle w:val="Puslapioinaosnuoroda"/>
          <w:noProof/>
        </w:rPr>
        <w:footnoteReference w:id="14"/>
      </w:r>
      <w:r>
        <w:rPr>
          <w:noProof/>
        </w:rPr>
        <w:t>,</w:t>
      </w:r>
    </w:p>
    <w:p w:rsidR="00355A4E" w:rsidRDefault="005F0DB8">
      <w:pPr>
        <w:rPr>
          <w:noProof/>
        </w:rPr>
      </w:pPr>
      <w:r>
        <w:rPr>
          <w:noProof/>
        </w:rPr>
        <w:t>laikydamiesi įprastos teisėk</w:t>
      </w:r>
      <w:r>
        <w:rPr>
          <w:noProof/>
        </w:rPr>
        <w:t>ūros procedūros,</w:t>
      </w:r>
    </w:p>
    <w:p w:rsidR="00355A4E" w:rsidRDefault="005F0DB8">
      <w:pPr>
        <w:rPr>
          <w:noProof/>
        </w:rPr>
      </w:pPr>
      <w:r>
        <w:rPr>
          <w:noProof/>
        </w:rPr>
        <w:t>kadangi:</w:t>
      </w:r>
    </w:p>
    <w:p w:rsidR="00355A4E" w:rsidRDefault="005F0DB8">
      <w:pPr>
        <w:pStyle w:val="ManualConsidrant"/>
        <w:rPr>
          <w:noProof/>
        </w:rPr>
      </w:pPr>
      <w:r>
        <w:rPr>
          <w:noProof/>
        </w:rPr>
        <w:t>(1)</w:t>
      </w:r>
      <w:r>
        <w:rPr>
          <w:noProof/>
        </w:rPr>
        <w:tab/>
        <w:t>Sutarties dėl Europos Sąjungos veikimo (toliau – SESV) 176 straipsnyje nustatyta, kad Europos regioninės plėtros fondo (toliau – ERPF) paskirtis – padėti ištaisyti pagrindinius Sąjungos regionų pusiausvyros sutrikimus. pagal t</w:t>
      </w:r>
      <w:r>
        <w:rPr>
          <w:noProof/>
        </w:rPr>
        <w:t>ą straipsnį ir SESV 174 straipsnio antrą ir trečią pastraipas ERPF turi padėti mažinti įvairių regionų išsivystymo skirtumus ir mažinti nepalankiausias sąlygas turinčių regionų atsilikimą, iš kurių ypatingą dėmesį reikia skirti didelių ir nuolatinių gamtin</w:t>
      </w:r>
      <w:r>
        <w:rPr>
          <w:noProof/>
        </w:rPr>
        <w:t>ių arba demografinių trūkumų turintiems regionams, pvz., labai retai apgyvendintiems toliausiai į šiaurę esantiems regionams ir saloms, pasienio ir kalnuotoms vietovėms;</w:t>
      </w:r>
    </w:p>
    <w:p w:rsidR="00355A4E" w:rsidRDefault="005F0DB8">
      <w:pPr>
        <w:pStyle w:val="ManualConsidrant"/>
        <w:rPr>
          <w:noProof/>
        </w:rPr>
      </w:pPr>
      <w:r>
        <w:rPr>
          <w:noProof/>
        </w:rPr>
        <w:t>(2)</w:t>
      </w:r>
      <w:r>
        <w:rPr>
          <w:noProof/>
        </w:rPr>
        <w:tab/>
        <w:t>Sanglaudos fondas sukurtas siekiant prisidėti prie bendro ekonominės, socialinės i</w:t>
      </w:r>
      <w:r>
        <w:rPr>
          <w:noProof/>
        </w:rPr>
        <w:t>r teritorinės Sąjungos sanglaudos stiprinimo tikslo teikiant finansinę paramą aplinkos apsaugos ir transeuropinių transporto tinklų (toliau – TEN-T) projektams transporto infrastruktūros srityje, kaip nustatyta Europos Parlamento ir Tarybos reglamente (ES)</w:t>
      </w:r>
      <w:r>
        <w:rPr>
          <w:noProof/>
        </w:rPr>
        <w:t> Nr. 1315/2013</w:t>
      </w:r>
      <w:r>
        <w:rPr>
          <w:rStyle w:val="Puslapioinaosnuoroda"/>
          <w:noProof/>
        </w:rPr>
        <w:footnoteReference w:id="15"/>
      </w:r>
      <w:r>
        <w:rPr>
          <w:noProof/>
        </w:rPr>
        <w:t>;</w:t>
      </w:r>
    </w:p>
    <w:p w:rsidR="00355A4E" w:rsidRDefault="005F0DB8">
      <w:pPr>
        <w:pStyle w:val="ManualConsidrant"/>
        <w:rPr>
          <w:noProof/>
        </w:rPr>
      </w:pPr>
      <w:r>
        <w:rPr>
          <w:noProof/>
        </w:rPr>
        <w:t>(3)</w:t>
      </w:r>
      <w:r>
        <w:rPr>
          <w:noProof/>
        </w:rPr>
        <w:tab/>
        <w:t>Europos Parlamento ir Tarybos reglamentu (ES) 2018/XXX [naujuoju BNR]</w:t>
      </w:r>
      <w:r>
        <w:rPr>
          <w:rStyle w:val="Puslapioinaosnuoroda"/>
          <w:noProof/>
        </w:rPr>
        <w:footnoteReference w:id="16"/>
      </w:r>
      <w:r>
        <w:rPr>
          <w:noProof/>
        </w:rPr>
        <w:t xml:space="preserve"> nustatomos bendros taisyklės, taikomos įvairiems fondams, įskaitant Europos regioninės plėtros fondą (ERPF), „Europos socialinį fondą plius“ (toliau – ESF+), Sangla</w:t>
      </w:r>
      <w:r>
        <w:rPr>
          <w:noProof/>
        </w:rPr>
        <w:t xml:space="preserve">udos fondą, Europos jūrų reikalų ir žuvininkystės fondą (toliau – EJRŽF), </w:t>
      </w:r>
      <w:r>
        <w:rPr>
          <w:rStyle w:val="Emfaz"/>
          <w:b w:val="0"/>
          <w:noProof/>
        </w:rPr>
        <w:t>Prieglobsčio ir migracijos fondą (toliau – PMIF), Vidaus saugumo fondą (toliau – VSF) ir Sienų valdymo ir vizų priemonę (toliau – SVVP)</w:t>
      </w:r>
      <w:r>
        <w:rPr>
          <w:noProof/>
        </w:rPr>
        <w:t>, kurių veiklos gairės pateiktos bendroje progr</w:t>
      </w:r>
      <w:r>
        <w:rPr>
          <w:noProof/>
        </w:rPr>
        <w:t>amoje (toliau – fondai);</w:t>
      </w:r>
    </w:p>
    <w:p w:rsidR="00355A4E" w:rsidRDefault="005F0DB8">
      <w:pPr>
        <w:pStyle w:val="ManualConsidrant"/>
        <w:rPr>
          <w:noProof/>
        </w:rPr>
      </w:pPr>
      <w:r>
        <w:rPr>
          <w:noProof/>
        </w:rPr>
        <w:t>(4)</w:t>
      </w:r>
      <w:r>
        <w:rPr>
          <w:noProof/>
        </w:rPr>
        <w:tab/>
        <w:t>siekiant supaprastinti taisykles, taikomas tiek ERPF, tiek Sanglaudos fondui 2014–2020 m. programavimo laikotarpiu, abiem fondams taikomos taisyklės turėtų būti nustatytos vienu reglamentu;</w:t>
      </w:r>
    </w:p>
    <w:p w:rsidR="00355A4E" w:rsidRDefault="005F0DB8">
      <w:pPr>
        <w:pStyle w:val="ManualConsidrant"/>
        <w:rPr>
          <w:noProof/>
        </w:rPr>
      </w:pPr>
      <w:r>
        <w:rPr>
          <w:noProof/>
        </w:rPr>
        <w:t>(5)</w:t>
      </w:r>
      <w:r>
        <w:rPr>
          <w:noProof/>
        </w:rPr>
        <w:tab/>
        <w:t>įgyvendinant ERPF ir Sanglaudos f</w:t>
      </w:r>
      <w:r>
        <w:rPr>
          <w:noProof/>
        </w:rPr>
        <w:t>ondo paramą turi būti laikomasi horizontaliųjų principų, nustatytų Europos Sąjungos sutarties (toliau – ES sutartis) 3 straipsnyje ir SESV 10 straipsnyje, įskaitant ES sutarties 5 straipsnyje nustatytus subsidiarumo ir proporcingumo principus, atsižvelgian</w:t>
      </w:r>
      <w:r>
        <w:rPr>
          <w:noProof/>
        </w:rPr>
        <w:t>t į Europos Sąjungos pagrindinių teisių chartiją. Valstybės narės taip pat turėtų laikytis JT neįgaliųjų teisių konvencijoje nustatytų prievolių ir užtikrinti prieinamumą, laikydamosi tos konvencijos 9 straipsnio ir Sąjungos teisės, kuria suderinami gamini</w:t>
      </w:r>
      <w:r>
        <w:rPr>
          <w:noProof/>
        </w:rPr>
        <w:t>ų ir paslaugų prieinamumo reikalavimai. Valstybės narės ir Komisija turėtų siekti šalinti vyrų ir moterų nelygybę ir skatinti jų lygybę, taip pat integruoti lyčių aspektą, kovoti su diskriminacija dėl lyties, rasinės ar etninės kilmės, religijos ar tikėjim</w:t>
      </w:r>
      <w:r>
        <w:rPr>
          <w:noProof/>
        </w:rPr>
        <w:t>o, negalios, amžiaus arba seksualinės orientacijos. Fondų lėšomis neturėtų būti remiami veiksmai, kuriais prisidedama prie bet kokios segregacijos. ERPF ir Sanglaudos fondo tikslų turėtų būti siekiama atsižvelgiant į darnų vystymąsi ir Sąjungos skatinamą s</w:t>
      </w:r>
      <w:r>
        <w:rPr>
          <w:noProof/>
        </w:rPr>
        <w:t>iekį išlaikyti, saugoti ir gerinti aplinkos kokybę, kaip nustatyta SESV 11 straipsnyje ir 191 straipsnio 1 dalyje, atsižvelgiant į principą „teršėjas moka“. Siekiant apsaugoti vidaus rinkos vientisumą, įmonėms naudingi veiksmai turi atitikti valstybės paga</w:t>
      </w:r>
      <w:r>
        <w:rPr>
          <w:noProof/>
        </w:rPr>
        <w:t>lbos taisykles, nustatytas SESV 107 ir 108 straipsniuose;</w:t>
      </w:r>
    </w:p>
    <w:p w:rsidR="00355A4E" w:rsidRDefault="005F0DB8">
      <w:pPr>
        <w:pStyle w:val="ManualConsidrant"/>
        <w:rPr>
          <w:noProof/>
        </w:rPr>
      </w:pPr>
      <w:r>
        <w:rPr>
          <w:noProof/>
        </w:rPr>
        <w:t>(6)</w:t>
      </w:r>
      <w:r>
        <w:rPr>
          <w:noProof/>
        </w:rPr>
        <w:tab/>
        <w:t>būtina įtraukti su ERPF susijusias nuostatas dėl ERPF paramos investicijų į darbo vietų kūrimą ir ekonomikos augimą tikslui ir Europos teritorinio bendradarbiavimo tikslui (INTERREG) (ETB / INTE</w:t>
      </w:r>
      <w:r>
        <w:rPr>
          <w:noProof/>
        </w:rPr>
        <w:t>RREG);</w:t>
      </w:r>
    </w:p>
    <w:p w:rsidR="00355A4E" w:rsidRDefault="005F0DB8">
      <w:pPr>
        <w:pStyle w:val="ManualConsidrant"/>
        <w:rPr>
          <w:noProof/>
        </w:rPr>
      </w:pPr>
      <w:r>
        <w:rPr>
          <w:noProof/>
        </w:rPr>
        <w:t>(7)</w:t>
      </w:r>
      <w:r>
        <w:rPr>
          <w:noProof/>
        </w:rPr>
        <w:tab/>
        <w:t xml:space="preserve">siekiant nustatyti veiklos rūšis, kurios gali būti remiamos ERPF ir Sanglaudos fondo lėšomis, turėtų būti nustatyti konkretūs šių fondų paramos teikimo politikos tikslai, siekiant užtikrinti, kad jų parama būtų prisidedama prie vieno ar daugiau </w:t>
      </w:r>
      <w:r>
        <w:rPr>
          <w:noProof/>
        </w:rPr>
        <w:t>Reglamento (ES) 2018/xxx [naujojo BNR] 4 straipsnio 1 dalyje nustatytų politikos tikslų;</w:t>
      </w:r>
    </w:p>
    <w:p w:rsidR="00355A4E" w:rsidRDefault="005F0DB8">
      <w:pPr>
        <w:pStyle w:val="ManualConsidrant"/>
        <w:rPr>
          <w:noProof/>
          <w:szCs w:val="24"/>
        </w:rPr>
      </w:pPr>
      <w:r>
        <w:rPr>
          <w:noProof/>
        </w:rPr>
        <w:t>(8)</w:t>
      </w:r>
      <w:r>
        <w:rPr>
          <w:noProof/>
        </w:rPr>
        <w:tab/>
        <w:t>vis labiau susietame pasaulyje ir dėl dinamiškų demografinių ir migracijos procesų akivaizdu, kad būtina laikytis bendro požiūrio į Sąjungos migracijos politiką, k</w:t>
      </w:r>
      <w:r>
        <w:rPr>
          <w:noProof/>
        </w:rPr>
        <w:t>uris būtų pagrįstas skirtingų finansavimo priemonių tarpusavio sąveika ir papildomumu. Siekiant užtikrinti darnią, tvirtą ir nuoseklią paramą valstybių narių tarpusavio solidarumo ir atsakomybės pasidalijimo pastangoms siekiant valdyti migraciją, ERPF para</w:t>
      </w:r>
      <w:r>
        <w:rPr>
          <w:noProof/>
        </w:rPr>
        <w:t>ma turėtų būti teikiama ilgalaikės migrantų integracijos lengvinimo priemonėms;</w:t>
      </w:r>
    </w:p>
    <w:p w:rsidR="00355A4E" w:rsidRDefault="005F0DB8">
      <w:pPr>
        <w:pStyle w:val="ManualConsidrant"/>
        <w:rPr>
          <w:noProof/>
        </w:rPr>
      </w:pPr>
      <w:r>
        <w:rPr>
          <w:noProof/>
        </w:rPr>
        <w:t>(9)</w:t>
      </w:r>
      <w:r>
        <w:rPr>
          <w:noProof/>
        </w:rPr>
        <w:tab/>
        <w:t>siekiant paremti valstybių narių ir regionų pastangas susiduriant su naujais iššūkiais ir užtikrinant aukštą saugumo lygį savo piliečiams ir radikalizacijos prevenciją, kar</w:t>
      </w:r>
      <w:r>
        <w:rPr>
          <w:noProof/>
        </w:rPr>
        <w:t>tu pasitelkiant tarpusavio sąveikos ir papildomumo su kitomis Sąjungos politikos sritimis principus, ERPF investicijomis turėtų būti prisidedama prie saugumo, pavyzdžiui, transporto ir energetikos srityse, kuriose būtina užtikrinti viešųjų erdvių ir ypatin</w:t>
      </w:r>
      <w:r>
        <w:rPr>
          <w:noProof/>
        </w:rPr>
        <w:t xml:space="preserve">gos svarbos infrastruktūros saugą ir saugumą; </w:t>
      </w:r>
    </w:p>
    <w:p w:rsidR="00355A4E" w:rsidRDefault="005F0DB8">
      <w:pPr>
        <w:pStyle w:val="ManualConsidrant"/>
        <w:rPr>
          <w:noProof/>
        </w:rPr>
      </w:pPr>
      <w:r>
        <w:rPr>
          <w:noProof/>
        </w:rPr>
        <w:t>(10)</w:t>
      </w:r>
      <w:r>
        <w:rPr>
          <w:noProof/>
        </w:rPr>
        <w:tab/>
        <w:t>be to, ERPF investicijomis turėtų būti prisidedama prie visuotinio sparčios skaitmeninės infrastruktūros tinklo kūrimo ir padedama skatinti švarų ir tvarų įvairiarūšį judumą miestuose;</w:t>
      </w:r>
    </w:p>
    <w:p w:rsidR="00355A4E" w:rsidRDefault="005F0DB8">
      <w:pPr>
        <w:pStyle w:val="ManualConsidrant"/>
        <w:rPr>
          <w:noProof/>
        </w:rPr>
      </w:pPr>
      <w:r>
        <w:rPr>
          <w:noProof/>
        </w:rPr>
        <w:t>(11)</w:t>
      </w:r>
      <w:r>
        <w:rPr>
          <w:noProof/>
        </w:rPr>
        <w:tab/>
        <w:t>dėl bendro SES</w:t>
      </w:r>
      <w:r>
        <w:rPr>
          <w:noProof/>
        </w:rPr>
        <w:t>V nustatyto Sanglaudos fondo tikslo būtina nustatyti ir apriboti konkrečius tikslus, kurie turėtų būti remiami Sanglaudos fondo lėšomis;</w:t>
      </w:r>
    </w:p>
    <w:p w:rsidR="00355A4E" w:rsidRDefault="005F0DB8">
      <w:pPr>
        <w:pStyle w:val="ManualConsidrant"/>
        <w:rPr>
          <w:noProof/>
        </w:rPr>
      </w:pPr>
      <w:r>
        <w:rPr>
          <w:noProof/>
        </w:rPr>
        <w:t>(12)</w:t>
      </w:r>
      <w:r>
        <w:rPr>
          <w:noProof/>
        </w:rPr>
        <w:tab/>
        <w:t>siekiant pagerinti bendrus institucijų administracinius gebėjimus ir valdymą valstybėse narėse, kuriose įgyvendina</w:t>
      </w:r>
      <w:r>
        <w:rPr>
          <w:noProof/>
        </w:rPr>
        <w:t>mos programos pagal investicijų į darbo vietų kūrimą ir ekonomikos augimą tikslą, būtina sudaryti galimybes taikyti paramos priemones pagal visus konkrečius tikslus;</w:t>
      </w:r>
    </w:p>
    <w:p w:rsidR="00355A4E" w:rsidRDefault="005F0DB8">
      <w:pPr>
        <w:pStyle w:val="ManualConsidrant"/>
        <w:rPr>
          <w:noProof/>
        </w:rPr>
      </w:pPr>
      <w:r>
        <w:rPr>
          <w:noProof/>
        </w:rPr>
        <w:t>(13)</w:t>
      </w:r>
      <w:r>
        <w:rPr>
          <w:noProof/>
        </w:rPr>
        <w:tab/>
        <w:t>siekiant skatinti ir sustiprinti pagal investicijų į darbo vietų kūrimą ir ekonomikos</w:t>
      </w:r>
      <w:r>
        <w:rPr>
          <w:noProof/>
        </w:rPr>
        <w:t xml:space="preserve"> augimą tikslą įgyvendinamų programų bendradarbiavimo priemones, būtina sustiprinti bendradarbiavimo tarp vienos konkrečios valstybės narės arba tarp skirtingų valstybių narių partnerių priemones, susijusias su pagal visus konkrečius tikslus teikiama param</w:t>
      </w:r>
      <w:r>
        <w:rPr>
          <w:noProof/>
        </w:rPr>
        <w:t>a. Tokiu sustiprintu bendradarbiavimu papildomas bendradarbiavimas pagal ETB / INTERREG tikslą ir juo visų pirma turėtų būti remiamas struktūrinių partnerysčių bendradarbiavimas siekiant įgyvendinti regionines strategijas, kaip nurodyta Komisijos komunikat</w:t>
      </w:r>
      <w:r>
        <w:rPr>
          <w:noProof/>
        </w:rPr>
        <w:t>e „Inovacijų stiprinimas Europos regionuose: atsparus, integracinis ir tvarus teritorinio lygmens ekonomikos augimas“</w:t>
      </w:r>
      <w:r>
        <w:rPr>
          <w:rStyle w:val="Puslapioinaosnuoroda"/>
          <w:noProof/>
        </w:rPr>
        <w:footnoteReference w:id="17"/>
      </w:r>
      <w:r>
        <w:rPr>
          <w:noProof/>
        </w:rPr>
        <w:t>. Todėl partneriai gali būti iš bet kurio Sąjungos regiono, įskaitant ir tarpvalstybinius regionus ir regionus, kuriems visiems taikoma ma</w:t>
      </w:r>
      <w:r>
        <w:rPr>
          <w:noProof/>
        </w:rPr>
        <w:t>kroregioninė arba jūrų baseinų strategija arba šių dviejų strategijų derinys;</w:t>
      </w:r>
    </w:p>
    <w:p w:rsidR="00355A4E" w:rsidRDefault="005F0DB8">
      <w:pPr>
        <w:pStyle w:val="ManualConsidrant"/>
        <w:rPr>
          <w:noProof/>
          <w:sz w:val="22"/>
        </w:rPr>
      </w:pPr>
      <w:r>
        <w:rPr>
          <w:noProof/>
        </w:rPr>
        <w:t>(14)</w:t>
      </w:r>
      <w:r>
        <w:rPr>
          <w:noProof/>
        </w:rPr>
        <w:tab/>
        <w:t xml:space="preserve">atsižvelgiant į kovos su klimato kaita svarbą, remiantis Sąjungos įsipareigojimais įgyvendinti Paryžiaus susitarimą ir Jungtinių Tautų darnaus vystymosi tikslus, fondai </w:t>
      </w:r>
      <w:r>
        <w:rPr>
          <w:noProof/>
        </w:rPr>
        <w:t>padės integruoti klimato politikos veiksmus ir siekti bendro tikslo 25 proc. ES biudžeto išlaidų skirti klimato srities tikslams siekti. Tikimasi, kad pagal ERPF vykdomi veiksmai, kuriais siekiama klimato srities tikslų, sudarys 30 proc. ERPF bendro finans</w:t>
      </w:r>
      <w:r>
        <w:rPr>
          <w:noProof/>
        </w:rPr>
        <w:t>inio paketo. Tikimasi, kad pagal Sanglaudos fondą vykdomi veiksmai, kuriais siekiama klimato srities tikslų, sudarys 37 proc. Sanglaudos fondo bendro finansinio paketo;</w:t>
      </w:r>
    </w:p>
    <w:p w:rsidR="00355A4E" w:rsidRDefault="005F0DB8">
      <w:pPr>
        <w:pStyle w:val="ManualConsidrant"/>
        <w:rPr>
          <w:noProof/>
        </w:rPr>
      </w:pPr>
      <w:r>
        <w:rPr>
          <w:noProof/>
        </w:rPr>
        <w:t>(15)</w:t>
      </w:r>
      <w:r>
        <w:rPr>
          <w:noProof/>
        </w:rPr>
        <w:tab/>
        <w:t>kad pagal ETB / INTERREG tikslą būtų galima ERPF lėšomis paremti investicijas į in</w:t>
      </w:r>
      <w:r>
        <w:rPr>
          <w:noProof/>
        </w:rPr>
        <w:t>frastruktūrą ir su jomis susijusias investicijas, taip pat mokymo ir integracijos veiklą, būtina nustatyti, kad ERPF lėšomis taip pat gali būti remiama veikla pagal Europos Parlamento ir Tarybos reglamentu (ES) [2018/XXX] [naujuoju ESF+ reglamentu]</w:t>
      </w:r>
      <w:r>
        <w:rPr>
          <w:rStyle w:val="Puslapioinaosnuoroda"/>
          <w:noProof/>
        </w:rPr>
        <w:footnoteReference w:id="18"/>
      </w:r>
      <w:r>
        <w:rPr>
          <w:noProof/>
        </w:rPr>
        <w:t xml:space="preserve"> įsteig</w:t>
      </w:r>
      <w:r>
        <w:rPr>
          <w:noProof/>
        </w:rPr>
        <w:t>to „Europos socialinio fondo plius“ konkrečius tikslus;</w:t>
      </w:r>
    </w:p>
    <w:p w:rsidR="00355A4E" w:rsidRDefault="005F0DB8">
      <w:pPr>
        <w:pStyle w:val="ManualConsidrant"/>
        <w:rPr>
          <w:noProof/>
        </w:rPr>
      </w:pPr>
      <w:r>
        <w:rPr>
          <w:noProof/>
        </w:rPr>
        <w:t>(16)</w:t>
      </w:r>
      <w:r>
        <w:rPr>
          <w:noProof/>
        </w:rPr>
        <w:tab/>
        <w:t>siekiant kuo veiksmingiau sutelkti ir panaudoti ribotas lėšas, ERPF parama gamybinėms investicijoms pagal atitinkamą konkretų tikslą turėtų būti teikiama tik labai mažoms, mažosioms ir vidutinėms</w:t>
      </w:r>
      <w:r>
        <w:rPr>
          <w:noProof/>
        </w:rPr>
        <w:t xml:space="preserve"> įmonėms (toliau – MVĮ), kaip apibrėžta Komisijos rekomendacijoje 2003/361/EB</w:t>
      </w:r>
      <w:r>
        <w:rPr>
          <w:rStyle w:val="Puslapioinaosnuoroda"/>
          <w:noProof/>
        </w:rPr>
        <w:footnoteReference w:id="19"/>
      </w:r>
      <w:r>
        <w:rPr>
          <w:noProof/>
        </w:rPr>
        <w:t>, išskyrus atvejus, kai investicijos yra susijusios su bendradarbiavimu su MVĮ mokslinių tyrimų ir inovacijų veiklos srityje;</w:t>
      </w:r>
    </w:p>
    <w:p w:rsidR="00355A4E" w:rsidRDefault="005F0DB8">
      <w:pPr>
        <w:pStyle w:val="ManualConsidrant"/>
        <w:rPr>
          <w:noProof/>
        </w:rPr>
      </w:pPr>
      <w:r>
        <w:rPr>
          <w:noProof/>
        </w:rPr>
        <w:t>(17)</w:t>
      </w:r>
      <w:r>
        <w:rPr>
          <w:noProof/>
        </w:rPr>
        <w:tab/>
        <w:t>ERPF turėtų padėti ištaisyti pagrindinius Sąjun</w:t>
      </w:r>
      <w:r>
        <w:rPr>
          <w:noProof/>
        </w:rPr>
        <w:t xml:space="preserve">gos regionų pusiausvyros sutrikimus ir sumažinti įvairių regionų plėtros lygio skirtumus ir nepalankiausias sąlygas turinčių regionų atsilikimą, įskaitant su problemomis dėl įsipareigojimų mažinti priklausomybę nuo iškastinio kuro susiduriančius regionus. </w:t>
      </w:r>
      <w:r>
        <w:rPr>
          <w:noProof/>
        </w:rPr>
        <w:t>Todėl ERPF parama pagal investicijų į darbo vietų kūrimą ir ekonomikos augimą tikslą turėtų būti sutelkta į svarbiausius Sąjungos prioritetus, atsižvelgiant į Reglamente (ES) 2018/xxx [naujajame BNR] nustatytus politikos tikslus. Taigi ERPF parama turėtų b</w:t>
      </w:r>
      <w:r>
        <w:rPr>
          <w:noProof/>
        </w:rPr>
        <w:t>ūti sutelkta į politikos tikslus „pažangesnė Europa, skatinant novatorišką ir pažangią ekonomikos pertvarką“ ir „žalesnė ir mažo anglies dioksido kiekio Europa, skatinant perėjimą prie švarios ir teisingos energetikos, žaliąsias ir mėlynąsias investicijas,</w:t>
      </w:r>
      <w:r>
        <w:rPr>
          <w:noProof/>
        </w:rPr>
        <w:t xml:space="preserve"> žiedinę ekonomiką, prisitaikymą prie klimato kaitos ir rizikos prevenciją bei valdymą“. Toks paramos sutelkimas pagal temas turėtų būti pasiektas nacionaliniu lygmeniu, kartu suteikiant lankstumo galimybę atskirų programų lygmeniu ir tarp trijų valstybių </w:t>
      </w:r>
      <w:r>
        <w:rPr>
          <w:noProof/>
        </w:rPr>
        <w:t xml:space="preserve">narių grupių, sudarytų atsižvelgiant į atitinkamas bendrąsias nacionalines pajamas. Be to, valstybių narių skirstymo į grupes metodika turėtų būti išsamiai nustatyta atsižvelgiant į ypatingą atokiausių regionų padėtį; </w:t>
      </w:r>
    </w:p>
    <w:p w:rsidR="00355A4E" w:rsidRDefault="005F0DB8">
      <w:pPr>
        <w:pStyle w:val="ManualConsidrant"/>
        <w:rPr>
          <w:noProof/>
        </w:rPr>
      </w:pPr>
      <w:r>
        <w:rPr>
          <w:noProof/>
        </w:rPr>
        <w:t>(18)</w:t>
      </w:r>
      <w:r>
        <w:rPr>
          <w:noProof/>
        </w:rPr>
        <w:tab/>
        <w:t>siekiant sutelkti paramą į svarb</w:t>
      </w:r>
      <w:r>
        <w:rPr>
          <w:noProof/>
        </w:rPr>
        <w:t>iausius Sąjungos prioritetus, taip pat tikslinga, kad būtų laikomasi paramos telkimo pagal temas reikalavimų per visą programavimo laikotarpį, įskaitant atvejus, kai lėšos perkeliamos tarp vienos programos ar programų prioritetų;</w:t>
      </w:r>
    </w:p>
    <w:p w:rsidR="00355A4E" w:rsidRDefault="005F0DB8">
      <w:pPr>
        <w:pStyle w:val="ManualConsidrant"/>
        <w:rPr>
          <w:noProof/>
        </w:rPr>
      </w:pPr>
      <w:r>
        <w:rPr>
          <w:noProof/>
        </w:rPr>
        <w:t>(19)</w:t>
      </w:r>
      <w:r>
        <w:rPr>
          <w:noProof/>
        </w:rPr>
        <w:tab/>
        <w:t>šiuo reglamentu turėt</w:t>
      </w:r>
      <w:r>
        <w:rPr>
          <w:noProof/>
        </w:rPr>
        <w:t>ų būti nustatytos skirtingos veiklos rūšys, kurių išlaidoms galima gauti ERPF ir Sanglaudos fondo paramą pagal atitinkamus SESV jiems nustatytus tikslus. Turėtų būti sudaryta galimybė Sanglaudos fondo lėšomis remti investicijas į aplinką ir į TEN-T. Atsižv</w:t>
      </w:r>
      <w:r>
        <w:rPr>
          <w:noProof/>
        </w:rPr>
        <w:t>elgiant į ERDF paramą, veiklos sąrašas turėtų būti supaprastintas ir turėtų būti numatyta galimybė remti investicijas į infrastruktūrą, su galimybe naudotis paslaugomis susijusias investicijas, gamybines investicijas į MVĮ, įrangą, programinę įrangą ir nem</w:t>
      </w:r>
      <w:r>
        <w:rPr>
          <w:noProof/>
        </w:rPr>
        <w:t>aterialųjį turtą, taip pat priemones, susijusias su informavimo, komunikacijos veikla, tyrimais, tinklaveika, bendradarbiavimu, patirties mainais, ir su klasteriais susijusią veiklą. Siekiant paremti programų įgyvendinimą, taip pat turėtų būti galimybė abi</w:t>
      </w:r>
      <w:r>
        <w:rPr>
          <w:noProof/>
        </w:rPr>
        <w:t>em fondais remti techninės paramos veiklą. Galiausiai, siekiant teikti paramą įvairesnėms intervencinėms priemonėms pagal INTERREG programas, paramos taikymo sritis turėtų būti išplėsta siekiant įtraukti ir dalijimąsi įvairiomis priemonėmis ir žmogiškaisia</w:t>
      </w:r>
      <w:r>
        <w:rPr>
          <w:noProof/>
        </w:rPr>
        <w:t xml:space="preserve">is ištekliais, taip pat išlaidas, susijusias su priemonėmis, įgyvendinamomis pagal ESF+ paramos taikymo sritį; </w:t>
      </w:r>
    </w:p>
    <w:p w:rsidR="00355A4E" w:rsidRDefault="005F0DB8">
      <w:pPr>
        <w:pStyle w:val="ManualConsidrant"/>
        <w:rPr>
          <w:noProof/>
        </w:rPr>
      </w:pPr>
      <w:r>
        <w:rPr>
          <w:noProof/>
        </w:rPr>
        <w:t>(20)</w:t>
      </w:r>
      <w:r>
        <w:rPr>
          <w:noProof/>
        </w:rPr>
        <w:tab/>
        <w:t>vadovaujantis Reglamentu (ES) Nr. 1316/2013 įgyvendinami transeuropinių transporto tinklų projektai ir toliau bus finansuojami pagal pasida</w:t>
      </w:r>
      <w:r>
        <w:rPr>
          <w:noProof/>
        </w:rPr>
        <w:t>lijamojo valdymo principą iš Sanglaudos fondo ir tiesioginio valdymo principą pagal Europos infrastruktūros tinklų priemonę (toliau – EITP);</w:t>
      </w:r>
    </w:p>
    <w:p w:rsidR="00355A4E" w:rsidRDefault="005F0DB8">
      <w:pPr>
        <w:pStyle w:val="ManualConsidrant"/>
        <w:rPr>
          <w:noProof/>
        </w:rPr>
      </w:pPr>
      <w:r>
        <w:rPr>
          <w:noProof/>
        </w:rPr>
        <w:t>(21)</w:t>
      </w:r>
      <w:r>
        <w:rPr>
          <w:noProof/>
        </w:rPr>
        <w:tab/>
        <w:t>taip pat svarbu paaiškinti tą veiklą, kuri nepriklauso ERPF ir Sanglaudos fondo paramos taikymo sričiai, įskai</w:t>
      </w:r>
      <w:r>
        <w:rPr>
          <w:noProof/>
        </w:rPr>
        <w:t>tant investicijas, kuriomis siekiama sumažinti išmetamą šiltnamio efektą sukeliančių dujų kiekį vykdant Europos Parlamento ir Tarybos direktyvos 2003/87/EB</w:t>
      </w:r>
      <w:r>
        <w:rPr>
          <w:rStyle w:val="Puslapioinaosnuoroda"/>
          <w:noProof/>
        </w:rPr>
        <w:footnoteReference w:id="20"/>
      </w:r>
      <w:r>
        <w:rPr>
          <w:noProof/>
        </w:rPr>
        <w:t xml:space="preserve"> I priede išvardytą veiklą, kad būtų išvengta galimo gauti finansavimo, kuris jau ir taip teikiamas </w:t>
      </w:r>
      <w:r>
        <w:rPr>
          <w:noProof/>
        </w:rPr>
        <w:t>įgyvendinant minėtą direktyvą, dubliavimo. Be to, turėtų būti aiškiai nustatyta, kad SESV II priede išvardytoms užjūrio šalims ir teritorijoms negali būti teikiama ERPF ir Sanglaudos fondų parama;</w:t>
      </w:r>
    </w:p>
    <w:p w:rsidR="00355A4E" w:rsidRDefault="005F0DB8">
      <w:pPr>
        <w:pStyle w:val="ManualConsidrant"/>
        <w:rPr>
          <w:noProof/>
        </w:rPr>
      </w:pPr>
      <w:r>
        <w:rPr>
          <w:noProof/>
        </w:rPr>
        <w:t>(22)</w:t>
      </w:r>
      <w:r>
        <w:rPr>
          <w:noProof/>
        </w:rPr>
        <w:tab/>
        <w:t xml:space="preserve">valstybės narės turėtų reguliariai perduoti Komisijai </w:t>
      </w:r>
      <w:r>
        <w:rPr>
          <w:noProof/>
        </w:rPr>
        <w:t>informaciją apie pažangą, padarytą taikant I priede nustatytus bendruosius produkto ir rezultato rodiklius. Bendrieji produkto ir rezultato rodikliai prireikus galėtų būti papildyti konkrečios programos produkto ir rezultato rodikliais. Valstybių narių pat</w:t>
      </w:r>
      <w:r>
        <w:rPr>
          <w:noProof/>
        </w:rPr>
        <w:t>eikta informacija turėtų būti pagrindas, kuriuo remdamasi Komisija turėtų teikti konkrečių tikslų įgyvendinimo visu programavimo laikotarpiu pažangos ataskaitą, tuo tikslu naudodamasi II priede nurodytų pagrindinių rodiklių rinkiniu;</w:t>
      </w:r>
    </w:p>
    <w:p w:rsidR="00355A4E" w:rsidRDefault="005F0DB8">
      <w:pPr>
        <w:pStyle w:val="ManualConsidrant"/>
        <w:rPr>
          <w:noProof/>
        </w:rPr>
      </w:pPr>
      <w:r>
        <w:rPr>
          <w:noProof/>
        </w:rPr>
        <w:t>(23)</w:t>
      </w:r>
      <w:r>
        <w:rPr>
          <w:noProof/>
        </w:rPr>
        <w:tab/>
        <w:t>vadovaujantis 201</w:t>
      </w:r>
      <w:r>
        <w:rPr>
          <w:noProof/>
        </w:rPr>
        <w:t>6 m. balandžio 13 d. Tarpinstitucinio susitarimo dėl geresnės teisėkūros 22 ir 23 punktais, reikia įvertinti fondus remiantis informacija, surinkta taikant konkrečius stebėsenos reikalavimus, kartu išvengiant pernelyg didelio reglamentavimo ir administraci</w:t>
      </w:r>
      <w:r>
        <w:rPr>
          <w:noProof/>
        </w:rPr>
        <w:t xml:space="preserve">nės naštos, visų pirma tenkančios valstybėms narėms. Prireikus šie reikalavimai gali apimti išmatuojamus rodiklius, kuriais gali būti remiamasi vertinant fondų poveikį vietoje; </w:t>
      </w:r>
    </w:p>
    <w:p w:rsidR="00355A4E" w:rsidRDefault="005F0DB8">
      <w:pPr>
        <w:pStyle w:val="ManualConsidrant"/>
        <w:rPr>
          <w:noProof/>
        </w:rPr>
      </w:pPr>
      <w:r>
        <w:rPr>
          <w:noProof/>
        </w:rPr>
        <w:t>(24)</w:t>
      </w:r>
      <w:r>
        <w:rPr>
          <w:noProof/>
        </w:rPr>
        <w:tab/>
        <w:t>siekiant kuo labiau prisidėti prie teritorinės plėtros, šioje srityje įgy</w:t>
      </w:r>
      <w:r>
        <w:rPr>
          <w:noProof/>
        </w:rPr>
        <w:t>vendinami veiksmai turėtų būti grindžiami integruotomis teritorinėmis strategijomis, įskaitant veiksmus miestų vietovėse. Todėl ERPF parama turėtų būti teikiama Reglamento (ES) 2018/xxxx [naujojo BNR] 22 straipsnyje nustatytais būdais, kuriais užtikrinamas</w:t>
      </w:r>
      <w:r>
        <w:rPr>
          <w:noProof/>
        </w:rPr>
        <w:t xml:space="preserve"> tinkamas vietos, regioninių ir miestų institucijų dalyvavimas;</w:t>
      </w:r>
    </w:p>
    <w:p w:rsidR="00355A4E" w:rsidRDefault="005F0DB8">
      <w:pPr>
        <w:pStyle w:val="ManualConsidrant"/>
        <w:rPr>
          <w:noProof/>
        </w:rPr>
      </w:pPr>
      <w:r>
        <w:rPr>
          <w:noProof/>
        </w:rPr>
        <w:t>(25)</w:t>
      </w:r>
      <w:r>
        <w:rPr>
          <w:noProof/>
        </w:rPr>
        <w:tab/>
        <w:t>atsižvelgiant į tvarią miestų plėtrą manoma, kad būtina remti integruotą teritorijų vystymą siekiant veiksmingiau spręsti miestų vietovėms, įskaitant funkcines miestų zonas, poveikį daran</w:t>
      </w:r>
      <w:r>
        <w:rPr>
          <w:noProof/>
        </w:rPr>
        <w:t>čias ekonomikos, aplinkos, klimato, demografines ir socialines problemas, kartu atsižvelgiant į poreikį skatinti miesto ir kaimo ryšius. Miestų vietovių, kuriose turi būti įgyvendinami integruotieji tvarios miestų plėtros veiksmai, atrankos principai ir or</w:t>
      </w:r>
      <w:r>
        <w:rPr>
          <w:noProof/>
        </w:rPr>
        <w:t>ientacinės tiems veiksmams skiriamos sumos turėtų būti nustatyti pagal investicijų į darbo vietų kūrimą ir ekonomikos augimą tikslą įgyvendinamose programose, tuo tikslu nacionaliniu lygmeniu skiriant mažiausiai 6 proc. ERPF lėšų. Taip pat turėtų būti nust</w:t>
      </w:r>
      <w:r>
        <w:rPr>
          <w:noProof/>
        </w:rPr>
        <w:t>atyta, kad šios procentinės lėšų dalies turėtų būti laikomasi visu programavimo laikotarpiu, jeigu lėšos perkeliamos tarp vienos programos ar programų prioritetų, įskaitant ir per laikotarpio vidurio peržiūrą;</w:t>
      </w:r>
    </w:p>
    <w:p w:rsidR="00355A4E" w:rsidRDefault="005F0DB8">
      <w:pPr>
        <w:pStyle w:val="ManualConsidrant"/>
        <w:rPr>
          <w:noProof/>
        </w:rPr>
      </w:pPr>
      <w:r>
        <w:rPr>
          <w:noProof/>
        </w:rPr>
        <w:t>(26)</w:t>
      </w:r>
      <w:r>
        <w:rPr>
          <w:noProof/>
        </w:rPr>
        <w:tab/>
        <w:t>siekiant Sąjungos lygmeniu nustatyti arba</w:t>
      </w:r>
      <w:r>
        <w:rPr>
          <w:noProof/>
        </w:rPr>
        <w:t xml:space="preserve"> pateikti su tvaria miestų plėtra susijusių uždavinių sprendimus, „Inovatyvūs miestų sprendimai“ tvarios miestų plėtros srityje turėtų būti pakeisti Europos miestų iniciatyva, kuri bus įgyvendinama taikant tiesioginio arba netiesioginio valdymo principą. Š</w:t>
      </w:r>
      <w:r>
        <w:rPr>
          <w:noProof/>
        </w:rPr>
        <w:t>i iniciatyva turėtų būti taikoma visoms miestų vietovėms ir ja turėtų būti remiama Europos Sąjungos miestų darbotvarkė</w:t>
      </w:r>
      <w:r>
        <w:rPr>
          <w:rStyle w:val="Puslapioinaosnuoroda"/>
          <w:noProof/>
        </w:rPr>
        <w:footnoteReference w:id="21"/>
      </w:r>
      <w:r>
        <w:rPr>
          <w:noProof/>
        </w:rPr>
        <w:t>;</w:t>
      </w:r>
    </w:p>
    <w:p w:rsidR="00355A4E" w:rsidRDefault="005F0DB8">
      <w:pPr>
        <w:pStyle w:val="ManualConsidrant"/>
        <w:rPr>
          <w:noProof/>
        </w:rPr>
      </w:pPr>
      <w:r>
        <w:rPr>
          <w:noProof/>
        </w:rPr>
        <w:t>(27)</w:t>
      </w:r>
      <w:r>
        <w:rPr>
          <w:noProof/>
        </w:rPr>
        <w:tab/>
        <w:t>ypatingą dėmesį reikėtų skirti atokiausiems regionams, patvirtinant priemones pagal SESV 349 straipsnį, kuriuo nustatomi papildomi</w:t>
      </w:r>
      <w:r>
        <w:rPr>
          <w:noProof/>
        </w:rPr>
        <w:t xml:space="preserve"> asignavimai atokiausiems regionams, siekiant kompensuoti papildomas išlaidas, susidariusias šiuose regionuose dėl vienos ar kelių SESV 349 straipsnyje nurodytų nuolatinių kliūčių, visų pirma atokumo, izoliuotumo, mažumo, sunkių topografinių ir klimato sąl</w:t>
      </w:r>
      <w:r>
        <w:rPr>
          <w:noProof/>
        </w:rPr>
        <w:t>ygų, ekonominio priklausomumo nuo kelių produktų, šių kliūčių pastovumas ir derinys labai riboja šių regionų plėtrą. Šiais asignavimais gali būti finansuojamos investicijos, veiklos išlaidos ir viešųjų paslaugų teikimo įsipareigojimai, kuriais siekiama kom</w:t>
      </w:r>
      <w:r>
        <w:rPr>
          <w:noProof/>
        </w:rPr>
        <w:t>pensuoti papildomas dėl tokių kliūčių susidariusias išlaidas. Veiklos pagalba gali būti naudojama siekiant padengti krovininio transporto paslaugų ir transporto paslaugų veiklos pradžios išlaidas, taip pat veiksmų, susijusių su sandėliavimo apribojimais, p</w:t>
      </w:r>
      <w:r>
        <w:rPr>
          <w:noProof/>
        </w:rPr>
        <w:t xml:space="preserve">er didelėmis gamybos priemonėmis ir jų priežiūra bei žmogiškojo kapitalo trūkumu vietos rinkoje, išlaidas. Siekiant apsaugoti vidaus rinkos vientisumą, kaip numatyta visų bendrai finansuojamų ERPF ir Sanglaudos fondo lėšomis veiksmų atveju, bet kokia ERPF </w:t>
      </w:r>
      <w:r>
        <w:rPr>
          <w:noProof/>
        </w:rPr>
        <w:t>lėšomis finansuojama parama veiklos ir investicijų pagalbai atokiausiuose regionuose turėtų būti teikiama laikantis SESV 107 ir 108 straipsniuose nustatytų valstybės pagalbos taisyklių;</w:t>
      </w:r>
    </w:p>
    <w:p w:rsidR="00355A4E" w:rsidRDefault="005F0DB8">
      <w:pPr>
        <w:pStyle w:val="ManualConsidrant"/>
        <w:rPr>
          <w:noProof/>
        </w:rPr>
      </w:pPr>
      <w:r>
        <w:rPr>
          <w:noProof/>
        </w:rPr>
        <w:t>(28)</w:t>
      </w:r>
      <w:r>
        <w:rPr>
          <w:noProof/>
        </w:rPr>
        <w:tab/>
        <w:t>siekiant pakeisti tam tikrus neesminius šio reglamento elementus,</w:t>
      </w:r>
      <w:r>
        <w:rPr>
          <w:noProof/>
        </w:rPr>
        <w:t xml:space="preserve"> pagal SESV 290 straipsnį Komisijai turėtų būti deleguoti įgaliojimai priimti aktus, kuriais pagrįstais atvejais būtų koreguojamas II priede pateiktas rodiklių, kuriais remiantis Europos Parlamentui ir Tarybai teikiama informacija apie programų veiklos rez</w:t>
      </w:r>
      <w:r>
        <w:rPr>
          <w:noProof/>
        </w:rPr>
        <w:t>ultatus, sąrašas. Ypač svarbu, kad atlikdama parengiamąjį darbą Komisija tinkamai konsultuotųsi, taip pat ir su ekspertais, ir kad tos konsultacijos būtų vykdomos vadovaujantis 2016 m. balandžio 13 d. Tarpinstituciniame susitarime dėl geresnės teisėkūros</w:t>
      </w:r>
      <w:r>
        <w:rPr>
          <w:rStyle w:val="Puslapioinaosnuoroda"/>
          <w:noProof/>
        </w:rPr>
        <w:footnoteReference w:id="22"/>
      </w:r>
      <w:r>
        <w:rPr>
          <w:noProof/>
        </w:rPr>
        <w:t xml:space="preserve"> </w:t>
      </w:r>
      <w:r>
        <w:rPr>
          <w:noProof/>
        </w:rPr>
        <w:t>nustatytais principais. Visų pirma siekiant užtikrinti vienodas galimybes dalyvauti atliekant su deleguotaisiais aktais susijusį parengiamąjį darbą, Europos Parlamentas ir Taryba visus dokumentus gauna tuo pačiu metu kaip ir valstybių narių ekspertai, o jų</w:t>
      </w:r>
      <w:r>
        <w:rPr>
          <w:noProof/>
        </w:rPr>
        <w:t xml:space="preserve"> ekspertams sistemingai suteikiama galimybė dalyvauti Komisijos ekspertų grupių, kurios atlieka su deleguotaisiais aktais susijusį parengiamąjį darbą, posėdžiuose;</w:t>
      </w:r>
    </w:p>
    <w:p w:rsidR="00355A4E" w:rsidRDefault="005F0DB8">
      <w:pPr>
        <w:pStyle w:val="ManualConsidrant"/>
        <w:rPr>
          <w:noProof/>
        </w:rPr>
      </w:pPr>
      <w:r>
        <w:rPr>
          <w:noProof/>
        </w:rPr>
        <w:t>(29)</w:t>
      </w:r>
      <w:r>
        <w:rPr>
          <w:noProof/>
        </w:rPr>
        <w:tab/>
        <w:t>kadangi šio reglamento tikslo, t.y. didinti ekonominę, socialinę ir teritorinę sanglaud</w:t>
      </w:r>
      <w:r>
        <w:rPr>
          <w:noProof/>
        </w:rPr>
        <w:t>ą ištaisant pagrindinius Sąjungos regionų pusiausvyros sutrikimus, valstybės narės negali deramai pasiekti dėl įvairių regionų išsivystymo lygio skirtumų, nepalankiausias sąlygas turinčių regionų atsilikimo ir valstybių narių bei regionų finansinių ištekli</w:t>
      </w:r>
      <w:r>
        <w:rPr>
          <w:noProof/>
        </w:rPr>
        <w:t xml:space="preserve">ų ribotumo, bet dėl siūlomo veiksmo masto ir pobūdžio to tikslo geriau siekti Sąjungos lygmeniu, Sąjunga gali priimti priemones laikydamasi ES sutarties 5 straipsnyje nustatyto subsidiarumo principo. Pagal tame straipsnyje nustatytą proporcingumo principą </w:t>
      </w:r>
      <w:r>
        <w:rPr>
          <w:noProof/>
        </w:rPr>
        <w:t>šiuo reglamentu neviršijama to, kas būtina nurodytam tikslui pasiekti,</w:t>
      </w:r>
    </w:p>
    <w:p w:rsidR="00355A4E" w:rsidRDefault="005F0DB8">
      <w:pPr>
        <w:pStyle w:val="Formuledadoption"/>
        <w:rPr>
          <w:noProof/>
        </w:rPr>
      </w:pPr>
      <w:r>
        <w:rPr>
          <w:noProof/>
        </w:rPr>
        <w:t>PRIĖMĖ ŠĮ REGLAMENTĄ:</w:t>
      </w:r>
    </w:p>
    <w:p w:rsidR="00355A4E" w:rsidRDefault="005F0DB8">
      <w:pPr>
        <w:pStyle w:val="ChapterTitle"/>
        <w:spacing w:before="360"/>
        <w:rPr>
          <w:noProof/>
        </w:rPr>
      </w:pPr>
      <w:r>
        <w:rPr>
          <w:noProof/>
        </w:rPr>
        <w:t>I SKYRIUS</w:t>
      </w:r>
      <w:r>
        <w:rPr>
          <w:noProof/>
        </w:rPr>
        <w:br/>
        <w:t>Bendros nuostatos</w:t>
      </w:r>
    </w:p>
    <w:p w:rsidR="00355A4E" w:rsidRDefault="005F0DB8">
      <w:pPr>
        <w:pStyle w:val="Titrearticle"/>
        <w:rPr>
          <w:b/>
          <w:noProof/>
        </w:rPr>
      </w:pPr>
      <w:r>
        <w:rPr>
          <w:noProof/>
        </w:rPr>
        <w:t>1 straipsnis</w:t>
      </w:r>
      <w:r>
        <w:rPr>
          <w:noProof/>
        </w:rPr>
        <w:br/>
      </w:r>
      <w:r>
        <w:rPr>
          <w:b/>
          <w:noProof/>
        </w:rPr>
        <w:t>Dalykas</w:t>
      </w:r>
    </w:p>
    <w:p w:rsidR="00355A4E" w:rsidRDefault="005F0DB8">
      <w:pPr>
        <w:pStyle w:val="ManualNumPar1"/>
        <w:rPr>
          <w:noProof/>
        </w:rPr>
      </w:pPr>
      <w:r>
        <w:rPr>
          <w:noProof/>
        </w:rPr>
        <w:t>1.</w:t>
      </w:r>
      <w:r>
        <w:rPr>
          <w:noProof/>
        </w:rPr>
        <w:tab/>
        <w:t xml:space="preserve">Šiuo reglamentu nustatomi konkretūs Europos regioninės plėtros fondo (ERPF) paramos tikslai ir taikymo sritis, </w:t>
      </w:r>
      <w:r>
        <w:rPr>
          <w:noProof/>
        </w:rPr>
        <w:t>atsižvelgiant į investicijų į darbo vietų kūrimą ir ekonomikos augimą tikslą ir Europos teritorinio bendradarbiavimo tikslą (INTERREG), nurodytus Reglamento (ES) 2018/xxxx [naujojo BNR] [4] straipsnio [2] dalyje.</w:t>
      </w:r>
    </w:p>
    <w:p w:rsidR="00355A4E" w:rsidRDefault="005F0DB8">
      <w:pPr>
        <w:pStyle w:val="ManualNumPar1"/>
        <w:rPr>
          <w:noProof/>
        </w:rPr>
      </w:pPr>
      <w:r>
        <w:rPr>
          <w:noProof/>
        </w:rPr>
        <w:t>2.</w:t>
      </w:r>
      <w:r>
        <w:rPr>
          <w:noProof/>
        </w:rPr>
        <w:tab/>
        <w:t>Šiuo reglamentu taip pat nustatomi konkr</w:t>
      </w:r>
      <w:r>
        <w:rPr>
          <w:noProof/>
        </w:rPr>
        <w:t>etūs Sanglaudos fondo paramos tikslai ir taikymo sritis, atsižvelgiant į investicijų į darbo vietų kūrimą ir ekonomikos augimą tikslą (toliau – investicijų į darbo vietų kūrimą ir ekonomikos augimą tikslas), nurodytą Reglamento (ES) 2018/xxxx [naujojo BNR]</w:t>
      </w:r>
      <w:r>
        <w:rPr>
          <w:noProof/>
        </w:rPr>
        <w:t xml:space="preserve"> [4 straipsnio 2 dalies a punkte].</w:t>
      </w:r>
    </w:p>
    <w:p w:rsidR="00355A4E" w:rsidRDefault="005F0DB8">
      <w:pPr>
        <w:pStyle w:val="Titrearticle"/>
        <w:rPr>
          <w:noProof/>
        </w:rPr>
      </w:pPr>
      <w:r>
        <w:rPr>
          <w:noProof/>
        </w:rPr>
        <w:t>2 straipsnis</w:t>
      </w:r>
      <w:r>
        <w:rPr>
          <w:noProof/>
        </w:rPr>
        <w:br/>
      </w:r>
      <w:r>
        <w:rPr>
          <w:b/>
          <w:noProof/>
        </w:rPr>
        <w:t>Konkretūs ERPF ir Sanglaudos fondo tikslai</w:t>
      </w:r>
    </w:p>
    <w:p w:rsidR="00355A4E" w:rsidRDefault="005F0DB8">
      <w:pPr>
        <w:pStyle w:val="ManualNumPar1"/>
        <w:rPr>
          <w:noProof/>
        </w:rPr>
      </w:pPr>
      <w:r>
        <w:rPr>
          <w:noProof/>
        </w:rPr>
        <w:t>1.</w:t>
      </w:r>
      <w:r>
        <w:rPr>
          <w:noProof/>
        </w:rPr>
        <w:tab/>
        <w:t>Pagal Reglamento (ES) 2018/xxxx [naujojo BNR] [4] straipsnio [1] dalyje nustatytus politikos tikslus ERPF lėšomis remiami šie konkretūs tikslai:</w:t>
      </w:r>
    </w:p>
    <w:p w:rsidR="00355A4E" w:rsidRDefault="005F0DB8">
      <w:pPr>
        <w:pStyle w:val="Point1letter"/>
        <w:numPr>
          <w:ilvl w:val="3"/>
          <w:numId w:val="24"/>
        </w:numPr>
        <w:rPr>
          <w:noProof/>
        </w:rPr>
      </w:pPr>
      <w:r>
        <w:rPr>
          <w:noProof/>
        </w:rPr>
        <w:t>„pažangesnė Europ</w:t>
      </w:r>
      <w:r>
        <w:rPr>
          <w:noProof/>
        </w:rPr>
        <w:t>a, skatinant novatorišką ir pažangią ekonomikos pertvarką“ (toliau – 1-asis PT):</w:t>
      </w:r>
    </w:p>
    <w:p w:rsidR="00355A4E" w:rsidRDefault="005F0DB8">
      <w:pPr>
        <w:pStyle w:val="Point2"/>
        <w:rPr>
          <w:noProof/>
        </w:rPr>
      </w:pPr>
      <w:r>
        <w:rPr>
          <w:noProof/>
        </w:rPr>
        <w:t>i)</w:t>
      </w:r>
      <w:r>
        <w:rPr>
          <w:noProof/>
        </w:rPr>
        <w:tab/>
        <w:t>stiprinant mokslinių tyrimų ir inovacinius pajėgumus ir diegiant pažangiąsias technologijas,</w:t>
      </w:r>
    </w:p>
    <w:p w:rsidR="00355A4E" w:rsidRDefault="005F0DB8">
      <w:pPr>
        <w:pStyle w:val="Point2"/>
        <w:rPr>
          <w:noProof/>
        </w:rPr>
      </w:pPr>
      <w:r>
        <w:rPr>
          <w:noProof/>
        </w:rPr>
        <w:t>ii)</w:t>
      </w:r>
      <w:r>
        <w:rPr>
          <w:noProof/>
        </w:rPr>
        <w:tab/>
        <w:t>pasinaudojant skaitmeninimo teikiama nauda piliečiams, įmonėms ir vyriausyb</w:t>
      </w:r>
      <w:r>
        <w:rPr>
          <w:noProof/>
        </w:rPr>
        <w:t>ėms,</w:t>
      </w:r>
    </w:p>
    <w:p w:rsidR="00355A4E" w:rsidRDefault="005F0DB8">
      <w:pPr>
        <w:pStyle w:val="Point2"/>
        <w:rPr>
          <w:noProof/>
        </w:rPr>
      </w:pPr>
      <w:r>
        <w:rPr>
          <w:noProof/>
        </w:rPr>
        <w:t>iii)</w:t>
      </w:r>
      <w:r>
        <w:rPr>
          <w:noProof/>
        </w:rPr>
        <w:tab/>
        <w:t>stiprinant MVĮ augimą ir konkurencingumą,</w:t>
      </w:r>
    </w:p>
    <w:p w:rsidR="00355A4E" w:rsidRDefault="005F0DB8">
      <w:pPr>
        <w:pStyle w:val="Point2"/>
        <w:rPr>
          <w:noProof/>
        </w:rPr>
      </w:pPr>
      <w:r>
        <w:rPr>
          <w:noProof/>
        </w:rPr>
        <w:t>iv)</w:t>
      </w:r>
      <w:r>
        <w:rPr>
          <w:noProof/>
        </w:rPr>
        <w:tab/>
        <w:t>ugdant pažangiajai specializacijai, pramonės pereinamajam laikotarpiui ir verslumui reikalingus įgūdžius;</w:t>
      </w:r>
    </w:p>
    <w:p w:rsidR="00355A4E" w:rsidRDefault="005F0DB8">
      <w:pPr>
        <w:pStyle w:val="Point1letter"/>
        <w:rPr>
          <w:noProof/>
        </w:rPr>
      </w:pPr>
      <w:r>
        <w:rPr>
          <w:noProof/>
        </w:rPr>
        <w:t xml:space="preserve">„žalesnė ir mažo anglies dioksido kiekio Europa, skatinant perėjimą prie švarios ir teisingos </w:t>
      </w:r>
      <w:r>
        <w:rPr>
          <w:noProof/>
        </w:rPr>
        <w:t>energetikos, žaliąsias ir mėlynąsias investicijas, žiedinę ekonomiką, prisitaikymą prie klimato kaitos ir rizikos prevenciją bei valdymą“ (toliau – 2-asis PT):</w:t>
      </w:r>
    </w:p>
    <w:p w:rsidR="00355A4E" w:rsidRDefault="005F0DB8">
      <w:pPr>
        <w:pStyle w:val="Point2"/>
        <w:rPr>
          <w:noProof/>
        </w:rPr>
      </w:pPr>
      <w:r>
        <w:rPr>
          <w:noProof/>
        </w:rPr>
        <w:t>i)</w:t>
      </w:r>
      <w:r>
        <w:rPr>
          <w:noProof/>
        </w:rPr>
        <w:tab/>
        <w:t>skatinant naudoti energijos vartojimo efektyvumą didinančias priemones,</w:t>
      </w:r>
    </w:p>
    <w:p w:rsidR="00355A4E" w:rsidRDefault="005F0DB8">
      <w:pPr>
        <w:pStyle w:val="Point2"/>
        <w:rPr>
          <w:noProof/>
        </w:rPr>
      </w:pPr>
      <w:r>
        <w:rPr>
          <w:noProof/>
        </w:rPr>
        <w:t>ii)</w:t>
      </w:r>
      <w:r>
        <w:rPr>
          <w:noProof/>
        </w:rPr>
        <w:tab/>
        <w:t>skatinant naudoti</w:t>
      </w:r>
      <w:r>
        <w:rPr>
          <w:noProof/>
        </w:rPr>
        <w:t xml:space="preserve"> atsinaujinančiąją energiją,</w:t>
      </w:r>
    </w:p>
    <w:p w:rsidR="00355A4E" w:rsidRDefault="005F0DB8">
      <w:pPr>
        <w:pStyle w:val="Point2"/>
        <w:rPr>
          <w:noProof/>
        </w:rPr>
      </w:pPr>
      <w:r>
        <w:rPr>
          <w:noProof/>
        </w:rPr>
        <w:t>iii)</w:t>
      </w:r>
      <w:r>
        <w:rPr>
          <w:noProof/>
        </w:rPr>
        <w:tab/>
        <w:t>kuriant pažangiąsias elektros energijos sistemas ir tinklus, taip pat energijos kaupimo vietos lygmeniu sprendimus,</w:t>
      </w:r>
    </w:p>
    <w:p w:rsidR="00355A4E" w:rsidRDefault="005F0DB8">
      <w:pPr>
        <w:pStyle w:val="Point2"/>
        <w:rPr>
          <w:noProof/>
        </w:rPr>
      </w:pPr>
      <w:r>
        <w:rPr>
          <w:noProof/>
        </w:rPr>
        <w:t>iv)</w:t>
      </w:r>
      <w:r>
        <w:rPr>
          <w:noProof/>
        </w:rPr>
        <w:tab/>
        <w:t>skatinant prisitaikymą prie klimato kaitos, rizikos prevenciją ir atsparumą nelaimėms,</w:t>
      </w:r>
    </w:p>
    <w:p w:rsidR="00355A4E" w:rsidRDefault="005F0DB8">
      <w:pPr>
        <w:pStyle w:val="Point2"/>
        <w:rPr>
          <w:noProof/>
        </w:rPr>
      </w:pPr>
      <w:r>
        <w:rPr>
          <w:noProof/>
        </w:rPr>
        <w:t>v)</w:t>
      </w:r>
      <w:r>
        <w:rPr>
          <w:noProof/>
        </w:rPr>
        <w:tab/>
        <w:t>skatinant tv</w:t>
      </w:r>
      <w:r>
        <w:rPr>
          <w:noProof/>
        </w:rPr>
        <w:t>arią vandentvarką,</w:t>
      </w:r>
    </w:p>
    <w:p w:rsidR="00355A4E" w:rsidRDefault="005F0DB8">
      <w:pPr>
        <w:pStyle w:val="Point2"/>
        <w:rPr>
          <w:noProof/>
        </w:rPr>
      </w:pPr>
      <w:r>
        <w:rPr>
          <w:noProof/>
        </w:rPr>
        <w:t>vi)</w:t>
      </w:r>
      <w:r>
        <w:rPr>
          <w:noProof/>
        </w:rPr>
        <w:tab/>
        <w:t>skatinant perėjimą prie žiedinės ekonomikos,</w:t>
      </w:r>
    </w:p>
    <w:p w:rsidR="00355A4E" w:rsidRDefault="005F0DB8">
      <w:pPr>
        <w:pStyle w:val="Point2"/>
        <w:rPr>
          <w:noProof/>
        </w:rPr>
      </w:pPr>
      <w:r>
        <w:rPr>
          <w:noProof/>
        </w:rPr>
        <w:t>vii)</w:t>
      </w:r>
      <w:r>
        <w:rPr>
          <w:noProof/>
        </w:rPr>
        <w:tab/>
        <w:t>skatinant biologinę įvairovę, žaliąją infrastruktūrą miesto aplinkoje ir mažinti taršą;</w:t>
      </w:r>
    </w:p>
    <w:p w:rsidR="00355A4E" w:rsidRDefault="005F0DB8">
      <w:pPr>
        <w:pStyle w:val="Point1letter"/>
        <w:rPr>
          <w:noProof/>
        </w:rPr>
      </w:pPr>
      <w:r>
        <w:rPr>
          <w:noProof/>
        </w:rPr>
        <w:t>„geriau sujungta Europa, skatinant judumą ir regionų IRT jungtis“ (toliau – 3-asis PT):</w:t>
      </w:r>
    </w:p>
    <w:p w:rsidR="00355A4E" w:rsidRDefault="005F0DB8">
      <w:pPr>
        <w:pStyle w:val="Point2"/>
        <w:rPr>
          <w:noProof/>
        </w:rPr>
      </w:pPr>
      <w:r>
        <w:rPr>
          <w:noProof/>
        </w:rPr>
        <w:t>i)</w:t>
      </w:r>
      <w:r>
        <w:rPr>
          <w:noProof/>
        </w:rPr>
        <w:tab/>
      </w:r>
      <w:r>
        <w:rPr>
          <w:noProof/>
        </w:rPr>
        <w:t>gerinant skaitmeninį junglumą,</w:t>
      </w:r>
    </w:p>
    <w:p w:rsidR="00355A4E" w:rsidRDefault="005F0DB8">
      <w:pPr>
        <w:pStyle w:val="Point2"/>
        <w:rPr>
          <w:noProof/>
        </w:rPr>
      </w:pPr>
      <w:r>
        <w:rPr>
          <w:noProof/>
        </w:rPr>
        <w:t>ii)</w:t>
      </w:r>
      <w:r>
        <w:rPr>
          <w:noProof/>
        </w:rPr>
        <w:tab/>
        <w:t>kuriant tvarų, atsparų klimato kaitai, pažangų, saugų ir įvairiarūšį transeuropinį transporto tinklą (TEN-T),</w:t>
      </w:r>
    </w:p>
    <w:p w:rsidR="00355A4E" w:rsidRDefault="005F0DB8">
      <w:pPr>
        <w:pStyle w:val="Point2"/>
        <w:rPr>
          <w:noProof/>
        </w:rPr>
      </w:pPr>
      <w:r>
        <w:rPr>
          <w:noProof/>
        </w:rPr>
        <w:t>iii)</w:t>
      </w:r>
      <w:r>
        <w:rPr>
          <w:noProof/>
        </w:rPr>
        <w:tab/>
        <w:t>kuriant tvarų, atsparų klimato kaitai, pažangų ir įvairiarūšį nacionalinį, regiono ir vietos judumą, įskai</w:t>
      </w:r>
      <w:r>
        <w:rPr>
          <w:noProof/>
        </w:rPr>
        <w:t>tant geresnes galimybes naudotis TEN-T ir tarpvalstybinį judumą,</w:t>
      </w:r>
    </w:p>
    <w:p w:rsidR="00355A4E" w:rsidRDefault="005F0DB8">
      <w:pPr>
        <w:pStyle w:val="Point2"/>
        <w:rPr>
          <w:noProof/>
        </w:rPr>
      </w:pPr>
      <w:r>
        <w:rPr>
          <w:noProof/>
        </w:rPr>
        <w:t>iv)</w:t>
      </w:r>
      <w:r>
        <w:rPr>
          <w:noProof/>
        </w:rPr>
        <w:tab/>
        <w:t>skatinant tvarų įvairiarūšį judumą miestuose;</w:t>
      </w:r>
    </w:p>
    <w:p w:rsidR="00355A4E" w:rsidRDefault="005F0DB8">
      <w:pPr>
        <w:pStyle w:val="Point1letter"/>
        <w:rPr>
          <w:noProof/>
        </w:rPr>
      </w:pPr>
      <w:r>
        <w:rPr>
          <w:noProof/>
        </w:rPr>
        <w:t>„socialiai atsakingesnė Europa, įgyvendinant Europos socialinių teisių ramstį“ (toliau – 4-asis PT):</w:t>
      </w:r>
    </w:p>
    <w:p w:rsidR="00355A4E" w:rsidRDefault="005F0DB8">
      <w:pPr>
        <w:pStyle w:val="Point2"/>
        <w:rPr>
          <w:noProof/>
        </w:rPr>
      </w:pPr>
      <w:r>
        <w:rPr>
          <w:noProof/>
        </w:rPr>
        <w:t>i)</w:t>
      </w:r>
      <w:r>
        <w:rPr>
          <w:noProof/>
        </w:rPr>
        <w:tab/>
        <w:t xml:space="preserve">didinant darbo rinkų veiksmingumą ir </w:t>
      </w:r>
      <w:r>
        <w:rPr>
          <w:noProof/>
        </w:rPr>
        <w:t>galimybes gauti kokybišką darbą kuriant socialines inovacijas ir infrastruktūrą,</w:t>
      </w:r>
    </w:p>
    <w:p w:rsidR="00355A4E" w:rsidRDefault="005F0DB8">
      <w:pPr>
        <w:pStyle w:val="Point2"/>
        <w:rPr>
          <w:noProof/>
        </w:rPr>
      </w:pPr>
      <w:r>
        <w:rPr>
          <w:noProof/>
        </w:rPr>
        <w:t>ii)</w:t>
      </w:r>
      <w:r>
        <w:rPr>
          <w:noProof/>
        </w:rPr>
        <w:tab/>
        <w:t>suteikiant daugiau galimybių naudotis visapusiškomis ir kokybiškomis švietimo, mokymo ir mokymosi visą gyvenimą paslaugomis plėtojant infrastruktūrą,</w:t>
      </w:r>
    </w:p>
    <w:p w:rsidR="00355A4E" w:rsidRDefault="005F0DB8">
      <w:pPr>
        <w:pStyle w:val="Point2"/>
        <w:rPr>
          <w:noProof/>
        </w:rPr>
      </w:pPr>
      <w:r>
        <w:rPr>
          <w:noProof/>
        </w:rPr>
        <w:t>iii)</w:t>
      </w:r>
      <w:r>
        <w:rPr>
          <w:noProof/>
        </w:rPr>
        <w:tab/>
        <w:t>didinant sociali</w:t>
      </w:r>
      <w:r>
        <w:rPr>
          <w:noProof/>
        </w:rPr>
        <w:t>nę ir ekonominę marginalizuotų bendruomenių, migrantų ir nepalankias sąlygas turinčių grupių integraciją įgyvendinant integruotas priemones, įskaitant aprūpinimą būstu ir socialinių paslaugų teikimą,</w:t>
      </w:r>
    </w:p>
    <w:p w:rsidR="00355A4E" w:rsidRDefault="005F0DB8">
      <w:pPr>
        <w:pStyle w:val="Point2"/>
        <w:rPr>
          <w:noProof/>
        </w:rPr>
      </w:pPr>
      <w:r>
        <w:rPr>
          <w:noProof/>
        </w:rPr>
        <w:t>iv)</w:t>
      </w:r>
      <w:r>
        <w:rPr>
          <w:noProof/>
        </w:rPr>
        <w:tab/>
        <w:t>užtikrinant vienodas galimybes naudotis sveikatos pr</w:t>
      </w:r>
      <w:r>
        <w:rPr>
          <w:noProof/>
        </w:rPr>
        <w:t>iežiūros paslaugomis plėtojant infrastruktūrą, įskaitant pirminę sveikatos priežiūrą;</w:t>
      </w:r>
    </w:p>
    <w:p w:rsidR="00355A4E" w:rsidRDefault="005F0DB8">
      <w:pPr>
        <w:pStyle w:val="Point1letter"/>
        <w:rPr>
          <w:noProof/>
        </w:rPr>
      </w:pPr>
      <w:r>
        <w:rPr>
          <w:noProof/>
        </w:rPr>
        <w:t>„piliečiams artimesnė Europa, skatinant tvarią ir integruotą miestų, kaimų ir pakrančių vietovių plėtrą ir vietos iniciatyvas“ (toliau – 5-asis PT):</w:t>
      </w:r>
    </w:p>
    <w:p w:rsidR="00355A4E" w:rsidRDefault="005F0DB8">
      <w:pPr>
        <w:pStyle w:val="Point2"/>
        <w:rPr>
          <w:noProof/>
        </w:rPr>
      </w:pPr>
      <w:r>
        <w:rPr>
          <w:noProof/>
        </w:rPr>
        <w:t>i)</w:t>
      </w:r>
      <w:r>
        <w:rPr>
          <w:noProof/>
        </w:rPr>
        <w:tab/>
        <w:t>skatinant integruo</w:t>
      </w:r>
      <w:r>
        <w:rPr>
          <w:noProof/>
        </w:rPr>
        <w:t>tą socialinę, ekonominę ir aplinkos plėtrą, puoselėjant miestų vietovių kultūros paveldą ir saugumą,</w:t>
      </w:r>
    </w:p>
    <w:p w:rsidR="00355A4E" w:rsidRDefault="005F0DB8">
      <w:pPr>
        <w:pStyle w:val="Point2"/>
        <w:rPr>
          <w:noProof/>
        </w:rPr>
      </w:pPr>
      <w:r>
        <w:rPr>
          <w:noProof/>
        </w:rPr>
        <w:t>ii)</w:t>
      </w:r>
      <w:r>
        <w:rPr>
          <w:noProof/>
        </w:rPr>
        <w:tab/>
        <w:t>skatinant integruotą socialinę, ekonominę ir aplinkos vietos plėtrą, puoselėjant kultūros paveldą ir saugumą, įskaitant kaimų ir pajūrio vietovėse, tai</w:t>
      </w:r>
      <w:r>
        <w:rPr>
          <w:noProof/>
        </w:rPr>
        <w:t>p pat pasitelkiant bendruomenės inicijuotą vietos plėtrą.</w:t>
      </w:r>
    </w:p>
    <w:p w:rsidR="00355A4E" w:rsidRDefault="005F0DB8">
      <w:pPr>
        <w:pStyle w:val="ManualNumPar1"/>
        <w:rPr>
          <w:noProof/>
        </w:rPr>
      </w:pPr>
      <w:r>
        <w:rPr>
          <w:noProof/>
        </w:rPr>
        <w:t>2.</w:t>
      </w:r>
      <w:r>
        <w:rPr>
          <w:noProof/>
        </w:rPr>
        <w:tab/>
        <w:t>Sanglaudos fondo lėšomis remiamas 2-asis PT ir konkretūs pagal 3-ąjį PT 1 dalies c punkto ii, iii ir iv papunkčiuose nustatyti tikslai.</w:t>
      </w:r>
    </w:p>
    <w:p w:rsidR="00355A4E" w:rsidRDefault="005F0DB8">
      <w:pPr>
        <w:pStyle w:val="ManualNumPar1"/>
        <w:rPr>
          <w:noProof/>
        </w:rPr>
      </w:pPr>
      <w:r>
        <w:rPr>
          <w:noProof/>
        </w:rPr>
        <w:t>3.</w:t>
      </w:r>
      <w:r>
        <w:rPr>
          <w:noProof/>
        </w:rPr>
        <w:tab/>
        <w:t xml:space="preserve">Atsižvelgiant į konkrečius 1 dalyje nustatytus tikslus, </w:t>
      </w:r>
      <w:r>
        <w:rPr>
          <w:noProof/>
        </w:rPr>
        <w:t>atitinkamai ERPF ar Sanglaudos fondo lėšomis taip pat gali būti remiami veiksmai pagal investicijų į darbo vietų kūrimą ir ekonomikos augimą tikslą, jeigu jais:</w:t>
      </w:r>
    </w:p>
    <w:p w:rsidR="00355A4E" w:rsidRDefault="005F0DB8">
      <w:pPr>
        <w:pStyle w:val="Point1letter"/>
        <w:numPr>
          <w:ilvl w:val="3"/>
          <w:numId w:val="21"/>
        </w:numPr>
        <w:rPr>
          <w:noProof/>
        </w:rPr>
      </w:pPr>
      <w:r>
        <w:rPr>
          <w:noProof/>
        </w:rPr>
        <w:t>arba gerinami programavimo institucijų ir su fondų įgyvendinimu susijusių įstaigų gebėjimai,</w:t>
      </w:r>
    </w:p>
    <w:p w:rsidR="00355A4E" w:rsidRDefault="005F0DB8">
      <w:pPr>
        <w:pStyle w:val="Point1letter"/>
        <w:rPr>
          <w:noProof/>
        </w:rPr>
      </w:pPr>
      <w:r>
        <w:rPr>
          <w:noProof/>
        </w:rPr>
        <w:t>ar</w:t>
      </w:r>
      <w:r>
        <w:rPr>
          <w:noProof/>
        </w:rPr>
        <w:t>ba stiprinamas bendradarbiavimas su partneriais tam tikroje valstybėje narėje ir už jos ribų.</w:t>
      </w:r>
    </w:p>
    <w:p w:rsidR="00355A4E" w:rsidRDefault="005F0DB8">
      <w:pPr>
        <w:pStyle w:val="Text1"/>
        <w:rPr>
          <w:noProof/>
        </w:rPr>
      </w:pPr>
      <w:r>
        <w:rPr>
          <w:noProof/>
        </w:rPr>
        <w:t>Bendradarbiavimas, nurodytas b punkte, apima bendradarbiavimą su partneriais iš tarpvalstybinių regionų, negretimų regionų ar regionų, esančių teritorijoje, kuria</w:t>
      </w:r>
      <w:r>
        <w:rPr>
          <w:noProof/>
        </w:rPr>
        <w:t>i taikoma makroregioninė arba jūrų baseinų strategija arba šių strategijų derinys.</w:t>
      </w:r>
    </w:p>
    <w:p w:rsidR="00355A4E" w:rsidRDefault="005F0DB8">
      <w:pPr>
        <w:pStyle w:val="Titrearticle"/>
        <w:rPr>
          <w:noProof/>
        </w:rPr>
      </w:pPr>
      <w:r>
        <w:rPr>
          <w:noProof/>
        </w:rPr>
        <w:t>3 straipsnis</w:t>
      </w:r>
      <w:r>
        <w:rPr>
          <w:noProof/>
        </w:rPr>
        <w:br/>
      </w:r>
      <w:r>
        <w:rPr>
          <w:b/>
          <w:noProof/>
        </w:rPr>
        <w:t>ERPF paramos telkimas pagal temas</w:t>
      </w:r>
    </w:p>
    <w:p w:rsidR="00355A4E" w:rsidRDefault="005F0DB8">
      <w:pPr>
        <w:pStyle w:val="ManualNumPar1"/>
        <w:rPr>
          <w:noProof/>
        </w:rPr>
      </w:pPr>
      <w:r>
        <w:rPr>
          <w:noProof/>
        </w:rPr>
        <w:t>1.</w:t>
      </w:r>
      <w:r>
        <w:rPr>
          <w:noProof/>
        </w:rPr>
        <w:tab/>
        <w:t xml:space="preserve">Įgyvendinant programas pagal investicijų į darbo vietų kūrimą ir ekonomikos augimą tikslą, visos ERPF lėšos kiekvienoje </w:t>
      </w:r>
      <w:r>
        <w:rPr>
          <w:noProof/>
        </w:rPr>
        <w:t>valstybėje narėje telkiamos nacionaliniu lygmeniu, kaip nustatyta 3 ir 4 dalyse.</w:t>
      </w:r>
    </w:p>
    <w:p w:rsidR="00355A4E" w:rsidRDefault="005F0DB8">
      <w:pPr>
        <w:pStyle w:val="ManualNumPar1"/>
        <w:rPr>
          <w:noProof/>
        </w:rPr>
      </w:pPr>
      <w:r>
        <w:rPr>
          <w:noProof/>
        </w:rPr>
        <w:t>2.</w:t>
      </w:r>
      <w:r>
        <w:rPr>
          <w:noProof/>
        </w:rPr>
        <w:tab/>
        <w:t>Taikant paramos telkimo pagal temas reikalavimą valstybėms narėms, kuriose yra atokiausi regionai, ERPF lėšos, skiriamos konkrečiai atokiausiems regionams skirtoms programo</w:t>
      </w:r>
      <w:r>
        <w:rPr>
          <w:noProof/>
        </w:rPr>
        <w:t>ms, ir visiems kitiems regionams skiriamos lėšos vertinamos atskirai.</w:t>
      </w:r>
    </w:p>
    <w:p w:rsidR="00355A4E" w:rsidRDefault="005F0DB8">
      <w:pPr>
        <w:pStyle w:val="ManualNumPar1"/>
        <w:rPr>
          <w:noProof/>
        </w:rPr>
      </w:pPr>
      <w:r>
        <w:rPr>
          <w:noProof/>
        </w:rPr>
        <w:t>3.</w:t>
      </w:r>
      <w:r>
        <w:rPr>
          <w:noProof/>
        </w:rPr>
        <w:tab/>
        <w:t>Valstybės narės, atsižvelgiant į jų bendrųjų nacionalinių pajamų santykį, skirstomos taip:</w:t>
      </w:r>
    </w:p>
    <w:p w:rsidR="00355A4E" w:rsidRDefault="005F0DB8">
      <w:pPr>
        <w:pStyle w:val="Point1letter"/>
        <w:numPr>
          <w:ilvl w:val="3"/>
          <w:numId w:val="14"/>
        </w:numPr>
        <w:rPr>
          <w:noProof/>
        </w:rPr>
      </w:pPr>
      <w:r>
        <w:rPr>
          <w:noProof/>
        </w:rPr>
        <w:t>valstybės, kurių bendrųjų nacionalinių pajamų santykis yra lygus arba viršija 100 proc. ES v</w:t>
      </w:r>
      <w:r>
        <w:rPr>
          <w:noProof/>
        </w:rPr>
        <w:t>idurkio (1 grupė);</w:t>
      </w:r>
    </w:p>
    <w:p w:rsidR="00355A4E" w:rsidRDefault="005F0DB8">
      <w:pPr>
        <w:pStyle w:val="Point1letter"/>
        <w:rPr>
          <w:noProof/>
        </w:rPr>
      </w:pPr>
      <w:r>
        <w:rPr>
          <w:noProof/>
        </w:rPr>
        <w:t>valstybės, kurių bendrųjų nacionalinių pajamų santykis yra lygus arba viršija 75 proc. ir yra mažesnis nei 100 proc. ES vidurkio (2 grupė);</w:t>
      </w:r>
    </w:p>
    <w:p w:rsidR="00355A4E" w:rsidRDefault="005F0DB8">
      <w:pPr>
        <w:pStyle w:val="Point1letter"/>
        <w:rPr>
          <w:noProof/>
        </w:rPr>
      </w:pPr>
      <w:r>
        <w:rPr>
          <w:noProof/>
        </w:rPr>
        <w:t>valstybės, kurių bendrųjų nacionalinių pajamų santykis yra mažesnis nei 75 proc. ES vidurkio (3 g</w:t>
      </w:r>
      <w:r>
        <w:rPr>
          <w:noProof/>
        </w:rPr>
        <w:t>rupė).</w:t>
      </w:r>
    </w:p>
    <w:p w:rsidR="00355A4E" w:rsidRDefault="005F0DB8">
      <w:pPr>
        <w:pStyle w:val="Text1"/>
        <w:rPr>
          <w:noProof/>
        </w:rPr>
      </w:pPr>
      <w:r>
        <w:rPr>
          <w:noProof/>
        </w:rPr>
        <w:t xml:space="preserve">Šiame straipsnyje bendrųjų nacionalinių pajamų santykis reiškia valstybės narės vienam gyventojui tenkančių bendrųjų nacionalinių pajamų, išreikštų perkamosios galios standartais ir apskaičiuotų pagal 2014–2016 m. laikotarpio Sąjungos rodiklius, ir </w:t>
      </w:r>
      <w:r>
        <w:rPr>
          <w:noProof/>
        </w:rPr>
        <w:t xml:space="preserve">27 valstybių narių to paties ataskaitinio laikotarpio vienam gyventojui tenkančių, perkamosios galios standartais išreikštų vidutinių bendrųjų nacionalinių pajamų santykį. </w:t>
      </w:r>
    </w:p>
    <w:p w:rsidR="00355A4E" w:rsidRDefault="005F0DB8">
      <w:pPr>
        <w:pStyle w:val="Text1"/>
        <w:rPr>
          <w:noProof/>
        </w:rPr>
      </w:pPr>
      <w:r>
        <w:rPr>
          <w:noProof/>
        </w:rPr>
        <w:t>Pagal investicijų į darbo vietų kūrimą ir ekonomikos augimą tikslą įgyvendinamos at</w:t>
      </w:r>
      <w:r>
        <w:rPr>
          <w:noProof/>
        </w:rPr>
        <w:t>okiausiems regionams skirtos programos priskiriamoms 3 grupei.</w:t>
      </w:r>
    </w:p>
    <w:p w:rsidR="00355A4E" w:rsidRDefault="005F0DB8">
      <w:pPr>
        <w:pStyle w:val="ManualNumPar1"/>
        <w:rPr>
          <w:noProof/>
        </w:rPr>
      </w:pPr>
      <w:r>
        <w:rPr>
          <w:noProof/>
        </w:rPr>
        <w:t>4.</w:t>
      </w:r>
      <w:r>
        <w:rPr>
          <w:noProof/>
        </w:rPr>
        <w:tab/>
        <w:t>Valstybės narės laikosi šių paramos telkimo pagal temas reikalavimų:</w:t>
      </w:r>
    </w:p>
    <w:p w:rsidR="00355A4E" w:rsidRDefault="005F0DB8">
      <w:pPr>
        <w:pStyle w:val="Point1letter"/>
        <w:numPr>
          <w:ilvl w:val="3"/>
          <w:numId w:val="22"/>
        </w:numPr>
        <w:rPr>
          <w:noProof/>
        </w:rPr>
      </w:pPr>
      <w:r>
        <w:rPr>
          <w:noProof/>
        </w:rPr>
        <w:t>1 grupės valstybės narės skiria bent 85 proc. savo visų ERPF lėšų pagal kitus nei techninė parama prioritetus 1-ajam PT i</w:t>
      </w:r>
      <w:r>
        <w:rPr>
          <w:noProof/>
        </w:rPr>
        <w:t>r 2-ajam PT ir bent 60 proc. – 1-ajam PT;</w:t>
      </w:r>
    </w:p>
    <w:p w:rsidR="00355A4E" w:rsidRDefault="005F0DB8">
      <w:pPr>
        <w:pStyle w:val="Point1letter"/>
        <w:numPr>
          <w:ilvl w:val="3"/>
          <w:numId w:val="14"/>
        </w:numPr>
        <w:rPr>
          <w:noProof/>
        </w:rPr>
      </w:pPr>
      <w:r>
        <w:rPr>
          <w:noProof/>
        </w:rPr>
        <w:t>2 grupės valstybės narės skiria bent 45 proc. savo visų ERPF lėšų pagal kitus nei techninė parama prioritetus 1-ajam PT ir bent 30 proc. – 2-ajam PT;</w:t>
      </w:r>
    </w:p>
    <w:p w:rsidR="00355A4E" w:rsidRDefault="005F0DB8">
      <w:pPr>
        <w:pStyle w:val="Point1letter"/>
        <w:numPr>
          <w:ilvl w:val="3"/>
          <w:numId w:val="14"/>
        </w:numPr>
        <w:rPr>
          <w:noProof/>
        </w:rPr>
      </w:pPr>
      <w:r>
        <w:rPr>
          <w:noProof/>
        </w:rPr>
        <w:t>3 grupės valstybės narės skiria bent 35 proc. savo visų ERPF lėš</w:t>
      </w:r>
      <w:r>
        <w:rPr>
          <w:noProof/>
        </w:rPr>
        <w:t>ų pagal kitus nei techninė parama prioritetus 1-ajam PT ir bent 30 proc. – 2-ajam PT.</w:t>
      </w:r>
    </w:p>
    <w:p w:rsidR="00355A4E" w:rsidRDefault="005F0DB8">
      <w:pPr>
        <w:pStyle w:val="ManualNumPar1"/>
        <w:rPr>
          <w:noProof/>
        </w:rPr>
      </w:pPr>
      <w:r>
        <w:rPr>
          <w:noProof/>
        </w:rPr>
        <w:t>5.</w:t>
      </w:r>
      <w:r>
        <w:rPr>
          <w:noProof/>
        </w:rPr>
        <w:tab/>
        <w:t>4 dalyje nustatyto paramos telkimo pagal temas reikalavimo laikomasi visu programavimo laikotarpiu, įskaitant atvejus, kai ERPF asignavimai perkeliami tarp vienos prog</w:t>
      </w:r>
      <w:r>
        <w:rPr>
          <w:noProof/>
        </w:rPr>
        <w:t>ramos ar programų prioritetų ir per laikotarpio vidurio peržiūrą, vadovaujantis Reglamento (ES) 2018/xxxx [naujojo BNR] [14] straipsniu.</w:t>
      </w:r>
    </w:p>
    <w:p w:rsidR="00355A4E" w:rsidRDefault="005F0DB8">
      <w:pPr>
        <w:pStyle w:val="ManualNumPar1"/>
        <w:rPr>
          <w:noProof/>
        </w:rPr>
      </w:pPr>
      <w:r>
        <w:rPr>
          <w:noProof/>
        </w:rPr>
        <w:t>6.</w:t>
      </w:r>
      <w:r>
        <w:rPr>
          <w:noProof/>
        </w:rPr>
        <w:tab/>
        <w:t>Kai konkrečiai programai pagal 1-ąjį PT arba 2-ąjį PT ar pagal abu politikos tikslus skiriamas ERPF asignavimas suma</w:t>
      </w:r>
      <w:r>
        <w:rPr>
          <w:noProof/>
        </w:rPr>
        <w:t>žinamas dėl įsipareigojimų panaikinimo pagal Reglamento (ES) 2018/xxxx [naujojo BNR] [99] straipsnį arba dėl Komisijos atliekamų finansinių pataisų pagal minėto reglamento [98] straipsnį, atitiktis 4 dalyje nustatytam paramos telkimo pagal temas reikalavim</w:t>
      </w:r>
      <w:r>
        <w:rPr>
          <w:noProof/>
        </w:rPr>
        <w:t>ui pakartotinai neperžiūrima.</w:t>
      </w:r>
    </w:p>
    <w:p w:rsidR="00355A4E" w:rsidRDefault="005F0DB8">
      <w:pPr>
        <w:pStyle w:val="Titrearticle"/>
        <w:rPr>
          <w:noProof/>
        </w:rPr>
      </w:pPr>
      <w:r>
        <w:rPr>
          <w:noProof/>
        </w:rPr>
        <w:t>4 straipsnis</w:t>
      </w:r>
      <w:r>
        <w:rPr>
          <w:noProof/>
        </w:rPr>
        <w:br/>
      </w:r>
      <w:r>
        <w:rPr>
          <w:b/>
          <w:noProof/>
        </w:rPr>
        <w:t>ERPF paramos teikimo sritis</w:t>
      </w:r>
    </w:p>
    <w:p w:rsidR="00355A4E" w:rsidRDefault="005F0DB8">
      <w:pPr>
        <w:pStyle w:val="ManualNumPar1"/>
        <w:rPr>
          <w:noProof/>
        </w:rPr>
      </w:pPr>
      <w:r>
        <w:rPr>
          <w:noProof/>
        </w:rPr>
        <w:t>1.</w:t>
      </w:r>
      <w:r>
        <w:rPr>
          <w:noProof/>
        </w:rPr>
        <w:tab/>
        <w:t>ERPF lėšomis remiama:</w:t>
      </w:r>
    </w:p>
    <w:p w:rsidR="00355A4E" w:rsidRDefault="005F0DB8">
      <w:pPr>
        <w:pStyle w:val="Point1letter"/>
        <w:numPr>
          <w:ilvl w:val="3"/>
          <w:numId w:val="16"/>
        </w:numPr>
        <w:rPr>
          <w:noProof/>
        </w:rPr>
      </w:pPr>
      <w:r>
        <w:rPr>
          <w:noProof/>
        </w:rPr>
        <w:t>investicijos į infrastruktūrą;</w:t>
      </w:r>
    </w:p>
    <w:p w:rsidR="00355A4E" w:rsidRDefault="005F0DB8">
      <w:pPr>
        <w:pStyle w:val="Point1letter"/>
        <w:numPr>
          <w:ilvl w:val="3"/>
          <w:numId w:val="16"/>
        </w:numPr>
        <w:rPr>
          <w:noProof/>
        </w:rPr>
      </w:pPr>
      <w:r>
        <w:rPr>
          <w:noProof/>
        </w:rPr>
        <w:t>investicijos siekiant sudaryti galimybes naudotis paslaugomis;</w:t>
      </w:r>
    </w:p>
    <w:p w:rsidR="00355A4E" w:rsidRDefault="005F0DB8">
      <w:pPr>
        <w:pStyle w:val="Point1letter"/>
        <w:rPr>
          <w:noProof/>
        </w:rPr>
      </w:pPr>
      <w:r>
        <w:rPr>
          <w:noProof/>
        </w:rPr>
        <w:t>gamybinės investicijos į MVĮ;</w:t>
      </w:r>
    </w:p>
    <w:p w:rsidR="00355A4E" w:rsidRDefault="005F0DB8">
      <w:pPr>
        <w:pStyle w:val="Point1letter"/>
        <w:rPr>
          <w:noProof/>
        </w:rPr>
      </w:pPr>
      <w:r>
        <w:rPr>
          <w:noProof/>
        </w:rPr>
        <w:t>investicijos į įrangą, programinę įr</w:t>
      </w:r>
      <w:r>
        <w:rPr>
          <w:noProof/>
        </w:rPr>
        <w:t>angą ir nematerialųjį turtą;</w:t>
      </w:r>
    </w:p>
    <w:p w:rsidR="00355A4E" w:rsidRDefault="005F0DB8">
      <w:pPr>
        <w:pStyle w:val="Point1letter"/>
        <w:rPr>
          <w:noProof/>
        </w:rPr>
      </w:pPr>
      <w:r>
        <w:rPr>
          <w:noProof/>
        </w:rPr>
        <w:t>informavimo, komunikacijos veikla, tyrimai, tinklaveika, bendradarbiavimas, patirties mainai ir su klasteriais susijusi veikla;</w:t>
      </w:r>
    </w:p>
    <w:p w:rsidR="00355A4E" w:rsidRDefault="005F0DB8">
      <w:pPr>
        <w:pStyle w:val="Point1letter"/>
        <w:rPr>
          <w:noProof/>
        </w:rPr>
      </w:pPr>
      <w:r>
        <w:rPr>
          <w:noProof/>
        </w:rPr>
        <w:t>techninė parama.</w:t>
      </w:r>
    </w:p>
    <w:p w:rsidR="00355A4E" w:rsidRDefault="005F0DB8">
      <w:pPr>
        <w:pStyle w:val="Text1"/>
        <w:rPr>
          <w:noProof/>
        </w:rPr>
      </w:pPr>
      <w:r>
        <w:rPr>
          <w:noProof/>
        </w:rPr>
        <w:t>Be to, gamybinės investicijos į kitas nei MVĮ įmones gali būti remiamos, kai jos y</w:t>
      </w:r>
      <w:r>
        <w:rPr>
          <w:noProof/>
        </w:rPr>
        <w:t>ra susijusios su bendradarbiavimu su MVĮ mokslinių tyrimų ir inovacijų veiklos srityje, remiamoje pagal 2 straipsnio 1 dalies a punkto i papunktį.</w:t>
      </w:r>
    </w:p>
    <w:p w:rsidR="00355A4E" w:rsidRDefault="005F0DB8">
      <w:pPr>
        <w:pStyle w:val="Text1"/>
        <w:rPr>
          <w:noProof/>
        </w:rPr>
      </w:pPr>
      <w:r>
        <w:rPr>
          <w:noProof/>
        </w:rPr>
        <w:t>Siekiant prisidėti prie 2 straipsnio 1 dalies a punkto iv papunktyje nustatyto konkretaus tikslo pagal 1-ąjį </w:t>
      </w:r>
      <w:r>
        <w:rPr>
          <w:noProof/>
        </w:rPr>
        <w:t>PT, ERPF lėšomis taip pat remiama mokymo, mokymosi visą gyvenimą ir švietimo veikla.</w:t>
      </w:r>
    </w:p>
    <w:p w:rsidR="00355A4E" w:rsidRDefault="005F0DB8">
      <w:pPr>
        <w:pStyle w:val="ManualNumPar1"/>
        <w:rPr>
          <w:noProof/>
        </w:rPr>
      </w:pPr>
      <w:r>
        <w:rPr>
          <w:noProof/>
        </w:rPr>
        <w:t>2.</w:t>
      </w:r>
      <w:r>
        <w:rPr>
          <w:noProof/>
        </w:rPr>
        <w:tab/>
        <w:t>Pagal Europos teritorinio bendradarbiavimo tikslą (INTERREG) ERPF lėšomis taip pat gali būti remiama:</w:t>
      </w:r>
    </w:p>
    <w:p w:rsidR="00355A4E" w:rsidRDefault="005F0DB8">
      <w:pPr>
        <w:pStyle w:val="Point1letter"/>
        <w:numPr>
          <w:ilvl w:val="3"/>
          <w:numId w:val="15"/>
        </w:numPr>
        <w:rPr>
          <w:noProof/>
        </w:rPr>
      </w:pPr>
      <w:r>
        <w:rPr>
          <w:noProof/>
        </w:rPr>
        <w:t>dalijimasis įranga ir žmogiškaisiais ištekliais;</w:t>
      </w:r>
    </w:p>
    <w:p w:rsidR="00355A4E" w:rsidRDefault="005F0DB8">
      <w:pPr>
        <w:pStyle w:val="Point1letter"/>
        <w:numPr>
          <w:ilvl w:val="3"/>
          <w:numId w:val="15"/>
        </w:numPr>
        <w:rPr>
          <w:noProof/>
        </w:rPr>
      </w:pPr>
      <w:r>
        <w:rPr>
          <w:noProof/>
        </w:rPr>
        <w:t xml:space="preserve">papildančios </w:t>
      </w:r>
      <w:r>
        <w:rPr>
          <w:noProof/>
        </w:rPr>
        <w:t>netiesioginio poveikio investicijos ir kiti su 4-uoju PT susiję veiksmai, patenkantys į „Europos socialinio fondo plius“ taikymo sritį, kaip nustatyta Reglamentu (ES) 2018/xxxx [naujuoju ESF+].</w:t>
      </w:r>
    </w:p>
    <w:p w:rsidR="00355A4E" w:rsidRDefault="005F0DB8">
      <w:pPr>
        <w:pStyle w:val="Titrearticle"/>
        <w:rPr>
          <w:noProof/>
        </w:rPr>
      </w:pPr>
      <w:r>
        <w:rPr>
          <w:noProof/>
        </w:rPr>
        <w:t>5 straipsnis</w:t>
      </w:r>
      <w:r>
        <w:rPr>
          <w:noProof/>
        </w:rPr>
        <w:br/>
      </w:r>
      <w:r>
        <w:rPr>
          <w:b/>
          <w:noProof/>
        </w:rPr>
        <w:t>Sanglaudos fondo paramos teikimo sritis</w:t>
      </w:r>
    </w:p>
    <w:p w:rsidR="00355A4E" w:rsidRDefault="005F0DB8">
      <w:pPr>
        <w:pStyle w:val="ManualNumPar1"/>
        <w:rPr>
          <w:noProof/>
        </w:rPr>
      </w:pPr>
      <w:r>
        <w:rPr>
          <w:noProof/>
        </w:rPr>
        <w:t>1.</w:t>
      </w:r>
      <w:r>
        <w:rPr>
          <w:noProof/>
        </w:rPr>
        <w:tab/>
      </w:r>
      <w:r>
        <w:rPr>
          <w:noProof/>
        </w:rPr>
        <w:t>Sanglaudos fondo lėšomis remiama:</w:t>
      </w:r>
    </w:p>
    <w:p w:rsidR="00355A4E" w:rsidRDefault="005F0DB8">
      <w:pPr>
        <w:pStyle w:val="Point1letter"/>
        <w:numPr>
          <w:ilvl w:val="3"/>
          <w:numId w:val="12"/>
        </w:numPr>
        <w:rPr>
          <w:noProof/>
        </w:rPr>
      </w:pPr>
      <w:r>
        <w:rPr>
          <w:noProof/>
        </w:rPr>
        <w:t>investicijos į aplinką, įskaitant investicijas, susijusias su darniu vystymusi ir energetika, kurios turi aplinkosauginės naudos;</w:t>
      </w:r>
    </w:p>
    <w:p w:rsidR="00355A4E" w:rsidRDefault="005F0DB8">
      <w:pPr>
        <w:pStyle w:val="Point1letter"/>
        <w:rPr>
          <w:noProof/>
        </w:rPr>
      </w:pPr>
      <w:r>
        <w:rPr>
          <w:noProof/>
        </w:rPr>
        <w:t xml:space="preserve">investicijos į TEN-T; </w:t>
      </w:r>
    </w:p>
    <w:p w:rsidR="00355A4E" w:rsidRDefault="005F0DB8">
      <w:pPr>
        <w:pStyle w:val="Point1letter"/>
        <w:rPr>
          <w:noProof/>
        </w:rPr>
      </w:pPr>
      <w:r>
        <w:rPr>
          <w:noProof/>
        </w:rPr>
        <w:t>techninė parama.</w:t>
      </w:r>
    </w:p>
    <w:p w:rsidR="00355A4E" w:rsidRDefault="005F0DB8">
      <w:pPr>
        <w:pStyle w:val="Text1"/>
        <w:rPr>
          <w:noProof/>
        </w:rPr>
      </w:pPr>
      <w:r>
        <w:rPr>
          <w:noProof/>
        </w:rPr>
        <w:t xml:space="preserve">Valstybės narės užtikrina tinkamą investicijų pagal </w:t>
      </w:r>
      <w:r>
        <w:rPr>
          <w:noProof/>
        </w:rPr>
        <w:t>a ir b punktus pusiausvyrą.</w:t>
      </w:r>
    </w:p>
    <w:p w:rsidR="00355A4E" w:rsidRDefault="005F0DB8">
      <w:pPr>
        <w:pStyle w:val="ManualNumPar1"/>
        <w:rPr>
          <w:noProof/>
        </w:rPr>
      </w:pPr>
      <w:r>
        <w:rPr>
          <w:noProof/>
        </w:rPr>
        <w:t>2.</w:t>
      </w:r>
      <w:r>
        <w:rPr>
          <w:noProof/>
        </w:rPr>
        <w:tab/>
        <w:t>Iš Sanglaudos fondo Europos infrastruktūros tinklų priemonei</w:t>
      </w:r>
      <w:r>
        <w:rPr>
          <w:rStyle w:val="Puslapioinaosnuoroda"/>
          <w:noProof/>
        </w:rPr>
        <w:footnoteReference w:id="23"/>
      </w:r>
      <w:r>
        <w:rPr>
          <w:noProof/>
        </w:rPr>
        <w:t xml:space="preserve"> pervesta suma </w:t>
      </w:r>
      <w:r>
        <w:rPr>
          <w:noProof/>
          <w:color w:val="000000"/>
        </w:rPr>
        <w:t>naudojama TEN-T projektams įgyvendinti</w:t>
      </w:r>
      <w:r>
        <w:rPr>
          <w:noProof/>
        </w:rPr>
        <w:t>.</w:t>
      </w:r>
    </w:p>
    <w:p w:rsidR="00355A4E" w:rsidRDefault="005F0DB8">
      <w:pPr>
        <w:pStyle w:val="Titrearticle"/>
        <w:rPr>
          <w:noProof/>
        </w:rPr>
      </w:pPr>
      <w:r>
        <w:rPr>
          <w:noProof/>
        </w:rPr>
        <w:t>6 straipsnis</w:t>
      </w:r>
      <w:r>
        <w:rPr>
          <w:noProof/>
        </w:rPr>
        <w:br/>
      </w:r>
      <w:r>
        <w:rPr>
          <w:b/>
          <w:noProof/>
        </w:rPr>
        <w:t>ERPF ir Sanglaudos fondo taikymo srities išimtys</w:t>
      </w:r>
    </w:p>
    <w:p w:rsidR="00355A4E" w:rsidRDefault="005F0DB8">
      <w:pPr>
        <w:pStyle w:val="ManualNumPar1"/>
        <w:rPr>
          <w:noProof/>
        </w:rPr>
      </w:pPr>
      <w:r>
        <w:rPr>
          <w:noProof/>
        </w:rPr>
        <w:t>1.</w:t>
      </w:r>
      <w:r>
        <w:rPr>
          <w:noProof/>
        </w:rPr>
        <w:tab/>
        <w:t>ERPF ir Sanglaudos fondo lėšomis neremiama:</w:t>
      </w:r>
    </w:p>
    <w:p w:rsidR="00355A4E" w:rsidRDefault="005F0DB8">
      <w:pPr>
        <w:pStyle w:val="Point1letter"/>
        <w:numPr>
          <w:ilvl w:val="3"/>
          <w:numId w:val="1"/>
        </w:numPr>
        <w:rPr>
          <w:noProof/>
        </w:rPr>
      </w:pPr>
      <w:r>
        <w:rPr>
          <w:noProof/>
        </w:rPr>
        <w:t>atominių elektrinių eksploatacijos nutraukimas ar statyba;</w:t>
      </w:r>
    </w:p>
    <w:p w:rsidR="00355A4E" w:rsidRDefault="005F0DB8">
      <w:pPr>
        <w:pStyle w:val="Point1letter"/>
        <w:rPr>
          <w:noProof/>
        </w:rPr>
      </w:pPr>
      <w:r>
        <w:rPr>
          <w:noProof/>
        </w:rPr>
        <w:t>investicijos, kuriomis siekiama sumažinti išmetamą šiltnamio efektą sukeliančių dujų kiekį vykdant Europos Parlamento ir Tarybos direktyvos 2003/87/EB</w:t>
      </w:r>
      <w:r>
        <w:rPr>
          <w:rStyle w:val="Puslapioinaosnuoroda"/>
          <w:noProof/>
        </w:rPr>
        <w:footnoteReference w:id="24"/>
      </w:r>
      <w:r>
        <w:rPr>
          <w:noProof/>
        </w:rPr>
        <w:t xml:space="preserve"> I priede išvardytą veiklą;</w:t>
      </w:r>
    </w:p>
    <w:p w:rsidR="00355A4E" w:rsidRDefault="005F0DB8">
      <w:pPr>
        <w:pStyle w:val="Point1letter"/>
        <w:rPr>
          <w:noProof/>
        </w:rPr>
      </w:pPr>
      <w:r>
        <w:rPr>
          <w:noProof/>
        </w:rPr>
        <w:t>tabako ir tabako g</w:t>
      </w:r>
      <w:r>
        <w:rPr>
          <w:noProof/>
        </w:rPr>
        <w:t>aminių gamyba, apdorojimas ir prekyba;</w:t>
      </w:r>
    </w:p>
    <w:p w:rsidR="00355A4E" w:rsidRDefault="005F0DB8">
      <w:pPr>
        <w:pStyle w:val="Point1letter"/>
        <w:rPr>
          <w:noProof/>
        </w:rPr>
      </w:pPr>
      <w:r>
        <w:rPr>
          <w:noProof/>
        </w:rPr>
        <w:t>sunkumų patiriančios įmonės, kaip apibrėžta Komisijos reglamento (ES) Nr. 651/2014</w:t>
      </w:r>
      <w:r>
        <w:rPr>
          <w:rStyle w:val="Puslapioinaosnuoroda"/>
          <w:noProof/>
        </w:rPr>
        <w:footnoteReference w:id="25"/>
      </w:r>
      <w:r>
        <w:rPr>
          <w:noProof/>
        </w:rPr>
        <w:t xml:space="preserve"> 2 straipsnio 18 punkte;</w:t>
      </w:r>
    </w:p>
    <w:p w:rsidR="00355A4E" w:rsidRDefault="005F0DB8">
      <w:pPr>
        <w:pStyle w:val="Point1letter"/>
        <w:rPr>
          <w:noProof/>
        </w:rPr>
      </w:pPr>
      <w:r>
        <w:rPr>
          <w:noProof/>
        </w:rPr>
        <w:t>investicijos į oro uostų infrastruktūrą, išskyrus investicijas atokiausiuose regionuose;</w:t>
      </w:r>
    </w:p>
    <w:p w:rsidR="00355A4E" w:rsidRDefault="005F0DB8">
      <w:pPr>
        <w:pStyle w:val="Point1letter"/>
        <w:rPr>
          <w:noProof/>
        </w:rPr>
      </w:pPr>
      <w:r>
        <w:rPr>
          <w:noProof/>
        </w:rPr>
        <w:t>investicijos į atlie</w:t>
      </w:r>
      <w:r>
        <w:rPr>
          <w:noProof/>
        </w:rPr>
        <w:t>kų šalinimą sąvartynuose;</w:t>
      </w:r>
    </w:p>
    <w:p w:rsidR="00355A4E" w:rsidRDefault="005F0DB8">
      <w:pPr>
        <w:pStyle w:val="Point1letter"/>
        <w:rPr>
          <w:noProof/>
        </w:rPr>
      </w:pPr>
      <w:r>
        <w:rPr>
          <w:noProof/>
        </w:rPr>
        <w:t>investicijos į galutinių atliekų apdorojimo įrenginius;</w:t>
      </w:r>
    </w:p>
    <w:p w:rsidR="00355A4E" w:rsidRDefault="005F0DB8">
      <w:pPr>
        <w:pStyle w:val="Point1letter"/>
        <w:rPr>
          <w:noProof/>
        </w:rPr>
      </w:pPr>
      <w:r>
        <w:rPr>
          <w:noProof/>
        </w:rPr>
        <w:t>investicijos, susijusios su iškastinio kuro gamyba, perdirbimu, paskirstymu, saugojimu ar deginimu, išskyrus investicijas, susijusias su netaršiomis transporto priemonėmis, k</w:t>
      </w:r>
      <w:r>
        <w:rPr>
          <w:noProof/>
        </w:rPr>
        <w:t>aip apibrėžta Europos Parlamento ir Tarybos direktyvos 2009/33/EB</w:t>
      </w:r>
      <w:r>
        <w:rPr>
          <w:rStyle w:val="Puslapioinaosnuoroda"/>
          <w:noProof/>
        </w:rPr>
        <w:footnoteReference w:id="26"/>
      </w:r>
      <w:r>
        <w:rPr>
          <w:noProof/>
        </w:rPr>
        <w:t xml:space="preserve"> 4 straipsnyje;</w:t>
      </w:r>
    </w:p>
    <w:p w:rsidR="00355A4E" w:rsidRDefault="005F0DB8">
      <w:pPr>
        <w:pStyle w:val="Point1letter"/>
        <w:rPr>
          <w:noProof/>
        </w:rPr>
      </w:pPr>
      <w:r>
        <w:rPr>
          <w:noProof/>
        </w:rPr>
        <w:t>investicijos į plačiajuosčio ryšio infrastruktūras vietovėse, kuriose yra bent du tos pačios kategorijos plačiajuosčio ryšio tinklai;</w:t>
      </w:r>
    </w:p>
    <w:p w:rsidR="00355A4E" w:rsidRDefault="005F0DB8">
      <w:pPr>
        <w:pStyle w:val="Point1letter"/>
        <w:rPr>
          <w:noProof/>
        </w:rPr>
      </w:pPr>
      <w:r>
        <w:rPr>
          <w:noProof/>
        </w:rPr>
        <w:t>finansavimas riedmenims, skirtiems naudo</w:t>
      </w:r>
      <w:r>
        <w:rPr>
          <w:noProof/>
        </w:rPr>
        <w:t>ti geležinkelių transporto srityje, pirkti, išskyrus tuos atvejus, kai tas finansavimas susijęs su:</w:t>
      </w:r>
    </w:p>
    <w:p w:rsidR="00355A4E" w:rsidRDefault="005F0DB8">
      <w:pPr>
        <w:pStyle w:val="Point2"/>
        <w:rPr>
          <w:noProof/>
        </w:rPr>
      </w:pPr>
      <w:r>
        <w:rPr>
          <w:noProof/>
        </w:rPr>
        <w:t>i) įpareigojimo teikti viešąsias paslaugas pagal viešąjį konkursą vykdymu pagal Reglamentą 1370/2007 su pakeitimais;</w:t>
      </w:r>
    </w:p>
    <w:p w:rsidR="00355A4E" w:rsidRDefault="005F0DB8">
      <w:pPr>
        <w:pStyle w:val="Point2"/>
        <w:rPr>
          <w:noProof/>
        </w:rPr>
      </w:pPr>
      <w:r>
        <w:rPr>
          <w:noProof/>
        </w:rPr>
        <w:t>ii) geležinkelio transporto paslaugų te</w:t>
      </w:r>
      <w:r>
        <w:rPr>
          <w:noProof/>
        </w:rPr>
        <w:t>ikimu konkurencijai visiškai atvertais maršrutais, o paramos gavėjas yra naujas rinkos dalyvis, atitinkantis finansavimo reikalavimus pagal Reglamentą (ES) 2018/xxxx [„InvestEU“ reglamentą].</w:t>
      </w:r>
    </w:p>
    <w:p w:rsidR="00355A4E" w:rsidRDefault="005F0DB8">
      <w:pPr>
        <w:pStyle w:val="ManualNumPar1"/>
        <w:rPr>
          <w:noProof/>
        </w:rPr>
      </w:pPr>
      <w:r>
        <w:rPr>
          <w:noProof/>
        </w:rPr>
        <w:t>2.</w:t>
      </w:r>
      <w:r>
        <w:rPr>
          <w:noProof/>
        </w:rPr>
        <w:tab/>
        <w:t>Be to, Sanglaudos fondo lėšomis neremiamos investicijos į būst</w:t>
      </w:r>
      <w:r>
        <w:rPr>
          <w:noProof/>
        </w:rPr>
        <w:t>ų sektorių, nebent jos būtų susijusios su energijos vartojimo efektyvumo ar atsinaujinančiosios energijos naudojimo skatinimu.</w:t>
      </w:r>
    </w:p>
    <w:p w:rsidR="00355A4E" w:rsidRDefault="005F0DB8">
      <w:pPr>
        <w:pStyle w:val="ManualNumPar1"/>
        <w:rPr>
          <w:noProof/>
        </w:rPr>
      </w:pPr>
      <w:r>
        <w:rPr>
          <w:noProof/>
        </w:rPr>
        <w:t>3.</w:t>
      </w:r>
      <w:r>
        <w:rPr>
          <w:noProof/>
        </w:rPr>
        <w:tab/>
        <w:t>Užjūrio šalims ir teritorijoms negali būti teikiama ERPF ir Sanglaudos fondo parama, tačiau jos gali dalyvauti INTERREG progra</w:t>
      </w:r>
      <w:r>
        <w:rPr>
          <w:noProof/>
        </w:rPr>
        <w:t>mose pagal Reglamente (ES) Nr. 2018/xxxx [ETB (INTERREG) reglamente] nustatytas sąlygas.</w:t>
      </w:r>
    </w:p>
    <w:p w:rsidR="00355A4E" w:rsidRDefault="005F0DB8">
      <w:pPr>
        <w:pStyle w:val="Titrearticle"/>
        <w:rPr>
          <w:noProof/>
        </w:rPr>
      </w:pPr>
      <w:r>
        <w:rPr>
          <w:noProof/>
        </w:rPr>
        <w:t>7 straipsnis</w:t>
      </w:r>
      <w:r>
        <w:rPr>
          <w:noProof/>
        </w:rPr>
        <w:br/>
      </w:r>
      <w:r>
        <w:rPr>
          <w:b/>
          <w:noProof/>
        </w:rPr>
        <w:t>Rodikliai</w:t>
      </w:r>
    </w:p>
    <w:p w:rsidR="00355A4E" w:rsidRDefault="005F0DB8">
      <w:pPr>
        <w:pStyle w:val="ManualNumPar1"/>
        <w:rPr>
          <w:noProof/>
        </w:rPr>
      </w:pPr>
      <w:r>
        <w:rPr>
          <w:noProof/>
        </w:rPr>
        <w:t>1.</w:t>
      </w:r>
      <w:r>
        <w:rPr>
          <w:noProof/>
        </w:rPr>
        <w:tab/>
        <w:t xml:space="preserve">Šio reglamento I priede nustatyti su ERPF ir Sanglaudos fondu susiję bendrieji produkto ir rezultato rodikliai ir prireikus konkrečios </w:t>
      </w:r>
      <w:r>
        <w:rPr>
          <w:noProof/>
        </w:rPr>
        <w:t>programos produkto ir rezultato rodikliai taikomi pagal Reglamento (ES) 2018/xxxx [naujojo BNR] [12] straipsnio [1] dalies antros pastraipos a punktą, [17] straipsnio [3] dalies d punkto ii papunktį ir [37] straipsnio [2] dalies b punktą.</w:t>
      </w:r>
    </w:p>
    <w:p w:rsidR="00355A4E" w:rsidRDefault="005F0DB8">
      <w:pPr>
        <w:pStyle w:val="ManualNumPar1"/>
        <w:rPr>
          <w:noProof/>
        </w:rPr>
      </w:pPr>
      <w:r>
        <w:rPr>
          <w:noProof/>
        </w:rPr>
        <w:t>2.</w:t>
      </w:r>
      <w:r>
        <w:rPr>
          <w:noProof/>
        </w:rPr>
        <w:tab/>
        <w:t>Produkto rodik</w:t>
      </w:r>
      <w:r>
        <w:rPr>
          <w:noProof/>
        </w:rPr>
        <w:t>liams nustatoma nulinė pradinė reikšmė. 2024 m. nustatytos tarpinės reikšmės ir 2029 m. nustatytos siektinos reikšmės yra sumuojamos.</w:t>
      </w:r>
    </w:p>
    <w:p w:rsidR="00355A4E" w:rsidRDefault="005F0DB8">
      <w:pPr>
        <w:pStyle w:val="ManualNumPar1"/>
        <w:rPr>
          <w:noProof/>
        </w:rPr>
      </w:pPr>
      <w:r>
        <w:rPr>
          <w:noProof/>
        </w:rPr>
        <w:t>3.</w:t>
      </w:r>
      <w:r>
        <w:rPr>
          <w:noProof/>
        </w:rPr>
        <w:tab/>
        <w:t>Komisija, laikydamasi savo ataskaitų teikimo reikalavimo pagal Finansinio reglamento [38] straipsnio [3] dalies [e] pun</w:t>
      </w:r>
      <w:r>
        <w:rPr>
          <w:noProof/>
        </w:rPr>
        <w:t>kto [i] papunktį, teikia Europos Parlamentui ir Tarybai informaciją apie programų veiklos rezultatus pagal II priedą.</w:t>
      </w:r>
    </w:p>
    <w:p w:rsidR="00355A4E" w:rsidRDefault="005F0DB8">
      <w:pPr>
        <w:pStyle w:val="ManualNumPar1"/>
        <w:rPr>
          <w:noProof/>
        </w:rPr>
      </w:pPr>
      <w:r>
        <w:rPr>
          <w:noProof/>
        </w:rPr>
        <w:t>4.</w:t>
      </w:r>
      <w:r>
        <w:rPr>
          <w:noProof/>
        </w:rPr>
        <w:tab/>
        <w:t xml:space="preserve">Komisijai pagal 13 straipsnį suteikiami įgaliojimai priimti deleguotuosius aktus siekiant iš dalies pakeisti I priedą, kad būtų galima </w:t>
      </w:r>
      <w:r>
        <w:rPr>
          <w:noProof/>
        </w:rPr>
        <w:t xml:space="preserve">atlikti būtinus valstybių narių naudojamų rodiklių sąrašo pakeitimus, ir siekiant iš dalies pakeisti II priedą, kad būtų galima atlikti būtinus Europos Parlamentui ir Tarybai teiktinos informacijos apie veiklos rezultatus pakeitimus. </w:t>
      </w:r>
    </w:p>
    <w:p w:rsidR="00355A4E" w:rsidRDefault="005F0DB8">
      <w:pPr>
        <w:pStyle w:val="ChapterTitle"/>
        <w:spacing w:before="360"/>
        <w:rPr>
          <w:noProof/>
        </w:rPr>
      </w:pPr>
      <w:r>
        <w:rPr>
          <w:noProof/>
        </w:rPr>
        <w:t>II SKYRIUS</w:t>
      </w:r>
      <w:r>
        <w:rPr>
          <w:noProof/>
        </w:rPr>
        <w:br/>
        <w:t>Konkrečios</w:t>
      </w:r>
      <w:r>
        <w:rPr>
          <w:noProof/>
        </w:rPr>
        <w:t xml:space="preserve"> nuostatos dėl tam tikrų teritorinių aspektų</w:t>
      </w:r>
    </w:p>
    <w:p w:rsidR="00355A4E" w:rsidRDefault="005F0DB8">
      <w:pPr>
        <w:pStyle w:val="Titrearticle"/>
        <w:rPr>
          <w:noProof/>
        </w:rPr>
      </w:pPr>
      <w:r>
        <w:rPr>
          <w:noProof/>
        </w:rPr>
        <w:t>8 straipsnis</w:t>
      </w:r>
      <w:r>
        <w:rPr>
          <w:noProof/>
        </w:rPr>
        <w:br/>
      </w:r>
      <w:r>
        <w:rPr>
          <w:b/>
          <w:noProof/>
        </w:rPr>
        <w:t>Integruotas teritorijų vystymas</w:t>
      </w:r>
    </w:p>
    <w:p w:rsidR="00355A4E" w:rsidRDefault="005F0DB8">
      <w:pPr>
        <w:pStyle w:val="ManualNumPar1"/>
        <w:rPr>
          <w:noProof/>
        </w:rPr>
      </w:pPr>
      <w:r>
        <w:rPr>
          <w:noProof/>
        </w:rPr>
        <w:t>1.</w:t>
      </w:r>
      <w:r>
        <w:rPr>
          <w:noProof/>
        </w:rPr>
        <w:tab/>
        <w:t>ERPF lėšomis gali būti remiamas integruotas teritorijų vystymas įgyvendinant programas pagal abu tikslus, nurodytus Reglamento (ES) 2018/xxxx [naujojo BNR] 4 strai</w:t>
      </w:r>
      <w:r>
        <w:rPr>
          <w:noProof/>
        </w:rPr>
        <w:t>psnio 2 dalyje, vadovaujantis šio reglamento [naujojo BNR] III antraštinės dalies II skyriumi.</w:t>
      </w:r>
    </w:p>
    <w:p w:rsidR="00355A4E" w:rsidRDefault="005F0DB8">
      <w:pPr>
        <w:pStyle w:val="ManualNumPar1"/>
        <w:rPr>
          <w:noProof/>
        </w:rPr>
      </w:pPr>
      <w:r>
        <w:rPr>
          <w:noProof/>
        </w:rPr>
        <w:t>2.</w:t>
      </w:r>
      <w:r>
        <w:rPr>
          <w:noProof/>
        </w:rPr>
        <w:tab/>
        <w:t>Valstybės narės įgyvendina ERPF lėšomis remiamus integruoto teritorijų vystymo veiksmus vien tik Reglamento (ES) 2018/xxxx [naujojo BNR] [22] straipsnyje nuro</w:t>
      </w:r>
      <w:r>
        <w:rPr>
          <w:noProof/>
        </w:rPr>
        <w:t>dytais būdais.</w:t>
      </w:r>
    </w:p>
    <w:p w:rsidR="00355A4E" w:rsidRDefault="005F0DB8">
      <w:pPr>
        <w:pStyle w:val="Titrearticle"/>
        <w:rPr>
          <w:noProof/>
        </w:rPr>
      </w:pPr>
      <w:r>
        <w:rPr>
          <w:noProof/>
        </w:rPr>
        <w:t>9 straipsnis</w:t>
      </w:r>
      <w:r>
        <w:rPr>
          <w:noProof/>
        </w:rPr>
        <w:br/>
      </w:r>
      <w:r>
        <w:rPr>
          <w:b/>
          <w:noProof/>
        </w:rPr>
        <w:t>Tvari miestų plėtra</w:t>
      </w:r>
    </w:p>
    <w:p w:rsidR="00355A4E" w:rsidRDefault="005F0DB8">
      <w:pPr>
        <w:pStyle w:val="ManualNumPar1"/>
        <w:rPr>
          <w:noProof/>
        </w:rPr>
      </w:pPr>
      <w:r>
        <w:rPr>
          <w:noProof/>
        </w:rPr>
        <w:t>1.</w:t>
      </w:r>
      <w:r>
        <w:rPr>
          <w:noProof/>
        </w:rPr>
        <w:tab/>
        <w:t>ERPF lėšomis remiamas teritorinėmis strategijomis grindžiamas integruotas teritorijų vystymas pagal Reglamento (ES) 2018/xxxx [naujojo BNR] [23] straipsnį, kuriuo daugiausia dėmesio skiriama miestų vietovė</w:t>
      </w:r>
      <w:r>
        <w:rPr>
          <w:noProof/>
        </w:rPr>
        <w:t xml:space="preserve">ms („tvari miestų plėtra“) įgyvendinant programas pagal abu šio reglamento 4 straipsnio 2 dalyje nurodytus tikslus. </w:t>
      </w:r>
    </w:p>
    <w:p w:rsidR="00355A4E" w:rsidRDefault="005F0DB8">
      <w:pPr>
        <w:pStyle w:val="ManualNumPar1"/>
        <w:rPr>
          <w:noProof/>
        </w:rPr>
      </w:pPr>
      <w:r>
        <w:rPr>
          <w:noProof/>
        </w:rPr>
        <w:t>2.</w:t>
      </w:r>
      <w:r>
        <w:rPr>
          <w:noProof/>
        </w:rPr>
        <w:tab/>
        <w:t xml:space="preserve">Bent 6 proc. visų ERPF lėšų nacionaliniu lygmeniu pagal investicijų į darbo vietų kūrimą ir ekonomikos augimą tikslą, išskyrus techninę </w:t>
      </w:r>
      <w:r>
        <w:rPr>
          <w:noProof/>
        </w:rPr>
        <w:t>paramą, skiriama tvariai miestų plėtrai pasitelkiant bendruomenės inicijuotą vietos plėtrą, integruotas teritorines investicijas ar kitą teritorinę priemonę pagal 5-ąjį PT.</w:t>
      </w:r>
    </w:p>
    <w:p w:rsidR="00355A4E" w:rsidRDefault="005F0DB8">
      <w:pPr>
        <w:pStyle w:val="Text1"/>
        <w:rPr>
          <w:noProof/>
        </w:rPr>
      </w:pPr>
      <w:r>
        <w:rPr>
          <w:noProof/>
        </w:rPr>
        <w:t xml:space="preserve">Atitinkamoje programoje ar programose nustatomos šiuo tikslu numatytos sumos pagal </w:t>
      </w:r>
      <w:r>
        <w:rPr>
          <w:noProof/>
        </w:rPr>
        <w:t>Reglamento (ES) 2018/xxxx [naujojo BNR] [17] straipsnio [3] dalies d punkto vii papunktį.</w:t>
      </w:r>
    </w:p>
    <w:p w:rsidR="00355A4E" w:rsidRDefault="005F0DB8">
      <w:pPr>
        <w:pStyle w:val="ManualNumPar1"/>
        <w:rPr>
          <w:noProof/>
        </w:rPr>
      </w:pPr>
      <w:r>
        <w:rPr>
          <w:noProof/>
        </w:rPr>
        <w:t>3.</w:t>
      </w:r>
      <w:r>
        <w:rPr>
          <w:noProof/>
        </w:rPr>
        <w:tab/>
        <w:t>Tvariai miestų plėtrai pagal 2 dalį skirtų lėšų procentinės dalies turėtų būti laikomasi visu programavimo laikotarpiu, kai ERPF lėšos perkeliamos tarp vienos prog</w:t>
      </w:r>
      <w:r>
        <w:rPr>
          <w:noProof/>
        </w:rPr>
        <w:t xml:space="preserve">ramos ar programų prioritetų, įskaitant ir per laikotarpio vidurio peržiūrą, vadovaujantis Reglamento (ES) 2018/xxxx [naujojo BNR] [14] straipsniu. </w:t>
      </w:r>
    </w:p>
    <w:p w:rsidR="00355A4E" w:rsidRDefault="005F0DB8">
      <w:pPr>
        <w:pStyle w:val="ManualNumPar1"/>
        <w:rPr>
          <w:noProof/>
        </w:rPr>
      </w:pPr>
      <w:r>
        <w:rPr>
          <w:noProof/>
        </w:rPr>
        <w:t>4.</w:t>
      </w:r>
      <w:r>
        <w:rPr>
          <w:noProof/>
        </w:rPr>
        <w:tab/>
        <w:t xml:space="preserve">Kai skiriamos ERPF lėšos sumažinamos dėl įsipareigojimų panaikinimo pagal Reglamento (ES) [naujojo BNR] </w:t>
      </w:r>
      <w:r>
        <w:rPr>
          <w:noProof/>
        </w:rPr>
        <w:t>[99] straipsnį arba dėl Komisijos pagal šio reglamento [98] straipsnį atliekamų finansinių pataisų, 2 dalies nuostatų laikymasis pakartotinai neperžiūrimas.</w:t>
      </w:r>
    </w:p>
    <w:p w:rsidR="00355A4E" w:rsidRDefault="005F0DB8">
      <w:pPr>
        <w:pStyle w:val="Titrearticle"/>
        <w:rPr>
          <w:noProof/>
        </w:rPr>
      </w:pPr>
      <w:r>
        <w:rPr>
          <w:noProof/>
        </w:rPr>
        <w:t>10 straipsnis</w:t>
      </w:r>
      <w:r>
        <w:rPr>
          <w:noProof/>
        </w:rPr>
        <w:br/>
      </w:r>
      <w:r>
        <w:rPr>
          <w:b/>
          <w:noProof/>
        </w:rPr>
        <w:t>Europos miestų iniciatyva</w:t>
      </w:r>
    </w:p>
    <w:p w:rsidR="00355A4E" w:rsidRDefault="005F0DB8">
      <w:pPr>
        <w:pStyle w:val="ManualNumPar1"/>
        <w:rPr>
          <w:noProof/>
        </w:rPr>
      </w:pPr>
      <w:r>
        <w:rPr>
          <w:noProof/>
        </w:rPr>
        <w:t>1.</w:t>
      </w:r>
      <w:r>
        <w:rPr>
          <w:noProof/>
        </w:rPr>
        <w:tab/>
        <w:t>ERPF lėšomis taip pat remiama Europos miestų iniciatyva,</w:t>
      </w:r>
      <w:r>
        <w:rPr>
          <w:noProof/>
        </w:rPr>
        <w:t xml:space="preserve"> kurią pagal tiesioginio ir netiesioginio valdymo principą įgyvendina Komisija.</w:t>
      </w:r>
    </w:p>
    <w:p w:rsidR="00355A4E" w:rsidRDefault="005F0DB8">
      <w:pPr>
        <w:pStyle w:val="Text1"/>
        <w:rPr>
          <w:noProof/>
        </w:rPr>
      </w:pPr>
      <w:r>
        <w:rPr>
          <w:noProof/>
        </w:rPr>
        <w:t>Ši iniciatyva taikoma visoms miestų vietovėms ir ja remiama Sąjungos miestų darbotvarkė.</w:t>
      </w:r>
    </w:p>
    <w:p w:rsidR="00355A4E" w:rsidRDefault="005F0DB8">
      <w:pPr>
        <w:pStyle w:val="ManualNumPar1"/>
        <w:rPr>
          <w:noProof/>
        </w:rPr>
      </w:pPr>
      <w:r>
        <w:rPr>
          <w:noProof/>
        </w:rPr>
        <w:t>2.</w:t>
      </w:r>
      <w:r>
        <w:rPr>
          <w:noProof/>
        </w:rPr>
        <w:tab/>
        <w:t>Europos miestų iniciatyvą sudaro toliau pateiktos trys kryptys, kurios visos susijus</w:t>
      </w:r>
      <w:r>
        <w:rPr>
          <w:noProof/>
        </w:rPr>
        <w:t>ios su tvaria miestų plėtra:</w:t>
      </w:r>
    </w:p>
    <w:p w:rsidR="00355A4E" w:rsidRDefault="005F0DB8">
      <w:pPr>
        <w:pStyle w:val="Point1letter"/>
        <w:numPr>
          <w:ilvl w:val="3"/>
          <w:numId w:val="13"/>
        </w:numPr>
        <w:rPr>
          <w:noProof/>
        </w:rPr>
      </w:pPr>
      <w:r>
        <w:rPr>
          <w:noProof/>
        </w:rPr>
        <w:t>parama gebėjimų stiprinimui,</w:t>
      </w:r>
    </w:p>
    <w:p w:rsidR="00355A4E" w:rsidRDefault="005F0DB8">
      <w:pPr>
        <w:pStyle w:val="Point1letter"/>
        <w:numPr>
          <w:ilvl w:val="3"/>
          <w:numId w:val="13"/>
        </w:numPr>
        <w:rPr>
          <w:noProof/>
        </w:rPr>
      </w:pPr>
      <w:r>
        <w:rPr>
          <w:noProof/>
        </w:rPr>
        <w:t>parama naujoviškiems veiksmams,</w:t>
      </w:r>
    </w:p>
    <w:p w:rsidR="00355A4E" w:rsidRDefault="005F0DB8">
      <w:pPr>
        <w:pStyle w:val="Point1letter"/>
        <w:numPr>
          <w:ilvl w:val="3"/>
          <w:numId w:val="13"/>
        </w:numPr>
        <w:rPr>
          <w:noProof/>
        </w:rPr>
      </w:pPr>
      <w:r>
        <w:rPr>
          <w:noProof/>
        </w:rPr>
        <w:t>parama žinioms, politikos kūrimui ir komunikacijos veiklai.</w:t>
      </w:r>
    </w:p>
    <w:p w:rsidR="00355A4E" w:rsidRDefault="005F0DB8">
      <w:pPr>
        <w:pStyle w:val="Text1"/>
        <w:rPr>
          <w:noProof/>
        </w:rPr>
      </w:pPr>
      <w:r>
        <w:rPr>
          <w:noProof/>
        </w:rPr>
        <w:t>Vienos ar daugiau valstybių narių prašymu, Europos miestų iniciatyva taip pat gali būti remiamas tarpvyria</w:t>
      </w:r>
      <w:r>
        <w:rPr>
          <w:noProof/>
        </w:rPr>
        <w:t>usybinis bendradarbiavimas miestų klausimais.</w:t>
      </w:r>
    </w:p>
    <w:p w:rsidR="00355A4E" w:rsidRDefault="005F0DB8">
      <w:pPr>
        <w:pStyle w:val="Titrearticle"/>
        <w:rPr>
          <w:noProof/>
        </w:rPr>
      </w:pPr>
      <w:r>
        <w:rPr>
          <w:noProof/>
        </w:rPr>
        <w:t>11 straipsnis</w:t>
      </w:r>
      <w:r>
        <w:rPr>
          <w:noProof/>
        </w:rPr>
        <w:br/>
      </w:r>
      <w:r>
        <w:rPr>
          <w:b/>
          <w:noProof/>
        </w:rPr>
        <w:t>Atokiausi regionai</w:t>
      </w:r>
    </w:p>
    <w:p w:rsidR="00355A4E" w:rsidRDefault="005F0DB8">
      <w:pPr>
        <w:pStyle w:val="ManualNumPar1"/>
        <w:rPr>
          <w:noProof/>
          <w:szCs w:val="24"/>
        </w:rPr>
      </w:pPr>
      <w:r>
        <w:rPr>
          <w:noProof/>
        </w:rPr>
        <w:t>1.</w:t>
      </w:r>
      <w:r>
        <w:rPr>
          <w:noProof/>
        </w:rPr>
        <w:tab/>
        <w:t>Atokiausiems regionams skiriami specialūs papildomi asignavimai naudojami siekiant kompensuoti papildomas išlaidas, susidariusias šiuose regionuose dėl vienos ar kelių SESV 3</w:t>
      </w:r>
      <w:r>
        <w:rPr>
          <w:noProof/>
        </w:rPr>
        <w:t>49 straipsnyje nurodytų nuolatinių kliūčių.</w:t>
      </w:r>
    </w:p>
    <w:p w:rsidR="00355A4E" w:rsidRDefault="005F0DB8">
      <w:pPr>
        <w:pStyle w:val="ManualNumPar1"/>
        <w:rPr>
          <w:noProof/>
        </w:rPr>
      </w:pPr>
      <w:r>
        <w:rPr>
          <w:noProof/>
        </w:rPr>
        <w:t>2.</w:t>
      </w:r>
      <w:r>
        <w:rPr>
          <w:noProof/>
        </w:rPr>
        <w:tab/>
        <w:t>1 dalyje nurodytais asignavimais remiama:</w:t>
      </w:r>
    </w:p>
    <w:p w:rsidR="00355A4E" w:rsidRDefault="005F0DB8">
      <w:pPr>
        <w:pStyle w:val="Point1letter"/>
        <w:numPr>
          <w:ilvl w:val="3"/>
          <w:numId w:val="2"/>
        </w:numPr>
        <w:rPr>
          <w:noProof/>
          <w:szCs w:val="24"/>
        </w:rPr>
      </w:pPr>
      <w:r>
        <w:rPr>
          <w:noProof/>
        </w:rPr>
        <w:t>į 4 straipsnyje nustatytą paramos taikymo sritį patenkanti veikla;</w:t>
      </w:r>
    </w:p>
    <w:p w:rsidR="00355A4E" w:rsidRDefault="005F0DB8">
      <w:pPr>
        <w:pStyle w:val="Point1letter"/>
        <w:rPr>
          <w:noProof/>
          <w:szCs w:val="24"/>
        </w:rPr>
      </w:pPr>
      <w:r>
        <w:rPr>
          <w:noProof/>
        </w:rPr>
        <w:t xml:space="preserve">nukrypstant nuo 4 straipsnio, priemonės, kuriomis padengiamos veiklos išlaidos siekiant kompensuoti </w:t>
      </w:r>
      <w:r>
        <w:rPr>
          <w:noProof/>
        </w:rPr>
        <w:t>papildomas išlaidas, susidariusias atokiausiuose regionuose dėl vienos ar kelių SESV 349 straipsnyje nurodytų nuolatinių kliūčių.</w:t>
      </w:r>
    </w:p>
    <w:p w:rsidR="00355A4E" w:rsidRDefault="005F0DB8">
      <w:pPr>
        <w:pStyle w:val="Text1"/>
        <w:rPr>
          <w:noProof/>
        </w:rPr>
      </w:pPr>
      <w:r>
        <w:rPr>
          <w:noProof/>
        </w:rPr>
        <w:t>1 dalyje nurodyti asignavimai taip pat gali būti naudojami padėti finansuoti išlaidas, kuriomis kompensuojami viešųjų paslaugų</w:t>
      </w:r>
      <w:r>
        <w:rPr>
          <w:noProof/>
        </w:rPr>
        <w:t xml:space="preserve"> teikimo įsipareigojimai ir sutartys atokiausiuose regionuose.</w:t>
      </w:r>
    </w:p>
    <w:p w:rsidR="00355A4E" w:rsidRDefault="005F0DB8">
      <w:pPr>
        <w:pStyle w:val="ManualNumPar1"/>
        <w:rPr>
          <w:noProof/>
        </w:rPr>
      </w:pPr>
      <w:r>
        <w:rPr>
          <w:noProof/>
        </w:rPr>
        <w:t>3.</w:t>
      </w:r>
      <w:r>
        <w:rPr>
          <w:noProof/>
        </w:rPr>
        <w:tab/>
        <w:t>Šio straipsnio 1 dalyje nurodytais asignavimais neremiama:</w:t>
      </w:r>
    </w:p>
    <w:p w:rsidR="00355A4E" w:rsidRDefault="005F0DB8">
      <w:pPr>
        <w:pStyle w:val="Point1letter"/>
        <w:numPr>
          <w:ilvl w:val="3"/>
          <w:numId w:val="3"/>
        </w:numPr>
        <w:rPr>
          <w:noProof/>
        </w:rPr>
      </w:pPr>
      <w:r>
        <w:rPr>
          <w:noProof/>
        </w:rPr>
        <w:t>veiksmai, susiję su SESV I priede išvardytais produktais;</w:t>
      </w:r>
    </w:p>
    <w:p w:rsidR="00355A4E" w:rsidRDefault="005F0DB8">
      <w:pPr>
        <w:pStyle w:val="Point1letter"/>
        <w:rPr>
          <w:noProof/>
        </w:rPr>
      </w:pPr>
      <w:r>
        <w:rPr>
          <w:noProof/>
        </w:rPr>
        <w:t>pagalba transportuojant asmenis, kuri yra leidžiama pagal SESV 107 straip</w:t>
      </w:r>
      <w:r>
        <w:rPr>
          <w:noProof/>
        </w:rPr>
        <w:t>snio 2 dalies a punktą;</w:t>
      </w:r>
    </w:p>
    <w:p w:rsidR="00355A4E" w:rsidRDefault="005F0DB8">
      <w:pPr>
        <w:pStyle w:val="Point1letter"/>
        <w:rPr>
          <w:noProof/>
          <w:szCs w:val="24"/>
        </w:rPr>
      </w:pPr>
      <w:r>
        <w:rPr>
          <w:noProof/>
        </w:rPr>
        <w:t>atleidimas nuo mokesčių ir socialinių įmokų;</w:t>
      </w:r>
    </w:p>
    <w:p w:rsidR="00355A4E" w:rsidRDefault="005F0DB8">
      <w:pPr>
        <w:pStyle w:val="Point1letter"/>
        <w:rPr>
          <w:noProof/>
          <w:szCs w:val="24"/>
        </w:rPr>
      </w:pPr>
      <w:r>
        <w:rPr>
          <w:noProof/>
        </w:rPr>
        <w:t>viešųjų paslaugų teikimo įsipareigojimai, kurių įmonės nevykdo ir kurių atveju valstybė veikia vykdydama viešuosius įgaliojimus.</w:t>
      </w:r>
    </w:p>
    <w:p w:rsidR="00355A4E" w:rsidRDefault="005F0DB8">
      <w:pPr>
        <w:pStyle w:val="ChapterTitle"/>
        <w:spacing w:before="360"/>
        <w:rPr>
          <w:noProof/>
        </w:rPr>
      </w:pPr>
      <w:r>
        <w:rPr>
          <w:noProof/>
        </w:rPr>
        <w:t>III SKYRIUS</w:t>
      </w:r>
      <w:r>
        <w:rPr>
          <w:noProof/>
        </w:rPr>
        <w:br/>
        <w:t>Baigiamosios nuostatos</w:t>
      </w:r>
    </w:p>
    <w:p w:rsidR="00355A4E" w:rsidRDefault="005F0DB8">
      <w:pPr>
        <w:pStyle w:val="Titrearticle"/>
        <w:rPr>
          <w:noProof/>
        </w:rPr>
      </w:pPr>
      <w:r>
        <w:rPr>
          <w:noProof/>
        </w:rPr>
        <w:t>12 straipsnis</w:t>
      </w:r>
      <w:r>
        <w:rPr>
          <w:noProof/>
        </w:rPr>
        <w:br/>
      </w:r>
      <w:r>
        <w:rPr>
          <w:b/>
          <w:noProof/>
        </w:rPr>
        <w:t>Pereinamo</w:t>
      </w:r>
      <w:r>
        <w:rPr>
          <w:b/>
          <w:noProof/>
        </w:rPr>
        <w:t>jo laikotarpio nuostatos</w:t>
      </w:r>
    </w:p>
    <w:p w:rsidR="00355A4E" w:rsidRDefault="005F0DB8">
      <w:pPr>
        <w:rPr>
          <w:i/>
          <w:noProof/>
        </w:rPr>
      </w:pPr>
      <w:r>
        <w:rPr>
          <w:noProof/>
        </w:rPr>
        <w:t>Reglamentai (EB) Nr. 1300/2013 ir 1301/2013 ar bet koks jais remiantis priimtas aktas toliau taikomi ERPF ar Sanglaudos fondo lėšomis 2014–2020 m. programavimo laikotarpiu remiamoms programoms ir veiksmams.</w:t>
      </w:r>
    </w:p>
    <w:p w:rsidR="00355A4E" w:rsidRDefault="005F0DB8">
      <w:pPr>
        <w:pStyle w:val="Titrearticle"/>
        <w:rPr>
          <w:noProof/>
        </w:rPr>
      </w:pPr>
      <w:r>
        <w:rPr>
          <w:noProof/>
        </w:rPr>
        <w:t>13 straipsnis</w:t>
      </w:r>
      <w:r>
        <w:rPr>
          <w:noProof/>
        </w:rPr>
        <w:br/>
      </w:r>
      <w:r>
        <w:rPr>
          <w:b/>
          <w:noProof/>
        </w:rPr>
        <w:t>Įgaliojimų</w:t>
      </w:r>
      <w:r>
        <w:rPr>
          <w:b/>
          <w:noProof/>
        </w:rPr>
        <w:t xml:space="preserve"> delegavimas</w:t>
      </w:r>
      <w:r>
        <w:rPr>
          <w:noProof/>
        </w:rPr>
        <w:br/>
      </w:r>
    </w:p>
    <w:p w:rsidR="00355A4E" w:rsidRDefault="005F0DB8">
      <w:pPr>
        <w:pStyle w:val="ManualNumPar1"/>
        <w:rPr>
          <w:noProof/>
        </w:rPr>
      </w:pPr>
      <w:r>
        <w:rPr>
          <w:noProof/>
        </w:rPr>
        <w:t>1.</w:t>
      </w:r>
      <w:r>
        <w:rPr>
          <w:noProof/>
        </w:rPr>
        <w:tab/>
        <w:t>Įgaliojimai priimti deleguotuosius aktus Komisijai suteikiami šiame straipsnyje nustatytomis sąlygomis.</w:t>
      </w:r>
    </w:p>
    <w:p w:rsidR="00355A4E" w:rsidRDefault="005F0DB8">
      <w:pPr>
        <w:pStyle w:val="ManualNumPar1"/>
        <w:rPr>
          <w:noProof/>
        </w:rPr>
      </w:pPr>
      <w:r>
        <w:rPr>
          <w:noProof/>
        </w:rPr>
        <w:t>2.</w:t>
      </w:r>
      <w:r>
        <w:rPr>
          <w:noProof/>
        </w:rPr>
        <w:tab/>
        <w:t>7 straipsnio 4 dalyje nurodyti įgaliojimai priimti deleguotuosius aktus Komisijai suteikiami neribotam laikotarpiui nuo šio reglamen</w:t>
      </w:r>
      <w:r>
        <w:rPr>
          <w:noProof/>
        </w:rPr>
        <w:t>to įsigaliojimo dienos.</w:t>
      </w:r>
    </w:p>
    <w:p w:rsidR="00355A4E" w:rsidRDefault="005F0DB8">
      <w:pPr>
        <w:pStyle w:val="ManualNumPar1"/>
        <w:rPr>
          <w:noProof/>
        </w:rPr>
      </w:pPr>
      <w:r>
        <w:rPr>
          <w:noProof/>
        </w:rPr>
        <w:t>3.</w:t>
      </w:r>
      <w:r>
        <w:rPr>
          <w:noProof/>
        </w:rPr>
        <w:tab/>
        <w:t>Europos Parlamentas arba Taryba gali bet kada atšaukti 7 straipsnio 4 dalyje nurodytus deleguotuosius įgaliojimus. Sprendimu dėl įgaliojimų atšaukimo nutraukiami tame sprendime nurodyti įgaliojimai priimti deleguotuosius aktus. S</w:t>
      </w:r>
      <w:r>
        <w:rPr>
          <w:noProof/>
        </w:rPr>
        <w:t xml:space="preserve">prendimas įsigalioja kitą dieną po jo paskelbimo </w:t>
      </w:r>
      <w:r>
        <w:rPr>
          <w:i/>
          <w:noProof/>
        </w:rPr>
        <w:t>Europos Sąjungos oficialiajame leidinyje</w:t>
      </w:r>
      <w:r>
        <w:rPr>
          <w:noProof/>
        </w:rPr>
        <w:t xml:space="preserve"> arba vėlesnę jame nurodytą dieną. Jis nedaro poveikio jau galiojančių deleguotųjų aktų galiojimui.</w:t>
      </w:r>
    </w:p>
    <w:p w:rsidR="00355A4E" w:rsidRDefault="005F0DB8">
      <w:pPr>
        <w:pStyle w:val="ManualNumPar1"/>
        <w:rPr>
          <w:noProof/>
        </w:rPr>
      </w:pPr>
      <w:r>
        <w:rPr>
          <w:noProof/>
        </w:rPr>
        <w:t>4.</w:t>
      </w:r>
      <w:r>
        <w:rPr>
          <w:noProof/>
        </w:rPr>
        <w:tab/>
        <w:t>Prieš priimdama deleguotąjį aktą Komisija konsultuojasi su kiekv</w:t>
      </w:r>
      <w:r>
        <w:rPr>
          <w:noProof/>
        </w:rPr>
        <w:t>ienos valstybės narės paskirtais ekspertais vadovaudamasi 2016 m. balandžio 13 d. Tarpinstituciniame susitarime dėl geresnės teisėkūros</w:t>
      </w:r>
      <w:r>
        <w:rPr>
          <w:rStyle w:val="Puslapioinaosnuoroda"/>
          <w:noProof/>
        </w:rPr>
        <w:footnoteReference w:id="27"/>
      </w:r>
      <w:r>
        <w:rPr>
          <w:noProof/>
        </w:rPr>
        <w:t xml:space="preserve"> nustatytais principais.</w:t>
      </w:r>
    </w:p>
    <w:p w:rsidR="00355A4E" w:rsidRDefault="005F0DB8">
      <w:pPr>
        <w:pStyle w:val="ManualNumPar1"/>
        <w:rPr>
          <w:noProof/>
        </w:rPr>
      </w:pPr>
      <w:r>
        <w:rPr>
          <w:noProof/>
        </w:rPr>
        <w:t>5.</w:t>
      </w:r>
      <w:r>
        <w:rPr>
          <w:noProof/>
        </w:rPr>
        <w:tab/>
        <w:t xml:space="preserve">Apie priimtą deleguotąjį aktą Komisija nedelsdama vienu metu praneša Europos Parlamentui ir </w:t>
      </w:r>
      <w:r>
        <w:rPr>
          <w:noProof/>
        </w:rPr>
        <w:t>Tarybai.</w:t>
      </w:r>
    </w:p>
    <w:p w:rsidR="00355A4E" w:rsidRDefault="005F0DB8">
      <w:pPr>
        <w:pStyle w:val="ManualNumPar1"/>
        <w:rPr>
          <w:noProof/>
        </w:rPr>
      </w:pPr>
      <w:r>
        <w:rPr>
          <w:noProof/>
        </w:rPr>
        <w:t>6.</w:t>
      </w:r>
      <w:r>
        <w:rPr>
          <w:noProof/>
        </w:rPr>
        <w:tab/>
        <w:t>Pagal 7 straipsnio 4 dalį priimtas deleguotasis aktas įsigalioja tuo atveju, jeigu per du mėnesius nuo pranešimo Europos Parlamentui ir Tarybai apie šį aktą dienos nei Europos Parlamentas, nei Taryba nepareiškia prieštaravimų arba jeigu dar nep</w:t>
      </w:r>
      <w:r>
        <w:rPr>
          <w:noProof/>
        </w:rPr>
        <w:t>asibaigus šiam laikotarpiui ir Europos Parlamentas, ir Taryba praneša Komisijai, kad prieštaravimų nereikš. Europos Parlamento arba Tarybos iniciatyva šis laikotarpis pratęsiamas dviem mėnesiais.</w:t>
      </w:r>
    </w:p>
    <w:p w:rsidR="00355A4E" w:rsidRDefault="005F0DB8">
      <w:pPr>
        <w:pStyle w:val="Titrearticle"/>
        <w:rPr>
          <w:noProof/>
        </w:rPr>
      </w:pPr>
      <w:r>
        <w:rPr>
          <w:noProof/>
        </w:rPr>
        <w:t>14 straipsnis</w:t>
      </w:r>
      <w:r>
        <w:rPr>
          <w:noProof/>
        </w:rPr>
        <w:br/>
      </w:r>
      <w:r>
        <w:rPr>
          <w:b/>
          <w:noProof/>
        </w:rPr>
        <w:t>Įsigaliojimas</w:t>
      </w:r>
    </w:p>
    <w:p w:rsidR="00355A4E" w:rsidRDefault="005F0DB8">
      <w:pPr>
        <w:rPr>
          <w:noProof/>
        </w:rPr>
      </w:pPr>
      <w:r>
        <w:rPr>
          <w:noProof/>
        </w:rPr>
        <w:t>Šis reglamentas įsigalioja dvide</w:t>
      </w:r>
      <w:r>
        <w:rPr>
          <w:noProof/>
        </w:rPr>
        <w:t xml:space="preserve">šimtą dieną po jo paskelbimo </w:t>
      </w:r>
      <w:r>
        <w:rPr>
          <w:i/>
          <w:noProof/>
        </w:rPr>
        <w:t>Europos Sąjungos oficialiajame leidinyje</w:t>
      </w:r>
      <w:r>
        <w:rPr>
          <w:noProof/>
        </w:rPr>
        <w:t>.</w:t>
      </w:r>
    </w:p>
    <w:p w:rsidR="00355A4E" w:rsidRDefault="005F0DB8">
      <w:pPr>
        <w:pStyle w:val="Applicationdirecte"/>
        <w:rPr>
          <w:noProof/>
        </w:rPr>
      </w:pPr>
      <w:r>
        <w:rPr>
          <w:noProof/>
        </w:rPr>
        <w:t>Šis reglamentas privalomas visas ir tiesiogiai taikomas visose valstybėse narėse.</w:t>
      </w:r>
    </w:p>
    <w:p w:rsidR="00355A4E" w:rsidRDefault="005F0DB8">
      <w:pPr>
        <w:pStyle w:val="Fait"/>
        <w:rPr>
          <w:noProof/>
        </w:rPr>
      </w:pPr>
      <w:r>
        <w:t>Priimta Strasbūre</w:t>
      </w:r>
    </w:p>
    <w:p w:rsidR="00355A4E" w:rsidRDefault="005F0DB8">
      <w:pPr>
        <w:pStyle w:val="Institutionquisigne"/>
        <w:rPr>
          <w:noProof/>
        </w:rPr>
      </w:pPr>
      <w:r>
        <w:rPr>
          <w:noProof/>
        </w:rPr>
        <w:t>Europos Parlamento vardu</w:t>
      </w:r>
      <w:r>
        <w:rPr>
          <w:noProof/>
        </w:rPr>
        <w:tab/>
        <w:t>Tarybos vardu</w:t>
      </w:r>
    </w:p>
    <w:p w:rsidR="00355A4E" w:rsidRDefault="005F0DB8">
      <w:pPr>
        <w:pStyle w:val="Personnequisigne"/>
        <w:rPr>
          <w:noProof/>
        </w:rPr>
      </w:pPr>
      <w:r>
        <w:rPr>
          <w:noProof/>
        </w:rPr>
        <w:t>Pirmininkas</w:t>
      </w:r>
      <w:r>
        <w:rPr>
          <w:noProof/>
        </w:rPr>
        <w:tab/>
        <w:t>Pirmininkas</w:t>
      </w:r>
    </w:p>
    <w:sectPr w:rsidR="00355A4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4E" w:rsidRDefault="005F0DB8">
      <w:pPr>
        <w:spacing w:before="0" w:after="0"/>
      </w:pPr>
      <w:r>
        <w:separator/>
      </w:r>
    </w:p>
  </w:endnote>
  <w:endnote w:type="continuationSeparator" w:id="0">
    <w:p w:rsidR="00355A4E" w:rsidRDefault="005F0D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355A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5F0DB8">
    <w:pPr>
      <w:pStyle w:val="Porat"/>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355A4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5F0DB8">
    <w:pPr>
      <w:pStyle w:val="Porat"/>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355A4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4E" w:rsidRDefault="005F0DB8">
      <w:pPr>
        <w:spacing w:before="0" w:after="0"/>
      </w:pPr>
      <w:r>
        <w:separator/>
      </w:r>
    </w:p>
  </w:footnote>
  <w:footnote w:type="continuationSeparator" w:id="0">
    <w:p w:rsidR="00355A4E" w:rsidRDefault="005F0DB8">
      <w:pPr>
        <w:spacing w:before="0" w:after="0"/>
      </w:pPr>
      <w:r>
        <w:continuationSeparator/>
      </w:r>
    </w:p>
  </w:footnote>
  <w:footnote w:id="1">
    <w:p w:rsidR="00355A4E" w:rsidRDefault="005F0DB8">
      <w:pPr>
        <w:pStyle w:val="Puslapioinaostekstas"/>
      </w:pPr>
      <w:r>
        <w:rPr>
          <w:rStyle w:val="Puslapioinaosnuoroda"/>
        </w:rPr>
        <w:footnoteRef/>
      </w:r>
      <w:r>
        <w:tab/>
        <w:t xml:space="preserve">COM(2018) 322 </w:t>
      </w:r>
      <w:r>
        <w:rPr>
          <w:i/>
        </w:rPr>
        <w:t>final</w:t>
      </w:r>
      <w:r>
        <w:t>, 2018 5 2.</w:t>
      </w:r>
    </w:p>
  </w:footnote>
  <w:footnote w:id="2">
    <w:p w:rsidR="00355A4E" w:rsidRDefault="005F0DB8">
      <w:pPr>
        <w:pStyle w:val="Puslapioinaostekstas"/>
      </w:pPr>
      <w:r>
        <w:rPr>
          <w:rStyle w:val="Puslapioinaosnuoroda"/>
        </w:rPr>
        <w:footnoteRef/>
      </w:r>
      <w:r>
        <w:tab/>
        <w:t>Sąveika, nuoseklumas ir suderinamumas su kitomis ES politikos sritimis išsamiau aptarti poveikio vertinime.</w:t>
      </w:r>
    </w:p>
  </w:footnote>
  <w:footnote w:id="3">
    <w:p w:rsidR="00355A4E" w:rsidRDefault="005F0DB8">
      <w:pPr>
        <w:pStyle w:val="Puslapioinaostekstas"/>
      </w:pPr>
      <w:r>
        <w:rPr>
          <w:rStyle w:val="Puslapioinaosnuoroda"/>
        </w:rPr>
        <w:footnoteRef/>
      </w:r>
      <w:r>
        <w:tab/>
        <w:t>[Nuoroda].</w:t>
      </w:r>
    </w:p>
  </w:footnote>
  <w:footnote w:id="4">
    <w:p w:rsidR="00355A4E" w:rsidRDefault="005F0DB8">
      <w:pPr>
        <w:pStyle w:val="Puslapioinaostekstas"/>
      </w:pPr>
      <w:r>
        <w:rPr>
          <w:rStyle w:val="Puslapioinaosnuoroda"/>
        </w:rPr>
        <w:footnoteRef/>
      </w:r>
      <w:r>
        <w:tab/>
        <w:t xml:space="preserve">[Nuoroda]; išskyrus Europos Sąjungos užimtumo ir socialinių inovacijų programą ir Europos Sąjungos sveikatos </w:t>
      </w:r>
      <w:r>
        <w:t>programą.</w:t>
      </w:r>
    </w:p>
  </w:footnote>
  <w:footnote w:id="5">
    <w:p w:rsidR="00355A4E" w:rsidRDefault="005F0DB8">
      <w:pPr>
        <w:pStyle w:val="Puslapioinaostekstas"/>
      </w:pPr>
      <w:r>
        <w:rPr>
          <w:rStyle w:val="Puslapioinaosnuoroda"/>
        </w:rPr>
        <w:footnoteRef/>
      </w:r>
      <w:r>
        <w:tab/>
        <w:t>[Nuoroda]; tik pasidalijamojo valdymo komponentai.</w:t>
      </w:r>
    </w:p>
  </w:footnote>
  <w:footnote w:id="6">
    <w:p w:rsidR="00355A4E" w:rsidRDefault="005F0DB8">
      <w:pPr>
        <w:pStyle w:val="Puslapioinaostekstas"/>
      </w:pPr>
      <w:r>
        <w:rPr>
          <w:rStyle w:val="Puslapioinaosnuoroda"/>
        </w:rPr>
        <w:footnoteRef/>
      </w:r>
      <w:r>
        <w:tab/>
        <w:t>[Nuoroda].</w:t>
      </w:r>
    </w:p>
  </w:footnote>
  <w:footnote w:id="7">
    <w:p w:rsidR="00355A4E" w:rsidRDefault="005F0DB8">
      <w:pPr>
        <w:pStyle w:val="Puslapioinaostekstas"/>
      </w:pPr>
      <w:r>
        <w:rPr>
          <w:rStyle w:val="Puslapioinaosnuoroda"/>
        </w:rPr>
        <w:footnoteRef/>
      </w:r>
      <w:r>
        <w:tab/>
        <w:t>[Nuoroda], išskyrus Muitinio tikrinimo įrangos programą.</w:t>
      </w:r>
    </w:p>
  </w:footnote>
  <w:footnote w:id="8">
    <w:p w:rsidR="00355A4E" w:rsidRDefault="005F0DB8">
      <w:pPr>
        <w:pStyle w:val="Puslapioinaostekstas"/>
      </w:pPr>
      <w:r>
        <w:rPr>
          <w:rStyle w:val="Puslapioinaosnuoroda"/>
        </w:rPr>
        <w:footnoteRef/>
      </w:r>
      <w:r>
        <w:tab/>
        <w:t>Daugiau informacijos pateikta pridedamame poveikio vertinimo SWD(2018) 282 3.1 skyriuje dėl subsidiarumo principo ir ER</w:t>
      </w:r>
      <w:r>
        <w:t>PF ir Sanglaudos fondo pridėtinės vertės.</w:t>
      </w:r>
    </w:p>
  </w:footnote>
  <w:footnote w:id="9">
    <w:p w:rsidR="00355A4E" w:rsidRDefault="005F0DB8">
      <w:pPr>
        <w:pStyle w:val="Puslapioinaostekstas"/>
      </w:pPr>
      <w:r>
        <w:rPr>
          <w:rStyle w:val="Puslapioinaosnuoroda"/>
        </w:rPr>
        <w:footnoteRef/>
      </w:r>
      <w:r>
        <w:tab/>
        <w:t>Žr. diskusijoms skirtą Komisijos dokumentą dėl ES finansų ateities:</w:t>
      </w:r>
      <w:r>
        <w:tab/>
      </w:r>
      <w:r>
        <w:br/>
      </w:r>
      <w:hyperlink r:id="rId1">
        <w:r>
          <w:rPr>
            <w:rStyle w:val="Hipersaitas"/>
          </w:rPr>
          <w:t>https://ec.europa.eu/commission/publicat</w:t>
        </w:r>
        <w:r>
          <w:rPr>
            <w:rStyle w:val="Hipersaitas"/>
          </w:rPr>
          <w:t>ions/reflection-paper-future-eu-finances_lt</w:t>
        </w:r>
      </w:hyperlink>
    </w:p>
  </w:footnote>
  <w:footnote w:id="10">
    <w:p w:rsidR="00355A4E" w:rsidRDefault="005F0DB8">
      <w:pPr>
        <w:pStyle w:val="Puslapioinaostekstas"/>
      </w:pPr>
      <w:r>
        <w:rPr>
          <w:rStyle w:val="Puslapioinaosnuoroda"/>
        </w:rPr>
        <w:footnoteRef/>
      </w:r>
      <w:r>
        <w:tab/>
        <w:t>2014–2020 m. siektinos reikšmės</w:t>
      </w:r>
    </w:p>
  </w:footnote>
  <w:footnote w:id="11">
    <w:p w:rsidR="00355A4E" w:rsidRDefault="005F0DB8">
      <w:pPr>
        <w:pStyle w:val="Puslapioinaostekstas"/>
      </w:pPr>
      <w:r>
        <w:rPr>
          <w:rStyle w:val="Puslapioinaosnuoroda"/>
        </w:rPr>
        <w:footnoteRef/>
      </w:r>
      <w:r>
        <w:tab/>
        <w:t xml:space="preserve">Spatial Foresight &amp; t33, „Naujas administracinių išlaidų ir naštos ESI fondų kontekste vertinimas, preliminarūs rezultatai“ (angl. </w:t>
      </w:r>
      <w:r>
        <w:rPr>
          <w:i/>
        </w:rPr>
        <w:t>New assessment of administrative costs and bu</w:t>
      </w:r>
      <w:r>
        <w:rPr>
          <w:i/>
        </w:rPr>
        <w:t>rden in ESI Funds, preliminary results</w:t>
      </w:r>
      <w:r>
        <w:t>).</w:t>
      </w:r>
    </w:p>
  </w:footnote>
  <w:footnote w:id="12">
    <w:p w:rsidR="00355A4E" w:rsidRDefault="005F0DB8">
      <w:pPr>
        <w:pStyle w:val="Puslapioinaostekstas"/>
      </w:pPr>
      <w:r>
        <w:rPr>
          <w:rStyle w:val="Puslapioinaosnuoroda"/>
        </w:rPr>
        <w:footnoteRef/>
      </w:r>
      <w:r>
        <w:tab/>
        <w:t>2016 m. balandžio 13 d. Europos Parlamento, Europos Sąjungos Tarybos ir Europos Komisijos tarpinstitucinis susitarimas dėl geresnės teisėkūros (OL L 123, 2016 5 12, p. 1).</w:t>
      </w:r>
    </w:p>
  </w:footnote>
  <w:footnote w:id="13">
    <w:p w:rsidR="00355A4E" w:rsidRDefault="005F0DB8">
      <w:pPr>
        <w:pStyle w:val="Puslapioinaostekstas"/>
      </w:pPr>
      <w:r>
        <w:rPr>
          <w:rStyle w:val="Puslapioinaosnuoroda"/>
        </w:rPr>
        <w:footnoteRef/>
      </w:r>
      <w:r>
        <w:tab/>
        <w:t>OL C, , p. .</w:t>
      </w:r>
    </w:p>
  </w:footnote>
  <w:footnote w:id="14">
    <w:p w:rsidR="00355A4E" w:rsidRDefault="005F0DB8">
      <w:pPr>
        <w:pStyle w:val="Puslapioinaostekstas"/>
      </w:pPr>
      <w:r>
        <w:rPr>
          <w:rStyle w:val="Puslapioinaosnuoroda"/>
        </w:rPr>
        <w:footnoteRef/>
      </w:r>
      <w:r>
        <w:tab/>
        <w:t>OL C, , p. .</w:t>
      </w:r>
    </w:p>
  </w:footnote>
  <w:footnote w:id="15">
    <w:p w:rsidR="00355A4E" w:rsidRDefault="005F0DB8">
      <w:pPr>
        <w:pStyle w:val="Puslapioinaostekstas"/>
      </w:pPr>
      <w:r>
        <w:rPr>
          <w:rStyle w:val="Puslapioinaosnuoroda"/>
        </w:rPr>
        <w:footnoteRef/>
      </w:r>
      <w:r>
        <w:tab/>
        <w:t>2013 m. g</w:t>
      </w:r>
      <w:r>
        <w:t>ruodžio 11 d. Europos Parlamento ir Tarybos reglamentas (ES) Nr. 1315/2013 dėl Sąjungos transeuropinio transporto tinklo plėtros gairių, kuriuo panaikinamas Sprendimas Nr. 661/2010/ES (OL L 348, 2013 12 20, p. 1).</w:t>
      </w:r>
    </w:p>
  </w:footnote>
  <w:footnote w:id="16">
    <w:p w:rsidR="00355A4E" w:rsidRDefault="005F0DB8">
      <w:pPr>
        <w:pStyle w:val="Puslapioinaostekstas"/>
        <w:rPr>
          <w:lang w:val="en-US"/>
        </w:rPr>
      </w:pPr>
      <w:r>
        <w:rPr>
          <w:rStyle w:val="Puslapioinaosnuoroda"/>
        </w:rPr>
        <w:footnoteRef/>
      </w:r>
      <w:r>
        <w:tab/>
        <w:t>[Išsami nuoroda pateikta naujajame BNR].</w:t>
      </w:r>
    </w:p>
  </w:footnote>
  <w:footnote w:id="17">
    <w:p w:rsidR="00355A4E" w:rsidRDefault="005F0DB8">
      <w:pPr>
        <w:pStyle w:val="Puslapioinaostekstas"/>
        <w:rPr>
          <w:lang w:val="en-US"/>
        </w:rPr>
      </w:pPr>
      <w:r>
        <w:rPr>
          <w:rStyle w:val="Puslapioinaosnuoroda"/>
        </w:rPr>
        <w:footnoteRef/>
      </w:r>
      <w:r>
        <w:tab/>
        <w:t xml:space="preserve">2017 m. liepos 8 d. Komisijos komunikatas Europos Parlamentui, Tarybai, Europos ekonomikos ir socialinių reikalų komitetui ir Regionų komitetui, COM(2017) 376 </w:t>
      </w:r>
      <w:r>
        <w:rPr>
          <w:i/>
        </w:rPr>
        <w:t>final</w:t>
      </w:r>
      <w:r>
        <w:t>.</w:t>
      </w:r>
    </w:p>
  </w:footnote>
  <w:footnote w:id="18">
    <w:p w:rsidR="00355A4E" w:rsidRDefault="005F0DB8">
      <w:pPr>
        <w:pStyle w:val="Puslapioinaostekstas"/>
        <w:rPr>
          <w:lang w:val="en-US"/>
        </w:rPr>
      </w:pPr>
      <w:r>
        <w:rPr>
          <w:rStyle w:val="Puslapioinaosnuoroda"/>
        </w:rPr>
        <w:footnoteRef/>
      </w:r>
      <w:r>
        <w:tab/>
        <w:t>[Išsami nuoroda pateikta naujajame ESF+ reglamente].</w:t>
      </w:r>
    </w:p>
  </w:footnote>
  <w:footnote w:id="19">
    <w:p w:rsidR="00355A4E" w:rsidRDefault="005F0DB8">
      <w:pPr>
        <w:pStyle w:val="Puslapioinaostekstas"/>
        <w:rPr>
          <w:lang w:val="en-US"/>
        </w:rPr>
      </w:pPr>
      <w:r>
        <w:rPr>
          <w:rStyle w:val="Puslapioinaosnuoroda"/>
        </w:rPr>
        <w:footnoteRef/>
      </w:r>
      <w:r>
        <w:tab/>
        <w:t>2003 m. gegužės 6 d. Komisijos</w:t>
      </w:r>
      <w:r>
        <w:t xml:space="preserve"> rekomendacija 2003/361/EB dėl labai mažų, mažųjų ir vidutinių įmonių apibrėžimo (OL L 124, 2003 5 20, p. 36).</w:t>
      </w:r>
    </w:p>
  </w:footnote>
  <w:footnote w:id="20">
    <w:p w:rsidR="00355A4E" w:rsidRDefault="005F0DB8">
      <w:pPr>
        <w:pStyle w:val="Puslapioinaostekstas"/>
        <w:rPr>
          <w:lang w:val="en-US"/>
        </w:rPr>
      </w:pPr>
      <w:r>
        <w:rPr>
          <w:rStyle w:val="Puslapioinaosnuoroda"/>
        </w:rPr>
        <w:footnoteRef/>
      </w:r>
      <w:r>
        <w:tab/>
        <w:t xml:space="preserve">2003 m. spalio 13 d. Europos Parlamento ir Tarybos direktyva 2003/87/EB, nustatanti šiltnamio efektą sukeliančių dujų emisijos leidimų sistemą </w:t>
      </w:r>
      <w:r>
        <w:t>Bendrijoje ir iš dalies keičianti Tarybos direktyvą 96/61/EB (OL L 275, 2003 10 25, p. 32).</w:t>
      </w:r>
    </w:p>
  </w:footnote>
  <w:footnote w:id="21">
    <w:p w:rsidR="00355A4E" w:rsidRDefault="005F0DB8">
      <w:pPr>
        <w:pStyle w:val="Puslapioinaostekstas"/>
        <w:rPr>
          <w:lang w:val="en-US"/>
        </w:rPr>
      </w:pPr>
      <w:r>
        <w:rPr>
          <w:rStyle w:val="Puslapioinaosnuoroda"/>
        </w:rPr>
        <w:footnoteRef/>
      </w:r>
      <w:r>
        <w:tab/>
        <w:t>2016 m. birželio 24 d. Tarybos išvados dėl ES miestų darbotvarkės.</w:t>
      </w:r>
    </w:p>
  </w:footnote>
  <w:footnote w:id="22">
    <w:p w:rsidR="00355A4E" w:rsidRDefault="005F0DB8">
      <w:pPr>
        <w:pStyle w:val="Puslapioinaostekstas"/>
      </w:pPr>
      <w:r>
        <w:rPr>
          <w:rStyle w:val="Puslapioinaosnuoroda"/>
        </w:rPr>
        <w:footnoteRef/>
      </w:r>
      <w:r>
        <w:tab/>
        <w:t>Europos Parlamento, Europos Sąjungos Tarybos ir Europos Komisijos tarpinstitucinis susitarima</w:t>
      </w:r>
      <w:r>
        <w:t>s dėl geresnės teisėkūros (OL L 123, 2016 5 12, p. 1).</w:t>
      </w:r>
    </w:p>
  </w:footnote>
  <w:footnote w:id="23">
    <w:p w:rsidR="00355A4E" w:rsidRDefault="005F0DB8">
      <w:pPr>
        <w:pStyle w:val="Puslapioinaostekstas"/>
      </w:pPr>
      <w:r>
        <w:rPr>
          <w:rStyle w:val="Puslapioinaosnuoroda"/>
        </w:rPr>
        <w:footnoteRef/>
      </w:r>
      <w:r>
        <w:tab/>
        <w:t>Nuoroda.</w:t>
      </w:r>
    </w:p>
  </w:footnote>
  <w:footnote w:id="24">
    <w:p w:rsidR="00355A4E" w:rsidRDefault="005F0DB8">
      <w:pPr>
        <w:pStyle w:val="Puslapioinaostekstas"/>
      </w:pPr>
      <w:r>
        <w:rPr>
          <w:rStyle w:val="Puslapioinaosnuoroda"/>
        </w:rPr>
        <w:footnoteRef/>
      </w:r>
      <w:r>
        <w:tab/>
        <w:t>2003 m. spalio 13 d. Europos Parlamento ir Tarybos direktyva 2003/87/EB, nustatanti šiltnamio efektą sukeliančių dujų emisijos leidimų sistemą Bendrijoje ir iš dalies keičianti Tarybos dir</w:t>
      </w:r>
      <w:r>
        <w:t>ektyvą 96/61/EB.</w:t>
      </w:r>
    </w:p>
  </w:footnote>
  <w:footnote w:id="25">
    <w:p w:rsidR="00355A4E" w:rsidRDefault="005F0DB8">
      <w:pPr>
        <w:pStyle w:val="Puslapioinaostekstas"/>
      </w:pPr>
      <w:r>
        <w:rPr>
          <w:rStyle w:val="Puslapioinaosnuoroda"/>
        </w:rPr>
        <w:footnoteRef/>
      </w:r>
      <w:r>
        <w:tab/>
        <w:t>2014 m. birželio 17 d. Komisijos reglamentas (ES) Nr. 651/2014, kuriuo tam tikrų kategorijų pagalba skelbiama suderinama su vidaus rinka taikant Sutarties 107 ir 108 straipsnius (OL L 187, 2014 6 26, p. 1).</w:t>
      </w:r>
    </w:p>
  </w:footnote>
  <w:footnote w:id="26">
    <w:p w:rsidR="00355A4E" w:rsidRDefault="005F0DB8">
      <w:pPr>
        <w:pStyle w:val="Puslapioinaostekstas"/>
      </w:pPr>
      <w:r>
        <w:rPr>
          <w:rStyle w:val="Puslapioinaosnuoroda"/>
        </w:rPr>
        <w:footnoteRef/>
      </w:r>
      <w:r>
        <w:tab/>
        <w:t xml:space="preserve">2009 m. balandžio 23 d. </w:t>
      </w:r>
      <w:r>
        <w:t>Europos Parlamento ir Tarybos direktyva 2009/33/EB dėl skatinimo naudoti netaršias ir efektyviai energiją vartojančias kelių transporto priemones (OL L 120, 2009 5 15, p. 5).</w:t>
      </w:r>
    </w:p>
  </w:footnote>
  <w:footnote w:id="27">
    <w:p w:rsidR="00355A4E" w:rsidRDefault="005F0DB8">
      <w:pPr>
        <w:pStyle w:val="Puslapioinaostekstas"/>
        <w:rPr>
          <w:lang w:val="fr-BE"/>
        </w:rPr>
      </w:pPr>
      <w:r>
        <w:rPr>
          <w:rStyle w:val="Puslapioinaosnuoroda"/>
        </w:rPr>
        <w:footnoteRef/>
      </w:r>
      <w:r>
        <w:tab/>
        <w:t>OL L 123, 2016 5 12, p.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355A4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355A4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4E" w:rsidRDefault="00355A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8D0BEE6"/>
    <w:lvl w:ilvl="0">
      <w:start w:val="1"/>
      <w:numFmt w:val="decimal"/>
      <w:pStyle w:val="Sraassunumeriais4"/>
      <w:lvlText w:val="%1."/>
      <w:lvlJc w:val="left"/>
      <w:pPr>
        <w:tabs>
          <w:tab w:val="num" w:pos="1209"/>
        </w:tabs>
        <w:ind w:left="1209" w:hanging="360"/>
      </w:pPr>
    </w:lvl>
  </w:abstractNum>
  <w:abstractNum w:abstractNumId="1">
    <w:nsid w:val="FFFFFF7E"/>
    <w:multiLevelType w:val="singleLevel"/>
    <w:tmpl w:val="44CEF304"/>
    <w:lvl w:ilvl="0">
      <w:start w:val="1"/>
      <w:numFmt w:val="decimal"/>
      <w:pStyle w:val="Sraassunumeriais3"/>
      <w:lvlText w:val="%1."/>
      <w:lvlJc w:val="left"/>
      <w:pPr>
        <w:tabs>
          <w:tab w:val="num" w:pos="926"/>
        </w:tabs>
        <w:ind w:left="926" w:hanging="360"/>
      </w:pPr>
    </w:lvl>
  </w:abstractNum>
  <w:abstractNum w:abstractNumId="2">
    <w:nsid w:val="FFFFFF7F"/>
    <w:multiLevelType w:val="singleLevel"/>
    <w:tmpl w:val="35B2577C"/>
    <w:lvl w:ilvl="0">
      <w:start w:val="1"/>
      <w:numFmt w:val="decimal"/>
      <w:pStyle w:val="Sraassunumeriais2"/>
      <w:lvlText w:val="%1."/>
      <w:lvlJc w:val="left"/>
      <w:pPr>
        <w:tabs>
          <w:tab w:val="num" w:pos="643"/>
        </w:tabs>
        <w:ind w:left="643" w:hanging="360"/>
      </w:pPr>
    </w:lvl>
  </w:abstractNum>
  <w:abstractNum w:abstractNumId="3">
    <w:nsid w:val="FFFFFF81"/>
    <w:multiLevelType w:val="singleLevel"/>
    <w:tmpl w:val="32FC4614"/>
    <w:lvl w:ilvl="0">
      <w:start w:val="1"/>
      <w:numFmt w:val="bullet"/>
      <w:pStyle w:val="Sraassuenkleliais4"/>
      <w:lvlText w:val=""/>
      <w:lvlJc w:val="left"/>
      <w:pPr>
        <w:tabs>
          <w:tab w:val="num" w:pos="1209"/>
        </w:tabs>
        <w:ind w:left="1209" w:hanging="360"/>
      </w:pPr>
      <w:rPr>
        <w:rFonts w:ascii="Symbol" w:hAnsi="Symbol" w:hint="default"/>
      </w:rPr>
    </w:lvl>
  </w:abstractNum>
  <w:abstractNum w:abstractNumId="4">
    <w:nsid w:val="FFFFFF82"/>
    <w:multiLevelType w:val="singleLevel"/>
    <w:tmpl w:val="C640286C"/>
    <w:lvl w:ilvl="0">
      <w:start w:val="1"/>
      <w:numFmt w:val="bullet"/>
      <w:pStyle w:val="Sraassuenkleliais3"/>
      <w:lvlText w:val=""/>
      <w:lvlJc w:val="left"/>
      <w:pPr>
        <w:tabs>
          <w:tab w:val="num" w:pos="926"/>
        </w:tabs>
        <w:ind w:left="926" w:hanging="360"/>
      </w:pPr>
      <w:rPr>
        <w:rFonts w:ascii="Symbol" w:hAnsi="Symbol" w:hint="default"/>
      </w:rPr>
    </w:lvl>
  </w:abstractNum>
  <w:abstractNum w:abstractNumId="5">
    <w:nsid w:val="FFFFFF83"/>
    <w:multiLevelType w:val="singleLevel"/>
    <w:tmpl w:val="401AA252"/>
    <w:lvl w:ilvl="0">
      <w:start w:val="1"/>
      <w:numFmt w:val="bullet"/>
      <w:pStyle w:val="Sraassuenkleliais2"/>
      <w:lvlText w:val=""/>
      <w:lvlJc w:val="left"/>
      <w:pPr>
        <w:tabs>
          <w:tab w:val="num" w:pos="643"/>
        </w:tabs>
        <w:ind w:left="643" w:hanging="360"/>
      </w:pPr>
      <w:rPr>
        <w:rFonts w:ascii="Symbol" w:hAnsi="Symbol" w:hint="default"/>
      </w:rPr>
    </w:lvl>
  </w:abstractNum>
  <w:abstractNum w:abstractNumId="6">
    <w:nsid w:val="FFFFFF88"/>
    <w:multiLevelType w:val="singleLevel"/>
    <w:tmpl w:val="08589D3E"/>
    <w:lvl w:ilvl="0">
      <w:start w:val="1"/>
      <w:numFmt w:val="decimal"/>
      <w:pStyle w:val="Sraassunumeriais"/>
      <w:lvlText w:val="%1."/>
      <w:lvlJc w:val="left"/>
      <w:pPr>
        <w:tabs>
          <w:tab w:val="num" w:pos="360"/>
        </w:tabs>
        <w:ind w:left="360" w:hanging="360"/>
      </w:pPr>
    </w:lvl>
  </w:abstractNum>
  <w:abstractNum w:abstractNumId="7">
    <w:nsid w:val="FFFFFF89"/>
    <w:multiLevelType w:val="singleLevel"/>
    <w:tmpl w:val="075EEC6A"/>
    <w:lvl w:ilvl="0">
      <w:start w:val="1"/>
      <w:numFmt w:val="bullet"/>
      <w:pStyle w:val="Sraassuenkleliais"/>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01302BD"/>
    <w:multiLevelType w:val="hybridMultilevel"/>
    <w:tmpl w:val="E408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6"/>
    <w:lvlOverride w:ilvl="0">
      <w:startOverride w:val="1"/>
    </w:lvlOverride>
  </w:num>
  <w:num w:numId="20">
    <w:abstractNumId w:val="14"/>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21"/>
  </w:num>
  <w:num w:numId="28">
    <w:abstractNumId w:val="11"/>
  </w:num>
  <w:num w:numId="29">
    <w:abstractNumId w:val="13"/>
  </w:num>
  <w:num w:numId="30">
    <w:abstractNumId w:val="9"/>
  </w:num>
  <w:num w:numId="31">
    <w:abstractNumId w:val="20"/>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AND Moray (REGIO)">
    <w15:presenceInfo w15:providerId="None" w15:userId="GILLAND Moray (REG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4 15:40: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8151C9F-2860-4E97-ACF4-87EDCCCD808A"/>
    <w:docVar w:name="LW_COVERPAGE_TYPE" w:val="1"/>
    <w:docVar w:name="LW_CROSSREFERENCE" w:val="{SEC(2018) 268 final}_x000b_{SWD(2018) 282 final}_x000b_{SWD(2018) 283 final}"/>
    <w:docVar w:name="LW_DocType" w:val="COM"/>
    <w:docVar w:name="LW_EMISSION" w:val="2018 05 29"/>
    <w:docVar w:name="LW_EMISSION_ISODATE" w:val="2018-05-29"/>
    <w:docVar w:name="LW_EMISSION_LOCATION" w:val="STR"/>
    <w:docVar w:name="LW_EMISSION_PREFIX" w:val="Strasbūra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YEAR" w:val="2018"/>
    <w:docVar w:name="LW_REF.II.NEW.CP_NUMBER" w:val="0197"/>
    <w:docVar w:name="LW_REF.INST.NEW" w:val="COM"/>
    <w:docVar w:name="LW_REF.INST.NEW_ADOPTED" w:val="final"/>
    <w:docVar w:name="LW_REF.INST.NEW_TEXT" w:val="(2018) 3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asi\u363?lymas"/>
    <w:docVar w:name="LW_SUPERTITRE" w:val="&lt;UNUSED&gt;"/>
    <w:docVar w:name="LW_TYPE.DOC.CP" w:val="EUROPOS PARLAMENTO IR TARYBOS REGLAMENTAS"/>
    <w:docVar w:name="LW_TITRE.OBJ.CP" w:val="d\u279?l Europos regionin\u279?s pl\u279?tros fondo ir Sanglaudos fondo"/>
  </w:docVars>
  <w:rsids>
    <w:rsidRoot w:val="00355A4E"/>
    <w:rsid w:val="00355A4E"/>
    <w:rsid w:val="005F0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before="120" w:after="120" w:line="240" w:lineRule="auto"/>
      <w:jc w:val="both"/>
    </w:pPr>
    <w:rPr>
      <w:rFonts w:ascii="Times New Roman" w:hAnsi="Times New Roman" w:cs="Times New Roman"/>
      <w:sz w:val="24"/>
    </w:rPr>
  </w:style>
  <w:style w:type="paragraph" w:styleId="Antrat1">
    <w:name w:val="heading 1"/>
    <w:basedOn w:val="prastasis"/>
    <w:next w:val="Text1"/>
    <w:link w:val="Antrat1Diagrama"/>
    <w:uiPriority w:val="9"/>
    <w:qFormat/>
    <w:pPr>
      <w:keepNext/>
      <w:numPr>
        <w:numId w:val="31"/>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31"/>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31"/>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31"/>
      </w:numPr>
      <w:outlineLvl w:val="3"/>
    </w:pPr>
    <w:rPr>
      <w:rFonts w:eastAsiaTheme="majorEastAsia"/>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nhideWhenUsed/>
    <w:qFormat/>
    <w:pPr>
      <w:spacing w:before="0" w:after="200"/>
    </w:pPr>
    <w:rPr>
      <w:b/>
      <w:bCs/>
      <w:color w:val="4F81BD" w:themeColor="accent1"/>
      <w:sz w:val="18"/>
      <w:szCs w:val="18"/>
    </w:rPr>
  </w:style>
  <w:style w:type="paragraph" w:styleId="Iliustracijsraas">
    <w:name w:val="table of figures"/>
    <w:basedOn w:val="prastasis"/>
    <w:next w:val="prastasis"/>
    <w:uiPriority w:val="99"/>
    <w:semiHidden/>
    <w:unhideWhenUsed/>
    <w:pPr>
      <w:spacing w:after="0"/>
    </w:pPr>
  </w:style>
  <w:style w:type="paragraph" w:styleId="Sraassuenkleliais">
    <w:name w:val="List Bullet"/>
    <w:basedOn w:val="prastasis"/>
    <w:uiPriority w:val="99"/>
    <w:semiHidden/>
    <w:unhideWhenUsed/>
    <w:pPr>
      <w:numPr>
        <w:numId w:val="4"/>
      </w:numPr>
      <w:contextualSpacing/>
    </w:pPr>
  </w:style>
  <w:style w:type="paragraph" w:styleId="Sraassuenkleliais2">
    <w:name w:val="List Bullet 2"/>
    <w:basedOn w:val="prastasis"/>
    <w:uiPriority w:val="99"/>
    <w:semiHidden/>
    <w:unhideWhenUsed/>
    <w:pPr>
      <w:numPr>
        <w:numId w:val="5"/>
      </w:numPr>
      <w:contextualSpacing/>
    </w:pPr>
  </w:style>
  <w:style w:type="paragraph" w:styleId="Sraassuenkleliais3">
    <w:name w:val="List Bullet 3"/>
    <w:basedOn w:val="prastasis"/>
    <w:uiPriority w:val="99"/>
    <w:semiHidden/>
    <w:unhideWhenUsed/>
    <w:pPr>
      <w:numPr>
        <w:numId w:val="6"/>
      </w:numPr>
      <w:contextualSpacing/>
    </w:pPr>
  </w:style>
  <w:style w:type="paragraph" w:styleId="Sraassuenkleliais4">
    <w:name w:val="List Bullet 4"/>
    <w:basedOn w:val="prastasis"/>
    <w:uiPriority w:val="99"/>
    <w:semiHidden/>
    <w:unhideWhenUsed/>
    <w:pPr>
      <w:numPr>
        <w:numId w:val="7"/>
      </w:numPr>
      <w:contextualSpacing/>
    </w:pPr>
  </w:style>
  <w:style w:type="paragraph" w:styleId="Sraassunumeriais">
    <w:name w:val="List Number"/>
    <w:basedOn w:val="prastasis"/>
    <w:uiPriority w:val="99"/>
    <w:semiHidden/>
    <w:unhideWhenUsed/>
    <w:pPr>
      <w:numPr>
        <w:numId w:val="8"/>
      </w:numPr>
      <w:contextualSpacing/>
    </w:pPr>
  </w:style>
  <w:style w:type="paragraph" w:styleId="Sraassunumeriais2">
    <w:name w:val="List Number 2"/>
    <w:basedOn w:val="prastasis"/>
    <w:uiPriority w:val="99"/>
    <w:semiHidden/>
    <w:unhideWhenUsed/>
    <w:pPr>
      <w:numPr>
        <w:numId w:val="9"/>
      </w:numPr>
      <w:contextualSpacing/>
    </w:pPr>
  </w:style>
  <w:style w:type="paragraph" w:styleId="Sraassunumeriais3">
    <w:name w:val="List Number 3"/>
    <w:basedOn w:val="prastasis"/>
    <w:uiPriority w:val="99"/>
    <w:semiHidden/>
    <w:unhideWhenUsed/>
    <w:pPr>
      <w:numPr>
        <w:numId w:val="10"/>
      </w:numPr>
      <w:contextualSpacing/>
    </w:pPr>
  </w:style>
  <w:style w:type="paragraph" w:styleId="Sraassunumeriais4">
    <w:name w:val="List Number 4"/>
    <w:basedOn w:val="prastasis"/>
    <w:uiPriority w:val="99"/>
    <w:semiHidden/>
    <w:unhideWhenUsed/>
    <w:pPr>
      <w:numPr>
        <w:numId w:val="11"/>
      </w:numPr>
      <w:contextualSpacing/>
    </w:pPr>
  </w:style>
  <w:style w:type="paragraph" w:customStyle="1" w:styleId="doc-ti">
    <w:name w:val="doc-ti"/>
    <w:basedOn w:val="prastasis"/>
    <w:pPr>
      <w:spacing w:before="100" w:beforeAutospacing="1" w:after="100" w:afterAutospacing="1"/>
      <w:jc w:val="left"/>
    </w:pPr>
    <w:rPr>
      <w:rFonts w:eastAsia="Times New Roman"/>
      <w:szCs w:val="24"/>
    </w:rPr>
  </w:style>
  <w:style w:type="paragraph" w:customStyle="1" w:styleId="ti-tbl">
    <w:name w:val="ti-tbl"/>
    <w:basedOn w:val="prastasis"/>
    <w:pPr>
      <w:spacing w:before="100" w:beforeAutospacing="1" w:after="100" w:afterAutospacing="1"/>
      <w:jc w:val="left"/>
    </w:pPr>
    <w:rPr>
      <w:rFonts w:eastAsia="Times New Roman"/>
      <w:szCs w:val="24"/>
    </w:rPr>
  </w:style>
  <w:style w:type="character" w:customStyle="1" w:styleId="bold">
    <w:name w:val="bold"/>
    <w:basedOn w:val="Numatytasispastraiposriftas"/>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lang w:val="lt-LT"/>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hAnsi="Times New Roman" w:cs="Times New Roman"/>
      <w:b/>
      <w:bCs/>
      <w:sz w:val="20"/>
      <w:szCs w:val="20"/>
      <w:lang w:val="lt-LT"/>
    </w:rPr>
  </w:style>
  <w:style w:type="paragraph" w:styleId="Pataisymai">
    <w:name w:val="Revision"/>
    <w:hidden/>
    <w:uiPriority w:val="99"/>
    <w:semiHidden/>
    <w:pPr>
      <w:spacing w:after="0" w:line="240" w:lineRule="auto"/>
    </w:pPr>
    <w:rPr>
      <w:rFonts w:ascii="Times New Roman" w:hAnsi="Times New Roman" w:cs="Times New Roman"/>
      <w:sz w:val="24"/>
    </w:rPr>
  </w:style>
  <w:style w:type="paragraph" w:customStyle="1" w:styleId="modref">
    <w:name w:val="modref"/>
    <w:basedOn w:val="prastasis"/>
    <w:pPr>
      <w:spacing w:before="100" w:beforeAutospacing="1" w:after="100" w:afterAutospacing="1"/>
      <w:jc w:val="left"/>
    </w:pPr>
    <w:rPr>
      <w:rFonts w:eastAsia="Times New Roman"/>
      <w:szCs w:val="24"/>
    </w:rPr>
  </w:style>
  <w:style w:type="character" w:styleId="Hipersaitas">
    <w:name w:val="Hyperlink"/>
    <w:basedOn w:val="Numatytasispastraiposriftas"/>
    <w:uiPriority w:val="99"/>
    <w:unhideWhenUsed/>
    <w:rPr>
      <w:color w:val="0000FF"/>
      <w:u w:val="single"/>
    </w:rPr>
  </w:style>
  <w:style w:type="paragraph" w:customStyle="1" w:styleId="title-article-norm">
    <w:name w:val="title-article-norm"/>
    <w:basedOn w:val="prastasis"/>
    <w:pPr>
      <w:spacing w:before="100" w:beforeAutospacing="1" w:after="100" w:afterAutospacing="1"/>
      <w:jc w:val="left"/>
    </w:pPr>
    <w:rPr>
      <w:rFonts w:eastAsia="Times New Roman"/>
      <w:szCs w:val="24"/>
    </w:rPr>
  </w:style>
  <w:style w:type="paragraph" w:customStyle="1" w:styleId="stitle-article-norm">
    <w:name w:val="stitle-article-norm"/>
    <w:basedOn w:val="prastasis"/>
    <w:pPr>
      <w:spacing w:before="100" w:beforeAutospacing="1" w:after="100" w:afterAutospacing="1"/>
      <w:jc w:val="left"/>
    </w:pPr>
    <w:rPr>
      <w:rFonts w:eastAsia="Times New Roman"/>
      <w:szCs w:val="24"/>
    </w:rPr>
  </w:style>
  <w:style w:type="paragraph" w:customStyle="1" w:styleId="norm">
    <w:name w:val="norm"/>
    <w:basedOn w:val="prastasis"/>
    <w:pPr>
      <w:spacing w:before="100" w:beforeAutospacing="1" w:after="100" w:afterAutospacing="1"/>
      <w:jc w:val="left"/>
    </w:pPr>
    <w:rPr>
      <w:rFonts w:eastAsia="Times New Roman"/>
      <w:szCs w:val="24"/>
    </w:rPr>
  </w:style>
  <w:style w:type="character" w:customStyle="1" w:styleId="boldface">
    <w:name w:val="boldface"/>
    <w:basedOn w:val="Numatytasispastraiposriftas"/>
  </w:style>
  <w:style w:type="paragraph" w:customStyle="1" w:styleId="title-annex-1">
    <w:name w:val="title-annex-1"/>
    <w:basedOn w:val="prastasis"/>
    <w:pPr>
      <w:spacing w:before="100" w:beforeAutospacing="1" w:after="100" w:afterAutospacing="1"/>
      <w:jc w:val="left"/>
    </w:pPr>
    <w:rPr>
      <w:rFonts w:eastAsia="Times New Roman"/>
      <w:szCs w:val="24"/>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pPr>
      <w:spacing w:before="0" w:after="200" w:line="276" w:lineRule="auto"/>
      <w:ind w:left="720"/>
      <w:contextualSpacing/>
      <w:jc w:val="left"/>
    </w:pPr>
    <w:rPr>
      <w:rFonts w:asciiTheme="minorHAnsi" w:hAnsiTheme="minorHAnsi" w:cstheme="minorBidi"/>
      <w:sz w:val="22"/>
    </w:rPr>
  </w:style>
  <w:style w:type="character" w:customStyle="1" w:styleId="Bodytext5">
    <w:name w:val="Body text (5)_"/>
    <w:basedOn w:val="Numatytasispastraiposriftas"/>
    <w:link w:val="Bodytext50"/>
    <w:rPr>
      <w:sz w:val="21"/>
      <w:szCs w:val="21"/>
      <w:shd w:val="clear" w:color="auto" w:fill="FFFFFF"/>
    </w:rPr>
  </w:style>
  <w:style w:type="paragraph" w:customStyle="1" w:styleId="Bodytext50">
    <w:name w:val="Body text (5)"/>
    <w:basedOn w:val="prastasis"/>
    <w:link w:val="Bodytext5"/>
    <w:pPr>
      <w:widowControl w:val="0"/>
      <w:shd w:val="clear" w:color="auto" w:fill="FFFFFF"/>
      <w:spacing w:before="240" w:after="240" w:line="274" w:lineRule="exact"/>
      <w:ind w:hanging="880"/>
    </w:pPr>
    <w:rPr>
      <w:rFonts w:asciiTheme="minorHAnsi" w:hAnsiTheme="minorHAnsi" w:cstheme="minorBidi"/>
      <w:sz w:val="21"/>
      <w:szCs w:val="21"/>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basedOn w:val="Numatytasispastraiposriftas"/>
    <w:link w:val="Sraopastraipa"/>
    <w:uiPriority w:val="34"/>
    <w:qFormat/>
    <w:rPr>
      <w:lang w:val="lt-LT"/>
    </w:rPr>
  </w:style>
  <w:style w:type="character" w:customStyle="1" w:styleId="Bodytext2">
    <w:name w:val="Body text (2)_"/>
    <w:basedOn w:val="Numatytasispastraiposriftas"/>
    <w:link w:val="Bodytext20"/>
    <w:rPr>
      <w:shd w:val="clear" w:color="auto" w:fill="FFFFFF"/>
    </w:rPr>
  </w:style>
  <w:style w:type="paragraph" w:customStyle="1" w:styleId="Bodytext20">
    <w:name w:val="Body text (2)"/>
    <w:basedOn w:val="prastasis"/>
    <w:link w:val="Bodytext2"/>
    <w:pPr>
      <w:widowControl w:val="0"/>
      <w:shd w:val="clear" w:color="auto" w:fill="FFFFFF"/>
      <w:spacing w:before="0" w:after="240" w:line="274" w:lineRule="exact"/>
      <w:ind w:hanging="880"/>
      <w:jc w:val="left"/>
    </w:pPr>
    <w:rPr>
      <w:rFonts w:asciiTheme="minorHAnsi" w:hAnsiTheme="minorHAnsi" w:cstheme="minorBidi"/>
      <w:sz w:val="22"/>
    </w:rPr>
  </w:style>
  <w:style w:type="paragraph" w:styleId="Antrats">
    <w:name w:val="header"/>
    <w:basedOn w:val="prastasis"/>
    <w:link w:val="AntratsDiagrama"/>
    <w:uiPriority w:val="99"/>
    <w:unhideWhenUsed/>
    <w:pPr>
      <w:tabs>
        <w:tab w:val="center" w:pos="4535"/>
        <w:tab w:val="right" w:pos="9071"/>
      </w:tabs>
      <w:spacing w:before="0"/>
    </w:pPr>
    <w:rPr>
      <w:lang w:eastAsia="en-US" w:bidi="ar-SA"/>
    </w:rPr>
  </w:style>
  <w:style w:type="character" w:customStyle="1" w:styleId="AntratsDiagrama">
    <w:name w:val="Antraštės Diagrama"/>
    <w:basedOn w:val="Numatytasispastraiposriftas"/>
    <w:link w:val="Antrats"/>
    <w:uiPriority w:val="99"/>
    <w:rPr>
      <w:rFonts w:ascii="Times New Roman" w:hAnsi="Times New Roman" w:cs="Times New Roman"/>
      <w:sz w:val="24"/>
      <w:lang w:eastAsia="en-US" w:bidi="ar-SA"/>
    </w:rPr>
  </w:style>
  <w:style w:type="paragraph" w:styleId="Porat">
    <w:name w:val="footer"/>
    <w:basedOn w:val="prastasis"/>
    <w:link w:val="PoratDiagrama"/>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PoratDiagrama">
    <w:name w:val="Poraštė Diagrama"/>
    <w:basedOn w:val="Numatytasispastraiposriftas"/>
    <w:link w:val="Porat"/>
    <w:uiPriority w:val="99"/>
    <w:rPr>
      <w:rFonts w:ascii="Times New Roman" w:hAnsi="Times New Roman" w:cs="Times New Roman"/>
      <w:sz w:val="24"/>
      <w:lang w:eastAsia="en-US" w:bidi="ar-SA"/>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en-GB"/>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en-GB"/>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en-GB"/>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en-GB"/>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pPr>
  </w:style>
  <w:style w:type="paragraph" w:customStyle="1" w:styleId="HeaderLandscape">
    <w:name w:val="HeaderLandscape"/>
    <w:basedOn w:val="prastasis"/>
    <w:pPr>
      <w:tabs>
        <w:tab w:val="center" w:pos="7285"/>
        <w:tab w:val="right" w:pos="14003"/>
      </w:tabs>
      <w:spacing w:before="0"/>
    </w:pPr>
    <w:rPr>
      <w:lang w:eastAsia="en-US" w:bidi="ar-SA"/>
    </w:rPr>
  </w:style>
  <w:style w:type="paragraph" w:customStyle="1" w:styleId="FooterLandscape">
    <w:name w:val="FooterLandscape"/>
    <w:basedOn w:val="prastasis"/>
    <w:pPr>
      <w:tabs>
        <w:tab w:val="center" w:pos="7285"/>
        <w:tab w:val="center" w:pos="10913"/>
        <w:tab w:val="right" w:pos="15137"/>
      </w:tabs>
      <w:spacing w:before="360" w:after="0"/>
      <w:ind w:left="-567" w:right="-567"/>
      <w:jc w:val="left"/>
    </w:pPr>
    <w:rPr>
      <w:lang w:eastAsia="en-US" w:bidi="ar-SA"/>
    </w:r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prastasis"/>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30"/>
      </w:numPr>
    </w:pPr>
  </w:style>
  <w:style w:type="paragraph" w:customStyle="1" w:styleId="NumPar2">
    <w:name w:val="NumPar 2"/>
    <w:basedOn w:val="prastasis"/>
    <w:next w:val="Text1"/>
    <w:pPr>
      <w:numPr>
        <w:ilvl w:val="1"/>
        <w:numId w:val="30"/>
      </w:numPr>
    </w:pPr>
  </w:style>
  <w:style w:type="paragraph" w:customStyle="1" w:styleId="NumPar3">
    <w:name w:val="NumPar 3"/>
    <w:basedOn w:val="prastasis"/>
    <w:next w:val="Text1"/>
    <w:pPr>
      <w:numPr>
        <w:ilvl w:val="2"/>
        <w:numId w:val="30"/>
      </w:numPr>
    </w:pPr>
  </w:style>
  <w:style w:type="paragraph" w:customStyle="1" w:styleId="NumPar4">
    <w:name w:val="NumPar 4"/>
    <w:basedOn w:val="prastasis"/>
    <w:next w:val="Text1"/>
    <w:pPr>
      <w:numPr>
        <w:ilvl w:val="3"/>
        <w:numId w:val="30"/>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32"/>
      </w:numPr>
    </w:pPr>
  </w:style>
  <w:style w:type="paragraph" w:customStyle="1" w:styleId="Point1number">
    <w:name w:val="Point 1 (number)"/>
    <w:basedOn w:val="prastasis"/>
    <w:pPr>
      <w:numPr>
        <w:ilvl w:val="2"/>
        <w:numId w:val="32"/>
      </w:numPr>
    </w:pPr>
  </w:style>
  <w:style w:type="paragraph" w:customStyle="1" w:styleId="Point2number">
    <w:name w:val="Point 2 (number)"/>
    <w:basedOn w:val="prastasis"/>
    <w:pPr>
      <w:numPr>
        <w:ilvl w:val="4"/>
        <w:numId w:val="32"/>
      </w:numPr>
    </w:pPr>
  </w:style>
  <w:style w:type="paragraph" w:customStyle="1" w:styleId="Point3number">
    <w:name w:val="Point 3 (number)"/>
    <w:basedOn w:val="prastasis"/>
    <w:pPr>
      <w:numPr>
        <w:ilvl w:val="6"/>
        <w:numId w:val="32"/>
      </w:numPr>
    </w:pPr>
  </w:style>
  <w:style w:type="paragraph" w:customStyle="1" w:styleId="Point0letter">
    <w:name w:val="Point 0 (letter)"/>
    <w:basedOn w:val="prastasis"/>
    <w:pPr>
      <w:numPr>
        <w:ilvl w:val="1"/>
        <w:numId w:val="32"/>
      </w:numPr>
    </w:pPr>
  </w:style>
  <w:style w:type="paragraph" w:customStyle="1" w:styleId="Point1letter">
    <w:name w:val="Point 1 (letter)"/>
    <w:basedOn w:val="prastasis"/>
    <w:pPr>
      <w:numPr>
        <w:ilvl w:val="3"/>
        <w:numId w:val="32"/>
      </w:numPr>
    </w:pPr>
  </w:style>
  <w:style w:type="paragraph" w:customStyle="1" w:styleId="Point2letter">
    <w:name w:val="Point 2 (letter)"/>
    <w:basedOn w:val="prastasis"/>
    <w:pPr>
      <w:numPr>
        <w:ilvl w:val="5"/>
        <w:numId w:val="32"/>
      </w:numPr>
    </w:pPr>
  </w:style>
  <w:style w:type="paragraph" w:customStyle="1" w:styleId="Point3letter">
    <w:name w:val="Point 3 (letter)"/>
    <w:basedOn w:val="prastasis"/>
    <w:pPr>
      <w:numPr>
        <w:ilvl w:val="7"/>
        <w:numId w:val="32"/>
      </w:numPr>
    </w:pPr>
  </w:style>
  <w:style w:type="paragraph" w:customStyle="1" w:styleId="Point4letter">
    <w:name w:val="Point 4 (letter)"/>
    <w:basedOn w:val="prastasis"/>
    <w:pPr>
      <w:numPr>
        <w:ilvl w:val="8"/>
        <w:numId w:val="32"/>
      </w:numPr>
    </w:pPr>
  </w:style>
  <w:style w:type="paragraph" w:customStyle="1" w:styleId="Bullet0">
    <w:name w:val="Bullet 0"/>
    <w:basedOn w:val="prastasis"/>
    <w:pPr>
      <w:numPr>
        <w:numId w:val="33"/>
      </w:numPr>
    </w:pPr>
  </w:style>
  <w:style w:type="paragraph" w:customStyle="1" w:styleId="Bullet1">
    <w:name w:val="Bullet 1"/>
    <w:basedOn w:val="prastasis"/>
    <w:pPr>
      <w:numPr>
        <w:numId w:val="34"/>
      </w:numPr>
    </w:pPr>
  </w:style>
  <w:style w:type="paragraph" w:customStyle="1" w:styleId="Bullet2">
    <w:name w:val="Bullet 2"/>
    <w:basedOn w:val="prastasis"/>
    <w:pPr>
      <w:numPr>
        <w:numId w:val="35"/>
      </w:numPr>
    </w:pPr>
  </w:style>
  <w:style w:type="paragraph" w:customStyle="1" w:styleId="Bullet3">
    <w:name w:val="Bullet 3"/>
    <w:basedOn w:val="prastasis"/>
    <w:pPr>
      <w:numPr>
        <w:numId w:val="36"/>
      </w:numPr>
    </w:pPr>
  </w:style>
  <w:style w:type="paragraph" w:customStyle="1" w:styleId="Bullet4">
    <w:name w:val="Bullet 4"/>
    <w:basedOn w:val="prastasis"/>
    <w:pPr>
      <w:numPr>
        <w:numId w:val="37"/>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38"/>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before="120" w:after="120" w:line="240" w:lineRule="auto"/>
      <w:jc w:val="both"/>
    </w:pPr>
    <w:rPr>
      <w:rFonts w:ascii="Times New Roman" w:hAnsi="Times New Roman" w:cs="Times New Roman"/>
      <w:sz w:val="24"/>
    </w:rPr>
  </w:style>
  <w:style w:type="paragraph" w:styleId="Antrat1">
    <w:name w:val="heading 1"/>
    <w:basedOn w:val="prastasis"/>
    <w:next w:val="Text1"/>
    <w:link w:val="Antrat1Diagrama"/>
    <w:uiPriority w:val="9"/>
    <w:qFormat/>
    <w:pPr>
      <w:keepNext/>
      <w:numPr>
        <w:numId w:val="31"/>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31"/>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31"/>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31"/>
      </w:numPr>
      <w:outlineLvl w:val="3"/>
    </w:pPr>
    <w:rPr>
      <w:rFonts w:eastAsiaTheme="majorEastAsia"/>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nhideWhenUsed/>
    <w:qFormat/>
    <w:pPr>
      <w:spacing w:before="0" w:after="200"/>
    </w:pPr>
    <w:rPr>
      <w:b/>
      <w:bCs/>
      <w:color w:val="4F81BD" w:themeColor="accent1"/>
      <w:sz w:val="18"/>
      <w:szCs w:val="18"/>
    </w:rPr>
  </w:style>
  <w:style w:type="paragraph" w:styleId="Iliustracijsraas">
    <w:name w:val="table of figures"/>
    <w:basedOn w:val="prastasis"/>
    <w:next w:val="prastasis"/>
    <w:uiPriority w:val="99"/>
    <w:semiHidden/>
    <w:unhideWhenUsed/>
    <w:pPr>
      <w:spacing w:after="0"/>
    </w:pPr>
  </w:style>
  <w:style w:type="paragraph" w:styleId="Sraassuenkleliais">
    <w:name w:val="List Bullet"/>
    <w:basedOn w:val="prastasis"/>
    <w:uiPriority w:val="99"/>
    <w:semiHidden/>
    <w:unhideWhenUsed/>
    <w:pPr>
      <w:numPr>
        <w:numId w:val="4"/>
      </w:numPr>
      <w:contextualSpacing/>
    </w:pPr>
  </w:style>
  <w:style w:type="paragraph" w:styleId="Sraassuenkleliais2">
    <w:name w:val="List Bullet 2"/>
    <w:basedOn w:val="prastasis"/>
    <w:uiPriority w:val="99"/>
    <w:semiHidden/>
    <w:unhideWhenUsed/>
    <w:pPr>
      <w:numPr>
        <w:numId w:val="5"/>
      </w:numPr>
      <w:contextualSpacing/>
    </w:pPr>
  </w:style>
  <w:style w:type="paragraph" w:styleId="Sraassuenkleliais3">
    <w:name w:val="List Bullet 3"/>
    <w:basedOn w:val="prastasis"/>
    <w:uiPriority w:val="99"/>
    <w:semiHidden/>
    <w:unhideWhenUsed/>
    <w:pPr>
      <w:numPr>
        <w:numId w:val="6"/>
      </w:numPr>
      <w:contextualSpacing/>
    </w:pPr>
  </w:style>
  <w:style w:type="paragraph" w:styleId="Sraassuenkleliais4">
    <w:name w:val="List Bullet 4"/>
    <w:basedOn w:val="prastasis"/>
    <w:uiPriority w:val="99"/>
    <w:semiHidden/>
    <w:unhideWhenUsed/>
    <w:pPr>
      <w:numPr>
        <w:numId w:val="7"/>
      </w:numPr>
      <w:contextualSpacing/>
    </w:pPr>
  </w:style>
  <w:style w:type="paragraph" w:styleId="Sraassunumeriais">
    <w:name w:val="List Number"/>
    <w:basedOn w:val="prastasis"/>
    <w:uiPriority w:val="99"/>
    <w:semiHidden/>
    <w:unhideWhenUsed/>
    <w:pPr>
      <w:numPr>
        <w:numId w:val="8"/>
      </w:numPr>
      <w:contextualSpacing/>
    </w:pPr>
  </w:style>
  <w:style w:type="paragraph" w:styleId="Sraassunumeriais2">
    <w:name w:val="List Number 2"/>
    <w:basedOn w:val="prastasis"/>
    <w:uiPriority w:val="99"/>
    <w:semiHidden/>
    <w:unhideWhenUsed/>
    <w:pPr>
      <w:numPr>
        <w:numId w:val="9"/>
      </w:numPr>
      <w:contextualSpacing/>
    </w:pPr>
  </w:style>
  <w:style w:type="paragraph" w:styleId="Sraassunumeriais3">
    <w:name w:val="List Number 3"/>
    <w:basedOn w:val="prastasis"/>
    <w:uiPriority w:val="99"/>
    <w:semiHidden/>
    <w:unhideWhenUsed/>
    <w:pPr>
      <w:numPr>
        <w:numId w:val="10"/>
      </w:numPr>
      <w:contextualSpacing/>
    </w:pPr>
  </w:style>
  <w:style w:type="paragraph" w:styleId="Sraassunumeriais4">
    <w:name w:val="List Number 4"/>
    <w:basedOn w:val="prastasis"/>
    <w:uiPriority w:val="99"/>
    <w:semiHidden/>
    <w:unhideWhenUsed/>
    <w:pPr>
      <w:numPr>
        <w:numId w:val="11"/>
      </w:numPr>
      <w:contextualSpacing/>
    </w:pPr>
  </w:style>
  <w:style w:type="paragraph" w:customStyle="1" w:styleId="doc-ti">
    <w:name w:val="doc-ti"/>
    <w:basedOn w:val="prastasis"/>
    <w:pPr>
      <w:spacing w:before="100" w:beforeAutospacing="1" w:after="100" w:afterAutospacing="1"/>
      <w:jc w:val="left"/>
    </w:pPr>
    <w:rPr>
      <w:rFonts w:eastAsia="Times New Roman"/>
      <w:szCs w:val="24"/>
    </w:rPr>
  </w:style>
  <w:style w:type="paragraph" w:customStyle="1" w:styleId="ti-tbl">
    <w:name w:val="ti-tbl"/>
    <w:basedOn w:val="prastasis"/>
    <w:pPr>
      <w:spacing w:before="100" w:beforeAutospacing="1" w:after="100" w:afterAutospacing="1"/>
      <w:jc w:val="left"/>
    </w:pPr>
    <w:rPr>
      <w:rFonts w:eastAsia="Times New Roman"/>
      <w:szCs w:val="24"/>
    </w:rPr>
  </w:style>
  <w:style w:type="character" w:customStyle="1" w:styleId="bold">
    <w:name w:val="bold"/>
    <w:basedOn w:val="Numatytasispastraiposriftas"/>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lang w:val="lt-LT"/>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hAnsi="Times New Roman" w:cs="Times New Roman"/>
      <w:b/>
      <w:bCs/>
      <w:sz w:val="20"/>
      <w:szCs w:val="20"/>
      <w:lang w:val="lt-LT"/>
    </w:rPr>
  </w:style>
  <w:style w:type="paragraph" w:styleId="Pataisymai">
    <w:name w:val="Revision"/>
    <w:hidden/>
    <w:uiPriority w:val="99"/>
    <w:semiHidden/>
    <w:pPr>
      <w:spacing w:after="0" w:line="240" w:lineRule="auto"/>
    </w:pPr>
    <w:rPr>
      <w:rFonts w:ascii="Times New Roman" w:hAnsi="Times New Roman" w:cs="Times New Roman"/>
      <w:sz w:val="24"/>
    </w:rPr>
  </w:style>
  <w:style w:type="paragraph" w:customStyle="1" w:styleId="modref">
    <w:name w:val="modref"/>
    <w:basedOn w:val="prastasis"/>
    <w:pPr>
      <w:spacing w:before="100" w:beforeAutospacing="1" w:after="100" w:afterAutospacing="1"/>
      <w:jc w:val="left"/>
    </w:pPr>
    <w:rPr>
      <w:rFonts w:eastAsia="Times New Roman"/>
      <w:szCs w:val="24"/>
    </w:rPr>
  </w:style>
  <w:style w:type="character" w:styleId="Hipersaitas">
    <w:name w:val="Hyperlink"/>
    <w:basedOn w:val="Numatytasispastraiposriftas"/>
    <w:uiPriority w:val="99"/>
    <w:unhideWhenUsed/>
    <w:rPr>
      <w:color w:val="0000FF"/>
      <w:u w:val="single"/>
    </w:rPr>
  </w:style>
  <w:style w:type="paragraph" w:customStyle="1" w:styleId="title-article-norm">
    <w:name w:val="title-article-norm"/>
    <w:basedOn w:val="prastasis"/>
    <w:pPr>
      <w:spacing w:before="100" w:beforeAutospacing="1" w:after="100" w:afterAutospacing="1"/>
      <w:jc w:val="left"/>
    </w:pPr>
    <w:rPr>
      <w:rFonts w:eastAsia="Times New Roman"/>
      <w:szCs w:val="24"/>
    </w:rPr>
  </w:style>
  <w:style w:type="paragraph" w:customStyle="1" w:styleId="stitle-article-norm">
    <w:name w:val="stitle-article-norm"/>
    <w:basedOn w:val="prastasis"/>
    <w:pPr>
      <w:spacing w:before="100" w:beforeAutospacing="1" w:after="100" w:afterAutospacing="1"/>
      <w:jc w:val="left"/>
    </w:pPr>
    <w:rPr>
      <w:rFonts w:eastAsia="Times New Roman"/>
      <w:szCs w:val="24"/>
    </w:rPr>
  </w:style>
  <w:style w:type="paragraph" w:customStyle="1" w:styleId="norm">
    <w:name w:val="norm"/>
    <w:basedOn w:val="prastasis"/>
    <w:pPr>
      <w:spacing w:before="100" w:beforeAutospacing="1" w:after="100" w:afterAutospacing="1"/>
      <w:jc w:val="left"/>
    </w:pPr>
    <w:rPr>
      <w:rFonts w:eastAsia="Times New Roman"/>
      <w:szCs w:val="24"/>
    </w:rPr>
  </w:style>
  <w:style w:type="character" w:customStyle="1" w:styleId="boldface">
    <w:name w:val="boldface"/>
    <w:basedOn w:val="Numatytasispastraiposriftas"/>
  </w:style>
  <w:style w:type="paragraph" w:customStyle="1" w:styleId="title-annex-1">
    <w:name w:val="title-annex-1"/>
    <w:basedOn w:val="prastasis"/>
    <w:pPr>
      <w:spacing w:before="100" w:beforeAutospacing="1" w:after="100" w:afterAutospacing="1"/>
      <w:jc w:val="left"/>
    </w:pPr>
    <w:rPr>
      <w:rFonts w:eastAsia="Times New Roman"/>
      <w:szCs w:val="24"/>
    </w:rPr>
  </w:style>
  <w:style w:type="character" w:styleId="Emfaz">
    <w:name w:val="Emphasis"/>
    <w:basedOn w:val="Numatytasispastraiposriftas"/>
    <w:uiPriority w:val="20"/>
    <w:qFormat/>
    <w:rPr>
      <w:b/>
      <w:bCs/>
      <w:i w:val="0"/>
      <w:iCs w:val="0"/>
    </w:rPr>
  </w:style>
  <w:style w:type="character" w:customStyle="1" w:styleId="st1">
    <w:name w:val="st1"/>
    <w:basedOn w:val="Numatytasispastraiposriftas"/>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pPr>
      <w:spacing w:before="0" w:after="200" w:line="276" w:lineRule="auto"/>
      <w:ind w:left="720"/>
      <w:contextualSpacing/>
      <w:jc w:val="left"/>
    </w:pPr>
    <w:rPr>
      <w:rFonts w:asciiTheme="minorHAnsi" w:hAnsiTheme="minorHAnsi" w:cstheme="minorBidi"/>
      <w:sz w:val="22"/>
    </w:rPr>
  </w:style>
  <w:style w:type="character" w:customStyle="1" w:styleId="Bodytext5">
    <w:name w:val="Body text (5)_"/>
    <w:basedOn w:val="Numatytasispastraiposriftas"/>
    <w:link w:val="Bodytext50"/>
    <w:rPr>
      <w:sz w:val="21"/>
      <w:szCs w:val="21"/>
      <w:shd w:val="clear" w:color="auto" w:fill="FFFFFF"/>
    </w:rPr>
  </w:style>
  <w:style w:type="paragraph" w:customStyle="1" w:styleId="Bodytext50">
    <w:name w:val="Body text (5)"/>
    <w:basedOn w:val="prastasis"/>
    <w:link w:val="Bodytext5"/>
    <w:pPr>
      <w:widowControl w:val="0"/>
      <w:shd w:val="clear" w:color="auto" w:fill="FFFFFF"/>
      <w:spacing w:before="240" w:after="240" w:line="274" w:lineRule="exact"/>
      <w:ind w:hanging="880"/>
    </w:pPr>
    <w:rPr>
      <w:rFonts w:asciiTheme="minorHAnsi" w:hAnsiTheme="minorHAnsi" w:cstheme="minorBidi"/>
      <w:sz w:val="21"/>
      <w:szCs w:val="21"/>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basedOn w:val="Numatytasispastraiposriftas"/>
    <w:link w:val="Sraopastraipa"/>
    <w:uiPriority w:val="34"/>
    <w:qFormat/>
    <w:rPr>
      <w:lang w:val="lt-LT"/>
    </w:rPr>
  </w:style>
  <w:style w:type="character" w:customStyle="1" w:styleId="Bodytext2">
    <w:name w:val="Body text (2)_"/>
    <w:basedOn w:val="Numatytasispastraiposriftas"/>
    <w:link w:val="Bodytext20"/>
    <w:rPr>
      <w:shd w:val="clear" w:color="auto" w:fill="FFFFFF"/>
    </w:rPr>
  </w:style>
  <w:style w:type="paragraph" w:customStyle="1" w:styleId="Bodytext20">
    <w:name w:val="Body text (2)"/>
    <w:basedOn w:val="prastasis"/>
    <w:link w:val="Bodytext2"/>
    <w:pPr>
      <w:widowControl w:val="0"/>
      <w:shd w:val="clear" w:color="auto" w:fill="FFFFFF"/>
      <w:spacing w:before="0" w:after="240" w:line="274" w:lineRule="exact"/>
      <w:ind w:hanging="880"/>
      <w:jc w:val="left"/>
    </w:pPr>
    <w:rPr>
      <w:rFonts w:asciiTheme="minorHAnsi" w:hAnsiTheme="minorHAnsi" w:cstheme="minorBidi"/>
      <w:sz w:val="22"/>
    </w:rPr>
  </w:style>
  <w:style w:type="paragraph" w:styleId="Antrats">
    <w:name w:val="header"/>
    <w:basedOn w:val="prastasis"/>
    <w:link w:val="AntratsDiagrama"/>
    <w:uiPriority w:val="99"/>
    <w:unhideWhenUsed/>
    <w:pPr>
      <w:tabs>
        <w:tab w:val="center" w:pos="4535"/>
        <w:tab w:val="right" w:pos="9071"/>
      </w:tabs>
      <w:spacing w:before="0"/>
    </w:pPr>
    <w:rPr>
      <w:lang w:eastAsia="en-US" w:bidi="ar-SA"/>
    </w:rPr>
  </w:style>
  <w:style w:type="character" w:customStyle="1" w:styleId="AntratsDiagrama">
    <w:name w:val="Antraštės Diagrama"/>
    <w:basedOn w:val="Numatytasispastraiposriftas"/>
    <w:link w:val="Antrats"/>
    <w:uiPriority w:val="99"/>
    <w:rPr>
      <w:rFonts w:ascii="Times New Roman" w:hAnsi="Times New Roman" w:cs="Times New Roman"/>
      <w:sz w:val="24"/>
      <w:lang w:eastAsia="en-US" w:bidi="ar-SA"/>
    </w:rPr>
  </w:style>
  <w:style w:type="paragraph" w:styleId="Porat">
    <w:name w:val="footer"/>
    <w:basedOn w:val="prastasis"/>
    <w:link w:val="PoratDiagrama"/>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PoratDiagrama">
    <w:name w:val="Poraštė Diagrama"/>
    <w:basedOn w:val="Numatytasispastraiposriftas"/>
    <w:link w:val="Porat"/>
    <w:uiPriority w:val="99"/>
    <w:rPr>
      <w:rFonts w:ascii="Times New Roman" w:hAnsi="Times New Roman" w:cs="Times New Roman"/>
      <w:sz w:val="24"/>
      <w:lang w:eastAsia="en-US" w:bidi="ar-SA"/>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en-GB"/>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en-GB"/>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en-GB"/>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en-GB"/>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pPr>
  </w:style>
  <w:style w:type="paragraph" w:customStyle="1" w:styleId="HeaderLandscape">
    <w:name w:val="HeaderLandscape"/>
    <w:basedOn w:val="prastasis"/>
    <w:pPr>
      <w:tabs>
        <w:tab w:val="center" w:pos="7285"/>
        <w:tab w:val="right" w:pos="14003"/>
      </w:tabs>
      <w:spacing w:before="0"/>
    </w:pPr>
    <w:rPr>
      <w:lang w:eastAsia="en-US" w:bidi="ar-SA"/>
    </w:rPr>
  </w:style>
  <w:style w:type="paragraph" w:customStyle="1" w:styleId="FooterLandscape">
    <w:name w:val="FooterLandscape"/>
    <w:basedOn w:val="prastasis"/>
    <w:pPr>
      <w:tabs>
        <w:tab w:val="center" w:pos="7285"/>
        <w:tab w:val="center" w:pos="10913"/>
        <w:tab w:val="right" w:pos="15137"/>
      </w:tabs>
      <w:spacing w:before="360" w:after="0"/>
      <w:ind w:left="-567" w:right="-567"/>
      <w:jc w:val="left"/>
    </w:pPr>
    <w:rPr>
      <w:lang w:eastAsia="en-US" w:bidi="ar-SA"/>
    </w:r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prastasis"/>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30"/>
      </w:numPr>
    </w:pPr>
  </w:style>
  <w:style w:type="paragraph" w:customStyle="1" w:styleId="NumPar2">
    <w:name w:val="NumPar 2"/>
    <w:basedOn w:val="prastasis"/>
    <w:next w:val="Text1"/>
    <w:pPr>
      <w:numPr>
        <w:ilvl w:val="1"/>
        <w:numId w:val="30"/>
      </w:numPr>
    </w:pPr>
  </w:style>
  <w:style w:type="paragraph" w:customStyle="1" w:styleId="NumPar3">
    <w:name w:val="NumPar 3"/>
    <w:basedOn w:val="prastasis"/>
    <w:next w:val="Text1"/>
    <w:pPr>
      <w:numPr>
        <w:ilvl w:val="2"/>
        <w:numId w:val="30"/>
      </w:numPr>
    </w:pPr>
  </w:style>
  <w:style w:type="paragraph" w:customStyle="1" w:styleId="NumPar4">
    <w:name w:val="NumPar 4"/>
    <w:basedOn w:val="prastasis"/>
    <w:next w:val="Text1"/>
    <w:pPr>
      <w:numPr>
        <w:ilvl w:val="3"/>
        <w:numId w:val="30"/>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32"/>
      </w:numPr>
    </w:pPr>
  </w:style>
  <w:style w:type="paragraph" w:customStyle="1" w:styleId="Point1number">
    <w:name w:val="Point 1 (number)"/>
    <w:basedOn w:val="prastasis"/>
    <w:pPr>
      <w:numPr>
        <w:ilvl w:val="2"/>
        <w:numId w:val="32"/>
      </w:numPr>
    </w:pPr>
  </w:style>
  <w:style w:type="paragraph" w:customStyle="1" w:styleId="Point2number">
    <w:name w:val="Point 2 (number)"/>
    <w:basedOn w:val="prastasis"/>
    <w:pPr>
      <w:numPr>
        <w:ilvl w:val="4"/>
        <w:numId w:val="32"/>
      </w:numPr>
    </w:pPr>
  </w:style>
  <w:style w:type="paragraph" w:customStyle="1" w:styleId="Point3number">
    <w:name w:val="Point 3 (number)"/>
    <w:basedOn w:val="prastasis"/>
    <w:pPr>
      <w:numPr>
        <w:ilvl w:val="6"/>
        <w:numId w:val="32"/>
      </w:numPr>
    </w:pPr>
  </w:style>
  <w:style w:type="paragraph" w:customStyle="1" w:styleId="Point0letter">
    <w:name w:val="Point 0 (letter)"/>
    <w:basedOn w:val="prastasis"/>
    <w:pPr>
      <w:numPr>
        <w:ilvl w:val="1"/>
        <w:numId w:val="32"/>
      </w:numPr>
    </w:pPr>
  </w:style>
  <w:style w:type="paragraph" w:customStyle="1" w:styleId="Point1letter">
    <w:name w:val="Point 1 (letter)"/>
    <w:basedOn w:val="prastasis"/>
    <w:pPr>
      <w:numPr>
        <w:ilvl w:val="3"/>
        <w:numId w:val="32"/>
      </w:numPr>
    </w:pPr>
  </w:style>
  <w:style w:type="paragraph" w:customStyle="1" w:styleId="Point2letter">
    <w:name w:val="Point 2 (letter)"/>
    <w:basedOn w:val="prastasis"/>
    <w:pPr>
      <w:numPr>
        <w:ilvl w:val="5"/>
        <w:numId w:val="32"/>
      </w:numPr>
    </w:pPr>
  </w:style>
  <w:style w:type="paragraph" w:customStyle="1" w:styleId="Point3letter">
    <w:name w:val="Point 3 (letter)"/>
    <w:basedOn w:val="prastasis"/>
    <w:pPr>
      <w:numPr>
        <w:ilvl w:val="7"/>
        <w:numId w:val="32"/>
      </w:numPr>
    </w:pPr>
  </w:style>
  <w:style w:type="paragraph" w:customStyle="1" w:styleId="Point4letter">
    <w:name w:val="Point 4 (letter)"/>
    <w:basedOn w:val="prastasis"/>
    <w:pPr>
      <w:numPr>
        <w:ilvl w:val="8"/>
        <w:numId w:val="32"/>
      </w:numPr>
    </w:pPr>
  </w:style>
  <w:style w:type="paragraph" w:customStyle="1" w:styleId="Bullet0">
    <w:name w:val="Bullet 0"/>
    <w:basedOn w:val="prastasis"/>
    <w:pPr>
      <w:numPr>
        <w:numId w:val="33"/>
      </w:numPr>
    </w:pPr>
  </w:style>
  <w:style w:type="paragraph" w:customStyle="1" w:styleId="Bullet1">
    <w:name w:val="Bullet 1"/>
    <w:basedOn w:val="prastasis"/>
    <w:pPr>
      <w:numPr>
        <w:numId w:val="34"/>
      </w:numPr>
    </w:pPr>
  </w:style>
  <w:style w:type="paragraph" w:customStyle="1" w:styleId="Bullet2">
    <w:name w:val="Bullet 2"/>
    <w:basedOn w:val="prastasis"/>
    <w:pPr>
      <w:numPr>
        <w:numId w:val="35"/>
      </w:numPr>
    </w:pPr>
  </w:style>
  <w:style w:type="paragraph" w:customStyle="1" w:styleId="Bullet3">
    <w:name w:val="Bullet 3"/>
    <w:basedOn w:val="prastasis"/>
    <w:pPr>
      <w:numPr>
        <w:numId w:val="36"/>
      </w:numPr>
    </w:pPr>
  </w:style>
  <w:style w:type="paragraph" w:customStyle="1" w:styleId="Bullet4">
    <w:name w:val="Bullet 4"/>
    <w:basedOn w:val="prastasis"/>
    <w:pPr>
      <w:numPr>
        <w:numId w:val="37"/>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38"/>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1467">
      <w:bodyDiv w:val="1"/>
      <w:marLeft w:val="0"/>
      <w:marRight w:val="0"/>
      <w:marTop w:val="0"/>
      <w:marBottom w:val="0"/>
      <w:divBdr>
        <w:top w:val="none" w:sz="0" w:space="0" w:color="auto"/>
        <w:left w:val="none" w:sz="0" w:space="0" w:color="auto"/>
        <w:bottom w:val="none" w:sz="0" w:space="0" w:color="auto"/>
        <w:right w:val="none" w:sz="0" w:space="0" w:color="auto"/>
      </w:divBdr>
      <w:divsChild>
        <w:div w:id="808132441">
          <w:marLeft w:val="0"/>
          <w:marRight w:val="0"/>
          <w:marTop w:val="0"/>
          <w:marBottom w:val="0"/>
          <w:divBdr>
            <w:top w:val="none" w:sz="0" w:space="0" w:color="auto"/>
            <w:left w:val="none" w:sz="0" w:space="0" w:color="auto"/>
            <w:bottom w:val="none" w:sz="0" w:space="0" w:color="auto"/>
            <w:right w:val="none" w:sz="0" w:space="0" w:color="auto"/>
          </w:divBdr>
          <w:divsChild>
            <w:div w:id="11535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099">
      <w:bodyDiv w:val="1"/>
      <w:marLeft w:val="0"/>
      <w:marRight w:val="0"/>
      <w:marTop w:val="0"/>
      <w:marBottom w:val="0"/>
      <w:divBdr>
        <w:top w:val="none" w:sz="0" w:space="0" w:color="auto"/>
        <w:left w:val="none" w:sz="0" w:space="0" w:color="auto"/>
        <w:bottom w:val="none" w:sz="0" w:space="0" w:color="auto"/>
        <w:right w:val="none" w:sz="0" w:space="0" w:color="auto"/>
      </w:divBdr>
    </w:div>
    <w:div w:id="416366492">
      <w:bodyDiv w:val="1"/>
      <w:marLeft w:val="0"/>
      <w:marRight w:val="0"/>
      <w:marTop w:val="0"/>
      <w:marBottom w:val="0"/>
      <w:divBdr>
        <w:top w:val="none" w:sz="0" w:space="0" w:color="auto"/>
        <w:left w:val="none" w:sz="0" w:space="0" w:color="auto"/>
        <w:bottom w:val="none" w:sz="0" w:space="0" w:color="auto"/>
        <w:right w:val="none" w:sz="0" w:space="0" w:color="auto"/>
      </w:divBdr>
      <w:divsChild>
        <w:div w:id="597761146">
          <w:marLeft w:val="600"/>
          <w:marRight w:val="0"/>
          <w:marTop w:val="0"/>
          <w:marBottom w:val="0"/>
          <w:divBdr>
            <w:top w:val="none" w:sz="0" w:space="0" w:color="auto"/>
            <w:left w:val="none" w:sz="0" w:space="0" w:color="auto"/>
            <w:bottom w:val="none" w:sz="0" w:space="0" w:color="auto"/>
            <w:right w:val="none" w:sz="0" w:space="0" w:color="auto"/>
          </w:divBdr>
        </w:div>
        <w:div w:id="162625512">
          <w:marLeft w:val="600"/>
          <w:marRight w:val="0"/>
          <w:marTop w:val="0"/>
          <w:marBottom w:val="0"/>
          <w:divBdr>
            <w:top w:val="none" w:sz="0" w:space="0" w:color="auto"/>
            <w:left w:val="none" w:sz="0" w:space="0" w:color="auto"/>
            <w:bottom w:val="none" w:sz="0" w:space="0" w:color="auto"/>
            <w:right w:val="none" w:sz="0" w:space="0" w:color="auto"/>
          </w:divBdr>
        </w:div>
        <w:div w:id="712194805">
          <w:marLeft w:val="600"/>
          <w:marRight w:val="0"/>
          <w:marTop w:val="0"/>
          <w:marBottom w:val="0"/>
          <w:divBdr>
            <w:top w:val="none" w:sz="0" w:space="0" w:color="auto"/>
            <w:left w:val="none" w:sz="0" w:space="0" w:color="auto"/>
            <w:bottom w:val="none" w:sz="0" w:space="0" w:color="auto"/>
            <w:right w:val="none" w:sz="0" w:space="0" w:color="auto"/>
          </w:divBdr>
        </w:div>
        <w:div w:id="1917353293">
          <w:marLeft w:val="600"/>
          <w:marRight w:val="0"/>
          <w:marTop w:val="0"/>
          <w:marBottom w:val="0"/>
          <w:divBdr>
            <w:top w:val="none" w:sz="0" w:space="0" w:color="auto"/>
            <w:left w:val="none" w:sz="0" w:space="0" w:color="auto"/>
            <w:bottom w:val="none" w:sz="0" w:space="0" w:color="auto"/>
            <w:right w:val="none" w:sz="0" w:space="0" w:color="auto"/>
          </w:divBdr>
        </w:div>
        <w:div w:id="453519314">
          <w:marLeft w:val="600"/>
          <w:marRight w:val="0"/>
          <w:marTop w:val="0"/>
          <w:marBottom w:val="0"/>
          <w:divBdr>
            <w:top w:val="none" w:sz="0" w:space="0" w:color="auto"/>
            <w:left w:val="none" w:sz="0" w:space="0" w:color="auto"/>
            <w:bottom w:val="none" w:sz="0" w:space="0" w:color="auto"/>
            <w:right w:val="none" w:sz="0" w:space="0" w:color="auto"/>
          </w:divBdr>
        </w:div>
        <w:div w:id="1084490352">
          <w:marLeft w:val="600"/>
          <w:marRight w:val="0"/>
          <w:marTop w:val="0"/>
          <w:marBottom w:val="0"/>
          <w:divBdr>
            <w:top w:val="none" w:sz="0" w:space="0" w:color="auto"/>
            <w:left w:val="none" w:sz="0" w:space="0" w:color="auto"/>
            <w:bottom w:val="none" w:sz="0" w:space="0" w:color="auto"/>
            <w:right w:val="none" w:sz="0" w:space="0" w:color="auto"/>
          </w:divBdr>
        </w:div>
        <w:div w:id="328674895">
          <w:marLeft w:val="600"/>
          <w:marRight w:val="0"/>
          <w:marTop w:val="0"/>
          <w:marBottom w:val="0"/>
          <w:divBdr>
            <w:top w:val="none" w:sz="0" w:space="0" w:color="auto"/>
            <w:left w:val="none" w:sz="0" w:space="0" w:color="auto"/>
            <w:bottom w:val="none" w:sz="0" w:space="0" w:color="auto"/>
            <w:right w:val="none" w:sz="0" w:space="0" w:color="auto"/>
          </w:divBdr>
        </w:div>
      </w:divsChild>
    </w:div>
    <w:div w:id="458914761">
      <w:bodyDiv w:val="1"/>
      <w:marLeft w:val="0"/>
      <w:marRight w:val="0"/>
      <w:marTop w:val="0"/>
      <w:marBottom w:val="0"/>
      <w:divBdr>
        <w:top w:val="none" w:sz="0" w:space="0" w:color="auto"/>
        <w:left w:val="none" w:sz="0" w:space="0" w:color="auto"/>
        <w:bottom w:val="none" w:sz="0" w:space="0" w:color="auto"/>
        <w:right w:val="none" w:sz="0" w:space="0" w:color="auto"/>
      </w:divBdr>
    </w:div>
    <w:div w:id="486164273">
      <w:bodyDiv w:val="1"/>
      <w:marLeft w:val="0"/>
      <w:marRight w:val="0"/>
      <w:marTop w:val="0"/>
      <w:marBottom w:val="0"/>
      <w:divBdr>
        <w:top w:val="none" w:sz="0" w:space="0" w:color="auto"/>
        <w:left w:val="none" w:sz="0" w:space="0" w:color="auto"/>
        <w:bottom w:val="none" w:sz="0" w:space="0" w:color="auto"/>
        <w:right w:val="none" w:sz="0" w:space="0" w:color="auto"/>
      </w:divBdr>
      <w:divsChild>
        <w:div w:id="1448502868">
          <w:marLeft w:val="0"/>
          <w:marRight w:val="0"/>
          <w:marTop w:val="0"/>
          <w:marBottom w:val="0"/>
          <w:divBdr>
            <w:top w:val="none" w:sz="0" w:space="0" w:color="auto"/>
            <w:left w:val="none" w:sz="0" w:space="0" w:color="auto"/>
            <w:bottom w:val="none" w:sz="0" w:space="0" w:color="auto"/>
            <w:right w:val="none" w:sz="0" w:space="0" w:color="auto"/>
          </w:divBdr>
          <w:divsChild>
            <w:div w:id="10679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3701">
      <w:bodyDiv w:val="1"/>
      <w:marLeft w:val="0"/>
      <w:marRight w:val="0"/>
      <w:marTop w:val="0"/>
      <w:marBottom w:val="0"/>
      <w:divBdr>
        <w:top w:val="none" w:sz="0" w:space="0" w:color="auto"/>
        <w:left w:val="none" w:sz="0" w:space="0" w:color="auto"/>
        <w:bottom w:val="none" w:sz="0" w:space="0" w:color="auto"/>
        <w:right w:val="none" w:sz="0" w:space="0" w:color="auto"/>
      </w:divBdr>
    </w:div>
    <w:div w:id="620187635">
      <w:bodyDiv w:val="1"/>
      <w:marLeft w:val="0"/>
      <w:marRight w:val="0"/>
      <w:marTop w:val="0"/>
      <w:marBottom w:val="0"/>
      <w:divBdr>
        <w:top w:val="none" w:sz="0" w:space="0" w:color="auto"/>
        <w:left w:val="none" w:sz="0" w:space="0" w:color="auto"/>
        <w:bottom w:val="none" w:sz="0" w:space="0" w:color="auto"/>
        <w:right w:val="none" w:sz="0" w:space="0" w:color="auto"/>
      </w:divBdr>
    </w:div>
    <w:div w:id="772749461">
      <w:bodyDiv w:val="1"/>
      <w:marLeft w:val="0"/>
      <w:marRight w:val="0"/>
      <w:marTop w:val="0"/>
      <w:marBottom w:val="0"/>
      <w:divBdr>
        <w:top w:val="none" w:sz="0" w:space="0" w:color="auto"/>
        <w:left w:val="none" w:sz="0" w:space="0" w:color="auto"/>
        <w:bottom w:val="none" w:sz="0" w:space="0" w:color="auto"/>
        <w:right w:val="none" w:sz="0" w:space="0" w:color="auto"/>
      </w:divBdr>
    </w:div>
    <w:div w:id="810050481">
      <w:bodyDiv w:val="1"/>
      <w:marLeft w:val="0"/>
      <w:marRight w:val="0"/>
      <w:marTop w:val="0"/>
      <w:marBottom w:val="0"/>
      <w:divBdr>
        <w:top w:val="none" w:sz="0" w:space="0" w:color="auto"/>
        <w:left w:val="none" w:sz="0" w:space="0" w:color="auto"/>
        <w:bottom w:val="none" w:sz="0" w:space="0" w:color="auto"/>
        <w:right w:val="none" w:sz="0" w:space="0" w:color="auto"/>
      </w:divBdr>
    </w:div>
    <w:div w:id="943850726">
      <w:bodyDiv w:val="1"/>
      <w:marLeft w:val="0"/>
      <w:marRight w:val="0"/>
      <w:marTop w:val="0"/>
      <w:marBottom w:val="0"/>
      <w:divBdr>
        <w:top w:val="none" w:sz="0" w:space="0" w:color="auto"/>
        <w:left w:val="none" w:sz="0" w:space="0" w:color="auto"/>
        <w:bottom w:val="none" w:sz="0" w:space="0" w:color="auto"/>
        <w:right w:val="none" w:sz="0" w:space="0" w:color="auto"/>
      </w:divBdr>
      <w:divsChild>
        <w:div w:id="1901094676">
          <w:marLeft w:val="720"/>
          <w:marRight w:val="0"/>
          <w:marTop w:val="0"/>
          <w:marBottom w:val="0"/>
          <w:divBdr>
            <w:top w:val="none" w:sz="0" w:space="0" w:color="auto"/>
            <w:left w:val="none" w:sz="0" w:space="0" w:color="auto"/>
            <w:bottom w:val="none" w:sz="0" w:space="0" w:color="auto"/>
            <w:right w:val="none" w:sz="0" w:space="0" w:color="auto"/>
          </w:divBdr>
        </w:div>
        <w:div w:id="282736208">
          <w:marLeft w:val="840"/>
          <w:marRight w:val="0"/>
          <w:marTop w:val="0"/>
          <w:marBottom w:val="0"/>
          <w:divBdr>
            <w:top w:val="none" w:sz="0" w:space="0" w:color="auto"/>
            <w:left w:val="none" w:sz="0" w:space="0" w:color="auto"/>
            <w:bottom w:val="none" w:sz="0" w:space="0" w:color="auto"/>
            <w:right w:val="none" w:sz="0" w:space="0" w:color="auto"/>
          </w:divBdr>
        </w:div>
      </w:divsChild>
    </w:div>
    <w:div w:id="1002464797">
      <w:bodyDiv w:val="1"/>
      <w:marLeft w:val="0"/>
      <w:marRight w:val="0"/>
      <w:marTop w:val="0"/>
      <w:marBottom w:val="0"/>
      <w:divBdr>
        <w:top w:val="none" w:sz="0" w:space="0" w:color="auto"/>
        <w:left w:val="none" w:sz="0" w:space="0" w:color="auto"/>
        <w:bottom w:val="none" w:sz="0" w:space="0" w:color="auto"/>
        <w:right w:val="none" w:sz="0" w:space="0" w:color="auto"/>
      </w:divBdr>
      <w:divsChild>
        <w:div w:id="245112870">
          <w:marLeft w:val="720"/>
          <w:marRight w:val="0"/>
          <w:marTop w:val="0"/>
          <w:marBottom w:val="0"/>
          <w:divBdr>
            <w:top w:val="none" w:sz="0" w:space="0" w:color="auto"/>
            <w:left w:val="none" w:sz="0" w:space="0" w:color="auto"/>
            <w:bottom w:val="none" w:sz="0" w:space="0" w:color="auto"/>
            <w:right w:val="none" w:sz="0" w:space="0" w:color="auto"/>
          </w:divBdr>
        </w:div>
        <w:div w:id="1798832960">
          <w:marLeft w:val="840"/>
          <w:marRight w:val="0"/>
          <w:marTop w:val="0"/>
          <w:marBottom w:val="0"/>
          <w:divBdr>
            <w:top w:val="none" w:sz="0" w:space="0" w:color="auto"/>
            <w:left w:val="none" w:sz="0" w:space="0" w:color="auto"/>
            <w:bottom w:val="none" w:sz="0" w:space="0" w:color="auto"/>
            <w:right w:val="none" w:sz="0" w:space="0" w:color="auto"/>
          </w:divBdr>
        </w:div>
      </w:divsChild>
    </w:div>
    <w:div w:id="1210606132">
      <w:bodyDiv w:val="1"/>
      <w:marLeft w:val="0"/>
      <w:marRight w:val="0"/>
      <w:marTop w:val="0"/>
      <w:marBottom w:val="0"/>
      <w:divBdr>
        <w:top w:val="none" w:sz="0" w:space="0" w:color="auto"/>
        <w:left w:val="none" w:sz="0" w:space="0" w:color="auto"/>
        <w:bottom w:val="none" w:sz="0" w:space="0" w:color="auto"/>
        <w:right w:val="none" w:sz="0" w:space="0" w:color="auto"/>
      </w:divBdr>
    </w:div>
    <w:div w:id="1321158259">
      <w:bodyDiv w:val="1"/>
      <w:marLeft w:val="0"/>
      <w:marRight w:val="0"/>
      <w:marTop w:val="0"/>
      <w:marBottom w:val="0"/>
      <w:divBdr>
        <w:top w:val="none" w:sz="0" w:space="0" w:color="auto"/>
        <w:left w:val="none" w:sz="0" w:space="0" w:color="auto"/>
        <w:bottom w:val="none" w:sz="0" w:space="0" w:color="auto"/>
        <w:right w:val="none" w:sz="0" w:space="0" w:color="auto"/>
      </w:divBdr>
      <w:divsChild>
        <w:div w:id="1845971615">
          <w:marLeft w:val="720"/>
          <w:marRight w:val="0"/>
          <w:marTop w:val="0"/>
          <w:marBottom w:val="0"/>
          <w:divBdr>
            <w:top w:val="none" w:sz="0" w:space="0" w:color="auto"/>
            <w:left w:val="none" w:sz="0" w:space="0" w:color="auto"/>
            <w:bottom w:val="none" w:sz="0" w:space="0" w:color="auto"/>
            <w:right w:val="none" w:sz="0" w:space="0" w:color="auto"/>
          </w:divBdr>
        </w:div>
      </w:divsChild>
    </w:div>
    <w:div w:id="1389264529">
      <w:bodyDiv w:val="1"/>
      <w:marLeft w:val="0"/>
      <w:marRight w:val="0"/>
      <w:marTop w:val="0"/>
      <w:marBottom w:val="0"/>
      <w:divBdr>
        <w:top w:val="none" w:sz="0" w:space="0" w:color="auto"/>
        <w:left w:val="none" w:sz="0" w:space="0" w:color="auto"/>
        <w:bottom w:val="none" w:sz="0" w:space="0" w:color="auto"/>
        <w:right w:val="none" w:sz="0" w:space="0" w:color="auto"/>
      </w:divBdr>
    </w:div>
    <w:div w:id="1444224218">
      <w:bodyDiv w:val="1"/>
      <w:marLeft w:val="0"/>
      <w:marRight w:val="0"/>
      <w:marTop w:val="0"/>
      <w:marBottom w:val="0"/>
      <w:divBdr>
        <w:top w:val="none" w:sz="0" w:space="0" w:color="auto"/>
        <w:left w:val="none" w:sz="0" w:space="0" w:color="auto"/>
        <w:bottom w:val="none" w:sz="0" w:space="0" w:color="auto"/>
        <w:right w:val="none" w:sz="0" w:space="0" w:color="auto"/>
      </w:divBdr>
    </w:div>
    <w:div w:id="1460489538">
      <w:bodyDiv w:val="1"/>
      <w:marLeft w:val="0"/>
      <w:marRight w:val="0"/>
      <w:marTop w:val="0"/>
      <w:marBottom w:val="0"/>
      <w:divBdr>
        <w:top w:val="none" w:sz="0" w:space="0" w:color="auto"/>
        <w:left w:val="none" w:sz="0" w:space="0" w:color="auto"/>
        <w:bottom w:val="none" w:sz="0" w:space="0" w:color="auto"/>
        <w:right w:val="none" w:sz="0" w:space="0" w:color="auto"/>
      </w:divBdr>
    </w:div>
    <w:div w:id="1501391429">
      <w:bodyDiv w:val="1"/>
      <w:marLeft w:val="0"/>
      <w:marRight w:val="0"/>
      <w:marTop w:val="0"/>
      <w:marBottom w:val="0"/>
      <w:divBdr>
        <w:top w:val="none" w:sz="0" w:space="0" w:color="auto"/>
        <w:left w:val="none" w:sz="0" w:space="0" w:color="auto"/>
        <w:bottom w:val="none" w:sz="0" w:space="0" w:color="auto"/>
        <w:right w:val="none" w:sz="0" w:space="0" w:color="auto"/>
      </w:divBdr>
      <w:divsChild>
        <w:div w:id="1315528905">
          <w:marLeft w:val="0"/>
          <w:marRight w:val="0"/>
          <w:marTop w:val="0"/>
          <w:marBottom w:val="0"/>
          <w:divBdr>
            <w:top w:val="none" w:sz="0" w:space="0" w:color="auto"/>
            <w:left w:val="none" w:sz="0" w:space="0" w:color="auto"/>
            <w:bottom w:val="none" w:sz="0" w:space="0" w:color="auto"/>
            <w:right w:val="none" w:sz="0" w:space="0" w:color="auto"/>
          </w:divBdr>
          <w:divsChild>
            <w:div w:id="16783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2027">
      <w:bodyDiv w:val="1"/>
      <w:marLeft w:val="0"/>
      <w:marRight w:val="0"/>
      <w:marTop w:val="0"/>
      <w:marBottom w:val="0"/>
      <w:divBdr>
        <w:top w:val="none" w:sz="0" w:space="0" w:color="auto"/>
        <w:left w:val="none" w:sz="0" w:space="0" w:color="auto"/>
        <w:bottom w:val="none" w:sz="0" w:space="0" w:color="auto"/>
        <w:right w:val="none" w:sz="0" w:space="0" w:color="auto"/>
      </w:divBdr>
      <w:divsChild>
        <w:div w:id="1513178282">
          <w:marLeft w:val="600"/>
          <w:marRight w:val="0"/>
          <w:marTop w:val="0"/>
          <w:marBottom w:val="0"/>
          <w:divBdr>
            <w:top w:val="none" w:sz="0" w:space="0" w:color="auto"/>
            <w:left w:val="none" w:sz="0" w:space="0" w:color="auto"/>
            <w:bottom w:val="none" w:sz="0" w:space="0" w:color="auto"/>
            <w:right w:val="none" w:sz="0" w:space="0" w:color="auto"/>
          </w:divBdr>
        </w:div>
        <w:div w:id="974409379">
          <w:marLeft w:val="600"/>
          <w:marRight w:val="0"/>
          <w:marTop w:val="0"/>
          <w:marBottom w:val="0"/>
          <w:divBdr>
            <w:top w:val="none" w:sz="0" w:space="0" w:color="auto"/>
            <w:left w:val="none" w:sz="0" w:space="0" w:color="auto"/>
            <w:bottom w:val="none" w:sz="0" w:space="0" w:color="auto"/>
            <w:right w:val="none" w:sz="0" w:space="0" w:color="auto"/>
          </w:divBdr>
        </w:div>
      </w:divsChild>
    </w:div>
    <w:div w:id="1854416092">
      <w:bodyDiv w:val="1"/>
      <w:marLeft w:val="0"/>
      <w:marRight w:val="0"/>
      <w:marTop w:val="0"/>
      <w:marBottom w:val="0"/>
      <w:divBdr>
        <w:top w:val="none" w:sz="0" w:space="0" w:color="auto"/>
        <w:left w:val="none" w:sz="0" w:space="0" w:color="auto"/>
        <w:bottom w:val="none" w:sz="0" w:space="0" w:color="auto"/>
        <w:right w:val="none" w:sz="0" w:space="0" w:color="auto"/>
      </w:divBdr>
    </w:div>
    <w:div w:id="1913006426">
      <w:bodyDiv w:val="1"/>
      <w:marLeft w:val="0"/>
      <w:marRight w:val="0"/>
      <w:marTop w:val="0"/>
      <w:marBottom w:val="0"/>
      <w:divBdr>
        <w:top w:val="none" w:sz="0" w:space="0" w:color="auto"/>
        <w:left w:val="none" w:sz="0" w:space="0" w:color="auto"/>
        <w:bottom w:val="none" w:sz="0" w:space="0" w:color="auto"/>
        <w:right w:val="none" w:sz="0" w:space="0" w:color="auto"/>
      </w:divBdr>
      <w:divsChild>
        <w:div w:id="333580810">
          <w:marLeft w:val="0"/>
          <w:marRight w:val="0"/>
          <w:marTop w:val="0"/>
          <w:marBottom w:val="0"/>
          <w:divBdr>
            <w:top w:val="none" w:sz="0" w:space="0" w:color="auto"/>
            <w:left w:val="none" w:sz="0" w:space="0" w:color="auto"/>
            <w:bottom w:val="none" w:sz="0" w:space="0" w:color="auto"/>
            <w:right w:val="none" w:sz="0" w:space="0" w:color="auto"/>
          </w:divBdr>
          <w:divsChild>
            <w:div w:id="8101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ublications/reflection-paper-future-eu-finances_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E95B-699E-446F-AF7D-609A5A97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Pages>
  <Words>37659</Words>
  <Characters>21466</Characters>
  <Application>Microsoft Office Word</Application>
  <DocSecurity>0</DocSecurity>
  <Lines>178</Lines>
  <Paragraphs>118</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Kvietkė</dc:creator>
  <cp:lastModifiedBy>Julija Kvietkė</cp:lastModifiedBy>
  <cp:revision>2</cp:revision>
  <cp:lastPrinted>2018-05-17T12:54:00Z</cp:lastPrinted>
  <dcterms:created xsi:type="dcterms:W3CDTF">2018-06-08T07:17:00Z</dcterms:created>
  <dcterms:modified xsi:type="dcterms:W3CDTF">2018-06-08T07:17:00Z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