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2B0A" w14:textId="77777777" w:rsidR="00C04651" w:rsidRPr="007B0131" w:rsidRDefault="00C04651" w:rsidP="00C04651">
      <w:pPr>
        <w:spacing w:after="0" w:line="240" w:lineRule="auto"/>
        <w:jc w:val="center"/>
        <w:rPr>
          <w:rFonts w:ascii="Times New Roman" w:eastAsiaTheme="minorHAnsi" w:hAnsi="Times New Roman"/>
          <w:b/>
          <w:sz w:val="24"/>
          <w:szCs w:val="24"/>
        </w:rPr>
      </w:pPr>
      <w:r w:rsidRPr="007B0131">
        <w:rPr>
          <w:rFonts w:ascii="Times New Roman" w:eastAsiaTheme="minorHAnsi" w:hAnsi="Times New Roman"/>
          <w:b/>
          <w:sz w:val="24"/>
          <w:szCs w:val="24"/>
        </w:rPr>
        <w:t>LIETUVOS RESPUBLIKOS ENERGETIKOS MINISTERIJOS</w:t>
      </w:r>
    </w:p>
    <w:p w14:paraId="68BAE1D7" w14:textId="77777777" w:rsidR="00C04651" w:rsidRPr="007B0131" w:rsidRDefault="00C04651" w:rsidP="00C04651">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TEISĖS IR PERSONALO GRUPĖ</w:t>
      </w:r>
    </w:p>
    <w:p w14:paraId="6476F2AF" w14:textId="77777777" w:rsidR="00C04651" w:rsidRPr="007B0131" w:rsidRDefault="00C04651" w:rsidP="00C04651">
      <w:pPr>
        <w:spacing w:after="0" w:line="240" w:lineRule="auto"/>
        <w:jc w:val="center"/>
        <w:rPr>
          <w:rFonts w:ascii="Times New Roman" w:eastAsiaTheme="minorHAnsi" w:hAnsi="Times New Roman"/>
          <w:b/>
          <w:sz w:val="24"/>
          <w:szCs w:val="24"/>
        </w:rPr>
      </w:pPr>
    </w:p>
    <w:p w14:paraId="42490DE6" w14:textId="77777777" w:rsidR="00C04651" w:rsidRPr="007B0131" w:rsidRDefault="00C04651" w:rsidP="00C04651">
      <w:pPr>
        <w:spacing w:after="0" w:line="240" w:lineRule="auto"/>
        <w:jc w:val="center"/>
        <w:rPr>
          <w:rFonts w:ascii="Times New Roman" w:eastAsiaTheme="minorHAnsi" w:hAnsi="Times New Roman"/>
          <w:b/>
          <w:sz w:val="24"/>
          <w:szCs w:val="24"/>
        </w:rPr>
      </w:pPr>
      <w:r w:rsidRPr="007B0131">
        <w:rPr>
          <w:rFonts w:ascii="Times New Roman" w:eastAsiaTheme="minorHAnsi" w:hAnsi="Times New Roman"/>
          <w:b/>
          <w:sz w:val="24"/>
          <w:szCs w:val="24"/>
        </w:rPr>
        <w:t>TEISĖS AKTO PROJEKTO ANTIKORUPCINIO VERTINIMO PAŽYMA</w:t>
      </w:r>
    </w:p>
    <w:p w14:paraId="07A700BB" w14:textId="77777777" w:rsidR="00C04651" w:rsidRPr="00A46FD7" w:rsidRDefault="00C04651" w:rsidP="00C04651">
      <w:pPr>
        <w:spacing w:after="0" w:line="240" w:lineRule="auto"/>
        <w:rPr>
          <w:rFonts w:ascii="Times New Roman" w:eastAsia="Times New Roman" w:hAnsi="Times New Roman"/>
          <w:b/>
          <w:sz w:val="24"/>
          <w:szCs w:val="24"/>
        </w:rPr>
      </w:pPr>
    </w:p>
    <w:p w14:paraId="2CD3C70C" w14:textId="565611A5" w:rsidR="00C04651" w:rsidRPr="00CE536D" w:rsidRDefault="00C04651" w:rsidP="00C04651">
      <w:pPr>
        <w:spacing w:after="0"/>
        <w:jc w:val="center"/>
        <w:rPr>
          <w:rFonts w:ascii="Times New Roman" w:hAnsi="Times New Roman"/>
          <w:sz w:val="24"/>
          <w:szCs w:val="24"/>
        </w:rPr>
      </w:pPr>
      <w:r>
        <w:rPr>
          <w:rFonts w:ascii="Times New Roman" w:hAnsi="Times New Roman"/>
          <w:sz w:val="24"/>
          <w:szCs w:val="24"/>
        </w:rPr>
        <w:t>2022</w:t>
      </w:r>
      <w:r w:rsidRPr="00CE536D">
        <w:rPr>
          <w:rFonts w:ascii="Times New Roman" w:hAnsi="Times New Roman"/>
          <w:sz w:val="24"/>
          <w:szCs w:val="24"/>
        </w:rPr>
        <w:t xml:space="preserve"> m. </w:t>
      </w:r>
      <w:r w:rsidR="00F616D2">
        <w:rPr>
          <w:rFonts w:ascii="Times New Roman" w:hAnsi="Times New Roman"/>
          <w:sz w:val="24"/>
          <w:szCs w:val="24"/>
        </w:rPr>
        <w:t>gruodžio</w:t>
      </w:r>
      <w:r>
        <w:rPr>
          <w:rFonts w:ascii="Times New Roman" w:hAnsi="Times New Roman"/>
          <w:sz w:val="24"/>
          <w:szCs w:val="24"/>
        </w:rPr>
        <w:t xml:space="preserve">     </w:t>
      </w:r>
      <w:r w:rsidRPr="00CE536D">
        <w:rPr>
          <w:rFonts w:ascii="Times New Roman" w:hAnsi="Times New Roman"/>
          <w:sz w:val="24"/>
          <w:szCs w:val="24"/>
        </w:rPr>
        <w:t xml:space="preserve">d. Nr. </w:t>
      </w:r>
    </w:p>
    <w:p w14:paraId="5387EB47" w14:textId="77777777" w:rsidR="00C04651" w:rsidRPr="00C04651" w:rsidRDefault="00C04651" w:rsidP="00C04651">
      <w:pPr>
        <w:spacing w:after="0" w:line="240" w:lineRule="auto"/>
        <w:ind w:firstLine="720"/>
        <w:rPr>
          <w:rFonts w:asciiTheme="majorBidi" w:eastAsia="Times New Roman" w:hAnsiTheme="majorBidi" w:cstheme="majorBidi"/>
          <w:sz w:val="24"/>
          <w:szCs w:val="24"/>
        </w:rPr>
      </w:pPr>
    </w:p>
    <w:p w14:paraId="2059ED6B" w14:textId="419CAE8C" w:rsidR="00C04651" w:rsidRPr="00CD3E44" w:rsidRDefault="00C04651" w:rsidP="00C04651">
      <w:pPr>
        <w:keepNext/>
        <w:tabs>
          <w:tab w:val="left" w:pos="851"/>
          <w:tab w:val="left" w:pos="1560"/>
          <w:tab w:val="left" w:pos="1843"/>
        </w:tabs>
        <w:overflowPunct w:val="0"/>
        <w:spacing w:after="0"/>
        <w:jc w:val="both"/>
        <w:textAlignment w:val="baseline"/>
        <w:rPr>
          <w:rFonts w:asciiTheme="majorBidi" w:hAnsiTheme="majorBidi" w:cstheme="majorBidi"/>
        </w:rPr>
      </w:pPr>
      <w:r w:rsidRPr="00CD3E44">
        <w:rPr>
          <w:rFonts w:asciiTheme="majorBidi" w:eastAsia="Times New Roman" w:hAnsiTheme="majorBidi" w:cstheme="majorBidi"/>
          <w:b/>
        </w:rPr>
        <w:t>Teisės akto projekto pavadinimas:</w:t>
      </w:r>
      <w:r w:rsidRPr="00CD3E44">
        <w:rPr>
          <w:rFonts w:asciiTheme="majorBidi" w:hAnsiTheme="majorBidi" w:cstheme="majorBidi"/>
          <w:bCs/>
          <w:color w:val="000000"/>
        </w:rPr>
        <w:t xml:space="preserve"> Lietuvos Respublikos energetikos ministro įsakymo „</w:t>
      </w:r>
      <w:r w:rsidRPr="00CD3E44">
        <w:rPr>
          <w:rFonts w:asciiTheme="majorBidi" w:hAnsiTheme="majorBidi" w:cstheme="majorBidi"/>
          <w:lang w:eastAsia="lt-LT"/>
        </w:rPr>
        <w:t>Dėl energetikos ministro 2014 m. gruodžio 2 d. įsakymo Nr. 1-298 „Dėl 2014–2020 metų Europos Sąjungos fondų investicijų veiksmų programos prioritetų įgyvendinimo priemonių įgyvendinimo plano ir 2014–2020 metų Europos Sąjungos fondų investicijų nacionalinių stebėsenos rodiklių skaičiavimo aprašo patvirtinimo“ pakeitimo“ projektas</w:t>
      </w:r>
      <w:r w:rsidRPr="00CD3E44">
        <w:rPr>
          <w:rFonts w:asciiTheme="majorBidi" w:hAnsiTheme="majorBidi" w:cstheme="majorBidi"/>
          <w:bCs/>
          <w:color w:val="000000"/>
        </w:rPr>
        <w:t xml:space="preserve"> (toliau – projektas).</w:t>
      </w:r>
    </w:p>
    <w:p w14:paraId="34F5E78E" w14:textId="77777777" w:rsidR="00C04651" w:rsidRPr="00CD3E44" w:rsidRDefault="00C04651" w:rsidP="00C04651">
      <w:pPr>
        <w:spacing w:after="0" w:line="240" w:lineRule="auto"/>
        <w:ind w:firstLine="720"/>
        <w:jc w:val="both"/>
        <w:rPr>
          <w:rFonts w:ascii="Times New Roman" w:eastAsia="Times New Roman" w:hAnsi="Times New Roman"/>
        </w:rPr>
      </w:pPr>
      <w:r w:rsidRPr="00CD3E44">
        <w:rPr>
          <w:rFonts w:ascii="Times New Roman" w:eastAsia="Times New Roman" w:hAnsi="Times New Roman"/>
          <w:b/>
        </w:rPr>
        <w:t>Teisės akto projekto tiesioginis rengėjas:</w:t>
      </w:r>
      <w:r w:rsidRPr="00CD3E44">
        <w:rPr>
          <w:rFonts w:ascii="Times New Roman" w:eastAsia="Times New Roman" w:hAnsi="Times New Roman"/>
        </w:rPr>
        <w:t xml:space="preserve"> </w:t>
      </w:r>
      <w:r w:rsidRPr="00CD3E44">
        <w:rPr>
          <w:rFonts w:ascii="Times New Roman" w:hAnsi="Times New Roman"/>
          <w:lang w:eastAsia="lt-LT"/>
        </w:rPr>
        <w:t>Lietuvos Respublikos energetikos ministerijos Investicijų grupės vyriausioji specialistė Ineta Blakunovaitė</w:t>
      </w:r>
      <w:r w:rsidRPr="00CD3E44">
        <w:rPr>
          <w:rFonts w:ascii="Times New Roman" w:hAnsi="Times New Roman"/>
        </w:rPr>
        <w:t>.</w:t>
      </w:r>
    </w:p>
    <w:p w14:paraId="4AA03C9A" w14:textId="77777777" w:rsidR="003533B5" w:rsidRPr="00CD3E44" w:rsidRDefault="003533B5" w:rsidP="003533B5">
      <w:pPr>
        <w:pStyle w:val="tip"/>
        <w:shd w:val="clear" w:color="auto" w:fill="FFFFFF"/>
        <w:spacing w:before="0" w:beforeAutospacing="0" w:after="0" w:afterAutospacing="0" w:line="276" w:lineRule="auto"/>
        <w:ind w:firstLine="720"/>
        <w:rPr>
          <w:rFonts w:asciiTheme="majorBidi" w:hAnsiTheme="majorBidi" w:cstheme="majorBidi"/>
          <w:color w:val="000000"/>
          <w:sz w:val="22"/>
          <w:szCs w:val="22"/>
        </w:rPr>
      </w:pPr>
      <w:r w:rsidRPr="00CD3E44">
        <w:rPr>
          <w:rFonts w:asciiTheme="majorBidi" w:hAnsiTheme="majorBidi" w:cstheme="majorBidi"/>
          <w:b/>
          <w:bCs/>
          <w:color w:val="000000"/>
          <w:sz w:val="22"/>
          <w:szCs w:val="22"/>
        </w:rPr>
        <w:t>Teisės akto projekto antikorupcinis vertinimas atliktas</w:t>
      </w:r>
      <w:r w:rsidRPr="00CD3E44">
        <w:rPr>
          <w:rFonts w:asciiTheme="majorBidi" w:hAnsiTheme="majorBidi" w:cstheme="majorBidi"/>
          <w:color w:val="000000"/>
          <w:sz w:val="22"/>
          <w:szCs w:val="22"/>
        </w:rPr>
        <w:t xml:space="preserve"> (</w:t>
      </w:r>
      <w:r w:rsidRPr="00CD3E44">
        <w:rPr>
          <w:rFonts w:asciiTheme="majorBidi" w:hAnsiTheme="majorBidi" w:cstheme="majorBidi"/>
          <w:i/>
          <w:iCs/>
          <w:color w:val="000000"/>
          <w:sz w:val="22"/>
          <w:szCs w:val="22"/>
        </w:rPr>
        <w:t>pažymėti reikiamą atsakymą</w:t>
      </w:r>
      <w:r w:rsidRPr="00CD3E44">
        <w:rPr>
          <w:rFonts w:asciiTheme="majorBidi" w:hAnsiTheme="majorBidi" w:cstheme="majorBidi"/>
          <w:color w:val="000000"/>
          <w:sz w:val="22"/>
          <w:szCs w:val="22"/>
        </w:rPr>
        <w:t>):</w:t>
      </w:r>
    </w:p>
    <w:p w14:paraId="0041C434" w14:textId="77777777" w:rsidR="003533B5" w:rsidRPr="00CD3E44" w:rsidRDefault="003533B5" w:rsidP="003533B5">
      <w:pPr>
        <w:pStyle w:val="tip"/>
        <w:shd w:val="clear" w:color="auto" w:fill="FFFFFF"/>
        <w:spacing w:before="0" w:beforeAutospacing="0" w:after="0" w:afterAutospacing="0" w:line="276" w:lineRule="auto"/>
        <w:ind w:firstLine="720"/>
        <w:jc w:val="both"/>
        <w:rPr>
          <w:rFonts w:asciiTheme="majorBidi" w:hAnsiTheme="majorBidi" w:cstheme="majorBidi"/>
          <w:color w:val="000000"/>
          <w:sz w:val="22"/>
          <w:szCs w:val="22"/>
        </w:rPr>
      </w:pPr>
      <w:r w:rsidRPr="00CD3E44">
        <w:rPr>
          <w:rFonts w:asciiTheme="majorBidi" w:hAnsiTheme="majorBidi" w:cstheme="majorBidi"/>
          <w:b/>
          <w:bCs/>
          <w:color w:val="000000"/>
          <w:sz w:val="22"/>
          <w:szCs w:val="22"/>
        </w:rPr>
        <w:t>x</w:t>
      </w:r>
      <w:r w:rsidRPr="00CD3E44">
        <w:rPr>
          <w:rFonts w:asciiTheme="majorBidi" w:hAnsiTheme="majorBidi" w:cstheme="majorBidi"/>
          <w:color w:val="000000"/>
          <w:sz w:val="22"/>
          <w:szCs w:val="22"/>
        </w:rPr>
        <w:t xml:space="preserve"> suderinus teisės akto projektą viešojo administravimo subjekte ir su pavaldžiomis įstaigomis (įstaigomis prie ministerijos ir kitomis ministrui pavestose valdymo srityse veikiančiomis įstaigomis ir įmonėmis);</w:t>
      </w:r>
    </w:p>
    <w:p w14:paraId="7610B3B6" w14:textId="77777777" w:rsidR="003533B5" w:rsidRPr="00CD3E44" w:rsidRDefault="003533B5" w:rsidP="003533B5">
      <w:pPr>
        <w:pStyle w:val="tajtip"/>
        <w:shd w:val="clear" w:color="auto" w:fill="FFFFFF"/>
        <w:spacing w:before="0" w:beforeAutospacing="0" w:after="0" w:afterAutospacing="0" w:line="276" w:lineRule="auto"/>
        <w:ind w:firstLine="720"/>
        <w:jc w:val="both"/>
        <w:rPr>
          <w:rFonts w:asciiTheme="majorBidi" w:hAnsiTheme="majorBidi" w:cstheme="majorBidi"/>
          <w:color w:val="000000"/>
          <w:sz w:val="22"/>
          <w:szCs w:val="22"/>
        </w:rPr>
      </w:pPr>
      <w:r w:rsidRPr="00CD3E44">
        <w:rPr>
          <w:rFonts w:asciiTheme="majorBidi" w:hAnsiTheme="majorBidi" w:cstheme="majorBidi"/>
          <w:color w:val="000000"/>
          <w:sz w:val="22"/>
          <w:szCs w:val="22"/>
        </w:rPr>
        <w:t>□ suderinus teisės akto projektą su suinteresuotomis institucijomis, kai jis buvo papildytas arba pakeistas.</w:t>
      </w:r>
    </w:p>
    <w:p w14:paraId="79CB4F7E" w14:textId="77777777" w:rsidR="003533B5" w:rsidRPr="00CD3E44" w:rsidRDefault="003533B5" w:rsidP="003533B5">
      <w:pPr>
        <w:pStyle w:val="tajtip"/>
        <w:shd w:val="clear" w:color="auto" w:fill="FFFFFF"/>
        <w:spacing w:before="0" w:beforeAutospacing="0" w:after="0" w:afterAutospacing="0" w:line="276" w:lineRule="auto"/>
        <w:ind w:firstLine="720"/>
        <w:jc w:val="both"/>
        <w:rPr>
          <w:rFonts w:asciiTheme="majorBidi" w:hAnsiTheme="majorBidi" w:cstheme="majorBidi"/>
          <w:color w:val="000000"/>
          <w:sz w:val="22"/>
          <w:szCs w:val="22"/>
        </w:rPr>
      </w:pPr>
      <w:r w:rsidRPr="00CD3E44">
        <w:rPr>
          <w:rFonts w:asciiTheme="majorBidi" w:hAnsiTheme="majorBidi" w:cstheme="majorBidi"/>
          <w:b/>
          <w:bCs/>
          <w:color w:val="000000"/>
          <w:sz w:val="22"/>
          <w:szCs w:val="22"/>
        </w:rPr>
        <w:t xml:space="preserve">Antikorupciniu požiūriu rizikingos teisės akto projekto nuostatos </w:t>
      </w:r>
      <w:r w:rsidRPr="00CD3E44">
        <w:rPr>
          <w:rFonts w:asciiTheme="majorBidi" w:hAnsiTheme="majorBidi" w:cstheme="majorBidi"/>
          <w:i/>
          <w:iCs/>
          <w:color w:val="000000"/>
          <w:sz w:val="22"/>
          <w:szCs w:val="22"/>
        </w:rPr>
        <w:t>(nurodomas antikorupcinio vertinimo kriterijus (toliau – kriterijus), kurį taikant nustatytai korupcijos rizikai šalinti ar valdyti teisės akto projekte nenumatyta priemonių. Pildoma, kai, vertintojo nuomone, teisės akto projekto tiesioginio rengėjo siūlomų pataisų nepakanka korupcijos atsiradimo rizikai mažinti arba kai vertintojas nesutinka su teisės akto projekto tiesioginio rengėjo argumentais, kodėl neatsižvelgta į vertintojo pateiktas pastabas</w:t>
      </w:r>
      <w:r w:rsidRPr="00CD3E44">
        <w:rPr>
          <w:rFonts w:asciiTheme="majorBidi" w:hAnsiTheme="majorBidi" w:cstheme="majorBidi"/>
          <w:color w:val="000000"/>
          <w:sz w:val="22"/>
          <w:szCs w:val="22"/>
        </w:rPr>
        <w:t>):</w:t>
      </w:r>
      <w:r w:rsidRPr="00CD3E44">
        <w:rPr>
          <w:rFonts w:asciiTheme="majorBidi" w:hAnsiTheme="majorBidi" w:cstheme="majorBidi"/>
          <w:sz w:val="22"/>
          <w:szCs w:val="22"/>
        </w:rPr>
        <w:t xml:space="preserve"> nėra.</w:t>
      </w:r>
    </w:p>
    <w:p w14:paraId="13730F9D" w14:textId="77777777" w:rsidR="00C04651" w:rsidRPr="00CD3E44" w:rsidRDefault="00C04651" w:rsidP="00C04651">
      <w:pPr>
        <w:spacing w:after="0" w:line="240" w:lineRule="auto"/>
        <w:ind w:firstLine="720"/>
        <w:jc w:val="both"/>
        <w:rPr>
          <w:rFonts w:ascii="Times New Roman" w:eastAsia="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2"/>
        <w:gridCol w:w="4408"/>
        <w:gridCol w:w="5068"/>
        <w:gridCol w:w="2267"/>
        <w:gridCol w:w="2001"/>
      </w:tblGrid>
      <w:tr w:rsidR="00C04651" w:rsidRPr="00691A02" w14:paraId="3A9E2C36" w14:textId="77777777" w:rsidTr="004910CD">
        <w:trPr>
          <w:trHeight w:val="23"/>
          <w:tblHeader/>
          <w:jc w:val="center"/>
        </w:trPr>
        <w:tc>
          <w:tcPr>
            <w:tcW w:w="186" w:type="pct"/>
            <w:tcBorders>
              <w:top w:val="single" w:sz="4" w:space="0" w:color="auto"/>
              <w:left w:val="single" w:sz="4" w:space="0" w:color="auto"/>
              <w:bottom w:val="single" w:sz="4" w:space="0" w:color="auto"/>
              <w:right w:val="single" w:sz="4" w:space="0" w:color="auto"/>
            </w:tcBorders>
            <w:vAlign w:val="center"/>
          </w:tcPr>
          <w:p w14:paraId="402ABA07"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Eil. Nr.</w:t>
            </w:r>
          </w:p>
        </w:tc>
        <w:tc>
          <w:tcPr>
            <w:tcW w:w="1544" w:type="pct"/>
            <w:tcBorders>
              <w:top w:val="single" w:sz="4" w:space="0" w:color="auto"/>
              <w:left w:val="single" w:sz="4" w:space="0" w:color="auto"/>
              <w:bottom w:val="single" w:sz="4" w:space="0" w:color="auto"/>
              <w:right w:val="single" w:sz="4" w:space="0" w:color="auto"/>
            </w:tcBorders>
            <w:vAlign w:val="center"/>
          </w:tcPr>
          <w:p w14:paraId="422F622A" w14:textId="77777777" w:rsidR="00C04651" w:rsidRPr="00A46FD7" w:rsidRDefault="00C04651" w:rsidP="004910CD">
            <w:pPr>
              <w:spacing w:after="0" w:line="240" w:lineRule="auto"/>
              <w:ind w:left="57" w:right="57"/>
              <w:jc w:val="center"/>
              <w:rPr>
                <w:rFonts w:ascii="Times New Roman" w:eastAsia="Times New Roman" w:hAnsi="Times New Roman"/>
                <w:sz w:val="24"/>
                <w:szCs w:val="24"/>
              </w:rPr>
            </w:pPr>
            <w:r w:rsidRPr="00A46FD7">
              <w:rPr>
                <w:rFonts w:ascii="Times New Roman" w:eastAsia="Times New Roman" w:hAnsi="Times New Roman"/>
                <w:sz w:val="24"/>
                <w:szCs w:val="24"/>
              </w:rPr>
              <w:t>Kriterijus</w:t>
            </w:r>
          </w:p>
        </w:tc>
        <w:tc>
          <w:tcPr>
            <w:tcW w:w="1775" w:type="pct"/>
            <w:tcBorders>
              <w:top w:val="single" w:sz="4" w:space="0" w:color="auto"/>
              <w:left w:val="single" w:sz="4" w:space="0" w:color="auto"/>
              <w:bottom w:val="single" w:sz="4" w:space="0" w:color="auto"/>
              <w:right w:val="single" w:sz="4" w:space="0" w:color="auto"/>
            </w:tcBorders>
            <w:vAlign w:val="center"/>
          </w:tcPr>
          <w:p w14:paraId="2ED5CFA8" w14:textId="77777777" w:rsidR="00C04651" w:rsidRPr="00691A02" w:rsidRDefault="00C04651" w:rsidP="004910CD">
            <w:pPr>
              <w:pStyle w:val="tactin"/>
              <w:shd w:val="clear" w:color="auto" w:fill="FFFFFF"/>
              <w:spacing w:before="0" w:beforeAutospacing="0" w:after="0" w:afterAutospacing="0"/>
              <w:jc w:val="center"/>
              <w:rPr>
                <w:color w:val="000000"/>
              </w:rPr>
            </w:pPr>
            <w:r w:rsidRPr="00691A02">
              <w:rPr>
                <w:color w:val="000000"/>
              </w:rPr>
              <w:t>Kriterijaus vertinimas (nurodant, kad „Kriterijų atitinka“/„Kriterijaus neatitinka“/„Kriterijus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w:t>
            </w:r>
          </w:p>
          <w:p w14:paraId="5B8C372C" w14:textId="77777777" w:rsidR="00C04651" w:rsidRPr="00691A02" w:rsidRDefault="00C04651" w:rsidP="004910CD">
            <w:pPr>
              <w:pStyle w:val="tactin"/>
              <w:shd w:val="clear" w:color="auto" w:fill="FFFFFF"/>
              <w:spacing w:before="0" w:beforeAutospacing="0" w:after="0" w:afterAutospacing="0"/>
              <w:jc w:val="center"/>
              <w:rPr>
                <w:color w:val="000000"/>
              </w:rPr>
            </w:pPr>
            <w:r w:rsidRPr="00691A02">
              <w:rPr>
                <w:color w:val="000000"/>
              </w:rPr>
              <w:t>(</w:t>
            </w:r>
            <w:r w:rsidRPr="00691A02">
              <w:rPr>
                <w:i/>
                <w:iCs/>
                <w:color w:val="000000"/>
              </w:rPr>
              <w:t>pildo teisės akto projekto antikorupcinį vertinimą atliekantis asmuo)</w:t>
            </w:r>
          </w:p>
          <w:p w14:paraId="2D2D7657" w14:textId="77777777" w:rsidR="00C04651" w:rsidRPr="00A46FD7" w:rsidRDefault="00C04651" w:rsidP="004910CD">
            <w:pPr>
              <w:spacing w:after="0" w:line="240" w:lineRule="auto"/>
              <w:ind w:left="57" w:right="57"/>
              <w:jc w:val="center"/>
              <w:rPr>
                <w:rFonts w:ascii="Times New Roman" w:eastAsia="Times New Roman" w:hAnsi="Times New Roman"/>
                <w:b/>
                <w:sz w:val="24"/>
                <w:szCs w:val="24"/>
              </w:rPr>
            </w:pPr>
          </w:p>
        </w:tc>
        <w:tc>
          <w:tcPr>
            <w:tcW w:w="794" w:type="pct"/>
            <w:tcBorders>
              <w:top w:val="single" w:sz="4" w:space="0" w:color="auto"/>
              <w:left w:val="single" w:sz="4" w:space="0" w:color="auto"/>
              <w:bottom w:val="single" w:sz="4" w:space="0" w:color="auto"/>
              <w:right w:val="single" w:sz="4" w:space="0" w:color="auto"/>
            </w:tcBorders>
            <w:vAlign w:val="center"/>
          </w:tcPr>
          <w:p w14:paraId="4421BBE6" w14:textId="77777777" w:rsidR="00C04651" w:rsidRPr="00691A02" w:rsidRDefault="00C04651" w:rsidP="004910CD">
            <w:pPr>
              <w:pStyle w:val="tactin"/>
              <w:shd w:val="clear" w:color="auto" w:fill="FFFFFF"/>
              <w:spacing w:before="0" w:beforeAutospacing="0" w:after="0" w:afterAutospacing="0"/>
              <w:jc w:val="center"/>
              <w:rPr>
                <w:color w:val="000000"/>
              </w:rPr>
            </w:pPr>
            <w:r w:rsidRPr="00691A02">
              <w:rPr>
                <w:color w:val="000000"/>
              </w:rPr>
              <w:t>Teisės akto projekto pakeitimas, mažinantis korupcijos riziką, arba teisės akto projekto tiesioginio rengėjo argumentai, kodėl neatsižvelgta į pastabą</w:t>
            </w:r>
          </w:p>
          <w:p w14:paraId="5D324DA8" w14:textId="77777777" w:rsidR="00C04651" w:rsidRPr="00691A02" w:rsidRDefault="00C04651" w:rsidP="004910CD">
            <w:pPr>
              <w:pStyle w:val="tactin"/>
              <w:shd w:val="clear" w:color="auto" w:fill="FFFFFF"/>
              <w:spacing w:before="0" w:beforeAutospacing="0" w:after="0" w:afterAutospacing="0"/>
              <w:jc w:val="center"/>
              <w:rPr>
                <w:color w:val="000000"/>
              </w:rPr>
            </w:pPr>
            <w:r w:rsidRPr="00691A02">
              <w:rPr>
                <w:color w:val="000000"/>
              </w:rPr>
              <w:t>(</w:t>
            </w:r>
            <w:r w:rsidRPr="00691A02">
              <w:rPr>
                <w:i/>
                <w:iCs/>
                <w:color w:val="000000"/>
              </w:rPr>
              <w:t>pildo teisės akto projekto tiesioginis rengėjas)</w:t>
            </w:r>
          </w:p>
          <w:p w14:paraId="6DD9FD78" w14:textId="77777777" w:rsidR="00C04651" w:rsidRPr="00A46FD7" w:rsidRDefault="00C04651" w:rsidP="004910CD">
            <w:pPr>
              <w:spacing w:after="0" w:line="240" w:lineRule="auto"/>
              <w:jc w:val="center"/>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vAlign w:val="center"/>
          </w:tcPr>
          <w:p w14:paraId="5EDDE3D2" w14:textId="77777777" w:rsidR="00C04651" w:rsidRPr="00691A02" w:rsidRDefault="00C04651" w:rsidP="004910CD">
            <w:pPr>
              <w:spacing w:after="0" w:line="240" w:lineRule="auto"/>
              <w:ind w:left="183" w:hanging="183"/>
              <w:jc w:val="center"/>
              <w:rPr>
                <w:rFonts w:ascii="Times New Roman" w:eastAsia="Times New Roman" w:hAnsi="Times New Roman"/>
                <w:sz w:val="24"/>
                <w:szCs w:val="24"/>
              </w:rPr>
            </w:pPr>
            <w:r w:rsidRPr="00691A02">
              <w:rPr>
                <w:rFonts w:ascii="Times New Roman" w:eastAsia="Times New Roman" w:hAnsi="Times New Roman"/>
                <w:sz w:val="24"/>
                <w:szCs w:val="24"/>
              </w:rPr>
              <w:t>Išvada dėl teisės akto projekto pakeitimų arba argumentų, kodėl neatsižvelgta į pastabą</w:t>
            </w:r>
          </w:p>
          <w:p w14:paraId="0179D99E" w14:textId="77777777" w:rsidR="00C04651" w:rsidRPr="00691A02" w:rsidRDefault="00C04651" w:rsidP="004910CD">
            <w:pPr>
              <w:spacing w:after="0" w:line="240" w:lineRule="auto"/>
              <w:ind w:left="183" w:hanging="183"/>
              <w:jc w:val="center"/>
              <w:rPr>
                <w:rFonts w:ascii="Times New Roman" w:eastAsia="Times New Roman" w:hAnsi="Times New Roman"/>
                <w:sz w:val="24"/>
                <w:szCs w:val="24"/>
              </w:rPr>
            </w:pPr>
            <w:r w:rsidRPr="00691A02">
              <w:rPr>
                <w:rFonts w:ascii="Times New Roman" w:hAnsi="Times New Roman"/>
                <w:color w:val="000000"/>
                <w:sz w:val="24"/>
                <w:szCs w:val="24"/>
                <w:shd w:val="clear" w:color="auto" w:fill="FFFFFF"/>
              </w:rPr>
              <w:t>(</w:t>
            </w:r>
            <w:r w:rsidRPr="00691A02">
              <w:rPr>
                <w:rFonts w:ascii="Times New Roman" w:hAnsi="Times New Roman"/>
                <w:i/>
                <w:iCs/>
                <w:color w:val="000000"/>
                <w:sz w:val="24"/>
                <w:szCs w:val="24"/>
                <w:shd w:val="clear" w:color="auto" w:fill="FFFFFF"/>
              </w:rPr>
              <w:t>pildo teisės akto projekto antikorupcinį vertinimą atliekantis asmuo)</w:t>
            </w:r>
          </w:p>
        </w:tc>
      </w:tr>
      <w:tr w:rsidR="00C04651" w:rsidRPr="00A46FD7" w14:paraId="3DC29263" w14:textId="77777777" w:rsidTr="004910CD">
        <w:trPr>
          <w:trHeight w:val="23"/>
          <w:tblHeader/>
          <w:jc w:val="center"/>
        </w:trPr>
        <w:tc>
          <w:tcPr>
            <w:tcW w:w="186" w:type="pct"/>
            <w:tcBorders>
              <w:top w:val="single" w:sz="4" w:space="0" w:color="auto"/>
              <w:left w:val="single" w:sz="4" w:space="0" w:color="auto"/>
              <w:bottom w:val="single" w:sz="4" w:space="0" w:color="auto"/>
              <w:right w:val="single" w:sz="4" w:space="0" w:color="auto"/>
            </w:tcBorders>
          </w:tcPr>
          <w:p w14:paraId="6112D4BB"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w:t>
            </w:r>
          </w:p>
        </w:tc>
        <w:tc>
          <w:tcPr>
            <w:tcW w:w="1544" w:type="pct"/>
            <w:tcBorders>
              <w:top w:val="single" w:sz="4" w:space="0" w:color="auto"/>
              <w:left w:val="single" w:sz="4" w:space="0" w:color="auto"/>
              <w:bottom w:val="single" w:sz="4" w:space="0" w:color="auto"/>
              <w:right w:val="single" w:sz="4" w:space="0" w:color="auto"/>
            </w:tcBorders>
          </w:tcPr>
          <w:p w14:paraId="2A77E952" w14:textId="77777777" w:rsidR="00C04651" w:rsidRPr="00A46FD7" w:rsidRDefault="00C04651" w:rsidP="004910CD">
            <w:pPr>
              <w:spacing w:after="0" w:line="240" w:lineRule="auto"/>
              <w:ind w:left="57" w:right="57"/>
              <w:rPr>
                <w:rFonts w:ascii="Times New Roman" w:eastAsia="Times New Roman" w:hAnsi="Times New Roman"/>
                <w:sz w:val="24"/>
                <w:szCs w:val="24"/>
              </w:rPr>
            </w:pPr>
            <w:r w:rsidRPr="00A46FD7">
              <w:rPr>
                <w:rFonts w:ascii="Times New Roman" w:eastAsia="Times New Roman" w:hAnsi="Times New Roman"/>
                <w:sz w:val="24"/>
                <w:szCs w:val="24"/>
              </w:rPr>
              <w:t xml:space="preserve">Teisės akto projektas nesudaro išskirtinių ar nevienodų sąlygų subjektams, su kuriais susijęs teisės akto įgyvendinimas </w:t>
            </w:r>
          </w:p>
        </w:tc>
        <w:tc>
          <w:tcPr>
            <w:tcW w:w="1775" w:type="pct"/>
            <w:tcBorders>
              <w:top w:val="single" w:sz="4" w:space="0" w:color="auto"/>
              <w:left w:val="single" w:sz="4" w:space="0" w:color="auto"/>
              <w:bottom w:val="single" w:sz="4" w:space="0" w:color="auto"/>
              <w:right w:val="single" w:sz="4" w:space="0" w:color="auto"/>
            </w:tcBorders>
          </w:tcPr>
          <w:p w14:paraId="553EAB08"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 xml:space="preserve">rojektu nesudaromos išskirtinės ar nevienodos sąlygos subjektams, su kuriais susijęs teisės akto </w:t>
            </w:r>
            <w:r>
              <w:rPr>
                <w:rFonts w:ascii="Times New Roman" w:eastAsia="Times New Roman" w:hAnsi="Times New Roman"/>
                <w:sz w:val="24"/>
                <w:szCs w:val="24"/>
              </w:rPr>
              <w:t xml:space="preserve">įgyvendinimas. </w:t>
            </w:r>
          </w:p>
        </w:tc>
        <w:tc>
          <w:tcPr>
            <w:tcW w:w="794" w:type="pct"/>
            <w:tcBorders>
              <w:top w:val="single" w:sz="4" w:space="0" w:color="auto"/>
              <w:left w:val="single" w:sz="4" w:space="0" w:color="auto"/>
              <w:bottom w:val="single" w:sz="4" w:space="0" w:color="auto"/>
              <w:right w:val="single" w:sz="4" w:space="0" w:color="auto"/>
            </w:tcBorders>
          </w:tcPr>
          <w:p w14:paraId="60342D3E" w14:textId="77777777" w:rsidR="00C04651" w:rsidRPr="00A46FD7" w:rsidRDefault="00C04651" w:rsidP="004910CD">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4CB88D79"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5F182EA6"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bl>
    <w:p w14:paraId="2097F2F6" w14:textId="77777777" w:rsidR="00C04651" w:rsidRPr="00A46FD7" w:rsidRDefault="00C04651" w:rsidP="00F64F6A">
      <w:pPr>
        <w:spacing w:after="0" w:line="240" w:lineRule="auto"/>
        <w:jc w:val="both"/>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1"/>
        <w:gridCol w:w="4283"/>
        <w:gridCol w:w="5194"/>
        <w:gridCol w:w="2267"/>
        <w:gridCol w:w="2001"/>
      </w:tblGrid>
      <w:tr w:rsidR="00C04651" w:rsidRPr="00A46FD7" w14:paraId="0F41AE20"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00508124" w14:textId="77777777" w:rsidR="00C04651" w:rsidRPr="00A46FD7" w:rsidRDefault="00C04651" w:rsidP="004910CD">
            <w:pPr>
              <w:spacing w:after="0" w:line="240" w:lineRule="auto"/>
              <w:jc w:val="center"/>
              <w:rPr>
                <w:rFonts w:ascii="Times New Roman" w:eastAsia="Times New Roman" w:hAnsi="Times New Roman"/>
                <w:sz w:val="24"/>
                <w:szCs w:val="24"/>
              </w:rPr>
            </w:pPr>
          </w:p>
        </w:tc>
        <w:tc>
          <w:tcPr>
            <w:tcW w:w="1500" w:type="pct"/>
            <w:tcBorders>
              <w:top w:val="single" w:sz="4" w:space="0" w:color="auto"/>
              <w:left w:val="single" w:sz="4" w:space="0" w:color="auto"/>
              <w:bottom w:val="single" w:sz="4" w:space="0" w:color="auto"/>
              <w:right w:val="single" w:sz="4" w:space="0" w:color="auto"/>
            </w:tcBorders>
          </w:tcPr>
          <w:p w14:paraId="2B76F747" w14:textId="77777777" w:rsidR="00C04651" w:rsidRPr="00A46FD7" w:rsidRDefault="00C04651" w:rsidP="004910CD">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0DF9374A" w14:textId="77777777" w:rsidR="00C04651" w:rsidRPr="00A46FD7" w:rsidRDefault="00C04651" w:rsidP="004910CD">
            <w:pPr>
              <w:spacing w:after="0" w:line="240" w:lineRule="auto"/>
              <w:ind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2CCAC13D"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79641334" w14:textId="77777777" w:rsidR="00C04651" w:rsidRPr="00A46FD7" w:rsidRDefault="00C04651" w:rsidP="004910CD">
            <w:pPr>
              <w:spacing w:after="0" w:line="240" w:lineRule="auto"/>
              <w:rPr>
                <w:rFonts w:ascii="Times New Roman" w:eastAsia="Times New Roman" w:hAnsi="Times New Roman"/>
                <w:sz w:val="24"/>
                <w:szCs w:val="24"/>
              </w:rPr>
            </w:pPr>
          </w:p>
        </w:tc>
      </w:tr>
      <w:tr w:rsidR="00C04651" w:rsidRPr="00A46FD7" w14:paraId="51E18BD2"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65C1BB65"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2.</w:t>
            </w:r>
          </w:p>
        </w:tc>
        <w:tc>
          <w:tcPr>
            <w:tcW w:w="1500" w:type="pct"/>
            <w:tcBorders>
              <w:top w:val="single" w:sz="4" w:space="0" w:color="auto"/>
              <w:left w:val="single" w:sz="4" w:space="0" w:color="auto"/>
              <w:bottom w:val="single" w:sz="4" w:space="0" w:color="auto"/>
              <w:right w:val="single" w:sz="4" w:space="0" w:color="auto"/>
            </w:tcBorders>
          </w:tcPr>
          <w:p w14:paraId="543EED41" w14:textId="77777777" w:rsidR="00C04651"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nėra spragų ar nuostatų, leisiančių dviprasmiškai aiškinti ir taikyti teisės aktą</w:t>
            </w:r>
          </w:p>
          <w:p w14:paraId="0D20AF1B" w14:textId="77777777" w:rsidR="00C04651" w:rsidRPr="00A46FD7" w:rsidRDefault="00C04651" w:rsidP="004910CD">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39EA6624" w14:textId="77777777" w:rsidR="00C04651" w:rsidRPr="00A46FD7" w:rsidRDefault="00C04651" w:rsidP="004910CD">
            <w:pPr>
              <w:spacing w:after="0" w:line="240" w:lineRule="auto"/>
              <w:ind w:right="57"/>
              <w:jc w:val="both"/>
              <w:rPr>
                <w:rFonts w:ascii="Times New Roman" w:eastAsia="Times New Roman" w:hAnsi="Times New Roman"/>
                <w:sz w:val="24"/>
                <w:szCs w:val="24"/>
              </w:rPr>
            </w:pPr>
            <w:r>
              <w:rPr>
                <w:rFonts w:ascii="Times New Roman" w:eastAsia="Times New Roman" w:hAnsi="Times New Roman"/>
                <w:sz w:val="24"/>
                <w:szCs w:val="24"/>
              </w:rPr>
              <w:t xml:space="preserve"> P</w:t>
            </w:r>
            <w:r w:rsidRPr="00A46FD7">
              <w:rPr>
                <w:rFonts w:ascii="Times New Roman" w:eastAsia="Times New Roman" w:hAnsi="Times New Roman"/>
                <w:sz w:val="24"/>
                <w:szCs w:val="24"/>
              </w:rPr>
              <w:t>rojekte nėra spragų ar nuostatų, leisiančių dviprasmiškai aiškinti ir taikyti teisės aktus.</w:t>
            </w:r>
          </w:p>
        </w:tc>
        <w:tc>
          <w:tcPr>
            <w:tcW w:w="794" w:type="pct"/>
            <w:tcBorders>
              <w:top w:val="single" w:sz="4" w:space="0" w:color="auto"/>
              <w:left w:val="single" w:sz="4" w:space="0" w:color="auto"/>
              <w:bottom w:val="single" w:sz="4" w:space="0" w:color="auto"/>
              <w:right w:val="single" w:sz="4" w:space="0" w:color="auto"/>
            </w:tcBorders>
          </w:tcPr>
          <w:p w14:paraId="705D49EB"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45E9AA37"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033E4E9"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3DF536FB"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54BDD493"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3.</w:t>
            </w:r>
          </w:p>
        </w:tc>
        <w:tc>
          <w:tcPr>
            <w:tcW w:w="1500" w:type="pct"/>
            <w:tcBorders>
              <w:top w:val="single" w:sz="4" w:space="0" w:color="auto"/>
              <w:left w:val="single" w:sz="4" w:space="0" w:color="auto"/>
              <w:bottom w:val="single" w:sz="4" w:space="0" w:color="auto"/>
              <w:right w:val="single" w:sz="4" w:space="0" w:color="auto"/>
            </w:tcBorders>
          </w:tcPr>
          <w:p w14:paraId="1190EAB7" w14:textId="77777777" w:rsidR="00C04651"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 kad sprendimą dėl teisių suteikimo, apribojimų nustatymo, sankcijų taikymo ir pan</w:t>
            </w:r>
            <w:r>
              <w:rPr>
                <w:rFonts w:ascii="Times New Roman" w:eastAsia="Times New Roman" w:hAnsi="Times New Roman"/>
                <w:sz w:val="24"/>
                <w:szCs w:val="24"/>
              </w:rPr>
              <w:t>.</w:t>
            </w:r>
            <w:r w:rsidRPr="00A46FD7">
              <w:rPr>
                <w:rFonts w:ascii="Times New Roman" w:eastAsia="Times New Roman" w:hAnsi="Times New Roman"/>
                <w:sz w:val="24"/>
                <w:szCs w:val="24"/>
              </w:rPr>
              <w:t xml:space="preserve"> priimantis subjektas atskirtas nuo šių sprendimų teisėtumą ir įgyvendinimą kontroliuojančio (prižiūrinčio) subjekto</w:t>
            </w:r>
          </w:p>
          <w:p w14:paraId="7F8923C0" w14:textId="77777777" w:rsidR="00C04651" w:rsidRPr="00A46FD7" w:rsidRDefault="00C04651" w:rsidP="004910CD">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4B2D8292"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r w:rsidRPr="00A972D2">
              <w:rPr>
                <w:rFonts w:ascii="Times New Roman" w:eastAsia="Times New Roman" w:hAnsi="Times New Roman"/>
                <w:sz w:val="24"/>
                <w:szCs w:val="24"/>
              </w:rPr>
              <w:t>Projekte</w:t>
            </w:r>
            <w:r>
              <w:rPr>
                <w:rFonts w:ascii="Times New Roman" w:eastAsia="Times New Roman" w:hAnsi="Times New Roman"/>
                <w:sz w:val="24"/>
                <w:szCs w:val="24"/>
              </w:rPr>
              <w:t xml:space="preserve"> </w:t>
            </w:r>
            <w:r w:rsidRPr="00A46FD7">
              <w:rPr>
                <w:rFonts w:ascii="Times New Roman" w:eastAsia="Times New Roman" w:hAnsi="Times New Roman"/>
                <w:sz w:val="24"/>
                <w:szCs w:val="24"/>
              </w:rPr>
              <w:t>nėra suteikiami įgaliojimai priimti sprendimus.</w:t>
            </w:r>
          </w:p>
        </w:tc>
        <w:tc>
          <w:tcPr>
            <w:tcW w:w="794" w:type="pct"/>
            <w:tcBorders>
              <w:top w:val="single" w:sz="4" w:space="0" w:color="auto"/>
              <w:left w:val="single" w:sz="4" w:space="0" w:color="auto"/>
              <w:bottom w:val="single" w:sz="4" w:space="0" w:color="auto"/>
              <w:right w:val="single" w:sz="4" w:space="0" w:color="auto"/>
            </w:tcBorders>
          </w:tcPr>
          <w:p w14:paraId="2BF704C4"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3E7E91FE"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18B39F5B"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03DB786B"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034B1B9F"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4.</w:t>
            </w:r>
          </w:p>
        </w:tc>
        <w:tc>
          <w:tcPr>
            <w:tcW w:w="1500" w:type="pct"/>
            <w:tcBorders>
              <w:top w:val="single" w:sz="4" w:space="0" w:color="auto"/>
              <w:left w:val="single" w:sz="4" w:space="0" w:color="auto"/>
              <w:bottom w:val="single" w:sz="4" w:space="0" w:color="auto"/>
              <w:right w:val="single" w:sz="4" w:space="0" w:color="auto"/>
            </w:tcBorders>
          </w:tcPr>
          <w:p w14:paraId="736F4D78" w14:textId="77777777" w:rsidR="00C04651"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nustatyti subjekto įgaliojimai (teisės) atitinka subjekto atliekamas funkcijas (pareigas)</w:t>
            </w:r>
          </w:p>
          <w:p w14:paraId="0FFBE2F8" w14:textId="77777777" w:rsidR="00C04651" w:rsidRPr="00A46FD7" w:rsidRDefault="00C04651" w:rsidP="004910CD">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4D3EFD90" w14:textId="77777777" w:rsidR="00C04651" w:rsidRPr="00104FAB" w:rsidRDefault="00C04651" w:rsidP="004910CD">
            <w:pPr>
              <w:spacing w:after="0" w:line="240" w:lineRule="auto"/>
              <w:ind w:left="57" w:right="57"/>
              <w:jc w:val="both"/>
              <w:rPr>
                <w:rFonts w:asciiTheme="majorBidi" w:eastAsia="Times New Roman" w:hAnsiTheme="majorBidi" w:cstheme="majorBidi"/>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nustatyti subjekto įgaliojimai</w:t>
            </w:r>
            <w:r>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0492635E"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7EFACFC2"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770131AC"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586C1A5C"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15A747C3"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5.</w:t>
            </w:r>
          </w:p>
        </w:tc>
        <w:tc>
          <w:tcPr>
            <w:tcW w:w="1500" w:type="pct"/>
            <w:tcBorders>
              <w:top w:val="single" w:sz="4" w:space="0" w:color="auto"/>
              <w:left w:val="single" w:sz="4" w:space="0" w:color="auto"/>
              <w:bottom w:val="single" w:sz="4" w:space="0" w:color="auto"/>
              <w:right w:val="single" w:sz="4" w:space="0" w:color="auto"/>
            </w:tcBorders>
          </w:tcPr>
          <w:p w14:paraId="4D78C1BB" w14:textId="77777777" w:rsidR="00C04651"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nustatytas baigtinis sprendimo priėmimo kriterijų (atvejų) sąrašas</w:t>
            </w:r>
          </w:p>
          <w:p w14:paraId="2CACFE1F" w14:textId="77777777" w:rsidR="00C04651" w:rsidRPr="00A46FD7" w:rsidRDefault="00C04651" w:rsidP="004910CD">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039DC747" w14:textId="77777777" w:rsidR="00C04651" w:rsidRPr="00104FAB" w:rsidRDefault="00C04651" w:rsidP="004910CD">
            <w:pPr>
              <w:jc w:val="both"/>
              <w:rPr>
                <w:rFonts w:asciiTheme="majorBidi" w:hAnsiTheme="majorBidi" w:cstheme="majorBidi"/>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 xml:space="preserve">rojekte nėra nuostatų, reglamentuojančių sprendimų </w:t>
            </w:r>
            <w:r>
              <w:rPr>
                <w:rFonts w:ascii="Times New Roman" w:eastAsia="Times New Roman" w:hAnsi="Times New Roman"/>
                <w:sz w:val="24"/>
                <w:szCs w:val="24"/>
              </w:rPr>
              <w:t>p</w:t>
            </w:r>
            <w:r w:rsidRPr="00A46FD7">
              <w:rPr>
                <w:rFonts w:ascii="Times New Roman" w:eastAsia="Times New Roman" w:hAnsi="Times New Roman"/>
                <w:sz w:val="24"/>
                <w:szCs w:val="24"/>
              </w:rPr>
              <w:t>riėmimo tvarką.</w:t>
            </w:r>
          </w:p>
          <w:p w14:paraId="56F2A45E"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35987F1E"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36517AFD"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6EE8149F"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5DBDBB5C"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463C2C57"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6.</w:t>
            </w:r>
          </w:p>
        </w:tc>
        <w:tc>
          <w:tcPr>
            <w:tcW w:w="1500" w:type="pct"/>
            <w:tcBorders>
              <w:top w:val="single" w:sz="4" w:space="0" w:color="auto"/>
              <w:left w:val="single" w:sz="4" w:space="0" w:color="auto"/>
              <w:bottom w:val="single" w:sz="4" w:space="0" w:color="auto"/>
              <w:right w:val="single" w:sz="4" w:space="0" w:color="auto"/>
            </w:tcBorders>
          </w:tcPr>
          <w:p w14:paraId="0D7DD52F"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nustatytas baigtinis motyvuotų atvejų, kai priimant sprendimus taikomos išimtys</w:t>
            </w:r>
            <w:r>
              <w:rPr>
                <w:rFonts w:ascii="Times New Roman" w:eastAsia="Times New Roman" w:hAnsi="Times New Roman"/>
                <w:sz w:val="24"/>
                <w:szCs w:val="24"/>
              </w:rPr>
              <w:t>, sąrašas</w:t>
            </w:r>
          </w:p>
        </w:tc>
        <w:tc>
          <w:tcPr>
            <w:tcW w:w="1819" w:type="pct"/>
            <w:tcBorders>
              <w:top w:val="single" w:sz="4" w:space="0" w:color="auto"/>
              <w:left w:val="single" w:sz="4" w:space="0" w:color="auto"/>
              <w:bottom w:val="single" w:sz="4" w:space="0" w:color="auto"/>
              <w:right w:val="single" w:sz="4" w:space="0" w:color="auto"/>
            </w:tcBorders>
          </w:tcPr>
          <w:p w14:paraId="2F681BCE"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nuostatų, reglamentuojančių sprendimų priėmimo tvark</w:t>
            </w:r>
            <w:r>
              <w:rPr>
                <w:rFonts w:ascii="Times New Roman" w:eastAsia="Times New Roman" w:hAnsi="Times New Roman"/>
                <w:sz w:val="24"/>
                <w:szCs w:val="24"/>
              </w:rPr>
              <w:t>os išimčių</w:t>
            </w:r>
            <w:r w:rsidRPr="00A46FD7">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47FF7C5C"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2F52BD0D"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142B5738"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0CA9A7DF"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52C9A538"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7.</w:t>
            </w:r>
          </w:p>
        </w:tc>
        <w:tc>
          <w:tcPr>
            <w:tcW w:w="1500" w:type="pct"/>
            <w:tcBorders>
              <w:top w:val="single" w:sz="4" w:space="0" w:color="auto"/>
              <w:left w:val="single" w:sz="4" w:space="0" w:color="auto"/>
              <w:bottom w:val="single" w:sz="4" w:space="0" w:color="auto"/>
              <w:right w:val="single" w:sz="4" w:space="0" w:color="auto"/>
            </w:tcBorders>
          </w:tcPr>
          <w:p w14:paraId="1CD4254B"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 sprendimų priėmimo, įforminimo ir viešinim</w:t>
            </w:r>
            <w:r>
              <w:rPr>
                <w:rFonts w:ascii="Times New Roman" w:eastAsia="Times New Roman" w:hAnsi="Times New Roman"/>
                <w:sz w:val="24"/>
                <w:szCs w:val="24"/>
              </w:rPr>
              <w:t>o</w:t>
            </w:r>
            <w:r w:rsidRPr="00A46FD7">
              <w:rPr>
                <w:rFonts w:ascii="Times New Roman" w:eastAsia="Times New Roman" w:hAnsi="Times New Roman"/>
                <w:sz w:val="24"/>
                <w:szCs w:val="24"/>
              </w:rPr>
              <w:t xml:space="preserve"> tvarka</w:t>
            </w:r>
          </w:p>
        </w:tc>
        <w:tc>
          <w:tcPr>
            <w:tcW w:w="1819" w:type="pct"/>
            <w:tcBorders>
              <w:top w:val="single" w:sz="4" w:space="0" w:color="auto"/>
              <w:left w:val="single" w:sz="4" w:space="0" w:color="auto"/>
              <w:bottom w:val="single" w:sz="4" w:space="0" w:color="auto"/>
              <w:right w:val="single" w:sz="4" w:space="0" w:color="auto"/>
            </w:tcBorders>
          </w:tcPr>
          <w:p w14:paraId="11A780D2"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Projektas</w:t>
            </w:r>
            <w:r w:rsidRPr="00A46FD7">
              <w:rPr>
                <w:rFonts w:ascii="Times New Roman" w:eastAsia="Times New Roman" w:hAnsi="Times New Roman"/>
                <w:sz w:val="24"/>
                <w:szCs w:val="24"/>
              </w:rPr>
              <w:t xml:space="preserve"> nereglamentuoja sprendimo priėmimo, įforminimo ir viešinimo tvarkos</w:t>
            </w:r>
            <w:r>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6205B235"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0F9284C2"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02FBB05E"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43632238"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6399BF73"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8.</w:t>
            </w:r>
          </w:p>
        </w:tc>
        <w:tc>
          <w:tcPr>
            <w:tcW w:w="1500" w:type="pct"/>
            <w:tcBorders>
              <w:top w:val="single" w:sz="4" w:space="0" w:color="auto"/>
              <w:left w:val="single" w:sz="4" w:space="0" w:color="auto"/>
              <w:bottom w:val="single" w:sz="4" w:space="0" w:color="auto"/>
              <w:right w:val="single" w:sz="4" w:space="0" w:color="auto"/>
            </w:tcBorders>
          </w:tcPr>
          <w:p w14:paraId="1C527A68"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w:t>
            </w:r>
            <w:r>
              <w:rPr>
                <w:rFonts w:ascii="Times New Roman" w:eastAsia="Times New Roman" w:hAnsi="Times New Roman"/>
                <w:sz w:val="24"/>
                <w:szCs w:val="24"/>
              </w:rPr>
              <w:t>i</w:t>
            </w:r>
            <w:r w:rsidRPr="00A46FD7">
              <w:rPr>
                <w:rFonts w:ascii="Times New Roman" w:eastAsia="Times New Roman" w:hAnsi="Times New Roman"/>
                <w:sz w:val="24"/>
                <w:szCs w:val="24"/>
              </w:rPr>
              <w:t xml:space="preserve"> sprendimų dėl mažareikšmiškumo</w:t>
            </w:r>
            <w:r>
              <w:rPr>
                <w:rFonts w:ascii="Times New Roman" w:eastAsia="Times New Roman" w:hAnsi="Times New Roman"/>
                <w:sz w:val="24"/>
                <w:szCs w:val="24"/>
              </w:rPr>
              <w:t xml:space="preserve"> kriterijai ir</w:t>
            </w:r>
            <w:r w:rsidRPr="00A46FD7">
              <w:rPr>
                <w:rFonts w:ascii="Times New Roman" w:eastAsia="Times New Roman" w:hAnsi="Times New Roman"/>
                <w:sz w:val="24"/>
                <w:szCs w:val="24"/>
              </w:rPr>
              <w:t xml:space="preserve"> priėmimo tvarka</w:t>
            </w:r>
          </w:p>
        </w:tc>
        <w:tc>
          <w:tcPr>
            <w:tcW w:w="1819" w:type="pct"/>
            <w:tcBorders>
              <w:top w:val="single" w:sz="4" w:space="0" w:color="auto"/>
              <w:left w:val="single" w:sz="4" w:space="0" w:color="auto"/>
              <w:bottom w:val="single" w:sz="4" w:space="0" w:color="auto"/>
              <w:right w:val="single" w:sz="4" w:space="0" w:color="auto"/>
            </w:tcBorders>
          </w:tcPr>
          <w:p w14:paraId="232EB7F5"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numat</w:t>
            </w:r>
            <w:r>
              <w:rPr>
                <w:rFonts w:ascii="Times New Roman" w:eastAsia="Times New Roman" w:hAnsi="Times New Roman"/>
                <w:sz w:val="24"/>
                <w:szCs w:val="24"/>
              </w:rPr>
              <w:t>om</w:t>
            </w:r>
            <w:r w:rsidRPr="00A46FD7">
              <w:rPr>
                <w:rFonts w:ascii="Times New Roman" w:eastAsia="Times New Roman" w:hAnsi="Times New Roman"/>
                <w:sz w:val="24"/>
                <w:szCs w:val="24"/>
              </w:rPr>
              <w:t>a sprendimų dėl mažareikšmiškumo priėmimo tvarka</w:t>
            </w:r>
            <w:r>
              <w:rPr>
                <w:rFonts w:ascii="Times New Roman" w:eastAsia="Times New Roman" w:hAnsi="Times New Roman"/>
                <w:sz w:val="24"/>
                <w:szCs w:val="24"/>
              </w:rPr>
              <w:t>, tai nėra šio projekto dalykas.</w:t>
            </w:r>
          </w:p>
          <w:p w14:paraId="5253F31E" w14:textId="77777777" w:rsidR="00C04651" w:rsidRPr="00A46FD7" w:rsidRDefault="00C04651" w:rsidP="004910CD">
            <w:pPr>
              <w:spacing w:after="0" w:line="240" w:lineRule="auto"/>
              <w:ind w:left="57" w:right="57" w:firstLine="142"/>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79A299D1" w14:textId="77777777" w:rsidR="00C04651" w:rsidRPr="00A46FD7" w:rsidRDefault="00C04651" w:rsidP="004910CD">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6DF3D18C"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DBAD3FB"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108B3A4A"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4D24969C"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lastRenderedPageBreak/>
              <w:t>9.</w:t>
            </w:r>
          </w:p>
        </w:tc>
        <w:tc>
          <w:tcPr>
            <w:tcW w:w="1500" w:type="pct"/>
            <w:tcBorders>
              <w:top w:val="single" w:sz="4" w:space="0" w:color="auto"/>
              <w:left w:val="single" w:sz="4" w:space="0" w:color="auto"/>
              <w:bottom w:val="single" w:sz="4" w:space="0" w:color="auto"/>
              <w:right w:val="single" w:sz="4" w:space="0" w:color="auto"/>
            </w:tcBorders>
          </w:tcPr>
          <w:p w14:paraId="0FB2B777"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Jeigu pagal numatomą reguliavimą sprendimus priima kolegialus subjektas, teisės akto projekte nustatyta kolegialaus sprendimus priimančio subjekto:</w:t>
            </w:r>
          </w:p>
          <w:p w14:paraId="56350D12" w14:textId="77777777" w:rsidR="00C04651" w:rsidRPr="00A46FD7" w:rsidRDefault="00C04651" w:rsidP="004910CD">
            <w:pPr>
              <w:spacing w:after="0" w:line="240" w:lineRule="auto"/>
              <w:ind w:left="33"/>
              <w:contextualSpacing/>
              <w:rPr>
                <w:rFonts w:ascii="Times New Roman" w:eastAsia="Times New Roman" w:hAnsi="Times New Roman"/>
                <w:sz w:val="24"/>
                <w:szCs w:val="24"/>
              </w:rPr>
            </w:pPr>
            <w:r w:rsidRPr="00A46FD7">
              <w:rPr>
                <w:rFonts w:ascii="Times New Roman" w:eastAsia="Times New Roman" w:hAnsi="Times New Roman"/>
                <w:sz w:val="24"/>
                <w:szCs w:val="24"/>
              </w:rPr>
              <w:t>9.1. konkretus narių skaičius, užtikrinantis kolegialaus sprendimus priimančio subjekto veiklos objektyvumą;</w:t>
            </w:r>
          </w:p>
          <w:p w14:paraId="4C435842" w14:textId="77777777" w:rsidR="00C04651" w:rsidRPr="00A46FD7" w:rsidRDefault="00C04651" w:rsidP="004910CD">
            <w:pPr>
              <w:spacing w:after="0" w:line="240" w:lineRule="auto"/>
              <w:ind w:left="33"/>
              <w:contextualSpacing/>
              <w:rPr>
                <w:rFonts w:ascii="Times New Roman" w:eastAsia="Times New Roman" w:hAnsi="Times New Roman"/>
                <w:sz w:val="24"/>
                <w:szCs w:val="24"/>
              </w:rPr>
            </w:pPr>
            <w:r w:rsidRPr="00A46FD7">
              <w:rPr>
                <w:rFonts w:ascii="Times New Roman" w:eastAsia="Times New Roman" w:hAnsi="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4E9DCB52"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9.3</w:t>
            </w:r>
            <w:r w:rsidRPr="00A46FD7">
              <w:rPr>
                <w:rFonts w:ascii="Times New Roman" w:eastAsia="Times New Roman" w:hAnsi="Times New Roman"/>
                <w:spacing w:val="-4"/>
                <w:sz w:val="24"/>
                <w:szCs w:val="24"/>
              </w:rPr>
              <w:t>. narių skyrimo mechanizmas;</w:t>
            </w:r>
          </w:p>
          <w:p w14:paraId="168DDF7C"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9.4. narių rotacija ir kadencijų skaičius ir trukmė;</w:t>
            </w:r>
          </w:p>
          <w:p w14:paraId="5BC35197" w14:textId="77777777" w:rsidR="00C04651" w:rsidRPr="00A46FD7" w:rsidRDefault="00C04651" w:rsidP="004910CD">
            <w:pPr>
              <w:spacing w:after="0" w:line="240" w:lineRule="auto"/>
              <w:contextualSpacing/>
              <w:rPr>
                <w:rFonts w:ascii="Times New Roman" w:eastAsia="Times New Roman" w:hAnsi="Times New Roman"/>
                <w:sz w:val="24"/>
                <w:szCs w:val="24"/>
              </w:rPr>
            </w:pPr>
            <w:r w:rsidRPr="00A46FD7">
              <w:rPr>
                <w:rFonts w:ascii="Times New Roman" w:eastAsia="Times New Roman" w:hAnsi="Times New Roman"/>
                <w:sz w:val="24"/>
                <w:szCs w:val="24"/>
              </w:rPr>
              <w:t>9.5. veiklos pobūdis laiko atžvilgiu;</w:t>
            </w:r>
          </w:p>
          <w:p w14:paraId="6F1DFAE0" w14:textId="77777777" w:rsidR="00C04651"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xml:space="preserve">9.6. </w:t>
            </w:r>
            <w:r>
              <w:rPr>
                <w:rFonts w:ascii="Times New Roman" w:eastAsia="Times New Roman" w:hAnsi="Times New Roman"/>
                <w:sz w:val="24"/>
                <w:szCs w:val="24"/>
              </w:rPr>
              <w:t>asmeninė</w:t>
            </w:r>
            <w:r w:rsidRPr="00A46FD7">
              <w:rPr>
                <w:rFonts w:ascii="Times New Roman" w:eastAsia="Times New Roman" w:hAnsi="Times New Roman"/>
                <w:sz w:val="24"/>
                <w:szCs w:val="24"/>
              </w:rPr>
              <w:t xml:space="preserve"> narių atsakomybė</w:t>
            </w:r>
          </w:p>
          <w:p w14:paraId="6C2E483A" w14:textId="77777777" w:rsidR="00C04651" w:rsidRPr="00A46FD7" w:rsidRDefault="00C04651" w:rsidP="004910CD">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4695C5CB"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 xml:space="preserve">rojekte nėra nuostatų, reglamentuojančių </w:t>
            </w:r>
            <w:r>
              <w:rPr>
                <w:rFonts w:ascii="Times New Roman" w:eastAsia="Times New Roman" w:hAnsi="Times New Roman"/>
                <w:sz w:val="24"/>
                <w:szCs w:val="24"/>
              </w:rPr>
              <w:t xml:space="preserve">kolegialaus subjekto </w:t>
            </w:r>
            <w:r w:rsidRPr="00A46FD7">
              <w:rPr>
                <w:rFonts w:ascii="Times New Roman" w:eastAsia="Times New Roman" w:hAnsi="Times New Roman"/>
                <w:sz w:val="24"/>
                <w:szCs w:val="24"/>
              </w:rPr>
              <w:t xml:space="preserve">sprendimų priėmimo tvarką. </w:t>
            </w:r>
          </w:p>
          <w:p w14:paraId="7AD1C5CC" w14:textId="77777777" w:rsidR="00C04651" w:rsidRPr="00A46FD7" w:rsidRDefault="00C04651" w:rsidP="004910CD">
            <w:pPr>
              <w:spacing w:after="0" w:line="240" w:lineRule="auto"/>
              <w:ind w:left="57" w:right="57" w:firstLine="142"/>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5C9E2722"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3A501F4A"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2ECD2EDA"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5B29DB7C"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4847DB3C"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10.</w:t>
            </w:r>
          </w:p>
        </w:tc>
        <w:tc>
          <w:tcPr>
            <w:tcW w:w="1500" w:type="pct"/>
            <w:tcBorders>
              <w:top w:val="single" w:sz="4" w:space="0" w:color="auto"/>
              <w:left w:val="single" w:sz="4" w:space="0" w:color="auto"/>
              <w:bottom w:val="single" w:sz="4" w:space="0" w:color="auto"/>
              <w:right w:val="single" w:sz="4" w:space="0" w:color="auto"/>
            </w:tcBorders>
          </w:tcPr>
          <w:p w14:paraId="07B2690A" w14:textId="77777777" w:rsidR="00C04651" w:rsidRDefault="00C04651" w:rsidP="004910CD">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Pr="00A46FD7">
              <w:rPr>
                <w:rFonts w:ascii="Times New Roman" w:eastAsia="Times New Roman" w:hAnsi="Times New Roman"/>
                <w:sz w:val="24"/>
                <w:szCs w:val="24"/>
              </w:rPr>
              <w:t xml:space="preserve">umatytos procedūros yra </w:t>
            </w:r>
            <w:r w:rsidRPr="00A46FD7">
              <w:rPr>
                <w:rFonts w:ascii="Times New Roman" w:eastAsia="Times New Roman" w:hAnsi="Times New Roman"/>
                <w:sz w:val="24"/>
                <w:szCs w:val="24"/>
                <w:shd w:val="clear" w:color="auto" w:fill="FFFFFF"/>
              </w:rPr>
              <w:t>būtinos,</w:t>
            </w:r>
            <w:r w:rsidRPr="00A46FD7">
              <w:rPr>
                <w:rFonts w:ascii="Times New Roman" w:eastAsia="Times New Roman" w:hAnsi="Times New Roman"/>
                <w:sz w:val="24"/>
                <w:szCs w:val="24"/>
              </w:rPr>
              <w:t xml:space="preserve"> nustatyta išsami jų taikymo </w:t>
            </w:r>
            <w:r>
              <w:rPr>
                <w:rFonts w:ascii="Times New Roman" w:eastAsia="Times New Roman" w:hAnsi="Times New Roman"/>
                <w:sz w:val="24"/>
                <w:szCs w:val="24"/>
              </w:rPr>
              <w:t xml:space="preserve">(viešinimo) </w:t>
            </w:r>
            <w:r w:rsidRPr="00A46FD7">
              <w:rPr>
                <w:rFonts w:ascii="Times New Roman" w:eastAsia="Times New Roman" w:hAnsi="Times New Roman"/>
                <w:sz w:val="24"/>
                <w:szCs w:val="24"/>
              </w:rPr>
              <w:t xml:space="preserve">tvarka </w:t>
            </w:r>
          </w:p>
          <w:p w14:paraId="627448BF" w14:textId="77777777" w:rsidR="00C04651" w:rsidRPr="00A46FD7" w:rsidRDefault="00C04651" w:rsidP="004910CD">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2217B65C" w14:textId="77777777" w:rsidR="00C04651" w:rsidRDefault="00C04651" w:rsidP="004910C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w:t>
            </w:r>
            <w:r>
              <w:rPr>
                <w:rFonts w:ascii="Times New Roman" w:eastAsia="Times New Roman" w:hAnsi="Times New Roman"/>
                <w:sz w:val="24"/>
                <w:szCs w:val="24"/>
              </w:rPr>
              <w:t xml:space="preserve">e </w:t>
            </w:r>
            <w:r w:rsidRPr="00A46FD7">
              <w:rPr>
                <w:rFonts w:ascii="Times New Roman" w:eastAsia="Times New Roman" w:hAnsi="Times New Roman"/>
                <w:sz w:val="24"/>
                <w:szCs w:val="24"/>
              </w:rPr>
              <w:t>nėra numatytos administracinės procedūros</w:t>
            </w:r>
            <w:r>
              <w:rPr>
                <w:rFonts w:ascii="Times New Roman" w:eastAsia="Times New Roman" w:hAnsi="Times New Roman"/>
                <w:sz w:val="24"/>
                <w:szCs w:val="24"/>
              </w:rPr>
              <w:t xml:space="preserve"> ar jų viešinimo tvarka.</w:t>
            </w:r>
          </w:p>
          <w:p w14:paraId="02BB9B47"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72409A94"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33770AEB"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78EA9A2E"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039A7C71"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6FD5F8CA"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11.</w:t>
            </w:r>
          </w:p>
        </w:tc>
        <w:tc>
          <w:tcPr>
            <w:tcW w:w="1500" w:type="pct"/>
            <w:tcBorders>
              <w:top w:val="single" w:sz="4" w:space="0" w:color="auto"/>
              <w:left w:val="single" w:sz="4" w:space="0" w:color="auto"/>
              <w:bottom w:val="single" w:sz="4" w:space="0" w:color="auto"/>
              <w:right w:val="single" w:sz="4" w:space="0" w:color="auto"/>
            </w:tcBorders>
          </w:tcPr>
          <w:p w14:paraId="7EB647ED" w14:textId="77777777" w:rsidR="00C04651"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nustatytas baigtinis motyvuotų atvejų, kai administracinė procedūra netaikoma</w:t>
            </w:r>
            <w:r>
              <w:rPr>
                <w:rFonts w:ascii="Times New Roman" w:eastAsia="Times New Roman" w:hAnsi="Times New Roman"/>
                <w:sz w:val="24"/>
                <w:szCs w:val="24"/>
              </w:rPr>
              <w:t>,</w:t>
            </w:r>
            <w:r w:rsidRPr="00A46FD7">
              <w:rPr>
                <w:rFonts w:ascii="Times New Roman" w:eastAsia="Times New Roman" w:hAnsi="Times New Roman"/>
                <w:sz w:val="24"/>
                <w:szCs w:val="24"/>
              </w:rPr>
              <w:t xml:space="preserve"> sąrašas</w:t>
            </w:r>
          </w:p>
          <w:p w14:paraId="31F25AB1" w14:textId="77777777" w:rsidR="00C04651" w:rsidRPr="00A46FD7" w:rsidRDefault="00C04651" w:rsidP="004910CD">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398DFB10"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numatyta atvejų, kai administracinė procedūra netaikoma.</w:t>
            </w:r>
          </w:p>
        </w:tc>
        <w:tc>
          <w:tcPr>
            <w:tcW w:w="794" w:type="pct"/>
            <w:tcBorders>
              <w:top w:val="single" w:sz="4" w:space="0" w:color="auto"/>
              <w:left w:val="single" w:sz="4" w:space="0" w:color="auto"/>
              <w:bottom w:val="single" w:sz="4" w:space="0" w:color="auto"/>
              <w:right w:val="single" w:sz="4" w:space="0" w:color="auto"/>
            </w:tcBorders>
          </w:tcPr>
          <w:p w14:paraId="16E56896"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79E9F8D0"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1FFB37DA"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1A3F1BFE"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58A4B126"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12.</w:t>
            </w:r>
          </w:p>
        </w:tc>
        <w:tc>
          <w:tcPr>
            <w:tcW w:w="1500" w:type="pct"/>
            <w:tcBorders>
              <w:top w:val="single" w:sz="4" w:space="0" w:color="auto"/>
              <w:left w:val="single" w:sz="4" w:space="0" w:color="auto"/>
              <w:bottom w:val="single" w:sz="4" w:space="0" w:color="auto"/>
              <w:right w:val="single" w:sz="4" w:space="0" w:color="auto"/>
            </w:tcBorders>
          </w:tcPr>
          <w:p w14:paraId="412CDE30" w14:textId="77777777" w:rsidR="00C04651"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projektas nustato jo nuostatoms įgyvendinti numatytų procedūrų ir sprendimo priėmimo konkrečius terminus</w:t>
            </w:r>
          </w:p>
          <w:p w14:paraId="7154BA0A" w14:textId="77777777" w:rsidR="00C04651" w:rsidRPr="00A46FD7" w:rsidRDefault="00C04651" w:rsidP="004910CD">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5A721355"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numatytų procedūr</w:t>
            </w:r>
            <w:r>
              <w:rPr>
                <w:rFonts w:ascii="Times New Roman" w:eastAsia="Times New Roman" w:hAnsi="Times New Roman"/>
                <w:sz w:val="24"/>
                <w:szCs w:val="24"/>
              </w:rPr>
              <w:t>ų</w:t>
            </w:r>
            <w:r w:rsidRPr="00A46FD7">
              <w:rPr>
                <w:rFonts w:ascii="Times New Roman" w:eastAsia="Times New Roman" w:hAnsi="Times New Roman"/>
                <w:sz w:val="24"/>
                <w:szCs w:val="24"/>
              </w:rPr>
              <w:t xml:space="preserve"> ir sprendimo priėmimo konkrečių terminų.</w:t>
            </w:r>
          </w:p>
        </w:tc>
        <w:tc>
          <w:tcPr>
            <w:tcW w:w="794" w:type="pct"/>
            <w:tcBorders>
              <w:top w:val="single" w:sz="4" w:space="0" w:color="auto"/>
              <w:left w:val="single" w:sz="4" w:space="0" w:color="auto"/>
              <w:bottom w:val="single" w:sz="4" w:space="0" w:color="auto"/>
              <w:right w:val="single" w:sz="4" w:space="0" w:color="auto"/>
            </w:tcBorders>
          </w:tcPr>
          <w:p w14:paraId="655C8DE7"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2ABCB195"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23F572BA"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7372432D"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0221B1A0"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13.</w:t>
            </w:r>
          </w:p>
        </w:tc>
        <w:tc>
          <w:tcPr>
            <w:tcW w:w="1500" w:type="pct"/>
            <w:tcBorders>
              <w:top w:val="single" w:sz="4" w:space="0" w:color="auto"/>
              <w:left w:val="single" w:sz="4" w:space="0" w:color="auto"/>
              <w:bottom w:val="single" w:sz="4" w:space="0" w:color="auto"/>
              <w:right w:val="single" w:sz="4" w:space="0" w:color="auto"/>
            </w:tcBorders>
          </w:tcPr>
          <w:p w14:paraId="61A7EC23" w14:textId="77777777" w:rsidR="00C04651" w:rsidRPr="00194798" w:rsidRDefault="00C04651" w:rsidP="004910CD">
            <w:pPr>
              <w:spacing w:after="0" w:line="240" w:lineRule="auto"/>
              <w:rPr>
                <w:rFonts w:ascii="Times New Roman" w:eastAsia="Times New Roman" w:hAnsi="Times New Roman"/>
                <w:sz w:val="24"/>
                <w:szCs w:val="24"/>
              </w:rPr>
            </w:pPr>
            <w:r w:rsidRPr="00194798">
              <w:rPr>
                <w:rFonts w:ascii="Times New Roman" w:eastAsia="Times New Roman" w:hAnsi="Times New Roman"/>
                <w:sz w:val="24"/>
                <w:szCs w:val="24"/>
              </w:rPr>
              <w:t>Teisės akto projektas nustato motyvuotas terminų sustabdymo ir pratęsimo galimybes</w:t>
            </w:r>
          </w:p>
        </w:tc>
        <w:tc>
          <w:tcPr>
            <w:tcW w:w="1819" w:type="pct"/>
            <w:tcBorders>
              <w:top w:val="single" w:sz="4" w:space="0" w:color="auto"/>
              <w:left w:val="single" w:sz="4" w:space="0" w:color="auto"/>
              <w:bottom w:val="single" w:sz="4" w:space="0" w:color="auto"/>
              <w:right w:val="single" w:sz="4" w:space="0" w:color="auto"/>
            </w:tcBorders>
          </w:tcPr>
          <w:p w14:paraId="021AF095" w14:textId="77777777" w:rsidR="00C04651" w:rsidRPr="00194798" w:rsidRDefault="00C04651" w:rsidP="004910CD">
            <w:pPr>
              <w:spacing w:after="0" w:line="240" w:lineRule="auto"/>
              <w:ind w:left="57" w:right="57"/>
              <w:jc w:val="both"/>
              <w:rPr>
                <w:rFonts w:ascii="Times New Roman" w:eastAsia="Times New Roman" w:hAnsi="Times New Roman"/>
                <w:sz w:val="24"/>
                <w:szCs w:val="24"/>
              </w:rPr>
            </w:pPr>
            <w:r w:rsidRPr="00194798">
              <w:rPr>
                <w:rFonts w:ascii="Times New Roman" w:eastAsia="Times New Roman" w:hAnsi="Times New Roman"/>
                <w:sz w:val="24"/>
                <w:szCs w:val="24"/>
              </w:rPr>
              <w:t>Projekte nėra numatytos terminų sustabdymo ir pratęsimo galimybės.</w:t>
            </w:r>
          </w:p>
        </w:tc>
        <w:tc>
          <w:tcPr>
            <w:tcW w:w="794" w:type="pct"/>
            <w:tcBorders>
              <w:top w:val="single" w:sz="4" w:space="0" w:color="auto"/>
              <w:left w:val="single" w:sz="4" w:space="0" w:color="auto"/>
              <w:bottom w:val="single" w:sz="4" w:space="0" w:color="auto"/>
              <w:right w:val="single" w:sz="4" w:space="0" w:color="auto"/>
            </w:tcBorders>
          </w:tcPr>
          <w:p w14:paraId="5E8C43E4"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461571C6"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FBA91A5"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6BAB482F"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01880632"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14.</w:t>
            </w:r>
          </w:p>
        </w:tc>
        <w:tc>
          <w:tcPr>
            <w:tcW w:w="1500" w:type="pct"/>
            <w:tcBorders>
              <w:top w:val="single" w:sz="4" w:space="0" w:color="auto"/>
              <w:left w:val="single" w:sz="4" w:space="0" w:color="auto"/>
              <w:bottom w:val="single" w:sz="4" w:space="0" w:color="auto"/>
              <w:right w:val="single" w:sz="4" w:space="0" w:color="auto"/>
            </w:tcBorders>
          </w:tcPr>
          <w:p w14:paraId="5A624E8E" w14:textId="77777777" w:rsidR="00C04651" w:rsidRPr="00194798" w:rsidRDefault="00C04651" w:rsidP="004910CD">
            <w:pPr>
              <w:spacing w:after="0" w:line="240" w:lineRule="auto"/>
              <w:rPr>
                <w:rFonts w:ascii="Times New Roman" w:eastAsia="Times New Roman" w:hAnsi="Times New Roman"/>
                <w:sz w:val="24"/>
                <w:szCs w:val="24"/>
              </w:rPr>
            </w:pPr>
            <w:r w:rsidRPr="00194798">
              <w:rPr>
                <w:rFonts w:ascii="Times New Roman" w:hAnsi="Times New Roman"/>
                <w:color w:val="000000"/>
                <w:sz w:val="24"/>
                <w:szCs w:val="24"/>
                <w:shd w:val="clear" w:color="auto" w:fill="FFFFFF"/>
              </w:rPr>
              <w:t>Teisės akto projektas nustato kontrolės (priežiūros) procedūrą ir aiškius jos atlikimo kriterijus (atvejus, dažnį, fiksavimą, kontrolės rezultatų viešinimą ir pan.)</w:t>
            </w:r>
          </w:p>
        </w:tc>
        <w:tc>
          <w:tcPr>
            <w:tcW w:w="1819" w:type="pct"/>
            <w:tcBorders>
              <w:top w:val="single" w:sz="4" w:space="0" w:color="auto"/>
              <w:left w:val="single" w:sz="4" w:space="0" w:color="auto"/>
              <w:bottom w:val="single" w:sz="4" w:space="0" w:color="auto"/>
              <w:right w:val="single" w:sz="4" w:space="0" w:color="auto"/>
            </w:tcBorders>
          </w:tcPr>
          <w:p w14:paraId="086C85BE" w14:textId="77777777" w:rsidR="00C04651" w:rsidRPr="00194798" w:rsidRDefault="00C04651" w:rsidP="004910CD">
            <w:pPr>
              <w:spacing w:after="0" w:line="240" w:lineRule="auto"/>
              <w:ind w:left="57" w:right="57"/>
              <w:jc w:val="both"/>
              <w:rPr>
                <w:rFonts w:ascii="Times New Roman" w:eastAsia="Times New Roman" w:hAnsi="Times New Roman"/>
                <w:sz w:val="24"/>
                <w:szCs w:val="24"/>
              </w:rPr>
            </w:pPr>
            <w:r w:rsidRPr="00194798">
              <w:rPr>
                <w:rFonts w:ascii="Times New Roman" w:eastAsia="Times New Roman" w:hAnsi="Times New Roman"/>
                <w:sz w:val="24"/>
                <w:szCs w:val="24"/>
              </w:rPr>
              <w:t xml:space="preserve">Projekte nėra numatytos kontrolės </w:t>
            </w:r>
            <w:r w:rsidRPr="00194798">
              <w:rPr>
                <w:rFonts w:ascii="Times New Roman" w:hAnsi="Times New Roman"/>
                <w:color w:val="000000"/>
                <w:sz w:val="24"/>
                <w:szCs w:val="24"/>
                <w:shd w:val="clear" w:color="auto" w:fill="FFFFFF"/>
              </w:rPr>
              <w:t>(priežiūros) procedūros.</w:t>
            </w:r>
          </w:p>
        </w:tc>
        <w:tc>
          <w:tcPr>
            <w:tcW w:w="794" w:type="pct"/>
            <w:tcBorders>
              <w:top w:val="single" w:sz="4" w:space="0" w:color="auto"/>
              <w:left w:val="single" w:sz="4" w:space="0" w:color="auto"/>
              <w:bottom w:val="single" w:sz="4" w:space="0" w:color="auto"/>
              <w:right w:val="single" w:sz="4" w:space="0" w:color="auto"/>
            </w:tcBorders>
          </w:tcPr>
          <w:p w14:paraId="46537508" w14:textId="77777777" w:rsidR="00C04651" w:rsidRPr="00A46FD7" w:rsidRDefault="00C04651" w:rsidP="004910CD">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0ABD97CA"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2674D8BB"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3C248075"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24FD3381"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lastRenderedPageBreak/>
              <w:t>15.</w:t>
            </w:r>
          </w:p>
        </w:tc>
        <w:tc>
          <w:tcPr>
            <w:tcW w:w="1500" w:type="pct"/>
            <w:tcBorders>
              <w:top w:val="single" w:sz="4" w:space="0" w:color="auto"/>
              <w:left w:val="single" w:sz="4" w:space="0" w:color="auto"/>
              <w:bottom w:val="single" w:sz="4" w:space="0" w:color="auto"/>
              <w:right w:val="single" w:sz="4" w:space="0" w:color="auto"/>
            </w:tcBorders>
          </w:tcPr>
          <w:p w14:paraId="20AD9C3B" w14:textId="77777777" w:rsidR="00C04651" w:rsidRPr="00A46FD7" w:rsidRDefault="00C04651" w:rsidP="004910CD">
            <w:pPr>
              <w:spacing w:after="0" w:line="240" w:lineRule="auto"/>
              <w:rPr>
                <w:rFonts w:ascii="Times New Roman" w:eastAsia="Times New Roman" w:hAnsi="Times New Roman"/>
                <w:sz w:val="24"/>
                <w:szCs w:val="24"/>
              </w:rPr>
            </w:pPr>
            <w:r w:rsidRPr="00751DDE">
              <w:rPr>
                <w:rFonts w:ascii="Times New Roman" w:hAnsi="Times New Roman"/>
                <w:color w:val="000000"/>
                <w:sz w:val="24"/>
                <w:szCs w:val="24"/>
                <w:shd w:val="clear" w:color="auto" w:fill="FFFFFF"/>
              </w:rPr>
              <w:t>Teisės akto projekte nustatytos kontrolės (priežiūros) skaidrumo ir objektyvumo užtikrinimo priemonės (pvz.,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1819" w:type="pct"/>
            <w:tcBorders>
              <w:top w:val="single" w:sz="4" w:space="0" w:color="auto"/>
              <w:left w:val="single" w:sz="4" w:space="0" w:color="auto"/>
              <w:bottom w:val="single" w:sz="4" w:space="0" w:color="auto"/>
              <w:right w:val="single" w:sz="4" w:space="0" w:color="auto"/>
            </w:tcBorders>
          </w:tcPr>
          <w:p w14:paraId="3F4F3809"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numatyt</w:t>
            </w:r>
            <w:r>
              <w:rPr>
                <w:rFonts w:ascii="Times New Roman" w:eastAsia="Times New Roman" w:hAnsi="Times New Roman"/>
                <w:sz w:val="24"/>
                <w:szCs w:val="24"/>
              </w:rPr>
              <w:t>os</w:t>
            </w:r>
            <w:r w:rsidRPr="00A46FD7">
              <w:rPr>
                <w:rFonts w:ascii="Times New Roman" w:eastAsia="Times New Roman" w:hAnsi="Times New Roman"/>
                <w:sz w:val="24"/>
                <w:szCs w:val="24"/>
              </w:rPr>
              <w:t xml:space="preserve"> </w:t>
            </w:r>
            <w:r>
              <w:rPr>
                <w:rFonts w:ascii="Times New Roman" w:eastAsia="Times New Roman" w:hAnsi="Times New Roman"/>
                <w:sz w:val="24"/>
                <w:szCs w:val="24"/>
              </w:rPr>
              <w:t xml:space="preserve">kontrolės </w:t>
            </w:r>
            <w:r w:rsidRPr="00751DDE">
              <w:rPr>
                <w:rFonts w:ascii="Times New Roman" w:hAnsi="Times New Roman"/>
                <w:color w:val="000000"/>
                <w:sz w:val="24"/>
                <w:szCs w:val="24"/>
                <w:shd w:val="clear" w:color="auto" w:fill="FFFFFF"/>
              </w:rPr>
              <w:t>(priežiūros) skaidrumo ir objektyvumo užtikrinimo priemonės</w:t>
            </w:r>
            <w:r>
              <w:rPr>
                <w:rFonts w:ascii="Times New Roman" w:hAnsi="Times New Roman"/>
                <w:color w:val="000000"/>
                <w:sz w:val="24"/>
                <w:szCs w:val="24"/>
                <w:shd w:val="clear" w:color="auto" w:fill="FFFFFF"/>
              </w:rPr>
              <w:t>.</w:t>
            </w:r>
          </w:p>
        </w:tc>
        <w:tc>
          <w:tcPr>
            <w:tcW w:w="794" w:type="pct"/>
            <w:tcBorders>
              <w:top w:val="single" w:sz="4" w:space="0" w:color="auto"/>
              <w:left w:val="single" w:sz="4" w:space="0" w:color="auto"/>
              <w:bottom w:val="single" w:sz="4" w:space="0" w:color="auto"/>
              <w:right w:val="single" w:sz="4" w:space="0" w:color="auto"/>
            </w:tcBorders>
          </w:tcPr>
          <w:p w14:paraId="5D257860"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0187E32E"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55230931"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17F6D96C"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5F60DDC5"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16.</w:t>
            </w:r>
          </w:p>
        </w:tc>
        <w:tc>
          <w:tcPr>
            <w:tcW w:w="1500" w:type="pct"/>
            <w:tcBorders>
              <w:top w:val="single" w:sz="4" w:space="0" w:color="auto"/>
              <w:left w:val="single" w:sz="4" w:space="0" w:color="auto"/>
              <w:bottom w:val="single" w:sz="4" w:space="0" w:color="auto"/>
              <w:right w:val="single" w:sz="4" w:space="0" w:color="auto"/>
            </w:tcBorders>
          </w:tcPr>
          <w:p w14:paraId="2228C388" w14:textId="77777777" w:rsidR="00C04651" w:rsidRPr="00A46FD7" w:rsidRDefault="00C04651" w:rsidP="004910CD">
            <w:pPr>
              <w:spacing w:after="0" w:line="240" w:lineRule="auto"/>
              <w:rPr>
                <w:rFonts w:ascii="Times New Roman" w:eastAsia="Times New Roman" w:hAnsi="Times New Roman"/>
                <w:sz w:val="24"/>
                <w:szCs w:val="24"/>
              </w:rPr>
            </w:pPr>
            <w:r w:rsidRPr="00194798">
              <w:rPr>
                <w:rFonts w:ascii="Times New Roman" w:hAnsi="Times New Roman"/>
                <w:color w:val="000000"/>
                <w:sz w:val="24"/>
                <w:szCs w:val="24"/>
                <w:shd w:val="clear" w:color="auto" w:fill="FFFFFF"/>
              </w:rPr>
              <w:t>Teisės akto projekte nustatyta subjektų, su kuriais susijęs teisės akto projekto nuostatų įgyvend</w:t>
            </w:r>
            <w:r>
              <w:rPr>
                <w:rFonts w:ascii="Times New Roman" w:hAnsi="Times New Roman"/>
                <w:color w:val="000000"/>
                <w:sz w:val="24"/>
                <w:szCs w:val="24"/>
                <w:shd w:val="clear" w:color="auto" w:fill="FFFFFF"/>
              </w:rPr>
              <w:t>i</w:t>
            </w:r>
            <w:r w:rsidRPr="00194798">
              <w:rPr>
                <w:rFonts w:ascii="Times New Roman" w:hAnsi="Times New Roman"/>
                <w:color w:val="000000"/>
                <w:sz w:val="24"/>
                <w:szCs w:val="24"/>
                <w:shd w:val="clear" w:color="auto" w:fill="FFFFFF"/>
              </w:rPr>
              <w:t>nimas, atsakomybė</w:t>
            </w:r>
          </w:p>
        </w:tc>
        <w:tc>
          <w:tcPr>
            <w:tcW w:w="1819" w:type="pct"/>
            <w:tcBorders>
              <w:top w:val="single" w:sz="4" w:space="0" w:color="auto"/>
              <w:left w:val="single" w:sz="4" w:space="0" w:color="auto"/>
              <w:bottom w:val="single" w:sz="4" w:space="0" w:color="auto"/>
              <w:right w:val="single" w:sz="4" w:space="0" w:color="auto"/>
            </w:tcBorders>
          </w:tcPr>
          <w:p w14:paraId="10E200A4"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numatyta</w:t>
            </w:r>
            <w:r>
              <w:rPr>
                <w:rFonts w:ascii="Times New Roman" w:eastAsia="Times New Roman" w:hAnsi="Times New Roman"/>
                <w:sz w:val="24"/>
                <w:szCs w:val="24"/>
              </w:rPr>
              <w:t xml:space="preserve"> subjektų atsakomybė, tai nėra šio projekto dalykas</w:t>
            </w:r>
            <w:r w:rsidRPr="00A46FD7">
              <w:rPr>
                <w:rFonts w:ascii="Times New Roman" w:eastAsia="Times New Roman" w:hAnsi="Times New Roman"/>
                <w:sz w:val="24"/>
                <w:szCs w:val="24"/>
              </w:rPr>
              <w:t xml:space="preserve">. </w:t>
            </w:r>
          </w:p>
        </w:tc>
        <w:tc>
          <w:tcPr>
            <w:tcW w:w="794" w:type="pct"/>
            <w:tcBorders>
              <w:top w:val="single" w:sz="4" w:space="0" w:color="auto"/>
              <w:left w:val="single" w:sz="4" w:space="0" w:color="auto"/>
              <w:bottom w:val="single" w:sz="4" w:space="0" w:color="auto"/>
              <w:right w:val="single" w:sz="4" w:space="0" w:color="auto"/>
            </w:tcBorders>
          </w:tcPr>
          <w:p w14:paraId="493F4AF3"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1C2B2F09"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FB82F2E"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3CFF4CAF"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73FFB250"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17.</w:t>
            </w:r>
          </w:p>
        </w:tc>
        <w:tc>
          <w:tcPr>
            <w:tcW w:w="1500" w:type="pct"/>
            <w:tcBorders>
              <w:top w:val="single" w:sz="4" w:space="0" w:color="auto"/>
              <w:left w:val="single" w:sz="4" w:space="0" w:color="auto"/>
              <w:bottom w:val="single" w:sz="4" w:space="0" w:color="auto"/>
              <w:right w:val="single" w:sz="4" w:space="0" w:color="auto"/>
            </w:tcBorders>
          </w:tcPr>
          <w:p w14:paraId="33689C1A" w14:textId="77777777" w:rsidR="00C04651" w:rsidRPr="00A46FD7" w:rsidRDefault="00C04651" w:rsidP="004910CD">
            <w:pPr>
              <w:spacing w:after="0" w:line="240" w:lineRule="auto"/>
              <w:rPr>
                <w:rFonts w:ascii="Times New Roman" w:eastAsia="Times New Roman" w:hAnsi="Times New Roman"/>
                <w:sz w:val="24"/>
                <w:szCs w:val="24"/>
              </w:rPr>
            </w:pPr>
            <w:r w:rsidRPr="00194798">
              <w:rPr>
                <w:rFonts w:ascii="Times New Roman" w:eastAsia="Times New Roman" w:hAnsi="Times New Roman"/>
                <w:sz w:val="24"/>
                <w:szCs w:val="24"/>
              </w:rPr>
              <w:t xml:space="preserve">Teisės </w:t>
            </w:r>
            <w:r w:rsidRPr="00194798">
              <w:rPr>
                <w:rFonts w:ascii="Times New Roman" w:hAnsi="Times New Roman"/>
                <w:color w:val="000000"/>
                <w:sz w:val="24"/>
                <w:szCs w:val="24"/>
                <w:shd w:val="clear" w:color="auto" w:fill="FFFFFF"/>
              </w:rPr>
              <w:t>aktų projekte numatytas baigtinis kriterijų, pagal kuriuos skiriama nuobauda (sankcija) už teisės akto projekte nustatytų nurodymų nevykdymą, sąrašas ir nustatyta aiški nuobaudos (sankcijos) skyrimo procedūra</w:t>
            </w:r>
          </w:p>
        </w:tc>
        <w:tc>
          <w:tcPr>
            <w:tcW w:w="1819" w:type="pct"/>
            <w:tcBorders>
              <w:top w:val="single" w:sz="4" w:space="0" w:color="auto"/>
              <w:left w:val="single" w:sz="4" w:space="0" w:color="auto"/>
              <w:bottom w:val="single" w:sz="4" w:space="0" w:color="auto"/>
              <w:right w:val="single" w:sz="4" w:space="0" w:color="auto"/>
            </w:tcBorders>
          </w:tcPr>
          <w:p w14:paraId="4F3960CB"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w:t>
            </w:r>
            <w:r>
              <w:rPr>
                <w:rFonts w:ascii="Times New Roman" w:eastAsia="Times New Roman" w:hAnsi="Times New Roman"/>
                <w:sz w:val="24"/>
                <w:szCs w:val="24"/>
              </w:rPr>
              <w:t xml:space="preserve"> konkrečių kriterijų</w:t>
            </w:r>
            <w:r w:rsidRPr="00A46FD7">
              <w:rPr>
                <w:rFonts w:ascii="Times New Roman" w:eastAsia="Times New Roman" w:hAnsi="Times New Roman"/>
                <w:sz w:val="24"/>
                <w:szCs w:val="24"/>
              </w:rPr>
              <w:t>, reglamentuojančių</w:t>
            </w:r>
            <w:r>
              <w:rPr>
                <w:rFonts w:ascii="Times New Roman" w:eastAsia="Times New Roman" w:hAnsi="Times New Roman"/>
                <w:sz w:val="24"/>
                <w:szCs w:val="24"/>
              </w:rPr>
              <w:t xml:space="preserve"> nuobaudų skyrimą</w:t>
            </w:r>
            <w:r w:rsidRPr="00A46FD7">
              <w:rPr>
                <w:rFonts w:ascii="Times New Roman" w:eastAsia="Times New Roman" w:hAnsi="Times New Roman"/>
                <w:sz w:val="24"/>
                <w:szCs w:val="24"/>
              </w:rPr>
              <w:t xml:space="preserve">. </w:t>
            </w:r>
          </w:p>
          <w:p w14:paraId="6743334B" w14:textId="77777777" w:rsidR="00C04651" w:rsidRPr="00A46FD7" w:rsidRDefault="00C04651" w:rsidP="004910CD">
            <w:pPr>
              <w:spacing w:after="0" w:line="240" w:lineRule="auto"/>
              <w:ind w:left="57"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1813C580" w14:textId="77777777" w:rsidR="00C04651" w:rsidRPr="00A46FD7" w:rsidRDefault="00C04651" w:rsidP="004910CD">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498C7FA3"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2E097CA3"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7E4EE516"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292DBCC1"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18.</w:t>
            </w:r>
          </w:p>
        </w:tc>
        <w:tc>
          <w:tcPr>
            <w:tcW w:w="1500" w:type="pct"/>
            <w:tcBorders>
              <w:top w:val="single" w:sz="4" w:space="0" w:color="auto"/>
              <w:left w:val="single" w:sz="4" w:space="0" w:color="auto"/>
              <w:bottom w:val="single" w:sz="4" w:space="0" w:color="auto"/>
              <w:right w:val="single" w:sz="4" w:space="0" w:color="auto"/>
            </w:tcBorders>
          </w:tcPr>
          <w:p w14:paraId="5AAEF029" w14:textId="77777777" w:rsidR="00C04651" w:rsidRPr="00194798" w:rsidRDefault="00C04651" w:rsidP="004910CD">
            <w:pPr>
              <w:spacing w:after="0" w:line="240" w:lineRule="auto"/>
              <w:rPr>
                <w:rFonts w:ascii="Times New Roman" w:eastAsia="Times New Roman" w:hAnsi="Times New Roman"/>
                <w:sz w:val="24"/>
                <w:szCs w:val="24"/>
              </w:rPr>
            </w:pPr>
            <w:r w:rsidRPr="00194798">
              <w:rPr>
                <w:rFonts w:ascii="Times New Roman" w:hAnsi="Times New Roman"/>
                <w:color w:val="000000"/>
                <w:sz w:val="24"/>
                <w:szCs w:val="24"/>
                <w:shd w:val="clear" w:color="auto" w:fill="FFFFFF"/>
              </w:rPr>
              <w:t>Kartu su teisės akto projektu pateikta pakankamai jį pagrindžiančių lydimųjų dokumentų ir informacijos, siekiant antikorupciniu aspektu įvertinti teisės akto projektą</w:t>
            </w:r>
          </w:p>
        </w:tc>
        <w:tc>
          <w:tcPr>
            <w:tcW w:w="1819" w:type="pct"/>
            <w:tcBorders>
              <w:top w:val="single" w:sz="4" w:space="0" w:color="auto"/>
              <w:left w:val="single" w:sz="4" w:space="0" w:color="auto"/>
              <w:bottom w:val="single" w:sz="4" w:space="0" w:color="auto"/>
              <w:right w:val="single" w:sz="4" w:space="0" w:color="auto"/>
            </w:tcBorders>
          </w:tcPr>
          <w:p w14:paraId="044029A4" w14:textId="77777777" w:rsidR="00C04651" w:rsidRPr="00A46FD7" w:rsidRDefault="00C04651" w:rsidP="004910CD">
            <w:pPr>
              <w:spacing w:after="0" w:line="240" w:lineRule="auto"/>
              <w:ind w:left="57" w:right="57"/>
              <w:jc w:val="both"/>
              <w:rPr>
                <w:rFonts w:ascii="Times New Roman" w:hAnsi="Times New Roman"/>
                <w:color w:val="000000"/>
                <w:sz w:val="24"/>
                <w:szCs w:val="24"/>
              </w:rPr>
            </w:pPr>
            <w:r>
              <w:rPr>
                <w:rFonts w:ascii="Times New Roman" w:hAnsi="Times New Roman"/>
                <w:color w:val="000000"/>
                <w:sz w:val="24"/>
                <w:szCs w:val="24"/>
              </w:rPr>
              <w:t>Su projektu pateikta visa reikiama informacija ir dokumentai.</w:t>
            </w:r>
          </w:p>
        </w:tc>
        <w:tc>
          <w:tcPr>
            <w:tcW w:w="794" w:type="pct"/>
            <w:tcBorders>
              <w:top w:val="single" w:sz="4" w:space="0" w:color="auto"/>
              <w:left w:val="single" w:sz="4" w:space="0" w:color="auto"/>
              <w:bottom w:val="single" w:sz="4" w:space="0" w:color="auto"/>
              <w:right w:val="single" w:sz="4" w:space="0" w:color="auto"/>
            </w:tcBorders>
          </w:tcPr>
          <w:p w14:paraId="2C8A3CC4"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4E49E9EB"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049FB77D"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C04651" w:rsidRPr="00A46FD7" w14:paraId="29F7B4C3" w14:textId="77777777" w:rsidTr="004910CD">
        <w:trPr>
          <w:trHeight w:val="23"/>
          <w:tblHeader/>
        </w:trPr>
        <w:tc>
          <w:tcPr>
            <w:tcW w:w="186" w:type="pct"/>
            <w:tcBorders>
              <w:top w:val="single" w:sz="4" w:space="0" w:color="auto"/>
              <w:left w:val="single" w:sz="4" w:space="0" w:color="auto"/>
              <w:bottom w:val="single" w:sz="4" w:space="0" w:color="auto"/>
              <w:right w:val="single" w:sz="4" w:space="0" w:color="auto"/>
            </w:tcBorders>
          </w:tcPr>
          <w:p w14:paraId="33B7836A" w14:textId="77777777" w:rsidR="00C04651" w:rsidRPr="00A46FD7" w:rsidRDefault="00C04651" w:rsidP="004910CD">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19.</w:t>
            </w:r>
          </w:p>
        </w:tc>
        <w:tc>
          <w:tcPr>
            <w:tcW w:w="1500" w:type="pct"/>
            <w:tcBorders>
              <w:top w:val="single" w:sz="4" w:space="0" w:color="auto"/>
              <w:left w:val="single" w:sz="4" w:space="0" w:color="auto"/>
              <w:bottom w:val="single" w:sz="4" w:space="0" w:color="auto"/>
              <w:right w:val="single" w:sz="4" w:space="0" w:color="auto"/>
            </w:tcBorders>
          </w:tcPr>
          <w:p w14:paraId="22394E41"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Kiti svarbūs kriterijai</w:t>
            </w:r>
          </w:p>
        </w:tc>
        <w:tc>
          <w:tcPr>
            <w:tcW w:w="1819" w:type="pct"/>
            <w:tcBorders>
              <w:top w:val="single" w:sz="4" w:space="0" w:color="auto"/>
              <w:left w:val="single" w:sz="4" w:space="0" w:color="auto"/>
              <w:bottom w:val="single" w:sz="4" w:space="0" w:color="auto"/>
              <w:right w:val="single" w:sz="4" w:space="0" w:color="auto"/>
            </w:tcBorders>
          </w:tcPr>
          <w:p w14:paraId="0B7BD7CD" w14:textId="77777777" w:rsidR="00C04651" w:rsidRPr="00A46FD7" w:rsidRDefault="00C04651" w:rsidP="004910CD">
            <w:pPr>
              <w:spacing w:after="0" w:line="240" w:lineRule="auto"/>
              <w:ind w:firstLine="142"/>
              <w:rPr>
                <w:rFonts w:ascii="Times New Roman" w:eastAsia="Times New Roman" w:hAnsi="Times New Roman"/>
                <w:sz w:val="24"/>
                <w:szCs w:val="24"/>
              </w:rPr>
            </w:pPr>
            <w:r w:rsidRPr="00A46FD7">
              <w:rPr>
                <w:rFonts w:ascii="Times New Roman" w:eastAsia="Times New Roman" w:hAnsi="Times New Roman"/>
                <w:sz w:val="24"/>
                <w:szCs w:val="24"/>
              </w:rPr>
              <w:t xml:space="preserve">Nėra. </w:t>
            </w:r>
          </w:p>
        </w:tc>
        <w:tc>
          <w:tcPr>
            <w:tcW w:w="794" w:type="pct"/>
            <w:tcBorders>
              <w:top w:val="single" w:sz="4" w:space="0" w:color="auto"/>
              <w:left w:val="single" w:sz="4" w:space="0" w:color="auto"/>
              <w:bottom w:val="single" w:sz="4" w:space="0" w:color="auto"/>
              <w:right w:val="single" w:sz="4" w:space="0" w:color="auto"/>
            </w:tcBorders>
          </w:tcPr>
          <w:p w14:paraId="29129230" w14:textId="77777777" w:rsidR="00C04651" w:rsidRPr="00A46FD7" w:rsidRDefault="00C04651" w:rsidP="004910CD">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487F168D"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4E90F444" w14:textId="77777777" w:rsidR="00C04651" w:rsidRPr="00A46FD7" w:rsidRDefault="00C04651" w:rsidP="004910CD">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bl>
    <w:p w14:paraId="1EDE7170" w14:textId="77777777" w:rsidR="00C04651" w:rsidRPr="00A46FD7" w:rsidRDefault="00C04651" w:rsidP="00C04651">
      <w:pPr>
        <w:tabs>
          <w:tab w:val="left" w:pos="6237"/>
          <w:tab w:val="right" w:pos="8306"/>
        </w:tabs>
        <w:spacing w:after="0" w:line="240" w:lineRule="auto"/>
        <w:ind w:firstLine="720"/>
        <w:rPr>
          <w:rFonts w:ascii="Times New Roman" w:eastAsia="Times New Roman" w:hAnsi="Times New Roman"/>
          <w:color w:val="000000"/>
          <w:sz w:val="24"/>
          <w:szCs w:val="24"/>
          <w:lang w:eastAsia="lt-LT"/>
        </w:rPr>
      </w:pPr>
    </w:p>
    <w:tbl>
      <w:tblPr>
        <w:tblW w:w="5002" w:type="pct"/>
        <w:tblCellMar>
          <w:left w:w="0" w:type="dxa"/>
          <w:right w:w="0" w:type="dxa"/>
        </w:tblCellMar>
        <w:tblLook w:val="00A0" w:firstRow="1" w:lastRow="0" w:firstColumn="1" w:lastColumn="0" w:noHBand="0" w:noVBand="0"/>
      </w:tblPr>
      <w:tblGrid>
        <w:gridCol w:w="2762"/>
        <w:gridCol w:w="4337"/>
        <w:gridCol w:w="2748"/>
        <w:gridCol w:w="4445"/>
      </w:tblGrid>
      <w:tr w:rsidR="00C04651" w:rsidRPr="00A15B5A" w14:paraId="7F75B4AC" w14:textId="77777777" w:rsidTr="004910CD">
        <w:trPr>
          <w:trHeight w:val="25"/>
        </w:trPr>
        <w:tc>
          <w:tcPr>
            <w:tcW w:w="940" w:type="pct"/>
          </w:tcPr>
          <w:p w14:paraId="56B28BEF" w14:textId="77777777" w:rsidR="00C04651" w:rsidRDefault="00C04651" w:rsidP="004910CD">
            <w:pPr>
              <w:spacing w:after="0" w:line="240" w:lineRule="auto"/>
              <w:rPr>
                <w:rFonts w:ascii="Times New Roman" w:eastAsia="Times New Roman" w:hAnsi="Times New Roman"/>
                <w:sz w:val="23"/>
                <w:szCs w:val="23"/>
              </w:rPr>
            </w:pPr>
            <w:bookmarkStart w:id="0" w:name="_Hlk65234485"/>
          </w:p>
          <w:p w14:paraId="1AAF3D26" w14:textId="77777777" w:rsidR="00C04651" w:rsidRPr="00A15B5A" w:rsidRDefault="00C04651" w:rsidP="004910CD">
            <w:pPr>
              <w:spacing w:after="0" w:line="240" w:lineRule="auto"/>
              <w:rPr>
                <w:rFonts w:ascii="Times New Roman" w:eastAsia="Times New Roman" w:hAnsi="Times New Roman"/>
                <w:sz w:val="23"/>
                <w:szCs w:val="23"/>
              </w:rPr>
            </w:pPr>
            <w:r w:rsidRPr="00A15B5A">
              <w:rPr>
                <w:rFonts w:ascii="Times New Roman" w:eastAsia="Times New Roman" w:hAnsi="Times New Roman"/>
                <w:sz w:val="23"/>
                <w:szCs w:val="23"/>
              </w:rPr>
              <w:t>Teisės akto projekto tiesiogini</w:t>
            </w:r>
            <w:r>
              <w:rPr>
                <w:rFonts w:ascii="Times New Roman" w:eastAsia="Times New Roman" w:hAnsi="Times New Roman"/>
                <w:sz w:val="23"/>
                <w:szCs w:val="23"/>
              </w:rPr>
              <w:t>ai</w:t>
            </w:r>
            <w:r w:rsidRPr="00A15B5A">
              <w:rPr>
                <w:rFonts w:ascii="Times New Roman" w:eastAsia="Times New Roman" w:hAnsi="Times New Roman"/>
                <w:sz w:val="23"/>
                <w:szCs w:val="23"/>
              </w:rPr>
              <w:t xml:space="preserve"> rengėja</w:t>
            </w:r>
            <w:r>
              <w:rPr>
                <w:rFonts w:ascii="Times New Roman" w:eastAsia="Times New Roman" w:hAnsi="Times New Roman"/>
                <w:sz w:val="23"/>
                <w:szCs w:val="23"/>
              </w:rPr>
              <w:t>i</w:t>
            </w:r>
            <w:r w:rsidRPr="00A15B5A">
              <w:rPr>
                <w:rFonts w:ascii="Times New Roman" w:eastAsia="Times New Roman" w:hAnsi="Times New Roman"/>
                <w:sz w:val="23"/>
                <w:szCs w:val="23"/>
              </w:rPr>
              <w:t>:</w:t>
            </w:r>
          </w:p>
        </w:tc>
        <w:tc>
          <w:tcPr>
            <w:tcW w:w="1476" w:type="pct"/>
            <w:tcBorders>
              <w:bottom w:val="single" w:sz="4" w:space="0" w:color="auto"/>
            </w:tcBorders>
          </w:tcPr>
          <w:p w14:paraId="4FC98ECE" w14:textId="77777777" w:rsidR="00C04651" w:rsidRDefault="00C04651" w:rsidP="004910CD">
            <w:pPr>
              <w:spacing w:after="0" w:line="240" w:lineRule="auto"/>
              <w:rPr>
                <w:rFonts w:ascii="Times New Roman" w:hAnsi="Times New Roman"/>
                <w:sz w:val="23"/>
                <w:szCs w:val="23"/>
                <w:lang w:eastAsia="lt-LT"/>
              </w:rPr>
            </w:pPr>
          </w:p>
          <w:p w14:paraId="027850ED" w14:textId="77777777" w:rsidR="00C04651" w:rsidRDefault="00C04651" w:rsidP="004910CD">
            <w:pPr>
              <w:spacing w:after="0" w:line="240" w:lineRule="auto"/>
              <w:rPr>
                <w:rFonts w:ascii="Times New Roman" w:hAnsi="Times New Roman"/>
                <w:sz w:val="23"/>
                <w:szCs w:val="23"/>
                <w:lang w:eastAsia="lt-LT"/>
              </w:rPr>
            </w:pPr>
            <w:r w:rsidRPr="00A15B5A">
              <w:rPr>
                <w:rFonts w:ascii="Times New Roman" w:hAnsi="Times New Roman"/>
                <w:sz w:val="23"/>
                <w:szCs w:val="23"/>
                <w:lang w:eastAsia="lt-LT"/>
              </w:rPr>
              <w:t xml:space="preserve">Energetikos ministerijos </w:t>
            </w:r>
          </w:p>
          <w:p w14:paraId="5CC550A3" w14:textId="77777777" w:rsidR="00C04651" w:rsidRDefault="00C04651" w:rsidP="004910CD">
            <w:pPr>
              <w:spacing w:after="0" w:line="240" w:lineRule="auto"/>
              <w:rPr>
                <w:rFonts w:ascii="Times New Roman" w:hAnsi="Times New Roman"/>
                <w:sz w:val="23"/>
                <w:szCs w:val="23"/>
                <w:lang w:eastAsia="lt-LT"/>
              </w:rPr>
            </w:pPr>
            <w:r>
              <w:rPr>
                <w:rFonts w:ascii="Times New Roman" w:hAnsi="Times New Roman"/>
                <w:sz w:val="24"/>
                <w:szCs w:val="24"/>
              </w:rPr>
              <w:t>Investicijų grupės</w:t>
            </w:r>
          </w:p>
          <w:p w14:paraId="18B3746E" w14:textId="77777777" w:rsidR="00C04651" w:rsidRPr="00A15B5A" w:rsidRDefault="00C04651" w:rsidP="004910CD">
            <w:pPr>
              <w:spacing w:after="0" w:line="240" w:lineRule="auto"/>
              <w:rPr>
                <w:rFonts w:ascii="Times New Roman" w:hAnsi="Times New Roman"/>
                <w:sz w:val="23"/>
                <w:szCs w:val="23"/>
                <w:lang w:eastAsia="lt-LT"/>
              </w:rPr>
            </w:pPr>
          </w:p>
          <w:p w14:paraId="37866A11" w14:textId="77777777" w:rsidR="00C04651" w:rsidRPr="00A15B5A" w:rsidRDefault="00C04651" w:rsidP="004910CD">
            <w:pPr>
              <w:spacing w:after="0" w:line="240" w:lineRule="auto"/>
              <w:rPr>
                <w:rFonts w:ascii="Times New Roman" w:eastAsia="Times New Roman" w:hAnsi="Times New Roman"/>
                <w:sz w:val="23"/>
                <w:szCs w:val="23"/>
              </w:rPr>
            </w:pPr>
            <w:r>
              <w:rPr>
                <w:rFonts w:ascii="Times New Roman" w:eastAsia="Times New Roman" w:hAnsi="Times New Roman"/>
                <w:sz w:val="23"/>
                <w:szCs w:val="23"/>
              </w:rPr>
              <w:t>vyriausioji specialistė      Ineta Blakunovaitė</w:t>
            </w:r>
          </w:p>
        </w:tc>
        <w:tc>
          <w:tcPr>
            <w:tcW w:w="935" w:type="pct"/>
          </w:tcPr>
          <w:p w14:paraId="3A9FDA4E" w14:textId="77777777" w:rsidR="00C04651" w:rsidRDefault="00C04651" w:rsidP="004910CD">
            <w:pPr>
              <w:spacing w:after="0" w:line="240" w:lineRule="auto"/>
              <w:rPr>
                <w:rFonts w:ascii="Times New Roman" w:eastAsia="Times New Roman" w:hAnsi="Times New Roman"/>
                <w:sz w:val="23"/>
                <w:szCs w:val="23"/>
              </w:rPr>
            </w:pPr>
          </w:p>
          <w:p w14:paraId="2186AACB" w14:textId="77777777" w:rsidR="00C04651" w:rsidRPr="00A15B5A" w:rsidRDefault="00C04651" w:rsidP="004910CD">
            <w:pPr>
              <w:spacing w:after="0" w:line="240" w:lineRule="auto"/>
              <w:rPr>
                <w:rFonts w:ascii="Times New Roman" w:eastAsia="Times New Roman" w:hAnsi="Times New Roman"/>
                <w:sz w:val="23"/>
                <w:szCs w:val="23"/>
              </w:rPr>
            </w:pPr>
            <w:r w:rsidRPr="00A15B5A">
              <w:rPr>
                <w:rFonts w:ascii="Times New Roman" w:eastAsia="Times New Roman" w:hAnsi="Times New Roman"/>
                <w:sz w:val="23"/>
                <w:szCs w:val="23"/>
              </w:rPr>
              <w:t>Teisės akto projekto vertintojas:</w:t>
            </w:r>
          </w:p>
        </w:tc>
        <w:tc>
          <w:tcPr>
            <w:tcW w:w="1513" w:type="pct"/>
            <w:tcBorders>
              <w:bottom w:val="single" w:sz="4" w:space="0" w:color="auto"/>
            </w:tcBorders>
          </w:tcPr>
          <w:p w14:paraId="4652FA06" w14:textId="77777777" w:rsidR="00C04651" w:rsidRDefault="00C04651" w:rsidP="004910CD">
            <w:pPr>
              <w:spacing w:after="0" w:line="240" w:lineRule="auto"/>
              <w:rPr>
                <w:rFonts w:ascii="Times New Roman" w:eastAsia="Times New Roman" w:hAnsi="Times New Roman"/>
                <w:sz w:val="23"/>
                <w:szCs w:val="23"/>
              </w:rPr>
            </w:pPr>
          </w:p>
          <w:p w14:paraId="784E8E92" w14:textId="77777777" w:rsidR="00C04651" w:rsidRDefault="00C04651" w:rsidP="004910CD">
            <w:pPr>
              <w:spacing w:after="0" w:line="240" w:lineRule="auto"/>
              <w:rPr>
                <w:rFonts w:ascii="Times New Roman" w:eastAsia="Times New Roman" w:hAnsi="Times New Roman"/>
                <w:sz w:val="23"/>
                <w:szCs w:val="23"/>
              </w:rPr>
            </w:pPr>
            <w:r w:rsidRPr="00A15B5A">
              <w:rPr>
                <w:rFonts w:ascii="Times New Roman" w:eastAsia="Times New Roman" w:hAnsi="Times New Roman"/>
                <w:sz w:val="23"/>
                <w:szCs w:val="23"/>
              </w:rPr>
              <w:t xml:space="preserve">Energetikos ministerijos </w:t>
            </w:r>
          </w:p>
          <w:p w14:paraId="78C0616F" w14:textId="77777777" w:rsidR="00C04651" w:rsidRDefault="00C04651" w:rsidP="004910CD">
            <w:pPr>
              <w:spacing w:after="0" w:line="240" w:lineRule="auto"/>
              <w:rPr>
                <w:rFonts w:ascii="Times New Roman" w:eastAsia="Times New Roman" w:hAnsi="Times New Roman"/>
                <w:sz w:val="23"/>
                <w:szCs w:val="23"/>
              </w:rPr>
            </w:pPr>
            <w:r>
              <w:rPr>
                <w:rFonts w:ascii="Times New Roman" w:eastAsia="Times New Roman" w:hAnsi="Times New Roman"/>
                <w:sz w:val="23"/>
                <w:szCs w:val="23"/>
              </w:rPr>
              <w:t xml:space="preserve">Teisės ir personalo grupės </w:t>
            </w:r>
          </w:p>
          <w:p w14:paraId="0766DCD5" w14:textId="77777777" w:rsidR="00C04651" w:rsidRPr="00A15B5A" w:rsidRDefault="00C04651" w:rsidP="004910CD">
            <w:pPr>
              <w:spacing w:after="0" w:line="240" w:lineRule="auto"/>
              <w:rPr>
                <w:rFonts w:ascii="Times New Roman" w:eastAsia="Times New Roman" w:hAnsi="Times New Roman"/>
                <w:sz w:val="23"/>
                <w:szCs w:val="23"/>
              </w:rPr>
            </w:pPr>
          </w:p>
          <w:p w14:paraId="10329473" w14:textId="46DB9E51" w:rsidR="00C04651" w:rsidRPr="00A15B5A" w:rsidRDefault="00C04651" w:rsidP="004910CD">
            <w:pPr>
              <w:spacing w:after="0" w:line="240" w:lineRule="auto"/>
              <w:rPr>
                <w:rFonts w:ascii="Times New Roman" w:eastAsia="Times New Roman" w:hAnsi="Times New Roman"/>
                <w:sz w:val="23"/>
                <w:szCs w:val="23"/>
              </w:rPr>
            </w:pPr>
            <w:r>
              <w:rPr>
                <w:rFonts w:ascii="Times New Roman" w:eastAsia="Times New Roman" w:hAnsi="Times New Roman"/>
                <w:sz w:val="23"/>
                <w:szCs w:val="23"/>
              </w:rPr>
              <w:t xml:space="preserve"> </w:t>
            </w:r>
            <w:r w:rsidR="00F64F6A">
              <w:rPr>
                <w:rFonts w:ascii="Times New Roman" w:eastAsia="Times New Roman" w:hAnsi="Times New Roman"/>
                <w:sz w:val="23"/>
                <w:szCs w:val="23"/>
              </w:rPr>
              <w:t>patar</w:t>
            </w:r>
            <w:r>
              <w:rPr>
                <w:rFonts w:ascii="Times New Roman" w:eastAsia="Times New Roman" w:hAnsi="Times New Roman"/>
                <w:sz w:val="23"/>
                <w:szCs w:val="23"/>
              </w:rPr>
              <w:t>ė</w:t>
            </w:r>
            <w:r w:rsidR="00F64F6A">
              <w:rPr>
                <w:rFonts w:ascii="Times New Roman" w:eastAsia="Times New Roman" w:hAnsi="Times New Roman"/>
                <w:sz w:val="23"/>
                <w:szCs w:val="23"/>
              </w:rPr>
              <w:t>ja</w:t>
            </w:r>
            <w:r>
              <w:rPr>
                <w:rFonts w:ascii="Times New Roman" w:eastAsia="Times New Roman" w:hAnsi="Times New Roman"/>
                <w:sz w:val="23"/>
                <w:szCs w:val="23"/>
              </w:rPr>
              <w:t xml:space="preserve">          </w:t>
            </w:r>
            <w:r w:rsidR="00F64F6A">
              <w:rPr>
                <w:rFonts w:ascii="Times New Roman" w:eastAsia="Times New Roman" w:hAnsi="Times New Roman"/>
                <w:sz w:val="23"/>
                <w:szCs w:val="23"/>
              </w:rPr>
              <w:t xml:space="preserve">                  </w:t>
            </w:r>
            <w:r>
              <w:rPr>
                <w:rFonts w:ascii="Times New Roman" w:eastAsia="Times New Roman" w:hAnsi="Times New Roman"/>
                <w:sz w:val="23"/>
                <w:szCs w:val="23"/>
              </w:rPr>
              <w:t xml:space="preserve">Vaida Dumčiūtė           </w:t>
            </w:r>
          </w:p>
        </w:tc>
      </w:tr>
      <w:tr w:rsidR="00C04651" w:rsidRPr="00A15B5A" w14:paraId="0707F9FF" w14:textId="77777777" w:rsidTr="004910CD">
        <w:trPr>
          <w:trHeight w:val="25"/>
        </w:trPr>
        <w:tc>
          <w:tcPr>
            <w:tcW w:w="940" w:type="pct"/>
          </w:tcPr>
          <w:p w14:paraId="61A133D4" w14:textId="77777777" w:rsidR="00C04651" w:rsidRPr="00B54C88" w:rsidRDefault="00C04651" w:rsidP="004910CD">
            <w:pPr>
              <w:spacing w:after="0" w:line="240" w:lineRule="auto"/>
              <w:rPr>
                <w:rFonts w:ascii="Times New Roman" w:eastAsia="Times New Roman" w:hAnsi="Times New Roman"/>
                <w:sz w:val="16"/>
                <w:szCs w:val="16"/>
              </w:rPr>
            </w:pPr>
          </w:p>
        </w:tc>
        <w:tc>
          <w:tcPr>
            <w:tcW w:w="1476" w:type="pct"/>
            <w:tcBorders>
              <w:top w:val="single" w:sz="4" w:space="0" w:color="auto"/>
            </w:tcBorders>
          </w:tcPr>
          <w:p w14:paraId="004E23E9" w14:textId="77777777" w:rsidR="00C04651" w:rsidRPr="00B54C88" w:rsidRDefault="00C04651" w:rsidP="004910CD">
            <w:pPr>
              <w:spacing w:after="0" w:line="240" w:lineRule="auto"/>
              <w:rPr>
                <w:rFonts w:ascii="Times New Roman" w:eastAsia="Times New Roman" w:hAnsi="Times New Roman"/>
                <w:sz w:val="16"/>
                <w:szCs w:val="16"/>
              </w:rPr>
            </w:pPr>
          </w:p>
        </w:tc>
        <w:tc>
          <w:tcPr>
            <w:tcW w:w="935" w:type="pct"/>
          </w:tcPr>
          <w:p w14:paraId="50C45798" w14:textId="77777777" w:rsidR="00C04651" w:rsidRPr="00A15B5A" w:rsidRDefault="00C04651" w:rsidP="004910CD">
            <w:pPr>
              <w:spacing w:after="0" w:line="240" w:lineRule="auto"/>
              <w:rPr>
                <w:rFonts w:ascii="Times New Roman" w:eastAsia="Times New Roman" w:hAnsi="Times New Roman"/>
                <w:sz w:val="23"/>
                <w:szCs w:val="23"/>
              </w:rPr>
            </w:pPr>
          </w:p>
        </w:tc>
        <w:tc>
          <w:tcPr>
            <w:tcW w:w="1513" w:type="pct"/>
            <w:tcBorders>
              <w:top w:val="single" w:sz="4" w:space="0" w:color="auto"/>
            </w:tcBorders>
          </w:tcPr>
          <w:p w14:paraId="176133AC" w14:textId="77777777" w:rsidR="00C04651" w:rsidRPr="00B54C88" w:rsidRDefault="00C04651" w:rsidP="004910CD">
            <w:pPr>
              <w:spacing w:after="0" w:line="240" w:lineRule="auto"/>
              <w:ind w:left="-11"/>
              <w:rPr>
                <w:rFonts w:ascii="Times New Roman" w:eastAsia="Times New Roman" w:hAnsi="Times New Roman"/>
                <w:sz w:val="16"/>
                <w:szCs w:val="16"/>
              </w:rPr>
            </w:pPr>
          </w:p>
        </w:tc>
      </w:tr>
      <w:tr w:rsidR="00C04651" w:rsidRPr="00A15B5A" w14:paraId="10873273" w14:textId="77777777" w:rsidTr="004910CD">
        <w:trPr>
          <w:trHeight w:val="25"/>
        </w:trPr>
        <w:tc>
          <w:tcPr>
            <w:tcW w:w="940" w:type="pct"/>
          </w:tcPr>
          <w:p w14:paraId="580E5B11" w14:textId="77777777" w:rsidR="00C04651" w:rsidRPr="00A15B5A" w:rsidRDefault="00C04651" w:rsidP="004910CD">
            <w:pPr>
              <w:spacing w:after="0" w:line="240" w:lineRule="auto"/>
              <w:rPr>
                <w:rFonts w:ascii="Times New Roman" w:eastAsia="Times New Roman" w:hAnsi="Times New Roman"/>
                <w:sz w:val="23"/>
                <w:szCs w:val="23"/>
              </w:rPr>
            </w:pPr>
          </w:p>
        </w:tc>
        <w:tc>
          <w:tcPr>
            <w:tcW w:w="1476" w:type="pct"/>
            <w:tcBorders>
              <w:bottom w:val="single" w:sz="4" w:space="0" w:color="auto"/>
            </w:tcBorders>
          </w:tcPr>
          <w:p w14:paraId="39C87431" w14:textId="77777777" w:rsidR="00C04651" w:rsidRPr="00A15B5A" w:rsidRDefault="00C04651" w:rsidP="004910CD">
            <w:pPr>
              <w:spacing w:after="0" w:line="240" w:lineRule="auto"/>
              <w:rPr>
                <w:rFonts w:ascii="Times New Roman" w:eastAsia="Times New Roman" w:hAnsi="Times New Roman"/>
                <w:sz w:val="23"/>
                <w:szCs w:val="23"/>
              </w:rPr>
            </w:pPr>
          </w:p>
        </w:tc>
        <w:tc>
          <w:tcPr>
            <w:tcW w:w="935" w:type="pct"/>
          </w:tcPr>
          <w:p w14:paraId="5A1E4D8C" w14:textId="77777777" w:rsidR="00C04651" w:rsidRPr="00A15B5A" w:rsidRDefault="00C04651" w:rsidP="004910CD">
            <w:pPr>
              <w:spacing w:after="0" w:line="240" w:lineRule="auto"/>
              <w:rPr>
                <w:rFonts w:ascii="Times New Roman" w:eastAsia="Times New Roman" w:hAnsi="Times New Roman"/>
                <w:sz w:val="23"/>
                <w:szCs w:val="23"/>
              </w:rPr>
            </w:pPr>
          </w:p>
        </w:tc>
        <w:tc>
          <w:tcPr>
            <w:tcW w:w="1513" w:type="pct"/>
            <w:tcBorders>
              <w:bottom w:val="single" w:sz="4" w:space="0" w:color="auto"/>
            </w:tcBorders>
          </w:tcPr>
          <w:p w14:paraId="5791D437" w14:textId="77777777" w:rsidR="00C04651" w:rsidRPr="00A15B5A" w:rsidRDefault="00C04651" w:rsidP="004910CD">
            <w:pPr>
              <w:spacing w:after="0" w:line="240" w:lineRule="auto"/>
              <w:ind w:left="-11"/>
              <w:rPr>
                <w:rFonts w:ascii="Times New Roman" w:eastAsia="Times New Roman" w:hAnsi="Times New Roman"/>
                <w:sz w:val="23"/>
                <w:szCs w:val="23"/>
              </w:rPr>
            </w:pPr>
          </w:p>
        </w:tc>
      </w:tr>
      <w:tr w:rsidR="00C04651" w:rsidRPr="00A15B5A" w14:paraId="063DF32C" w14:textId="77777777" w:rsidTr="004910CD">
        <w:trPr>
          <w:trHeight w:val="25"/>
        </w:trPr>
        <w:tc>
          <w:tcPr>
            <w:tcW w:w="940" w:type="pct"/>
          </w:tcPr>
          <w:p w14:paraId="2DA731E8" w14:textId="77777777" w:rsidR="00C04651" w:rsidRPr="00B54C88" w:rsidRDefault="00C04651" w:rsidP="004910CD">
            <w:pPr>
              <w:spacing w:after="0" w:line="240" w:lineRule="auto"/>
              <w:rPr>
                <w:rFonts w:ascii="Times New Roman" w:eastAsia="Times New Roman" w:hAnsi="Times New Roman"/>
                <w:sz w:val="16"/>
                <w:szCs w:val="16"/>
              </w:rPr>
            </w:pPr>
          </w:p>
        </w:tc>
        <w:tc>
          <w:tcPr>
            <w:tcW w:w="1476" w:type="pct"/>
            <w:tcBorders>
              <w:top w:val="single" w:sz="4" w:space="0" w:color="auto"/>
            </w:tcBorders>
          </w:tcPr>
          <w:p w14:paraId="023259BE" w14:textId="77777777" w:rsidR="00C04651" w:rsidRPr="00B54C88" w:rsidRDefault="00C04651" w:rsidP="004910CD">
            <w:pPr>
              <w:spacing w:after="0" w:line="240" w:lineRule="auto"/>
              <w:ind w:left="-11"/>
              <w:rPr>
                <w:rFonts w:ascii="Times New Roman" w:eastAsia="Times New Roman" w:hAnsi="Times New Roman"/>
                <w:sz w:val="16"/>
                <w:szCs w:val="16"/>
              </w:rPr>
            </w:pPr>
            <w:r w:rsidRPr="00B54C88">
              <w:rPr>
                <w:rFonts w:ascii="Times New Roman" w:eastAsia="Times New Roman" w:hAnsi="Times New Roman"/>
                <w:sz w:val="16"/>
                <w:szCs w:val="16"/>
              </w:rPr>
              <w:t>(</w:t>
            </w:r>
            <w:r>
              <w:rPr>
                <w:rFonts w:ascii="Times New Roman" w:eastAsia="Times New Roman" w:hAnsi="Times New Roman"/>
                <w:sz w:val="16"/>
                <w:szCs w:val="16"/>
              </w:rPr>
              <w:t>p</w:t>
            </w:r>
            <w:r w:rsidRPr="00B54C88">
              <w:rPr>
                <w:rFonts w:ascii="Times New Roman" w:eastAsia="Times New Roman" w:hAnsi="Times New Roman"/>
                <w:sz w:val="16"/>
                <w:szCs w:val="16"/>
              </w:rPr>
              <w:t>arašas) (</w:t>
            </w:r>
            <w:r>
              <w:rPr>
                <w:rFonts w:ascii="Times New Roman" w:eastAsia="Times New Roman" w:hAnsi="Times New Roman"/>
                <w:sz w:val="16"/>
                <w:szCs w:val="16"/>
              </w:rPr>
              <w:t>d</w:t>
            </w:r>
            <w:r w:rsidRPr="00B54C88">
              <w:rPr>
                <w:rFonts w:ascii="Times New Roman" w:eastAsia="Times New Roman" w:hAnsi="Times New Roman"/>
                <w:sz w:val="16"/>
                <w:szCs w:val="16"/>
              </w:rPr>
              <w:t>ata)</w:t>
            </w:r>
          </w:p>
        </w:tc>
        <w:tc>
          <w:tcPr>
            <w:tcW w:w="935" w:type="pct"/>
          </w:tcPr>
          <w:p w14:paraId="60A973EF" w14:textId="77777777" w:rsidR="00C04651" w:rsidRPr="00A15B5A" w:rsidRDefault="00C04651" w:rsidP="004910CD">
            <w:pPr>
              <w:spacing w:after="0" w:line="240" w:lineRule="auto"/>
              <w:rPr>
                <w:rFonts w:ascii="Times New Roman" w:eastAsia="Times New Roman" w:hAnsi="Times New Roman"/>
                <w:sz w:val="23"/>
                <w:szCs w:val="23"/>
              </w:rPr>
            </w:pPr>
          </w:p>
        </w:tc>
        <w:tc>
          <w:tcPr>
            <w:tcW w:w="1513" w:type="pct"/>
            <w:tcBorders>
              <w:top w:val="single" w:sz="4" w:space="0" w:color="auto"/>
            </w:tcBorders>
          </w:tcPr>
          <w:p w14:paraId="5FD19495" w14:textId="77777777" w:rsidR="00C04651" w:rsidRPr="00B54C88" w:rsidRDefault="00C04651" w:rsidP="004910CD">
            <w:pPr>
              <w:spacing w:after="0" w:line="240" w:lineRule="auto"/>
              <w:ind w:left="-11"/>
              <w:rPr>
                <w:rFonts w:ascii="Times New Roman" w:eastAsia="Times New Roman" w:hAnsi="Times New Roman"/>
                <w:sz w:val="16"/>
                <w:szCs w:val="16"/>
              </w:rPr>
            </w:pPr>
            <w:r w:rsidRPr="00B54C88">
              <w:rPr>
                <w:rFonts w:ascii="Times New Roman" w:eastAsia="Times New Roman" w:hAnsi="Times New Roman"/>
                <w:sz w:val="16"/>
                <w:szCs w:val="16"/>
              </w:rPr>
              <w:t xml:space="preserve"> (</w:t>
            </w:r>
            <w:r>
              <w:rPr>
                <w:rFonts w:ascii="Times New Roman" w:eastAsia="Times New Roman" w:hAnsi="Times New Roman"/>
                <w:sz w:val="16"/>
                <w:szCs w:val="16"/>
              </w:rPr>
              <w:t>p</w:t>
            </w:r>
            <w:r w:rsidRPr="00B54C88">
              <w:rPr>
                <w:rFonts w:ascii="Times New Roman" w:eastAsia="Times New Roman" w:hAnsi="Times New Roman"/>
                <w:sz w:val="16"/>
                <w:szCs w:val="16"/>
              </w:rPr>
              <w:t>arašas) (</w:t>
            </w:r>
            <w:r>
              <w:rPr>
                <w:rFonts w:ascii="Times New Roman" w:eastAsia="Times New Roman" w:hAnsi="Times New Roman"/>
                <w:sz w:val="16"/>
                <w:szCs w:val="16"/>
              </w:rPr>
              <w:t>d</w:t>
            </w:r>
            <w:r w:rsidRPr="00B54C88">
              <w:rPr>
                <w:rFonts w:ascii="Times New Roman" w:eastAsia="Times New Roman" w:hAnsi="Times New Roman"/>
                <w:sz w:val="16"/>
                <w:szCs w:val="16"/>
              </w:rPr>
              <w:t>ata)</w:t>
            </w:r>
          </w:p>
        </w:tc>
      </w:tr>
      <w:bookmarkEnd w:id="0"/>
    </w:tbl>
    <w:p w14:paraId="43AB89D4" w14:textId="77777777" w:rsidR="00724682" w:rsidRDefault="00724682"/>
    <w:sectPr w:rsidR="00724682" w:rsidSect="00FA751A">
      <w:pgSz w:w="16838" w:h="11906" w:orient="landscape"/>
      <w:pgMar w:top="851"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51"/>
    <w:rsid w:val="003533B5"/>
    <w:rsid w:val="00724682"/>
    <w:rsid w:val="00C04651"/>
    <w:rsid w:val="00CD3E44"/>
    <w:rsid w:val="00F616D2"/>
    <w:rsid w:val="00F64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B734"/>
  <w15:chartTrackingRefBased/>
  <w15:docId w15:val="{9BB10EA7-F570-47F0-B81B-2D80A626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51"/>
    <w:pPr>
      <w:spacing w:after="200" w:line="276"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ctin">
    <w:name w:val="tactin"/>
    <w:basedOn w:val="Normal"/>
    <w:rsid w:val="00C0465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533B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p">
    <w:name w:val="tip"/>
    <w:basedOn w:val="Normal"/>
    <w:rsid w:val="003533B5"/>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5076</Words>
  <Characters>2894</Characters>
  <Application>Microsoft Office Word</Application>
  <DocSecurity>0</DocSecurity>
  <Lines>24</Lines>
  <Paragraphs>15</Paragraphs>
  <ScaleCrop>false</ScaleCrop>
  <Company>Lietuvos Respublikos energetikos ministerija</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Kavaliauskienė</dc:creator>
  <cp:keywords/>
  <dc:description/>
  <cp:lastModifiedBy>Dovilė Kavaliauskienė</cp:lastModifiedBy>
  <cp:revision>5</cp:revision>
  <dcterms:created xsi:type="dcterms:W3CDTF">2022-08-23T07:58:00Z</dcterms:created>
  <dcterms:modified xsi:type="dcterms:W3CDTF">2022-12-06T14:35:00Z</dcterms:modified>
</cp:coreProperties>
</file>