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6B0" w:rsidRPr="0019727D" w:rsidRDefault="00E506B0" w:rsidP="00E506B0">
      <w:pPr>
        <w:suppressAutoHyphens/>
        <w:autoSpaceDN w:val="0"/>
        <w:spacing w:after="0" w:line="240" w:lineRule="auto"/>
        <w:jc w:val="center"/>
        <w:textAlignment w:val="baseline"/>
        <w:rPr>
          <w:rFonts w:ascii="Times New Roman" w:eastAsia="Calibri" w:hAnsi="Times New Roman" w:cs="Times New Roman"/>
          <w:b/>
          <w:sz w:val="24"/>
          <w:szCs w:val="24"/>
        </w:rPr>
      </w:pPr>
      <w:bookmarkStart w:id="0" w:name="_GoBack"/>
      <w:bookmarkEnd w:id="0"/>
      <w:r w:rsidRPr="0019727D">
        <w:rPr>
          <w:rFonts w:ascii="Times New Roman" w:eastAsia="Calibri" w:hAnsi="Times New Roman" w:cs="Times New Roman"/>
          <w:b/>
          <w:sz w:val="24"/>
          <w:szCs w:val="24"/>
          <w:u w:val="single"/>
        </w:rPr>
        <w:t>SOCIALINIŲ IR EKONOMINIŲ PARTNERIŲ</w:t>
      </w:r>
      <w:r w:rsidRPr="0019727D">
        <w:rPr>
          <w:rFonts w:ascii="Times New Roman" w:eastAsia="Calibri" w:hAnsi="Times New Roman" w:cs="Times New Roman"/>
          <w:b/>
          <w:sz w:val="24"/>
          <w:szCs w:val="24"/>
        </w:rPr>
        <w:t xml:space="preserve"> PATEIKTŲ PASTABŲ IR PASIŪLYMŲ DĖL 2014–2020 METŲ EUROPOS SĄJUNGOS</w:t>
      </w:r>
    </w:p>
    <w:p w:rsidR="00E506B0" w:rsidRPr="0019727D" w:rsidRDefault="00E506B0" w:rsidP="00E506B0">
      <w:pPr>
        <w:suppressAutoHyphens/>
        <w:autoSpaceDN w:val="0"/>
        <w:spacing w:after="0" w:line="240" w:lineRule="auto"/>
        <w:jc w:val="center"/>
        <w:textAlignment w:val="baseline"/>
        <w:rPr>
          <w:rFonts w:ascii="Times New Roman" w:eastAsia="Calibri" w:hAnsi="Times New Roman" w:cs="Times New Roman"/>
          <w:b/>
          <w:sz w:val="24"/>
          <w:szCs w:val="24"/>
        </w:rPr>
      </w:pPr>
      <w:r w:rsidRPr="0019727D">
        <w:rPr>
          <w:rFonts w:ascii="Times New Roman" w:eastAsia="Calibri" w:hAnsi="Times New Roman" w:cs="Times New Roman"/>
          <w:b/>
          <w:sz w:val="24"/>
          <w:szCs w:val="24"/>
        </w:rPr>
        <w:t>FONDŲ INVESTICIJŲ VEIKSMŲ PROGRAMOS 3 PRIORITETO „SMULKIOJO IR VIDUTINIO VERSLO KONKURENCINGUMO</w:t>
      </w:r>
    </w:p>
    <w:p w:rsidR="00E506B0" w:rsidRDefault="00E506B0" w:rsidP="00E506B0">
      <w:pPr>
        <w:pStyle w:val="Header"/>
        <w:jc w:val="center"/>
        <w:rPr>
          <w:rFonts w:ascii="Times New Roman" w:eastAsia="Calibri" w:hAnsi="Times New Roman" w:cs="Times New Roman"/>
          <w:b/>
          <w:sz w:val="24"/>
          <w:szCs w:val="24"/>
        </w:rPr>
      </w:pPr>
      <w:r w:rsidRPr="0019727D">
        <w:rPr>
          <w:rFonts w:ascii="Times New Roman" w:eastAsia="Calibri" w:hAnsi="Times New Roman" w:cs="Times New Roman"/>
          <w:b/>
          <w:sz w:val="24"/>
          <w:szCs w:val="24"/>
        </w:rPr>
        <w:t>SKATINIMAS“</w:t>
      </w:r>
      <w:r>
        <w:rPr>
          <w:rFonts w:ascii="Times New Roman" w:eastAsia="Calibri" w:hAnsi="Times New Roman" w:cs="Times New Roman"/>
          <w:b/>
          <w:sz w:val="24"/>
          <w:szCs w:val="24"/>
        </w:rPr>
        <w:t xml:space="preserve"> PRIEMONĖS NR. 03.3.1-LVPA-K-850</w:t>
      </w:r>
      <w:r w:rsidRPr="0019727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REGIO POTENCIALAS LT“ PROJEKTŲ ATRANKOS KRITERIJŲ VERTINIMO</w:t>
      </w:r>
    </w:p>
    <w:p w:rsidR="00E506B0" w:rsidRDefault="00E506B0" w:rsidP="00E506B0">
      <w:pPr>
        <w:pStyle w:val="Header"/>
        <w:jc w:val="center"/>
        <w:rPr>
          <w:rFonts w:ascii="Times New Roman" w:eastAsia="Calibri" w:hAnsi="Times New Roman" w:cs="Times New Roman"/>
          <w:b/>
          <w:sz w:val="24"/>
          <w:szCs w:val="24"/>
        </w:rPr>
      </w:pPr>
      <w:r>
        <w:rPr>
          <w:rFonts w:ascii="Times New Roman" w:eastAsia="Calibri" w:hAnsi="Times New Roman" w:cs="Times New Roman"/>
          <w:b/>
          <w:sz w:val="24"/>
          <w:szCs w:val="24"/>
        </w:rPr>
        <w:t>2018 m. rugsėjo 14 d.</w:t>
      </w:r>
    </w:p>
    <w:p w:rsidR="00E506B0" w:rsidRDefault="00E506B0"/>
    <w:tbl>
      <w:tblPr>
        <w:tblStyle w:val="TableGrid"/>
        <w:tblW w:w="14312" w:type="dxa"/>
        <w:tblLook w:val="04A0" w:firstRow="1" w:lastRow="0" w:firstColumn="1" w:lastColumn="0" w:noHBand="0" w:noVBand="1"/>
      </w:tblPr>
      <w:tblGrid>
        <w:gridCol w:w="2547"/>
        <w:gridCol w:w="2693"/>
        <w:gridCol w:w="4450"/>
        <w:gridCol w:w="4622"/>
      </w:tblGrid>
      <w:tr w:rsidR="00F9548E" w:rsidTr="00580962">
        <w:trPr>
          <w:tblHeader/>
        </w:trPr>
        <w:tc>
          <w:tcPr>
            <w:tcW w:w="2547" w:type="dxa"/>
            <w:shd w:val="clear" w:color="auto" w:fill="FDE9D9" w:themeFill="accent6" w:themeFillTint="33"/>
          </w:tcPr>
          <w:p w:rsidR="00F9548E" w:rsidRPr="003B5750" w:rsidRDefault="00F9548E" w:rsidP="00F9548E">
            <w:pPr>
              <w:jc w:val="center"/>
              <w:rPr>
                <w:b/>
              </w:rPr>
            </w:pPr>
            <w:r>
              <w:rPr>
                <w:b/>
              </w:rPr>
              <w:t>Pastabą pateikė</w:t>
            </w:r>
          </w:p>
        </w:tc>
        <w:tc>
          <w:tcPr>
            <w:tcW w:w="2693" w:type="dxa"/>
            <w:shd w:val="clear" w:color="auto" w:fill="FDE9D9" w:themeFill="accent6" w:themeFillTint="33"/>
          </w:tcPr>
          <w:p w:rsidR="00F9548E" w:rsidRDefault="00F9548E" w:rsidP="00656D5D">
            <w:pPr>
              <w:jc w:val="center"/>
            </w:pPr>
            <w:r w:rsidRPr="003B5750">
              <w:rPr>
                <w:b/>
              </w:rPr>
              <w:t>„</w:t>
            </w:r>
            <w:r w:rsidRPr="005059D1">
              <w:rPr>
                <w:b/>
              </w:rPr>
              <w:t>Regio potencialas LT</w:t>
            </w:r>
            <w:r w:rsidRPr="003B5750">
              <w:rPr>
                <w:b/>
              </w:rPr>
              <w:t>“</w:t>
            </w:r>
            <w:r w:rsidRPr="009C3D8A">
              <w:rPr>
                <w:rFonts w:ascii="Times New Roman" w:hAnsi="Times New Roman"/>
                <w:sz w:val="24"/>
                <w:szCs w:val="24"/>
              </w:rPr>
              <w:t xml:space="preserve"> </w:t>
            </w:r>
            <w:r>
              <w:rPr>
                <w:b/>
              </w:rPr>
              <w:t>projekto atrankos kriterijų</w:t>
            </w:r>
            <w:r w:rsidRPr="00572135">
              <w:rPr>
                <w:b/>
              </w:rPr>
              <w:t xml:space="preserve"> punktas</w:t>
            </w:r>
          </w:p>
        </w:tc>
        <w:tc>
          <w:tcPr>
            <w:tcW w:w="4450" w:type="dxa"/>
            <w:shd w:val="clear" w:color="auto" w:fill="FDE9D9" w:themeFill="accent6" w:themeFillTint="33"/>
          </w:tcPr>
          <w:p w:rsidR="00F9548E" w:rsidRDefault="00F9548E" w:rsidP="00656D5D">
            <w:pPr>
              <w:jc w:val="center"/>
            </w:pPr>
            <w:r w:rsidRPr="00572135">
              <w:rPr>
                <w:b/>
              </w:rPr>
              <w:t>Pastabos, pasiūlymai, klausimai</w:t>
            </w:r>
          </w:p>
        </w:tc>
        <w:tc>
          <w:tcPr>
            <w:tcW w:w="4622" w:type="dxa"/>
            <w:shd w:val="clear" w:color="auto" w:fill="FDE9D9" w:themeFill="accent6" w:themeFillTint="33"/>
          </w:tcPr>
          <w:p w:rsidR="00F9548E" w:rsidRPr="00572135" w:rsidRDefault="00F9548E" w:rsidP="00656D5D">
            <w:pPr>
              <w:jc w:val="center"/>
              <w:rPr>
                <w:b/>
              </w:rPr>
            </w:pPr>
            <w:r>
              <w:rPr>
                <w:b/>
              </w:rPr>
              <w:t>Ūkio ministerijos atsakymai</w:t>
            </w:r>
          </w:p>
        </w:tc>
      </w:tr>
      <w:tr w:rsidR="00F9548E" w:rsidTr="00580962">
        <w:tc>
          <w:tcPr>
            <w:tcW w:w="2547" w:type="dxa"/>
          </w:tcPr>
          <w:p w:rsidR="00F9548E" w:rsidRDefault="00F9548E" w:rsidP="00F9548E">
            <w:pPr>
              <w:tabs>
                <w:tab w:val="left" w:pos="0"/>
              </w:tabs>
              <w:jc w:val="both"/>
            </w:pPr>
            <w:r>
              <w:t xml:space="preserve">Ignas </w:t>
            </w:r>
            <w:proofErr w:type="spellStart"/>
            <w:r>
              <w:t>Viliušis</w:t>
            </w:r>
            <w:proofErr w:type="spellEnd"/>
            <w:r w:rsidR="00231F61">
              <w:t>,</w:t>
            </w:r>
          </w:p>
          <w:p w:rsidR="00F9548E" w:rsidRDefault="00231F61" w:rsidP="00F9548E">
            <w:pPr>
              <w:tabs>
                <w:tab w:val="left" w:pos="0"/>
              </w:tabs>
              <w:jc w:val="both"/>
            </w:pPr>
            <w:r>
              <w:t xml:space="preserve">UAB „RVS konsultacijos" </w:t>
            </w:r>
            <w:r w:rsidR="00F9548E">
              <w:t>Klientų aptarnavimo vadovas</w:t>
            </w:r>
          </w:p>
          <w:p w:rsidR="00F9548E" w:rsidRDefault="00F9548E" w:rsidP="00F9548E">
            <w:pPr>
              <w:tabs>
                <w:tab w:val="left" w:pos="0"/>
              </w:tabs>
              <w:jc w:val="both"/>
            </w:pPr>
          </w:p>
        </w:tc>
        <w:tc>
          <w:tcPr>
            <w:tcW w:w="2693" w:type="dxa"/>
          </w:tcPr>
          <w:p w:rsidR="00F9548E" w:rsidRDefault="00F9548E" w:rsidP="00656D5D">
            <w:pPr>
              <w:tabs>
                <w:tab w:val="left" w:pos="0"/>
              </w:tabs>
              <w:jc w:val="both"/>
            </w:pPr>
            <w:r>
              <w:t>4 projektų atrankos kriterijau vertinimo aspektai ir paaiškinimai.</w:t>
            </w:r>
          </w:p>
          <w:p w:rsidR="00F9548E" w:rsidRPr="00166413" w:rsidRDefault="00F9548E" w:rsidP="00656D5D">
            <w:pPr>
              <w:tabs>
                <w:tab w:val="left" w:pos="0"/>
              </w:tabs>
              <w:jc w:val="both"/>
            </w:pPr>
          </w:p>
        </w:tc>
        <w:tc>
          <w:tcPr>
            <w:tcW w:w="4450" w:type="dxa"/>
          </w:tcPr>
          <w:p w:rsidR="00F9548E" w:rsidRDefault="00F9548E" w:rsidP="006313A9">
            <w:pPr>
              <w:jc w:val="both"/>
            </w:pPr>
            <w:r w:rsidRPr="008B452C">
              <w:t xml:space="preserve">REGIO kvietimo sąlygos nėra teisingos smulkaus verslo atžvilgiu </w:t>
            </w:r>
            <w:proofErr w:type="spellStart"/>
            <w:r w:rsidRPr="008B452C">
              <w:t>t.y</w:t>
            </w:r>
            <w:proofErr w:type="spellEnd"/>
            <w:r w:rsidRPr="008B452C">
              <w:t xml:space="preserve">. įmonių iki 10, 50 darbuotojų atžvilgiu, nes "jaunas" verslas (įmonės iki 3 metų) arba smulkus verslas negali mokėti tokių atlyginimų vidurkių, kuriuos sau gali leisti įmonės iki 250 darbuotojų su ilgamete veiklos patirtimi ir turimais ilgalaikiais užsakymais bei įdirbiu rinkoje. Pvz., 2018 m. buvo gana sėkmingi tam tikram pramonės sektoriui, ko </w:t>
            </w:r>
            <w:proofErr w:type="spellStart"/>
            <w:r w:rsidRPr="008B452C">
              <w:t>pasekoje</w:t>
            </w:r>
            <w:proofErr w:type="spellEnd"/>
            <w:r w:rsidRPr="008B452C">
              <w:t xml:space="preserve"> buvo aukšti atlyginimai iš ankstesnio įdirbio.</w:t>
            </w:r>
          </w:p>
          <w:p w:rsidR="00F9548E" w:rsidRDefault="00F9548E" w:rsidP="006313A9">
            <w:pPr>
              <w:jc w:val="both"/>
            </w:pPr>
          </w:p>
          <w:p w:rsidR="00F9548E" w:rsidRDefault="00F9548E" w:rsidP="006313A9">
            <w:pPr>
              <w:jc w:val="both"/>
            </w:pPr>
            <w:r>
              <w:t>SIŪLYMAS:</w:t>
            </w:r>
          </w:p>
          <w:p w:rsidR="00F9548E" w:rsidRDefault="00F9548E" w:rsidP="006313A9">
            <w:pPr>
              <w:jc w:val="both"/>
            </w:pPr>
            <w:r>
              <w:t>Priėmus antrąjį vertinimo kriterijų pagal REGIO Potencialas priemonę būtų siūloma:</w:t>
            </w:r>
          </w:p>
          <w:p w:rsidR="00F9548E" w:rsidRDefault="00F9548E" w:rsidP="006313A9">
            <w:pPr>
              <w:jc w:val="both"/>
            </w:pPr>
          </w:p>
          <w:p w:rsidR="00F9548E" w:rsidRDefault="00F9548E" w:rsidP="006313A9">
            <w:pPr>
              <w:jc w:val="both"/>
            </w:pPr>
            <w:r>
              <w:t xml:space="preserve">Naudoti tokį vertinimo būdą kaip ir 4 punkte su darbo našumu </w:t>
            </w:r>
            <w:proofErr w:type="spellStart"/>
            <w:r>
              <w:t>t.y</w:t>
            </w:r>
            <w:proofErr w:type="spellEnd"/>
            <w:r>
              <w:t>.</w:t>
            </w:r>
          </w:p>
          <w:p w:rsidR="00F9548E" w:rsidRDefault="00F9548E" w:rsidP="006313A9">
            <w:pPr>
              <w:jc w:val="both"/>
            </w:pPr>
            <w:r>
              <w:t>Aukštesnis įvertinimas suteikiamas tiems pareiškėjams, kurių visų darbuotojų, dirbusių tiek visą, tiek ne visą kalendorinį mėnesį, draudžiamųjų pajamų (</w:t>
            </w:r>
            <w:proofErr w:type="spellStart"/>
            <w:r>
              <w:t>bruto</w:t>
            </w:r>
            <w:proofErr w:type="spellEnd"/>
            <w:r>
              <w:t xml:space="preserve">) vidurkis 2018 metais buvo didesnis, suteikiant balus pagal tris </w:t>
            </w:r>
            <w:r>
              <w:lastRenderedPageBreak/>
              <w:t>atskiras pareiškėjų grupes: labai mažos įmonės, mažos įmonės, vidutinės įmonės.</w:t>
            </w:r>
          </w:p>
        </w:tc>
        <w:tc>
          <w:tcPr>
            <w:tcW w:w="4622" w:type="dxa"/>
          </w:tcPr>
          <w:p w:rsidR="00F9548E" w:rsidRDefault="00F9548E" w:rsidP="00DB04D0">
            <w:pPr>
              <w:ind w:right="37"/>
              <w:jc w:val="both"/>
            </w:pPr>
            <w:r>
              <w:lastRenderedPageBreak/>
              <w:t>Atsižvelgta, 5 kriterijaus vertinimo aspektai ir paaiškinimai patikslinti.</w:t>
            </w:r>
          </w:p>
        </w:tc>
      </w:tr>
      <w:tr w:rsidR="00F9548E" w:rsidTr="00580962">
        <w:tc>
          <w:tcPr>
            <w:tcW w:w="2547" w:type="dxa"/>
          </w:tcPr>
          <w:p w:rsidR="00AE7F08" w:rsidRDefault="00AE7F08" w:rsidP="00AE7F08">
            <w:pPr>
              <w:tabs>
                <w:tab w:val="left" w:pos="0"/>
              </w:tabs>
              <w:jc w:val="both"/>
            </w:pPr>
            <w:r>
              <w:t xml:space="preserve">Rūta </w:t>
            </w:r>
            <w:proofErr w:type="spellStart"/>
            <w:r>
              <w:t>Gilaitienė</w:t>
            </w:r>
            <w:proofErr w:type="spellEnd"/>
            <w:r>
              <w:t xml:space="preserve">, </w:t>
            </w:r>
          </w:p>
          <w:p w:rsidR="00AE7F08" w:rsidRDefault="00AE7F08" w:rsidP="00AE7F08">
            <w:pPr>
              <w:tabs>
                <w:tab w:val="left" w:pos="0"/>
              </w:tabs>
              <w:jc w:val="both"/>
            </w:pPr>
            <w:r w:rsidRPr="00AE7F08">
              <w:t>Uždaroji akcinė bendrovė „Rūta“</w:t>
            </w:r>
            <w:r>
              <w:t xml:space="preserve"> </w:t>
            </w:r>
          </w:p>
          <w:p w:rsidR="00F9548E" w:rsidRDefault="00AE7F08" w:rsidP="00AE7F08">
            <w:pPr>
              <w:tabs>
                <w:tab w:val="left" w:pos="0"/>
              </w:tabs>
              <w:jc w:val="both"/>
            </w:pPr>
            <w:r>
              <w:t>Inovacijų vadovė</w:t>
            </w:r>
          </w:p>
        </w:tc>
        <w:tc>
          <w:tcPr>
            <w:tcW w:w="2693" w:type="dxa"/>
          </w:tcPr>
          <w:p w:rsidR="00F9548E" w:rsidRDefault="00F9548E" w:rsidP="00656D5D">
            <w:pPr>
              <w:tabs>
                <w:tab w:val="left" w:pos="0"/>
              </w:tabs>
              <w:jc w:val="both"/>
            </w:pPr>
            <w:r>
              <w:t>1 kriterijaus vertinimo aspektai ir paaiškinimai.</w:t>
            </w:r>
          </w:p>
          <w:p w:rsidR="00F9548E" w:rsidRDefault="00F9548E" w:rsidP="00656D5D">
            <w:pPr>
              <w:tabs>
                <w:tab w:val="left" w:pos="0"/>
              </w:tabs>
              <w:jc w:val="both"/>
            </w:pPr>
          </w:p>
          <w:p w:rsidR="00F9548E" w:rsidRPr="005C41AC" w:rsidRDefault="00F9548E" w:rsidP="00656D5D">
            <w:pPr>
              <w:tabs>
                <w:tab w:val="left" w:pos="0"/>
              </w:tabs>
              <w:jc w:val="both"/>
            </w:pPr>
            <w:r w:rsidRPr="00744B59">
              <w:t xml:space="preserve">Vertinama, ar projektas prisideda prie Programos veiksmų plano antrojo tikslo „Modernizuoti, integruoti ir plėtoti pramonę“ pirmojo uždavinio „Skatinti pramonės ir paslaugų įmonių jungimąsi į tinklus ir pramoninį bendradarbiavimą“ konkretaus veiksmo 1.1 „Sudaryti palankias sąlygas MVĮ investicijoms į </w:t>
            </w:r>
            <w:proofErr w:type="spellStart"/>
            <w:r w:rsidRPr="00744B59">
              <w:t>inovatyvios</w:t>
            </w:r>
            <w:proofErr w:type="spellEnd"/>
            <w:r w:rsidRPr="00744B59">
              <w:t xml:space="preserve"> gamybos ir (ar) </w:t>
            </w:r>
            <w:proofErr w:type="spellStart"/>
            <w:r w:rsidRPr="00744B59">
              <w:t>inovatyvių</w:t>
            </w:r>
            <w:proofErr w:type="spellEnd"/>
            <w:r w:rsidRPr="00744B59">
              <w:t xml:space="preserve"> paslaugų verslo pradžią ir plėtrą“ įgyvendinimo.</w:t>
            </w:r>
          </w:p>
        </w:tc>
        <w:tc>
          <w:tcPr>
            <w:tcW w:w="4450" w:type="dxa"/>
          </w:tcPr>
          <w:p w:rsidR="00F9548E" w:rsidRDefault="00F9548E" w:rsidP="00744B59">
            <w:pPr>
              <w:jc w:val="both"/>
            </w:pPr>
            <w:r>
              <w:t xml:space="preserve">Viename iš specialiųjų projektų atrankos kriterijų rašoma, kad projektas turi prisidėti prie „....konkretaus veiksmo 1.1 „ Sudaryti palankias sąlygas mažų, labai mažų ir vidutinių įmonių (toliau MVĮ) investicijoms į </w:t>
            </w:r>
            <w:proofErr w:type="spellStart"/>
            <w:r>
              <w:t>inovatyvios</w:t>
            </w:r>
            <w:proofErr w:type="spellEnd"/>
            <w:r>
              <w:t xml:space="preserve"> gamybos ir (ar) </w:t>
            </w:r>
            <w:proofErr w:type="spellStart"/>
            <w:r>
              <w:t>inovatyvių</w:t>
            </w:r>
            <w:proofErr w:type="spellEnd"/>
            <w:r>
              <w:t xml:space="preserve"> paslaugų verslo pradžią ir plėtrą“ įgyvendinimo“. Ir toliau minima, kad „</w:t>
            </w:r>
            <w:proofErr w:type="spellStart"/>
            <w:r>
              <w:t>Inovatyvi</w:t>
            </w:r>
            <w:proofErr w:type="spellEnd"/>
            <w:r>
              <w:t xml:space="preserve"> gamyba bus suprantama kaip naujų arba iš esmės patobulintų gaminių gamyba“.</w:t>
            </w:r>
          </w:p>
          <w:p w:rsidR="00F9548E" w:rsidRDefault="00F9548E" w:rsidP="00744B59">
            <w:pPr>
              <w:jc w:val="both"/>
            </w:pPr>
          </w:p>
          <w:p w:rsidR="00F9548E" w:rsidRDefault="00F9548E" w:rsidP="00744B59">
            <w:pPr>
              <w:jc w:val="both"/>
            </w:pPr>
            <w:r>
              <w:t xml:space="preserve">Matome prieštaravimą, tarp pagal priemonę remiamos veiklos „modernių technologijų diegimas, pritaikant esamus ir kuriant naujus gamybos </w:t>
            </w:r>
            <w:proofErr w:type="spellStart"/>
            <w:r>
              <w:t>pajėgumus</w:t>
            </w:r>
            <w:proofErr w:type="spellEnd"/>
            <w:r>
              <w:t xml:space="preserve"> naujiems ir esamiems gaminiams gaminti“ ir prie kriterijaus nurodyto </w:t>
            </w:r>
            <w:proofErr w:type="spellStart"/>
            <w:r>
              <w:t>Inovatyvios</w:t>
            </w:r>
            <w:proofErr w:type="spellEnd"/>
            <w:r>
              <w:t xml:space="preserve"> gamybos apibrėžimo.</w:t>
            </w:r>
          </w:p>
          <w:p w:rsidR="00F9548E" w:rsidRDefault="00F9548E" w:rsidP="00744B59">
            <w:pPr>
              <w:jc w:val="both"/>
            </w:pPr>
          </w:p>
          <w:p w:rsidR="00F9548E" w:rsidRDefault="00F9548E" w:rsidP="00744B59">
            <w:pPr>
              <w:jc w:val="both"/>
            </w:pPr>
            <w:r>
              <w:t xml:space="preserve">Manome, kad </w:t>
            </w:r>
            <w:proofErr w:type="spellStart"/>
            <w:r>
              <w:t>inovatyvi</w:t>
            </w:r>
            <w:proofErr w:type="spellEnd"/>
            <w:r>
              <w:t xml:space="preserve"> gamyba turėtų būti suprantama ne vien tik kaip naujų ar iš esmės patobulintų gaminių gamyba, bet ir kaip naujų technologijų diegimas naujiems ir esamiems gaminiams gaminti.</w:t>
            </w:r>
          </w:p>
        </w:tc>
        <w:tc>
          <w:tcPr>
            <w:tcW w:w="4622" w:type="dxa"/>
          </w:tcPr>
          <w:p w:rsidR="00F9548E" w:rsidRDefault="00F9548E" w:rsidP="00580962">
            <w:pPr>
              <w:jc w:val="both"/>
            </w:pPr>
            <w:r>
              <w:t xml:space="preserve">Paaiškinta. Nauji gamybos </w:t>
            </w:r>
            <w:proofErr w:type="spellStart"/>
            <w:r>
              <w:t>pajėgumai</w:t>
            </w:r>
            <w:proofErr w:type="spellEnd"/>
            <w:r>
              <w:t xml:space="preserve"> čia suprantami kaip naujos technologijos, nauja įranga ir t. t., todėl sąvokos neprieštarauja viena kitai. Taip pat atkreipiame dėmesį, kad sąvokos išsamiai paaiškintos bus priemonės projektų finansavimo sąlygų apraše.</w:t>
            </w:r>
          </w:p>
        </w:tc>
      </w:tr>
      <w:tr w:rsidR="00F9548E" w:rsidTr="007432BD">
        <w:trPr>
          <w:trHeight w:val="3140"/>
        </w:trPr>
        <w:tc>
          <w:tcPr>
            <w:tcW w:w="2547" w:type="dxa"/>
          </w:tcPr>
          <w:p w:rsidR="00F9548E" w:rsidRDefault="00C52F41" w:rsidP="00656D5D">
            <w:pPr>
              <w:autoSpaceDE w:val="0"/>
              <w:autoSpaceDN w:val="0"/>
              <w:adjustRightInd w:val="0"/>
              <w:jc w:val="both"/>
            </w:pPr>
            <w:r>
              <w:lastRenderedPageBreak/>
              <w:t xml:space="preserve">Simonas </w:t>
            </w:r>
            <w:proofErr w:type="spellStart"/>
            <w:r>
              <w:t>Žunda</w:t>
            </w:r>
            <w:proofErr w:type="spellEnd"/>
          </w:p>
        </w:tc>
        <w:tc>
          <w:tcPr>
            <w:tcW w:w="2693" w:type="dxa"/>
          </w:tcPr>
          <w:p w:rsidR="00F9548E" w:rsidRDefault="00C52F41" w:rsidP="00656D5D">
            <w:pPr>
              <w:autoSpaceDE w:val="0"/>
              <w:autoSpaceDN w:val="0"/>
              <w:adjustRightInd w:val="0"/>
              <w:jc w:val="both"/>
            </w:pPr>
            <w:r w:rsidRPr="00C52F41">
              <w:t xml:space="preserve">Priemonei skirtų Europos Sąjungos struktūrinių fondų lėšų suma, mln. </w:t>
            </w:r>
            <w:proofErr w:type="spellStart"/>
            <w:r w:rsidRPr="00C52F41">
              <w:t>Eur</w:t>
            </w:r>
            <w:proofErr w:type="spellEnd"/>
            <w:r w:rsidRPr="00C52F41">
              <w:t>:</w:t>
            </w:r>
          </w:p>
          <w:p w:rsidR="00F9548E" w:rsidRPr="005C41AC" w:rsidRDefault="00F9548E" w:rsidP="00744B59">
            <w:pPr>
              <w:autoSpaceDE w:val="0"/>
              <w:autoSpaceDN w:val="0"/>
              <w:adjustRightInd w:val="0"/>
              <w:jc w:val="both"/>
            </w:pPr>
          </w:p>
        </w:tc>
        <w:tc>
          <w:tcPr>
            <w:tcW w:w="4450" w:type="dxa"/>
          </w:tcPr>
          <w:p w:rsidR="00F9548E" w:rsidRDefault="00C52F41" w:rsidP="00656D5D">
            <w:pPr>
              <w:jc w:val="both"/>
            </w:pPr>
            <w:r w:rsidRPr="00C52F41">
              <w:t>Nepritariame priemonei skirtų lėšų planuojamam išankstiniam paskirstymui pagal apskritis. Tai mažina konkurenciją tarp projektų. Regioninė politika efektyvesnė ir tikslesnė ne apskričių, o rajonų savivaldybių lygmeniu. Vilniaus, Kauno apskrityse yra periferinių savivaldybių, kurių nedarbas didelis, o vidutinis DU mažas, todėl tikslinga, kad Lietuvos regionų projektai varžytųsi pagal aiškius kriterijus lygiomis teisėmis užtikrinant sąžiningą konkurenciją tarp jų.</w:t>
            </w:r>
          </w:p>
        </w:tc>
        <w:tc>
          <w:tcPr>
            <w:tcW w:w="4622" w:type="dxa"/>
          </w:tcPr>
          <w:p w:rsidR="000E3C88" w:rsidRDefault="00460814" w:rsidP="006C1448">
            <w:pPr>
              <w:jc w:val="both"/>
            </w:pPr>
            <w:r>
              <w:t>Neatsižvelgta. Tai pilotinė priemonė, kuriai skirta nedidel</w:t>
            </w:r>
            <w:r w:rsidR="006A0A9A">
              <w:t>ė</w:t>
            </w:r>
            <w:r w:rsidR="00F313C8">
              <w:t xml:space="preserve"> lėšų suma. </w:t>
            </w:r>
            <w:r w:rsidR="00793AFE">
              <w:t>Lėšos yra paskirstomos apsk</w:t>
            </w:r>
            <w:r w:rsidR="0014787C">
              <w:t xml:space="preserve">ritims, o ne savivaldybėms, nes paskirsčius nedidelę </w:t>
            </w:r>
            <w:r w:rsidR="00744F0C">
              <w:t>priemonei</w:t>
            </w:r>
            <w:r w:rsidR="0014787C">
              <w:t xml:space="preserve"> skirtą sumą saviva</w:t>
            </w:r>
            <w:r w:rsidR="00744F0C">
              <w:t xml:space="preserve">ldybėms, būtų gauta daug mažos apimties projektų, </w:t>
            </w:r>
            <w:r w:rsidR="000E3C88">
              <w:t xml:space="preserve">ženkliai išaugtų administraciniai kaštai. </w:t>
            </w:r>
            <w:r w:rsidR="006C1448">
              <w:t xml:space="preserve">O įgyvendinus mažos apimties </w:t>
            </w:r>
            <w:proofErr w:type="spellStart"/>
            <w:r w:rsidR="006C1448">
              <w:t>projekus</w:t>
            </w:r>
            <w:proofErr w:type="spellEnd"/>
            <w:r w:rsidR="006C1448">
              <w:t>, tikėtina, būtų pasiektas ženkliai mažesnis produktyvumo augimas, lyginant su didesnės apimties apskrities mastu, projektuose.</w:t>
            </w:r>
          </w:p>
          <w:p w:rsidR="001C18D4" w:rsidRDefault="001C18D4" w:rsidP="001C18D4">
            <w:pPr>
              <w:jc w:val="both"/>
            </w:pPr>
            <w:r>
              <w:t xml:space="preserve">Mūsų siūlomas modelis didina konkurenciją tarp projektų. Regioninis konkursas sulauks daugiau dalyvių, nei konkursas savivaldybės lygmeniu, todėl </w:t>
            </w:r>
            <w:r w:rsidR="007B5811">
              <w:t>finansavimą gaus konkurencingesni, didesnę pridėtinę vertę kuriantys projektai regione. Regiono viduje darbo vietų pasiekiamumas yra pakankamas.</w:t>
            </w:r>
          </w:p>
        </w:tc>
      </w:tr>
      <w:tr w:rsidR="00F9548E" w:rsidTr="00580962">
        <w:tc>
          <w:tcPr>
            <w:tcW w:w="2547" w:type="dxa"/>
          </w:tcPr>
          <w:p w:rsidR="00F9548E" w:rsidRDefault="00F9548E" w:rsidP="00656D5D">
            <w:pPr>
              <w:autoSpaceDE w:val="0"/>
              <w:autoSpaceDN w:val="0"/>
              <w:adjustRightInd w:val="0"/>
              <w:jc w:val="both"/>
              <w:rPr>
                <w:b/>
              </w:rPr>
            </w:pPr>
          </w:p>
        </w:tc>
        <w:tc>
          <w:tcPr>
            <w:tcW w:w="2693" w:type="dxa"/>
          </w:tcPr>
          <w:p w:rsidR="00F9548E" w:rsidRPr="005C41AC" w:rsidRDefault="00EE723C" w:rsidP="00656D5D">
            <w:pPr>
              <w:autoSpaceDE w:val="0"/>
              <w:autoSpaceDN w:val="0"/>
              <w:adjustRightInd w:val="0"/>
              <w:jc w:val="both"/>
            </w:pPr>
            <w:r w:rsidRPr="00EE723C">
              <w:t>5. Pareiškėjo visų darbuotojų, draudžiamų visą ir ne visą kalendorinį mėnesį, draudžiamųjų pajamų (</w:t>
            </w:r>
            <w:proofErr w:type="spellStart"/>
            <w:r w:rsidRPr="00EE723C">
              <w:t>bruto</w:t>
            </w:r>
            <w:proofErr w:type="spellEnd"/>
            <w:r w:rsidRPr="00EE723C">
              <w:t>) vidurkis 2018 metais.</w:t>
            </w:r>
          </w:p>
        </w:tc>
        <w:tc>
          <w:tcPr>
            <w:tcW w:w="4450" w:type="dxa"/>
          </w:tcPr>
          <w:p w:rsidR="00F9548E" w:rsidRDefault="00EE723C" w:rsidP="00656D5D">
            <w:pPr>
              <w:jc w:val="both"/>
            </w:pPr>
            <w:r w:rsidRPr="00EE723C">
              <w:t>Šis kriterijus prioritetą teikia didesnį darbo užmokesčio fondą turinčiai įmonei, tačiau nebūtinai tai, kuri moka didesnį vidutinį DU darbuotojui. Taip pat prioriteto negaus naujai besikuriančios, plyno lauko investicijos, nes įmonės gali būti su dideliu augimo potencialu, tačiau 2018 metais neturėti didelio draudžiamųjų pajamų vidurkio. Siūlytume esamoms įmonėms taikyti vidutinį draudžiamųjų pajamų vidurkį, tenkantį vienam įmonės darbuotojui arba gamybos darbininkui išskyrus administraciją 2017 metais (nes metai jau pasibaigę) arba nuo įsisteigimo.</w:t>
            </w:r>
          </w:p>
        </w:tc>
        <w:tc>
          <w:tcPr>
            <w:tcW w:w="4622" w:type="dxa"/>
          </w:tcPr>
          <w:p w:rsidR="00F9548E" w:rsidRDefault="007432BD" w:rsidP="00656D5D">
            <w:pPr>
              <w:jc w:val="both"/>
            </w:pPr>
            <w:r>
              <w:t>Neatsižvelgta.</w:t>
            </w:r>
          </w:p>
          <w:p w:rsidR="007432BD" w:rsidRDefault="007432BD" w:rsidP="00A65E08">
            <w:pPr>
              <w:jc w:val="both"/>
            </w:pPr>
            <w:r>
              <w:t>Šis kriterijus buvo pasirinktas todėl, kad sudarytų lygias galimybes tiek naujoms, tiek jau veikiančioms įmonėms konkuruoti tarp</w:t>
            </w:r>
            <w:r w:rsidR="003E493D">
              <w:t>usavyje, nes pagal 4 kriterijų „Darbo našumo augimas“ kaip tik daugiausia balų gaus naujos įmonės</w:t>
            </w:r>
            <w:r w:rsidR="00224C19">
              <w:t xml:space="preserve"> arba įmonės kuriančios labai mažą pridėtinę vertę</w:t>
            </w:r>
            <w:r w:rsidR="003E493D">
              <w:t xml:space="preserve">. </w:t>
            </w:r>
            <w:r w:rsidR="00A65E08">
              <w:t>O 5 kriterijus</w:t>
            </w:r>
            <w:r w:rsidR="003E493D">
              <w:t xml:space="preserve"> </w:t>
            </w:r>
            <w:r w:rsidR="00A65E08">
              <w:t>„V</w:t>
            </w:r>
            <w:r w:rsidR="003E493D">
              <w:t>isų darbuotojų draudžiamųjų pajamų (</w:t>
            </w:r>
            <w:proofErr w:type="spellStart"/>
            <w:r w:rsidR="003E493D">
              <w:t>bruto</w:t>
            </w:r>
            <w:proofErr w:type="spellEnd"/>
            <w:r w:rsidR="003E493D">
              <w:t>) vidurkis 2018 metais</w:t>
            </w:r>
            <w:r w:rsidR="00A65E08">
              <w:t>“ kaip tik sudarys galimybę gauti daugiau balų jau veikiančioms įmonėms</w:t>
            </w:r>
            <w:r w:rsidR="00224C19">
              <w:t>, kurios kuriama pridėtine verte daugiau dalijasi su darbuotojais</w:t>
            </w:r>
            <w:r w:rsidR="00A65E08">
              <w:t>.</w:t>
            </w:r>
          </w:p>
        </w:tc>
      </w:tr>
      <w:tr w:rsidR="00F9548E" w:rsidTr="00580962">
        <w:tc>
          <w:tcPr>
            <w:tcW w:w="2547" w:type="dxa"/>
          </w:tcPr>
          <w:p w:rsidR="00F9548E" w:rsidRDefault="00F9548E" w:rsidP="00656D5D">
            <w:pPr>
              <w:autoSpaceDE w:val="0"/>
              <w:autoSpaceDN w:val="0"/>
              <w:adjustRightInd w:val="0"/>
              <w:jc w:val="both"/>
              <w:rPr>
                <w:b/>
              </w:rPr>
            </w:pPr>
          </w:p>
        </w:tc>
        <w:tc>
          <w:tcPr>
            <w:tcW w:w="2693" w:type="dxa"/>
          </w:tcPr>
          <w:p w:rsidR="00F9548E" w:rsidRPr="00CB3A4A" w:rsidRDefault="00EE723C" w:rsidP="00656D5D">
            <w:pPr>
              <w:autoSpaceDE w:val="0"/>
              <w:autoSpaceDN w:val="0"/>
              <w:adjustRightInd w:val="0"/>
              <w:jc w:val="both"/>
            </w:pPr>
            <w:r w:rsidRPr="00EE723C">
              <w:t>Projektų atrankos kriterijaus vertinimo aspektai ir paaiškinimai:</w:t>
            </w:r>
          </w:p>
        </w:tc>
        <w:tc>
          <w:tcPr>
            <w:tcW w:w="4450" w:type="dxa"/>
          </w:tcPr>
          <w:p w:rsidR="00F9548E" w:rsidRDefault="00EE723C" w:rsidP="00656D5D">
            <w:pPr>
              <w:jc w:val="both"/>
            </w:pPr>
            <w:r w:rsidRPr="00EE723C">
              <w:t xml:space="preserve">Visų darbuotojų draudžiamų pajamų vidurkis leis prioritetą gauti įmonėms, kurios turi daugiau darbuotojų, bet nesiejamas su darbo užmokesčiu vienam darbuotojui, todėl sudaro galimybę prioritetą gauti įmonėms, mokančioms nedideles algas, </w:t>
            </w:r>
            <w:proofErr w:type="spellStart"/>
            <w:r w:rsidRPr="00EE723C">
              <w:t>t.y</w:t>
            </w:r>
            <w:proofErr w:type="spellEnd"/>
            <w:r w:rsidRPr="00EE723C">
              <w:t>. kuriančioms nedidelę pridėtinę vertę.</w:t>
            </w:r>
          </w:p>
        </w:tc>
        <w:tc>
          <w:tcPr>
            <w:tcW w:w="4622" w:type="dxa"/>
          </w:tcPr>
          <w:p w:rsidR="00F9548E" w:rsidRPr="00113B38" w:rsidRDefault="0036601F" w:rsidP="00656D5D">
            <w:pPr>
              <w:jc w:val="both"/>
            </w:pPr>
            <w:r>
              <w:t>Neatsižvelgta. Visų darbuotojų pajamų vidurkis neparodo darbuotojų didelio skaičiaus. Įmonėje gali dirbti mažai darbuotojų, kuriems mokamas didelis darbo užmokestis, ir tuo pačiu kuriama didelė pridėtinė vertė.</w:t>
            </w:r>
          </w:p>
        </w:tc>
      </w:tr>
      <w:tr w:rsidR="00F9548E" w:rsidTr="00580962">
        <w:tc>
          <w:tcPr>
            <w:tcW w:w="2547" w:type="dxa"/>
          </w:tcPr>
          <w:p w:rsidR="00F9548E" w:rsidRDefault="00F9548E" w:rsidP="00656D5D">
            <w:pPr>
              <w:autoSpaceDE w:val="0"/>
              <w:autoSpaceDN w:val="0"/>
              <w:adjustRightInd w:val="0"/>
              <w:jc w:val="both"/>
              <w:rPr>
                <w:b/>
              </w:rPr>
            </w:pPr>
          </w:p>
        </w:tc>
        <w:tc>
          <w:tcPr>
            <w:tcW w:w="2693" w:type="dxa"/>
          </w:tcPr>
          <w:p w:rsidR="00F9548E" w:rsidRPr="00C7328C" w:rsidRDefault="00F9548E" w:rsidP="00656D5D">
            <w:pPr>
              <w:autoSpaceDE w:val="0"/>
              <w:autoSpaceDN w:val="0"/>
              <w:adjustRightInd w:val="0"/>
              <w:jc w:val="both"/>
            </w:pPr>
          </w:p>
        </w:tc>
        <w:tc>
          <w:tcPr>
            <w:tcW w:w="4450" w:type="dxa"/>
          </w:tcPr>
          <w:p w:rsidR="00F9548E" w:rsidRDefault="00EE723C" w:rsidP="00656D5D">
            <w:pPr>
              <w:autoSpaceDE w:val="0"/>
              <w:autoSpaceDN w:val="0"/>
              <w:adjustRightInd w:val="0"/>
              <w:jc w:val="both"/>
            </w:pPr>
            <w:r w:rsidRPr="00EE723C">
              <w:t>Nenumatytas atrankos kriterijus dėl numatomų sukurti naujų darbo vietų skaičiaus etatais.</w:t>
            </w:r>
          </w:p>
          <w:p w:rsidR="00E8717E" w:rsidRDefault="00E8717E" w:rsidP="00656D5D">
            <w:pPr>
              <w:autoSpaceDE w:val="0"/>
              <w:autoSpaceDN w:val="0"/>
              <w:adjustRightInd w:val="0"/>
              <w:jc w:val="both"/>
            </w:pPr>
            <w:r w:rsidRPr="00E8717E">
              <w:t>Šis kriterijus leistų prioritetą teikti projektams, kuriantiems daugiau naujų darbo vietų.</w:t>
            </w:r>
          </w:p>
          <w:p w:rsidR="00E8717E" w:rsidRPr="00825877" w:rsidRDefault="00E8717E" w:rsidP="00656D5D">
            <w:pPr>
              <w:autoSpaceDE w:val="0"/>
              <w:autoSpaceDN w:val="0"/>
              <w:adjustRightInd w:val="0"/>
              <w:jc w:val="both"/>
            </w:pPr>
            <w:r w:rsidRPr="00E8717E">
              <w:t>Nesant kriterijaus gali būti kuriama mažai naujų darbo vietų.</w:t>
            </w:r>
          </w:p>
        </w:tc>
        <w:tc>
          <w:tcPr>
            <w:tcW w:w="4622" w:type="dxa"/>
          </w:tcPr>
          <w:p w:rsidR="00F9548E" w:rsidRPr="00CB3A4A" w:rsidRDefault="00584DA7" w:rsidP="00656D5D">
            <w:pPr>
              <w:autoSpaceDE w:val="0"/>
              <w:autoSpaceDN w:val="0"/>
              <w:adjustRightInd w:val="0"/>
              <w:jc w:val="both"/>
            </w:pPr>
            <w:r w:rsidRPr="00584DA7">
              <w:t xml:space="preserve">Neatsižvelgta. </w:t>
            </w:r>
            <w:r w:rsidR="0036601F">
              <w:t xml:space="preserve">Ūkio ministerija, įvertinusi priemonės „Regio </w:t>
            </w:r>
            <w:proofErr w:type="spellStart"/>
            <w:r w:rsidR="0036601F">
              <w:t>Invest</w:t>
            </w:r>
            <w:proofErr w:type="spellEnd"/>
            <w:r w:rsidR="0036601F">
              <w:t xml:space="preserve"> LT+“ pirmojo kvietimo rezultatus, pamatė, kad šis kriterijus nepasiteisino. Darbo našumo augimas ir darbuotojų skaičiaus augimas dažnu atveju yra sunkiai pasiekiami, kadangi darbo našumo augimą daugiausia lemia </w:t>
            </w:r>
            <w:proofErr w:type="spellStart"/>
            <w:r w:rsidR="0036601F">
              <w:t>inovatyvios</w:t>
            </w:r>
            <w:proofErr w:type="spellEnd"/>
            <w:r w:rsidR="0036601F">
              <w:t xml:space="preserve"> </w:t>
            </w:r>
            <w:r w:rsidR="00A51BC3">
              <w:t xml:space="preserve">efektyvios </w:t>
            </w:r>
            <w:r w:rsidR="0036601F">
              <w:t>įrangos</w:t>
            </w:r>
            <w:r w:rsidR="00A51BC3">
              <w:t xml:space="preserve"> įdiegimas, kas kaip tik gali sąlygoti darbo vietų skaičiaus mažėjimą, o ne augimą.</w:t>
            </w:r>
          </w:p>
        </w:tc>
      </w:tr>
      <w:tr w:rsidR="00F9548E" w:rsidTr="00580962">
        <w:tc>
          <w:tcPr>
            <w:tcW w:w="2547" w:type="dxa"/>
          </w:tcPr>
          <w:p w:rsidR="00F9548E" w:rsidRDefault="00F9548E" w:rsidP="00656D5D">
            <w:pPr>
              <w:autoSpaceDE w:val="0"/>
              <w:autoSpaceDN w:val="0"/>
              <w:adjustRightInd w:val="0"/>
              <w:jc w:val="both"/>
              <w:rPr>
                <w:b/>
              </w:rPr>
            </w:pPr>
          </w:p>
        </w:tc>
        <w:tc>
          <w:tcPr>
            <w:tcW w:w="2693" w:type="dxa"/>
          </w:tcPr>
          <w:p w:rsidR="00F9548E" w:rsidRDefault="00F9548E" w:rsidP="00656D5D">
            <w:pPr>
              <w:autoSpaceDE w:val="0"/>
              <w:autoSpaceDN w:val="0"/>
              <w:adjustRightInd w:val="0"/>
              <w:jc w:val="both"/>
              <w:rPr>
                <w:b/>
              </w:rPr>
            </w:pPr>
          </w:p>
        </w:tc>
        <w:tc>
          <w:tcPr>
            <w:tcW w:w="4450" w:type="dxa"/>
          </w:tcPr>
          <w:p w:rsidR="00F9548E" w:rsidRDefault="00E8717E" w:rsidP="00656D5D">
            <w:pPr>
              <w:jc w:val="both"/>
            </w:pPr>
            <w:r w:rsidRPr="00E8717E">
              <w:t>Nenumatytas atrankos kriterijus, susietas su dėl numatomu mokėti sukurtose darbo vietose darbo užmokesčiu.</w:t>
            </w:r>
          </w:p>
          <w:p w:rsidR="00E8717E" w:rsidRPr="00CB3A4A" w:rsidRDefault="00E8717E" w:rsidP="00A51BC3">
            <w:pPr>
              <w:jc w:val="both"/>
            </w:pPr>
            <w:r w:rsidRPr="00E8717E">
              <w:t>Šis kriterijus leistų prioritetą teikti projektams, kuriantiems geriau apmokamas naujas darbo vietas.</w:t>
            </w:r>
            <w:r w:rsidR="00A51BC3">
              <w:t xml:space="preserve"> </w:t>
            </w:r>
            <w:r w:rsidRPr="00E8717E">
              <w:t>Nesant kriterijaus gali būti kuriamos mažai apmokamos darbo vietos.</w:t>
            </w:r>
          </w:p>
        </w:tc>
        <w:tc>
          <w:tcPr>
            <w:tcW w:w="4622" w:type="dxa"/>
          </w:tcPr>
          <w:p w:rsidR="00F9548E" w:rsidRDefault="00584DA7" w:rsidP="00584DA7">
            <w:pPr>
              <w:jc w:val="both"/>
            </w:pPr>
            <w:r>
              <w:t xml:space="preserve">Neatsižvelgta. </w:t>
            </w:r>
            <w:r w:rsidR="00A51BC3" w:rsidRPr="00A51BC3">
              <w:t xml:space="preserve">Ūkio ministerija, įvertinusi priemonės „Regio </w:t>
            </w:r>
            <w:proofErr w:type="spellStart"/>
            <w:r w:rsidR="00A51BC3" w:rsidRPr="00A51BC3">
              <w:t>Invest</w:t>
            </w:r>
            <w:proofErr w:type="spellEnd"/>
            <w:r w:rsidR="00A51BC3" w:rsidRPr="00A51BC3">
              <w:t xml:space="preserve"> LT+“ pirmojo kvietimo rezultatus, pamatė, kad šis kriterijus nepasiteisino. Darbo našumo augimas ir </w:t>
            </w:r>
            <w:r w:rsidR="00A51BC3">
              <w:t xml:space="preserve">naujų darbo vietų steigimas </w:t>
            </w:r>
            <w:r w:rsidR="00A51BC3" w:rsidRPr="00A51BC3">
              <w:t>dažn</w:t>
            </w:r>
            <w:r w:rsidR="00A51BC3">
              <w:t>ai</w:t>
            </w:r>
            <w:r w:rsidR="00A51BC3" w:rsidRPr="00A51BC3">
              <w:t xml:space="preserve"> yra sunkiai pasiekiami, kadangi darbo našumo augimą daugiausia lemia </w:t>
            </w:r>
            <w:proofErr w:type="spellStart"/>
            <w:r w:rsidR="00A51BC3" w:rsidRPr="00A51BC3">
              <w:t>inovatyvios</w:t>
            </w:r>
            <w:proofErr w:type="spellEnd"/>
            <w:r w:rsidR="00A51BC3" w:rsidRPr="00A51BC3">
              <w:t xml:space="preserve"> efektyvios įrangos įdiegimas, kas kaip tik gali sąlygoti darbo vietų skaičiaus mažėjimą, o ne augimą.</w:t>
            </w:r>
            <w:r w:rsidR="0025179E">
              <w:t xml:space="preserve"> Tuo pačiu ir didesnio darbo užmokesčio naujai įsteigtose darbo vietose nustatymas, vertinant šios priemonės projektus, yra netikslingas.</w:t>
            </w:r>
          </w:p>
          <w:p w:rsidR="005F009E" w:rsidRDefault="005F009E" w:rsidP="001C18D4">
            <w:pPr>
              <w:jc w:val="both"/>
            </w:pPr>
            <w:r>
              <w:t xml:space="preserve">5 kriterijus prioritetą skiria sukūrusiems geriau apmokamas darbo vietas. Tikėtina, kad toks pareiškėjas ir toliau dalinsis padidinta sukurta pridėtine verte su darbuotojais, taigi jo darbo </w:t>
            </w:r>
            <w:r>
              <w:lastRenderedPageBreak/>
              <w:t>vietos ir po projekto įgyvendinimo bus geriau apmokamos</w:t>
            </w:r>
            <w:r w:rsidR="001C18D4">
              <w:t>.</w:t>
            </w:r>
          </w:p>
        </w:tc>
      </w:tr>
      <w:tr w:rsidR="00EE723C" w:rsidTr="00580962">
        <w:tc>
          <w:tcPr>
            <w:tcW w:w="2547" w:type="dxa"/>
          </w:tcPr>
          <w:p w:rsidR="00EE723C" w:rsidRDefault="00EE723C" w:rsidP="00656D5D">
            <w:pPr>
              <w:autoSpaceDE w:val="0"/>
              <w:autoSpaceDN w:val="0"/>
              <w:adjustRightInd w:val="0"/>
              <w:jc w:val="both"/>
              <w:rPr>
                <w:b/>
              </w:rPr>
            </w:pPr>
          </w:p>
        </w:tc>
        <w:tc>
          <w:tcPr>
            <w:tcW w:w="2693" w:type="dxa"/>
          </w:tcPr>
          <w:p w:rsidR="00EE723C" w:rsidRDefault="00EE723C" w:rsidP="00656D5D">
            <w:pPr>
              <w:autoSpaceDE w:val="0"/>
              <w:autoSpaceDN w:val="0"/>
              <w:adjustRightInd w:val="0"/>
              <w:jc w:val="both"/>
              <w:rPr>
                <w:b/>
              </w:rPr>
            </w:pPr>
          </w:p>
        </w:tc>
        <w:tc>
          <w:tcPr>
            <w:tcW w:w="4450" w:type="dxa"/>
          </w:tcPr>
          <w:p w:rsidR="00EE723C" w:rsidRDefault="00E8717E" w:rsidP="00656D5D">
            <w:pPr>
              <w:jc w:val="both"/>
            </w:pPr>
            <w:r w:rsidRPr="00E8717E">
              <w:t>Nenumatytas atrankos kriterijus dėl prioriteto skyrimo projektams, vykdomiems tikslinėse ir susietose su tikslinėmis, teritorijose.</w:t>
            </w:r>
          </w:p>
          <w:p w:rsidR="00E8717E" w:rsidRDefault="00E8717E" w:rsidP="00656D5D">
            <w:pPr>
              <w:jc w:val="both"/>
            </w:pPr>
            <w:r w:rsidRPr="00E8717E">
              <w:t xml:space="preserve">Tikslinė teritorija – pagal tikslinės teritorijos išskyrimo kriterijus ir (arba) principus išskirta teritorija, kurioje įgyvendinama nacionalinė regioninė politika ir planavimo dokumentuose ir (arba) nacionaliniuose Europos Sąjungos finansinės paramos programavimo dokumentuose nustatyti tikslinių teritorijų vystymo tikslai ir uždaviniai. Daugiau </w:t>
            </w:r>
            <w:proofErr w:type="spellStart"/>
            <w:r w:rsidRPr="00E8717E">
              <w:t>info</w:t>
            </w:r>
            <w:proofErr w:type="spellEnd"/>
            <w:r w:rsidRPr="00E8717E">
              <w:t xml:space="preserve"> čia: </w:t>
            </w:r>
            <w:hyperlink r:id="rId7" w:history="1">
              <w:r w:rsidRPr="00877DF4">
                <w:rPr>
                  <w:rStyle w:val="Hyperlink"/>
                </w:rPr>
                <w:t>http://www.nrp.vrm.lt/lt/tikslines-teritorijos/10</w:t>
              </w:r>
            </w:hyperlink>
          </w:p>
          <w:p w:rsidR="00E8717E" w:rsidRPr="00CB3A4A" w:rsidRDefault="00E8717E" w:rsidP="00656D5D">
            <w:pPr>
              <w:jc w:val="both"/>
            </w:pPr>
            <w:r w:rsidRPr="00E8717E">
              <w:t xml:space="preserve">Šis kriterijus būtinas tinkamai nukreipiant ES investicijas į jau identifikuotus </w:t>
            </w:r>
            <w:proofErr w:type="spellStart"/>
            <w:r w:rsidRPr="00E8717E">
              <w:t>pažeidžiamesnius</w:t>
            </w:r>
            <w:proofErr w:type="spellEnd"/>
            <w:r w:rsidRPr="00E8717E">
              <w:t xml:space="preserve"> regionus.</w:t>
            </w:r>
          </w:p>
        </w:tc>
        <w:tc>
          <w:tcPr>
            <w:tcW w:w="4622" w:type="dxa"/>
          </w:tcPr>
          <w:p w:rsidR="00807481" w:rsidRDefault="00584DA7" w:rsidP="00807481">
            <w:pPr>
              <w:jc w:val="both"/>
            </w:pPr>
            <w:r w:rsidRPr="00584DA7">
              <w:t xml:space="preserve">Neatsižvelgta. Ūkio ministerija, įvertinusi priemonės „Regio </w:t>
            </w:r>
            <w:proofErr w:type="spellStart"/>
            <w:r w:rsidRPr="00584DA7">
              <w:t>Invest</w:t>
            </w:r>
            <w:proofErr w:type="spellEnd"/>
            <w:r w:rsidRPr="00584DA7">
              <w:t xml:space="preserve"> LT+“ pirmojo kvietimo rezultatus, pamatė, kad šis kriterijus nepasiteisino.</w:t>
            </w:r>
            <w:r w:rsidR="00807481">
              <w:t xml:space="preserve"> Tikslinės teritorijos apima iš principo visas Lietuvos apskritis, į kurias yra nukreipiamos priemonės „Regio potencialas Lt“ lėšos. Todėl šio kriterijaus atsisakyta. Atkreiptinas dėmesys, kad ši priemonė yra pilotinė priemonė su sąlyginai nedidele numatyti skirti lėšų suma, be to, išskirti Vilniaus ir Kauno miestai bei rajonai, kuriuose investuoti negalima</w:t>
            </w:r>
            <w:r w:rsidR="003658BF">
              <w:t xml:space="preserve">, o visos lėšos nukreipiamos būtent į regionus. </w:t>
            </w:r>
          </w:p>
        </w:tc>
      </w:tr>
    </w:tbl>
    <w:p w:rsidR="00E506B0" w:rsidRDefault="00E506B0"/>
    <w:p w:rsidR="00E506B0" w:rsidRDefault="00E506B0"/>
    <w:sectPr w:rsidR="00E506B0" w:rsidSect="00376A77">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783" w:rsidRDefault="00190783" w:rsidP="00744F93">
      <w:pPr>
        <w:spacing w:after="0" w:line="240" w:lineRule="auto"/>
      </w:pPr>
      <w:r>
        <w:separator/>
      </w:r>
    </w:p>
  </w:endnote>
  <w:endnote w:type="continuationSeparator" w:id="0">
    <w:p w:rsidR="00190783" w:rsidRDefault="00190783" w:rsidP="0074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783" w:rsidRDefault="00190783" w:rsidP="00744F93">
      <w:pPr>
        <w:spacing w:after="0" w:line="240" w:lineRule="auto"/>
      </w:pPr>
      <w:r>
        <w:separator/>
      </w:r>
    </w:p>
  </w:footnote>
  <w:footnote w:type="continuationSeparator" w:id="0">
    <w:p w:rsidR="00190783" w:rsidRDefault="00190783" w:rsidP="00744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807879"/>
      <w:docPartObj>
        <w:docPartGallery w:val="Page Numbers (Top of Page)"/>
        <w:docPartUnique/>
      </w:docPartObj>
    </w:sdtPr>
    <w:sdtEndPr/>
    <w:sdtContent>
      <w:p w:rsidR="00376A77" w:rsidRDefault="00376A77">
        <w:pPr>
          <w:pStyle w:val="Header"/>
          <w:jc w:val="center"/>
        </w:pPr>
        <w:r>
          <w:fldChar w:fldCharType="begin"/>
        </w:r>
        <w:r>
          <w:instrText>PAGE   \* MERGEFORMAT</w:instrText>
        </w:r>
        <w:r>
          <w:fldChar w:fldCharType="separate"/>
        </w:r>
        <w:r w:rsidR="007E4D6E">
          <w:rPr>
            <w:noProof/>
          </w:rPr>
          <w:t>5</w:t>
        </w:r>
        <w:r>
          <w:fldChar w:fldCharType="end"/>
        </w:r>
      </w:p>
    </w:sdtContent>
  </w:sdt>
  <w:p w:rsidR="002C365D" w:rsidRDefault="002C365D" w:rsidP="002C36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9C8"/>
    <w:multiLevelType w:val="multilevel"/>
    <w:tmpl w:val="F77CF0AC"/>
    <w:lvl w:ilvl="0">
      <w:start w:val="1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718420F1"/>
    <w:multiLevelType w:val="multilevel"/>
    <w:tmpl w:val="D8D8559A"/>
    <w:lvl w:ilvl="0">
      <w:start w:val="28"/>
      <w:numFmt w:val="decimal"/>
      <w:lvlText w:val="%1."/>
      <w:lvlJc w:val="left"/>
      <w:pPr>
        <w:ind w:left="906"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50"/>
    <w:rsid w:val="00007BD5"/>
    <w:rsid w:val="000349BC"/>
    <w:rsid w:val="00035BE9"/>
    <w:rsid w:val="000769EF"/>
    <w:rsid w:val="00092C9A"/>
    <w:rsid w:val="000945A4"/>
    <w:rsid w:val="00094BEC"/>
    <w:rsid w:val="000B2DFB"/>
    <w:rsid w:val="000C0AE9"/>
    <w:rsid w:val="000E3C88"/>
    <w:rsid w:val="00113B38"/>
    <w:rsid w:val="0014474D"/>
    <w:rsid w:val="00145A56"/>
    <w:rsid w:val="0014787C"/>
    <w:rsid w:val="00166413"/>
    <w:rsid w:val="001748EE"/>
    <w:rsid w:val="00181092"/>
    <w:rsid w:val="00190783"/>
    <w:rsid w:val="0019242D"/>
    <w:rsid w:val="001A5AC1"/>
    <w:rsid w:val="001B5DED"/>
    <w:rsid w:val="001C09DB"/>
    <w:rsid w:val="001C18D4"/>
    <w:rsid w:val="00224C19"/>
    <w:rsid w:val="00231F61"/>
    <w:rsid w:val="0025179E"/>
    <w:rsid w:val="00267699"/>
    <w:rsid w:val="00272276"/>
    <w:rsid w:val="002B086B"/>
    <w:rsid w:val="002C365D"/>
    <w:rsid w:val="002C6B57"/>
    <w:rsid w:val="002F7BA1"/>
    <w:rsid w:val="003057E0"/>
    <w:rsid w:val="00321565"/>
    <w:rsid w:val="003330C8"/>
    <w:rsid w:val="00336D14"/>
    <w:rsid w:val="003402F5"/>
    <w:rsid w:val="00340664"/>
    <w:rsid w:val="00353DF5"/>
    <w:rsid w:val="003658BF"/>
    <w:rsid w:val="0036601F"/>
    <w:rsid w:val="00376A77"/>
    <w:rsid w:val="003841DB"/>
    <w:rsid w:val="003A061C"/>
    <w:rsid w:val="003B1BE1"/>
    <w:rsid w:val="003B5750"/>
    <w:rsid w:val="003B6AEF"/>
    <w:rsid w:val="003E493D"/>
    <w:rsid w:val="00433109"/>
    <w:rsid w:val="004531D9"/>
    <w:rsid w:val="00460814"/>
    <w:rsid w:val="00487E13"/>
    <w:rsid w:val="004D55CC"/>
    <w:rsid w:val="005059D1"/>
    <w:rsid w:val="00514EAE"/>
    <w:rsid w:val="005230E5"/>
    <w:rsid w:val="005571FB"/>
    <w:rsid w:val="00566521"/>
    <w:rsid w:val="00576482"/>
    <w:rsid w:val="00580962"/>
    <w:rsid w:val="00584DA7"/>
    <w:rsid w:val="005B33F2"/>
    <w:rsid w:val="005C41AC"/>
    <w:rsid w:val="005E5C87"/>
    <w:rsid w:val="005E7285"/>
    <w:rsid w:val="005F009E"/>
    <w:rsid w:val="0062227C"/>
    <w:rsid w:val="006313A9"/>
    <w:rsid w:val="00634B3C"/>
    <w:rsid w:val="00635BB3"/>
    <w:rsid w:val="0063746C"/>
    <w:rsid w:val="0067613F"/>
    <w:rsid w:val="00676C07"/>
    <w:rsid w:val="00683E12"/>
    <w:rsid w:val="00695AD5"/>
    <w:rsid w:val="006A0A9A"/>
    <w:rsid w:val="006A2336"/>
    <w:rsid w:val="006C05C5"/>
    <w:rsid w:val="006C1448"/>
    <w:rsid w:val="006E64F8"/>
    <w:rsid w:val="00715D40"/>
    <w:rsid w:val="00721363"/>
    <w:rsid w:val="007221A4"/>
    <w:rsid w:val="007256B2"/>
    <w:rsid w:val="007353E4"/>
    <w:rsid w:val="00741E3E"/>
    <w:rsid w:val="007432BD"/>
    <w:rsid w:val="00744B59"/>
    <w:rsid w:val="00744F0C"/>
    <w:rsid w:val="00744F93"/>
    <w:rsid w:val="00793AFE"/>
    <w:rsid w:val="007A6B50"/>
    <w:rsid w:val="007B5811"/>
    <w:rsid w:val="007C3264"/>
    <w:rsid w:val="007C6374"/>
    <w:rsid w:val="007E4656"/>
    <w:rsid w:val="007E4D6E"/>
    <w:rsid w:val="00801F2E"/>
    <w:rsid w:val="00807481"/>
    <w:rsid w:val="00813B96"/>
    <w:rsid w:val="00825877"/>
    <w:rsid w:val="00832DCA"/>
    <w:rsid w:val="00835C82"/>
    <w:rsid w:val="00841C73"/>
    <w:rsid w:val="0086514A"/>
    <w:rsid w:val="00871F87"/>
    <w:rsid w:val="00891A28"/>
    <w:rsid w:val="008B1D4F"/>
    <w:rsid w:val="008B452C"/>
    <w:rsid w:val="008E6E66"/>
    <w:rsid w:val="00902462"/>
    <w:rsid w:val="0090790A"/>
    <w:rsid w:val="00912D07"/>
    <w:rsid w:val="009574E9"/>
    <w:rsid w:val="00965B63"/>
    <w:rsid w:val="009B40A6"/>
    <w:rsid w:val="009C42EC"/>
    <w:rsid w:val="009F5C73"/>
    <w:rsid w:val="00A26688"/>
    <w:rsid w:val="00A31D44"/>
    <w:rsid w:val="00A34C59"/>
    <w:rsid w:val="00A51BC3"/>
    <w:rsid w:val="00A5595A"/>
    <w:rsid w:val="00A65E08"/>
    <w:rsid w:val="00A66A7E"/>
    <w:rsid w:val="00A93054"/>
    <w:rsid w:val="00A93761"/>
    <w:rsid w:val="00AB04D9"/>
    <w:rsid w:val="00AD7781"/>
    <w:rsid w:val="00AE7F08"/>
    <w:rsid w:val="00B10A92"/>
    <w:rsid w:val="00B2344F"/>
    <w:rsid w:val="00B27702"/>
    <w:rsid w:val="00B3114E"/>
    <w:rsid w:val="00B31741"/>
    <w:rsid w:val="00B46546"/>
    <w:rsid w:val="00B47516"/>
    <w:rsid w:val="00B51C37"/>
    <w:rsid w:val="00B64EA9"/>
    <w:rsid w:val="00B654E9"/>
    <w:rsid w:val="00B86AFF"/>
    <w:rsid w:val="00B90272"/>
    <w:rsid w:val="00BA2601"/>
    <w:rsid w:val="00BD5C9D"/>
    <w:rsid w:val="00BE4054"/>
    <w:rsid w:val="00C2073A"/>
    <w:rsid w:val="00C2303E"/>
    <w:rsid w:val="00C50F19"/>
    <w:rsid w:val="00C52B9E"/>
    <w:rsid w:val="00C52F41"/>
    <w:rsid w:val="00C7328C"/>
    <w:rsid w:val="00C84F7C"/>
    <w:rsid w:val="00CB3A4A"/>
    <w:rsid w:val="00CB7ECC"/>
    <w:rsid w:val="00CD74D3"/>
    <w:rsid w:val="00CE3801"/>
    <w:rsid w:val="00CF58F3"/>
    <w:rsid w:val="00CF667F"/>
    <w:rsid w:val="00D07D65"/>
    <w:rsid w:val="00D12B01"/>
    <w:rsid w:val="00D15DC9"/>
    <w:rsid w:val="00D7296D"/>
    <w:rsid w:val="00D85E32"/>
    <w:rsid w:val="00DB04D0"/>
    <w:rsid w:val="00DB7412"/>
    <w:rsid w:val="00DC10C1"/>
    <w:rsid w:val="00DC474B"/>
    <w:rsid w:val="00E14A31"/>
    <w:rsid w:val="00E313CB"/>
    <w:rsid w:val="00E3411D"/>
    <w:rsid w:val="00E506B0"/>
    <w:rsid w:val="00E55DFE"/>
    <w:rsid w:val="00E737EE"/>
    <w:rsid w:val="00E8717E"/>
    <w:rsid w:val="00EC7258"/>
    <w:rsid w:val="00ED53DF"/>
    <w:rsid w:val="00EE1C65"/>
    <w:rsid w:val="00EE723C"/>
    <w:rsid w:val="00F00E51"/>
    <w:rsid w:val="00F222A0"/>
    <w:rsid w:val="00F313C8"/>
    <w:rsid w:val="00F47095"/>
    <w:rsid w:val="00F62725"/>
    <w:rsid w:val="00F82084"/>
    <w:rsid w:val="00F9496B"/>
    <w:rsid w:val="00F9548E"/>
    <w:rsid w:val="00FA6480"/>
    <w:rsid w:val="00FD721D"/>
    <w:rsid w:val="00FE2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12BAB-7CCF-4103-9269-3C69FBE2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5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3B5750"/>
    <w:rPr>
      <w:rFonts w:cs="Times New Roman"/>
      <w:sz w:val="16"/>
    </w:rPr>
  </w:style>
  <w:style w:type="paragraph" w:styleId="CommentText">
    <w:name w:val="annotation text"/>
    <w:basedOn w:val="Normal"/>
    <w:link w:val="CommentTextChar"/>
    <w:uiPriority w:val="99"/>
    <w:rsid w:val="003B5750"/>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3B5750"/>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3B5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750"/>
    <w:rPr>
      <w:rFonts w:ascii="Segoe UI" w:hAnsi="Segoe UI" w:cs="Segoe UI"/>
      <w:sz w:val="18"/>
      <w:szCs w:val="18"/>
    </w:rPr>
  </w:style>
  <w:style w:type="paragraph" w:styleId="ListParagraph">
    <w:name w:val="List Paragraph"/>
    <w:basedOn w:val="Normal"/>
    <w:uiPriority w:val="34"/>
    <w:qFormat/>
    <w:rsid w:val="00721363"/>
    <w:pPr>
      <w:spacing w:after="0" w:line="240" w:lineRule="auto"/>
      <w:ind w:left="720" w:firstLine="851"/>
      <w:contextualSpacing/>
      <w:jc w:val="both"/>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84F7C"/>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84F7C"/>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unhideWhenUsed/>
    <w:rsid w:val="008B1D4F"/>
    <w:rPr>
      <w:color w:val="0000FF" w:themeColor="hyperlink"/>
      <w:u w:val="single"/>
    </w:rPr>
  </w:style>
  <w:style w:type="paragraph" w:styleId="Header">
    <w:name w:val="header"/>
    <w:basedOn w:val="Normal"/>
    <w:link w:val="HeaderChar"/>
    <w:uiPriority w:val="99"/>
    <w:unhideWhenUsed/>
    <w:rsid w:val="00744F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4F93"/>
  </w:style>
  <w:style w:type="paragraph" w:styleId="Footer">
    <w:name w:val="footer"/>
    <w:basedOn w:val="Normal"/>
    <w:link w:val="FooterChar"/>
    <w:uiPriority w:val="99"/>
    <w:unhideWhenUsed/>
    <w:rsid w:val="00744F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4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76567">
      <w:bodyDiv w:val="1"/>
      <w:marLeft w:val="0"/>
      <w:marRight w:val="0"/>
      <w:marTop w:val="0"/>
      <w:marBottom w:val="0"/>
      <w:divBdr>
        <w:top w:val="none" w:sz="0" w:space="0" w:color="auto"/>
        <w:left w:val="none" w:sz="0" w:space="0" w:color="auto"/>
        <w:bottom w:val="none" w:sz="0" w:space="0" w:color="auto"/>
        <w:right w:val="none" w:sz="0" w:space="0" w:color="auto"/>
      </w:divBdr>
    </w:div>
    <w:div w:id="985816500">
      <w:bodyDiv w:val="1"/>
      <w:marLeft w:val="0"/>
      <w:marRight w:val="0"/>
      <w:marTop w:val="0"/>
      <w:marBottom w:val="0"/>
      <w:divBdr>
        <w:top w:val="none" w:sz="0" w:space="0" w:color="auto"/>
        <w:left w:val="none" w:sz="0" w:space="0" w:color="auto"/>
        <w:bottom w:val="none" w:sz="0" w:space="0" w:color="auto"/>
        <w:right w:val="none" w:sz="0" w:space="0" w:color="auto"/>
      </w:divBdr>
    </w:div>
    <w:div w:id="1073893603">
      <w:bodyDiv w:val="1"/>
      <w:marLeft w:val="0"/>
      <w:marRight w:val="0"/>
      <w:marTop w:val="0"/>
      <w:marBottom w:val="0"/>
      <w:divBdr>
        <w:top w:val="none" w:sz="0" w:space="0" w:color="auto"/>
        <w:left w:val="none" w:sz="0" w:space="0" w:color="auto"/>
        <w:bottom w:val="none" w:sz="0" w:space="0" w:color="auto"/>
        <w:right w:val="none" w:sz="0" w:space="0" w:color="auto"/>
      </w:divBdr>
    </w:div>
    <w:div w:id="1334340416">
      <w:bodyDiv w:val="1"/>
      <w:marLeft w:val="0"/>
      <w:marRight w:val="0"/>
      <w:marTop w:val="0"/>
      <w:marBottom w:val="0"/>
      <w:divBdr>
        <w:top w:val="none" w:sz="0" w:space="0" w:color="auto"/>
        <w:left w:val="none" w:sz="0" w:space="0" w:color="auto"/>
        <w:bottom w:val="none" w:sz="0" w:space="0" w:color="auto"/>
        <w:right w:val="none" w:sz="0" w:space="0" w:color="auto"/>
      </w:divBdr>
    </w:div>
    <w:div w:id="15279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rp.vrm.lt/lt/tikslines-teritorijos/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5880</Words>
  <Characters>3352</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Vezeviciene Inga</cp:lastModifiedBy>
  <cp:revision>2</cp:revision>
  <cp:lastPrinted>2018-03-30T04:32:00Z</cp:lastPrinted>
  <dcterms:created xsi:type="dcterms:W3CDTF">2018-09-14T08:50:00Z</dcterms:created>
  <dcterms:modified xsi:type="dcterms:W3CDTF">2018-09-14T08:50:00Z</dcterms:modified>
</cp:coreProperties>
</file>