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2093" w14:textId="77777777" w:rsidR="00E326D7" w:rsidRDefault="00E326D7" w:rsidP="00E82F1C">
      <w:pPr>
        <w:pStyle w:val="Bodytext20"/>
        <w:shd w:val="clear" w:color="auto" w:fill="auto"/>
        <w:spacing w:line="240" w:lineRule="auto"/>
        <w:rPr>
          <w:sz w:val="28"/>
          <w:szCs w:val="28"/>
          <w:lang w:val="en-GB"/>
        </w:rPr>
      </w:pPr>
    </w:p>
    <w:p w14:paraId="637AF9E6" w14:textId="3F640914" w:rsidR="00E82F1C" w:rsidRPr="00107B00" w:rsidRDefault="00F53B14" w:rsidP="00E82F1C">
      <w:pPr>
        <w:pStyle w:val="Bodytext20"/>
        <w:shd w:val="clear" w:color="auto" w:fill="auto"/>
        <w:spacing w:line="240" w:lineRule="auto"/>
        <w:rPr>
          <w:sz w:val="28"/>
          <w:szCs w:val="28"/>
          <w:lang w:val="en-GB"/>
        </w:rPr>
      </w:pPr>
      <w:r w:rsidRPr="00107B00">
        <w:rPr>
          <w:sz w:val="28"/>
          <w:szCs w:val="28"/>
          <w:lang w:val="en-GB"/>
        </w:rPr>
        <w:t>SUMMARY OF</w:t>
      </w:r>
    </w:p>
    <w:p w14:paraId="5ACA6606" w14:textId="53C263C9" w:rsidR="008F55E4" w:rsidRPr="00107B00" w:rsidRDefault="00F53B14" w:rsidP="00D80D8E">
      <w:pPr>
        <w:pStyle w:val="Bodytext20"/>
        <w:shd w:val="clear" w:color="auto" w:fill="auto"/>
        <w:spacing w:line="240" w:lineRule="auto"/>
        <w:rPr>
          <w:sz w:val="28"/>
          <w:szCs w:val="28"/>
          <w:lang w:val="en-GB"/>
        </w:rPr>
      </w:pPr>
      <w:r w:rsidRPr="00107B00">
        <w:rPr>
          <w:sz w:val="28"/>
          <w:szCs w:val="28"/>
          <w:lang w:val="en-GB"/>
        </w:rPr>
        <w:t xml:space="preserve"> THE FINAL</w:t>
      </w:r>
      <w:r w:rsidR="00C314D4" w:rsidRPr="00107B00">
        <w:rPr>
          <w:lang w:val="en-GB"/>
        </w:rPr>
        <w:t xml:space="preserve"> </w:t>
      </w:r>
      <w:r w:rsidR="00C314D4" w:rsidRPr="00107B00">
        <w:rPr>
          <w:sz w:val="28"/>
          <w:szCs w:val="28"/>
          <w:lang w:val="en-GB"/>
        </w:rPr>
        <w:t xml:space="preserve">IMPLEMENTATION </w:t>
      </w:r>
      <w:r w:rsidRPr="00107B00">
        <w:rPr>
          <w:sz w:val="28"/>
          <w:szCs w:val="28"/>
          <w:lang w:val="en-GB"/>
        </w:rPr>
        <w:t xml:space="preserve">REPORT </w:t>
      </w:r>
      <w:r w:rsidR="00D76F35" w:rsidRPr="00107B00">
        <w:rPr>
          <w:sz w:val="28"/>
          <w:szCs w:val="28"/>
          <w:lang w:val="en-GB"/>
        </w:rPr>
        <w:t>FOR</w:t>
      </w:r>
      <w:r w:rsidR="00C314D4" w:rsidRPr="00107B00">
        <w:rPr>
          <w:sz w:val="28"/>
          <w:szCs w:val="28"/>
          <w:lang w:val="en-GB"/>
        </w:rPr>
        <w:t xml:space="preserve"> </w:t>
      </w:r>
      <w:r w:rsidRPr="00107B00">
        <w:rPr>
          <w:sz w:val="28"/>
          <w:szCs w:val="28"/>
          <w:lang w:val="en-GB"/>
        </w:rPr>
        <w:t xml:space="preserve">THE </w:t>
      </w:r>
      <w:r w:rsidR="00C314D4" w:rsidRPr="00107B00">
        <w:rPr>
          <w:sz w:val="28"/>
          <w:szCs w:val="28"/>
          <w:lang w:val="en-GB"/>
        </w:rPr>
        <w:t>OPERATIONAL</w:t>
      </w:r>
      <w:r w:rsidRPr="00107B00">
        <w:rPr>
          <w:sz w:val="28"/>
          <w:szCs w:val="28"/>
          <w:lang w:val="en-GB"/>
        </w:rPr>
        <w:t xml:space="preserve"> PROGRAMME FOR THE EUROPEAN UNION FUNDS INVESTMENT</w:t>
      </w:r>
      <w:r w:rsidR="00C314D4" w:rsidRPr="00107B00">
        <w:rPr>
          <w:sz w:val="28"/>
          <w:szCs w:val="28"/>
          <w:lang w:val="en-GB"/>
        </w:rPr>
        <w:t>S</w:t>
      </w:r>
      <w:r w:rsidRPr="00107B00">
        <w:rPr>
          <w:sz w:val="28"/>
          <w:szCs w:val="28"/>
          <w:lang w:val="en-GB"/>
        </w:rPr>
        <w:t xml:space="preserve"> </w:t>
      </w:r>
      <w:r w:rsidR="00C314D4" w:rsidRPr="00107B00">
        <w:rPr>
          <w:sz w:val="28"/>
          <w:szCs w:val="28"/>
          <w:lang w:val="en-GB"/>
        </w:rPr>
        <w:t xml:space="preserve">FOR </w:t>
      </w:r>
      <w:r w:rsidRPr="00107B00">
        <w:rPr>
          <w:sz w:val="28"/>
          <w:szCs w:val="28"/>
          <w:lang w:val="en-GB"/>
        </w:rPr>
        <w:t>2014-2020</w:t>
      </w:r>
    </w:p>
    <w:p w14:paraId="21B8E912" w14:textId="77777777" w:rsidR="008F55E4" w:rsidRPr="00763C4D" w:rsidRDefault="008F55E4" w:rsidP="00D80D8E">
      <w:pPr>
        <w:pStyle w:val="Pagrindinistekstas1"/>
        <w:shd w:val="clear" w:color="auto" w:fill="auto"/>
        <w:spacing w:before="0" w:after="0" w:line="240" w:lineRule="auto"/>
        <w:ind w:left="20" w:right="20" w:firstLine="284"/>
        <w:rPr>
          <w:rFonts w:asciiTheme="minorHAnsi" w:hAnsiTheme="minorHAnsi" w:cstheme="minorHAnsi"/>
          <w:lang w:val="en-GB"/>
        </w:rPr>
      </w:pPr>
    </w:p>
    <w:p w14:paraId="4DD218CD" w14:textId="038C3287" w:rsidR="008F55E4" w:rsidRPr="00763C4D" w:rsidRDefault="00F53B14" w:rsidP="00D80D8E">
      <w:pPr>
        <w:pStyle w:val="Pagrindinistekstas1"/>
        <w:shd w:val="clear" w:color="auto" w:fill="auto"/>
        <w:spacing w:before="0" w:after="0" w:line="240" w:lineRule="auto"/>
        <w:ind w:firstLine="851"/>
        <w:rPr>
          <w:lang w:val="en-GB"/>
        </w:rPr>
      </w:pPr>
      <w:r w:rsidRPr="00763C4D">
        <w:rPr>
          <w:lang w:val="en-GB"/>
        </w:rPr>
        <w:t xml:space="preserve">After the implementation of the </w:t>
      </w:r>
      <w:r w:rsidR="00964B2A" w:rsidRPr="00763C4D">
        <w:rPr>
          <w:lang w:val="en-GB"/>
        </w:rPr>
        <w:t xml:space="preserve">operational programmes for the </w:t>
      </w:r>
      <w:r w:rsidRPr="00763C4D">
        <w:rPr>
          <w:lang w:val="en-GB"/>
        </w:rPr>
        <w:t>European Union (</w:t>
      </w:r>
      <w:r w:rsidR="00F655BE" w:rsidRPr="00763C4D">
        <w:rPr>
          <w:lang w:val="en-GB"/>
        </w:rPr>
        <w:t xml:space="preserve">hereinafter – the </w:t>
      </w:r>
      <w:r w:rsidRPr="00763C4D">
        <w:rPr>
          <w:lang w:val="en-GB"/>
        </w:rPr>
        <w:t>EU) investment, the EU Member States must submit to the European Commission (</w:t>
      </w:r>
      <w:r w:rsidR="00F655BE" w:rsidRPr="00763C4D">
        <w:rPr>
          <w:lang w:val="en-GB"/>
        </w:rPr>
        <w:t xml:space="preserve">hereinafter – the </w:t>
      </w:r>
      <w:r w:rsidRPr="00763C4D">
        <w:rPr>
          <w:lang w:val="en-GB"/>
        </w:rPr>
        <w:t xml:space="preserve">EC) final reports on the implementation of the </w:t>
      </w:r>
      <w:r w:rsidR="006F1410" w:rsidRPr="00763C4D">
        <w:rPr>
          <w:lang w:val="en-GB"/>
        </w:rPr>
        <w:t xml:space="preserve">operational </w:t>
      </w:r>
      <w:r w:rsidRPr="00763C4D">
        <w:rPr>
          <w:lang w:val="en-GB"/>
        </w:rPr>
        <w:t xml:space="preserve">programmes. The reports shall review the implementation of the operational programmes </w:t>
      </w:r>
      <w:proofErr w:type="gramStart"/>
      <w:r w:rsidRPr="00763C4D">
        <w:rPr>
          <w:lang w:val="en-GB"/>
        </w:rPr>
        <w:t>taking into account</w:t>
      </w:r>
      <w:proofErr w:type="gramEnd"/>
      <w:r w:rsidRPr="00763C4D">
        <w:rPr>
          <w:lang w:val="en-GB"/>
        </w:rPr>
        <w:t xml:space="preserve"> the main achievements of financial and </w:t>
      </w:r>
      <w:r w:rsidR="00FF1CB8" w:rsidRPr="00763C4D">
        <w:rPr>
          <w:lang w:val="en-GB"/>
        </w:rPr>
        <w:t>common and program-specific monitoring</w:t>
      </w:r>
      <w:r w:rsidRPr="00763C4D">
        <w:rPr>
          <w:lang w:val="en-GB"/>
        </w:rPr>
        <w:t xml:space="preserve"> indicators, changes in the circumstances of implementation, and analyse the benefits of the achieved results for public needs and the development of the national economy.</w:t>
      </w:r>
    </w:p>
    <w:p w14:paraId="107942E6" w14:textId="22FB2FBE" w:rsidR="003246CE" w:rsidRPr="00763C4D" w:rsidRDefault="00F53B14" w:rsidP="00D80D8E">
      <w:pPr>
        <w:pStyle w:val="Pagrindinistekstas1"/>
        <w:shd w:val="clear" w:color="auto" w:fill="auto"/>
        <w:spacing w:before="0" w:after="0" w:line="240" w:lineRule="auto"/>
        <w:ind w:firstLine="851"/>
        <w:rPr>
          <w:rStyle w:val="BodytextBold"/>
          <w:color w:val="auto"/>
          <w:lang w:val="en-GB"/>
        </w:rPr>
      </w:pPr>
      <w:r w:rsidRPr="00763C4D">
        <w:rPr>
          <w:b/>
          <w:bCs/>
          <w:lang w:val="en-GB"/>
        </w:rPr>
        <w:t xml:space="preserve">The final report </w:t>
      </w:r>
      <w:r w:rsidR="00254C0F" w:rsidRPr="00763C4D">
        <w:rPr>
          <w:lang w:val="en-GB"/>
        </w:rPr>
        <w:t>for</w:t>
      </w:r>
      <w:r w:rsidRPr="00763C4D">
        <w:rPr>
          <w:lang w:val="en-GB"/>
        </w:rPr>
        <w:t xml:space="preserve"> the</w:t>
      </w:r>
      <w:r w:rsidRPr="00763C4D">
        <w:rPr>
          <w:b/>
          <w:bCs/>
          <w:lang w:val="en-GB"/>
        </w:rPr>
        <w:t xml:space="preserve"> </w:t>
      </w:r>
      <w:r w:rsidRPr="00763C4D">
        <w:rPr>
          <w:lang w:val="en-GB"/>
        </w:rPr>
        <w:t xml:space="preserve">2014-2020 Operational Programme for </w:t>
      </w:r>
      <w:r w:rsidR="00937C3C" w:rsidRPr="00763C4D">
        <w:rPr>
          <w:lang w:val="en-GB"/>
        </w:rPr>
        <w:t xml:space="preserve">the </w:t>
      </w:r>
      <w:r w:rsidRPr="00763C4D">
        <w:rPr>
          <w:lang w:val="en-GB"/>
        </w:rPr>
        <w:t xml:space="preserve">EU </w:t>
      </w:r>
      <w:proofErr w:type="spellStart"/>
      <w:r w:rsidR="007E0298" w:rsidRPr="00763C4D">
        <w:rPr>
          <w:lang w:val="en-GB"/>
        </w:rPr>
        <w:t>F</w:t>
      </w:r>
      <w:r w:rsidRPr="00763C4D">
        <w:rPr>
          <w:lang w:val="en-GB"/>
        </w:rPr>
        <w:t>unds</w:t>
      </w:r>
      <w:proofErr w:type="spellEnd"/>
      <w:r w:rsidR="007E0298" w:rsidRPr="00763C4D">
        <w:rPr>
          <w:lang w:val="en-GB"/>
        </w:rPr>
        <w:t xml:space="preserve"> Investments</w:t>
      </w:r>
      <w:r w:rsidRPr="00763C4D">
        <w:rPr>
          <w:lang w:val="en-GB"/>
        </w:rPr>
        <w:t xml:space="preserve"> (hereinafter referred to as the Operational Programme)</w:t>
      </w:r>
      <w:r w:rsidR="00F63EDF" w:rsidRPr="00763C4D">
        <w:rPr>
          <w:lang w:val="en-GB"/>
        </w:rPr>
        <w:t xml:space="preserve"> submitted by Lithuania to the Commission</w:t>
      </w:r>
      <w:r w:rsidRPr="00763C4D">
        <w:rPr>
          <w:b/>
          <w:bCs/>
          <w:lang w:val="en-GB"/>
        </w:rPr>
        <w:t xml:space="preserve"> covers the entire 2014-2020 financing period.</w:t>
      </w:r>
    </w:p>
    <w:p w14:paraId="6D0588CE" w14:textId="77777777" w:rsidR="00ED2AA3" w:rsidRPr="00763C4D" w:rsidRDefault="00ED2AA3" w:rsidP="00D80D8E">
      <w:pPr>
        <w:pStyle w:val="Pagrindinistekstas1"/>
        <w:shd w:val="clear" w:color="auto" w:fill="auto"/>
        <w:spacing w:before="0" w:after="0" w:line="240" w:lineRule="auto"/>
        <w:rPr>
          <w:b/>
          <w:lang w:val="en-GB"/>
        </w:rPr>
      </w:pPr>
    </w:p>
    <w:p w14:paraId="170837FD" w14:textId="68CB301F" w:rsidR="008F55E4" w:rsidRPr="00763C4D" w:rsidRDefault="00A61EF2" w:rsidP="00D80D8E">
      <w:pPr>
        <w:pStyle w:val="Pagrindinistekstas1"/>
        <w:shd w:val="clear" w:color="auto" w:fill="auto"/>
        <w:spacing w:before="0" w:after="0" w:line="240" w:lineRule="auto"/>
        <w:jc w:val="center"/>
        <w:rPr>
          <w:b/>
          <w:lang w:val="en-GB"/>
        </w:rPr>
      </w:pPr>
      <w:r w:rsidRPr="00763C4D">
        <w:rPr>
          <w:b/>
          <w:lang w:val="en-GB"/>
        </w:rPr>
        <w:t xml:space="preserve">PROGRESS </w:t>
      </w:r>
      <w:r w:rsidR="00983B0A" w:rsidRPr="00763C4D">
        <w:rPr>
          <w:b/>
          <w:lang w:val="en-GB"/>
        </w:rPr>
        <w:t xml:space="preserve">ACHIEVED </w:t>
      </w:r>
      <w:r w:rsidRPr="00763C4D">
        <w:rPr>
          <w:b/>
          <w:lang w:val="en-GB"/>
        </w:rPr>
        <w:t>IN IMPLEMENTING THE OPERATIONAL PROGRAMME</w:t>
      </w:r>
      <w:r w:rsidR="007E0298" w:rsidRPr="00763C4D">
        <w:rPr>
          <w:b/>
          <w:lang w:val="en-GB"/>
        </w:rPr>
        <w:t xml:space="preserve"> BY SECTOR</w:t>
      </w:r>
    </w:p>
    <w:p w14:paraId="25D88025" w14:textId="77777777" w:rsidR="00ED2AA3" w:rsidRPr="00763C4D" w:rsidRDefault="00ED2AA3" w:rsidP="00D80D8E">
      <w:pPr>
        <w:pStyle w:val="Pagrindinistekstas1"/>
        <w:shd w:val="clear" w:color="auto" w:fill="auto"/>
        <w:spacing w:before="0" w:after="0" w:line="240" w:lineRule="auto"/>
        <w:ind w:firstLine="851"/>
        <w:rPr>
          <w:b/>
          <w:lang w:val="en-GB"/>
        </w:rPr>
      </w:pPr>
    </w:p>
    <w:p w14:paraId="646497EE" w14:textId="3833FA51" w:rsidR="00ED2AA3" w:rsidRPr="00763C4D" w:rsidRDefault="007E0298" w:rsidP="00D80D8E">
      <w:pPr>
        <w:pStyle w:val="paragraph"/>
        <w:spacing w:before="0" w:beforeAutospacing="0" w:after="0" w:afterAutospacing="0"/>
        <w:ind w:firstLine="851"/>
        <w:jc w:val="both"/>
        <w:textAlignment w:val="baseline"/>
        <w:rPr>
          <w:rFonts w:ascii="Segoe UI" w:hAnsi="Segoe UI" w:cs="Segoe UI"/>
          <w:sz w:val="22"/>
          <w:szCs w:val="22"/>
          <w:lang w:val="en-GB"/>
        </w:rPr>
      </w:pPr>
      <w:r w:rsidRPr="00763C4D">
        <w:rPr>
          <w:rStyle w:val="eop"/>
          <w:rFonts w:eastAsiaTheme="majorEastAsia"/>
          <w:sz w:val="22"/>
          <w:szCs w:val="22"/>
          <w:lang w:val="en-GB"/>
        </w:rPr>
        <w:t>EUR 1</w:t>
      </w:r>
      <w:r w:rsidR="007C4EAD" w:rsidRPr="00763C4D">
        <w:rPr>
          <w:rStyle w:val="eop"/>
          <w:rFonts w:eastAsiaTheme="majorEastAsia"/>
          <w:sz w:val="22"/>
          <w:szCs w:val="22"/>
          <w:lang w:val="en-GB"/>
        </w:rPr>
        <w:t>,</w:t>
      </w:r>
      <w:r w:rsidRPr="00763C4D">
        <w:rPr>
          <w:rStyle w:val="eop"/>
          <w:rFonts w:eastAsiaTheme="majorEastAsia"/>
          <w:sz w:val="22"/>
          <w:szCs w:val="22"/>
          <w:lang w:val="en-GB"/>
        </w:rPr>
        <w:t xml:space="preserve">284 million </w:t>
      </w:r>
      <w:r w:rsidR="00200A77" w:rsidRPr="00763C4D">
        <w:rPr>
          <w:rStyle w:val="eop"/>
          <w:rFonts w:eastAsiaTheme="majorEastAsia"/>
          <w:sz w:val="22"/>
          <w:szCs w:val="22"/>
          <w:lang w:val="en-GB"/>
        </w:rPr>
        <w:t>was</w:t>
      </w:r>
      <w:r w:rsidRPr="00763C4D">
        <w:rPr>
          <w:rStyle w:val="eop"/>
          <w:rFonts w:eastAsiaTheme="majorEastAsia"/>
          <w:sz w:val="22"/>
          <w:szCs w:val="22"/>
          <w:lang w:val="en-GB"/>
        </w:rPr>
        <w:t xml:space="preserve"> invested in </w:t>
      </w:r>
      <w:r w:rsidRPr="00763C4D">
        <w:rPr>
          <w:rStyle w:val="eop"/>
          <w:rFonts w:eastAsiaTheme="majorEastAsia"/>
          <w:b/>
          <w:bCs/>
          <w:sz w:val="22"/>
          <w:szCs w:val="22"/>
          <w:lang w:val="en-GB"/>
        </w:rPr>
        <w:t>the development of sustainable transport and core network infrastructure</w:t>
      </w:r>
      <w:r w:rsidR="00F655BE" w:rsidRPr="00763C4D">
        <w:rPr>
          <w:rStyle w:val="eop"/>
          <w:rFonts w:eastAsiaTheme="majorEastAsia"/>
          <w:b/>
          <w:bCs/>
          <w:sz w:val="22"/>
          <w:szCs w:val="22"/>
          <w:lang w:val="en-GB"/>
        </w:rPr>
        <w:t>,</w:t>
      </w:r>
      <w:r w:rsidRPr="00763C4D">
        <w:rPr>
          <w:rStyle w:val="eop"/>
          <w:rFonts w:eastAsiaTheme="majorEastAsia"/>
          <w:sz w:val="22"/>
          <w:szCs w:val="22"/>
          <w:lang w:val="en-GB"/>
        </w:rPr>
        <w:t xml:space="preserve"> and 183 projects </w:t>
      </w:r>
      <w:r w:rsidR="00200A77" w:rsidRPr="00763C4D">
        <w:rPr>
          <w:rStyle w:val="eop"/>
          <w:rFonts w:eastAsiaTheme="majorEastAsia"/>
          <w:sz w:val="22"/>
          <w:szCs w:val="22"/>
          <w:lang w:val="en-GB"/>
        </w:rPr>
        <w:t>were</w:t>
      </w:r>
      <w:r w:rsidRPr="00763C4D">
        <w:rPr>
          <w:rStyle w:val="eop"/>
          <w:rFonts w:eastAsiaTheme="majorEastAsia"/>
          <w:sz w:val="22"/>
          <w:szCs w:val="22"/>
          <w:lang w:val="en-GB"/>
        </w:rPr>
        <w:t xml:space="preserve"> </w:t>
      </w:r>
      <w:r w:rsidR="00937C3C" w:rsidRPr="00763C4D">
        <w:rPr>
          <w:rStyle w:val="eop"/>
          <w:rFonts w:eastAsiaTheme="majorEastAsia"/>
          <w:sz w:val="22"/>
          <w:szCs w:val="22"/>
          <w:lang w:val="en-GB"/>
        </w:rPr>
        <w:t>implemen</w:t>
      </w:r>
      <w:r w:rsidRPr="00763C4D">
        <w:rPr>
          <w:rStyle w:val="eop"/>
          <w:rFonts w:eastAsiaTheme="majorEastAsia"/>
          <w:sz w:val="22"/>
          <w:szCs w:val="22"/>
          <w:lang w:val="en-GB"/>
        </w:rPr>
        <w:t xml:space="preserve">ted: </w:t>
      </w:r>
      <w:r w:rsidR="00F655BE" w:rsidRPr="00763C4D">
        <w:rPr>
          <w:rStyle w:val="eop"/>
          <w:rFonts w:eastAsiaTheme="majorEastAsia"/>
          <w:sz w:val="22"/>
          <w:szCs w:val="22"/>
          <w:lang w:val="en-GB"/>
        </w:rPr>
        <w:t>r</w:t>
      </w:r>
      <w:r w:rsidRPr="00763C4D">
        <w:rPr>
          <w:rStyle w:val="eop"/>
          <w:rFonts w:eastAsiaTheme="majorEastAsia"/>
          <w:sz w:val="22"/>
          <w:szCs w:val="22"/>
          <w:lang w:val="en-GB"/>
        </w:rPr>
        <w:t xml:space="preserve">econstruction of the breakwaters, implementation of environmental measures, improvement of the </w:t>
      </w:r>
      <w:proofErr w:type="spellStart"/>
      <w:r w:rsidRPr="00763C4D">
        <w:rPr>
          <w:rStyle w:val="eop"/>
          <w:rFonts w:eastAsiaTheme="majorEastAsia"/>
          <w:sz w:val="22"/>
          <w:szCs w:val="22"/>
          <w:lang w:val="en-GB"/>
        </w:rPr>
        <w:t>Livintai-Gaižiūnai</w:t>
      </w:r>
      <w:proofErr w:type="spellEnd"/>
      <w:r w:rsidRPr="00763C4D">
        <w:rPr>
          <w:rStyle w:val="eop"/>
          <w:rFonts w:eastAsiaTheme="majorEastAsia"/>
          <w:sz w:val="22"/>
          <w:szCs w:val="22"/>
          <w:lang w:val="en-GB"/>
        </w:rPr>
        <w:t xml:space="preserve"> railway line, enabling faster transportation, promoting mobility and development of intermodal transport. </w:t>
      </w:r>
      <w:r w:rsidRPr="00763C4D">
        <w:rPr>
          <w:rStyle w:val="eop"/>
          <w:rFonts w:eastAsiaTheme="majorEastAsia"/>
          <w:b/>
          <w:bCs/>
          <w:sz w:val="22"/>
          <w:szCs w:val="22"/>
          <w:lang w:val="en-GB"/>
        </w:rPr>
        <w:t>Sustainable mobility and environmentally friendly transport</w:t>
      </w:r>
      <w:r w:rsidRPr="00763C4D">
        <w:rPr>
          <w:rStyle w:val="eop"/>
          <w:rFonts w:eastAsiaTheme="majorEastAsia"/>
          <w:sz w:val="22"/>
          <w:szCs w:val="22"/>
          <w:lang w:val="en-GB"/>
        </w:rPr>
        <w:t xml:space="preserve"> contributed to the reduction of CO</w:t>
      </w:r>
      <w:r w:rsidRPr="00E326D7">
        <w:rPr>
          <w:rStyle w:val="eop"/>
          <w:rFonts w:eastAsiaTheme="majorEastAsia"/>
          <w:sz w:val="22"/>
          <w:szCs w:val="22"/>
          <w:vertAlign w:val="subscript"/>
          <w:lang w:val="en-GB"/>
        </w:rPr>
        <w:t>2</w:t>
      </w:r>
      <w:r w:rsidRPr="00763C4D">
        <w:rPr>
          <w:rStyle w:val="eop"/>
          <w:rFonts w:eastAsiaTheme="majorEastAsia"/>
          <w:sz w:val="22"/>
          <w:szCs w:val="22"/>
          <w:lang w:val="en-GB"/>
        </w:rPr>
        <w:t xml:space="preserve">, the promotion of diverse urban mobility, measures to mitigate the environmental impact, with EUR 101 million invested and 145 projects completed. </w:t>
      </w:r>
      <w:r w:rsidR="00404940" w:rsidRPr="00763C4D">
        <w:rPr>
          <w:rStyle w:val="eop"/>
          <w:rFonts w:eastAsiaTheme="majorEastAsia"/>
          <w:sz w:val="22"/>
          <w:szCs w:val="22"/>
          <w:lang w:val="en-GB"/>
        </w:rPr>
        <w:t>Through</w:t>
      </w:r>
      <w:r w:rsidRPr="00763C4D">
        <w:rPr>
          <w:rStyle w:val="eop"/>
          <w:rFonts w:eastAsiaTheme="majorEastAsia"/>
          <w:sz w:val="22"/>
          <w:szCs w:val="22"/>
          <w:lang w:val="en-GB"/>
        </w:rPr>
        <w:t xml:space="preserve"> the </w:t>
      </w:r>
      <w:r w:rsidR="0060185E" w:rsidRPr="0060185E">
        <w:rPr>
          <w:rStyle w:val="eop"/>
          <w:rFonts w:eastAsiaTheme="majorEastAsia"/>
          <w:sz w:val="22"/>
          <w:szCs w:val="22"/>
          <w:lang w:val="en-GB"/>
        </w:rPr>
        <w:t>financial instrument</w:t>
      </w:r>
      <w:r w:rsidR="0060185E" w:rsidRPr="0060185E">
        <w:rPr>
          <w:rStyle w:val="eop"/>
          <w:rFonts w:eastAsiaTheme="majorEastAsia"/>
          <w:sz w:val="22"/>
          <w:szCs w:val="22"/>
          <w:lang w:val="en-GB"/>
        </w:rPr>
        <w:t xml:space="preserve"> </w:t>
      </w:r>
      <w:r w:rsidR="0060185E" w:rsidRPr="0060185E">
        <w:rPr>
          <w:rStyle w:val="eop"/>
          <w:rFonts w:eastAsiaTheme="majorEastAsia"/>
          <w:sz w:val="22"/>
          <w:szCs w:val="22"/>
          <w:lang w:val="en-GB"/>
        </w:rPr>
        <w:t xml:space="preserve">(hereinafter – </w:t>
      </w:r>
      <w:r w:rsidR="0060185E">
        <w:rPr>
          <w:rStyle w:val="eop"/>
          <w:rFonts w:eastAsiaTheme="majorEastAsia"/>
          <w:sz w:val="22"/>
          <w:szCs w:val="22"/>
          <w:lang w:val="en-GB"/>
        </w:rPr>
        <w:t xml:space="preserve">the </w:t>
      </w:r>
      <w:r w:rsidRPr="00763C4D">
        <w:rPr>
          <w:rStyle w:val="eop"/>
          <w:rFonts w:eastAsiaTheme="majorEastAsia"/>
          <w:sz w:val="22"/>
          <w:szCs w:val="22"/>
          <w:lang w:val="en-GB"/>
        </w:rPr>
        <w:t>F</w:t>
      </w:r>
      <w:r w:rsidR="00404940" w:rsidRPr="00763C4D">
        <w:rPr>
          <w:rStyle w:val="eop"/>
          <w:rFonts w:eastAsiaTheme="majorEastAsia"/>
          <w:sz w:val="22"/>
          <w:szCs w:val="22"/>
          <w:lang w:val="en-GB"/>
        </w:rPr>
        <w:t>I</w:t>
      </w:r>
      <w:r w:rsidR="0060185E">
        <w:rPr>
          <w:rStyle w:val="eop"/>
          <w:rFonts w:eastAsiaTheme="majorEastAsia"/>
          <w:sz w:val="22"/>
          <w:szCs w:val="22"/>
          <w:lang w:val="en-GB"/>
        </w:rPr>
        <w:t>)</w:t>
      </w:r>
      <w:r w:rsidRPr="00763C4D">
        <w:rPr>
          <w:rStyle w:val="eop"/>
          <w:rFonts w:eastAsiaTheme="majorEastAsia"/>
          <w:sz w:val="22"/>
          <w:szCs w:val="22"/>
          <w:lang w:val="en-GB"/>
        </w:rPr>
        <w:t>, EUR 0.9 million was invested in a venture capital company in the field of mobility services and transport technologies.</w:t>
      </w:r>
    </w:p>
    <w:p w14:paraId="02256BBE"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color w:val="0070C0"/>
          <w:sz w:val="22"/>
          <w:szCs w:val="22"/>
          <w:lang w:val="en-GB"/>
        </w:rPr>
        <w:t> </w:t>
      </w:r>
    </w:p>
    <w:p w14:paraId="70A3092C" w14:textId="096307EA" w:rsidR="00ED2AA3" w:rsidRPr="00763C4D" w:rsidRDefault="006F1410" w:rsidP="00D80D8E">
      <w:pPr>
        <w:pStyle w:val="paragraph"/>
        <w:spacing w:before="0" w:beforeAutospacing="0" w:after="0" w:afterAutospacing="0"/>
        <w:ind w:firstLine="851"/>
        <w:jc w:val="both"/>
        <w:textAlignment w:val="baseline"/>
        <w:rPr>
          <w:rFonts w:ascii="Segoe UI" w:hAnsi="Segoe UI" w:cs="Segoe UI"/>
          <w:sz w:val="22"/>
          <w:szCs w:val="22"/>
          <w:lang w:val="en-GB"/>
        </w:rPr>
      </w:pPr>
      <w:r w:rsidRPr="00763C4D">
        <w:rPr>
          <w:rStyle w:val="eop"/>
          <w:rFonts w:eastAsiaTheme="majorEastAsia"/>
          <w:b/>
          <w:bCs/>
          <w:sz w:val="22"/>
          <w:szCs w:val="22"/>
          <w:lang w:val="en-GB"/>
        </w:rPr>
        <w:t>In the field of energy</w:t>
      </w:r>
      <w:r w:rsidRPr="00763C4D">
        <w:rPr>
          <w:rStyle w:val="eop"/>
          <w:rFonts w:eastAsiaTheme="majorEastAsia"/>
          <w:sz w:val="22"/>
          <w:szCs w:val="22"/>
          <w:lang w:val="en-GB"/>
        </w:rPr>
        <w:t xml:space="preserve">, EUR 544 million was invested (227 projects </w:t>
      </w:r>
      <w:r w:rsidR="00937C3C" w:rsidRPr="00763C4D">
        <w:rPr>
          <w:rStyle w:val="eop"/>
          <w:rFonts w:eastAsiaTheme="majorEastAsia"/>
          <w:sz w:val="22"/>
          <w:szCs w:val="22"/>
          <w:lang w:val="en-GB"/>
        </w:rPr>
        <w:t>implemen</w:t>
      </w:r>
      <w:r w:rsidRPr="00763C4D">
        <w:rPr>
          <w:rStyle w:val="eop"/>
          <w:rFonts w:eastAsiaTheme="majorEastAsia"/>
          <w:sz w:val="22"/>
          <w:szCs w:val="22"/>
          <w:lang w:val="en-GB"/>
        </w:rPr>
        <w:t xml:space="preserve">ted) in </w:t>
      </w:r>
      <w:r w:rsidR="0060185E" w:rsidRPr="0060185E">
        <w:rPr>
          <w:rStyle w:val="eop"/>
          <w:rFonts w:eastAsiaTheme="majorEastAsia"/>
          <w:sz w:val="22"/>
          <w:szCs w:val="22"/>
          <w:lang w:val="en-GB"/>
        </w:rPr>
        <w:t>renewable energy resources</w:t>
      </w:r>
      <w:r w:rsidR="0060185E" w:rsidRPr="0060185E">
        <w:rPr>
          <w:rStyle w:val="eop"/>
          <w:rFonts w:eastAsiaTheme="majorEastAsia"/>
          <w:sz w:val="22"/>
          <w:szCs w:val="22"/>
          <w:lang w:val="en-GB"/>
        </w:rPr>
        <w:t xml:space="preserve"> </w:t>
      </w:r>
      <w:r w:rsidR="0060185E">
        <w:rPr>
          <w:rStyle w:val="eop"/>
          <w:rFonts w:eastAsiaTheme="majorEastAsia"/>
          <w:sz w:val="22"/>
          <w:szCs w:val="22"/>
          <w:lang w:val="en-GB"/>
        </w:rPr>
        <w:t>(</w:t>
      </w:r>
      <w:r w:rsidR="0060185E" w:rsidRPr="0060185E">
        <w:rPr>
          <w:rStyle w:val="eop"/>
          <w:rFonts w:eastAsiaTheme="majorEastAsia"/>
          <w:sz w:val="22"/>
          <w:szCs w:val="22"/>
          <w:lang w:val="en-GB"/>
        </w:rPr>
        <w:t xml:space="preserve">hereinafter – </w:t>
      </w:r>
      <w:r w:rsidRPr="00763C4D">
        <w:rPr>
          <w:rStyle w:val="eop"/>
          <w:rFonts w:eastAsiaTheme="majorEastAsia"/>
          <w:sz w:val="22"/>
          <w:szCs w:val="22"/>
          <w:lang w:val="en-GB"/>
        </w:rPr>
        <w:t>RES</w:t>
      </w:r>
      <w:r w:rsidR="0060185E">
        <w:rPr>
          <w:rStyle w:val="eop"/>
          <w:rFonts w:eastAsiaTheme="majorEastAsia"/>
          <w:sz w:val="22"/>
          <w:szCs w:val="22"/>
          <w:lang w:val="en-GB"/>
        </w:rPr>
        <w:t>)</w:t>
      </w:r>
      <w:r w:rsidRPr="00763C4D">
        <w:rPr>
          <w:rStyle w:val="eop"/>
          <w:rFonts w:eastAsiaTheme="majorEastAsia"/>
          <w:sz w:val="22"/>
          <w:szCs w:val="22"/>
          <w:lang w:val="en-GB"/>
        </w:rPr>
        <w:t xml:space="preserve">, </w:t>
      </w:r>
      <w:r w:rsidR="0060185E" w:rsidRPr="0060185E">
        <w:rPr>
          <w:rStyle w:val="eop"/>
          <w:rFonts w:eastAsiaTheme="majorEastAsia"/>
          <w:sz w:val="22"/>
          <w:szCs w:val="22"/>
          <w:lang w:val="en-GB"/>
        </w:rPr>
        <w:t>energy efficiency</w:t>
      </w:r>
      <w:r w:rsidRPr="00763C4D">
        <w:rPr>
          <w:rStyle w:val="eop"/>
          <w:rFonts w:eastAsiaTheme="majorEastAsia"/>
          <w:sz w:val="22"/>
          <w:szCs w:val="22"/>
          <w:lang w:val="en-GB"/>
        </w:rPr>
        <w:t xml:space="preserve">, </w:t>
      </w:r>
      <w:r w:rsidR="0060185E" w:rsidRPr="0060185E">
        <w:rPr>
          <w:rStyle w:val="eop"/>
          <w:rFonts w:eastAsiaTheme="majorEastAsia"/>
          <w:sz w:val="22"/>
          <w:szCs w:val="22"/>
          <w:lang w:val="en-GB"/>
        </w:rPr>
        <w:t xml:space="preserve">greenhouse gas </w:t>
      </w:r>
      <w:r w:rsidRPr="00763C4D">
        <w:rPr>
          <w:rStyle w:val="eop"/>
          <w:rFonts w:eastAsiaTheme="majorEastAsia"/>
          <w:sz w:val="22"/>
          <w:szCs w:val="22"/>
          <w:lang w:val="en-GB"/>
        </w:rPr>
        <w:t xml:space="preserve"> reduction, solar power plants, replacement of boilers with RES technologies in households, biofuel cogeneration facilities, renovation of buildings, street lighting, heating networks, energy independence, integration into European energy: liquefied gas terminal, electricity interconnections with Sweden, Poland, upgrading of natural gas and electricity transmission systems. EUR 22 million was invested in the form of F</w:t>
      </w:r>
      <w:r w:rsidR="006455B1" w:rsidRPr="00763C4D">
        <w:rPr>
          <w:rStyle w:val="eop"/>
          <w:rFonts w:eastAsiaTheme="majorEastAsia"/>
          <w:sz w:val="22"/>
          <w:szCs w:val="22"/>
          <w:lang w:val="en-GB"/>
        </w:rPr>
        <w:t>I</w:t>
      </w:r>
      <w:r w:rsidRPr="00763C4D">
        <w:rPr>
          <w:rStyle w:val="eop"/>
          <w:rFonts w:eastAsiaTheme="majorEastAsia"/>
          <w:sz w:val="22"/>
          <w:szCs w:val="22"/>
          <w:lang w:val="en-GB"/>
        </w:rPr>
        <w:t xml:space="preserve">s for the renovation of public buildings and streetlights. </w:t>
      </w:r>
      <w:r w:rsidR="001B62C8" w:rsidRPr="00763C4D">
        <w:rPr>
          <w:rStyle w:val="eop"/>
          <w:rFonts w:eastAsiaTheme="majorEastAsia"/>
          <w:sz w:val="22"/>
          <w:szCs w:val="22"/>
          <w:lang w:val="en-GB"/>
        </w:rPr>
        <w:t xml:space="preserve">Through </w:t>
      </w:r>
      <w:r w:rsidR="004A764F" w:rsidRPr="00763C4D">
        <w:rPr>
          <w:rStyle w:val="eop"/>
          <w:rFonts w:eastAsiaTheme="majorEastAsia"/>
          <w:sz w:val="22"/>
          <w:szCs w:val="22"/>
          <w:lang w:val="en-GB"/>
        </w:rPr>
        <w:t xml:space="preserve">3 </w:t>
      </w:r>
      <w:r w:rsidRPr="00763C4D">
        <w:rPr>
          <w:rStyle w:val="eop"/>
          <w:rFonts w:eastAsiaTheme="majorEastAsia"/>
          <w:sz w:val="22"/>
          <w:szCs w:val="22"/>
          <w:lang w:val="en-GB"/>
        </w:rPr>
        <w:t>F</w:t>
      </w:r>
      <w:r w:rsidR="001B62C8" w:rsidRPr="00763C4D">
        <w:rPr>
          <w:rStyle w:val="eop"/>
          <w:rFonts w:eastAsiaTheme="majorEastAsia"/>
          <w:sz w:val="22"/>
          <w:szCs w:val="22"/>
          <w:lang w:val="en-GB"/>
        </w:rPr>
        <w:t>I</w:t>
      </w:r>
      <w:r w:rsidRPr="00763C4D">
        <w:rPr>
          <w:rStyle w:val="eop"/>
          <w:rFonts w:eastAsiaTheme="majorEastAsia"/>
          <w:sz w:val="22"/>
          <w:szCs w:val="22"/>
          <w:lang w:val="en-GB"/>
        </w:rPr>
        <w:t xml:space="preserve">, EUR 314 million was invested (EUR 1.3 billion of private funds </w:t>
      </w:r>
      <w:r w:rsidR="00FE0C7C" w:rsidRPr="00763C4D">
        <w:rPr>
          <w:rStyle w:val="eop"/>
          <w:rFonts w:eastAsiaTheme="majorEastAsia"/>
          <w:sz w:val="22"/>
          <w:szCs w:val="22"/>
          <w:lang w:val="en-GB"/>
        </w:rPr>
        <w:t>rais</w:t>
      </w:r>
      <w:r w:rsidRPr="00763C4D">
        <w:rPr>
          <w:rStyle w:val="eop"/>
          <w:rFonts w:eastAsiaTheme="majorEastAsia"/>
          <w:sz w:val="22"/>
          <w:szCs w:val="22"/>
          <w:lang w:val="en-GB"/>
        </w:rPr>
        <w:t xml:space="preserve">ed) in the renovation of multi-apartment buildings, ensuring their higher efficiency class by encouraging their use of RES. </w:t>
      </w:r>
      <w:proofErr w:type="gramStart"/>
      <w:r w:rsidRPr="00763C4D">
        <w:rPr>
          <w:rStyle w:val="eop"/>
          <w:rFonts w:eastAsiaTheme="majorEastAsia"/>
          <w:sz w:val="22"/>
          <w:szCs w:val="22"/>
          <w:lang w:val="en-GB"/>
        </w:rPr>
        <w:t>In order to</w:t>
      </w:r>
      <w:proofErr w:type="gramEnd"/>
      <w:r w:rsidRPr="00763C4D">
        <w:rPr>
          <w:rStyle w:val="eop"/>
          <w:rFonts w:eastAsiaTheme="majorEastAsia"/>
          <w:sz w:val="22"/>
          <w:szCs w:val="22"/>
          <w:lang w:val="en-GB"/>
        </w:rPr>
        <w:t xml:space="preserve"> renovate municipal public buildings, EUR 13 million was invested through the F</w:t>
      </w:r>
      <w:r w:rsidR="006455B1" w:rsidRPr="00763C4D">
        <w:rPr>
          <w:rStyle w:val="eop"/>
          <w:rFonts w:eastAsiaTheme="majorEastAsia"/>
          <w:sz w:val="22"/>
          <w:szCs w:val="22"/>
          <w:lang w:val="en-GB"/>
        </w:rPr>
        <w:t>I</w:t>
      </w:r>
      <w:r w:rsidRPr="00763C4D">
        <w:rPr>
          <w:rStyle w:val="eop"/>
          <w:rFonts w:eastAsiaTheme="majorEastAsia"/>
          <w:sz w:val="22"/>
          <w:szCs w:val="22"/>
          <w:lang w:val="en-GB"/>
        </w:rPr>
        <w:t xml:space="preserve"> (EUR 13.9 million </w:t>
      </w:r>
      <w:r w:rsidR="00FE0C7C" w:rsidRPr="00763C4D">
        <w:rPr>
          <w:rStyle w:val="eop"/>
          <w:rFonts w:eastAsiaTheme="majorEastAsia"/>
          <w:sz w:val="22"/>
          <w:szCs w:val="22"/>
          <w:lang w:val="en-GB"/>
        </w:rPr>
        <w:t>raised</w:t>
      </w:r>
      <w:r w:rsidRPr="00763C4D">
        <w:rPr>
          <w:rStyle w:val="eop"/>
          <w:rFonts w:eastAsiaTheme="majorEastAsia"/>
          <w:sz w:val="22"/>
          <w:szCs w:val="22"/>
          <w:lang w:val="en-GB"/>
        </w:rPr>
        <w:t>).</w:t>
      </w:r>
    </w:p>
    <w:p w14:paraId="39A3E32F"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5F4F58C4" w14:textId="28626F40" w:rsidR="00ED2AA3" w:rsidRPr="00763C4D" w:rsidRDefault="00D25CA5"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b/>
          <w:bCs/>
          <w:sz w:val="22"/>
          <w:szCs w:val="22"/>
          <w:lang w:val="en-GB"/>
        </w:rPr>
        <w:t>In the field of environment</w:t>
      </w:r>
      <w:r w:rsidRPr="00763C4D">
        <w:rPr>
          <w:rStyle w:val="normaltextrun"/>
          <w:rFonts w:eastAsiaTheme="majorEastAsia"/>
          <w:sz w:val="22"/>
          <w:szCs w:val="22"/>
          <w:lang w:val="en-GB"/>
        </w:rPr>
        <w:t xml:space="preserve">, EUR 974 million was invested (434 projects </w:t>
      </w:r>
      <w:r w:rsidR="00200A77" w:rsidRPr="00763C4D">
        <w:rPr>
          <w:rStyle w:val="normaltextrun"/>
          <w:rFonts w:eastAsiaTheme="majorEastAsia"/>
          <w:sz w:val="22"/>
          <w:szCs w:val="22"/>
          <w:lang w:val="en-GB"/>
        </w:rPr>
        <w:t>implemen</w:t>
      </w:r>
      <w:r w:rsidRPr="00763C4D">
        <w:rPr>
          <w:rStyle w:val="normaltextrun"/>
          <w:rFonts w:eastAsiaTheme="majorEastAsia"/>
          <w:sz w:val="22"/>
          <w:szCs w:val="22"/>
          <w:lang w:val="en-GB"/>
        </w:rPr>
        <w:t xml:space="preserve">ted) in the development of infrastructure mitigating the effects of climate change, improvement of water status and air quality, restoration/preservation of biodiversity, efficiency of water supply and wastewater management, raising awareness of natural/cultural heritage, municipal and radioactive waste management – a high-efficiency </w:t>
      </w:r>
      <w:r w:rsidR="00200A77" w:rsidRPr="00763C4D">
        <w:rPr>
          <w:rStyle w:val="normaltextrun"/>
          <w:rFonts w:eastAsiaTheme="majorEastAsia"/>
          <w:sz w:val="22"/>
          <w:szCs w:val="22"/>
          <w:lang w:val="en-GB"/>
        </w:rPr>
        <w:t>CHP</w:t>
      </w:r>
      <w:r w:rsidRPr="00763C4D">
        <w:rPr>
          <w:rStyle w:val="normaltextrun"/>
          <w:rFonts w:eastAsiaTheme="majorEastAsia"/>
          <w:sz w:val="22"/>
          <w:szCs w:val="22"/>
          <w:lang w:val="en-GB"/>
        </w:rPr>
        <w:t xml:space="preserve"> plant was installed in Vilnius for EUR 66 million. EUR 29 million was invested</w:t>
      </w:r>
      <w:r w:rsidR="006455B1" w:rsidRPr="00763C4D">
        <w:rPr>
          <w:sz w:val="22"/>
          <w:szCs w:val="22"/>
        </w:rPr>
        <w:t xml:space="preserve"> </w:t>
      </w:r>
      <w:r w:rsidR="006455B1" w:rsidRPr="00763C4D">
        <w:rPr>
          <w:rStyle w:val="normaltextrun"/>
          <w:rFonts w:eastAsiaTheme="majorEastAsia"/>
          <w:sz w:val="22"/>
          <w:szCs w:val="22"/>
          <w:lang w:val="en-GB"/>
        </w:rPr>
        <w:t>in the form of FI</w:t>
      </w:r>
      <w:r w:rsidRPr="00763C4D">
        <w:rPr>
          <w:rStyle w:val="normaltextrun"/>
          <w:rFonts w:eastAsiaTheme="majorEastAsia"/>
          <w:sz w:val="22"/>
          <w:szCs w:val="22"/>
          <w:lang w:val="en-GB"/>
        </w:rPr>
        <w:t xml:space="preserve"> in increasing the accessibility of drinking water supply and wastewater collection management, improving their quality and protecting the environment from the harmful effects of wastewater.</w:t>
      </w:r>
    </w:p>
    <w:p w14:paraId="020D371E"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50081A31" w14:textId="69C666A5" w:rsidR="00ED2AA3" w:rsidRPr="00763C4D" w:rsidRDefault="0069041B"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b/>
          <w:bCs/>
          <w:sz w:val="22"/>
          <w:szCs w:val="22"/>
          <w:lang w:val="en-GB"/>
        </w:rPr>
        <w:t>In the education sector</w:t>
      </w:r>
      <w:r w:rsidRPr="00763C4D">
        <w:rPr>
          <w:rStyle w:val="normaltextrun"/>
          <w:rFonts w:eastAsiaTheme="majorEastAsia"/>
          <w:sz w:val="22"/>
          <w:szCs w:val="22"/>
          <w:lang w:val="en-GB"/>
        </w:rPr>
        <w:t xml:space="preserve">, EUR 723 million was invested in projects aimed at improving education and training infrastructure, increasing opportunities for </w:t>
      </w:r>
      <w:r w:rsidR="00075ECA" w:rsidRPr="00763C4D">
        <w:rPr>
          <w:rStyle w:val="normaltextrun"/>
          <w:rFonts w:eastAsiaTheme="majorEastAsia"/>
          <w:sz w:val="22"/>
          <w:szCs w:val="22"/>
          <w:lang w:val="en-GB"/>
        </w:rPr>
        <w:t>Lifelong Learning</w:t>
      </w:r>
      <w:r w:rsidRPr="00763C4D">
        <w:rPr>
          <w:rStyle w:val="normaltextrun"/>
          <w:rFonts w:eastAsiaTheme="majorEastAsia"/>
          <w:sz w:val="22"/>
          <w:szCs w:val="22"/>
          <w:lang w:val="en-GB"/>
        </w:rPr>
        <w:t>, improving access to and quality of education and studies, and enhancing the attractiveness of vocational training.</w:t>
      </w:r>
    </w:p>
    <w:p w14:paraId="61E1AEA8"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29F6403E" w14:textId="37336477" w:rsidR="00ED2AA3" w:rsidRPr="00763C4D" w:rsidRDefault="0069041B"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b/>
          <w:bCs/>
          <w:sz w:val="22"/>
          <w:szCs w:val="22"/>
          <w:lang w:val="en-GB"/>
        </w:rPr>
        <w:t>In the field of public governance</w:t>
      </w:r>
      <w:r w:rsidRPr="00763C4D">
        <w:rPr>
          <w:rStyle w:val="normaltextrun"/>
          <w:rFonts w:eastAsiaTheme="majorEastAsia"/>
          <w:sz w:val="22"/>
          <w:szCs w:val="22"/>
          <w:lang w:val="en-GB"/>
        </w:rPr>
        <w:t>, investments of EUR 100 million (177 projects</w:t>
      </w:r>
      <w:r w:rsidR="00FF62FF" w:rsidRPr="00763C4D">
        <w:rPr>
          <w:rStyle w:val="normaltextrun"/>
          <w:rFonts w:eastAsiaTheme="majorEastAsia"/>
          <w:sz w:val="22"/>
          <w:szCs w:val="22"/>
          <w:lang w:val="en-GB"/>
        </w:rPr>
        <w:t xml:space="preserve"> implemented</w:t>
      </w:r>
      <w:r w:rsidRPr="00763C4D">
        <w:rPr>
          <w:rStyle w:val="normaltextrun"/>
          <w:rFonts w:eastAsiaTheme="majorEastAsia"/>
          <w:sz w:val="22"/>
          <w:szCs w:val="22"/>
          <w:lang w:val="en-GB"/>
        </w:rPr>
        <w:t>) ensured high-quality monitoring of the implementation of L</w:t>
      </w:r>
      <w:r w:rsidR="00C341F9" w:rsidRPr="00763C4D">
        <w:rPr>
          <w:rStyle w:val="normaltextrun"/>
          <w:rFonts w:eastAsiaTheme="majorEastAsia"/>
          <w:sz w:val="22"/>
          <w:szCs w:val="22"/>
          <w:lang w:val="en-GB"/>
        </w:rPr>
        <w:t>ithuania’s</w:t>
      </w:r>
      <w:r w:rsidRPr="00763C4D">
        <w:rPr>
          <w:rStyle w:val="normaltextrun"/>
          <w:rFonts w:eastAsiaTheme="majorEastAsia"/>
          <w:sz w:val="22"/>
          <w:szCs w:val="22"/>
          <w:lang w:val="en-GB"/>
        </w:rPr>
        <w:t xml:space="preserve"> strategic goals and objectives, the establishment of an evidence-based management competence centre under the Government of the Republic of Lithuania, the results of which will be used by the Government of the Republic of Lithuania, ministries and other public administration institutions to make systemic decisions, and the development of the </w:t>
      </w:r>
      <w:r w:rsidR="00A31F58">
        <w:rPr>
          <w:rStyle w:val="normaltextrun"/>
          <w:rFonts w:eastAsiaTheme="majorEastAsia"/>
          <w:sz w:val="22"/>
          <w:szCs w:val="22"/>
          <w:lang w:val="en-GB"/>
        </w:rPr>
        <w:t>i</w:t>
      </w:r>
      <w:r w:rsidR="00A31F58" w:rsidRPr="00A31F58">
        <w:rPr>
          <w:rStyle w:val="normaltextrun"/>
          <w:rFonts w:eastAsiaTheme="majorEastAsia"/>
          <w:sz w:val="22"/>
          <w:szCs w:val="22"/>
          <w:lang w:val="en-GB"/>
        </w:rPr>
        <w:t>nformation technology</w:t>
      </w:r>
      <w:r w:rsidR="00A31F58" w:rsidRPr="00A31F58">
        <w:rPr>
          <w:rStyle w:val="normaltextrun"/>
          <w:rFonts w:eastAsiaTheme="majorEastAsia"/>
          <w:sz w:val="22"/>
          <w:szCs w:val="22"/>
          <w:lang w:val="en-GB"/>
        </w:rPr>
        <w:t xml:space="preserve"> </w:t>
      </w:r>
      <w:r w:rsidRPr="00763C4D">
        <w:rPr>
          <w:rStyle w:val="normaltextrun"/>
          <w:rFonts w:eastAsiaTheme="majorEastAsia"/>
          <w:sz w:val="22"/>
          <w:szCs w:val="22"/>
          <w:lang w:val="en-GB"/>
        </w:rPr>
        <w:t>tool MIGRIS, which allows to improve the quality of migration services.</w:t>
      </w:r>
    </w:p>
    <w:p w14:paraId="670B62DD"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127F955D" w14:textId="66A602A3" w:rsidR="00ED2AA3" w:rsidRPr="00763C4D" w:rsidRDefault="0069041B"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b/>
          <w:bCs/>
          <w:sz w:val="22"/>
          <w:szCs w:val="22"/>
          <w:lang w:val="en-GB"/>
        </w:rPr>
        <w:t>In the field of regional development</w:t>
      </w:r>
      <w:r w:rsidRPr="00763C4D">
        <w:rPr>
          <w:rStyle w:val="normaltextrun"/>
          <w:rFonts w:eastAsiaTheme="majorEastAsia"/>
          <w:sz w:val="22"/>
          <w:szCs w:val="22"/>
          <w:lang w:val="en-GB"/>
        </w:rPr>
        <w:t xml:space="preserve">, EUR 481 million was invested and 1008 projects were </w:t>
      </w:r>
      <w:r w:rsidR="0067124D" w:rsidRPr="00763C4D">
        <w:rPr>
          <w:rStyle w:val="normaltextrun"/>
          <w:rFonts w:eastAsiaTheme="majorEastAsia"/>
          <w:sz w:val="22"/>
          <w:szCs w:val="22"/>
          <w:lang w:val="en-GB"/>
        </w:rPr>
        <w:t>implemente</w:t>
      </w:r>
      <w:r w:rsidRPr="00763C4D">
        <w:rPr>
          <w:rStyle w:val="normaltextrun"/>
          <w:rFonts w:eastAsiaTheme="majorEastAsia"/>
          <w:sz w:val="22"/>
          <w:szCs w:val="22"/>
          <w:lang w:val="en-GB"/>
        </w:rPr>
        <w:t xml:space="preserve">d. </w:t>
      </w:r>
      <w:r w:rsidR="00C341F9" w:rsidRPr="00763C4D">
        <w:rPr>
          <w:rStyle w:val="normaltextrun"/>
          <w:rFonts w:eastAsiaTheme="majorEastAsia"/>
          <w:sz w:val="22"/>
          <w:szCs w:val="22"/>
          <w:lang w:val="en-GB"/>
        </w:rPr>
        <w:t xml:space="preserve">Investments brought unused, abandoned infrastructure into use, public spaces </w:t>
      </w:r>
      <w:r w:rsidR="0067124D" w:rsidRPr="00763C4D">
        <w:rPr>
          <w:rStyle w:val="normaltextrun"/>
          <w:rFonts w:eastAsiaTheme="majorEastAsia"/>
          <w:sz w:val="22"/>
          <w:szCs w:val="22"/>
          <w:lang w:val="en-GB"/>
        </w:rPr>
        <w:t>were</w:t>
      </w:r>
      <w:r w:rsidR="00C341F9" w:rsidRPr="00763C4D">
        <w:rPr>
          <w:rStyle w:val="normaltextrun"/>
          <w:rFonts w:eastAsiaTheme="majorEastAsia"/>
          <w:sz w:val="22"/>
          <w:szCs w:val="22"/>
          <w:lang w:val="en-GB"/>
        </w:rPr>
        <w:t xml:space="preserve"> modernized, and the living environment in multi-apartment districts </w:t>
      </w:r>
      <w:r w:rsidR="0067124D" w:rsidRPr="00763C4D">
        <w:rPr>
          <w:rStyle w:val="normaltextrun"/>
          <w:rFonts w:eastAsiaTheme="majorEastAsia"/>
          <w:sz w:val="22"/>
          <w:szCs w:val="22"/>
          <w:lang w:val="en-GB"/>
        </w:rPr>
        <w:t>was</w:t>
      </w:r>
      <w:r w:rsidR="00C341F9" w:rsidRPr="00763C4D">
        <w:rPr>
          <w:rStyle w:val="normaltextrun"/>
          <w:rFonts w:eastAsiaTheme="majorEastAsia"/>
          <w:sz w:val="22"/>
          <w:szCs w:val="22"/>
          <w:lang w:val="en-GB"/>
        </w:rPr>
        <w:t xml:space="preserve"> improved. </w:t>
      </w:r>
      <w:r w:rsidRPr="00763C4D">
        <w:rPr>
          <w:rStyle w:val="normaltextrun"/>
          <w:rFonts w:eastAsiaTheme="majorEastAsia"/>
          <w:sz w:val="22"/>
          <w:szCs w:val="22"/>
          <w:lang w:val="en-GB"/>
        </w:rPr>
        <w:t xml:space="preserve">EUR 25 million </w:t>
      </w:r>
      <w:r w:rsidR="0067124D" w:rsidRPr="00763C4D">
        <w:rPr>
          <w:rStyle w:val="normaltextrun"/>
          <w:rFonts w:eastAsiaTheme="majorEastAsia"/>
          <w:sz w:val="22"/>
          <w:szCs w:val="22"/>
          <w:lang w:val="en-GB"/>
        </w:rPr>
        <w:t>was</w:t>
      </w:r>
      <w:r w:rsidRPr="00763C4D">
        <w:rPr>
          <w:rStyle w:val="normaltextrun"/>
          <w:rFonts w:eastAsiaTheme="majorEastAsia"/>
          <w:sz w:val="22"/>
          <w:szCs w:val="22"/>
          <w:lang w:val="en-GB"/>
        </w:rPr>
        <w:t xml:space="preserve"> invested in the </w:t>
      </w:r>
      <w:r w:rsidRPr="00763C4D">
        <w:rPr>
          <w:rStyle w:val="normaltextrun"/>
          <w:rFonts w:eastAsiaTheme="majorEastAsia"/>
          <w:sz w:val="22"/>
          <w:szCs w:val="22"/>
          <w:lang w:val="en-GB"/>
        </w:rPr>
        <w:lastRenderedPageBreak/>
        <w:t xml:space="preserve">implementation of </w:t>
      </w:r>
      <w:r w:rsidRPr="00763C4D">
        <w:rPr>
          <w:rStyle w:val="normaltextrun"/>
          <w:rFonts w:eastAsiaTheme="majorEastAsia"/>
          <w:b/>
          <w:bCs/>
          <w:sz w:val="22"/>
          <w:szCs w:val="22"/>
          <w:lang w:val="en-GB"/>
        </w:rPr>
        <w:t>community-led local development strategies</w:t>
      </w:r>
      <w:r w:rsidRPr="00763C4D">
        <w:rPr>
          <w:rStyle w:val="normaltextrun"/>
          <w:rFonts w:eastAsiaTheme="majorEastAsia"/>
          <w:sz w:val="22"/>
          <w:szCs w:val="22"/>
          <w:lang w:val="en-GB"/>
        </w:rPr>
        <w:t xml:space="preserve"> and 669 local action projects </w:t>
      </w:r>
      <w:r w:rsidR="0067124D" w:rsidRPr="00763C4D">
        <w:rPr>
          <w:rStyle w:val="normaltextrun"/>
          <w:rFonts w:eastAsiaTheme="majorEastAsia"/>
          <w:sz w:val="22"/>
          <w:szCs w:val="22"/>
          <w:lang w:val="en-GB"/>
        </w:rPr>
        <w:t>were implemented</w:t>
      </w:r>
      <w:r w:rsidRPr="00763C4D">
        <w:rPr>
          <w:rStyle w:val="normaltextrun"/>
          <w:rFonts w:eastAsiaTheme="majorEastAsia"/>
          <w:sz w:val="22"/>
          <w:szCs w:val="22"/>
          <w:lang w:val="en-GB"/>
        </w:rPr>
        <w:t xml:space="preserve">. </w:t>
      </w:r>
      <w:r w:rsidR="00C341F9" w:rsidRPr="00763C4D">
        <w:rPr>
          <w:rStyle w:val="normaltextrun"/>
          <w:rFonts w:eastAsiaTheme="majorEastAsia"/>
          <w:sz w:val="22"/>
          <w:szCs w:val="22"/>
          <w:lang w:val="en-GB"/>
        </w:rPr>
        <w:t>At the event for the most successfully implemented projects of local action groups in 2014-2020, 13 projects were awarded, which implemented activities in the areas of socio-cultural services, employment and community promotion.</w:t>
      </w:r>
    </w:p>
    <w:p w14:paraId="4391D63E"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4CD4F0F9" w14:textId="51F8327D" w:rsidR="00ED2AA3" w:rsidRPr="00763C4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sz w:val="22"/>
          <w:szCs w:val="22"/>
          <w:lang w:val="en-GB"/>
        </w:rPr>
        <w:t> </w:t>
      </w:r>
      <w:r w:rsidR="00C07A1C" w:rsidRPr="00763C4D">
        <w:rPr>
          <w:rStyle w:val="normaltextrun"/>
          <w:rFonts w:eastAsiaTheme="majorEastAsia"/>
          <w:sz w:val="22"/>
          <w:szCs w:val="22"/>
          <w:lang w:val="en-GB"/>
        </w:rPr>
        <w:t xml:space="preserve">EUR 869 million was invested in </w:t>
      </w:r>
      <w:r w:rsidR="00697A82" w:rsidRPr="00697A82">
        <w:rPr>
          <w:rStyle w:val="normaltextrun"/>
          <w:rFonts w:eastAsiaTheme="majorEastAsia"/>
          <w:sz w:val="22"/>
          <w:szCs w:val="22"/>
          <w:lang w:val="en-GB"/>
        </w:rPr>
        <w:t>research and development and innovation</w:t>
      </w:r>
      <w:r w:rsidR="00697A82" w:rsidRPr="00697A82">
        <w:rPr>
          <w:rStyle w:val="normaltextrun"/>
          <w:rFonts w:eastAsiaTheme="majorEastAsia"/>
          <w:sz w:val="22"/>
          <w:szCs w:val="22"/>
          <w:lang w:val="en-GB"/>
        </w:rPr>
        <w:t xml:space="preserve"> </w:t>
      </w:r>
      <w:r w:rsidR="00697A82" w:rsidRPr="00697A82">
        <w:rPr>
          <w:rStyle w:val="normaltextrun"/>
          <w:rFonts w:eastAsiaTheme="majorEastAsia"/>
          <w:sz w:val="22"/>
          <w:szCs w:val="22"/>
          <w:lang w:val="en-GB"/>
        </w:rPr>
        <w:t xml:space="preserve">(hereinafter – </w:t>
      </w:r>
      <w:r w:rsidR="00C07A1C" w:rsidRPr="00763C4D">
        <w:rPr>
          <w:rStyle w:val="normaltextrun"/>
          <w:rFonts w:eastAsiaTheme="majorEastAsia"/>
          <w:b/>
          <w:bCs/>
          <w:sz w:val="22"/>
          <w:szCs w:val="22"/>
          <w:lang w:val="en-GB"/>
        </w:rPr>
        <w:t>R&amp;D</w:t>
      </w:r>
      <w:bookmarkStart w:id="0" w:name="_Hlk192852349"/>
      <w:r w:rsidR="00C07A1C" w:rsidRPr="00763C4D">
        <w:rPr>
          <w:rStyle w:val="normaltextrun"/>
          <w:rFonts w:eastAsiaTheme="majorEastAsia"/>
          <w:b/>
          <w:bCs/>
          <w:sz w:val="22"/>
          <w:szCs w:val="22"/>
          <w:lang w:val="en-GB"/>
        </w:rPr>
        <w:t>&amp;I</w:t>
      </w:r>
      <w:r w:rsidR="00697A82">
        <w:rPr>
          <w:rStyle w:val="normaltextrun"/>
          <w:rFonts w:eastAsiaTheme="majorEastAsia"/>
          <w:b/>
          <w:bCs/>
          <w:sz w:val="22"/>
          <w:szCs w:val="22"/>
          <w:lang w:val="en-GB"/>
        </w:rPr>
        <w:t>)</w:t>
      </w:r>
      <w:r w:rsidR="001B62C8" w:rsidRPr="00763C4D">
        <w:rPr>
          <w:rStyle w:val="normaltextrun"/>
          <w:rFonts w:eastAsiaTheme="majorEastAsia"/>
          <w:b/>
          <w:bCs/>
          <w:sz w:val="22"/>
          <w:szCs w:val="22"/>
          <w:lang w:val="en-GB"/>
        </w:rPr>
        <w:t>,</w:t>
      </w:r>
      <w:r w:rsidR="00C07A1C" w:rsidRPr="00763C4D">
        <w:rPr>
          <w:rStyle w:val="normaltextrun"/>
          <w:rFonts w:eastAsiaTheme="majorEastAsia"/>
          <w:sz w:val="22"/>
          <w:szCs w:val="22"/>
          <w:lang w:val="en-GB"/>
        </w:rPr>
        <w:t xml:space="preserve"> </w:t>
      </w:r>
      <w:bookmarkEnd w:id="0"/>
      <w:r w:rsidR="00C07A1C" w:rsidRPr="00763C4D">
        <w:rPr>
          <w:rStyle w:val="normaltextrun"/>
          <w:rFonts w:eastAsiaTheme="majorEastAsia"/>
          <w:sz w:val="22"/>
          <w:szCs w:val="22"/>
          <w:lang w:val="en-GB"/>
        </w:rPr>
        <w:t xml:space="preserve">and 1792 projects were </w:t>
      </w:r>
      <w:r w:rsidR="0067124D" w:rsidRPr="00763C4D">
        <w:rPr>
          <w:rStyle w:val="normaltextrun"/>
          <w:rFonts w:eastAsiaTheme="majorEastAsia"/>
          <w:sz w:val="22"/>
          <w:szCs w:val="22"/>
          <w:lang w:val="en-GB"/>
        </w:rPr>
        <w:t>implement</w:t>
      </w:r>
      <w:r w:rsidR="00C07A1C" w:rsidRPr="00763C4D">
        <w:rPr>
          <w:rStyle w:val="normaltextrun"/>
          <w:rFonts w:eastAsiaTheme="majorEastAsia"/>
          <w:sz w:val="22"/>
          <w:szCs w:val="22"/>
          <w:lang w:val="en-GB"/>
        </w:rPr>
        <w:t>ed. The investments created R&amp;D</w:t>
      </w:r>
      <w:r w:rsidR="00326FC6" w:rsidRPr="00763C4D">
        <w:rPr>
          <w:rStyle w:val="normaltextrun"/>
          <w:rFonts w:eastAsiaTheme="majorEastAsia"/>
          <w:sz w:val="22"/>
          <w:szCs w:val="22"/>
          <w:lang w:val="en-GB"/>
        </w:rPr>
        <w:t>&amp;I</w:t>
      </w:r>
      <w:r w:rsidR="00C07A1C" w:rsidRPr="00763C4D">
        <w:rPr>
          <w:rStyle w:val="normaltextrun"/>
          <w:rFonts w:eastAsiaTheme="majorEastAsia"/>
          <w:sz w:val="22"/>
          <w:szCs w:val="22"/>
          <w:lang w:val="en-GB"/>
        </w:rPr>
        <w:t xml:space="preserve"> infrastructure, tested models of </w:t>
      </w:r>
      <w:r w:rsidR="00C341F9" w:rsidRPr="00763C4D">
        <w:rPr>
          <w:rStyle w:val="normaltextrun"/>
          <w:rFonts w:eastAsiaTheme="majorEastAsia"/>
          <w:sz w:val="22"/>
          <w:szCs w:val="22"/>
          <w:lang w:val="en-GB"/>
        </w:rPr>
        <w:t>research</w:t>
      </w:r>
      <w:r w:rsidR="00C07A1C" w:rsidRPr="00763C4D">
        <w:rPr>
          <w:rStyle w:val="normaltextrun"/>
          <w:rFonts w:eastAsiaTheme="majorEastAsia"/>
          <w:sz w:val="22"/>
          <w:szCs w:val="22"/>
          <w:lang w:val="en-GB"/>
        </w:rPr>
        <w:t xml:space="preserve"> and business cooperation, encouraged R&amp;D</w:t>
      </w:r>
      <w:r w:rsidR="00697A82" w:rsidRPr="00697A82">
        <w:rPr>
          <w:rStyle w:val="normaltextrun"/>
          <w:rFonts w:eastAsiaTheme="majorEastAsia"/>
          <w:sz w:val="22"/>
          <w:szCs w:val="22"/>
          <w:lang w:val="en-GB"/>
        </w:rPr>
        <w:t>&amp;I</w:t>
      </w:r>
      <w:r w:rsidR="00C07A1C" w:rsidRPr="00763C4D">
        <w:rPr>
          <w:rStyle w:val="normaltextrun"/>
          <w:rFonts w:eastAsiaTheme="majorEastAsia"/>
          <w:sz w:val="22"/>
          <w:szCs w:val="22"/>
          <w:lang w:val="en-GB"/>
        </w:rPr>
        <w:t xml:space="preserve"> activities in the private sector and in the commercialisation of knowledge and technology transfer between </w:t>
      </w:r>
      <w:r w:rsidR="00C341F9" w:rsidRPr="00763C4D">
        <w:rPr>
          <w:rStyle w:val="normaltextrun"/>
          <w:rFonts w:eastAsiaTheme="majorEastAsia"/>
          <w:sz w:val="22"/>
          <w:szCs w:val="22"/>
          <w:lang w:val="en-GB"/>
        </w:rPr>
        <w:t>research</w:t>
      </w:r>
      <w:r w:rsidR="00C07A1C" w:rsidRPr="00763C4D">
        <w:rPr>
          <w:rStyle w:val="normaltextrun"/>
          <w:rFonts w:eastAsiaTheme="majorEastAsia"/>
          <w:sz w:val="22"/>
          <w:szCs w:val="22"/>
          <w:lang w:val="en-GB"/>
        </w:rPr>
        <w:t xml:space="preserve"> and business sectors.</w:t>
      </w:r>
    </w:p>
    <w:p w14:paraId="6FE43A77" w14:textId="203B0FC0" w:rsidR="000071A4" w:rsidRPr="00763C4D" w:rsidRDefault="000071A4" w:rsidP="00C341F9">
      <w:pPr>
        <w:pStyle w:val="paragraph"/>
        <w:spacing w:before="0" w:beforeAutospacing="0" w:after="0" w:afterAutospacing="0"/>
        <w:jc w:val="both"/>
        <w:textAlignment w:val="baseline"/>
        <w:rPr>
          <w:rStyle w:val="normaltextrun"/>
          <w:rFonts w:eastAsiaTheme="majorEastAsia"/>
          <w:sz w:val="22"/>
          <w:szCs w:val="22"/>
          <w:lang w:val="en-GB"/>
        </w:rPr>
      </w:pPr>
    </w:p>
    <w:p w14:paraId="081E9994" w14:textId="0A5D4C6F" w:rsidR="00ED2AA3" w:rsidRPr="00763C4D" w:rsidRDefault="00326FC6"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sz w:val="22"/>
          <w:szCs w:val="22"/>
          <w:lang w:val="en-GB"/>
        </w:rPr>
        <w:t xml:space="preserve">EUR 935 million </w:t>
      </w:r>
      <w:r w:rsidR="0067124D" w:rsidRPr="00763C4D">
        <w:rPr>
          <w:rStyle w:val="normaltextrun"/>
          <w:rFonts w:eastAsiaTheme="majorEastAsia"/>
          <w:sz w:val="22"/>
          <w:szCs w:val="22"/>
          <w:lang w:val="en-GB"/>
        </w:rPr>
        <w:t>was</w:t>
      </w:r>
      <w:r w:rsidRPr="00763C4D">
        <w:rPr>
          <w:rStyle w:val="normaltextrun"/>
          <w:rFonts w:eastAsiaTheme="majorEastAsia"/>
          <w:sz w:val="22"/>
          <w:szCs w:val="22"/>
          <w:lang w:val="en-GB"/>
        </w:rPr>
        <w:t xml:space="preserve"> invested in </w:t>
      </w:r>
      <w:r w:rsidRPr="00763C4D">
        <w:rPr>
          <w:rStyle w:val="normaltextrun"/>
          <w:rFonts w:eastAsiaTheme="majorEastAsia"/>
          <w:b/>
          <w:bCs/>
          <w:sz w:val="22"/>
          <w:szCs w:val="22"/>
          <w:lang w:val="en-GB"/>
        </w:rPr>
        <w:t>the business sector</w:t>
      </w:r>
      <w:r w:rsidRPr="00763C4D">
        <w:rPr>
          <w:rStyle w:val="normaltextrun"/>
          <w:rFonts w:eastAsiaTheme="majorEastAsia"/>
          <w:sz w:val="22"/>
          <w:szCs w:val="22"/>
          <w:lang w:val="en-GB"/>
        </w:rPr>
        <w:t xml:space="preserve"> and 9000 projects </w:t>
      </w:r>
      <w:r w:rsidR="0067124D" w:rsidRPr="00763C4D">
        <w:rPr>
          <w:rStyle w:val="normaltextrun"/>
          <w:rFonts w:eastAsiaTheme="majorEastAsia"/>
          <w:sz w:val="22"/>
          <w:szCs w:val="22"/>
          <w:lang w:val="en-GB"/>
        </w:rPr>
        <w:t>were implemented</w:t>
      </w:r>
      <w:r w:rsidRPr="00763C4D">
        <w:rPr>
          <w:rStyle w:val="normaltextrun"/>
          <w:rFonts w:eastAsiaTheme="majorEastAsia"/>
          <w:sz w:val="22"/>
          <w:szCs w:val="22"/>
          <w:lang w:val="en-GB"/>
        </w:rPr>
        <w:t xml:space="preserve">. Investments contributed to higher productivity of enterprises, export development, job creation, creation of additional RES capacity, increased number of tourists, better engaged and more viable social business, and a more skilled </w:t>
      </w:r>
      <w:r w:rsidR="00C341F9" w:rsidRPr="00763C4D">
        <w:rPr>
          <w:rStyle w:val="normaltextrun"/>
          <w:rFonts w:eastAsiaTheme="majorEastAsia"/>
          <w:sz w:val="22"/>
          <w:szCs w:val="22"/>
          <w:lang w:val="en-GB"/>
        </w:rPr>
        <w:t xml:space="preserve">labour </w:t>
      </w:r>
      <w:r w:rsidRPr="00763C4D">
        <w:rPr>
          <w:rStyle w:val="normaltextrun"/>
          <w:rFonts w:eastAsiaTheme="majorEastAsia"/>
          <w:sz w:val="22"/>
          <w:szCs w:val="22"/>
          <w:lang w:val="en-GB"/>
        </w:rPr>
        <w:t xml:space="preserve">force. </w:t>
      </w:r>
      <w:proofErr w:type="gramStart"/>
      <w:r w:rsidRPr="00763C4D">
        <w:rPr>
          <w:rStyle w:val="normaltextrun"/>
          <w:rFonts w:eastAsiaTheme="majorEastAsia"/>
          <w:sz w:val="22"/>
          <w:szCs w:val="22"/>
          <w:lang w:val="en-GB"/>
        </w:rPr>
        <w:t>In order to</w:t>
      </w:r>
      <w:proofErr w:type="gramEnd"/>
      <w:r w:rsidRPr="00763C4D">
        <w:rPr>
          <w:rStyle w:val="normaltextrun"/>
          <w:rFonts w:eastAsiaTheme="majorEastAsia"/>
          <w:sz w:val="22"/>
          <w:szCs w:val="22"/>
          <w:lang w:val="en-GB"/>
        </w:rPr>
        <w:t xml:space="preserve"> help growing companies raise capital, promote innovation and competitiveness, EUR 194.2 million was invested through the F</w:t>
      </w:r>
      <w:r w:rsidR="00C341F9" w:rsidRPr="00763C4D">
        <w:rPr>
          <w:rStyle w:val="normaltextrun"/>
          <w:rFonts w:eastAsiaTheme="majorEastAsia"/>
          <w:sz w:val="22"/>
          <w:szCs w:val="22"/>
          <w:lang w:val="en-GB"/>
        </w:rPr>
        <w:t>I</w:t>
      </w:r>
      <w:r w:rsidRPr="00763C4D">
        <w:rPr>
          <w:rStyle w:val="normaltextrun"/>
          <w:rFonts w:eastAsiaTheme="majorEastAsia"/>
          <w:sz w:val="22"/>
          <w:szCs w:val="22"/>
          <w:lang w:val="en-GB"/>
        </w:rPr>
        <w:t>.</w:t>
      </w:r>
    </w:p>
    <w:p w14:paraId="18F666F5"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3FD89494" w14:textId="070D0B05" w:rsidR="00ED2AA3" w:rsidRPr="00763C4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sz w:val="22"/>
          <w:szCs w:val="22"/>
          <w:lang w:val="en-GB"/>
        </w:rPr>
        <w:t> </w:t>
      </w:r>
      <w:r w:rsidR="000071A4" w:rsidRPr="00763C4D">
        <w:rPr>
          <w:rStyle w:val="normaltextrun"/>
          <w:rFonts w:eastAsiaTheme="majorEastAsia"/>
          <w:b/>
          <w:bCs/>
          <w:sz w:val="22"/>
          <w:szCs w:val="22"/>
          <w:lang w:val="en-GB"/>
        </w:rPr>
        <w:t>In R&amp;D&amp;I and business areas</w:t>
      </w:r>
      <w:r w:rsidR="000071A4" w:rsidRPr="00763C4D">
        <w:rPr>
          <w:rStyle w:val="normaltextrun"/>
          <w:rFonts w:eastAsiaTheme="majorEastAsia"/>
          <w:sz w:val="22"/>
          <w:szCs w:val="22"/>
          <w:lang w:val="en-GB"/>
        </w:rPr>
        <w:t>,</w:t>
      </w:r>
      <w:r w:rsidR="005533DD" w:rsidRPr="00763C4D">
        <w:rPr>
          <w:sz w:val="22"/>
          <w:szCs w:val="22"/>
        </w:rPr>
        <w:t xml:space="preserve"> </w:t>
      </w:r>
      <w:r w:rsidR="005533DD" w:rsidRPr="00763C4D">
        <w:rPr>
          <w:rStyle w:val="normaltextrun"/>
          <w:rFonts w:eastAsiaTheme="majorEastAsia"/>
          <w:sz w:val="22"/>
          <w:szCs w:val="22"/>
          <w:lang w:val="en-GB"/>
        </w:rPr>
        <w:t xml:space="preserve">to combat </w:t>
      </w:r>
      <w:r w:rsidR="005533DD" w:rsidRPr="00763C4D">
        <w:rPr>
          <w:rStyle w:val="normaltextrun"/>
          <w:rFonts w:eastAsiaTheme="majorEastAsia"/>
          <w:b/>
          <w:bCs/>
          <w:sz w:val="22"/>
          <w:szCs w:val="22"/>
          <w:lang w:val="en-GB"/>
        </w:rPr>
        <w:t>COVID-19</w:t>
      </w:r>
      <w:r w:rsidR="005533DD" w:rsidRPr="00763C4D">
        <w:rPr>
          <w:rStyle w:val="normaltextrun"/>
          <w:rFonts w:eastAsiaTheme="majorEastAsia"/>
          <w:sz w:val="22"/>
          <w:szCs w:val="22"/>
          <w:lang w:val="en-GB"/>
        </w:rPr>
        <w:t>,</w:t>
      </w:r>
      <w:r w:rsidR="000071A4" w:rsidRPr="00763C4D">
        <w:rPr>
          <w:rStyle w:val="normaltextrun"/>
          <w:rFonts w:eastAsiaTheme="majorEastAsia"/>
          <w:sz w:val="22"/>
          <w:szCs w:val="22"/>
          <w:lang w:val="en-GB"/>
        </w:rPr>
        <w:t xml:space="preserve"> </w:t>
      </w:r>
      <w:r w:rsidR="00C341F9" w:rsidRPr="00763C4D">
        <w:rPr>
          <w:rStyle w:val="normaltextrun"/>
          <w:rFonts w:eastAsiaTheme="majorEastAsia"/>
          <w:sz w:val="22"/>
          <w:szCs w:val="22"/>
          <w:lang w:val="en-GB"/>
        </w:rPr>
        <w:t xml:space="preserve">EUR </w:t>
      </w:r>
      <w:r w:rsidR="000071A4" w:rsidRPr="00763C4D">
        <w:rPr>
          <w:rStyle w:val="normaltextrun"/>
          <w:rFonts w:eastAsiaTheme="majorEastAsia"/>
          <w:sz w:val="22"/>
          <w:szCs w:val="22"/>
          <w:lang w:val="en-GB"/>
        </w:rPr>
        <w:t xml:space="preserve">246 million (1512 projects) </w:t>
      </w:r>
      <w:r w:rsidR="0067124D" w:rsidRPr="00763C4D">
        <w:rPr>
          <w:rStyle w:val="normaltextrun"/>
          <w:rFonts w:eastAsiaTheme="majorEastAsia"/>
          <w:sz w:val="22"/>
          <w:szCs w:val="22"/>
          <w:lang w:val="en-GB"/>
        </w:rPr>
        <w:t>was</w:t>
      </w:r>
      <w:r w:rsidR="000071A4" w:rsidRPr="00763C4D">
        <w:rPr>
          <w:rStyle w:val="normaltextrun"/>
          <w:rFonts w:eastAsiaTheme="majorEastAsia"/>
          <w:sz w:val="22"/>
          <w:szCs w:val="22"/>
          <w:lang w:val="en-GB"/>
        </w:rPr>
        <w:t xml:space="preserve"> invested in research, production of COVID-19-relevant products, and deployment of e-commerce models in companies.</w:t>
      </w:r>
      <w:r w:rsidRPr="00763C4D">
        <w:rPr>
          <w:rStyle w:val="normaltextrun"/>
          <w:rFonts w:eastAsiaTheme="majorEastAsia"/>
          <w:sz w:val="22"/>
          <w:szCs w:val="22"/>
          <w:lang w:val="en-GB"/>
        </w:rPr>
        <w:t> </w:t>
      </w:r>
    </w:p>
    <w:p w14:paraId="72C8C7DB"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1BA81173" w14:textId="7359D650" w:rsidR="00ED2AA3" w:rsidRPr="00763C4D" w:rsidRDefault="000071A4"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b/>
          <w:bCs/>
          <w:sz w:val="22"/>
          <w:szCs w:val="22"/>
          <w:lang w:val="en-GB"/>
        </w:rPr>
        <w:t>In the field of information society</w:t>
      </w:r>
      <w:r w:rsidRPr="00763C4D">
        <w:rPr>
          <w:rStyle w:val="normaltextrun"/>
          <w:rFonts w:eastAsiaTheme="majorEastAsia"/>
          <w:sz w:val="22"/>
          <w:szCs w:val="22"/>
          <w:lang w:val="en-GB"/>
        </w:rPr>
        <w:t>, 41 projects were implemented for EUR 193 million. The investment expanded broadband internet connection – coverage of L</w:t>
      </w:r>
      <w:r w:rsidR="00C341F9" w:rsidRPr="00763C4D">
        <w:rPr>
          <w:rStyle w:val="normaltextrun"/>
          <w:rFonts w:eastAsiaTheme="majorEastAsia"/>
          <w:sz w:val="22"/>
          <w:szCs w:val="22"/>
          <w:lang w:val="en-GB"/>
        </w:rPr>
        <w:t>ithuania</w:t>
      </w:r>
      <w:r w:rsidRPr="00763C4D">
        <w:rPr>
          <w:rStyle w:val="normaltextrun"/>
          <w:rFonts w:eastAsiaTheme="majorEastAsia"/>
          <w:sz w:val="22"/>
          <w:szCs w:val="22"/>
          <w:lang w:val="en-GB"/>
        </w:rPr>
        <w:t xml:space="preserve"> by high-speed internet connection increased from 50% to 88%, the protection of L</w:t>
      </w:r>
      <w:r w:rsidR="00C341F9" w:rsidRPr="00763C4D">
        <w:rPr>
          <w:rStyle w:val="normaltextrun"/>
          <w:rFonts w:eastAsiaTheme="majorEastAsia"/>
          <w:sz w:val="22"/>
          <w:szCs w:val="22"/>
          <w:lang w:val="en-GB"/>
        </w:rPr>
        <w:t xml:space="preserve">ithuania’s </w:t>
      </w:r>
      <w:r w:rsidRPr="00763C4D">
        <w:rPr>
          <w:rStyle w:val="normaltextrun"/>
          <w:rFonts w:eastAsiaTheme="majorEastAsia"/>
          <w:sz w:val="22"/>
          <w:szCs w:val="22"/>
          <w:lang w:val="en-GB"/>
        </w:rPr>
        <w:t>information resources was strengthened – a secure network and cyber-attack prevention system was developed, internet accessibility was improved, the supply and quality of public/administrative e-services was developed.</w:t>
      </w:r>
    </w:p>
    <w:p w14:paraId="19B22A0B"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6303A37D" w14:textId="7A8B9678" w:rsidR="00ED2AA3" w:rsidRPr="00763C4D" w:rsidRDefault="000071A4"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b/>
          <w:bCs/>
          <w:sz w:val="22"/>
          <w:szCs w:val="22"/>
          <w:lang w:val="en-GB"/>
        </w:rPr>
        <w:t>In the area of employment</w:t>
      </w:r>
      <w:r w:rsidRPr="00763C4D">
        <w:rPr>
          <w:rStyle w:val="normaltextrun"/>
          <w:rFonts w:eastAsiaTheme="majorEastAsia"/>
          <w:sz w:val="22"/>
          <w:szCs w:val="22"/>
          <w:lang w:val="en-GB"/>
        </w:rPr>
        <w:t xml:space="preserve">, EUR 521 million was invested. The focus is on the long-term and low-skilled unemployed, people with disabilities, young people not in employment, education or training. </w:t>
      </w:r>
      <w:r w:rsidR="00697A82" w:rsidRPr="00697A82">
        <w:rPr>
          <w:rStyle w:val="normaltextrun"/>
          <w:rFonts w:eastAsiaTheme="majorEastAsia"/>
          <w:sz w:val="22"/>
          <w:szCs w:val="22"/>
          <w:lang w:val="en-GB"/>
        </w:rPr>
        <w:t>Active labo</w:t>
      </w:r>
      <w:r w:rsidR="00697A82">
        <w:rPr>
          <w:rStyle w:val="normaltextrun"/>
          <w:rFonts w:eastAsiaTheme="majorEastAsia"/>
          <w:sz w:val="22"/>
          <w:szCs w:val="22"/>
          <w:lang w:val="en-GB"/>
        </w:rPr>
        <w:t>u</w:t>
      </w:r>
      <w:r w:rsidR="00697A82" w:rsidRPr="00697A82">
        <w:rPr>
          <w:rStyle w:val="normaltextrun"/>
          <w:rFonts w:eastAsiaTheme="majorEastAsia"/>
          <w:sz w:val="22"/>
          <w:szCs w:val="22"/>
          <w:lang w:val="en-GB"/>
        </w:rPr>
        <w:t>r market policies</w:t>
      </w:r>
      <w:r w:rsidR="00697A82" w:rsidRPr="00697A82">
        <w:rPr>
          <w:rStyle w:val="normaltextrun"/>
          <w:rFonts w:eastAsiaTheme="majorEastAsia"/>
          <w:sz w:val="22"/>
          <w:szCs w:val="22"/>
          <w:lang w:val="en-GB"/>
        </w:rPr>
        <w:t xml:space="preserve"> </w:t>
      </w:r>
      <w:r w:rsidR="00697A82">
        <w:rPr>
          <w:rStyle w:val="normaltextrun"/>
          <w:rFonts w:eastAsiaTheme="majorEastAsia"/>
          <w:sz w:val="22"/>
          <w:szCs w:val="22"/>
          <w:lang w:val="en-GB"/>
        </w:rPr>
        <w:t>(</w:t>
      </w:r>
      <w:r w:rsidRPr="00763C4D">
        <w:rPr>
          <w:rStyle w:val="normaltextrun"/>
          <w:rFonts w:eastAsiaTheme="majorEastAsia"/>
          <w:sz w:val="22"/>
          <w:szCs w:val="22"/>
          <w:lang w:val="en-GB"/>
        </w:rPr>
        <w:t>ALMP</w:t>
      </w:r>
      <w:r w:rsidR="00697A82">
        <w:rPr>
          <w:rStyle w:val="normaltextrun"/>
          <w:rFonts w:eastAsiaTheme="majorEastAsia"/>
          <w:sz w:val="22"/>
          <w:szCs w:val="22"/>
          <w:lang w:val="en-GB"/>
        </w:rPr>
        <w:t>)</w:t>
      </w:r>
      <w:r w:rsidR="00075ECA" w:rsidRPr="00763C4D">
        <w:rPr>
          <w:rStyle w:val="normaltextrun"/>
          <w:rFonts w:eastAsiaTheme="majorEastAsia"/>
          <w:sz w:val="22"/>
          <w:szCs w:val="22"/>
          <w:lang w:val="en-GB"/>
        </w:rPr>
        <w:t xml:space="preserve"> measures</w:t>
      </w:r>
      <w:r w:rsidRPr="00763C4D">
        <w:rPr>
          <w:rStyle w:val="normaltextrun"/>
          <w:rFonts w:eastAsiaTheme="majorEastAsia"/>
          <w:sz w:val="22"/>
          <w:szCs w:val="22"/>
          <w:lang w:val="en-GB"/>
        </w:rPr>
        <w:t xml:space="preserve">, measures to promote and motivate employment, rehabilitation services for people with disabilities, financial incentives for employers hiring people experiencing difficulties in the labour market were provided. </w:t>
      </w:r>
      <w:proofErr w:type="gramStart"/>
      <w:r w:rsidRPr="00763C4D">
        <w:rPr>
          <w:rStyle w:val="normaltextrun"/>
          <w:rFonts w:eastAsiaTheme="majorEastAsia"/>
          <w:sz w:val="22"/>
          <w:szCs w:val="22"/>
          <w:lang w:val="en-GB"/>
        </w:rPr>
        <w:t>In order to</w:t>
      </w:r>
      <w:proofErr w:type="gramEnd"/>
      <w:r w:rsidRPr="00763C4D">
        <w:rPr>
          <w:rStyle w:val="normaltextrun"/>
          <w:rFonts w:eastAsiaTheme="majorEastAsia"/>
          <w:sz w:val="22"/>
          <w:szCs w:val="22"/>
          <w:lang w:val="en-GB"/>
        </w:rPr>
        <w:t xml:space="preserve"> promote employment, EUR 24.6 million was invested through </w:t>
      </w:r>
      <w:r w:rsidR="005533DD" w:rsidRPr="00763C4D">
        <w:rPr>
          <w:rStyle w:val="normaltextrun"/>
          <w:rFonts w:eastAsiaTheme="majorEastAsia"/>
          <w:sz w:val="22"/>
          <w:szCs w:val="22"/>
          <w:lang w:val="en-GB"/>
        </w:rPr>
        <w:t xml:space="preserve">the </w:t>
      </w:r>
      <w:r w:rsidRPr="00763C4D">
        <w:rPr>
          <w:rStyle w:val="normaltextrun"/>
          <w:rFonts w:eastAsiaTheme="majorEastAsia"/>
          <w:sz w:val="22"/>
          <w:szCs w:val="22"/>
          <w:lang w:val="en-GB"/>
        </w:rPr>
        <w:t>F</w:t>
      </w:r>
      <w:r w:rsidR="00EC743F" w:rsidRPr="00763C4D">
        <w:rPr>
          <w:rStyle w:val="normaltextrun"/>
          <w:rFonts w:eastAsiaTheme="majorEastAsia"/>
          <w:sz w:val="22"/>
          <w:szCs w:val="22"/>
          <w:lang w:val="en-GB"/>
        </w:rPr>
        <w:t>I</w:t>
      </w:r>
      <w:r w:rsidRPr="00763C4D">
        <w:rPr>
          <w:rStyle w:val="normaltextrun"/>
          <w:rFonts w:eastAsiaTheme="majorEastAsia"/>
          <w:sz w:val="22"/>
          <w:szCs w:val="22"/>
          <w:lang w:val="en-GB"/>
        </w:rPr>
        <w:t xml:space="preserve"> to create jobs in start-ups. Investments contributed to employment and unemployment </w:t>
      </w:r>
      <w:r w:rsidR="00EC743F" w:rsidRPr="00763C4D">
        <w:rPr>
          <w:rStyle w:val="normaltextrun"/>
          <w:rFonts w:eastAsiaTheme="majorEastAsia"/>
          <w:sz w:val="22"/>
          <w:szCs w:val="22"/>
          <w:lang w:val="en-GB"/>
        </w:rPr>
        <w:t xml:space="preserve">reduction </w:t>
      </w:r>
      <w:r w:rsidRPr="00763C4D">
        <w:rPr>
          <w:rStyle w:val="normaltextrun"/>
          <w:rFonts w:eastAsiaTheme="majorEastAsia"/>
          <w:sz w:val="22"/>
          <w:szCs w:val="22"/>
          <w:lang w:val="en-GB"/>
        </w:rPr>
        <w:t>of the population – in 2023, the unemployment rate in L</w:t>
      </w:r>
      <w:r w:rsidR="00EC743F" w:rsidRPr="00763C4D">
        <w:rPr>
          <w:rStyle w:val="normaltextrun"/>
          <w:rFonts w:eastAsiaTheme="majorEastAsia"/>
          <w:sz w:val="22"/>
          <w:szCs w:val="22"/>
          <w:lang w:val="en-GB"/>
        </w:rPr>
        <w:t xml:space="preserve">ithuania </w:t>
      </w:r>
      <w:r w:rsidRPr="00763C4D">
        <w:rPr>
          <w:rStyle w:val="normaltextrun"/>
          <w:rFonts w:eastAsiaTheme="majorEastAsia"/>
          <w:sz w:val="22"/>
          <w:szCs w:val="22"/>
          <w:lang w:val="en-GB"/>
        </w:rPr>
        <w:t>decreased by 5% compared to 2013, while the employment rate increased by 7.5% (</w:t>
      </w:r>
      <w:r w:rsidR="00697A82" w:rsidRPr="00697A82">
        <w:rPr>
          <w:rStyle w:val="normaltextrun"/>
          <w:rFonts w:eastAsiaTheme="majorEastAsia"/>
          <w:sz w:val="22"/>
          <w:szCs w:val="22"/>
          <w:lang w:val="en-GB"/>
        </w:rPr>
        <w:t>State Data Agency</w:t>
      </w:r>
      <w:r w:rsidRPr="00763C4D">
        <w:rPr>
          <w:rStyle w:val="normaltextrun"/>
          <w:rFonts w:eastAsiaTheme="majorEastAsia"/>
          <w:sz w:val="22"/>
          <w:szCs w:val="22"/>
          <w:lang w:val="en-GB"/>
        </w:rPr>
        <w:t>).</w:t>
      </w:r>
    </w:p>
    <w:p w14:paraId="1DA3D4CB"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3127362E" w14:textId="20EBD4F1" w:rsidR="00ED2AA3" w:rsidRPr="00763C4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sz w:val="22"/>
          <w:szCs w:val="22"/>
          <w:lang w:val="en-GB"/>
        </w:rPr>
        <w:t> </w:t>
      </w:r>
      <w:r w:rsidR="000071A4" w:rsidRPr="00763C4D">
        <w:rPr>
          <w:rStyle w:val="normaltextrun"/>
          <w:rFonts w:eastAsiaTheme="majorEastAsia"/>
          <w:b/>
          <w:bCs/>
          <w:sz w:val="22"/>
          <w:szCs w:val="22"/>
          <w:lang w:val="en-GB"/>
        </w:rPr>
        <w:t>In the area of social inclusion</w:t>
      </w:r>
      <w:r w:rsidR="000071A4" w:rsidRPr="00763C4D">
        <w:rPr>
          <w:rStyle w:val="normaltextrun"/>
          <w:rFonts w:eastAsiaTheme="majorEastAsia"/>
          <w:sz w:val="22"/>
          <w:szCs w:val="22"/>
          <w:lang w:val="en-GB"/>
        </w:rPr>
        <w:t xml:space="preserve">, a national reform took place, moving from institutional care to family and community-based services for persons with disabilities and children deprived of parental care. The aim was to reform all </w:t>
      </w:r>
      <w:r w:rsidR="005533DD" w:rsidRPr="00763C4D">
        <w:rPr>
          <w:rStyle w:val="normaltextrun"/>
          <w:rFonts w:eastAsiaTheme="majorEastAsia"/>
          <w:sz w:val="22"/>
          <w:szCs w:val="22"/>
          <w:lang w:val="en-GB"/>
        </w:rPr>
        <w:t>childcare</w:t>
      </w:r>
      <w:r w:rsidR="000071A4" w:rsidRPr="00763C4D">
        <w:rPr>
          <w:rStyle w:val="normaltextrun"/>
          <w:rFonts w:eastAsiaTheme="majorEastAsia"/>
          <w:sz w:val="22"/>
          <w:szCs w:val="22"/>
          <w:lang w:val="en-GB"/>
        </w:rPr>
        <w:t xml:space="preserve"> institutions, </w:t>
      </w:r>
      <w:r w:rsidR="005533DD" w:rsidRPr="00763C4D">
        <w:rPr>
          <w:rStyle w:val="normaltextrun"/>
          <w:rFonts w:eastAsiaTheme="majorEastAsia"/>
          <w:sz w:val="22"/>
          <w:szCs w:val="22"/>
          <w:lang w:val="en-GB"/>
        </w:rPr>
        <w:t>and institutional care for persons with disabilities was restructured</w:t>
      </w:r>
      <w:r w:rsidR="000071A4" w:rsidRPr="00763C4D">
        <w:rPr>
          <w:rStyle w:val="normaltextrun"/>
          <w:rFonts w:eastAsiaTheme="majorEastAsia"/>
          <w:sz w:val="22"/>
          <w:szCs w:val="22"/>
          <w:lang w:val="en-GB"/>
        </w:rPr>
        <w:t>. During the transition, service infrastructure in the regions was developed and new forms of services for target groups were created (EUR 111 million was invested).</w:t>
      </w:r>
      <w:r w:rsidR="005533DD" w:rsidRPr="00763C4D">
        <w:rPr>
          <w:rStyle w:val="normaltextrun"/>
          <w:rFonts w:eastAsiaTheme="majorEastAsia"/>
          <w:sz w:val="22"/>
          <w:szCs w:val="22"/>
          <w:lang w:val="en-GB"/>
        </w:rPr>
        <w:t xml:space="preserve"> </w:t>
      </w:r>
    </w:p>
    <w:p w14:paraId="485652A9"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32ADEFF7" w14:textId="33B94147" w:rsidR="00ED2AA3" w:rsidRPr="00763C4D" w:rsidRDefault="000071A4"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b/>
          <w:bCs/>
          <w:sz w:val="22"/>
          <w:szCs w:val="22"/>
          <w:lang w:val="en-GB"/>
        </w:rPr>
        <w:t>In the field of health</w:t>
      </w:r>
      <w:r w:rsidRPr="00763C4D">
        <w:rPr>
          <w:rStyle w:val="normaltextrun"/>
          <w:rFonts w:eastAsiaTheme="majorEastAsia"/>
          <w:sz w:val="22"/>
          <w:szCs w:val="22"/>
          <w:lang w:val="en-GB"/>
        </w:rPr>
        <w:t xml:space="preserve">, investments were made in geriatrics, children's health, prevention/treatment of addiction, circulatory and oncological diseases, and contributed to solving the </w:t>
      </w:r>
      <w:r w:rsidR="006F4762" w:rsidRPr="00763C4D">
        <w:rPr>
          <w:rStyle w:val="normaltextrun"/>
          <w:rFonts w:eastAsiaTheme="majorEastAsia"/>
          <w:sz w:val="22"/>
          <w:szCs w:val="22"/>
          <w:lang w:val="en-GB"/>
        </w:rPr>
        <w:t>multimorbidity</w:t>
      </w:r>
      <w:r w:rsidRPr="00763C4D">
        <w:rPr>
          <w:rStyle w:val="normaltextrun"/>
          <w:rFonts w:eastAsiaTheme="majorEastAsia"/>
          <w:sz w:val="22"/>
          <w:szCs w:val="22"/>
          <w:lang w:val="en-GB"/>
        </w:rPr>
        <w:t xml:space="preserve"> of the population, chronic non-infectious and socially related health conditions. For EUR 324 million, 530 projects were </w:t>
      </w:r>
      <w:r w:rsidR="00AA480C" w:rsidRPr="00763C4D">
        <w:rPr>
          <w:rStyle w:val="normaltextrun"/>
          <w:rFonts w:eastAsiaTheme="majorEastAsia"/>
          <w:sz w:val="22"/>
          <w:szCs w:val="22"/>
          <w:lang w:val="en-GB"/>
        </w:rPr>
        <w:t>implement</w:t>
      </w:r>
      <w:r w:rsidRPr="00763C4D">
        <w:rPr>
          <w:rStyle w:val="normaltextrun"/>
          <w:rFonts w:eastAsiaTheme="majorEastAsia"/>
          <w:sz w:val="22"/>
          <w:szCs w:val="22"/>
          <w:lang w:val="en-GB"/>
        </w:rPr>
        <w:t>ed, which encouraged the improvement of the quality/accessibility of health infrastructure, the improvement of the qualification of specialists, the improvement of health literacy of target groups, disease prevention, and the development of innovative and effective service delivery models. Investments improved the quality and accessibility of healthcare for</w:t>
      </w:r>
      <w:r w:rsidR="00832CA6" w:rsidRPr="00763C4D">
        <w:rPr>
          <w:rStyle w:val="normaltextrun"/>
          <w:rFonts w:eastAsiaTheme="majorEastAsia"/>
          <w:sz w:val="22"/>
          <w:szCs w:val="22"/>
          <w:lang w:val="en-GB"/>
        </w:rPr>
        <w:t xml:space="preserve"> the</w:t>
      </w:r>
      <w:r w:rsidRPr="00763C4D">
        <w:rPr>
          <w:rStyle w:val="normaltextrun"/>
          <w:rFonts w:eastAsiaTheme="majorEastAsia"/>
          <w:sz w:val="22"/>
          <w:szCs w:val="22"/>
          <w:lang w:val="en-GB"/>
        </w:rPr>
        <w:t xml:space="preserve"> L</w:t>
      </w:r>
      <w:r w:rsidR="00832CA6" w:rsidRPr="00763C4D">
        <w:rPr>
          <w:rStyle w:val="normaltextrun"/>
          <w:rFonts w:eastAsiaTheme="majorEastAsia"/>
          <w:sz w:val="22"/>
          <w:szCs w:val="22"/>
          <w:lang w:val="en-GB"/>
        </w:rPr>
        <w:t>ithuanian</w:t>
      </w:r>
      <w:r w:rsidRPr="00763C4D">
        <w:rPr>
          <w:rStyle w:val="normaltextrun"/>
          <w:rFonts w:eastAsiaTheme="majorEastAsia"/>
          <w:sz w:val="22"/>
          <w:szCs w:val="22"/>
          <w:lang w:val="en-GB"/>
        </w:rPr>
        <w:t xml:space="preserve"> </w:t>
      </w:r>
      <w:r w:rsidR="00832CA6" w:rsidRPr="00763C4D">
        <w:rPr>
          <w:rStyle w:val="normaltextrun"/>
          <w:rFonts w:eastAsiaTheme="majorEastAsia"/>
          <w:sz w:val="22"/>
          <w:szCs w:val="22"/>
          <w:lang w:val="en-GB"/>
        </w:rPr>
        <w:t>population</w:t>
      </w:r>
      <w:r w:rsidRPr="00763C4D">
        <w:rPr>
          <w:rStyle w:val="normaltextrun"/>
          <w:rFonts w:eastAsiaTheme="majorEastAsia"/>
          <w:sz w:val="22"/>
          <w:szCs w:val="22"/>
          <w:lang w:val="en-GB"/>
        </w:rPr>
        <w:t>.</w:t>
      </w:r>
    </w:p>
    <w:p w14:paraId="55DBB703" w14:textId="77777777" w:rsidR="00ED2AA3" w:rsidRPr="00763C4D" w:rsidRDefault="00ED2AA3" w:rsidP="00D80D8E">
      <w:pPr>
        <w:pStyle w:val="paragraph"/>
        <w:spacing w:before="0" w:beforeAutospacing="0" w:after="0" w:afterAutospacing="0"/>
        <w:jc w:val="both"/>
        <w:textAlignment w:val="baseline"/>
        <w:rPr>
          <w:rFonts w:ascii="Segoe UI" w:hAnsi="Segoe UI" w:cs="Segoe UI"/>
          <w:sz w:val="22"/>
          <w:szCs w:val="22"/>
          <w:lang w:val="en-GB"/>
        </w:rPr>
      </w:pPr>
      <w:r w:rsidRPr="00763C4D">
        <w:rPr>
          <w:rStyle w:val="eop"/>
          <w:rFonts w:eastAsiaTheme="majorEastAsia"/>
          <w:sz w:val="22"/>
          <w:szCs w:val="22"/>
          <w:lang w:val="en-GB"/>
        </w:rPr>
        <w:t> </w:t>
      </w:r>
    </w:p>
    <w:p w14:paraId="6908D796" w14:textId="62FDAAE3" w:rsidR="00ED2AA3" w:rsidRPr="00763C4D" w:rsidRDefault="000071A4" w:rsidP="00D80D8E">
      <w:pPr>
        <w:pStyle w:val="paragraph"/>
        <w:spacing w:before="0" w:beforeAutospacing="0" w:after="0" w:afterAutospacing="0"/>
        <w:ind w:firstLine="851"/>
        <w:jc w:val="both"/>
        <w:textAlignment w:val="baseline"/>
        <w:rPr>
          <w:rStyle w:val="normaltextrun"/>
          <w:rFonts w:eastAsiaTheme="majorEastAsia"/>
          <w:sz w:val="22"/>
          <w:szCs w:val="22"/>
          <w:lang w:val="en-GB"/>
        </w:rPr>
      </w:pPr>
      <w:r w:rsidRPr="00763C4D">
        <w:rPr>
          <w:rStyle w:val="normaltextrun"/>
          <w:rFonts w:eastAsiaTheme="majorEastAsia"/>
          <w:b/>
          <w:bCs/>
          <w:sz w:val="22"/>
          <w:szCs w:val="22"/>
          <w:lang w:val="en-GB"/>
        </w:rPr>
        <w:t>In the field of culture</w:t>
      </w:r>
      <w:r w:rsidRPr="00763C4D">
        <w:rPr>
          <w:rStyle w:val="normaltextrun"/>
          <w:rFonts w:eastAsiaTheme="majorEastAsia"/>
          <w:sz w:val="22"/>
          <w:szCs w:val="22"/>
          <w:lang w:val="en-GB"/>
        </w:rPr>
        <w:t xml:space="preserve">, EUR 291 million was invested, 259 projects were </w:t>
      </w:r>
      <w:r w:rsidR="00AA480C" w:rsidRPr="00763C4D">
        <w:rPr>
          <w:rStyle w:val="normaltextrun"/>
          <w:rFonts w:eastAsiaTheme="majorEastAsia"/>
          <w:sz w:val="22"/>
          <w:szCs w:val="22"/>
          <w:lang w:val="en-GB"/>
        </w:rPr>
        <w:t>implement</w:t>
      </w:r>
      <w:r w:rsidRPr="00763C4D">
        <w:rPr>
          <w:rStyle w:val="normaltextrun"/>
          <w:rFonts w:eastAsiaTheme="majorEastAsia"/>
          <w:sz w:val="22"/>
          <w:szCs w:val="22"/>
          <w:lang w:val="en-GB"/>
        </w:rPr>
        <w:t>ed, which increased the relevance of cultural and natural heritage, the attendance/recognition of their objects, improved the image of tourism in L</w:t>
      </w:r>
      <w:r w:rsidR="00664C5F" w:rsidRPr="00763C4D">
        <w:rPr>
          <w:rStyle w:val="normaltextrun"/>
          <w:rFonts w:eastAsiaTheme="majorEastAsia"/>
          <w:sz w:val="22"/>
          <w:szCs w:val="22"/>
          <w:lang w:val="en-GB"/>
        </w:rPr>
        <w:t>ithuania</w:t>
      </w:r>
      <w:r w:rsidRPr="00763C4D">
        <w:rPr>
          <w:rStyle w:val="normaltextrun"/>
          <w:rFonts w:eastAsiaTheme="majorEastAsia"/>
          <w:sz w:val="22"/>
          <w:szCs w:val="22"/>
          <w:lang w:val="en-GB"/>
        </w:rPr>
        <w:t xml:space="preserve">, and increased the interest of residents in heritage. EUR 2.8 million </w:t>
      </w:r>
      <w:r w:rsidR="00AA480C" w:rsidRPr="00763C4D">
        <w:rPr>
          <w:rStyle w:val="normaltextrun"/>
          <w:rFonts w:eastAsiaTheme="majorEastAsia"/>
          <w:sz w:val="22"/>
          <w:szCs w:val="22"/>
          <w:lang w:val="en-GB"/>
        </w:rPr>
        <w:t>was</w:t>
      </w:r>
      <w:r w:rsidRPr="00763C4D">
        <w:rPr>
          <w:rStyle w:val="normaltextrun"/>
          <w:rFonts w:eastAsiaTheme="majorEastAsia"/>
          <w:sz w:val="22"/>
          <w:szCs w:val="22"/>
          <w:lang w:val="en-GB"/>
        </w:rPr>
        <w:t xml:space="preserve"> invested through</w:t>
      </w:r>
      <w:r w:rsidR="00664C5F" w:rsidRPr="00763C4D">
        <w:rPr>
          <w:rStyle w:val="normaltextrun"/>
          <w:rFonts w:eastAsiaTheme="majorEastAsia"/>
          <w:sz w:val="22"/>
          <w:szCs w:val="22"/>
          <w:lang w:val="en-GB"/>
        </w:rPr>
        <w:t xml:space="preserve"> the</w:t>
      </w:r>
      <w:r w:rsidRPr="00763C4D">
        <w:rPr>
          <w:rStyle w:val="normaltextrun"/>
          <w:rFonts w:eastAsiaTheme="majorEastAsia"/>
          <w:sz w:val="22"/>
          <w:szCs w:val="22"/>
          <w:lang w:val="en-GB"/>
        </w:rPr>
        <w:t xml:space="preserve"> F</w:t>
      </w:r>
      <w:r w:rsidR="00664C5F" w:rsidRPr="00763C4D">
        <w:rPr>
          <w:rStyle w:val="normaltextrun"/>
          <w:rFonts w:eastAsiaTheme="majorEastAsia"/>
          <w:sz w:val="22"/>
          <w:szCs w:val="22"/>
          <w:lang w:val="en-GB"/>
        </w:rPr>
        <w:t>I</w:t>
      </w:r>
      <w:r w:rsidRPr="00763C4D">
        <w:rPr>
          <w:rStyle w:val="normaltextrun"/>
          <w:rFonts w:eastAsiaTheme="majorEastAsia"/>
          <w:sz w:val="22"/>
          <w:szCs w:val="22"/>
          <w:lang w:val="en-GB"/>
        </w:rPr>
        <w:t xml:space="preserve"> to renovate/adapt heritage sites. EUR 21 million </w:t>
      </w:r>
      <w:r w:rsidR="00AA480C" w:rsidRPr="00763C4D">
        <w:rPr>
          <w:rStyle w:val="normaltextrun"/>
          <w:rFonts w:eastAsiaTheme="majorEastAsia"/>
          <w:sz w:val="22"/>
          <w:szCs w:val="22"/>
          <w:lang w:val="en-GB"/>
        </w:rPr>
        <w:t>was</w:t>
      </w:r>
      <w:r w:rsidRPr="00763C4D">
        <w:rPr>
          <w:rStyle w:val="normaltextrun"/>
          <w:rFonts w:eastAsiaTheme="majorEastAsia"/>
          <w:sz w:val="22"/>
          <w:szCs w:val="22"/>
          <w:lang w:val="en-GB"/>
        </w:rPr>
        <w:t xml:space="preserve"> invested </w:t>
      </w:r>
      <w:proofErr w:type="gramStart"/>
      <w:r w:rsidRPr="00763C4D">
        <w:rPr>
          <w:rStyle w:val="normaltextrun"/>
          <w:rFonts w:eastAsiaTheme="majorEastAsia"/>
          <w:sz w:val="22"/>
          <w:szCs w:val="22"/>
          <w:lang w:val="en-GB"/>
        </w:rPr>
        <w:t>in the area of</w:t>
      </w:r>
      <w:proofErr w:type="gramEnd"/>
      <w:r w:rsidRPr="00763C4D">
        <w:rPr>
          <w:rStyle w:val="normaltextrun"/>
          <w:rFonts w:eastAsiaTheme="majorEastAsia"/>
          <w:sz w:val="22"/>
          <w:szCs w:val="22"/>
          <w:lang w:val="en-GB"/>
        </w:rPr>
        <w:t xml:space="preserve"> COVID-19 and 103 projects </w:t>
      </w:r>
      <w:r w:rsidR="00AA480C" w:rsidRPr="00763C4D">
        <w:rPr>
          <w:rStyle w:val="normaltextrun"/>
          <w:rFonts w:eastAsiaTheme="majorEastAsia"/>
          <w:sz w:val="22"/>
          <w:szCs w:val="22"/>
          <w:lang w:val="en-GB"/>
        </w:rPr>
        <w:t>were implemented</w:t>
      </w:r>
      <w:r w:rsidRPr="00763C4D">
        <w:rPr>
          <w:rStyle w:val="normaltextrun"/>
          <w:rFonts w:eastAsiaTheme="majorEastAsia"/>
          <w:sz w:val="22"/>
          <w:szCs w:val="22"/>
          <w:lang w:val="en-GB"/>
        </w:rPr>
        <w:t>, creating conditions that increase competition, sales and added value for CCI companies, thus increasing the share of the circular and digital economy in L</w:t>
      </w:r>
      <w:r w:rsidR="00613683" w:rsidRPr="00763C4D">
        <w:rPr>
          <w:rStyle w:val="normaltextrun"/>
          <w:rFonts w:eastAsiaTheme="majorEastAsia"/>
          <w:sz w:val="22"/>
          <w:szCs w:val="22"/>
          <w:lang w:val="en-GB"/>
        </w:rPr>
        <w:t>ithuania</w:t>
      </w:r>
      <w:r w:rsidRPr="00763C4D">
        <w:rPr>
          <w:rStyle w:val="normaltextrun"/>
          <w:rFonts w:eastAsiaTheme="majorEastAsia"/>
          <w:sz w:val="22"/>
          <w:szCs w:val="22"/>
          <w:lang w:val="en-GB"/>
        </w:rPr>
        <w:t>.</w:t>
      </w:r>
    </w:p>
    <w:p w14:paraId="77C65B04" w14:textId="77777777" w:rsidR="00ED2AA3" w:rsidRDefault="00ED2AA3" w:rsidP="00D80D8E">
      <w:pPr>
        <w:autoSpaceDE w:val="0"/>
        <w:autoSpaceDN w:val="0"/>
        <w:adjustRightInd w:val="0"/>
        <w:spacing w:after="0" w:line="240" w:lineRule="auto"/>
        <w:jc w:val="both"/>
        <w:rPr>
          <w:rFonts w:ascii="Times New Roman" w:hAnsi="Times New Roman" w:cs="Times New Roman"/>
          <w:b/>
          <w:color w:val="000000"/>
          <w:lang w:val="en-GB"/>
        </w:rPr>
      </w:pPr>
    </w:p>
    <w:p w14:paraId="1946F17B" w14:textId="77777777" w:rsidR="00763C4D" w:rsidRDefault="00763C4D" w:rsidP="00D80D8E">
      <w:pPr>
        <w:autoSpaceDE w:val="0"/>
        <w:autoSpaceDN w:val="0"/>
        <w:adjustRightInd w:val="0"/>
        <w:spacing w:after="0" w:line="240" w:lineRule="auto"/>
        <w:jc w:val="both"/>
        <w:rPr>
          <w:rFonts w:ascii="Times New Roman" w:hAnsi="Times New Roman" w:cs="Times New Roman"/>
          <w:b/>
          <w:color w:val="000000"/>
          <w:lang w:val="en-GB"/>
        </w:rPr>
      </w:pPr>
    </w:p>
    <w:p w14:paraId="1FF11CD2" w14:textId="77777777" w:rsidR="00763C4D" w:rsidRPr="00763C4D" w:rsidRDefault="00763C4D" w:rsidP="00D80D8E">
      <w:pPr>
        <w:autoSpaceDE w:val="0"/>
        <w:autoSpaceDN w:val="0"/>
        <w:adjustRightInd w:val="0"/>
        <w:spacing w:after="0" w:line="240" w:lineRule="auto"/>
        <w:jc w:val="both"/>
        <w:rPr>
          <w:rFonts w:ascii="Times New Roman" w:hAnsi="Times New Roman" w:cs="Times New Roman"/>
          <w:b/>
          <w:color w:val="000000"/>
          <w:lang w:val="en-GB"/>
        </w:rPr>
      </w:pPr>
    </w:p>
    <w:p w14:paraId="3F6C80A9" w14:textId="75A7A86A" w:rsidR="00B13D20" w:rsidRPr="00763C4D" w:rsidRDefault="000071A4" w:rsidP="00D80D8E">
      <w:pPr>
        <w:autoSpaceDE w:val="0"/>
        <w:autoSpaceDN w:val="0"/>
        <w:adjustRightInd w:val="0"/>
        <w:spacing w:after="0" w:line="240" w:lineRule="auto"/>
        <w:jc w:val="center"/>
        <w:rPr>
          <w:rFonts w:ascii="Times New Roman" w:hAnsi="Times New Roman" w:cs="Times New Roman"/>
          <w:b/>
          <w:color w:val="000000"/>
          <w:lang w:val="en-GB"/>
        </w:rPr>
      </w:pPr>
      <w:r w:rsidRPr="00763C4D">
        <w:rPr>
          <w:rFonts w:ascii="Times New Roman" w:hAnsi="Times New Roman" w:cs="Times New Roman"/>
          <w:b/>
          <w:color w:val="000000"/>
          <w:lang w:val="en-GB"/>
        </w:rPr>
        <w:t>EFFICIEN</w:t>
      </w:r>
      <w:r w:rsidR="00613683" w:rsidRPr="00763C4D">
        <w:rPr>
          <w:rFonts w:ascii="Times New Roman" w:hAnsi="Times New Roman" w:cs="Times New Roman"/>
          <w:b/>
          <w:color w:val="000000"/>
          <w:lang w:val="en-GB"/>
        </w:rPr>
        <w:t xml:space="preserve">T </w:t>
      </w:r>
      <w:r w:rsidRPr="00763C4D">
        <w:rPr>
          <w:rFonts w:ascii="Times New Roman" w:hAnsi="Times New Roman" w:cs="Times New Roman"/>
          <w:b/>
          <w:color w:val="000000"/>
          <w:lang w:val="en-GB"/>
        </w:rPr>
        <w:t>USE OF INVESTMENTS</w:t>
      </w:r>
    </w:p>
    <w:p w14:paraId="7219A844" w14:textId="77777777" w:rsidR="00404FDF" w:rsidRPr="00763C4D" w:rsidRDefault="00404FDF" w:rsidP="00D80D8E">
      <w:pPr>
        <w:pStyle w:val="Pagrindinistekstas1"/>
        <w:spacing w:before="0" w:after="0" w:line="240" w:lineRule="auto"/>
        <w:ind w:right="23"/>
        <w:rPr>
          <w:color w:val="000000"/>
          <w:lang w:val="en-GB"/>
        </w:rPr>
      </w:pPr>
    </w:p>
    <w:p w14:paraId="7BF4455E" w14:textId="150D5D3B" w:rsidR="00404FDF" w:rsidRPr="00763C4D" w:rsidRDefault="000071A4" w:rsidP="009B0CCA">
      <w:pPr>
        <w:pStyle w:val="Pagrindinistekstas1"/>
        <w:shd w:val="clear" w:color="auto" w:fill="FFFFFF" w:themeFill="background1"/>
        <w:spacing w:before="0" w:after="0" w:line="240" w:lineRule="auto"/>
        <w:ind w:right="23" w:firstLine="851"/>
        <w:rPr>
          <w:color w:val="000000" w:themeColor="text1"/>
          <w:lang w:val="en-GB"/>
        </w:rPr>
      </w:pPr>
      <w:bookmarkStart w:id="1" w:name="_Hlk191635204"/>
      <w:r w:rsidRPr="00763C4D">
        <w:rPr>
          <w:color w:val="000000" w:themeColor="text1"/>
          <w:lang w:val="en-GB"/>
        </w:rPr>
        <w:t>The 2014-2020 period has been successfully completed with the effective investment of EU structural funds and the achievement of most of the planned indicators. During the implementation of the activities provided for in the Operational Programme, regular monitoring of risky projects was carried out and the risk of investment of funds was managed.</w:t>
      </w:r>
    </w:p>
    <w:bookmarkEnd w:id="1"/>
    <w:p w14:paraId="7A1EA3C5" w14:textId="323F18A4" w:rsidR="005F30F3" w:rsidRPr="00763C4D" w:rsidRDefault="000071A4" w:rsidP="00D80D8E">
      <w:pPr>
        <w:pStyle w:val="Pagrindinistekstas1"/>
        <w:spacing w:before="0" w:after="0" w:line="240" w:lineRule="auto"/>
        <w:ind w:right="23" w:firstLine="851"/>
        <w:rPr>
          <w:color w:val="000000"/>
          <w:lang w:val="en-GB"/>
        </w:rPr>
      </w:pPr>
      <w:r w:rsidRPr="00763C4D">
        <w:rPr>
          <w:color w:val="000000" w:themeColor="text1"/>
          <w:lang w:val="en-GB"/>
        </w:rPr>
        <w:t>In total, EUR 8</w:t>
      </w:r>
      <w:r w:rsidR="00A0499F" w:rsidRPr="00763C4D">
        <w:rPr>
          <w:color w:val="000000" w:themeColor="text1"/>
          <w:lang w:val="en-GB"/>
        </w:rPr>
        <w:t>,</w:t>
      </w:r>
      <w:r w:rsidRPr="00763C4D">
        <w:rPr>
          <w:color w:val="000000" w:themeColor="text1"/>
          <w:lang w:val="en-GB"/>
        </w:rPr>
        <w:t xml:space="preserve">212 million </w:t>
      </w:r>
      <w:r w:rsidR="008F6D66" w:rsidRPr="00763C4D">
        <w:rPr>
          <w:color w:val="000000" w:themeColor="text1"/>
          <w:lang w:val="en-GB"/>
        </w:rPr>
        <w:t>was</w:t>
      </w:r>
      <w:r w:rsidRPr="00763C4D">
        <w:rPr>
          <w:color w:val="000000" w:themeColor="text1"/>
          <w:lang w:val="en-GB"/>
        </w:rPr>
        <w:t xml:space="preserve"> allocated to the objectives of the 2014-2020 Operational Programme. EUR 9 674 million (118% of the allocated funds) were contracted for the implementation of projects contributing to the objectives pursued. It should be noted that, following an assessment of potential savings in projects and planned unused funds, contracts were concluded for a higher amount than the funds allocated (over-contracted) </w:t>
      </w:r>
      <w:proofErr w:type="gramStart"/>
      <w:r w:rsidRPr="00763C4D">
        <w:rPr>
          <w:color w:val="000000" w:themeColor="text1"/>
          <w:lang w:val="en-GB"/>
        </w:rPr>
        <w:t>in order to</w:t>
      </w:r>
      <w:proofErr w:type="gramEnd"/>
      <w:r w:rsidRPr="00763C4D">
        <w:rPr>
          <w:color w:val="000000" w:themeColor="text1"/>
          <w:lang w:val="en-GB"/>
        </w:rPr>
        <w:t xml:space="preserve"> have a reserve of eligible expenditure so that all funds earmarked for the Operational Programme would be invested. With over-contracting, EUR 9</w:t>
      </w:r>
      <w:r w:rsidR="005544EB" w:rsidRPr="00763C4D">
        <w:rPr>
          <w:color w:val="000000" w:themeColor="text1"/>
          <w:lang w:val="en-GB"/>
        </w:rPr>
        <w:t>,</w:t>
      </w:r>
      <w:r w:rsidRPr="00763C4D">
        <w:rPr>
          <w:color w:val="000000" w:themeColor="text1"/>
          <w:lang w:val="en-GB"/>
        </w:rPr>
        <w:t>190 million of expenditure (121% of the allocated funds) was declared to the Commission.</w:t>
      </w:r>
    </w:p>
    <w:p w14:paraId="53DE1BF5" w14:textId="77777777" w:rsidR="00404FDF" w:rsidRPr="00763C4D" w:rsidRDefault="00404FDF" w:rsidP="00D80D8E">
      <w:pPr>
        <w:pStyle w:val="Pagrindinistekstas1"/>
        <w:spacing w:before="0" w:after="0" w:line="240" w:lineRule="auto"/>
        <w:ind w:right="23" w:firstLine="851"/>
        <w:rPr>
          <w:color w:val="000000"/>
          <w:lang w:val="en-GB"/>
        </w:rPr>
      </w:pPr>
    </w:p>
    <w:p w14:paraId="20AD8FD2" w14:textId="01A128C0" w:rsidR="00D80D8E" w:rsidRPr="00763C4D" w:rsidRDefault="001B5592" w:rsidP="00CD71D4">
      <w:pPr>
        <w:pStyle w:val="Pagrindinistekstas1"/>
        <w:spacing w:before="0" w:after="0" w:line="240" w:lineRule="auto"/>
        <w:ind w:right="23"/>
        <w:jc w:val="center"/>
        <w:rPr>
          <w:b/>
          <w:lang w:val="en-GB"/>
        </w:rPr>
      </w:pPr>
      <w:r w:rsidRPr="00763C4D">
        <w:rPr>
          <w:b/>
          <w:lang w:val="en-GB"/>
        </w:rPr>
        <w:t>MAJOR ACHIEVEMENTS</w:t>
      </w:r>
    </w:p>
    <w:p w14:paraId="2E77CEB6" w14:textId="77777777" w:rsidR="00BE7939" w:rsidRPr="00763C4D" w:rsidRDefault="00BE7939" w:rsidP="00405C76">
      <w:pPr>
        <w:pStyle w:val="Pagrindinistekstas1"/>
        <w:spacing w:before="0" w:after="0" w:line="240" w:lineRule="auto"/>
        <w:ind w:right="23"/>
        <w:rPr>
          <w:b/>
          <w:lang w:val="en-GB"/>
        </w:rPr>
      </w:pPr>
    </w:p>
    <w:p w14:paraId="5B14D9C1" w14:textId="5E079037" w:rsidR="00CD71D4"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The improved research infrastructure employed 9</w:t>
      </w:r>
      <w:r w:rsidR="004E47D8" w:rsidRPr="00763C4D">
        <w:rPr>
          <w:rFonts w:ascii="Times New Roman" w:hAnsi="Times New Roman"/>
          <w:color w:val="auto"/>
          <w:sz w:val="22"/>
          <w:szCs w:val="22"/>
          <w:lang w:val="en-GB"/>
        </w:rPr>
        <w:t>4</w:t>
      </w:r>
      <w:r w:rsidR="00F237AC" w:rsidRPr="00763C4D">
        <w:rPr>
          <w:rFonts w:ascii="Times New Roman" w:hAnsi="Times New Roman"/>
          <w:color w:val="auto"/>
          <w:sz w:val="22"/>
          <w:szCs w:val="22"/>
          <w:lang w:val="en-GB"/>
        </w:rPr>
        <w:t>6</w:t>
      </w:r>
      <w:r w:rsidRPr="00763C4D">
        <w:rPr>
          <w:rFonts w:ascii="Times New Roman" w:hAnsi="Times New Roman"/>
          <w:color w:val="auto"/>
          <w:sz w:val="22"/>
          <w:szCs w:val="22"/>
          <w:lang w:val="en-GB"/>
        </w:rPr>
        <w:t xml:space="preserve"> researchers </w:t>
      </w:r>
      <w:r w:rsidR="008F6D66" w:rsidRPr="00763C4D">
        <w:rPr>
          <w:rFonts w:ascii="Times New Roman" w:hAnsi="Times New Roman"/>
          <w:color w:val="auto"/>
          <w:sz w:val="22"/>
          <w:szCs w:val="22"/>
          <w:lang w:val="en-GB"/>
        </w:rPr>
        <w:t xml:space="preserve">as full-time equivalents </w:t>
      </w:r>
      <w:r w:rsidRPr="00763C4D">
        <w:rPr>
          <w:rFonts w:ascii="Times New Roman" w:hAnsi="Times New Roman"/>
          <w:color w:val="auto"/>
          <w:sz w:val="22"/>
          <w:szCs w:val="22"/>
          <w:lang w:val="en-GB"/>
        </w:rPr>
        <w:t>(370</w:t>
      </w:r>
      <w:r w:rsidR="00FC3D74" w:rsidRPr="00763C4D">
        <w:rPr>
          <w:rFonts w:ascii="Times New Roman" w:hAnsi="Times New Roman"/>
          <w:color w:val="auto"/>
          <w:sz w:val="22"/>
          <w:szCs w:val="22"/>
          <w:lang w:val="en-GB"/>
        </w:rPr>
        <w:t xml:space="preserve"> planned</w:t>
      </w:r>
      <w:r w:rsidRPr="00763C4D">
        <w:rPr>
          <w:rFonts w:ascii="Times New Roman" w:hAnsi="Times New Roman"/>
          <w:color w:val="auto"/>
          <w:sz w:val="22"/>
          <w:szCs w:val="22"/>
          <w:lang w:val="en-GB"/>
        </w:rPr>
        <w:t>).</w:t>
      </w:r>
    </w:p>
    <w:p w14:paraId="0641C1EE" w14:textId="4CD274A2"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The upgraded open access R&amp;D infrastructure </w:t>
      </w:r>
      <w:r w:rsidR="009F1038" w:rsidRPr="00763C4D">
        <w:rPr>
          <w:rFonts w:ascii="Times New Roman" w:hAnsi="Times New Roman"/>
          <w:color w:val="auto"/>
          <w:sz w:val="22"/>
          <w:szCs w:val="22"/>
          <w:lang w:val="en-GB"/>
        </w:rPr>
        <w:t>was</w:t>
      </w:r>
      <w:r w:rsidRPr="00763C4D">
        <w:rPr>
          <w:rFonts w:ascii="Times New Roman" w:hAnsi="Times New Roman"/>
          <w:color w:val="auto"/>
          <w:sz w:val="22"/>
          <w:szCs w:val="22"/>
          <w:lang w:val="en-GB"/>
        </w:rPr>
        <w:t xml:space="preserve"> used by over 12,000 external users from entities (3,000 </w:t>
      </w:r>
      <w:r w:rsidR="009F1038" w:rsidRPr="00763C4D">
        <w:rPr>
          <w:rFonts w:ascii="Times New Roman" w:hAnsi="Times New Roman"/>
          <w:color w:val="auto"/>
          <w:sz w:val="22"/>
          <w:szCs w:val="22"/>
          <w:lang w:val="en-GB"/>
        </w:rPr>
        <w:t>planned</w:t>
      </w:r>
      <w:r w:rsidRPr="00763C4D">
        <w:rPr>
          <w:rFonts w:ascii="Times New Roman" w:hAnsi="Times New Roman"/>
          <w:color w:val="auto"/>
          <w:sz w:val="22"/>
          <w:szCs w:val="22"/>
          <w:lang w:val="en-GB"/>
        </w:rPr>
        <w:t>).</w:t>
      </w:r>
    </w:p>
    <w:p w14:paraId="23B96B0E" w14:textId="40D14451" w:rsidR="00D80D8E" w:rsidRPr="00763C4D" w:rsidRDefault="00FC3D74"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183 patent applications were submitted from research and study institutions that received investments (34 planned)</w:t>
      </w:r>
      <w:r w:rsidR="001B5592" w:rsidRPr="00763C4D">
        <w:rPr>
          <w:rFonts w:ascii="Times New Roman" w:hAnsi="Times New Roman"/>
          <w:color w:val="auto"/>
          <w:sz w:val="22"/>
          <w:szCs w:val="22"/>
          <w:lang w:val="en-GB"/>
        </w:rPr>
        <w:t>.</w:t>
      </w:r>
    </w:p>
    <w:p w14:paraId="1B4CB647" w14:textId="5067A776"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The additional number of households with broadband access of at least 30 Mbps reached 274 thousand (254 thousand</w:t>
      </w:r>
      <w:r w:rsidR="009F1038" w:rsidRPr="00763C4D">
        <w:rPr>
          <w:rFonts w:ascii="Times New Roman" w:hAnsi="Times New Roman"/>
          <w:color w:val="auto"/>
          <w:sz w:val="22"/>
          <w:szCs w:val="22"/>
          <w:lang w:val="en-GB"/>
        </w:rPr>
        <w:t xml:space="preserve"> planned</w:t>
      </w:r>
      <w:r w:rsidRPr="00763C4D">
        <w:rPr>
          <w:rFonts w:ascii="Times New Roman" w:hAnsi="Times New Roman"/>
          <w:color w:val="auto"/>
          <w:sz w:val="22"/>
          <w:szCs w:val="22"/>
          <w:lang w:val="en-GB"/>
        </w:rPr>
        <w:t>).</w:t>
      </w:r>
    </w:p>
    <w:p w14:paraId="68F9927D" w14:textId="4FD19B0F"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The share of the population who regularly use the internet increased by 24 percentage points </w:t>
      </w:r>
      <w:r w:rsidR="00FC3D74" w:rsidRPr="00763C4D">
        <w:rPr>
          <w:rFonts w:ascii="Times New Roman" w:hAnsi="Times New Roman"/>
          <w:color w:val="auto"/>
          <w:sz w:val="22"/>
          <w:szCs w:val="22"/>
          <w:lang w:val="en-GB"/>
        </w:rPr>
        <w:t xml:space="preserve">and </w:t>
      </w:r>
      <w:r w:rsidRPr="00763C4D">
        <w:rPr>
          <w:rFonts w:ascii="Times New Roman" w:hAnsi="Times New Roman"/>
          <w:color w:val="auto"/>
          <w:sz w:val="22"/>
          <w:szCs w:val="22"/>
          <w:lang w:val="en-GB"/>
        </w:rPr>
        <w:t>reach</w:t>
      </w:r>
      <w:r w:rsidR="00FC3D74" w:rsidRPr="00763C4D">
        <w:rPr>
          <w:rFonts w:ascii="Times New Roman" w:hAnsi="Times New Roman"/>
          <w:color w:val="auto"/>
          <w:sz w:val="22"/>
          <w:szCs w:val="22"/>
          <w:lang w:val="en-GB"/>
        </w:rPr>
        <w:t>ed</w:t>
      </w:r>
      <w:r w:rsidRPr="00763C4D">
        <w:rPr>
          <w:rFonts w:ascii="Times New Roman" w:hAnsi="Times New Roman"/>
          <w:color w:val="auto"/>
          <w:sz w:val="22"/>
          <w:szCs w:val="22"/>
          <w:lang w:val="en-GB"/>
        </w:rPr>
        <w:t xml:space="preserve"> 89%</w:t>
      </w:r>
      <w:r w:rsidR="00FC3D74" w:rsidRPr="00763C4D">
        <w:rPr>
          <w:rFonts w:ascii="Times New Roman" w:hAnsi="Times New Roman"/>
          <w:color w:val="auto"/>
          <w:sz w:val="22"/>
          <w:szCs w:val="22"/>
          <w:lang w:val="en-GB"/>
        </w:rPr>
        <w:t xml:space="preserve"> </w:t>
      </w:r>
      <w:r w:rsidRPr="00763C4D">
        <w:rPr>
          <w:rFonts w:ascii="Times New Roman" w:hAnsi="Times New Roman"/>
          <w:color w:val="auto"/>
          <w:sz w:val="22"/>
          <w:szCs w:val="22"/>
          <w:lang w:val="en-GB"/>
        </w:rPr>
        <w:t>(87%</w:t>
      </w:r>
      <w:r w:rsidR="009F1038" w:rsidRPr="00763C4D">
        <w:rPr>
          <w:sz w:val="22"/>
          <w:szCs w:val="22"/>
        </w:rPr>
        <w:t xml:space="preserve"> </w:t>
      </w:r>
      <w:r w:rsidR="009F1038" w:rsidRPr="00763C4D">
        <w:rPr>
          <w:rFonts w:ascii="Times New Roman" w:hAnsi="Times New Roman"/>
          <w:color w:val="auto"/>
          <w:sz w:val="22"/>
          <w:szCs w:val="22"/>
          <w:lang w:val="en-GB"/>
        </w:rPr>
        <w:t>planned</w:t>
      </w:r>
      <w:r w:rsidRPr="00763C4D">
        <w:rPr>
          <w:rFonts w:ascii="Times New Roman" w:hAnsi="Times New Roman"/>
          <w:color w:val="auto"/>
          <w:sz w:val="22"/>
          <w:szCs w:val="22"/>
          <w:lang w:val="en-GB"/>
        </w:rPr>
        <w:t>).</w:t>
      </w:r>
    </w:p>
    <w:p w14:paraId="4975B74D" w14:textId="420BD9C5" w:rsidR="00D80D8E" w:rsidRPr="00763C4D" w:rsidRDefault="00FC3D74"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The share of the population who use public and administrative services provided electronically increased by 37 percentage points and reached 74 % (63%</w:t>
      </w:r>
      <w:r w:rsidR="009F1038" w:rsidRPr="00763C4D">
        <w:rPr>
          <w:rFonts w:ascii="Times New Roman" w:hAnsi="Times New Roman"/>
          <w:color w:val="auto"/>
          <w:sz w:val="22"/>
          <w:szCs w:val="22"/>
          <w:lang w:val="en-GB"/>
        </w:rPr>
        <w:t xml:space="preserve"> planned</w:t>
      </w:r>
      <w:r w:rsidRPr="00763C4D">
        <w:rPr>
          <w:rFonts w:ascii="Times New Roman" w:hAnsi="Times New Roman"/>
          <w:color w:val="auto"/>
          <w:sz w:val="22"/>
          <w:szCs w:val="22"/>
          <w:lang w:val="en-GB"/>
        </w:rPr>
        <w:t>).</w:t>
      </w:r>
    </w:p>
    <w:p w14:paraId="4405E269" w14:textId="1BDCCA55" w:rsidR="00D80D8E" w:rsidRPr="00763C4D" w:rsidRDefault="00FC3D74"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The level of entrepreneurship increased: the number of companies and individuals per 1 thousand inhabitants increased by 48 and reached 116 (48</w:t>
      </w:r>
      <w:r w:rsidR="009F1038" w:rsidRPr="00763C4D">
        <w:rPr>
          <w:rFonts w:ascii="Times New Roman" w:hAnsi="Times New Roman"/>
          <w:color w:val="auto"/>
          <w:sz w:val="22"/>
          <w:szCs w:val="22"/>
          <w:lang w:val="en-GB"/>
        </w:rPr>
        <w:t xml:space="preserve"> planned</w:t>
      </w:r>
      <w:r w:rsidRPr="00763C4D">
        <w:rPr>
          <w:rFonts w:ascii="Times New Roman" w:hAnsi="Times New Roman"/>
          <w:color w:val="auto"/>
          <w:sz w:val="22"/>
          <w:szCs w:val="22"/>
          <w:lang w:val="en-GB"/>
        </w:rPr>
        <w:t>).</w:t>
      </w:r>
    </w:p>
    <w:p w14:paraId="30CB9D07" w14:textId="7C54D190" w:rsidR="00D80D8E" w:rsidRPr="00763C4D" w:rsidRDefault="00FC3D74"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The efficiency of renewable energy use </w:t>
      </w:r>
      <w:r w:rsidR="009F1038" w:rsidRPr="00763C4D">
        <w:rPr>
          <w:rFonts w:ascii="Times New Roman" w:hAnsi="Times New Roman"/>
          <w:color w:val="auto"/>
          <w:sz w:val="22"/>
          <w:szCs w:val="22"/>
          <w:lang w:val="en-GB"/>
        </w:rPr>
        <w:t>was</w:t>
      </w:r>
      <w:r w:rsidRPr="00763C4D">
        <w:rPr>
          <w:rFonts w:ascii="Times New Roman" w:hAnsi="Times New Roman"/>
          <w:color w:val="auto"/>
          <w:sz w:val="22"/>
          <w:szCs w:val="22"/>
          <w:lang w:val="en-GB"/>
        </w:rPr>
        <w:t xml:space="preserve"> increased in more than 9.5 thousand households (6 thousand </w:t>
      </w:r>
      <w:r w:rsidR="009F1038" w:rsidRPr="00763C4D">
        <w:rPr>
          <w:rFonts w:ascii="Times New Roman" w:hAnsi="Times New Roman"/>
          <w:color w:val="auto"/>
          <w:sz w:val="22"/>
          <w:szCs w:val="22"/>
          <w:lang w:val="en-GB"/>
        </w:rPr>
        <w:t>planned</w:t>
      </w:r>
      <w:r w:rsidRPr="00763C4D">
        <w:rPr>
          <w:rFonts w:ascii="Times New Roman" w:hAnsi="Times New Roman"/>
          <w:color w:val="auto"/>
          <w:sz w:val="22"/>
          <w:szCs w:val="22"/>
          <w:lang w:val="en-GB"/>
        </w:rPr>
        <w:t>).</w:t>
      </w:r>
    </w:p>
    <w:p w14:paraId="0E53E8F1" w14:textId="47344B7A"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About 1.2 thousand km of district heating supply networks </w:t>
      </w:r>
      <w:r w:rsidR="009F1038" w:rsidRPr="00763C4D">
        <w:rPr>
          <w:rFonts w:ascii="Times New Roman" w:hAnsi="Times New Roman"/>
          <w:color w:val="auto"/>
          <w:sz w:val="22"/>
          <w:szCs w:val="22"/>
          <w:lang w:val="en-GB"/>
        </w:rPr>
        <w:t>was</w:t>
      </w:r>
      <w:r w:rsidRPr="00763C4D">
        <w:rPr>
          <w:rFonts w:ascii="Times New Roman" w:hAnsi="Times New Roman"/>
          <w:color w:val="auto"/>
          <w:sz w:val="22"/>
          <w:szCs w:val="22"/>
          <w:lang w:val="en-GB"/>
        </w:rPr>
        <w:t xml:space="preserve"> modernized (1 thousand km</w:t>
      </w:r>
      <w:r w:rsidR="009F1038" w:rsidRPr="00763C4D">
        <w:rPr>
          <w:rFonts w:ascii="Times New Roman" w:hAnsi="Times New Roman"/>
          <w:color w:val="auto"/>
          <w:sz w:val="22"/>
          <w:szCs w:val="22"/>
          <w:lang w:val="en-GB"/>
        </w:rPr>
        <w:t xml:space="preserve"> planned</w:t>
      </w:r>
      <w:r w:rsidRPr="00763C4D">
        <w:rPr>
          <w:rFonts w:ascii="Times New Roman" w:hAnsi="Times New Roman"/>
          <w:color w:val="auto"/>
          <w:sz w:val="22"/>
          <w:szCs w:val="22"/>
          <w:lang w:val="en-GB"/>
        </w:rPr>
        <w:t>).</w:t>
      </w:r>
    </w:p>
    <w:p w14:paraId="441C1F65" w14:textId="5505EF4D"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189 new environmentally friendly public transport vehicles were purchased (</w:t>
      </w:r>
      <w:r w:rsidR="009F1038" w:rsidRPr="00763C4D">
        <w:rPr>
          <w:rFonts w:ascii="Times New Roman" w:hAnsi="Times New Roman"/>
          <w:color w:val="auto"/>
          <w:sz w:val="22"/>
          <w:szCs w:val="22"/>
          <w:lang w:val="en-GB"/>
        </w:rPr>
        <w:t>120 planned</w:t>
      </w:r>
      <w:r w:rsidRPr="00763C4D">
        <w:rPr>
          <w:rFonts w:ascii="Times New Roman" w:hAnsi="Times New Roman"/>
          <w:color w:val="auto"/>
          <w:sz w:val="22"/>
          <w:szCs w:val="22"/>
          <w:lang w:val="en-GB"/>
        </w:rPr>
        <w:t>).</w:t>
      </w:r>
    </w:p>
    <w:p w14:paraId="05ED483A" w14:textId="692CF391"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1.1 thousand m</w:t>
      </w:r>
      <w:r w:rsidRPr="00763C4D">
        <w:rPr>
          <w:rFonts w:ascii="Times New Roman" w:hAnsi="Times New Roman"/>
          <w:color w:val="auto"/>
          <w:sz w:val="22"/>
          <w:szCs w:val="22"/>
          <w:vertAlign w:val="superscript"/>
          <w:lang w:val="en-GB"/>
        </w:rPr>
        <w:t>3</w:t>
      </w:r>
      <w:r w:rsidRPr="00763C4D">
        <w:rPr>
          <w:rFonts w:ascii="Times New Roman" w:hAnsi="Times New Roman"/>
          <w:color w:val="auto"/>
          <w:sz w:val="22"/>
          <w:szCs w:val="22"/>
          <w:lang w:val="en-GB"/>
        </w:rPr>
        <w:t xml:space="preserve"> of radioactive waste was managed (300 m</w:t>
      </w:r>
      <w:r w:rsidRPr="00763C4D">
        <w:rPr>
          <w:rFonts w:ascii="Times New Roman" w:hAnsi="Times New Roman"/>
          <w:color w:val="auto"/>
          <w:sz w:val="22"/>
          <w:szCs w:val="22"/>
          <w:vertAlign w:val="superscript"/>
          <w:lang w:val="en-GB"/>
        </w:rPr>
        <w:t>3</w:t>
      </w:r>
      <w:r w:rsidRPr="00763C4D">
        <w:rPr>
          <w:rFonts w:ascii="Times New Roman" w:hAnsi="Times New Roman"/>
          <w:color w:val="auto"/>
          <w:sz w:val="22"/>
          <w:szCs w:val="22"/>
          <w:lang w:val="en-GB"/>
        </w:rPr>
        <w:t xml:space="preserve"> planned).</w:t>
      </w:r>
    </w:p>
    <w:p w14:paraId="7AF88713" w14:textId="55B299A1"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40</w:t>
      </w:r>
      <w:r w:rsidR="00957536">
        <w:rPr>
          <w:rFonts w:ascii="Times New Roman" w:hAnsi="Times New Roman"/>
          <w:color w:val="auto"/>
          <w:sz w:val="22"/>
          <w:szCs w:val="22"/>
          <w:lang w:val="en-GB"/>
        </w:rPr>
        <w:t>6</w:t>
      </w:r>
      <w:r w:rsidR="001C279B" w:rsidRPr="00763C4D">
        <w:rPr>
          <w:rFonts w:ascii="Times New Roman" w:hAnsi="Times New Roman"/>
          <w:color w:val="auto"/>
          <w:sz w:val="22"/>
          <w:szCs w:val="22"/>
          <w:lang w:val="en-GB"/>
        </w:rPr>
        <w:t>,</w:t>
      </w:r>
      <w:r w:rsidRPr="00763C4D">
        <w:rPr>
          <w:rFonts w:ascii="Times New Roman" w:hAnsi="Times New Roman"/>
          <w:color w:val="auto"/>
          <w:sz w:val="22"/>
          <w:szCs w:val="22"/>
          <w:lang w:val="en-GB"/>
        </w:rPr>
        <w:t xml:space="preserve">000 additional </w:t>
      </w:r>
      <w:r w:rsidR="001C279B" w:rsidRPr="00763C4D">
        <w:rPr>
          <w:rFonts w:ascii="Times New Roman" w:hAnsi="Times New Roman"/>
          <w:color w:val="auto"/>
          <w:sz w:val="22"/>
          <w:szCs w:val="22"/>
          <w:lang w:val="en-GB"/>
        </w:rPr>
        <w:t>residen</w:t>
      </w:r>
      <w:r w:rsidRPr="00763C4D">
        <w:rPr>
          <w:rFonts w:ascii="Times New Roman" w:hAnsi="Times New Roman"/>
          <w:color w:val="auto"/>
          <w:sz w:val="22"/>
          <w:szCs w:val="22"/>
          <w:lang w:val="en-GB"/>
        </w:rPr>
        <w:t>ts benefited from improved water supply services (290</w:t>
      </w:r>
      <w:r w:rsidR="00FC3D74" w:rsidRPr="00763C4D">
        <w:rPr>
          <w:rFonts w:ascii="Times New Roman" w:hAnsi="Times New Roman"/>
          <w:color w:val="auto"/>
          <w:sz w:val="22"/>
          <w:szCs w:val="22"/>
          <w:lang w:val="en-GB"/>
        </w:rPr>
        <w:t>,</w:t>
      </w:r>
      <w:r w:rsidRPr="00763C4D">
        <w:rPr>
          <w:rFonts w:ascii="Times New Roman" w:hAnsi="Times New Roman"/>
          <w:color w:val="auto"/>
          <w:sz w:val="22"/>
          <w:szCs w:val="22"/>
          <w:lang w:val="en-GB"/>
        </w:rPr>
        <w:t>000</w:t>
      </w:r>
      <w:r w:rsidR="009F1038" w:rsidRPr="00763C4D">
        <w:rPr>
          <w:rFonts w:ascii="Times New Roman" w:hAnsi="Times New Roman"/>
          <w:color w:val="auto"/>
          <w:sz w:val="22"/>
          <w:szCs w:val="22"/>
          <w:lang w:val="en-GB"/>
        </w:rPr>
        <w:t xml:space="preserve"> planned</w:t>
      </w:r>
      <w:r w:rsidRPr="00763C4D">
        <w:rPr>
          <w:rFonts w:ascii="Times New Roman" w:hAnsi="Times New Roman"/>
          <w:color w:val="auto"/>
          <w:sz w:val="22"/>
          <w:szCs w:val="22"/>
          <w:lang w:val="en-GB"/>
        </w:rPr>
        <w:t>).</w:t>
      </w:r>
    </w:p>
    <w:p w14:paraId="2B62D1F9" w14:textId="647FD744"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proofErr w:type="gramStart"/>
      <w:r w:rsidRPr="00763C4D">
        <w:rPr>
          <w:rFonts w:ascii="Times New Roman" w:hAnsi="Times New Roman"/>
          <w:color w:val="auto"/>
          <w:sz w:val="22"/>
          <w:szCs w:val="22"/>
          <w:lang w:val="en-GB"/>
        </w:rPr>
        <w:t>In order to</w:t>
      </w:r>
      <w:proofErr w:type="gramEnd"/>
      <w:r w:rsidRPr="00763C4D">
        <w:rPr>
          <w:rFonts w:ascii="Times New Roman" w:hAnsi="Times New Roman"/>
          <w:color w:val="auto"/>
          <w:sz w:val="22"/>
          <w:szCs w:val="22"/>
          <w:lang w:val="en-GB"/>
        </w:rPr>
        <w:t xml:space="preserve"> ensure a better conservation status of habitats, support was granted to 6</w:t>
      </w:r>
      <w:r w:rsidR="009F1038" w:rsidRPr="00763C4D">
        <w:rPr>
          <w:rFonts w:ascii="Times New Roman" w:hAnsi="Times New Roman"/>
          <w:color w:val="auto"/>
          <w:sz w:val="22"/>
          <w:szCs w:val="22"/>
          <w:lang w:val="en-GB"/>
        </w:rPr>
        <w:t>.</w:t>
      </w:r>
      <w:r w:rsidRPr="00763C4D">
        <w:rPr>
          <w:rFonts w:ascii="Times New Roman" w:hAnsi="Times New Roman"/>
          <w:color w:val="auto"/>
          <w:sz w:val="22"/>
          <w:szCs w:val="22"/>
          <w:lang w:val="en-GB"/>
        </w:rPr>
        <w:t>2 thousand ha of habitats (1</w:t>
      </w:r>
      <w:r w:rsidR="009F1038" w:rsidRPr="00763C4D">
        <w:rPr>
          <w:rFonts w:ascii="Times New Roman" w:hAnsi="Times New Roman"/>
          <w:color w:val="auto"/>
          <w:sz w:val="22"/>
          <w:szCs w:val="22"/>
          <w:lang w:val="en-GB"/>
        </w:rPr>
        <w:t>.</w:t>
      </w:r>
      <w:r w:rsidRPr="00763C4D">
        <w:rPr>
          <w:rFonts w:ascii="Times New Roman" w:hAnsi="Times New Roman"/>
          <w:color w:val="auto"/>
          <w:sz w:val="22"/>
          <w:szCs w:val="22"/>
          <w:lang w:val="en-GB"/>
        </w:rPr>
        <w:t>2 thousand</w:t>
      </w:r>
      <w:r w:rsidR="009F1038" w:rsidRPr="00763C4D">
        <w:rPr>
          <w:rFonts w:ascii="Times New Roman" w:hAnsi="Times New Roman"/>
          <w:color w:val="auto"/>
          <w:sz w:val="22"/>
          <w:szCs w:val="22"/>
          <w:lang w:val="en-GB"/>
        </w:rPr>
        <w:t xml:space="preserve"> </w:t>
      </w:r>
      <w:r w:rsidR="00060FFA" w:rsidRPr="00763C4D">
        <w:rPr>
          <w:rFonts w:ascii="Times New Roman" w:hAnsi="Times New Roman"/>
          <w:color w:val="auto"/>
          <w:sz w:val="22"/>
          <w:szCs w:val="22"/>
          <w:lang w:val="en-GB"/>
        </w:rPr>
        <w:t xml:space="preserve">ha </w:t>
      </w:r>
      <w:r w:rsidR="009F1038" w:rsidRPr="00763C4D">
        <w:rPr>
          <w:rFonts w:ascii="Times New Roman" w:hAnsi="Times New Roman"/>
          <w:color w:val="auto"/>
          <w:sz w:val="22"/>
          <w:szCs w:val="22"/>
          <w:lang w:val="en-GB"/>
        </w:rPr>
        <w:t>planned</w:t>
      </w:r>
      <w:r w:rsidRPr="00763C4D">
        <w:rPr>
          <w:rFonts w:ascii="Times New Roman" w:hAnsi="Times New Roman"/>
          <w:color w:val="auto"/>
          <w:sz w:val="22"/>
          <w:szCs w:val="22"/>
          <w:lang w:val="en-GB"/>
        </w:rPr>
        <w:t>).</w:t>
      </w:r>
    </w:p>
    <w:p w14:paraId="091E10DB" w14:textId="1D809348"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227 km of roads </w:t>
      </w:r>
      <w:r w:rsidR="009F1038" w:rsidRPr="00763C4D">
        <w:rPr>
          <w:rFonts w:ascii="Times New Roman" w:hAnsi="Times New Roman"/>
          <w:color w:val="auto"/>
          <w:sz w:val="22"/>
          <w:szCs w:val="22"/>
          <w:lang w:val="en-GB"/>
        </w:rPr>
        <w:t xml:space="preserve">were </w:t>
      </w:r>
      <w:r w:rsidRPr="00763C4D">
        <w:rPr>
          <w:rFonts w:ascii="Times New Roman" w:hAnsi="Times New Roman"/>
          <w:color w:val="auto"/>
          <w:sz w:val="22"/>
          <w:szCs w:val="22"/>
          <w:lang w:val="en-GB"/>
        </w:rPr>
        <w:t xml:space="preserve">reconstructed or upgraded (201 </w:t>
      </w:r>
      <w:r w:rsidR="00060FFA" w:rsidRPr="00763C4D">
        <w:rPr>
          <w:rFonts w:ascii="Times New Roman" w:hAnsi="Times New Roman"/>
          <w:color w:val="auto"/>
          <w:sz w:val="22"/>
          <w:szCs w:val="22"/>
          <w:lang w:val="en-GB"/>
        </w:rPr>
        <w:t xml:space="preserve">km </w:t>
      </w:r>
      <w:r w:rsidR="009F1038" w:rsidRPr="00763C4D">
        <w:rPr>
          <w:rFonts w:ascii="Times New Roman" w:hAnsi="Times New Roman"/>
          <w:color w:val="auto"/>
          <w:sz w:val="22"/>
          <w:szCs w:val="22"/>
          <w:lang w:val="en-GB"/>
        </w:rPr>
        <w:t>planned</w:t>
      </w:r>
      <w:r w:rsidRPr="00763C4D">
        <w:rPr>
          <w:rFonts w:ascii="Times New Roman" w:hAnsi="Times New Roman"/>
          <w:color w:val="auto"/>
          <w:sz w:val="22"/>
          <w:szCs w:val="22"/>
          <w:lang w:val="en-GB"/>
        </w:rPr>
        <w:t>).</w:t>
      </w:r>
    </w:p>
    <w:p w14:paraId="61795B67" w14:textId="15BB462B" w:rsidR="00D80D8E" w:rsidRPr="00763C4D" w:rsidRDefault="00ED39CF"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289 traffic safety and environmental measures </w:t>
      </w:r>
      <w:r w:rsidR="009F1038" w:rsidRPr="00763C4D">
        <w:rPr>
          <w:rFonts w:ascii="Times New Roman" w:hAnsi="Times New Roman"/>
          <w:color w:val="auto"/>
          <w:sz w:val="22"/>
          <w:szCs w:val="22"/>
          <w:lang w:val="en-GB"/>
        </w:rPr>
        <w:t>were</w:t>
      </w:r>
      <w:r w:rsidRPr="00763C4D">
        <w:rPr>
          <w:rFonts w:ascii="Times New Roman" w:hAnsi="Times New Roman"/>
          <w:color w:val="auto"/>
          <w:sz w:val="22"/>
          <w:szCs w:val="22"/>
          <w:lang w:val="en-GB"/>
        </w:rPr>
        <w:t xml:space="preserve"> put in place (173 planned).</w:t>
      </w:r>
    </w:p>
    <w:p w14:paraId="07B460F4" w14:textId="0F7128E2"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50 km of distribution pipelines </w:t>
      </w:r>
      <w:r w:rsidR="00945F3A" w:rsidRPr="00763C4D">
        <w:rPr>
          <w:rFonts w:ascii="Times New Roman" w:hAnsi="Times New Roman"/>
          <w:color w:val="auto"/>
          <w:sz w:val="22"/>
          <w:szCs w:val="22"/>
          <w:lang w:val="en-GB"/>
        </w:rPr>
        <w:t>were</w:t>
      </w:r>
      <w:r w:rsidRPr="00763C4D">
        <w:rPr>
          <w:rFonts w:ascii="Times New Roman" w:hAnsi="Times New Roman"/>
          <w:color w:val="auto"/>
          <w:sz w:val="22"/>
          <w:szCs w:val="22"/>
          <w:lang w:val="en-GB"/>
        </w:rPr>
        <w:t xml:space="preserve"> fully constructed.</w:t>
      </w:r>
    </w:p>
    <w:p w14:paraId="2DF81EA6" w14:textId="25B35A67"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11.3 km</w:t>
      </w:r>
      <w:r w:rsidRPr="00763C4D">
        <w:rPr>
          <w:rFonts w:ascii="Times New Roman" w:hAnsi="Times New Roman"/>
          <w:color w:val="auto"/>
          <w:sz w:val="22"/>
          <w:szCs w:val="22"/>
          <w:vertAlign w:val="superscript"/>
          <w:lang w:val="en-GB"/>
        </w:rPr>
        <w:t xml:space="preserve">2 </w:t>
      </w:r>
      <w:r w:rsidRPr="00763C4D">
        <w:rPr>
          <w:rFonts w:ascii="Times New Roman" w:hAnsi="Times New Roman"/>
          <w:color w:val="auto"/>
          <w:sz w:val="22"/>
          <w:szCs w:val="22"/>
          <w:lang w:val="en-GB"/>
        </w:rPr>
        <w:t>of open spaces were created or renovated in urban areas (6 km</w:t>
      </w:r>
      <w:r w:rsidR="004A3456" w:rsidRPr="00763C4D">
        <w:rPr>
          <w:rFonts w:ascii="Times New Roman" w:hAnsi="Times New Roman"/>
          <w:color w:val="auto"/>
          <w:sz w:val="22"/>
          <w:szCs w:val="22"/>
          <w:vertAlign w:val="superscript"/>
          <w:lang w:val="en-GB"/>
        </w:rPr>
        <w:t xml:space="preserve">2 </w:t>
      </w:r>
      <w:r w:rsidR="004A3456" w:rsidRPr="00763C4D">
        <w:rPr>
          <w:rFonts w:ascii="Times New Roman" w:hAnsi="Times New Roman"/>
          <w:color w:val="auto"/>
          <w:sz w:val="22"/>
          <w:szCs w:val="22"/>
          <w:lang w:val="en-GB"/>
        </w:rPr>
        <w:t>planned</w:t>
      </w:r>
      <w:r w:rsidRPr="00763C4D">
        <w:rPr>
          <w:rFonts w:ascii="Times New Roman" w:hAnsi="Times New Roman"/>
          <w:color w:val="auto"/>
          <w:sz w:val="22"/>
          <w:szCs w:val="22"/>
          <w:lang w:val="en-GB"/>
        </w:rPr>
        <w:t>).</w:t>
      </w:r>
    </w:p>
    <w:p w14:paraId="22BC8E03" w14:textId="4D3B09E5"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More than 3.3 thousand new jobs were created in newly established companies (1.8 thousand planned).</w:t>
      </w:r>
    </w:p>
    <w:p w14:paraId="36A0DC69" w14:textId="68A22E13"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Service provision infrastructure </w:t>
      </w:r>
      <w:r w:rsidR="004A3456" w:rsidRPr="00763C4D">
        <w:rPr>
          <w:rFonts w:ascii="Times New Roman" w:hAnsi="Times New Roman"/>
          <w:color w:val="auto"/>
          <w:sz w:val="22"/>
          <w:szCs w:val="22"/>
          <w:lang w:val="en-GB"/>
        </w:rPr>
        <w:t>was</w:t>
      </w:r>
      <w:r w:rsidRPr="00763C4D">
        <w:rPr>
          <w:rFonts w:ascii="Times New Roman" w:hAnsi="Times New Roman"/>
          <w:color w:val="auto"/>
          <w:sz w:val="22"/>
          <w:szCs w:val="22"/>
          <w:lang w:val="en-GB"/>
        </w:rPr>
        <w:t xml:space="preserve"> improved in approximately 360 public healthcare institutions (240 planned).</w:t>
      </w:r>
    </w:p>
    <w:p w14:paraId="54348162" w14:textId="15D26D4D"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Nearly 1.9 thousand social housing units were newly constructed or purchased (1.8 thousand</w:t>
      </w:r>
      <w:r w:rsidR="004A3456" w:rsidRPr="00763C4D">
        <w:rPr>
          <w:rFonts w:ascii="Times New Roman" w:hAnsi="Times New Roman"/>
          <w:color w:val="auto"/>
          <w:sz w:val="22"/>
          <w:szCs w:val="22"/>
          <w:lang w:val="en-GB"/>
        </w:rPr>
        <w:t xml:space="preserve"> planned</w:t>
      </w:r>
      <w:r w:rsidRPr="00763C4D">
        <w:rPr>
          <w:rFonts w:ascii="Times New Roman" w:hAnsi="Times New Roman"/>
          <w:color w:val="auto"/>
          <w:sz w:val="22"/>
          <w:szCs w:val="22"/>
          <w:lang w:val="en-GB"/>
        </w:rPr>
        <w:t>).</w:t>
      </w:r>
    </w:p>
    <w:p w14:paraId="7D547340" w14:textId="08F2419F"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The share of children in foster care receiving social care services in the community increased by 36 percentage points and reached 98 </w:t>
      </w:r>
      <w:r w:rsidR="00EC6F72" w:rsidRPr="00763C4D">
        <w:rPr>
          <w:rFonts w:ascii="Times New Roman" w:hAnsi="Times New Roman"/>
          <w:color w:val="auto"/>
          <w:sz w:val="22"/>
          <w:szCs w:val="22"/>
          <w:lang w:val="en-GB"/>
        </w:rPr>
        <w:t>%</w:t>
      </w:r>
      <w:r w:rsidRPr="00763C4D">
        <w:rPr>
          <w:rFonts w:ascii="Times New Roman" w:hAnsi="Times New Roman"/>
          <w:color w:val="auto"/>
          <w:sz w:val="22"/>
          <w:szCs w:val="22"/>
          <w:lang w:val="en-GB"/>
        </w:rPr>
        <w:t xml:space="preserve"> (73 </w:t>
      </w:r>
      <w:r w:rsidR="00EC6F72" w:rsidRPr="00763C4D">
        <w:rPr>
          <w:rFonts w:ascii="Times New Roman" w:hAnsi="Times New Roman"/>
          <w:color w:val="auto"/>
          <w:sz w:val="22"/>
          <w:szCs w:val="22"/>
          <w:lang w:val="en-GB"/>
        </w:rPr>
        <w:t>%</w:t>
      </w:r>
      <w:r w:rsidR="004A3456" w:rsidRPr="00763C4D">
        <w:rPr>
          <w:rFonts w:ascii="Times New Roman" w:hAnsi="Times New Roman"/>
          <w:color w:val="auto"/>
          <w:sz w:val="22"/>
          <w:szCs w:val="22"/>
          <w:lang w:val="en-GB"/>
        </w:rPr>
        <w:t xml:space="preserve"> planned</w:t>
      </w:r>
      <w:r w:rsidRPr="00763C4D">
        <w:rPr>
          <w:rFonts w:ascii="Times New Roman" w:hAnsi="Times New Roman"/>
          <w:color w:val="auto"/>
          <w:sz w:val="22"/>
          <w:szCs w:val="22"/>
          <w:lang w:val="en-GB"/>
        </w:rPr>
        <w:t>).</w:t>
      </w:r>
    </w:p>
    <w:p w14:paraId="2BD6589C" w14:textId="2FDA0AD1"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Approximately 19 thousand socially vulnerable persons participated in </w:t>
      </w:r>
      <w:r w:rsidR="00697A82" w:rsidRPr="00697A82">
        <w:rPr>
          <w:rFonts w:ascii="Times New Roman" w:hAnsi="Times New Roman"/>
          <w:color w:val="auto"/>
          <w:sz w:val="22"/>
          <w:szCs w:val="22"/>
          <w:lang w:val="en-GB"/>
        </w:rPr>
        <w:t>European Social Fund (hereinafter</w:t>
      </w:r>
      <w:r w:rsidR="00697A82">
        <w:rPr>
          <w:rFonts w:ascii="Times New Roman" w:hAnsi="Times New Roman"/>
          <w:color w:val="auto"/>
          <w:sz w:val="22"/>
          <w:szCs w:val="22"/>
          <w:lang w:val="en-GB"/>
        </w:rPr>
        <w:t xml:space="preserve"> – </w:t>
      </w:r>
      <w:r w:rsidRPr="00763C4D">
        <w:rPr>
          <w:rFonts w:ascii="Times New Roman" w:hAnsi="Times New Roman"/>
          <w:color w:val="auto"/>
          <w:sz w:val="22"/>
          <w:szCs w:val="22"/>
          <w:lang w:val="en-GB"/>
        </w:rPr>
        <w:t>ESF</w:t>
      </w:r>
      <w:r w:rsidR="00697A82">
        <w:rPr>
          <w:rFonts w:ascii="Times New Roman" w:hAnsi="Times New Roman"/>
          <w:color w:val="auto"/>
          <w:sz w:val="22"/>
          <w:szCs w:val="22"/>
          <w:lang w:val="en-GB"/>
        </w:rPr>
        <w:t>)</w:t>
      </w:r>
      <w:r w:rsidRPr="00763C4D">
        <w:rPr>
          <w:rFonts w:ascii="Times New Roman" w:hAnsi="Times New Roman"/>
          <w:color w:val="auto"/>
          <w:sz w:val="22"/>
          <w:szCs w:val="22"/>
          <w:lang w:val="en-GB"/>
        </w:rPr>
        <w:t xml:space="preserve"> activities for social integration (13 thousand planned).</w:t>
      </w:r>
    </w:p>
    <w:p w14:paraId="591223F9" w14:textId="581882F0"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Over 2.5 thousand new pre-school and pre-primary education places </w:t>
      </w:r>
      <w:r w:rsidR="004A3456" w:rsidRPr="00763C4D">
        <w:rPr>
          <w:rFonts w:ascii="Times New Roman" w:hAnsi="Times New Roman"/>
          <w:color w:val="auto"/>
          <w:sz w:val="22"/>
          <w:szCs w:val="22"/>
          <w:lang w:val="en-GB"/>
        </w:rPr>
        <w:t>were</w:t>
      </w:r>
      <w:r w:rsidRPr="00763C4D">
        <w:rPr>
          <w:rFonts w:ascii="Times New Roman" w:hAnsi="Times New Roman"/>
          <w:color w:val="auto"/>
          <w:sz w:val="22"/>
          <w:szCs w:val="22"/>
          <w:lang w:val="en-GB"/>
        </w:rPr>
        <w:t xml:space="preserve"> </w:t>
      </w:r>
      <w:r w:rsidR="00784023" w:rsidRPr="00763C4D">
        <w:rPr>
          <w:rFonts w:ascii="Times New Roman" w:hAnsi="Times New Roman"/>
          <w:color w:val="auto"/>
          <w:sz w:val="22"/>
          <w:szCs w:val="22"/>
          <w:lang w:val="en-GB"/>
        </w:rPr>
        <w:t>establishe</w:t>
      </w:r>
      <w:r w:rsidRPr="00763C4D">
        <w:rPr>
          <w:rFonts w:ascii="Times New Roman" w:hAnsi="Times New Roman"/>
          <w:color w:val="auto"/>
          <w:sz w:val="22"/>
          <w:szCs w:val="22"/>
          <w:lang w:val="en-GB"/>
        </w:rPr>
        <w:t xml:space="preserve">d with </w:t>
      </w:r>
      <w:r w:rsidR="00697A82" w:rsidRPr="00697A82">
        <w:rPr>
          <w:rFonts w:ascii="Times New Roman" w:hAnsi="Times New Roman"/>
          <w:color w:val="auto"/>
          <w:sz w:val="22"/>
          <w:szCs w:val="22"/>
          <w:lang w:val="en-GB"/>
        </w:rPr>
        <w:t>European Regional Development Fund</w:t>
      </w:r>
      <w:r w:rsidRPr="00763C4D">
        <w:rPr>
          <w:rFonts w:ascii="Times New Roman" w:hAnsi="Times New Roman"/>
          <w:color w:val="auto"/>
          <w:sz w:val="22"/>
          <w:szCs w:val="22"/>
          <w:lang w:val="en-GB"/>
        </w:rPr>
        <w:t xml:space="preserve"> funds (2 thousand planned).</w:t>
      </w:r>
    </w:p>
    <w:p w14:paraId="27FAF65A" w14:textId="608BDE96"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A targeted benefit to improve access to studies was granted to more than 1,800 students from socially sensitive, socially excluded and underrepresented groups (1,000 </w:t>
      </w:r>
      <w:r w:rsidR="004A3456" w:rsidRPr="00763C4D">
        <w:rPr>
          <w:rFonts w:ascii="Times New Roman" w:hAnsi="Times New Roman"/>
          <w:color w:val="auto"/>
          <w:sz w:val="22"/>
          <w:szCs w:val="22"/>
          <w:lang w:val="en-GB"/>
        </w:rPr>
        <w:t>planned</w:t>
      </w:r>
      <w:r w:rsidRPr="00763C4D">
        <w:rPr>
          <w:rFonts w:ascii="Times New Roman" w:hAnsi="Times New Roman"/>
          <w:color w:val="auto"/>
          <w:sz w:val="22"/>
          <w:szCs w:val="22"/>
          <w:lang w:val="en-GB"/>
        </w:rPr>
        <w:t>).</w:t>
      </w:r>
    </w:p>
    <w:p w14:paraId="61C9ADF0" w14:textId="6B5FFB0B"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lastRenderedPageBreak/>
        <w:t xml:space="preserve">Over 106,000 </w:t>
      </w:r>
      <w:r w:rsidR="00C80926" w:rsidRPr="00763C4D">
        <w:rPr>
          <w:rFonts w:ascii="Times New Roman" w:hAnsi="Times New Roman"/>
          <w:color w:val="auto"/>
          <w:sz w:val="22"/>
          <w:szCs w:val="22"/>
          <w:lang w:val="en-GB"/>
        </w:rPr>
        <w:t>employed persons</w:t>
      </w:r>
      <w:r w:rsidRPr="00763C4D">
        <w:rPr>
          <w:rFonts w:ascii="Times New Roman" w:hAnsi="Times New Roman"/>
          <w:color w:val="auto"/>
          <w:sz w:val="22"/>
          <w:szCs w:val="22"/>
          <w:lang w:val="en-GB"/>
        </w:rPr>
        <w:t xml:space="preserve"> participated in ESF training leading to qualifications or competences (65,000 planned).</w:t>
      </w:r>
    </w:p>
    <w:p w14:paraId="1122C8D3" w14:textId="165A0959"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Under the Operational Programme, 59 ESF-funded public administrations implemented measures to improve performance management (32 planned).</w:t>
      </w:r>
    </w:p>
    <w:p w14:paraId="7E7F0B0F" w14:textId="2D64FD66" w:rsidR="00D80D8E" w:rsidRPr="00763C4D" w:rsidRDefault="001B5592" w:rsidP="00405C76">
      <w:pPr>
        <w:pStyle w:val="tekstas"/>
        <w:numPr>
          <w:ilvl w:val="0"/>
          <w:numId w:val="6"/>
        </w:numPr>
        <w:tabs>
          <w:tab w:val="left" w:pos="284"/>
        </w:tabs>
        <w:ind w:left="0" w:firstLine="851"/>
        <w:rPr>
          <w:rFonts w:ascii="Times New Roman" w:hAnsi="Times New Roman"/>
          <w:color w:val="auto"/>
          <w:sz w:val="22"/>
          <w:szCs w:val="22"/>
          <w:lang w:val="en-GB"/>
        </w:rPr>
      </w:pPr>
      <w:r w:rsidRPr="00763C4D">
        <w:rPr>
          <w:rFonts w:ascii="Times New Roman" w:hAnsi="Times New Roman"/>
          <w:color w:val="auto"/>
          <w:sz w:val="22"/>
          <w:szCs w:val="22"/>
          <w:lang w:val="en-GB"/>
        </w:rPr>
        <w:t xml:space="preserve">Under the Operational Programme, 114 public administrations implemented measures </w:t>
      </w:r>
      <w:r w:rsidR="00C80926" w:rsidRPr="00763C4D">
        <w:rPr>
          <w:rFonts w:ascii="Times New Roman" w:hAnsi="Times New Roman"/>
          <w:color w:val="auto"/>
          <w:sz w:val="22"/>
          <w:szCs w:val="22"/>
          <w:lang w:val="en-GB"/>
        </w:rPr>
        <w:t>with</w:t>
      </w:r>
      <w:r w:rsidRPr="00763C4D">
        <w:rPr>
          <w:rFonts w:ascii="Times New Roman" w:hAnsi="Times New Roman"/>
          <w:color w:val="auto"/>
          <w:sz w:val="22"/>
          <w:szCs w:val="22"/>
          <w:lang w:val="en-GB"/>
        </w:rPr>
        <w:t xml:space="preserve"> the ESF </w:t>
      </w:r>
      <w:r w:rsidR="00C80926" w:rsidRPr="00763C4D">
        <w:rPr>
          <w:rFonts w:ascii="Times New Roman" w:hAnsi="Times New Roman"/>
          <w:color w:val="auto"/>
          <w:sz w:val="22"/>
          <w:szCs w:val="22"/>
          <w:lang w:val="en-GB"/>
        </w:rPr>
        <w:t xml:space="preserve">funds </w:t>
      </w:r>
      <w:r w:rsidRPr="00763C4D">
        <w:rPr>
          <w:rFonts w:ascii="Times New Roman" w:hAnsi="Times New Roman"/>
          <w:color w:val="auto"/>
          <w:sz w:val="22"/>
          <w:szCs w:val="22"/>
          <w:lang w:val="en-GB"/>
        </w:rPr>
        <w:t xml:space="preserve">to improve the quality of services and/or </w:t>
      </w:r>
      <w:r w:rsidR="00C80926" w:rsidRPr="00763C4D">
        <w:rPr>
          <w:rFonts w:ascii="Times New Roman" w:hAnsi="Times New Roman"/>
          <w:color w:val="auto"/>
          <w:sz w:val="22"/>
          <w:szCs w:val="22"/>
          <w:lang w:val="en-GB"/>
        </w:rPr>
        <w:t xml:space="preserve">maintenance </w:t>
      </w:r>
      <w:r w:rsidRPr="00763C4D">
        <w:rPr>
          <w:rFonts w:ascii="Times New Roman" w:hAnsi="Times New Roman"/>
          <w:color w:val="auto"/>
          <w:sz w:val="22"/>
          <w:szCs w:val="22"/>
          <w:lang w:val="en-GB"/>
        </w:rPr>
        <w:t>(45 planned).</w:t>
      </w:r>
    </w:p>
    <w:p w14:paraId="42D05559" w14:textId="77777777" w:rsidR="00CD71D4" w:rsidRPr="00763C4D" w:rsidRDefault="00CD71D4" w:rsidP="00CD71D4">
      <w:pPr>
        <w:pStyle w:val="tekstas"/>
        <w:tabs>
          <w:tab w:val="left" w:pos="851"/>
          <w:tab w:val="left" w:pos="1985"/>
        </w:tabs>
        <w:ind w:left="851" w:firstLine="0"/>
        <w:rPr>
          <w:rFonts w:ascii="Times New Roman" w:hAnsi="Times New Roman"/>
          <w:color w:val="auto"/>
          <w:sz w:val="22"/>
          <w:szCs w:val="22"/>
          <w:lang w:val="en-GB"/>
        </w:rPr>
      </w:pPr>
    </w:p>
    <w:p w14:paraId="5E983963" w14:textId="05A5160B" w:rsidR="008F55E4" w:rsidRPr="00763C4D" w:rsidRDefault="008F55E4" w:rsidP="00CD71D4">
      <w:pPr>
        <w:pStyle w:val="tekstas"/>
        <w:ind w:firstLine="0"/>
        <w:jc w:val="center"/>
        <w:rPr>
          <w:rFonts w:ascii="Times New Roman" w:hAnsi="Times New Roman"/>
          <w:color w:val="595959" w:themeColor="text1" w:themeTint="A6"/>
          <w:sz w:val="22"/>
          <w:szCs w:val="22"/>
          <w:lang w:val="en-GB"/>
        </w:rPr>
      </w:pPr>
      <w:r w:rsidRPr="00763C4D">
        <w:rPr>
          <w:rFonts w:ascii="Times New Roman" w:hAnsi="Times New Roman"/>
          <w:bCs/>
          <w:color w:val="595959" w:themeColor="text1" w:themeTint="A6"/>
          <w:sz w:val="22"/>
          <w:szCs w:val="22"/>
          <w:lang w:val="en-GB"/>
        </w:rPr>
        <w:t>__________________</w:t>
      </w:r>
    </w:p>
    <w:p w14:paraId="10DE8181" w14:textId="77777777" w:rsidR="002C4EAE" w:rsidRPr="00AA480C" w:rsidRDefault="002C4EAE" w:rsidP="00D80D8E">
      <w:pPr>
        <w:spacing w:after="0" w:line="240" w:lineRule="auto"/>
        <w:ind w:firstLine="284"/>
        <w:jc w:val="both"/>
        <w:rPr>
          <w:rFonts w:ascii="Times New Roman" w:hAnsi="Times New Roman" w:cs="Times New Roman"/>
          <w:sz w:val="24"/>
          <w:szCs w:val="24"/>
          <w:lang w:val="en-GB"/>
        </w:rPr>
      </w:pPr>
    </w:p>
    <w:sectPr w:rsidR="002C4EAE" w:rsidRPr="00AA480C" w:rsidSect="00D80D8E">
      <w:pgSz w:w="11906" w:h="16838"/>
      <w:pgMar w:top="851" w:right="1077" w:bottom="851" w:left="107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BF4"/>
    <w:multiLevelType w:val="hybridMultilevel"/>
    <w:tmpl w:val="A1E8AA50"/>
    <w:lvl w:ilvl="0" w:tplc="04270001">
      <w:start w:val="1"/>
      <w:numFmt w:val="bullet"/>
      <w:lvlText w:val=""/>
      <w:lvlJc w:val="left"/>
      <w:pPr>
        <w:ind w:left="1788" w:hanging="360"/>
      </w:pPr>
      <w:rPr>
        <w:rFonts w:ascii="Symbol" w:hAnsi="Symbol" w:hint="default"/>
      </w:rPr>
    </w:lvl>
    <w:lvl w:ilvl="1" w:tplc="04270003" w:tentative="1">
      <w:start w:val="1"/>
      <w:numFmt w:val="bullet"/>
      <w:lvlText w:val="o"/>
      <w:lvlJc w:val="left"/>
      <w:pPr>
        <w:ind w:left="2508" w:hanging="360"/>
      </w:pPr>
      <w:rPr>
        <w:rFonts w:ascii="Courier New" w:hAnsi="Courier New" w:cs="Courier New" w:hint="default"/>
      </w:rPr>
    </w:lvl>
    <w:lvl w:ilvl="2" w:tplc="04270005" w:tentative="1">
      <w:start w:val="1"/>
      <w:numFmt w:val="bullet"/>
      <w:lvlText w:val=""/>
      <w:lvlJc w:val="left"/>
      <w:pPr>
        <w:ind w:left="3228" w:hanging="360"/>
      </w:pPr>
      <w:rPr>
        <w:rFonts w:ascii="Wingdings" w:hAnsi="Wingdings" w:hint="default"/>
      </w:rPr>
    </w:lvl>
    <w:lvl w:ilvl="3" w:tplc="04270001" w:tentative="1">
      <w:start w:val="1"/>
      <w:numFmt w:val="bullet"/>
      <w:lvlText w:val=""/>
      <w:lvlJc w:val="left"/>
      <w:pPr>
        <w:ind w:left="3948" w:hanging="360"/>
      </w:pPr>
      <w:rPr>
        <w:rFonts w:ascii="Symbol" w:hAnsi="Symbol" w:hint="default"/>
      </w:rPr>
    </w:lvl>
    <w:lvl w:ilvl="4" w:tplc="04270003" w:tentative="1">
      <w:start w:val="1"/>
      <w:numFmt w:val="bullet"/>
      <w:lvlText w:val="o"/>
      <w:lvlJc w:val="left"/>
      <w:pPr>
        <w:ind w:left="4668" w:hanging="360"/>
      </w:pPr>
      <w:rPr>
        <w:rFonts w:ascii="Courier New" w:hAnsi="Courier New" w:cs="Courier New" w:hint="default"/>
      </w:rPr>
    </w:lvl>
    <w:lvl w:ilvl="5" w:tplc="04270005" w:tentative="1">
      <w:start w:val="1"/>
      <w:numFmt w:val="bullet"/>
      <w:lvlText w:val=""/>
      <w:lvlJc w:val="left"/>
      <w:pPr>
        <w:ind w:left="5388" w:hanging="360"/>
      </w:pPr>
      <w:rPr>
        <w:rFonts w:ascii="Wingdings" w:hAnsi="Wingdings" w:hint="default"/>
      </w:rPr>
    </w:lvl>
    <w:lvl w:ilvl="6" w:tplc="04270001" w:tentative="1">
      <w:start w:val="1"/>
      <w:numFmt w:val="bullet"/>
      <w:lvlText w:val=""/>
      <w:lvlJc w:val="left"/>
      <w:pPr>
        <w:ind w:left="6108" w:hanging="360"/>
      </w:pPr>
      <w:rPr>
        <w:rFonts w:ascii="Symbol" w:hAnsi="Symbol" w:hint="default"/>
      </w:rPr>
    </w:lvl>
    <w:lvl w:ilvl="7" w:tplc="04270003" w:tentative="1">
      <w:start w:val="1"/>
      <w:numFmt w:val="bullet"/>
      <w:lvlText w:val="o"/>
      <w:lvlJc w:val="left"/>
      <w:pPr>
        <w:ind w:left="6828" w:hanging="360"/>
      </w:pPr>
      <w:rPr>
        <w:rFonts w:ascii="Courier New" w:hAnsi="Courier New" w:cs="Courier New" w:hint="default"/>
      </w:rPr>
    </w:lvl>
    <w:lvl w:ilvl="8" w:tplc="04270005" w:tentative="1">
      <w:start w:val="1"/>
      <w:numFmt w:val="bullet"/>
      <w:lvlText w:val=""/>
      <w:lvlJc w:val="left"/>
      <w:pPr>
        <w:ind w:left="7548" w:hanging="360"/>
      </w:pPr>
      <w:rPr>
        <w:rFonts w:ascii="Wingdings" w:hAnsi="Wingdings" w:hint="default"/>
      </w:rPr>
    </w:lvl>
  </w:abstractNum>
  <w:abstractNum w:abstractNumId="1" w15:restartNumberingAfterBreak="0">
    <w:nsid w:val="0DF0688D"/>
    <w:multiLevelType w:val="hybridMultilevel"/>
    <w:tmpl w:val="931E496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15952C16"/>
    <w:multiLevelType w:val="hybridMultilevel"/>
    <w:tmpl w:val="06A41FF6"/>
    <w:lvl w:ilvl="0" w:tplc="04270001">
      <w:start w:val="1"/>
      <w:numFmt w:val="bullet"/>
      <w:lvlText w:val=""/>
      <w:lvlJc w:val="left"/>
      <w:pPr>
        <w:ind w:left="363" w:hanging="360"/>
      </w:pPr>
      <w:rPr>
        <w:rFonts w:ascii="Symbol" w:hAnsi="Symbol"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3" w15:restartNumberingAfterBreak="0">
    <w:nsid w:val="2C236A52"/>
    <w:multiLevelType w:val="hybridMultilevel"/>
    <w:tmpl w:val="5C603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4765ED"/>
    <w:multiLevelType w:val="hybridMultilevel"/>
    <w:tmpl w:val="FA3A2C76"/>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5" w15:restartNumberingAfterBreak="0">
    <w:nsid w:val="62AB7E79"/>
    <w:multiLevelType w:val="hybridMultilevel"/>
    <w:tmpl w:val="5D422C18"/>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num w:numId="1" w16cid:durableId="1069840056">
    <w:abstractNumId w:val="1"/>
  </w:num>
  <w:num w:numId="2" w16cid:durableId="2133474722">
    <w:abstractNumId w:val="3"/>
  </w:num>
  <w:num w:numId="3" w16cid:durableId="762452570">
    <w:abstractNumId w:val="2"/>
  </w:num>
  <w:num w:numId="4" w16cid:durableId="1201212556">
    <w:abstractNumId w:val="0"/>
  </w:num>
  <w:num w:numId="5" w16cid:durableId="1833255157">
    <w:abstractNumId w:val="4"/>
  </w:num>
  <w:num w:numId="6" w16cid:durableId="1650940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F0"/>
    <w:rsid w:val="00002667"/>
    <w:rsid w:val="0000668D"/>
    <w:rsid w:val="000071A4"/>
    <w:rsid w:val="000124BA"/>
    <w:rsid w:val="00016CCD"/>
    <w:rsid w:val="00034CDD"/>
    <w:rsid w:val="00043467"/>
    <w:rsid w:val="00050BCD"/>
    <w:rsid w:val="000544C1"/>
    <w:rsid w:val="00060FFA"/>
    <w:rsid w:val="000612F9"/>
    <w:rsid w:val="00063C5E"/>
    <w:rsid w:val="00070756"/>
    <w:rsid w:val="00075ECA"/>
    <w:rsid w:val="000778B2"/>
    <w:rsid w:val="000779AB"/>
    <w:rsid w:val="0008249E"/>
    <w:rsid w:val="000B4024"/>
    <w:rsid w:val="000B6903"/>
    <w:rsid w:val="000C088D"/>
    <w:rsid w:val="000C53F8"/>
    <w:rsid w:val="000F42B0"/>
    <w:rsid w:val="00106D72"/>
    <w:rsid w:val="00107B00"/>
    <w:rsid w:val="0015768D"/>
    <w:rsid w:val="00171074"/>
    <w:rsid w:val="00194836"/>
    <w:rsid w:val="00194F3D"/>
    <w:rsid w:val="001A0476"/>
    <w:rsid w:val="001A1EB7"/>
    <w:rsid w:val="001A4689"/>
    <w:rsid w:val="001B5592"/>
    <w:rsid w:val="001B62C8"/>
    <w:rsid w:val="001C279B"/>
    <w:rsid w:val="001C426B"/>
    <w:rsid w:val="00200A77"/>
    <w:rsid w:val="00226B08"/>
    <w:rsid w:val="00230751"/>
    <w:rsid w:val="00254C0F"/>
    <w:rsid w:val="00256C59"/>
    <w:rsid w:val="00265BB1"/>
    <w:rsid w:val="00277FD2"/>
    <w:rsid w:val="002C4EAE"/>
    <w:rsid w:val="002C6BF0"/>
    <w:rsid w:val="002E0412"/>
    <w:rsid w:val="002E10AE"/>
    <w:rsid w:val="002E2343"/>
    <w:rsid w:val="002F096C"/>
    <w:rsid w:val="003039C6"/>
    <w:rsid w:val="0031195E"/>
    <w:rsid w:val="00321778"/>
    <w:rsid w:val="003246CE"/>
    <w:rsid w:val="00325B34"/>
    <w:rsid w:val="00326FC6"/>
    <w:rsid w:val="00332A53"/>
    <w:rsid w:val="00340133"/>
    <w:rsid w:val="00387E59"/>
    <w:rsid w:val="003E672C"/>
    <w:rsid w:val="00404940"/>
    <w:rsid w:val="00404FDF"/>
    <w:rsid w:val="00405C76"/>
    <w:rsid w:val="00406161"/>
    <w:rsid w:val="00407BB0"/>
    <w:rsid w:val="00441E4F"/>
    <w:rsid w:val="00454A1E"/>
    <w:rsid w:val="00466D8E"/>
    <w:rsid w:val="00472072"/>
    <w:rsid w:val="00475C64"/>
    <w:rsid w:val="00497B95"/>
    <w:rsid w:val="004A3456"/>
    <w:rsid w:val="004A764F"/>
    <w:rsid w:val="004B2FAD"/>
    <w:rsid w:val="004B4016"/>
    <w:rsid w:val="004E31F9"/>
    <w:rsid w:val="004E47D8"/>
    <w:rsid w:val="004F3AEC"/>
    <w:rsid w:val="00506127"/>
    <w:rsid w:val="00506CC6"/>
    <w:rsid w:val="00514D9E"/>
    <w:rsid w:val="005155C9"/>
    <w:rsid w:val="00547320"/>
    <w:rsid w:val="005533DD"/>
    <w:rsid w:val="005544EB"/>
    <w:rsid w:val="00575BF9"/>
    <w:rsid w:val="005C2DCB"/>
    <w:rsid w:val="005C2F6C"/>
    <w:rsid w:val="005C3617"/>
    <w:rsid w:val="005F1973"/>
    <w:rsid w:val="005F30F3"/>
    <w:rsid w:val="005F44C3"/>
    <w:rsid w:val="0060185E"/>
    <w:rsid w:val="00604385"/>
    <w:rsid w:val="00613683"/>
    <w:rsid w:val="006455B1"/>
    <w:rsid w:val="00650685"/>
    <w:rsid w:val="00664C5F"/>
    <w:rsid w:val="0067124D"/>
    <w:rsid w:val="00673020"/>
    <w:rsid w:val="00682051"/>
    <w:rsid w:val="00684BD5"/>
    <w:rsid w:val="0069041B"/>
    <w:rsid w:val="00690457"/>
    <w:rsid w:val="00697A82"/>
    <w:rsid w:val="006E3960"/>
    <w:rsid w:val="006F1410"/>
    <w:rsid w:val="006F3323"/>
    <w:rsid w:val="006F4762"/>
    <w:rsid w:val="00707482"/>
    <w:rsid w:val="00716C4B"/>
    <w:rsid w:val="00724040"/>
    <w:rsid w:val="00742978"/>
    <w:rsid w:val="00751BF3"/>
    <w:rsid w:val="00754B6B"/>
    <w:rsid w:val="00755287"/>
    <w:rsid w:val="007559C4"/>
    <w:rsid w:val="00762B2C"/>
    <w:rsid w:val="00763C4D"/>
    <w:rsid w:val="00777AC9"/>
    <w:rsid w:val="00784023"/>
    <w:rsid w:val="007860FA"/>
    <w:rsid w:val="00787703"/>
    <w:rsid w:val="007C4EAD"/>
    <w:rsid w:val="007D089A"/>
    <w:rsid w:val="007E0298"/>
    <w:rsid w:val="007E6A95"/>
    <w:rsid w:val="007F75B3"/>
    <w:rsid w:val="00803732"/>
    <w:rsid w:val="00804872"/>
    <w:rsid w:val="00807439"/>
    <w:rsid w:val="0082272F"/>
    <w:rsid w:val="00832CA6"/>
    <w:rsid w:val="00841BDA"/>
    <w:rsid w:val="00880D26"/>
    <w:rsid w:val="008A5621"/>
    <w:rsid w:val="008C716F"/>
    <w:rsid w:val="008D39EC"/>
    <w:rsid w:val="008D61C5"/>
    <w:rsid w:val="008E0ABF"/>
    <w:rsid w:val="008E3629"/>
    <w:rsid w:val="008F55E4"/>
    <w:rsid w:val="008F6D66"/>
    <w:rsid w:val="0091006C"/>
    <w:rsid w:val="00911FEA"/>
    <w:rsid w:val="00926C3C"/>
    <w:rsid w:val="00937C3C"/>
    <w:rsid w:val="00945F3A"/>
    <w:rsid w:val="00947726"/>
    <w:rsid w:val="00951386"/>
    <w:rsid w:val="00957536"/>
    <w:rsid w:val="00964B2A"/>
    <w:rsid w:val="00971F9D"/>
    <w:rsid w:val="0097562E"/>
    <w:rsid w:val="009779B2"/>
    <w:rsid w:val="00983B0A"/>
    <w:rsid w:val="009979EF"/>
    <w:rsid w:val="009A41F4"/>
    <w:rsid w:val="009B0CCA"/>
    <w:rsid w:val="009F1038"/>
    <w:rsid w:val="00A0499F"/>
    <w:rsid w:val="00A12DCB"/>
    <w:rsid w:val="00A31F58"/>
    <w:rsid w:val="00A61EF2"/>
    <w:rsid w:val="00A720BA"/>
    <w:rsid w:val="00A7473D"/>
    <w:rsid w:val="00AA480C"/>
    <w:rsid w:val="00AA5B2E"/>
    <w:rsid w:val="00AA6727"/>
    <w:rsid w:val="00B07DDB"/>
    <w:rsid w:val="00B11AFE"/>
    <w:rsid w:val="00B13D20"/>
    <w:rsid w:val="00B17294"/>
    <w:rsid w:val="00B50D4A"/>
    <w:rsid w:val="00B50EB4"/>
    <w:rsid w:val="00B554C6"/>
    <w:rsid w:val="00B91063"/>
    <w:rsid w:val="00B96C7A"/>
    <w:rsid w:val="00BA7C6C"/>
    <w:rsid w:val="00BB1C1C"/>
    <w:rsid w:val="00BC45D8"/>
    <w:rsid w:val="00BE5F59"/>
    <w:rsid w:val="00BE7939"/>
    <w:rsid w:val="00C07A1C"/>
    <w:rsid w:val="00C17AD2"/>
    <w:rsid w:val="00C2277E"/>
    <w:rsid w:val="00C267A2"/>
    <w:rsid w:val="00C314D4"/>
    <w:rsid w:val="00C341F9"/>
    <w:rsid w:val="00C43709"/>
    <w:rsid w:val="00C54452"/>
    <w:rsid w:val="00C627BE"/>
    <w:rsid w:val="00C70BCF"/>
    <w:rsid w:val="00C80926"/>
    <w:rsid w:val="00C91737"/>
    <w:rsid w:val="00CA56E9"/>
    <w:rsid w:val="00CB72BA"/>
    <w:rsid w:val="00CC0352"/>
    <w:rsid w:val="00CD20BA"/>
    <w:rsid w:val="00CD71D4"/>
    <w:rsid w:val="00CE2432"/>
    <w:rsid w:val="00CF1145"/>
    <w:rsid w:val="00CF4ED1"/>
    <w:rsid w:val="00D02362"/>
    <w:rsid w:val="00D25CA5"/>
    <w:rsid w:val="00D42BD3"/>
    <w:rsid w:val="00D44E02"/>
    <w:rsid w:val="00D51CD0"/>
    <w:rsid w:val="00D568F7"/>
    <w:rsid w:val="00D76F35"/>
    <w:rsid w:val="00D80D8E"/>
    <w:rsid w:val="00DB0BD9"/>
    <w:rsid w:val="00DB1B21"/>
    <w:rsid w:val="00DC349E"/>
    <w:rsid w:val="00DC5AB8"/>
    <w:rsid w:val="00DE0493"/>
    <w:rsid w:val="00DF3694"/>
    <w:rsid w:val="00E26F3B"/>
    <w:rsid w:val="00E326D7"/>
    <w:rsid w:val="00E43D69"/>
    <w:rsid w:val="00E82F1C"/>
    <w:rsid w:val="00E876A2"/>
    <w:rsid w:val="00E87725"/>
    <w:rsid w:val="00EA6F45"/>
    <w:rsid w:val="00EA7434"/>
    <w:rsid w:val="00EC6F72"/>
    <w:rsid w:val="00EC743F"/>
    <w:rsid w:val="00ED2AA3"/>
    <w:rsid w:val="00ED39CF"/>
    <w:rsid w:val="00EE07C3"/>
    <w:rsid w:val="00F0214C"/>
    <w:rsid w:val="00F05DDC"/>
    <w:rsid w:val="00F10D7B"/>
    <w:rsid w:val="00F237AC"/>
    <w:rsid w:val="00F331C5"/>
    <w:rsid w:val="00F53B14"/>
    <w:rsid w:val="00F63EDF"/>
    <w:rsid w:val="00F655BE"/>
    <w:rsid w:val="00F811E9"/>
    <w:rsid w:val="00F93C53"/>
    <w:rsid w:val="00FB41E2"/>
    <w:rsid w:val="00FC3D74"/>
    <w:rsid w:val="00FD6193"/>
    <w:rsid w:val="00FE0C7C"/>
    <w:rsid w:val="00FE3D00"/>
    <w:rsid w:val="00FF1CB8"/>
    <w:rsid w:val="00FF53D0"/>
    <w:rsid w:val="00FF62FF"/>
    <w:rsid w:val="13A17031"/>
    <w:rsid w:val="1457295A"/>
    <w:rsid w:val="21898EB1"/>
    <w:rsid w:val="273E1C63"/>
    <w:rsid w:val="29027D4A"/>
    <w:rsid w:val="3118C2CB"/>
    <w:rsid w:val="5877DA3B"/>
    <w:rsid w:val="5AD6D85C"/>
    <w:rsid w:val="671A9FF4"/>
    <w:rsid w:val="6793150F"/>
    <w:rsid w:val="6D02D2FE"/>
    <w:rsid w:val="70CF3444"/>
    <w:rsid w:val="7F77D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2149"/>
  <w15:docId w15:val="{08DEFC12-353C-4356-9CFC-4267BFFE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5E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locked/>
    <w:rsid w:val="008F55E4"/>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8F55E4"/>
    <w:pPr>
      <w:widowControl w:val="0"/>
      <w:shd w:val="clear" w:color="auto" w:fill="FFFFFF"/>
      <w:spacing w:after="0" w:line="336" w:lineRule="exact"/>
      <w:jc w:val="center"/>
    </w:pPr>
    <w:rPr>
      <w:rFonts w:ascii="Times New Roman" w:eastAsia="Times New Roman" w:hAnsi="Times New Roman" w:cs="Times New Roman"/>
      <w:b/>
      <w:bCs/>
    </w:rPr>
  </w:style>
  <w:style w:type="character" w:customStyle="1" w:styleId="Bodytext">
    <w:name w:val="Body text_"/>
    <w:basedOn w:val="Numatytasispastraiposriftas"/>
    <w:link w:val="Pagrindinistekstas1"/>
    <w:locked/>
    <w:rsid w:val="008F55E4"/>
    <w:rPr>
      <w:rFonts w:ascii="Times New Roman" w:eastAsia="Times New Roman" w:hAnsi="Times New Roman" w:cs="Times New Roman"/>
      <w:shd w:val="clear" w:color="auto" w:fill="FFFFFF"/>
    </w:rPr>
  </w:style>
  <w:style w:type="paragraph" w:customStyle="1" w:styleId="Pagrindinistekstas1">
    <w:name w:val="Pagrindinis tekstas1"/>
    <w:basedOn w:val="prastasis"/>
    <w:link w:val="Bodytext"/>
    <w:rsid w:val="008F55E4"/>
    <w:pPr>
      <w:widowControl w:val="0"/>
      <w:shd w:val="clear" w:color="auto" w:fill="FFFFFF"/>
      <w:spacing w:before="360" w:after="360" w:line="274" w:lineRule="exact"/>
      <w:jc w:val="both"/>
    </w:pPr>
    <w:rPr>
      <w:rFonts w:ascii="Times New Roman" w:eastAsia="Times New Roman" w:hAnsi="Times New Roman" w:cs="Times New Roman"/>
    </w:rPr>
  </w:style>
  <w:style w:type="character" w:customStyle="1" w:styleId="BodytextBold">
    <w:name w:val="Body text + Bold"/>
    <w:basedOn w:val="Bodytext"/>
    <w:rsid w:val="008F55E4"/>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Text1">
    <w:name w:val="Text 1"/>
    <w:basedOn w:val="prastasis"/>
    <w:link w:val="Text1Char"/>
    <w:rsid w:val="008F55E4"/>
    <w:pPr>
      <w:spacing w:before="120" w:after="120" w:line="240" w:lineRule="auto"/>
      <w:ind w:left="850"/>
      <w:jc w:val="both"/>
    </w:pPr>
    <w:rPr>
      <w:rFonts w:ascii="Times New Roman" w:eastAsia="Times New Roman" w:hAnsi="Times New Roman" w:cs="Times New Roman"/>
      <w:sz w:val="24"/>
      <w:szCs w:val="24"/>
      <w:lang w:val="en-GB"/>
    </w:rPr>
  </w:style>
  <w:style w:type="character" w:customStyle="1" w:styleId="Text1Char">
    <w:name w:val="Text 1 Char"/>
    <w:link w:val="Text1"/>
    <w:locked/>
    <w:rsid w:val="008F55E4"/>
    <w:rPr>
      <w:rFonts w:ascii="Times New Roman" w:eastAsia="Times New Roman" w:hAnsi="Times New Roman" w:cs="Times New Roman"/>
      <w:sz w:val="24"/>
      <w:szCs w:val="24"/>
      <w:lang w:val="en-GB"/>
    </w:rPr>
  </w:style>
  <w:style w:type="paragraph" w:customStyle="1" w:styleId="tekstas">
    <w:name w:val="tekstas"/>
    <w:basedOn w:val="prastasis"/>
    <w:link w:val="tekstasDiagrama"/>
    <w:qFormat/>
    <w:rsid w:val="008F55E4"/>
    <w:pPr>
      <w:spacing w:after="0" w:line="240" w:lineRule="auto"/>
      <w:ind w:firstLine="426"/>
      <w:jc w:val="both"/>
    </w:pPr>
    <w:rPr>
      <w:rFonts w:eastAsia="Times New Roman" w:cs="Times New Roman"/>
      <w:color w:val="666666"/>
      <w:sz w:val="24"/>
      <w:szCs w:val="24"/>
    </w:rPr>
  </w:style>
  <w:style w:type="character" w:customStyle="1" w:styleId="tekstasDiagrama">
    <w:name w:val="tekstas Diagrama"/>
    <w:basedOn w:val="Numatytasispastraiposriftas"/>
    <w:link w:val="tekstas"/>
    <w:rsid w:val="008F55E4"/>
    <w:rPr>
      <w:rFonts w:eastAsia="Times New Roman" w:cs="Times New Roman"/>
      <w:color w:val="666666"/>
      <w:sz w:val="24"/>
      <w:szCs w:val="24"/>
    </w:rPr>
  </w:style>
  <w:style w:type="paragraph" w:customStyle="1" w:styleId="Address">
    <w:name w:val="Address"/>
    <w:basedOn w:val="prastasis"/>
    <w:next w:val="prastasis"/>
    <w:rsid w:val="00016CCD"/>
    <w:pPr>
      <w:keepLines/>
      <w:spacing w:before="120" w:after="120" w:line="360" w:lineRule="auto"/>
      <w:ind w:left="3402"/>
    </w:pPr>
    <w:rPr>
      <w:rFonts w:ascii="Times New Roman" w:eastAsia="Times New Roman" w:hAnsi="Times New Roman" w:cs="Times New Roman"/>
      <w:sz w:val="24"/>
      <w:szCs w:val="24"/>
      <w:lang w:val="en-GB"/>
    </w:rPr>
  </w:style>
  <w:style w:type="paragraph" w:styleId="Komentarotekstas">
    <w:name w:val="annotation text"/>
    <w:basedOn w:val="prastasis"/>
    <w:link w:val="KomentarotekstasDiagrama"/>
    <w:rsid w:val="00016CCD"/>
    <w:pPr>
      <w:spacing w:after="24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016CCD"/>
    <w:rPr>
      <w:rFonts w:ascii="Times New Roman" w:eastAsia="Times New Roman" w:hAnsi="Times New Roman" w:cs="Times New Roman"/>
      <w:sz w:val="20"/>
      <w:szCs w:val="20"/>
      <w:lang w:val="en-GB"/>
    </w:rPr>
  </w:style>
  <w:style w:type="character" w:styleId="Komentaronuoroda">
    <w:name w:val="annotation reference"/>
    <w:rsid w:val="00016CCD"/>
    <w:rPr>
      <w:sz w:val="16"/>
      <w:szCs w:val="16"/>
    </w:rPr>
  </w:style>
  <w:style w:type="paragraph" w:styleId="Debesliotekstas">
    <w:name w:val="Balloon Text"/>
    <w:basedOn w:val="prastasis"/>
    <w:link w:val="DebesliotekstasDiagrama"/>
    <w:uiPriority w:val="99"/>
    <w:semiHidden/>
    <w:unhideWhenUsed/>
    <w:rsid w:val="00016C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6CCD"/>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D61C5"/>
    <w:pPr>
      <w:spacing w:after="20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8D61C5"/>
    <w:rPr>
      <w:rFonts w:ascii="Times New Roman" w:eastAsia="Times New Roman" w:hAnsi="Times New Roman" w:cs="Times New Roman"/>
      <w:b/>
      <w:bCs/>
      <w:sz w:val="20"/>
      <w:szCs w:val="20"/>
      <w:lang w:val="en-GB"/>
    </w:rPr>
  </w:style>
  <w:style w:type="paragraph" w:styleId="Pataisymai">
    <w:name w:val="Revision"/>
    <w:hidden/>
    <w:uiPriority w:val="99"/>
    <w:semiHidden/>
    <w:rsid w:val="008D61C5"/>
    <w:pPr>
      <w:spacing w:after="0" w:line="240" w:lineRule="auto"/>
    </w:pPr>
  </w:style>
  <w:style w:type="paragraph" w:styleId="prastasiniatinklio">
    <w:name w:val="Normal (Web)"/>
    <w:basedOn w:val="prastasis"/>
    <w:uiPriority w:val="99"/>
    <w:semiHidden/>
    <w:unhideWhenUsed/>
    <w:rsid w:val="0019483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94836"/>
    <w:rPr>
      <w:b/>
      <w:bCs/>
    </w:rPr>
  </w:style>
  <w:style w:type="character" w:styleId="Emfaz">
    <w:name w:val="Emphasis"/>
    <w:basedOn w:val="Numatytasispastraiposriftas"/>
    <w:uiPriority w:val="20"/>
    <w:qFormat/>
    <w:rsid w:val="00194836"/>
    <w:rPr>
      <w:i/>
      <w:iCs/>
    </w:rPr>
  </w:style>
  <w:style w:type="paragraph" w:customStyle="1" w:styleId="paragraph">
    <w:name w:val="paragraph"/>
    <w:basedOn w:val="prastasis"/>
    <w:rsid w:val="00ED2A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D2AA3"/>
  </w:style>
  <w:style w:type="character" w:customStyle="1" w:styleId="eop">
    <w:name w:val="eop"/>
    <w:basedOn w:val="Numatytasispastraiposriftas"/>
    <w:rsid w:val="00ED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A6736CC725094B930391500097A262" ma:contentTypeVersion="9" ma:contentTypeDescription="Create a new document." ma:contentTypeScope="" ma:versionID="ebf0f37530f65a2d79cab36909708d6a">
  <xsd:schema xmlns:xsd="http://www.w3.org/2001/XMLSchema" xmlns:xs="http://www.w3.org/2001/XMLSchema" xmlns:p="http://schemas.microsoft.com/office/2006/metadata/properties" xmlns:ns3="6f190b27-290c-4661-a532-b270924dbb68" xmlns:ns4="1f8cfc72-56fe-4bdc-b44f-3a25a1a28e11" targetNamespace="http://schemas.microsoft.com/office/2006/metadata/properties" ma:root="true" ma:fieldsID="d72db2e327efbb4d4d8add007972d12e" ns3:_="" ns4:_="">
    <xsd:import namespace="6f190b27-290c-4661-a532-b270924dbb68"/>
    <xsd:import namespace="1f8cfc72-56fe-4bdc-b44f-3a25a1a28e1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90b27-290c-4661-a532-b270924dbb6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cfc72-56fe-4bdc-b44f-3a25a1a28e1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190b27-290c-4661-a532-b270924dbb68" xsi:nil="true"/>
  </documentManagement>
</p:properties>
</file>

<file path=customXml/itemProps1.xml><?xml version="1.0" encoding="utf-8"?>
<ds:datastoreItem xmlns:ds="http://schemas.openxmlformats.org/officeDocument/2006/customXml" ds:itemID="{BF2C4353-2959-49C8-A089-04D4C2E07439}">
  <ds:schemaRefs>
    <ds:schemaRef ds:uri="http://schemas.microsoft.com/sharepoint/v3/contenttype/forms"/>
  </ds:schemaRefs>
</ds:datastoreItem>
</file>

<file path=customXml/itemProps2.xml><?xml version="1.0" encoding="utf-8"?>
<ds:datastoreItem xmlns:ds="http://schemas.openxmlformats.org/officeDocument/2006/customXml" ds:itemID="{94DC1C8E-2838-47BF-BEF4-5123C9F7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90b27-290c-4661-a532-b270924dbb68"/>
    <ds:schemaRef ds:uri="1f8cfc72-56fe-4bdc-b44f-3a25a1a28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23B9E-E48B-4C51-BD99-7995A3A72DF8}">
  <ds:schemaRefs>
    <ds:schemaRef ds:uri="http://schemas.microsoft.com/office/2006/metadata/properties"/>
    <ds:schemaRef ds:uri="http://schemas.microsoft.com/office/infopath/2007/PartnerControls"/>
    <ds:schemaRef ds:uri="6f190b27-290c-4661-a532-b270924dbb68"/>
  </ds:schemaRefs>
</ds:datastoreItem>
</file>

<file path=docProps/app.xml><?xml version="1.0" encoding="utf-8"?>
<Properties xmlns="http://schemas.openxmlformats.org/officeDocument/2006/extended-properties" xmlns:vt="http://schemas.openxmlformats.org/officeDocument/2006/docPropsVTypes">
  <Template>Normal</Template>
  <TotalTime>4478</TotalTime>
  <Pages>4</Pages>
  <Words>8575</Words>
  <Characters>4888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Ona Birvinskienė</dc:creator>
  <cp:lastModifiedBy>Paulina Kemėšytė</cp:lastModifiedBy>
  <cp:revision>56</cp:revision>
  <dcterms:created xsi:type="dcterms:W3CDTF">2025-03-12T12:00:00Z</dcterms:created>
  <dcterms:modified xsi:type="dcterms:W3CDTF">2025-04-17T07:34:00Z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0x010100D5A6736CC725094B930391500097A262</vt:lpwstr>
  </property>
</Properties>
</file>