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A59A1" w14:textId="77777777" w:rsidR="008825A4" w:rsidRDefault="00DC18B4" w:rsidP="00CF581B">
      <w:pPr>
        <w:autoSpaceDE w:val="0"/>
        <w:autoSpaceDN w:val="0"/>
        <w:adjustRightInd w:val="0"/>
        <w:jc w:val="center"/>
        <w:rPr>
          <w:b/>
        </w:rPr>
      </w:pPr>
      <w:r>
        <w:rPr>
          <w:b/>
        </w:rPr>
        <w:t xml:space="preserve"> </w:t>
      </w:r>
    </w:p>
    <w:p w14:paraId="0FDD2EE3" w14:textId="77777777" w:rsidR="00CF581B" w:rsidRDefault="00CF581B" w:rsidP="00CF581B">
      <w:pPr>
        <w:autoSpaceDE w:val="0"/>
        <w:autoSpaceDN w:val="0"/>
        <w:adjustRightInd w:val="0"/>
        <w:jc w:val="center"/>
        <w:rPr>
          <w:b/>
        </w:rPr>
      </w:pPr>
      <w:r>
        <w:rPr>
          <w:noProof/>
        </w:rPr>
        <w:drawing>
          <wp:inline distT="0" distB="0" distL="0" distR="0" wp14:anchorId="2D35212D" wp14:editId="6A4685F0">
            <wp:extent cx="1828800" cy="647065"/>
            <wp:effectExtent l="0" t="0" r="0" b="635"/>
            <wp:docPr id="1" name="Paveikslėlis 1" descr="FMlogo1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logo1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647065"/>
                    </a:xfrm>
                    <a:prstGeom prst="rect">
                      <a:avLst/>
                    </a:prstGeom>
                    <a:noFill/>
                    <a:ln>
                      <a:noFill/>
                    </a:ln>
                  </pic:spPr>
                </pic:pic>
              </a:graphicData>
            </a:graphic>
          </wp:inline>
        </w:drawing>
      </w:r>
    </w:p>
    <w:p w14:paraId="335C7330" w14:textId="77777777" w:rsidR="00CF581B" w:rsidRDefault="00CF581B" w:rsidP="00CF581B">
      <w:pPr>
        <w:autoSpaceDE w:val="0"/>
        <w:autoSpaceDN w:val="0"/>
        <w:adjustRightInd w:val="0"/>
        <w:ind w:firstLine="720"/>
        <w:jc w:val="both"/>
        <w:rPr>
          <w:b/>
        </w:rPr>
      </w:pPr>
    </w:p>
    <w:p w14:paraId="7CBBBF2B" w14:textId="77777777" w:rsidR="00CF581B" w:rsidRDefault="00CF581B" w:rsidP="00CF581B">
      <w:pPr>
        <w:autoSpaceDE w:val="0"/>
        <w:autoSpaceDN w:val="0"/>
        <w:adjustRightInd w:val="0"/>
        <w:ind w:firstLine="720"/>
        <w:jc w:val="both"/>
        <w:rPr>
          <w:b/>
        </w:rPr>
      </w:pPr>
    </w:p>
    <w:p w14:paraId="49A1C071" w14:textId="77777777" w:rsidR="00CF581B" w:rsidRDefault="00CF581B" w:rsidP="00CF581B">
      <w:pPr>
        <w:autoSpaceDE w:val="0"/>
        <w:autoSpaceDN w:val="0"/>
        <w:adjustRightInd w:val="0"/>
        <w:ind w:firstLine="720"/>
        <w:jc w:val="both"/>
        <w:rPr>
          <w:b/>
        </w:rPr>
      </w:pPr>
    </w:p>
    <w:p w14:paraId="5D609793" w14:textId="77777777" w:rsidR="00CF581B" w:rsidRDefault="00CF581B" w:rsidP="00CF581B">
      <w:pPr>
        <w:autoSpaceDE w:val="0"/>
        <w:autoSpaceDN w:val="0"/>
        <w:adjustRightInd w:val="0"/>
        <w:ind w:firstLine="720"/>
        <w:jc w:val="both"/>
        <w:rPr>
          <w:b/>
        </w:rPr>
      </w:pPr>
    </w:p>
    <w:p w14:paraId="5DA3CB27" w14:textId="77777777" w:rsidR="00CF581B" w:rsidRDefault="00CF581B" w:rsidP="00CF581B">
      <w:pPr>
        <w:autoSpaceDE w:val="0"/>
        <w:autoSpaceDN w:val="0"/>
        <w:adjustRightInd w:val="0"/>
        <w:ind w:firstLine="720"/>
        <w:jc w:val="both"/>
        <w:rPr>
          <w:b/>
        </w:rPr>
      </w:pPr>
    </w:p>
    <w:p w14:paraId="6FB56E75" w14:textId="77777777" w:rsidR="00CF581B" w:rsidRDefault="00CF581B" w:rsidP="00CF581B">
      <w:pPr>
        <w:autoSpaceDE w:val="0"/>
        <w:autoSpaceDN w:val="0"/>
        <w:adjustRightInd w:val="0"/>
        <w:ind w:firstLine="720"/>
        <w:jc w:val="both"/>
        <w:rPr>
          <w:b/>
        </w:rPr>
      </w:pPr>
    </w:p>
    <w:p w14:paraId="1E5B6FCC" w14:textId="77777777" w:rsidR="00CF581B" w:rsidRDefault="00CF581B" w:rsidP="00CF581B">
      <w:pPr>
        <w:autoSpaceDE w:val="0"/>
        <w:autoSpaceDN w:val="0"/>
        <w:adjustRightInd w:val="0"/>
        <w:ind w:firstLine="720"/>
        <w:jc w:val="both"/>
        <w:rPr>
          <w:b/>
        </w:rPr>
      </w:pPr>
    </w:p>
    <w:p w14:paraId="34DCB12A" w14:textId="77777777" w:rsidR="00CF581B" w:rsidRDefault="00CF581B" w:rsidP="00CF581B">
      <w:pPr>
        <w:autoSpaceDE w:val="0"/>
        <w:autoSpaceDN w:val="0"/>
        <w:adjustRightInd w:val="0"/>
        <w:ind w:firstLine="720"/>
        <w:jc w:val="both"/>
        <w:rPr>
          <w:b/>
        </w:rPr>
      </w:pPr>
    </w:p>
    <w:p w14:paraId="118559C0" w14:textId="77777777" w:rsidR="00CF581B" w:rsidRDefault="00CF581B" w:rsidP="00CF581B">
      <w:pPr>
        <w:autoSpaceDE w:val="0"/>
        <w:autoSpaceDN w:val="0"/>
        <w:adjustRightInd w:val="0"/>
        <w:ind w:firstLine="720"/>
        <w:jc w:val="both"/>
        <w:rPr>
          <w:b/>
        </w:rPr>
      </w:pPr>
    </w:p>
    <w:p w14:paraId="43D0C4C9" w14:textId="77777777" w:rsidR="00CF581B" w:rsidRDefault="00CF581B" w:rsidP="00CF581B">
      <w:pPr>
        <w:autoSpaceDE w:val="0"/>
        <w:autoSpaceDN w:val="0"/>
        <w:adjustRightInd w:val="0"/>
        <w:ind w:firstLine="720"/>
        <w:jc w:val="both"/>
        <w:rPr>
          <w:b/>
        </w:rPr>
      </w:pPr>
    </w:p>
    <w:p w14:paraId="3B1A290A" w14:textId="77777777" w:rsidR="00CF581B" w:rsidRDefault="00CF581B" w:rsidP="00CF581B">
      <w:pPr>
        <w:autoSpaceDE w:val="0"/>
        <w:autoSpaceDN w:val="0"/>
        <w:adjustRightInd w:val="0"/>
        <w:ind w:firstLine="720"/>
        <w:jc w:val="both"/>
        <w:rPr>
          <w:b/>
        </w:rPr>
      </w:pPr>
    </w:p>
    <w:p w14:paraId="75A52C30" w14:textId="5F93DD06" w:rsidR="00CF581B" w:rsidRPr="00CF581B" w:rsidRDefault="00CF581B" w:rsidP="00CF581B">
      <w:pPr>
        <w:autoSpaceDE w:val="0"/>
        <w:autoSpaceDN w:val="0"/>
        <w:adjustRightInd w:val="0"/>
        <w:jc w:val="center"/>
        <w:rPr>
          <w:b/>
          <w:sz w:val="40"/>
          <w:szCs w:val="40"/>
        </w:rPr>
      </w:pPr>
      <w:r w:rsidRPr="00CF581B">
        <w:rPr>
          <w:b/>
          <w:sz w:val="40"/>
          <w:szCs w:val="40"/>
        </w:rPr>
        <w:t>2014</w:t>
      </w:r>
      <w:r w:rsidR="007B3F37">
        <w:rPr>
          <w:b/>
          <w:sz w:val="40"/>
          <w:szCs w:val="40"/>
        </w:rPr>
        <w:t>–</w:t>
      </w:r>
      <w:r w:rsidRPr="00CF581B">
        <w:rPr>
          <w:b/>
          <w:sz w:val="40"/>
          <w:szCs w:val="40"/>
        </w:rPr>
        <w:t>2020 m</w:t>
      </w:r>
      <w:r w:rsidR="003A5C47">
        <w:rPr>
          <w:b/>
          <w:sz w:val="40"/>
          <w:szCs w:val="40"/>
        </w:rPr>
        <w:t>etų</w:t>
      </w:r>
      <w:r w:rsidRPr="00CF581B">
        <w:rPr>
          <w:b/>
          <w:sz w:val="40"/>
          <w:szCs w:val="40"/>
        </w:rPr>
        <w:t xml:space="preserve"> Europos Sąjungos struktūrinių fondų lėšų panaudojimo vertinimas</w:t>
      </w:r>
    </w:p>
    <w:p w14:paraId="5C9D192F" w14:textId="77777777" w:rsidR="00CF581B" w:rsidRDefault="00CF581B" w:rsidP="00CF581B">
      <w:pPr>
        <w:autoSpaceDE w:val="0"/>
        <w:autoSpaceDN w:val="0"/>
        <w:adjustRightInd w:val="0"/>
        <w:ind w:firstLine="720"/>
        <w:jc w:val="both"/>
        <w:rPr>
          <w:b/>
        </w:rPr>
      </w:pPr>
    </w:p>
    <w:p w14:paraId="11DC01B5" w14:textId="77777777" w:rsidR="00CF581B" w:rsidRDefault="00CF581B" w:rsidP="00CF581B">
      <w:pPr>
        <w:autoSpaceDE w:val="0"/>
        <w:autoSpaceDN w:val="0"/>
        <w:adjustRightInd w:val="0"/>
        <w:ind w:firstLine="720"/>
        <w:jc w:val="both"/>
        <w:rPr>
          <w:b/>
        </w:rPr>
      </w:pPr>
    </w:p>
    <w:p w14:paraId="403A4A3B" w14:textId="77777777" w:rsidR="00CF581B" w:rsidRDefault="00CF581B" w:rsidP="00CF581B">
      <w:pPr>
        <w:autoSpaceDE w:val="0"/>
        <w:autoSpaceDN w:val="0"/>
        <w:adjustRightInd w:val="0"/>
        <w:ind w:firstLine="720"/>
        <w:jc w:val="both"/>
        <w:rPr>
          <w:b/>
        </w:rPr>
      </w:pPr>
    </w:p>
    <w:p w14:paraId="173E8C3B" w14:textId="77777777" w:rsidR="00CF581B" w:rsidRDefault="00CF581B" w:rsidP="00CF581B">
      <w:pPr>
        <w:autoSpaceDE w:val="0"/>
        <w:autoSpaceDN w:val="0"/>
        <w:adjustRightInd w:val="0"/>
        <w:ind w:firstLine="720"/>
        <w:jc w:val="both"/>
        <w:rPr>
          <w:b/>
        </w:rPr>
      </w:pPr>
    </w:p>
    <w:p w14:paraId="55968242" w14:textId="77777777" w:rsidR="00CF581B" w:rsidRDefault="00CF581B" w:rsidP="00CF581B">
      <w:pPr>
        <w:autoSpaceDE w:val="0"/>
        <w:autoSpaceDN w:val="0"/>
        <w:adjustRightInd w:val="0"/>
        <w:ind w:firstLine="720"/>
        <w:jc w:val="both"/>
        <w:rPr>
          <w:b/>
        </w:rPr>
      </w:pPr>
    </w:p>
    <w:p w14:paraId="0A0FFB1E" w14:textId="1BCC9E23" w:rsidR="00CF581B" w:rsidRPr="009B1379" w:rsidRDefault="00C1341E" w:rsidP="00CF581B">
      <w:pPr>
        <w:autoSpaceDE w:val="0"/>
        <w:autoSpaceDN w:val="0"/>
        <w:adjustRightInd w:val="0"/>
        <w:ind w:firstLine="720"/>
        <w:jc w:val="center"/>
        <w:rPr>
          <w:b/>
          <w:sz w:val="40"/>
          <w:szCs w:val="40"/>
        </w:rPr>
      </w:pPr>
      <w:r>
        <w:rPr>
          <w:b/>
          <w:sz w:val="40"/>
          <w:szCs w:val="40"/>
        </w:rPr>
        <w:t>2023 M. ATLIKTŲ</w:t>
      </w:r>
      <w:r w:rsidR="00CF581B" w:rsidRPr="009B1379">
        <w:rPr>
          <w:b/>
          <w:sz w:val="40"/>
          <w:szCs w:val="40"/>
        </w:rPr>
        <w:t xml:space="preserve"> VERTINIMŲ APŽVALGA</w:t>
      </w:r>
    </w:p>
    <w:p w14:paraId="222158E9" w14:textId="77777777" w:rsidR="00CF581B" w:rsidRDefault="00CF581B" w:rsidP="00CF581B">
      <w:pPr>
        <w:autoSpaceDE w:val="0"/>
        <w:autoSpaceDN w:val="0"/>
        <w:adjustRightInd w:val="0"/>
        <w:ind w:firstLine="720"/>
        <w:jc w:val="center"/>
        <w:rPr>
          <w:b/>
          <w:sz w:val="32"/>
          <w:szCs w:val="32"/>
        </w:rPr>
      </w:pPr>
    </w:p>
    <w:p w14:paraId="745CA028" w14:textId="77777777" w:rsidR="00CF581B" w:rsidRDefault="00CF581B" w:rsidP="00CF581B">
      <w:pPr>
        <w:autoSpaceDE w:val="0"/>
        <w:autoSpaceDN w:val="0"/>
        <w:adjustRightInd w:val="0"/>
        <w:ind w:firstLine="720"/>
        <w:jc w:val="center"/>
        <w:rPr>
          <w:b/>
          <w:sz w:val="32"/>
          <w:szCs w:val="32"/>
        </w:rPr>
      </w:pPr>
    </w:p>
    <w:p w14:paraId="2079239B" w14:textId="77777777" w:rsidR="00CF581B" w:rsidRDefault="00CF581B" w:rsidP="00CF581B">
      <w:pPr>
        <w:autoSpaceDE w:val="0"/>
        <w:autoSpaceDN w:val="0"/>
        <w:adjustRightInd w:val="0"/>
        <w:ind w:firstLine="720"/>
        <w:jc w:val="center"/>
        <w:rPr>
          <w:b/>
          <w:sz w:val="32"/>
          <w:szCs w:val="32"/>
        </w:rPr>
      </w:pPr>
    </w:p>
    <w:p w14:paraId="6257BB90" w14:textId="77777777" w:rsidR="00CF581B" w:rsidRDefault="00CF581B" w:rsidP="00CF581B">
      <w:pPr>
        <w:autoSpaceDE w:val="0"/>
        <w:autoSpaceDN w:val="0"/>
        <w:adjustRightInd w:val="0"/>
        <w:ind w:firstLine="720"/>
        <w:jc w:val="center"/>
        <w:rPr>
          <w:b/>
          <w:sz w:val="32"/>
          <w:szCs w:val="32"/>
        </w:rPr>
      </w:pPr>
    </w:p>
    <w:p w14:paraId="5AC35D60" w14:textId="77777777" w:rsidR="00CF581B" w:rsidRDefault="00CF581B" w:rsidP="00CF581B">
      <w:pPr>
        <w:autoSpaceDE w:val="0"/>
        <w:autoSpaceDN w:val="0"/>
        <w:adjustRightInd w:val="0"/>
        <w:jc w:val="center"/>
        <w:rPr>
          <w:b/>
          <w:sz w:val="32"/>
          <w:szCs w:val="32"/>
        </w:rPr>
      </w:pPr>
    </w:p>
    <w:p w14:paraId="13E21274" w14:textId="77777777" w:rsidR="00CF581B" w:rsidRDefault="00CF581B" w:rsidP="00CF581B">
      <w:pPr>
        <w:autoSpaceDE w:val="0"/>
        <w:autoSpaceDN w:val="0"/>
        <w:adjustRightInd w:val="0"/>
        <w:ind w:firstLine="720"/>
        <w:jc w:val="center"/>
        <w:rPr>
          <w:b/>
          <w:sz w:val="32"/>
          <w:szCs w:val="32"/>
        </w:rPr>
      </w:pPr>
    </w:p>
    <w:p w14:paraId="62EAB92A" w14:textId="77777777" w:rsidR="00CF581B" w:rsidRDefault="00CF581B" w:rsidP="00CF581B">
      <w:pPr>
        <w:autoSpaceDE w:val="0"/>
        <w:autoSpaceDN w:val="0"/>
        <w:adjustRightInd w:val="0"/>
        <w:ind w:firstLine="720"/>
        <w:jc w:val="center"/>
        <w:rPr>
          <w:b/>
          <w:sz w:val="32"/>
          <w:szCs w:val="32"/>
        </w:rPr>
      </w:pPr>
    </w:p>
    <w:p w14:paraId="61CE75F8" w14:textId="77777777" w:rsidR="00CF581B" w:rsidRDefault="00CF581B" w:rsidP="00CF581B">
      <w:pPr>
        <w:autoSpaceDE w:val="0"/>
        <w:autoSpaceDN w:val="0"/>
        <w:adjustRightInd w:val="0"/>
        <w:ind w:firstLine="720"/>
        <w:jc w:val="center"/>
        <w:rPr>
          <w:b/>
          <w:sz w:val="32"/>
          <w:szCs w:val="32"/>
        </w:rPr>
      </w:pPr>
    </w:p>
    <w:p w14:paraId="489092A5" w14:textId="77777777" w:rsidR="00CF581B" w:rsidRDefault="00CF581B" w:rsidP="00CF581B">
      <w:pPr>
        <w:autoSpaceDE w:val="0"/>
        <w:autoSpaceDN w:val="0"/>
        <w:adjustRightInd w:val="0"/>
        <w:ind w:firstLine="720"/>
        <w:jc w:val="center"/>
        <w:rPr>
          <w:b/>
          <w:sz w:val="32"/>
          <w:szCs w:val="32"/>
        </w:rPr>
      </w:pPr>
    </w:p>
    <w:p w14:paraId="6D569ED4" w14:textId="77777777" w:rsidR="00CF581B" w:rsidRDefault="00CF581B" w:rsidP="00CF581B">
      <w:pPr>
        <w:autoSpaceDE w:val="0"/>
        <w:autoSpaceDN w:val="0"/>
        <w:adjustRightInd w:val="0"/>
        <w:ind w:firstLine="720"/>
        <w:jc w:val="center"/>
        <w:rPr>
          <w:b/>
          <w:sz w:val="32"/>
          <w:szCs w:val="32"/>
        </w:rPr>
      </w:pPr>
    </w:p>
    <w:p w14:paraId="2F181185" w14:textId="77777777" w:rsidR="009F022B" w:rsidRDefault="009F022B" w:rsidP="00CF581B">
      <w:pPr>
        <w:autoSpaceDE w:val="0"/>
        <w:autoSpaceDN w:val="0"/>
        <w:adjustRightInd w:val="0"/>
        <w:ind w:firstLine="720"/>
        <w:jc w:val="center"/>
        <w:rPr>
          <w:b/>
          <w:sz w:val="32"/>
          <w:szCs w:val="32"/>
        </w:rPr>
      </w:pPr>
    </w:p>
    <w:p w14:paraId="4964E160" w14:textId="77777777" w:rsidR="009F022B" w:rsidRDefault="009F022B" w:rsidP="00CF581B">
      <w:pPr>
        <w:autoSpaceDE w:val="0"/>
        <w:autoSpaceDN w:val="0"/>
        <w:adjustRightInd w:val="0"/>
        <w:ind w:firstLine="720"/>
        <w:jc w:val="center"/>
        <w:rPr>
          <w:b/>
          <w:sz w:val="32"/>
          <w:szCs w:val="32"/>
        </w:rPr>
      </w:pPr>
    </w:p>
    <w:p w14:paraId="3E26F358" w14:textId="77777777" w:rsidR="009F022B" w:rsidRDefault="009F022B" w:rsidP="00CF581B">
      <w:pPr>
        <w:autoSpaceDE w:val="0"/>
        <w:autoSpaceDN w:val="0"/>
        <w:adjustRightInd w:val="0"/>
        <w:ind w:firstLine="720"/>
        <w:jc w:val="center"/>
        <w:rPr>
          <w:b/>
          <w:sz w:val="32"/>
          <w:szCs w:val="32"/>
        </w:rPr>
      </w:pPr>
    </w:p>
    <w:p w14:paraId="77525E24" w14:textId="77777777" w:rsidR="009F022B" w:rsidRDefault="009F022B" w:rsidP="00CF581B">
      <w:pPr>
        <w:autoSpaceDE w:val="0"/>
        <w:autoSpaceDN w:val="0"/>
        <w:adjustRightInd w:val="0"/>
        <w:ind w:firstLine="720"/>
        <w:jc w:val="center"/>
        <w:rPr>
          <w:b/>
          <w:sz w:val="32"/>
          <w:szCs w:val="32"/>
        </w:rPr>
      </w:pPr>
    </w:p>
    <w:p w14:paraId="2DF28FDA" w14:textId="77777777" w:rsidR="009F022B" w:rsidRDefault="009F022B" w:rsidP="00CF581B">
      <w:pPr>
        <w:autoSpaceDE w:val="0"/>
        <w:autoSpaceDN w:val="0"/>
        <w:adjustRightInd w:val="0"/>
        <w:ind w:firstLine="720"/>
        <w:jc w:val="center"/>
        <w:rPr>
          <w:b/>
          <w:sz w:val="32"/>
          <w:szCs w:val="32"/>
        </w:rPr>
      </w:pPr>
    </w:p>
    <w:p w14:paraId="4D8572F0" w14:textId="77777777" w:rsidR="009F022B" w:rsidRDefault="009F022B" w:rsidP="00CF581B">
      <w:pPr>
        <w:autoSpaceDE w:val="0"/>
        <w:autoSpaceDN w:val="0"/>
        <w:adjustRightInd w:val="0"/>
        <w:ind w:firstLine="720"/>
        <w:jc w:val="center"/>
        <w:rPr>
          <w:b/>
          <w:sz w:val="32"/>
          <w:szCs w:val="32"/>
        </w:rPr>
      </w:pPr>
    </w:p>
    <w:p w14:paraId="13974BBD" w14:textId="77777777" w:rsidR="00CF581B" w:rsidRDefault="00CF581B" w:rsidP="00CF581B">
      <w:pPr>
        <w:autoSpaceDE w:val="0"/>
        <w:autoSpaceDN w:val="0"/>
        <w:adjustRightInd w:val="0"/>
        <w:ind w:firstLine="720"/>
        <w:jc w:val="center"/>
        <w:rPr>
          <w:b/>
          <w:sz w:val="32"/>
          <w:szCs w:val="32"/>
        </w:rPr>
      </w:pPr>
    </w:p>
    <w:p w14:paraId="2E415060" w14:textId="77777777" w:rsidR="00CF581B" w:rsidRDefault="00CF581B" w:rsidP="00CF581B">
      <w:pPr>
        <w:autoSpaceDE w:val="0"/>
        <w:autoSpaceDN w:val="0"/>
        <w:adjustRightInd w:val="0"/>
        <w:ind w:firstLine="720"/>
        <w:jc w:val="center"/>
        <w:rPr>
          <w:b/>
          <w:sz w:val="32"/>
          <w:szCs w:val="32"/>
        </w:rPr>
      </w:pPr>
    </w:p>
    <w:p w14:paraId="1AB54DFE" w14:textId="4AC4EA7D" w:rsidR="0037185C" w:rsidRPr="00277EA5" w:rsidRDefault="00E25817" w:rsidP="00CF581B">
      <w:pPr>
        <w:autoSpaceDE w:val="0"/>
        <w:autoSpaceDN w:val="0"/>
        <w:adjustRightInd w:val="0"/>
        <w:ind w:firstLine="720"/>
        <w:jc w:val="center"/>
        <w:rPr>
          <w:b/>
          <w:sz w:val="32"/>
          <w:szCs w:val="32"/>
        </w:rPr>
      </w:pPr>
      <w:r w:rsidRPr="00277EA5">
        <w:rPr>
          <w:b/>
          <w:sz w:val="32"/>
          <w:szCs w:val="32"/>
        </w:rPr>
        <w:t>20</w:t>
      </w:r>
      <w:r w:rsidR="00D44FA2" w:rsidRPr="00277EA5">
        <w:rPr>
          <w:b/>
          <w:sz w:val="32"/>
          <w:szCs w:val="32"/>
        </w:rPr>
        <w:t>2</w:t>
      </w:r>
      <w:r w:rsidR="00852A42">
        <w:rPr>
          <w:b/>
          <w:sz w:val="32"/>
          <w:szCs w:val="32"/>
        </w:rPr>
        <w:t>4</w:t>
      </w:r>
      <w:r w:rsidR="00B02B73">
        <w:rPr>
          <w:b/>
          <w:sz w:val="32"/>
          <w:szCs w:val="32"/>
        </w:rPr>
        <w:t xml:space="preserve"> </w:t>
      </w:r>
      <w:r w:rsidRPr="00277EA5">
        <w:rPr>
          <w:b/>
          <w:sz w:val="32"/>
          <w:szCs w:val="32"/>
        </w:rPr>
        <w:t xml:space="preserve">m. </w:t>
      </w:r>
      <w:r w:rsidR="001C3669">
        <w:rPr>
          <w:b/>
          <w:sz w:val="32"/>
          <w:szCs w:val="32"/>
        </w:rPr>
        <w:t>Lapkritis</w:t>
      </w:r>
    </w:p>
    <w:p w14:paraId="387DB7F4" w14:textId="77777777" w:rsidR="009F022B" w:rsidRDefault="00CF581B" w:rsidP="00CF581B">
      <w:pPr>
        <w:autoSpaceDE w:val="0"/>
        <w:autoSpaceDN w:val="0"/>
        <w:adjustRightInd w:val="0"/>
        <w:ind w:firstLine="720"/>
        <w:jc w:val="center"/>
        <w:rPr>
          <w:b/>
          <w:sz w:val="32"/>
          <w:szCs w:val="32"/>
        </w:rPr>
      </w:pPr>
      <w:r w:rsidRPr="00277EA5">
        <w:rPr>
          <w:b/>
          <w:sz w:val="32"/>
          <w:szCs w:val="32"/>
        </w:rPr>
        <w:t>Vilnius</w:t>
      </w:r>
    </w:p>
    <w:p w14:paraId="4A06EBB3" w14:textId="77777777" w:rsidR="009F022B" w:rsidRDefault="009F022B">
      <w:pPr>
        <w:spacing w:after="200" w:line="276" w:lineRule="auto"/>
        <w:rPr>
          <w:b/>
          <w:sz w:val="32"/>
          <w:szCs w:val="32"/>
        </w:rPr>
      </w:pPr>
    </w:p>
    <w:p w14:paraId="068D06A0" w14:textId="77777777" w:rsidR="00CF581B" w:rsidRPr="005251A6" w:rsidRDefault="00CF581B" w:rsidP="00CF581B">
      <w:pPr>
        <w:autoSpaceDE w:val="0"/>
        <w:autoSpaceDN w:val="0"/>
        <w:adjustRightInd w:val="0"/>
        <w:ind w:firstLine="720"/>
        <w:jc w:val="center"/>
        <w:rPr>
          <w:b/>
          <w:sz w:val="32"/>
          <w:szCs w:val="32"/>
        </w:rPr>
      </w:pPr>
    </w:p>
    <w:p w14:paraId="6B43DE5F" w14:textId="77777777" w:rsidR="00CF581B" w:rsidRDefault="00CF581B" w:rsidP="00D12CD2">
      <w:pPr>
        <w:jc w:val="both"/>
        <w:rPr>
          <w:b/>
        </w:rPr>
      </w:pPr>
      <w:r w:rsidRPr="00CF581B">
        <w:rPr>
          <w:b/>
        </w:rPr>
        <w:t xml:space="preserve">Turinys </w:t>
      </w:r>
    </w:p>
    <w:p w14:paraId="3C36649C" w14:textId="063C31F6" w:rsidR="002923DC" w:rsidRPr="00FE6BD0" w:rsidRDefault="002923DC" w:rsidP="00C450DB">
      <w:pPr>
        <w:jc w:val="both"/>
        <w:rPr>
          <w:rFonts w:eastAsiaTheme="minorHAnsi"/>
          <w:color w:val="1F1E1D"/>
          <w:lang w:eastAsia="en-US"/>
        </w:rPr>
      </w:pPr>
      <w:r w:rsidRPr="00FE6BD0">
        <w:rPr>
          <w:rFonts w:eastAsiaTheme="minorHAnsi"/>
          <w:color w:val="1F1E1D"/>
          <w:lang w:eastAsia="en-US"/>
        </w:rPr>
        <w:t>1. 2014–2020 m. Europos Sąjungos fondų investicijų veiksmų programos tikslų pasiekimo vertinimas</w:t>
      </w:r>
      <w:r w:rsidR="005B1055">
        <w:rPr>
          <w:rFonts w:eastAsiaTheme="minorHAnsi"/>
          <w:color w:val="1F1E1D"/>
          <w:lang w:eastAsia="en-US"/>
        </w:rPr>
        <w:t>....................................................................................................................................</w:t>
      </w:r>
      <w:r w:rsidR="00C450DB">
        <w:rPr>
          <w:rFonts w:eastAsiaTheme="minorHAnsi"/>
          <w:color w:val="1F1E1D"/>
          <w:lang w:eastAsia="en-US"/>
        </w:rPr>
        <w:t>........</w:t>
      </w:r>
      <w:r w:rsidR="005B1055">
        <w:rPr>
          <w:rFonts w:eastAsiaTheme="minorHAnsi"/>
          <w:color w:val="1F1E1D"/>
          <w:lang w:eastAsia="en-US"/>
        </w:rPr>
        <w:t xml:space="preserve"> 3</w:t>
      </w:r>
    </w:p>
    <w:p w14:paraId="0B9E3885" w14:textId="6DDB9ECC" w:rsidR="00E6001A" w:rsidRPr="00FE6BD0" w:rsidRDefault="00FE6BD0" w:rsidP="00C450DB">
      <w:pPr>
        <w:jc w:val="both"/>
        <w:rPr>
          <w:spacing w:val="20"/>
        </w:rPr>
      </w:pPr>
      <w:r>
        <w:rPr>
          <w:spacing w:val="20"/>
        </w:rPr>
        <w:t>2</w:t>
      </w:r>
      <w:r w:rsidR="00E6001A" w:rsidRPr="00FE6BD0">
        <w:rPr>
          <w:spacing w:val="20"/>
        </w:rPr>
        <w:t xml:space="preserve">. </w:t>
      </w:r>
      <w:r w:rsidR="00DD30DA" w:rsidRPr="00DD30DA">
        <w:rPr>
          <w:rFonts w:eastAsia="Aptos"/>
          <w:kern w:val="2"/>
          <w:lang w:eastAsia="en-US"/>
          <w14:ligatures w14:val="standardContextual"/>
        </w:rPr>
        <w:t>Ekonomikos ir inovacijų ministerijos (toliau – EIMIN) kompetencijai priskirtų bendrai finansuojamų iš ES struktūrinių fondų lėšų ekonomikos sektorių būklės pokyčių vertinimas (III etapas)</w:t>
      </w:r>
      <w:r w:rsidR="005B1055">
        <w:rPr>
          <w:rFonts w:eastAsia="Aptos"/>
          <w:kern w:val="2"/>
          <w:lang w:eastAsia="en-US"/>
          <w14:ligatures w14:val="standardContextual"/>
        </w:rPr>
        <w:t>.........................................................................................................................................</w:t>
      </w:r>
      <w:r w:rsidR="00C450DB">
        <w:rPr>
          <w:rFonts w:eastAsia="Aptos"/>
          <w:kern w:val="2"/>
          <w:lang w:eastAsia="en-US"/>
          <w14:ligatures w14:val="standardContextual"/>
        </w:rPr>
        <w:t>........</w:t>
      </w:r>
      <w:r w:rsidR="005B1055">
        <w:rPr>
          <w:rFonts w:eastAsia="Aptos"/>
          <w:kern w:val="2"/>
          <w:lang w:eastAsia="en-US"/>
          <w14:ligatures w14:val="standardContextual"/>
        </w:rPr>
        <w:t>. 7</w:t>
      </w:r>
    </w:p>
    <w:p w14:paraId="10E20273" w14:textId="22959261" w:rsidR="006259C8" w:rsidRPr="00FE6BD0" w:rsidRDefault="00FE6BD0" w:rsidP="00C450DB">
      <w:pPr>
        <w:jc w:val="both"/>
        <w:rPr>
          <w:bCs/>
        </w:rPr>
      </w:pPr>
      <w:r>
        <w:rPr>
          <w:bCs/>
        </w:rPr>
        <w:t>3</w:t>
      </w:r>
      <w:r w:rsidR="006259C8" w:rsidRPr="00FE6BD0">
        <w:rPr>
          <w:bCs/>
        </w:rPr>
        <w:t xml:space="preserve">. 2014–2020 m. ES fondų investicijų poveikio Lietuvos turizmo sektoriaus augimui ir plėtrai vertinimas </w:t>
      </w:r>
      <w:r w:rsidR="005B1055">
        <w:rPr>
          <w:bCs/>
        </w:rPr>
        <w:t>...................................................................................................................................</w:t>
      </w:r>
      <w:r w:rsidR="00C450DB">
        <w:rPr>
          <w:bCs/>
        </w:rPr>
        <w:t>.......</w:t>
      </w:r>
      <w:r w:rsidR="005B1055">
        <w:rPr>
          <w:bCs/>
        </w:rPr>
        <w:t>. 9</w:t>
      </w:r>
    </w:p>
    <w:p w14:paraId="0419C91B" w14:textId="4C376AD0" w:rsidR="0089598D" w:rsidRPr="00FE6BD0" w:rsidRDefault="00FE6BD0" w:rsidP="00C450DB">
      <w:pPr>
        <w:jc w:val="both"/>
      </w:pPr>
      <w:r>
        <w:t>4</w:t>
      </w:r>
      <w:r w:rsidR="0089598D" w:rsidRPr="00FE6BD0">
        <w:t xml:space="preserve">. 2014–2020 m. Europos Sąjungos fondų investicijų veiksmų programos prioriteto „Informacinės visuomenės skatinimas“ poveikio vertinimas </w:t>
      </w:r>
      <w:r w:rsidR="005B1055">
        <w:t>.............................................................................</w:t>
      </w:r>
      <w:r w:rsidR="00C450DB">
        <w:t>......</w:t>
      </w:r>
      <w:r w:rsidR="005B1055">
        <w:t xml:space="preserve"> 11</w:t>
      </w:r>
    </w:p>
    <w:p w14:paraId="1B5D4A5A" w14:textId="5650BE76" w:rsidR="00D70AB5" w:rsidRPr="00FE6BD0" w:rsidRDefault="00FE6BD0" w:rsidP="00C450DB">
      <w:pPr>
        <w:jc w:val="both"/>
      </w:pPr>
      <w:bookmarkStart w:id="0" w:name="_Hlk143866345"/>
      <w:r>
        <w:t>5</w:t>
      </w:r>
      <w:r w:rsidR="00D70AB5" w:rsidRPr="00FE6BD0">
        <w:t>. 2014–2020 m. ES fondų investicijų sveikatos srityje poveikio vertinimas</w:t>
      </w:r>
      <w:bookmarkEnd w:id="0"/>
      <w:r w:rsidR="005B1055">
        <w:t>.............................</w:t>
      </w:r>
      <w:r w:rsidR="00C450DB">
        <w:t>......</w:t>
      </w:r>
      <w:r w:rsidR="005B1055">
        <w:t xml:space="preserve"> 14</w:t>
      </w:r>
    </w:p>
    <w:p w14:paraId="176D1061" w14:textId="537CE4BB" w:rsidR="001C6E0F" w:rsidRPr="00FE6BD0" w:rsidRDefault="00FE6BD0" w:rsidP="00C450DB">
      <w:pPr>
        <w:jc w:val="both"/>
      </w:pPr>
      <w:r>
        <w:t>6</w:t>
      </w:r>
      <w:r w:rsidR="001C6E0F" w:rsidRPr="00FE6BD0">
        <w:t>. 2021–2027 m. ES fondų ir kitų finansavimo šaltinių investicijų poreikio sveikatos apsaugos sektoriuje vertinimas, planuojant ir įgyvendinant sveikatos priežiūros įstaigų tinklo pertvarką</w:t>
      </w:r>
      <w:r w:rsidR="005B1055">
        <w:t>..</w:t>
      </w:r>
      <w:r w:rsidR="00C450DB">
        <w:t xml:space="preserve">..... </w:t>
      </w:r>
      <w:r w:rsidR="005B1055">
        <w:t>17</w:t>
      </w:r>
    </w:p>
    <w:p w14:paraId="5C206A8E" w14:textId="593DEE3E" w:rsidR="00067845" w:rsidRPr="00FE6BD0" w:rsidRDefault="00FE6BD0" w:rsidP="00C450DB">
      <w:pPr>
        <w:jc w:val="both"/>
      </w:pPr>
      <w:r>
        <w:t>7</w:t>
      </w:r>
      <w:r w:rsidR="0068114B" w:rsidRPr="00FE6BD0">
        <w:t>.</w:t>
      </w:r>
      <w:r w:rsidR="00B02B73" w:rsidRPr="00FE6BD0">
        <w:t xml:space="preserve"> 2021–2027 m. ES fondų investicijų laikotarpio kultūros skaitmeninimo srities prioritetų strateginis vertinimas</w:t>
      </w:r>
      <w:r w:rsidR="005B1055">
        <w:t>....................................................................................................................</w:t>
      </w:r>
      <w:r w:rsidR="00C450DB">
        <w:t>......................</w:t>
      </w:r>
      <w:r w:rsidR="005B1055">
        <w:t xml:space="preserve"> 18</w:t>
      </w:r>
    </w:p>
    <w:p w14:paraId="201AC05A" w14:textId="40B0D013" w:rsidR="00807A75" w:rsidRPr="00FE6BD0" w:rsidRDefault="00FE6BD0" w:rsidP="00C450DB">
      <w:pPr>
        <w:jc w:val="both"/>
        <w:rPr>
          <w:b/>
        </w:rPr>
      </w:pPr>
      <w:bookmarkStart w:id="1" w:name="_Hlk150427841"/>
      <w:r>
        <w:rPr>
          <w:bCs/>
        </w:rPr>
        <w:t>8</w:t>
      </w:r>
      <w:r w:rsidR="00807A75" w:rsidRPr="00FE6BD0">
        <w:rPr>
          <w:bCs/>
        </w:rPr>
        <w:t>. ES fondų ir kitų investicijų į dalyvavimo kultūrinėje veikloje skatinimo projektus poveikio visuomenei vertinimas</w:t>
      </w:r>
      <w:r w:rsidR="005B1055">
        <w:rPr>
          <w:bCs/>
        </w:rPr>
        <w:t>...............................................................................................................</w:t>
      </w:r>
      <w:r w:rsidR="00C450DB">
        <w:rPr>
          <w:bCs/>
        </w:rPr>
        <w:t>.....</w:t>
      </w:r>
      <w:r w:rsidR="005B1055">
        <w:rPr>
          <w:bCs/>
        </w:rPr>
        <w:t>... 20</w:t>
      </w:r>
      <w:r w:rsidR="00807A75" w:rsidRPr="00FE6BD0">
        <w:rPr>
          <w:b/>
        </w:rPr>
        <w:t xml:space="preserve"> </w:t>
      </w:r>
      <w:bookmarkEnd w:id="1"/>
    </w:p>
    <w:p w14:paraId="101192ED" w14:textId="5339444A" w:rsidR="00E7057C" w:rsidRPr="00FE6BD0" w:rsidRDefault="00FE6BD0" w:rsidP="00C450DB">
      <w:pPr>
        <w:jc w:val="both"/>
        <w:rPr>
          <w:bCs/>
        </w:rPr>
      </w:pPr>
      <w:r>
        <w:rPr>
          <w:bCs/>
        </w:rPr>
        <w:t>9</w:t>
      </w:r>
      <w:r w:rsidR="00E7057C" w:rsidRPr="00FE6BD0">
        <w:rPr>
          <w:bCs/>
        </w:rPr>
        <w:t>. Veiksmų programos prioriteto „Energijos efektyvumo ir atsinaujinančių išteklių energijos ir naudojimo skatinimas“ poveikio vertinimas</w:t>
      </w:r>
      <w:r w:rsidR="005B1055">
        <w:rPr>
          <w:bCs/>
        </w:rPr>
        <w:t>..............................................................................</w:t>
      </w:r>
      <w:r w:rsidR="00C450DB">
        <w:rPr>
          <w:bCs/>
        </w:rPr>
        <w:t>......</w:t>
      </w:r>
      <w:r w:rsidR="005B1055">
        <w:rPr>
          <w:bCs/>
        </w:rPr>
        <w:t>.. 22</w:t>
      </w:r>
    </w:p>
    <w:p w14:paraId="18F93026" w14:textId="77777777" w:rsidR="005D010B" w:rsidRPr="00FE6BD0" w:rsidRDefault="005D010B" w:rsidP="00DD30DA">
      <w:pPr>
        <w:spacing w:after="200" w:line="276" w:lineRule="auto"/>
        <w:jc w:val="both"/>
        <w:rPr>
          <w:b/>
        </w:rPr>
      </w:pPr>
      <w:r w:rsidRPr="00FE6BD0">
        <w:rPr>
          <w:b/>
        </w:rPr>
        <w:br w:type="page"/>
      </w:r>
    </w:p>
    <w:p w14:paraId="68CE6279" w14:textId="5CA53D6F" w:rsidR="002923DC" w:rsidRPr="002923DC" w:rsidRDefault="0042372A" w:rsidP="00DD30DA">
      <w:pPr>
        <w:rPr>
          <w:rFonts w:eastAsiaTheme="minorHAnsi"/>
          <w:b/>
          <w:bCs/>
          <w:color w:val="1F1E1D"/>
          <w:lang w:eastAsia="en-US"/>
        </w:rPr>
      </w:pPr>
      <w:r w:rsidRPr="00EB3F02">
        <w:rPr>
          <w:b/>
        </w:rPr>
        <w:lastRenderedPageBreak/>
        <w:t xml:space="preserve">1. </w:t>
      </w:r>
      <w:r w:rsidR="002923DC" w:rsidRPr="002923DC">
        <w:rPr>
          <w:rFonts w:eastAsiaTheme="minorHAnsi"/>
          <w:b/>
          <w:bCs/>
          <w:color w:val="1F1E1D"/>
          <w:lang w:eastAsia="en-US"/>
        </w:rPr>
        <w:t xml:space="preserve"> 2014–2020 m. Europos Sąjungos fondų investicijų veiksmų programos tikslų pasiekimo vertinimas</w:t>
      </w:r>
    </w:p>
    <w:p w14:paraId="50A4B75D" w14:textId="77777777" w:rsidR="002923DC" w:rsidRPr="002923DC" w:rsidRDefault="002923DC" w:rsidP="002923DC">
      <w:pPr>
        <w:spacing w:line="276" w:lineRule="auto"/>
        <w:jc w:val="both"/>
        <w:rPr>
          <w:rFonts w:eastAsiaTheme="minorHAnsi"/>
          <w:color w:val="1F1E1D"/>
          <w:lang w:eastAsia="en-US"/>
        </w:rPr>
      </w:pPr>
      <w:r w:rsidRPr="002923DC">
        <w:rPr>
          <w:rFonts w:eastAsiaTheme="minorHAnsi"/>
          <w:color w:val="1F1E1D"/>
          <w:lang w:eastAsia="en-US"/>
        </w:rPr>
        <w:t>Užsakovas: Finansų ministerija</w:t>
      </w:r>
    </w:p>
    <w:p w14:paraId="5A1B4AD8" w14:textId="1C4ACB51" w:rsidR="002923DC" w:rsidRPr="002923DC" w:rsidRDefault="002923DC" w:rsidP="002923DC">
      <w:pPr>
        <w:spacing w:line="276" w:lineRule="auto"/>
        <w:jc w:val="both"/>
        <w:rPr>
          <w:rFonts w:eastAsiaTheme="minorHAnsi"/>
          <w:color w:val="1F1E1D"/>
          <w:lang w:eastAsia="en-US"/>
        </w:rPr>
      </w:pPr>
      <w:r w:rsidRPr="002923DC">
        <w:rPr>
          <w:rFonts w:eastAsiaTheme="minorHAnsi"/>
          <w:color w:val="1F1E1D"/>
          <w:lang w:eastAsia="en-US"/>
        </w:rPr>
        <w:t>Vertinimą atliko: UAB „BGI Consulting“, 202</w:t>
      </w:r>
      <w:r>
        <w:rPr>
          <w:rFonts w:eastAsiaTheme="minorHAnsi"/>
          <w:color w:val="1F1E1D"/>
          <w:lang w:eastAsia="en-US"/>
        </w:rPr>
        <w:t>3</w:t>
      </w:r>
      <w:r w:rsidRPr="002923DC">
        <w:rPr>
          <w:rFonts w:eastAsiaTheme="minorHAnsi"/>
          <w:color w:val="1F1E1D"/>
          <w:lang w:eastAsia="en-US"/>
        </w:rPr>
        <w:t xml:space="preserve"> m.</w:t>
      </w:r>
    </w:p>
    <w:p w14:paraId="64131510" w14:textId="77777777" w:rsidR="002923DC" w:rsidRPr="002923DC" w:rsidRDefault="002923DC" w:rsidP="002923DC">
      <w:pPr>
        <w:spacing w:line="276" w:lineRule="auto"/>
        <w:jc w:val="both"/>
        <w:rPr>
          <w:rFonts w:eastAsiaTheme="minorHAnsi"/>
          <w:color w:val="1F1E1D"/>
          <w:lang w:eastAsia="en-US"/>
        </w:rPr>
      </w:pPr>
    </w:p>
    <w:p w14:paraId="4B1BE36C" w14:textId="7F0F0545" w:rsidR="002923DC" w:rsidRPr="002923DC" w:rsidRDefault="002923DC" w:rsidP="002923DC">
      <w:pPr>
        <w:spacing w:line="276" w:lineRule="auto"/>
        <w:jc w:val="both"/>
        <w:rPr>
          <w:rFonts w:eastAsiaTheme="minorHAnsi"/>
          <w:b/>
          <w:bCs/>
          <w:color w:val="1F1E1D"/>
          <w:lang w:eastAsia="en-US"/>
        </w:rPr>
      </w:pPr>
      <w:r w:rsidRPr="002923DC">
        <w:rPr>
          <w:rFonts w:eastAsiaTheme="minorHAnsi"/>
          <w:b/>
          <w:bCs/>
          <w:color w:val="1F1E1D"/>
          <w:lang w:eastAsia="en-US"/>
        </w:rPr>
        <w:t xml:space="preserve">Vertinimo tikslas, uždaviniai, </w:t>
      </w:r>
      <w:r w:rsidR="00C15C7E">
        <w:rPr>
          <w:rFonts w:eastAsiaTheme="minorHAnsi"/>
          <w:b/>
          <w:bCs/>
          <w:color w:val="1F1E1D"/>
          <w:lang w:eastAsia="en-US"/>
        </w:rPr>
        <w:t>apimtis,</w:t>
      </w:r>
      <w:r w:rsidR="00C15C7E" w:rsidRPr="002923DC">
        <w:rPr>
          <w:rFonts w:eastAsiaTheme="minorHAnsi"/>
          <w:b/>
          <w:bCs/>
          <w:color w:val="1F1E1D"/>
          <w:lang w:eastAsia="en-US"/>
        </w:rPr>
        <w:t xml:space="preserve"> </w:t>
      </w:r>
      <w:r w:rsidRPr="002923DC">
        <w:rPr>
          <w:rFonts w:eastAsiaTheme="minorHAnsi"/>
          <w:b/>
          <w:bCs/>
          <w:color w:val="1F1E1D"/>
          <w:lang w:eastAsia="en-US"/>
        </w:rPr>
        <w:t>metodai</w:t>
      </w:r>
    </w:p>
    <w:p w14:paraId="07F0938F" w14:textId="77777777" w:rsidR="002923DC" w:rsidRPr="002923DC" w:rsidRDefault="002923DC" w:rsidP="002923DC">
      <w:pPr>
        <w:spacing w:line="276" w:lineRule="auto"/>
        <w:jc w:val="both"/>
        <w:rPr>
          <w:rFonts w:eastAsiaTheme="minorHAnsi"/>
          <w:b/>
          <w:bCs/>
          <w:color w:val="1F1E1D"/>
          <w:lang w:eastAsia="en-US"/>
        </w:rPr>
      </w:pPr>
      <w:r w:rsidRPr="002923DC">
        <w:rPr>
          <w:rFonts w:eastAsiaTheme="minorHAnsi"/>
          <w:b/>
          <w:bCs/>
          <w:color w:val="1F1E1D"/>
          <w:lang w:eastAsia="en-US"/>
        </w:rPr>
        <w:t>Tikslas</w:t>
      </w:r>
    </w:p>
    <w:p w14:paraId="335988F3" w14:textId="27B58247" w:rsidR="002923DC" w:rsidRPr="002923DC" w:rsidRDefault="002923DC" w:rsidP="00D35893">
      <w:pPr>
        <w:jc w:val="both"/>
        <w:rPr>
          <w:rFonts w:eastAsiaTheme="minorHAnsi"/>
          <w:color w:val="1F1E1D"/>
          <w:lang w:eastAsia="en-US"/>
        </w:rPr>
      </w:pPr>
      <w:r>
        <w:rPr>
          <w:rFonts w:eastAsiaTheme="minorHAnsi"/>
          <w:color w:val="1F1E1D"/>
          <w:lang w:eastAsia="en-US"/>
        </w:rPr>
        <w:t>N</w:t>
      </w:r>
      <w:r w:rsidRPr="002923DC">
        <w:rPr>
          <w:rFonts w:eastAsiaTheme="minorHAnsi"/>
          <w:color w:val="1F1E1D"/>
          <w:lang w:eastAsia="en-US"/>
        </w:rPr>
        <w:t>ustatyti E</w:t>
      </w:r>
      <w:r w:rsidR="00B21625">
        <w:rPr>
          <w:rFonts w:eastAsiaTheme="minorHAnsi"/>
          <w:color w:val="1F1E1D"/>
          <w:lang w:eastAsia="en-US"/>
        </w:rPr>
        <w:t xml:space="preserve">uropos </w:t>
      </w:r>
      <w:r w:rsidRPr="002923DC">
        <w:rPr>
          <w:rFonts w:eastAsiaTheme="minorHAnsi"/>
          <w:color w:val="1F1E1D"/>
          <w:lang w:eastAsia="en-US"/>
        </w:rPr>
        <w:t>S</w:t>
      </w:r>
      <w:r w:rsidR="00B21625">
        <w:rPr>
          <w:rFonts w:eastAsiaTheme="minorHAnsi"/>
          <w:color w:val="1F1E1D"/>
          <w:lang w:eastAsia="en-US"/>
        </w:rPr>
        <w:t>ąjungos (toliau –</w:t>
      </w:r>
      <w:r w:rsidR="00B21625">
        <w:rPr>
          <w:rFonts w:eastAsiaTheme="minorHAnsi"/>
        </w:rPr>
        <w:t xml:space="preserve"> </w:t>
      </w:r>
      <w:r w:rsidR="00122E11">
        <w:rPr>
          <w:rFonts w:eastAsiaTheme="minorHAnsi"/>
        </w:rPr>
        <w:t>ES)</w:t>
      </w:r>
      <w:r w:rsidRPr="002923DC">
        <w:rPr>
          <w:rFonts w:eastAsiaTheme="minorHAnsi"/>
          <w:color w:val="1F1E1D"/>
          <w:lang w:eastAsia="en-US"/>
        </w:rPr>
        <w:t xml:space="preserve"> investicijų poveikį, įgyvendinant ES ir nacionalinius strateginius tikslus bei </w:t>
      </w:r>
      <w:r w:rsidR="00122E11" w:rsidRPr="00122E11">
        <w:rPr>
          <w:rFonts w:eastAsiaTheme="minorHAnsi"/>
          <w:color w:val="1F1E1D"/>
          <w:lang w:eastAsia="en-US"/>
        </w:rPr>
        <w:t>2014–2020 m. Europos Sąjungos fondų investicijų veiksmų programos</w:t>
      </w:r>
      <w:r w:rsidR="00122E11">
        <w:rPr>
          <w:rFonts w:eastAsiaTheme="minorHAnsi"/>
          <w:color w:val="1F1E1D"/>
          <w:lang w:eastAsia="en-US"/>
        </w:rPr>
        <w:t xml:space="preserve"> (toliau – VP)</w:t>
      </w:r>
      <w:r w:rsidRPr="002923DC">
        <w:rPr>
          <w:rFonts w:eastAsiaTheme="minorHAnsi"/>
          <w:color w:val="1F1E1D"/>
          <w:lang w:eastAsia="en-US"/>
        </w:rPr>
        <w:t xml:space="preserve"> teminius tikslus, siekiant tinkamai atsiskaityti už ES fondų lėšų panaudojimą..</w:t>
      </w:r>
    </w:p>
    <w:p w14:paraId="0CE7AE5E" w14:textId="77777777" w:rsidR="002923DC" w:rsidRPr="00122E11" w:rsidRDefault="002923DC" w:rsidP="00D35893">
      <w:pPr>
        <w:jc w:val="both"/>
        <w:rPr>
          <w:rFonts w:eastAsiaTheme="minorHAnsi"/>
          <w:b/>
          <w:bCs/>
          <w:color w:val="1F1E1D"/>
          <w:lang w:eastAsia="en-US"/>
        </w:rPr>
      </w:pPr>
      <w:r w:rsidRPr="00122E11">
        <w:rPr>
          <w:rFonts w:eastAsiaTheme="minorHAnsi"/>
          <w:b/>
          <w:bCs/>
          <w:color w:val="1F1E1D"/>
          <w:lang w:eastAsia="en-US"/>
        </w:rPr>
        <w:t>Uždaviniai</w:t>
      </w:r>
    </w:p>
    <w:p w14:paraId="374AD688" w14:textId="77777777" w:rsidR="00B21625" w:rsidRPr="00B21625" w:rsidRDefault="00B21625" w:rsidP="00D35893">
      <w:pPr>
        <w:tabs>
          <w:tab w:val="left" w:pos="9600"/>
        </w:tabs>
        <w:spacing w:after="80"/>
        <w:ind w:right="74"/>
        <w:jc w:val="both"/>
        <w:rPr>
          <w:noProof/>
          <w:szCs w:val="22"/>
        </w:rPr>
      </w:pPr>
      <w:r w:rsidRPr="00B21625">
        <w:rPr>
          <w:noProof/>
          <w:szCs w:val="22"/>
        </w:rPr>
        <w:t>1) Įvertinti VP indėlį į ES ir nacionalinių strateginių tikslų pasiekimą pažangaus, tvaraus ir integracinio augimo srityje (programos/prioriteto/konkretaus uždavinio lygiu).</w:t>
      </w:r>
    </w:p>
    <w:p w14:paraId="4D14FDD1" w14:textId="77777777" w:rsidR="00B21625" w:rsidRPr="00B21625" w:rsidRDefault="00B21625" w:rsidP="00D35893">
      <w:pPr>
        <w:spacing w:after="80"/>
        <w:ind w:right="74"/>
        <w:jc w:val="both"/>
        <w:rPr>
          <w:noProof/>
          <w:szCs w:val="22"/>
        </w:rPr>
      </w:pPr>
      <w:r w:rsidRPr="00B21625">
        <w:rPr>
          <w:noProof/>
          <w:szCs w:val="22"/>
        </w:rPr>
        <w:t>2) Įvertinti, kaip ES investicijos prisideda prie kiekvieno VP prioriteto tikslų įgyvendinimo (prioriteto/konkretaus uždavinio lygiu).</w:t>
      </w:r>
    </w:p>
    <w:p w14:paraId="189DD396" w14:textId="77777777" w:rsidR="005B1055" w:rsidRPr="00122E11" w:rsidRDefault="005B1055" w:rsidP="005B1055">
      <w:pPr>
        <w:jc w:val="both"/>
        <w:rPr>
          <w:rFonts w:eastAsiaTheme="minorHAnsi"/>
          <w:b/>
          <w:bCs/>
          <w:color w:val="1F1E1D"/>
          <w:lang w:eastAsia="en-US"/>
        </w:rPr>
      </w:pPr>
      <w:r w:rsidRPr="00122E11">
        <w:rPr>
          <w:rFonts w:eastAsiaTheme="minorHAnsi"/>
          <w:b/>
          <w:bCs/>
          <w:color w:val="1F1E1D"/>
          <w:lang w:eastAsia="en-US"/>
        </w:rPr>
        <w:t>Apimtis</w:t>
      </w:r>
    </w:p>
    <w:p w14:paraId="79CAD231" w14:textId="77777777" w:rsidR="005B1055" w:rsidRDefault="005B1055" w:rsidP="005B1055">
      <w:pPr>
        <w:jc w:val="both"/>
        <w:rPr>
          <w:rFonts w:eastAsiaTheme="minorHAnsi"/>
          <w:color w:val="1F1E1D"/>
          <w:lang w:eastAsia="en-US"/>
        </w:rPr>
      </w:pPr>
      <w:r w:rsidRPr="00122E11">
        <w:rPr>
          <w:rFonts w:eastAsiaTheme="minorHAnsi"/>
          <w:color w:val="1F1E1D"/>
          <w:lang w:eastAsia="en-US"/>
        </w:rPr>
        <w:t>Vertinimo objektas –</w:t>
      </w:r>
      <w:r>
        <w:rPr>
          <w:rFonts w:eastAsiaTheme="minorHAnsi"/>
          <w:color w:val="1F1E1D"/>
          <w:lang w:eastAsia="en-US"/>
        </w:rPr>
        <w:t xml:space="preserve"> </w:t>
      </w:r>
      <w:r w:rsidRPr="00122E11">
        <w:rPr>
          <w:rFonts w:eastAsiaTheme="minorHAnsi"/>
          <w:color w:val="1F1E1D"/>
          <w:lang w:eastAsia="en-US"/>
        </w:rPr>
        <w:t>VP, kurią sudaro 14 VP prioritetų ir 67 konkretūs uždaviniai. Taip pat, be tiesiogiai VP numatytų tikslų, išreikštų rezultato rodikliais, vertintas VP investicijų indėlis, siekiant strategijos „Europa 2020“ tikslų (5 tikslai, 8 rodikliai) ir atitinkamų 2020 m. Nacionalinės reformų darbotvarkės nacionalinių strateginių tikslų.</w:t>
      </w:r>
    </w:p>
    <w:p w14:paraId="0951226A" w14:textId="5C06F113" w:rsidR="002923DC" w:rsidRPr="00122E11" w:rsidRDefault="002923DC" w:rsidP="00D35893">
      <w:pPr>
        <w:jc w:val="both"/>
        <w:rPr>
          <w:rFonts w:eastAsiaTheme="minorHAnsi"/>
          <w:b/>
          <w:bCs/>
          <w:color w:val="1F1E1D"/>
          <w:lang w:eastAsia="en-US"/>
        </w:rPr>
      </w:pPr>
      <w:r w:rsidRPr="00122E11">
        <w:rPr>
          <w:rFonts w:eastAsiaTheme="minorHAnsi"/>
          <w:b/>
          <w:bCs/>
          <w:color w:val="1F1E1D"/>
          <w:lang w:eastAsia="en-US"/>
        </w:rPr>
        <w:t xml:space="preserve">Naudoti metodai </w:t>
      </w:r>
    </w:p>
    <w:p w14:paraId="2F353C8C" w14:textId="3A69351E" w:rsidR="00122E11" w:rsidRPr="00122E11" w:rsidRDefault="00B21625" w:rsidP="00D35893">
      <w:pPr>
        <w:jc w:val="both"/>
        <w:rPr>
          <w:rFonts w:eastAsiaTheme="minorHAnsi"/>
          <w:color w:val="1F1E1D"/>
          <w:lang w:eastAsia="en-US"/>
        </w:rPr>
      </w:pPr>
      <w:r w:rsidRPr="00B21625">
        <w:rPr>
          <w:rFonts w:eastAsiaTheme="minorHAnsi"/>
          <w:color w:val="1F1E1D"/>
          <w:lang w:eastAsia="en-US"/>
        </w:rPr>
        <w:t>Atsižvelgiant į itin platų vertinimo objekto mastą, visiems vertinimo komponentams taikytas unitarinis metodologinis požiūris – kiekvienam VP prioritetui ir jį sudarantiems uždaviniams taikytas bendras analizės algoritmas, kuriame, atsižvelgiant į VP prioriteto (arba uždavinio) specifiką, keičiasi tik taikomi metodai, empirinio tyrimo rūšis bei rezultatai.</w:t>
      </w:r>
      <w:r w:rsidR="00122E11" w:rsidRPr="00122E11">
        <w:t xml:space="preserve"> </w:t>
      </w:r>
      <w:r w:rsidR="00122E11" w:rsidRPr="00122E11">
        <w:rPr>
          <w:rFonts w:eastAsiaTheme="minorHAnsi"/>
          <w:color w:val="1F1E1D"/>
          <w:lang w:eastAsia="en-US"/>
        </w:rPr>
        <w:t>VP intervencijų vertinimas konkrečių uždavinių lygmeniu atliktas taikant kaitos teorijos požiūrį</w:t>
      </w:r>
      <w:r w:rsidR="00122E11">
        <w:rPr>
          <w:rFonts w:eastAsiaTheme="minorHAnsi"/>
          <w:color w:val="1F1E1D"/>
          <w:lang w:eastAsia="en-US"/>
        </w:rPr>
        <w:t>.</w:t>
      </w:r>
      <w:r w:rsidR="00122E11" w:rsidRPr="00122E11">
        <w:rPr>
          <w:rFonts w:eastAsiaTheme="minorHAnsi"/>
          <w:color w:val="1F1E1D"/>
          <w:lang w:eastAsia="en-US"/>
        </w:rPr>
        <w:t xml:space="preserve"> Intervencijos analizuotos pagal tinkamumo, rezultatyvumo, efektyvumo, poveikio ir tvarumo (tęstinumo) kriterijus. </w:t>
      </w:r>
    </w:p>
    <w:p w14:paraId="2860905E" w14:textId="77777777" w:rsidR="00122E11" w:rsidRPr="00122E11" w:rsidRDefault="00122E11" w:rsidP="00D35893">
      <w:pPr>
        <w:jc w:val="both"/>
        <w:rPr>
          <w:rFonts w:eastAsiaTheme="minorHAnsi"/>
          <w:color w:val="1F1E1D"/>
          <w:lang w:eastAsia="en-US"/>
        </w:rPr>
      </w:pPr>
      <w:r w:rsidRPr="00122E11">
        <w:rPr>
          <w:rFonts w:eastAsiaTheme="minorHAnsi"/>
          <w:color w:val="1F1E1D"/>
          <w:lang w:eastAsia="en-US"/>
        </w:rPr>
        <w:t>Analizei atlikti reikalingi duomenys gauti iš įvairių pirminių ir antrinių šaltinių, iš kurių pagrindiniai: SFMIS (2014–2020 metų Europos Sąjungos struktūrinių fondų informacinės sistemos posistemė), įvairių institucijų ir įstaigų anksčiau parengtos apžvalgos, tyrimai, vertinimai, tiesiogiai pagal vertintojų užklausas atsakingų institucijų pateikta informacija. Rengiant atvejo studijas buvo atliktos dvi anketinės apklausos, pusiau struktūruoti interviu su už ES paramos administravimą atsakingų institucijų, savivaldybės administracijos, bendruomenių atstovais. Vertinimo išvados ir rekomendacijos aptartos su socialiniais bei ekonominiais partneriais, atstovaujančiais verslo ir nevyriausybinio sektoriaus subjektams.</w:t>
      </w:r>
    </w:p>
    <w:p w14:paraId="2E108FE4" w14:textId="1B8F20E5" w:rsidR="00B21625" w:rsidRDefault="00122E11" w:rsidP="00D35893">
      <w:pPr>
        <w:jc w:val="both"/>
        <w:rPr>
          <w:rFonts w:eastAsiaTheme="minorHAnsi"/>
          <w:color w:val="1F1E1D"/>
          <w:lang w:eastAsia="en-US"/>
        </w:rPr>
      </w:pPr>
      <w:r w:rsidRPr="00122E11">
        <w:rPr>
          <w:rFonts w:eastAsiaTheme="minorHAnsi"/>
          <w:color w:val="1F1E1D"/>
          <w:lang w:eastAsia="en-US"/>
        </w:rPr>
        <w:t>Atliekant vertinimą naudotos projektų, priemonių ir uždavinių lygmens stebėsenos rodiklių reikšmės, pasiektos iki 2022 m. gruodžio 31 dienos.</w:t>
      </w:r>
    </w:p>
    <w:p w14:paraId="4C6DBD2E" w14:textId="77777777" w:rsidR="00D35893" w:rsidRDefault="00D35893" w:rsidP="00D35893">
      <w:pPr>
        <w:jc w:val="both"/>
        <w:rPr>
          <w:rFonts w:eastAsiaTheme="minorHAnsi"/>
          <w:b/>
          <w:bCs/>
          <w:color w:val="1F1E1D"/>
          <w:lang w:eastAsia="en-US"/>
        </w:rPr>
      </w:pPr>
    </w:p>
    <w:p w14:paraId="2BCD0055" w14:textId="417F51B1" w:rsidR="002923DC" w:rsidRDefault="002923DC" w:rsidP="00D35893">
      <w:pPr>
        <w:jc w:val="both"/>
        <w:rPr>
          <w:rFonts w:eastAsiaTheme="minorHAnsi"/>
          <w:b/>
          <w:bCs/>
          <w:color w:val="1F1E1D"/>
          <w:lang w:eastAsia="en-US"/>
        </w:rPr>
      </w:pPr>
      <w:r w:rsidRPr="00122E11">
        <w:rPr>
          <w:rFonts w:eastAsiaTheme="minorHAnsi"/>
          <w:b/>
          <w:bCs/>
          <w:color w:val="1F1E1D"/>
          <w:lang w:eastAsia="en-US"/>
        </w:rPr>
        <w:t xml:space="preserve">Pagrindiniai vertinimo </w:t>
      </w:r>
      <w:r w:rsidR="00BD3A8A">
        <w:rPr>
          <w:rFonts w:eastAsiaTheme="minorHAnsi"/>
          <w:b/>
          <w:bCs/>
          <w:color w:val="1F1E1D"/>
          <w:lang w:eastAsia="en-US"/>
        </w:rPr>
        <w:t>rezultatai</w:t>
      </w:r>
    </w:p>
    <w:p w14:paraId="4A959D9C" w14:textId="7D854C82" w:rsidR="00BD3A8A" w:rsidRPr="00122E11" w:rsidRDefault="00BD3A8A" w:rsidP="00D35893">
      <w:pPr>
        <w:jc w:val="both"/>
        <w:rPr>
          <w:rFonts w:eastAsiaTheme="minorHAnsi"/>
          <w:b/>
          <w:bCs/>
          <w:color w:val="1F1E1D"/>
          <w:lang w:eastAsia="en-US"/>
        </w:rPr>
      </w:pPr>
      <w:r>
        <w:rPr>
          <w:rFonts w:eastAsiaTheme="minorHAnsi"/>
          <w:b/>
          <w:bCs/>
          <w:color w:val="1F1E1D"/>
          <w:lang w:eastAsia="en-US"/>
        </w:rPr>
        <w:t>Vertinimo produktai:</w:t>
      </w:r>
    </w:p>
    <w:p w14:paraId="1081B6CD" w14:textId="77777777" w:rsidR="00BD3A8A" w:rsidRPr="00BD3A8A" w:rsidRDefault="00BD3A8A" w:rsidP="00D35893">
      <w:pPr>
        <w:jc w:val="both"/>
        <w:rPr>
          <w:rFonts w:eastAsiaTheme="minorHAnsi"/>
          <w:color w:val="1F1E1D"/>
          <w:lang w:eastAsia="en-US"/>
        </w:rPr>
      </w:pPr>
      <w:r w:rsidRPr="00BD3A8A">
        <w:rPr>
          <w:rFonts w:eastAsiaTheme="minorHAnsi"/>
          <w:color w:val="1F1E1D"/>
          <w:lang w:eastAsia="en-US"/>
        </w:rPr>
        <w:t>1) Vertinimo ataskaita, apimanti  12 atskirų VP prioritetų ataskaitų,  ir jos santrauka.</w:t>
      </w:r>
    </w:p>
    <w:p w14:paraId="5B4E8AEC" w14:textId="77777777" w:rsidR="00BD3A8A" w:rsidRPr="00BD3A8A" w:rsidRDefault="00BD3A8A" w:rsidP="00D35893">
      <w:pPr>
        <w:jc w:val="both"/>
        <w:rPr>
          <w:rFonts w:eastAsiaTheme="minorHAnsi"/>
          <w:color w:val="1F1E1D"/>
          <w:lang w:eastAsia="en-US"/>
        </w:rPr>
      </w:pPr>
      <w:r w:rsidRPr="00BD3A8A">
        <w:rPr>
          <w:rFonts w:eastAsiaTheme="minorHAnsi"/>
          <w:color w:val="1F1E1D"/>
          <w:lang w:eastAsia="en-US"/>
        </w:rPr>
        <w:t xml:space="preserve">2) Atvejo studijos: Regioninė atvejo studija pagal VP prioritetus atspindinčius rodiklius; Integruotų teritorinių investicijų (ITI) mechanizmo miestų vietovėse atvejo studija; VP indėlio, įgyvendinant atsako į COVID-19 veiksmus, atvejo studija. </w:t>
      </w:r>
    </w:p>
    <w:p w14:paraId="3FA4C59A" w14:textId="4737A43F" w:rsidR="00122E11" w:rsidRDefault="00BD3A8A" w:rsidP="00D35893">
      <w:pPr>
        <w:jc w:val="both"/>
        <w:rPr>
          <w:rFonts w:eastAsiaTheme="minorHAnsi"/>
          <w:color w:val="1F1E1D"/>
          <w:lang w:eastAsia="en-US"/>
        </w:rPr>
      </w:pPr>
      <w:r w:rsidRPr="00BD3A8A">
        <w:rPr>
          <w:rFonts w:eastAsiaTheme="minorHAnsi"/>
          <w:color w:val="1F1E1D"/>
          <w:lang w:eastAsia="en-US"/>
        </w:rPr>
        <w:t>3) Elektroninis viešinimo leidinys „2014–2020 m. Europos Sąjungos fondų investicijų  veiksmų programos indėlis siekiant pažangaus, tvaraus ir integracinio</w:t>
      </w:r>
      <w:r>
        <w:rPr>
          <w:rFonts w:eastAsiaTheme="minorHAnsi"/>
          <w:color w:val="1F1E1D"/>
          <w:lang w:eastAsia="en-US"/>
        </w:rPr>
        <w:t xml:space="preserve"> </w:t>
      </w:r>
      <w:r w:rsidRPr="00BD3A8A">
        <w:rPr>
          <w:rFonts w:eastAsiaTheme="minorHAnsi"/>
          <w:color w:val="1F1E1D"/>
          <w:lang w:eastAsia="en-US"/>
        </w:rPr>
        <w:t>augimo tikslų“.</w:t>
      </w:r>
    </w:p>
    <w:p w14:paraId="3A29FE78" w14:textId="5376C293" w:rsidR="00BD3A8A" w:rsidRDefault="00BD3A8A" w:rsidP="00D35893">
      <w:pPr>
        <w:jc w:val="both"/>
        <w:rPr>
          <w:rFonts w:eastAsiaTheme="minorHAnsi"/>
          <w:color w:val="1F1E1D"/>
          <w:lang w:eastAsia="en-US"/>
        </w:rPr>
      </w:pPr>
      <w:r w:rsidRPr="008B4446">
        <w:rPr>
          <w:rFonts w:eastAsiaTheme="minorHAnsi"/>
          <w:b/>
          <w:bCs/>
          <w:color w:val="1F1E1D"/>
          <w:lang w:eastAsia="en-US"/>
        </w:rPr>
        <w:t>Vertinimas nustatė esminius pokyčius</w:t>
      </w:r>
      <w:r>
        <w:rPr>
          <w:rFonts w:eastAsiaTheme="minorHAnsi"/>
          <w:color w:val="1F1E1D"/>
          <w:lang w:eastAsia="en-US"/>
        </w:rPr>
        <w:t>, kuriuos</w:t>
      </w:r>
      <w:r w:rsidRPr="00BD3A8A">
        <w:rPr>
          <w:rFonts w:eastAsiaTheme="minorHAnsi"/>
          <w:color w:val="1F1E1D"/>
          <w:lang w:eastAsia="en-US"/>
        </w:rPr>
        <w:t xml:space="preserve"> lėmė ES investicijos ir prisidėjo prie strategijos „Europa 2020“ įgyvendinimo, kuris siejamas su pažanga trimis strateginėmis – pažangaus, tvaraus ir integracinio augimo – kryptimis.</w:t>
      </w:r>
    </w:p>
    <w:p w14:paraId="35E7F7D2" w14:textId="632F4F55" w:rsidR="008152E8" w:rsidRDefault="008152E8" w:rsidP="00D35893">
      <w:pPr>
        <w:jc w:val="both"/>
        <w:rPr>
          <w:rFonts w:eastAsiaTheme="minorHAnsi"/>
          <w:color w:val="1F1E1D"/>
          <w:lang w:eastAsia="en-US"/>
        </w:rPr>
      </w:pPr>
      <w:r w:rsidRPr="009F02C8">
        <w:rPr>
          <w:rFonts w:eastAsiaTheme="minorHAnsi"/>
          <w:b/>
          <w:bCs/>
          <w:color w:val="1F1E1D"/>
          <w:lang w:eastAsia="en-US"/>
        </w:rPr>
        <w:t>Pažangaus augimo srityje</w:t>
      </w:r>
      <w:r>
        <w:rPr>
          <w:rFonts w:eastAsiaTheme="minorHAnsi"/>
          <w:color w:val="1F1E1D"/>
          <w:lang w:eastAsia="en-US"/>
        </w:rPr>
        <w:t>:</w:t>
      </w:r>
    </w:p>
    <w:p w14:paraId="4EEF981C" w14:textId="415AE0BB" w:rsidR="008152E8" w:rsidRPr="00086F90" w:rsidRDefault="00086F90" w:rsidP="00D35893">
      <w:pPr>
        <w:pStyle w:val="Sraopastraipa"/>
        <w:numPr>
          <w:ilvl w:val="0"/>
          <w:numId w:val="7"/>
        </w:numPr>
        <w:jc w:val="both"/>
        <w:rPr>
          <w:rFonts w:eastAsiaTheme="minorHAnsi"/>
          <w:color w:val="1F1E1D"/>
          <w:lang w:eastAsia="en-US"/>
        </w:rPr>
      </w:pPr>
      <w:r>
        <w:rPr>
          <w:rFonts w:eastAsiaTheme="minorHAnsi"/>
          <w:color w:val="1F1E1D"/>
          <w:lang w:eastAsia="en-US"/>
        </w:rPr>
        <w:lastRenderedPageBreak/>
        <w:t>Dėl į</w:t>
      </w:r>
      <w:r w:rsidR="008152E8" w:rsidRPr="00086F90">
        <w:rPr>
          <w:rFonts w:eastAsiaTheme="minorHAnsi"/>
          <w:color w:val="1F1E1D"/>
          <w:lang w:eastAsia="en-US"/>
        </w:rPr>
        <w:t>monių MTEP veikl</w:t>
      </w:r>
      <w:r>
        <w:rPr>
          <w:rFonts w:eastAsiaTheme="minorHAnsi"/>
          <w:color w:val="1F1E1D"/>
          <w:lang w:eastAsia="en-US"/>
        </w:rPr>
        <w:t>ų</w:t>
      </w:r>
      <w:r w:rsidR="008152E8" w:rsidRPr="00086F90">
        <w:rPr>
          <w:rFonts w:eastAsiaTheme="minorHAnsi"/>
          <w:color w:val="1F1E1D"/>
          <w:lang w:eastAsia="en-US"/>
        </w:rPr>
        <w:t xml:space="preserve"> finansavim</w:t>
      </w:r>
      <w:r>
        <w:rPr>
          <w:rFonts w:eastAsiaTheme="minorHAnsi"/>
          <w:color w:val="1F1E1D"/>
          <w:lang w:eastAsia="en-US"/>
        </w:rPr>
        <w:t>o</w:t>
      </w:r>
      <w:r w:rsidR="008152E8" w:rsidRPr="00086F90">
        <w:rPr>
          <w:rFonts w:eastAsiaTheme="minorHAnsi"/>
          <w:color w:val="1F1E1D"/>
          <w:lang w:eastAsia="en-US"/>
        </w:rPr>
        <w:t>, mokslininkų įdarbinim</w:t>
      </w:r>
      <w:r>
        <w:rPr>
          <w:rFonts w:eastAsiaTheme="minorHAnsi"/>
          <w:color w:val="1F1E1D"/>
          <w:lang w:eastAsia="en-US"/>
        </w:rPr>
        <w:t>o</w:t>
      </w:r>
      <w:r w:rsidR="008152E8" w:rsidRPr="00086F90">
        <w:rPr>
          <w:rFonts w:eastAsiaTheme="minorHAnsi"/>
          <w:color w:val="1F1E1D"/>
          <w:lang w:eastAsia="en-US"/>
        </w:rPr>
        <w:t xml:space="preserve"> įmonėse planuojama sukurti apie 500 naujų ilgalaikių darbo vietų MTEP sektoriuje</w:t>
      </w:r>
      <w:r w:rsidR="009F02C8">
        <w:rPr>
          <w:rFonts w:eastAsiaTheme="minorHAnsi"/>
          <w:color w:val="1F1E1D"/>
          <w:lang w:eastAsia="en-US"/>
        </w:rPr>
        <w:t>.</w:t>
      </w:r>
    </w:p>
    <w:p w14:paraId="29A9A2AA" w14:textId="0F3F5E7B" w:rsidR="008152E8" w:rsidRPr="00086F90" w:rsidRDefault="008152E8" w:rsidP="00D35893">
      <w:pPr>
        <w:pStyle w:val="Sraopastraipa"/>
        <w:numPr>
          <w:ilvl w:val="0"/>
          <w:numId w:val="7"/>
        </w:numPr>
        <w:jc w:val="both"/>
        <w:rPr>
          <w:rFonts w:eastAsiaTheme="minorHAnsi"/>
          <w:color w:val="1F1E1D"/>
          <w:lang w:eastAsia="en-US"/>
        </w:rPr>
      </w:pPr>
      <w:r w:rsidRPr="00086F90">
        <w:rPr>
          <w:rFonts w:eastAsiaTheme="minorHAnsi"/>
          <w:color w:val="1F1E1D"/>
          <w:lang w:eastAsia="en-US"/>
        </w:rPr>
        <w:t xml:space="preserve">Finansinė parama jaunoms inovacinėms įmonėms bei mokslo ir studijų institucijoms, vykdančioms verslo MTEP </w:t>
      </w:r>
      <w:r w:rsidR="00086F90">
        <w:rPr>
          <w:rFonts w:eastAsiaTheme="minorHAnsi"/>
          <w:color w:val="1F1E1D"/>
          <w:lang w:eastAsia="en-US"/>
        </w:rPr>
        <w:t>u</w:t>
      </w:r>
      <w:r w:rsidRPr="00086F90">
        <w:rPr>
          <w:rFonts w:eastAsiaTheme="minorHAnsi"/>
          <w:color w:val="1F1E1D"/>
          <w:lang w:eastAsia="en-US"/>
        </w:rPr>
        <w:t>žsakymus, parama idėjų komercinimui įgyvendinant veiklas pritraukta per 235 mln. Eur privačių investicijų (per visą laikotarpį sudaro apie 17 proc. visų verslo sektoriaus išlaidų MTEP)</w:t>
      </w:r>
      <w:r w:rsidR="009F02C8">
        <w:rPr>
          <w:rFonts w:eastAsiaTheme="minorHAnsi"/>
          <w:color w:val="1F1E1D"/>
          <w:lang w:eastAsia="en-US"/>
        </w:rPr>
        <w:t>.</w:t>
      </w:r>
    </w:p>
    <w:p w14:paraId="384906C3" w14:textId="58CCECB6" w:rsidR="008152E8" w:rsidRPr="00086F90" w:rsidRDefault="008152E8" w:rsidP="00D35893">
      <w:pPr>
        <w:pStyle w:val="Sraopastraipa"/>
        <w:numPr>
          <w:ilvl w:val="0"/>
          <w:numId w:val="7"/>
        </w:numPr>
        <w:jc w:val="both"/>
        <w:rPr>
          <w:rFonts w:eastAsiaTheme="minorHAnsi"/>
          <w:color w:val="1F1E1D"/>
          <w:lang w:eastAsia="en-US"/>
        </w:rPr>
      </w:pPr>
      <w:r w:rsidRPr="00086F90">
        <w:rPr>
          <w:rFonts w:eastAsiaTheme="minorHAnsi"/>
          <w:color w:val="1F1E1D"/>
          <w:lang w:eastAsia="en-US"/>
        </w:rPr>
        <w:t>Parama moderniųjų technologijų diegimui, netechnologinių inovacijų kūrimas ir diegimas gamybos procesuose ir paslaugose paramos schemose dalyvavo 1,5 tūkst. mažųjų ir vidutinių įmonių (MVĮ), kurios daugiausiai investavo į produktyvumo didinimą, mažiau dėmesio skiriant kitoms sritims (pavyzdžiui, ekoinovacijoms).</w:t>
      </w:r>
    </w:p>
    <w:p w14:paraId="47CF768B" w14:textId="7672CBA0" w:rsidR="008152E8" w:rsidRPr="00086F90" w:rsidRDefault="008152E8" w:rsidP="00D35893">
      <w:pPr>
        <w:pStyle w:val="Sraopastraipa"/>
        <w:numPr>
          <w:ilvl w:val="0"/>
          <w:numId w:val="7"/>
        </w:numPr>
        <w:jc w:val="both"/>
        <w:rPr>
          <w:rFonts w:eastAsiaTheme="minorHAnsi"/>
          <w:color w:val="1F1E1D"/>
          <w:lang w:eastAsia="en-US"/>
        </w:rPr>
      </w:pPr>
      <w:r w:rsidRPr="00086F90">
        <w:rPr>
          <w:rFonts w:eastAsiaTheme="minorHAnsi"/>
          <w:color w:val="1F1E1D"/>
          <w:lang w:eastAsia="en-US"/>
        </w:rPr>
        <w:t>Švietimo pagalba mokymosi sunkumų patiriantiems, specialiųjų poreikių turintiems bendrojo ugdymo mokyklų mokiniams parengtos raidos vertinimo metodikos, vykdyti mokymai švietimo įstaigų darbuotojams, tiesiogiai švietimo pagalba teikta 30 mokyklų, 300 mokyklų</w:t>
      </w:r>
      <w:r w:rsidR="00086F90" w:rsidRPr="00086F90">
        <w:rPr>
          <w:rFonts w:eastAsiaTheme="minorHAnsi"/>
          <w:color w:val="1F1E1D"/>
          <w:lang w:eastAsia="en-US"/>
        </w:rPr>
        <w:t xml:space="preserve"> </w:t>
      </w:r>
      <w:r w:rsidRPr="00086F90">
        <w:rPr>
          <w:rFonts w:eastAsiaTheme="minorHAnsi"/>
          <w:color w:val="1F1E1D"/>
          <w:lang w:eastAsia="en-US"/>
        </w:rPr>
        <w:t>įgyvendintos ankstyvojo pasitraukimo iš švietimo sistemos prevencijos ir kompensacijos priemonės</w:t>
      </w:r>
      <w:r w:rsidR="009F02C8">
        <w:rPr>
          <w:rFonts w:eastAsiaTheme="minorHAnsi"/>
          <w:color w:val="1F1E1D"/>
          <w:lang w:eastAsia="en-US"/>
        </w:rPr>
        <w:t>.</w:t>
      </w:r>
    </w:p>
    <w:p w14:paraId="067B3F3C" w14:textId="28B607EC" w:rsidR="008152E8" w:rsidRPr="00086F90" w:rsidRDefault="008152E8" w:rsidP="00D35893">
      <w:pPr>
        <w:pStyle w:val="Sraopastraipa"/>
        <w:numPr>
          <w:ilvl w:val="0"/>
          <w:numId w:val="7"/>
        </w:numPr>
        <w:jc w:val="both"/>
        <w:rPr>
          <w:rFonts w:eastAsiaTheme="minorHAnsi"/>
          <w:color w:val="1F1E1D"/>
          <w:lang w:eastAsia="en-US"/>
        </w:rPr>
      </w:pPr>
      <w:r w:rsidRPr="00086F90">
        <w:rPr>
          <w:rFonts w:eastAsiaTheme="minorHAnsi"/>
          <w:color w:val="1F1E1D"/>
          <w:lang w:eastAsia="en-US"/>
        </w:rPr>
        <w:t>Vaikų neformaliojo ugdymo plėtra atnaujintos 89 neformaliojo ugdymo įstaigos, finansuotos popamokinės veiklos 235 tūkst. mokinių</w:t>
      </w:r>
      <w:r w:rsidR="009F02C8">
        <w:rPr>
          <w:rFonts w:eastAsiaTheme="minorHAnsi"/>
          <w:color w:val="1F1E1D"/>
          <w:lang w:eastAsia="en-US"/>
        </w:rPr>
        <w:t>.</w:t>
      </w:r>
    </w:p>
    <w:p w14:paraId="323B6532" w14:textId="365A7969" w:rsidR="008152E8" w:rsidRPr="00086F90" w:rsidRDefault="008152E8" w:rsidP="00D35893">
      <w:pPr>
        <w:pStyle w:val="Sraopastraipa"/>
        <w:numPr>
          <w:ilvl w:val="0"/>
          <w:numId w:val="7"/>
        </w:numPr>
        <w:jc w:val="both"/>
        <w:rPr>
          <w:rFonts w:eastAsiaTheme="minorHAnsi"/>
          <w:color w:val="1F1E1D"/>
          <w:lang w:eastAsia="en-US"/>
        </w:rPr>
      </w:pPr>
      <w:r w:rsidRPr="00086F90">
        <w:rPr>
          <w:rFonts w:eastAsiaTheme="minorHAnsi"/>
          <w:color w:val="1F1E1D"/>
          <w:lang w:eastAsia="en-US"/>
        </w:rPr>
        <w:t>Švietimo pagalba specialiųjų ugdymosi poreikių turintiems ir</w:t>
      </w:r>
      <w:r w:rsidR="00086F90" w:rsidRPr="00086F90">
        <w:rPr>
          <w:rFonts w:eastAsiaTheme="minorHAnsi"/>
          <w:color w:val="1F1E1D"/>
          <w:lang w:eastAsia="en-US"/>
        </w:rPr>
        <w:t xml:space="preserve"> </w:t>
      </w:r>
      <w:r w:rsidRPr="00086F90">
        <w:rPr>
          <w:rFonts w:eastAsiaTheme="minorHAnsi"/>
          <w:color w:val="1F1E1D"/>
          <w:lang w:eastAsia="en-US"/>
        </w:rPr>
        <w:t>(ar) socialinę atskirtį patiriantiems profesinio mokymo</w:t>
      </w:r>
      <w:r w:rsidR="00086F90" w:rsidRPr="00086F90">
        <w:rPr>
          <w:rFonts w:eastAsiaTheme="minorHAnsi"/>
          <w:color w:val="1F1E1D"/>
          <w:lang w:eastAsia="en-US"/>
        </w:rPr>
        <w:t xml:space="preserve"> </w:t>
      </w:r>
      <w:r w:rsidRPr="00086F90">
        <w:rPr>
          <w:rFonts w:eastAsiaTheme="minorHAnsi"/>
          <w:color w:val="1F1E1D"/>
          <w:lang w:eastAsia="en-US"/>
        </w:rPr>
        <w:t>įstaigų mokiniams 300 mokinių dalyvavo popamokinio užimtumo grupėse, jiems teikta palydėjimo į darbo rinką pagalba</w:t>
      </w:r>
      <w:r w:rsidR="009F02C8">
        <w:rPr>
          <w:rFonts w:eastAsiaTheme="minorHAnsi"/>
          <w:color w:val="1F1E1D"/>
          <w:lang w:eastAsia="en-US"/>
        </w:rPr>
        <w:t>.</w:t>
      </w:r>
    </w:p>
    <w:p w14:paraId="0A73BB0D" w14:textId="65291908" w:rsidR="008152E8" w:rsidRPr="00086F90" w:rsidRDefault="008152E8" w:rsidP="00D35893">
      <w:pPr>
        <w:pStyle w:val="Sraopastraipa"/>
        <w:numPr>
          <w:ilvl w:val="0"/>
          <w:numId w:val="7"/>
        </w:numPr>
        <w:jc w:val="both"/>
        <w:rPr>
          <w:rFonts w:eastAsiaTheme="minorHAnsi"/>
          <w:color w:val="1F1E1D"/>
          <w:lang w:eastAsia="en-US"/>
        </w:rPr>
      </w:pPr>
      <w:r w:rsidRPr="00086F90">
        <w:rPr>
          <w:rFonts w:eastAsiaTheme="minorHAnsi"/>
          <w:color w:val="1F1E1D"/>
          <w:lang w:eastAsia="en-US"/>
        </w:rPr>
        <w:t xml:space="preserve">Psichologinės, socialinės reabilitacijos, socialinių įgūdžių ugdymo priemonės niekur nedirbančiam, nesimokančiam ir praktikoje nedalyvaujančiam (NEET) jaunimui </w:t>
      </w:r>
      <w:r w:rsidR="00086F90" w:rsidRPr="00086F90">
        <w:rPr>
          <w:rFonts w:eastAsiaTheme="minorHAnsi"/>
          <w:color w:val="1F1E1D"/>
          <w:lang w:eastAsia="en-US"/>
        </w:rPr>
        <w:t xml:space="preserve">– </w:t>
      </w:r>
      <w:r w:rsidRPr="00086F90">
        <w:rPr>
          <w:rFonts w:eastAsiaTheme="minorHAnsi"/>
          <w:color w:val="1F1E1D"/>
          <w:lang w:eastAsia="en-US"/>
        </w:rPr>
        <w:t>dalyvavo apie 80 tūkst. 15–29 m. jaunuolių, iš kurių apie 14 proc. po intervencijų pradėjo mokytis</w:t>
      </w:r>
      <w:r w:rsidR="00086F90" w:rsidRPr="00086F90">
        <w:rPr>
          <w:rFonts w:eastAsiaTheme="minorHAnsi"/>
          <w:color w:val="1F1E1D"/>
          <w:lang w:eastAsia="en-US"/>
        </w:rPr>
        <w:t>.</w:t>
      </w:r>
    </w:p>
    <w:p w14:paraId="66254AB2" w14:textId="73838688" w:rsidR="00086F90" w:rsidRPr="00086F90" w:rsidRDefault="00086F90" w:rsidP="00D35893">
      <w:pPr>
        <w:pStyle w:val="Sraopastraipa"/>
        <w:numPr>
          <w:ilvl w:val="0"/>
          <w:numId w:val="7"/>
        </w:numPr>
        <w:jc w:val="both"/>
        <w:rPr>
          <w:rFonts w:eastAsiaTheme="minorHAnsi"/>
          <w:color w:val="1F1E1D"/>
          <w:lang w:eastAsia="en-US"/>
        </w:rPr>
      </w:pPr>
      <w:r w:rsidRPr="00086F90">
        <w:rPr>
          <w:rFonts w:eastAsiaTheme="minorHAnsi"/>
          <w:color w:val="1F1E1D"/>
          <w:lang w:eastAsia="en-US"/>
        </w:rPr>
        <w:t>Parama studentų su specialiaisiais poreikiais integracijai – tikslines išmokas iš dalies padengti išlaidoms, atsirandančioms dėl specialiųjų poreikių, gavo 1800 asmenų, aukštosioms mokykloms suteikta po kelis komplektus kompensacinių priemonių, daugiausia skirtų klausos ir regos negalią turintiems studentams, tačiau trūksta koordinuotos visapusiškos pagalbos priemonių</w:t>
      </w:r>
      <w:r w:rsidR="009F02C8">
        <w:rPr>
          <w:rFonts w:eastAsiaTheme="minorHAnsi"/>
          <w:color w:val="1F1E1D"/>
          <w:lang w:eastAsia="en-US"/>
        </w:rPr>
        <w:t>.</w:t>
      </w:r>
    </w:p>
    <w:p w14:paraId="61BADBB8" w14:textId="6C000AB2" w:rsidR="00086F90" w:rsidRPr="00086F90" w:rsidRDefault="00086F90" w:rsidP="00D35893">
      <w:pPr>
        <w:pStyle w:val="Sraopastraipa"/>
        <w:numPr>
          <w:ilvl w:val="0"/>
          <w:numId w:val="7"/>
        </w:numPr>
        <w:jc w:val="both"/>
        <w:rPr>
          <w:rFonts w:eastAsiaTheme="minorHAnsi"/>
          <w:color w:val="1F1E1D"/>
          <w:lang w:eastAsia="en-US"/>
        </w:rPr>
      </w:pPr>
      <w:r w:rsidRPr="00086F90">
        <w:rPr>
          <w:rFonts w:eastAsiaTheme="minorHAnsi"/>
          <w:color w:val="1F1E1D"/>
          <w:lang w:eastAsia="en-US"/>
        </w:rPr>
        <w:t>Studentų praktinių įgūdžių stiprinimas praktiką įmonėse ar organizacijose atliko kiek daugiau kaip 4 proc. studentų, tačiau siekiant ilgalaikio poveikio, reikalinga sisteminga studentų praktikų sistemos plėtra.</w:t>
      </w:r>
    </w:p>
    <w:p w14:paraId="3C88B8B5" w14:textId="2B7B8769" w:rsidR="00086F90" w:rsidRPr="008B4446" w:rsidRDefault="000D660A" w:rsidP="00D35893">
      <w:pPr>
        <w:ind w:left="360"/>
        <w:jc w:val="both"/>
        <w:rPr>
          <w:rFonts w:eastAsiaTheme="minorHAnsi"/>
          <w:b/>
          <w:bCs/>
          <w:color w:val="1F1E1D"/>
          <w:lang w:eastAsia="en-US"/>
        </w:rPr>
      </w:pPr>
      <w:r w:rsidRPr="008B4446">
        <w:rPr>
          <w:rFonts w:eastAsiaTheme="minorHAnsi"/>
          <w:b/>
          <w:bCs/>
          <w:color w:val="1F1E1D"/>
          <w:lang w:eastAsia="en-US"/>
        </w:rPr>
        <w:t>Tvar</w:t>
      </w:r>
      <w:r w:rsidR="009F02C8">
        <w:rPr>
          <w:rFonts w:eastAsiaTheme="minorHAnsi"/>
          <w:b/>
          <w:bCs/>
          <w:color w:val="1F1E1D"/>
          <w:lang w:eastAsia="en-US"/>
        </w:rPr>
        <w:t>a</w:t>
      </w:r>
      <w:r w:rsidRPr="008B4446">
        <w:rPr>
          <w:rFonts w:eastAsiaTheme="minorHAnsi"/>
          <w:b/>
          <w:bCs/>
          <w:color w:val="1F1E1D"/>
          <w:lang w:eastAsia="en-US"/>
        </w:rPr>
        <w:t>us augim</w:t>
      </w:r>
      <w:r w:rsidR="009F02C8">
        <w:rPr>
          <w:rFonts w:eastAsiaTheme="minorHAnsi"/>
          <w:b/>
          <w:bCs/>
          <w:color w:val="1F1E1D"/>
          <w:lang w:eastAsia="en-US"/>
        </w:rPr>
        <w:t>o srityje:</w:t>
      </w:r>
    </w:p>
    <w:p w14:paraId="4898B660" w14:textId="319D3CD4" w:rsidR="000D660A" w:rsidRPr="000D660A" w:rsidRDefault="000D660A" w:rsidP="00D35893">
      <w:pPr>
        <w:pStyle w:val="Sraopastraipa"/>
        <w:numPr>
          <w:ilvl w:val="0"/>
          <w:numId w:val="8"/>
        </w:numPr>
        <w:jc w:val="both"/>
        <w:rPr>
          <w:rFonts w:eastAsiaTheme="minorHAnsi"/>
          <w:color w:val="1F1E1D"/>
          <w:lang w:eastAsia="en-US"/>
        </w:rPr>
      </w:pPr>
      <w:r w:rsidRPr="000D660A">
        <w:rPr>
          <w:rFonts w:eastAsiaTheme="minorHAnsi"/>
          <w:color w:val="1F1E1D"/>
          <w:lang w:eastAsia="en-US"/>
        </w:rPr>
        <w:t xml:space="preserve">Didelio naudingumo biokuro kogeneracijos įrenginių ir mažos galios AIE naudojančių elektros energijos gamybos </w:t>
      </w:r>
      <w:r>
        <w:rPr>
          <w:rFonts w:eastAsiaTheme="minorHAnsi"/>
          <w:color w:val="1F1E1D"/>
          <w:lang w:eastAsia="en-US"/>
        </w:rPr>
        <w:t>t</w:t>
      </w:r>
      <w:r w:rsidRPr="000D660A">
        <w:rPr>
          <w:rFonts w:eastAsiaTheme="minorHAnsi"/>
          <w:color w:val="1F1E1D"/>
          <w:lang w:eastAsia="en-US"/>
        </w:rPr>
        <w:t>echnologijų įrengimas: įdiegta apie 540 MW papildomų AIE gamybos pajėgumų (atitinka apie ketvirtadalį visos šalies elektros energijos gamybos iš AEI pajėgumų), vėliau šie pajėgumai dar turėtų padidėti maždaug 150 MW</w:t>
      </w:r>
      <w:r w:rsidR="009F02C8">
        <w:rPr>
          <w:rFonts w:eastAsiaTheme="minorHAnsi"/>
          <w:color w:val="1F1E1D"/>
          <w:lang w:eastAsia="en-US"/>
        </w:rPr>
        <w:t>.</w:t>
      </w:r>
    </w:p>
    <w:p w14:paraId="4A4E7B57" w14:textId="3579191D" w:rsidR="000D660A" w:rsidRPr="000D660A" w:rsidRDefault="000D660A" w:rsidP="00D35893">
      <w:pPr>
        <w:pStyle w:val="Sraopastraipa"/>
        <w:numPr>
          <w:ilvl w:val="0"/>
          <w:numId w:val="8"/>
        </w:numPr>
        <w:jc w:val="both"/>
        <w:rPr>
          <w:rFonts w:eastAsiaTheme="minorHAnsi"/>
          <w:color w:val="1F1E1D"/>
          <w:lang w:eastAsia="en-US"/>
        </w:rPr>
      </w:pPr>
      <w:r w:rsidRPr="000D660A">
        <w:rPr>
          <w:rFonts w:eastAsiaTheme="minorHAnsi"/>
          <w:color w:val="1F1E1D"/>
          <w:lang w:eastAsia="en-US"/>
        </w:rPr>
        <w:t>Papildomų AIE gamybos pajėgumų pramonės įmonėse įrengimas: įdiegta apie 80 MW AIE gamybos pajėgumų (investicijos teko labai mažai daliai veikiančių pramonės įmonių)</w:t>
      </w:r>
    </w:p>
    <w:p w14:paraId="71023A62" w14:textId="687A3B03" w:rsidR="000D660A" w:rsidRPr="000D660A" w:rsidRDefault="000D660A" w:rsidP="00D35893">
      <w:pPr>
        <w:pStyle w:val="Sraopastraipa"/>
        <w:numPr>
          <w:ilvl w:val="0"/>
          <w:numId w:val="8"/>
        </w:numPr>
        <w:jc w:val="both"/>
        <w:rPr>
          <w:rFonts w:eastAsiaTheme="minorHAnsi"/>
          <w:color w:val="1F1E1D"/>
          <w:lang w:eastAsia="en-US"/>
        </w:rPr>
      </w:pPr>
      <w:r w:rsidRPr="000D660A">
        <w:rPr>
          <w:rFonts w:eastAsiaTheme="minorHAnsi"/>
          <w:color w:val="1F1E1D"/>
          <w:lang w:eastAsia="en-US"/>
        </w:rPr>
        <w:t>Daugiabučių namų modernizavimas: daugiabučių renovacija apėmė apie 54 tūkst. namų ūkių (apie 4 proc. visų šalies namų ūkių)</w:t>
      </w:r>
      <w:r w:rsidR="009F02C8">
        <w:rPr>
          <w:rFonts w:eastAsiaTheme="minorHAnsi"/>
          <w:color w:val="1F1E1D"/>
          <w:lang w:eastAsia="en-US"/>
        </w:rPr>
        <w:t>.</w:t>
      </w:r>
    </w:p>
    <w:p w14:paraId="2626F50A" w14:textId="35BA09C5" w:rsidR="000D660A" w:rsidRPr="000D660A" w:rsidRDefault="000D660A" w:rsidP="00D35893">
      <w:pPr>
        <w:pStyle w:val="Sraopastraipa"/>
        <w:numPr>
          <w:ilvl w:val="0"/>
          <w:numId w:val="8"/>
        </w:numPr>
        <w:jc w:val="both"/>
        <w:rPr>
          <w:rFonts w:eastAsiaTheme="minorHAnsi"/>
          <w:color w:val="1F1E1D"/>
          <w:lang w:eastAsia="en-US"/>
        </w:rPr>
      </w:pPr>
      <w:r w:rsidRPr="000D660A">
        <w:rPr>
          <w:rFonts w:eastAsiaTheme="minorHAnsi"/>
          <w:color w:val="1F1E1D"/>
          <w:lang w:eastAsia="en-US"/>
        </w:rPr>
        <w:t>Viešųjų (savivaldybių ir valstybės) pastatų modernizavimas: metinis pirminės energijos suvartojimo sumažėjimas sudaro apie 16 mln. kWh per metus</w:t>
      </w:r>
      <w:r w:rsidR="009F02C8">
        <w:rPr>
          <w:rFonts w:eastAsiaTheme="minorHAnsi"/>
          <w:color w:val="1F1E1D"/>
          <w:lang w:eastAsia="en-US"/>
        </w:rPr>
        <w:t>.</w:t>
      </w:r>
    </w:p>
    <w:p w14:paraId="0DCA01C5" w14:textId="7E23AB8F" w:rsidR="000D660A" w:rsidRPr="000D660A" w:rsidRDefault="000D660A" w:rsidP="00D35893">
      <w:pPr>
        <w:pStyle w:val="Sraopastraipa"/>
        <w:numPr>
          <w:ilvl w:val="0"/>
          <w:numId w:val="8"/>
        </w:numPr>
        <w:jc w:val="both"/>
        <w:rPr>
          <w:rFonts w:eastAsiaTheme="minorHAnsi"/>
          <w:color w:val="1F1E1D"/>
          <w:lang w:eastAsia="en-US"/>
        </w:rPr>
      </w:pPr>
      <w:r w:rsidRPr="000D660A">
        <w:rPr>
          <w:rFonts w:eastAsiaTheme="minorHAnsi"/>
          <w:color w:val="1F1E1D"/>
          <w:lang w:eastAsia="en-US"/>
        </w:rPr>
        <w:t>Gatvių apšvietimo modernizavimas: atnaujinta apie 40 proc. visų esamų gatvių šviestuvų</w:t>
      </w:r>
      <w:r w:rsidR="009F02C8">
        <w:rPr>
          <w:rFonts w:eastAsiaTheme="minorHAnsi"/>
          <w:color w:val="1F1E1D"/>
          <w:lang w:eastAsia="en-US"/>
        </w:rPr>
        <w:t>.</w:t>
      </w:r>
      <w:r w:rsidRPr="000D660A">
        <w:rPr>
          <w:rFonts w:eastAsiaTheme="minorHAnsi"/>
          <w:color w:val="1F1E1D"/>
          <w:lang w:eastAsia="en-US"/>
        </w:rPr>
        <w:t xml:space="preserve"> </w:t>
      </w:r>
    </w:p>
    <w:p w14:paraId="0630B7FE" w14:textId="5D88C5CC" w:rsidR="000D660A" w:rsidRDefault="000D660A" w:rsidP="00D35893">
      <w:pPr>
        <w:pStyle w:val="Sraopastraipa"/>
        <w:numPr>
          <w:ilvl w:val="0"/>
          <w:numId w:val="8"/>
        </w:numPr>
        <w:jc w:val="both"/>
        <w:rPr>
          <w:rFonts w:eastAsiaTheme="minorHAnsi"/>
          <w:color w:val="1F1E1D"/>
          <w:lang w:eastAsia="en-US"/>
        </w:rPr>
      </w:pPr>
      <w:r w:rsidRPr="000D660A">
        <w:rPr>
          <w:rFonts w:eastAsiaTheme="minorHAnsi"/>
          <w:color w:val="1F1E1D"/>
          <w:lang w:eastAsia="en-US"/>
        </w:rPr>
        <w:t>Šilumos tinklų modernizavimas: atnaujinta 1,1 tūkst. km šilumos tiekimo tinklų, kuriais šiluma patikimiau ir kokybiškiau bus tiekiama beveik 1,2 mln. šilumos vartotojų, mažinami transportavimo bei paskirstymo nuostoliai.</w:t>
      </w:r>
    </w:p>
    <w:p w14:paraId="7B2E7411" w14:textId="055D1EF1" w:rsidR="008B4446" w:rsidRPr="008B4446" w:rsidRDefault="008B4446" w:rsidP="00D35893">
      <w:pPr>
        <w:pStyle w:val="Sraopastraipa"/>
        <w:ind w:left="284"/>
        <w:jc w:val="both"/>
        <w:rPr>
          <w:rFonts w:eastAsiaTheme="minorHAnsi"/>
          <w:b/>
          <w:bCs/>
          <w:color w:val="1F1E1D"/>
          <w:lang w:eastAsia="en-US"/>
        </w:rPr>
      </w:pPr>
      <w:r w:rsidRPr="008B4446">
        <w:rPr>
          <w:rFonts w:eastAsiaTheme="minorHAnsi"/>
          <w:b/>
          <w:bCs/>
          <w:color w:val="1F1E1D"/>
          <w:lang w:eastAsia="en-US"/>
        </w:rPr>
        <w:t>Integracinio augimo srityje:</w:t>
      </w:r>
    </w:p>
    <w:p w14:paraId="3E6B7360" w14:textId="1636D89D" w:rsidR="008B4446" w:rsidRPr="006B69FE" w:rsidRDefault="008B4446" w:rsidP="00D35893">
      <w:pPr>
        <w:pStyle w:val="Sraopastraipa"/>
        <w:numPr>
          <w:ilvl w:val="0"/>
          <w:numId w:val="9"/>
        </w:numPr>
        <w:jc w:val="both"/>
        <w:rPr>
          <w:rFonts w:eastAsiaTheme="minorHAnsi"/>
          <w:color w:val="1F1E1D"/>
          <w:lang w:eastAsia="en-US"/>
        </w:rPr>
      </w:pPr>
      <w:r w:rsidRPr="006B69FE">
        <w:rPr>
          <w:rFonts w:eastAsiaTheme="minorHAnsi"/>
          <w:color w:val="1F1E1D"/>
          <w:lang w:eastAsia="en-US"/>
        </w:rPr>
        <w:t>Psichologinės, socialinės reabilitacijos, socialinių įgūdžių ugdymo priemonės NEET jaunimui dalyvavo apie 80 tūkst. 15–29 m. jaunuolių, iš kurių 53 proc. po intervencijų pradėjo dirbti</w:t>
      </w:r>
      <w:r w:rsidR="009F02C8" w:rsidRPr="006B69FE">
        <w:rPr>
          <w:rFonts w:eastAsiaTheme="minorHAnsi"/>
          <w:color w:val="1F1E1D"/>
          <w:lang w:eastAsia="en-US"/>
        </w:rPr>
        <w:t>.</w:t>
      </w:r>
    </w:p>
    <w:p w14:paraId="1C57449B" w14:textId="6B392484" w:rsidR="008B4446" w:rsidRPr="006B69FE" w:rsidRDefault="008B4446" w:rsidP="00D35893">
      <w:pPr>
        <w:pStyle w:val="Sraopastraipa"/>
        <w:numPr>
          <w:ilvl w:val="0"/>
          <w:numId w:val="9"/>
        </w:numPr>
        <w:jc w:val="both"/>
        <w:rPr>
          <w:rFonts w:eastAsiaTheme="minorHAnsi"/>
          <w:color w:val="1F1E1D"/>
          <w:lang w:eastAsia="en-US"/>
        </w:rPr>
      </w:pPr>
      <w:r w:rsidRPr="006B69FE">
        <w:rPr>
          <w:rFonts w:eastAsiaTheme="minorHAnsi"/>
          <w:color w:val="1F1E1D"/>
          <w:lang w:eastAsia="en-US"/>
        </w:rPr>
        <w:t xml:space="preserve">Aktyvios darbo rinkos politikos priemonės bedarbiams: profesinio mokymo, neformaliojo švietimo, profesinio orientavimo, darbo įgūdžių įgijimo veiklose dalyvavo </w:t>
      </w:r>
    </w:p>
    <w:p w14:paraId="2C574BFF" w14:textId="2F7EB9FB" w:rsidR="008B4446" w:rsidRPr="006B69FE" w:rsidRDefault="008B4446" w:rsidP="00D35893">
      <w:pPr>
        <w:pStyle w:val="Sraopastraipa"/>
        <w:numPr>
          <w:ilvl w:val="0"/>
          <w:numId w:val="9"/>
        </w:numPr>
        <w:jc w:val="both"/>
        <w:rPr>
          <w:rFonts w:eastAsiaTheme="minorHAnsi"/>
          <w:color w:val="1F1E1D"/>
          <w:lang w:eastAsia="en-US"/>
        </w:rPr>
      </w:pPr>
      <w:r w:rsidRPr="006B69FE">
        <w:rPr>
          <w:rFonts w:eastAsiaTheme="minorHAnsi"/>
          <w:color w:val="1F1E1D"/>
          <w:lang w:eastAsia="en-US"/>
        </w:rPr>
        <w:lastRenderedPageBreak/>
        <w:t>daugiau kaip 75 tūkst. bedarbių, vidutiniškai po intervencijų įsidarbino ir po 6 mėnesių dirba apie 82 proc. intervencijose dalyvavusių bedarbių (vėliau, ilguoju laikotarpiu ši dalis mažėja). Dar apie 16 tūkst. bedarbių dalyvavo finansuojamose priemonėse COVID-19 pandemijos metu, kuomet staiga išaugo nedarbo lygis</w:t>
      </w:r>
      <w:r w:rsidR="009F02C8" w:rsidRPr="006B69FE">
        <w:rPr>
          <w:rFonts w:eastAsiaTheme="minorHAnsi"/>
          <w:color w:val="1F1E1D"/>
          <w:lang w:eastAsia="en-US"/>
        </w:rPr>
        <w:t>.</w:t>
      </w:r>
    </w:p>
    <w:p w14:paraId="6BA232F9" w14:textId="000DD577" w:rsidR="008B4446" w:rsidRPr="006B69FE" w:rsidRDefault="008B4446" w:rsidP="00D35893">
      <w:pPr>
        <w:pStyle w:val="Sraopastraipa"/>
        <w:numPr>
          <w:ilvl w:val="0"/>
          <w:numId w:val="9"/>
        </w:numPr>
        <w:jc w:val="both"/>
        <w:rPr>
          <w:rFonts w:eastAsiaTheme="minorHAnsi"/>
          <w:color w:val="1F1E1D"/>
          <w:lang w:eastAsia="en-US"/>
        </w:rPr>
      </w:pPr>
      <w:r w:rsidRPr="006B69FE">
        <w:rPr>
          <w:rFonts w:eastAsiaTheme="minorHAnsi"/>
          <w:color w:val="1F1E1D"/>
          <w:lang w:eastAsia="en-US"/>
        </w:rPr>
        <w:t>Priemonės vyresnio amžiaus asmenų užimtumui didinti: aktyvios darbo rinkos priemonės (pradėjo dirbti kiek daugiau kaip 62 proc. intervencijose dalyvavusių vyresnio amžiaus asmenų), nevyriausybinių organizacijų vykdytos priemonės orientuotos į užimtumą dalyvaujant savanoriškose veiklose (jose dalyvavo apie 18 proc. projektų dalyvių)</w:t>
      </w:r>
      <w:r w:rsidR="009F02C8" w:rsidRPr="006B69FE">
        <w:rPr>
          <w:rFonts w:eastAsiaTheme="minorHAnsi"/>
          <w:color w:val="1F1E1D"/>
          <w:lang w:eastAsia="en-US"/>
        </w:rPr>
        <w:t>.</w:t>
      </w:r>
      <w:r w:rsidRPr="006B69FE">
        <w:rPr>
          <w:rFonts w:eastAsiaTheme="minorHAnsi"/>
          <w:color w:val="1F1E1D"/>
          <w:lang w:eastAsia="en-US"/>
        </w:rPr>
        <w:t xml:space="preserve"> </w:t>
      </w:r>
    </w:p>
    <w:p w14:paraId="6C8AFD25" w14:textId="4AB36C96" w:rsidR="008B4446" w:rsidRPr="006B69FE" w:rsidRDefault="008B4446" w:rsidP="00D35893">
      <w:pPr>
        <w:pStyle w:val="Sraopastraipa"/>
        <w:numPr>
          <w:ilvl w:val="0"/>
          <w:numId w:val="9"/>
        </w:numPr>
        <w:jc w:val="both"/>
        <w:rPr>
          <w:rFonts w:eastAsiaTheme="minorHAnsi"/>
          <w:color w:val="1F1E1D"/>
          <w:lang w:eastAsia="en-US"/>
        </w:rPr>
      </w:pPr>
      <w:r w:rsidRPr="006B69FE">
        <w:rPr>
          <w:rFonts w:eastAsiaTheme="minorHAnsi"/>
          <w:color w:val="1F1E1D"/>
          <w:lang w:eastAsia="en-US"/>
        </w:rPr>
        <w:t>Psichologinės ir socialinės reabilitacijos, motyvavimo, praktinių įgūdžių įgijimo ir pagalbos įsidarbinant paslaugos pažeidžiamoms grupėms dalyvavo per 13 tūkst. socialinę riziką, socialinę atskirtį patiriančių ir (ar) socialiai pažeidžiamų asmenų, vidutiniškai po intervencijų įsidarbina apie 59 proc. dalyvių (vėliau, ilguoju laikotarpiu ši dalis mažėja)</w:t>
      </w:r>
      <w:r w:rsidR="009F02C8" w:rsidRPr="006B69FE">
        <w:rPr>
          <w:rFonts w:eastAsiaTheme="minorHAnsi"/>
          <w:color w:val="1F1E1D"/>
          <w:lang w:eastAsia="en-US"/>
        </w:rPr>
        <w:t>.</w:t>
      </w:r>
    </w:p>
    <w:p w14:paraId="13098E19" w14:textId="78F9E154" w:rsidR="008B4446" w:rsidRPr="006B69FE" w:rsidRDefault="008B4446" w:rsidP="00D35893">
      <w:pPr>
        <w:pStyle w:val="Sraopastraipa"/>
        <w:numPr>
          <w:ilvl w:val="0"/>
          <w:numId w:val="9"/>
        </w:numPr>
        <w:jc w:val="both"/>
        <w:rPr>
          <w:rFonts w:eastAsiaTheme="minorHAnsi"/>
          <w:color w:val="1F1E1D"/>
          <w:lang w:eastAsia="en-US"/>
        </w:rPr>
      </w:pPr>
      <w:r w:rsidRPr="006B69FE">
        <w:rPr>
          <w:rFonts w:eastAsiaTheme="minorHAnsi"/>
          <w:color w:val="1F1E1D"/>
          <w:lang w:eastAsia="en-US"/>
        </w:rPr>
        <w:t>Individualizuoti sprendimai gerinant gyventojų judumą finansuotos kelionės išlaidos, tačiau ribotam spektrui asmenų (įsidarbinusiems, stažuotėse dalyvaujantiems bedarbiams) ir ribotą laiką (iki 4 mėn.).</w:t>
      </w:r>
    </w:p>
    <w:p w14:paraId="133BE469" w14:textId="28E6BBFD" w:rsidR="008B4446" w:rsidRPr="006B69FE" w:rsidRDefault="008B4446" w:rsidP="00D35893">
      <w:pPr>
        <w:pStyle w:val="Sraopastraipa"/>
        <w:numPr>
          <w:ilvl w:val="0"/>
          <w:numId w:val="9"/>
        </w:numPr>
        <w:jc w:val="both"/>
        <w:rPr>
          <w:rFonts w:eastAsiaTheme="minorHAnsi"/>
          <w:color w:val="1F1E1D"/>
          <w:lang w:eastAsia="en-US"/>
        </w:rPr>
      </w:pPr>
      <w:r w:rsidRPr="006B69FE">
        <w:rPr>
          <w:rFonts w:eastAsiaTheme="minorHAnsi"/>
          <w:color w:val="1F1E1D"/>
          <w:lang w:eastAsia="en-US"/>
        </w:rPr>
        <w:t>Aktyvų senėjimą palaikančios priemonės visose šalies savivaldybėse vykdytuose teoriniuose ir praktiniuose sveikos mitybos, fizinio aktyvumo, emocinės sveikatos gerinimo užsiėmimuose dalyvavo apie 140 tūkst. asmenų (visų amžiaus grupių, prioritetą teikiant vaikams ir vyresnio amžiaus asmenims), skatinamas įsitraukimas į bendruomenines ir kitas savanoriškas veiklas – tiesioginis poveikis skurdo ir socialinės atskirties mažinimui šalies mastu nedidelis, tačiau įgyvendintos intervencijos vertintinos kaip itin svarbus postūmis į viešosios politikos darbotvarkę įtraukiant daugiau ir konkrečių priemonių vyresnio amžiaus asmenų aktyvumui skatinti</w:t>
      </w:r>
      <w:r w:rsidR="009F02C8" w:rsidRPr="006B69FE">
        <w:rPr>
          <w:rFonts w:eastAsiaTheme="minorHAnsi"/>
          <w:color w:val="1F1E1D"/>
          <w:lang w:eastAsia="en-US"/>
        </w:rPr>
        <w:t>.</w:t>
      </w:r>
    </w:p>
    <w:p w14:paraId="40666BAD" w14:textId="44989D55" w:rsidR="008B4446" w:rsidRPr="006B69FE" w:rsidRDefault="008B4446" w:rsidP="00D35893">
      <w:pPr>
        <w:pStyle w:val="Sraopastraipa"/>
        <w:numPr>
          <w:ilvl w:val="0"/>
          <w:numId w:val="9"/>
        </w:numPr>
        <w:jc w:val="both"/>
        <w:rPr>
          <w:rFonts w:eastAsiaTheme="minorHAnsi"/>
          <w:color w:val="1F1E1D"/>
          <w:lang w:eastAsia="en-US"/>
        </w:rPr>
      </w:pPr>
      <w:r w:rsidRPr="006B69FE">
        <w:rPr>
          <w:rFonts w:eastAsiaTheme="minorHAnsi"/>
          <w:color w:val="1F1E1D"/>
          <w:lang w:eastAsia="en-US"/>
        </w:rPr>
        <w:t>Socialinio būsto fondo plėtra socialinio būsto fondas papildytas daugiau kaip 2000 būstų visoje šalyje ir bent dalinai sumažintas nepatenkintas socialinio būsto poreikis.</w:t>
      </w:r>
      <w:r w:rsidRPr="006B69FE">
        <w:rPr>
          <w:rFonts w:eastAsiaTheme="minorHAnsi"/>
          <w:color w:val="1F1E1D"/>
          <w:lang w:eastAsia="en-US"/>
        </w:rPr>
        <w:cr/>
      </w:r>
    </w:p>
    <w:p w14:paraId="2079C44B" w14:textId="3EDCDD7E" w:rsidR="002923DC" w:rsidRPr="00BD3A8A" w:rsidRDefault="002923DC" w:rsidP="00D35893">
      <w:pPr>
        <w:jc w:val="both"/>
        <w:rPr>
          <w:rFonts w:eastAsiaTheme="minorHAnsi"/>
          <w:b/>
          <w:bCs/>
          <w:color w:val="1F1E1D"/>
          <w:lang w:eastAsia="en-US"/>
        </w:rPr>
      </w:pPr>
      <w:r w:rsidRPr="00BD3A8A">
        <w:rPr>
          <w:rFonts w:eastAsiaTheme="minorHAnsi"/>
          <w:b/>
          <w:bCs/>
          <w:color w:val="1F1E1D"/>
          <w:lang w:eastAsia="en-US"/>
        </w:rPr>
        <w:t>Vertinimo rekomendacijos</w:t>
      </w:r>
    </w:p>
    <w:p w14:paraId="297A7CCF" w14:textId="77777777" w:rsidR="00BD3A8A" w:rsidRPr="00BD3A8A" w:rsidRDefault="00BD3A8A" w:rsidP="00D35893">
      <w:pPr>
        <w:jc w:val="both"/>
        <w:rPr>
          <w:rFonts w:eastAsiaTheme="minorHAnsi"/>
          <w:color w:val="1F1E1D"/>
          <w:lang w:eastAsia="en-US"/>
        </w:rPr>
      </w:pPr>
      <w:r w:rsidRPr="00BD3A8A">
        <w:rPr>
          <w:rFonts w:eastAsiaTheme="minorHAnsi"/>
          <w:color w:val="1F1E1D"/>
          <w:lang w:eastAsia="en-US"/>
        </w:rPr>
        <w:t xml:space="preserve">Atsižvelgiant į vertinimo metu surinktą informaciją ir atliktą analizę, vertinimo ataskaitoje suformuoti siūlymai ir rekomendacijos, skirtos prisidėti prie 2021–2027 m. ES fondų investicijų programos ir kitų panašių programų intervencijų geresnio planavimo ir įgyvendinimo. </w:t>
      </w:r>
    </w:p>
    <w:p w14:paraId="5B12D216" w14:textId="77777777" w:rsidR="00BD3A8A" w:rsidRPr="00BD3A8A" w:rsidRDefault="00BD3A8A" w:rsidP="00D35893">
      <w:pPr>
        <w:jc w:val="both"/>
        <w:rPr>
          <w:rFonts w:eastAsiaTheme="minorHAnsi"/>
          <w:color w:val="1F1E1D"/>
          <w:lang w:eastAsia="en-US"/>
        </w:rPr>
      </w:pPr>
      <w:r w:rsidRPr="00BD3A8A">
        <w:rPr>
          <w:rFonts w:eastAsiaTheme="minorHAnsi"/>
          <w:color w:val="1F1E1D"/>
          <w:lang w:eastAsia="en-US"/>
        </w:rPr>
        <w:t>Pagrindinės rekomendacijos (išplėstinis rekomendacijų sąrašas ir kontekstinė informacija pateikiami ataskaitoje):</w:t>
      </w:r>
    </w:p>
    <w:p w14:paraId="7C127B5E" w14:textId="49CB4FCF" w:rsidR="00BD3A8A" w:rsidRPr="00BD3A8A" w:rsidRDefault="00BD3A8A" w:rsidP="00D35893">
      <w:pPr>
        <w:jc w:val="both"/>
        <w:rPr>
          <w:rFonts w:eastAsiaTheme="minorHAnsi"/>
          <w:color w:val="1F1E1D"/>
          <w:lang w:eastAsia="en-US"/>
        </w:rPr>
      </w:pPr>
      <w:r w:rsidRPr="00BD3A8A">
        <w:rPr>
          <w:rFonts w:eastAsiaTheme="minorHAnsi"/>
          <w:color w:val="1F1E1D"/>
          <w:lang w:eastAsia="en-US"/>
        </w:rPr>
        <w:t>1)</w:t>
      </w:r>
      <w:r>
        <w:rPr>
          <w:rFonts w:eastAsiaTheme="minorHAnsi"/>
          <w:color w:val="1F1E1D"/>
          <w:lang w:eastAsia="en-US"/>
        </w:rPr>
        <w:t xml:space="preserve"> </w:t>
      </w:r>
      <w:r w:rsidRPr="00BD3A8A">
        <w:rPr>
          <w:rFonts w:eastAsiaTheme="minorHAnsi"/>
          <w:color w:val="1F1E1D"/>
          <w:lang w:eastAsia="en-US"/>
        </w:rPr>
        <w:t>ES fondų lėšas labiau koncentruoti į pažangos konkrečiose srityse skatinimą, vengiant didelio lėšų išskaidymo ir biudžetinio finansavimo dubliavimo;</w:t>
      </w:r>
    </w:p>
    <w:p w14:paraId="6C13BC22" w14:textId="7A3A0236" w:rsidR="00BD3A8A" w:rsidRPr="00BD3A8A" w:rsidRDefault="00BD3A8A" w:rsidP="00D35893">
      <w:pPr>
        <w:jc w:val="both"/>
        <w:rPr>
          <w:rFonts w:eastAsiaTheme="minorHAnsi"/>
          <w:color w:val="1F1E1D"/>
          <w:lang w:eastAsia="en-US"/>
        </w:rPr>
      </w:pPr>
      <w:r w:rsidRPr="00BD3A8A">
        <w:rPr>
          <w:rFonts w:eastAsiaTheme="minorHAnsi"/>
          <w:color w:val="1F1E1D"/>
          <w:lang w:eastAsia="en-US"/>
        </w:rPr>
        <w:t>2)</w:t>
      </w:r>
      <w:r>
        <w:rPr>
          <w:rFonts w:eastAsiaTheme="minorHAnsi"/>
          <w:color w:val="1F1E1D"/>
          <w:lang w:eastAsia="en-US"/>
        </w:rPr>
        <w:t xml:space="preserve"> </w:t>
      </w:r>
      <w:r w:rsidRPr="00BD3A8A">
        <w:rPr>
          <w:rFonts w:eastAsiaTheme="minorHAnsi"/>
          <w:color w:val="1F1E1D"/>
          <w:lang w:eastAsia="en-US"/>
        </w:rPr>
        <w:t>planuojant konkrečias investicijas, pirminis investicijų objektas turėtų būti tikslinės grupės (jų poreikiai, dydis, teritorinis pasiskirstymas), o ne administracinės teritorijos;</w:t>
      </w:r>
    </w:p>
    <w:p w14:paraId="4C254F46" w14:textId="5D1FAD35" w:rsidR="00BD3A8A" w:rsidRPr="00BD3A8A" w:rsidRDefault="00BD3A8A" w:rsidP="00D35893">
      <w:pPr>
        <w:jc w:val="both"/>
        <w:rPr>
          <w:rFonts w:eastAsiaTheme="minorHAnsi"/>
          <w:color w:val="1F1E1D"/>
          <w:lang w:eastAsia="en-US"/>
        </w:rPr>
      </w:pPr>
      <w:r w:rsidRPr="00BD3A8A">
        <w:rPr>
          <w:rFonts w:eastAsiaTheme="minorHAnsi"/>
          <w:color w:val="1F1E1D"/>
          <w:lang w:eastAsia="en-US"/>
        </w:rPr>
        <w:t>3)</w:t>
      </w:r>
      <w:r>
        <w:rPr>
          <w:rFonts w:eastAsiaTheme="minorHAnsi"/>
          <w:color w:val="1F1E1D"/>
          <w:lang w:eastAsia="en-US"/>
        </w:rPr>
        <w:t xml:space="preserve"> </w:t>
      </w:r>
      <w:r w:rsidRPr="00BD3A8A">
        <w:rPr>
          <w:rFonts w:eastAsiaTheme="minorHAnsi"/>
          <w:color w:val="1F1E1D"/>
          <w:lang w:eastAsia="en-US"/>
        </w:rPr>
        <w:t>vengti finansinių priemonių ir subsidijų, prieinamų tiems patiems pareiškėjams ir skirtų panašaus pobūdžio investicijoms, dubliavimo;</w:t>
      </w:r>
    </w:p>
    <w:p w14:paraId="4E5F1210" w14:textId="1B609E01" w:rsidR="00BD3A8A" w:rsidRPr="00BD3A8A" w:rsidRDefault="00BD3A8A" w:rsidP="00D35893">
      <w:pPr>
        <w:jc w:val="both"/>
        <w:rPr>
          <w:rFonts w:eastAsiaTheme="minorHAnsi"/>
          <w:color w:val="1F1E1D"/>
          <w:lang w:eastAsia="en-US"/>
        </w:rPr>
      </w:pPr>
      <w:r w:rsidRPr="00BD3A8A">
        <w:rPr>
          <w:rFonts w:eastAsiaTheme="minorHAnsi"/>
          <w:color w:val="1F1E1D"/>
          <w:lang w:eastAsia="en-US"/>
        </w:rPr>
        <w:t>4)</w:t>
      </w:r>
      <w:r>
        <w:rPr>
          <w:rFonts w:eastAsiaTheme="minorHAnsi"/>
          <w:color w:val="1F1E1D"/>
          <w:lang w:eastAsia="en-US"/>
        </w:rPr>
        <w:t xml:space="preserve"> </w:t>
      </w:r>
      <w:r w:rsidRPr="00BD3A8A">
        <w:rPr>
          <w:rFonts w:eastAsiaTheme="minorHAnsi"/>
          <w:color w:val="1F1E1D"/>
          <w:lang w:eastAsia="en-US"/>
        </w:rPr>
        <w:t>mažinti perteklinius reikalavimus ir lengvinti administracinius procesus verslo projektų įgyvendinimo metu;</w:t>
      </w:r>
    </w:p>
    <w:p w14:paraId="3044BD4A" w14:textId="106420AE" w:rsidR="00BD3A8A" w:rsidRPr="00BD3A8A" w:rsidRDefault="00BD3A8A" w:rsidP="00D35893">
      <w:pPr>
        <w:jc w:val="both"/>
        <w:rPr>
          <w:rFonts w:eastAsiaTheme="minorHAnsi"/>
          <w:color w:val="1F1E1D"/>
          <w:lang w:eastAsia="en-US"/>
        </w:rPr>
      </w:pPr>
      <w:r w:rsidRPr="00BD3A8A">
        <w:rPr>
          <w:rFonts w:eastAsiaTheme="minorHAnsi"/>
          <w:color w:val="1F1E1D"/>
          <w:lang w:eastAsia="en-US"/>
        </w:rPr>
        <w:t>5)</w:t>
      </w:r>
      <w:r>
        <w:rPr>
          <w:rFonts w:eastAsiaTheme="minorHAnsi"/>
          <w:color w:val="1F1E1D"/>
          <w:lang w:eastAsia="en-US"/>
        </w:rPr>
        <w:t xml:space="preserve"> </w:t>
      </w:r>
      <w:r w:rsidRPr="00BD3A8A">
        <w:rPr>
          <w:rFonts w:eastAsiaTheme="minorHAnsi"/>
          <w:color w:val="1F1E1D"/>
          <w:lang w:eastAsia="en-US"/>
        </w:rPr>
        <w:t>ES investicijomis siekti pokyčio ir dažniau finansuoti naujos formos ar turinio viešųjų paslaugų išbandymą ir plėtrą, mažinant standartinių, einamųjų paslaugų finansavimą investicinėmis lėšomis;</w:t>
      </w:r>
    </w:p>
    <w:p w14:paraId="581E92AD" w14:textId="65EC47F1" w:rsidR="00BD3A8A" w:rsidRPr="00BD3A8A" w:rsidRDefault="00BD3A8A" w:rsidP="00D35893">
      <w:pPr>
        <w:jc w:val="both"/>
        <w:rPr>
          <w:rFonts w:eastAsiaTheme="minorHAnsi"/>
          <w:color w:val="1F1E1D"/>
          <w:lang w:eastAsia="en-US"/>
        </w:rPr>
      </w:pPr>
      <w:r w:rsidRPr="00BD3A8A">
        <w:rPr>
          <w:rFonts w:eastAsiaTheme="minorHAnsi"/>
          <w:color w:val="1F1E1D"/>
          <w:lang w:eastAsia="en-US"/>
        </w:rPr>
        <w:t>6)</w:t>
      </w:r>
      <w:r>
        <w:rPr>
          <w:rFonts w:eastAsiaTheme="minorHAnsi"/>
          <w:color w:val="1F1E1D"/>
          <w:lang w:eastAsia="en-US"/>
        </w:rPr>
        <w:t xml:space="preserve"> </w:t>
      </w:r>
      <w:r w:rsidRPr="00BD3A8A">
        <w:rPr>
          <w:rFonts w:eastAsiaTheme="minorHAnsi"/>
          <w:color w:val="1F1E1D"/>
          <w:lang w:eastAsia="en-US"/>
        </w:rPr>
        <w:t>planuojant ir finansuojant įvairių paslaugų plėtrą, lygiagrečiai skatinti su sprendžiama problema susijusių skaitmenizuotų sprendimų įgyvendinimą, kai kurių socialinių paslaugų teikimą derinti su socialiai pažeidžiamų asmenų skaitmeninio raštingumo įgūdžių ugdymu;</w:t>
      </w:r>
    </w:p>
    <w:p w14:paraId="27EDEC0A" w14:textId="3266F204" w:rsidR="00BD3A8A" w:rsidRPr="00BD3A8A" w:rsidRDefault="00BD3A8A" w:rsidP="00D35893">
      <w:pPr>
        <w:jc w:val="both"/>
        <w:rPr>
          <w:rFonts w:eastAsiaTheme="minorHAnsi"/>
          <w:color w:val="1F1E1D"/>
          <w:lang w:eastAsia="en-US"/>
        </w:rPr>
      </w:pPr>
      <w:r w:rsidRPr="00BD3A8A">
        <w:rPr>
          <w:rFonts w:eastAsiaTheme="minorHAnsi"/>
          <w:color w:val="1F1E1D"/>
          <w:lang w:eastAsia="en-US"/>
        </w:rPr>
        <w:t>7)</w:t>
      </w:r>
      <w:r>
        <w:rPr>
          <w:rFonts w:eastAsiaTheme="minorHAnsi"/>
          <w:color w:val="1F1E1D"/>
          <w:lang w:eastAsia="en-US"/>
        </w:rPr>
        <w:t xml:space="preserve"> </w:t>
      </w:r>
      <w:r w:rsidRPr="00BD3A8A">
        <w:rPr>
          <w:rFonts w:eastAsiaTheme="minorHAnsi"/>
          <w:color w:val="1F1E1D"/>
          <w:lang w:eastAsia="en-US"/>
        </w:rPr>
        <w:t>į įvairių sričių priemonių įgyvendinimą dažniau įtraukti NVO, plėsti BIVP metodu remiamų intervencijų tematinį spektrą;</w:t>
      </w:r>
    </w:p>
    <w:p w14:paraId="6D84F267" w14:textId="0DF86A07" w:rsidR="00BD3A8A" w:rsidRPr="00BD3A8A" w:rsidRDefault="00BD3A8A" w:rsidP="00D35893">
      <w:pPr>
        <w:jc w:val="both"/>
        <w:rPr>
          <w:rFonts w:eastAsiaTheme="minorHAnsi"/>
          <w:color w:val="1F1E1D"/>
          <w:lang w:eastAsia="en-US"/>
        </w:rPr>
      </w:pPr>
      <w:r w:rsidRPr="00BD3A8A">
        <w:rPr>
          <w:rFonts w:eastAsiaTheme="minorHAnsi"/>
          <w:color w:val="1F1E1D"/>
          <w:lang w:eastAsia="en-US"/>
        </w:rPr>
        <w:t>8)</w:t>
      </w:r>
      <w:r>
        <w:rPr>
          <w:rFonts w:eastAsiaTheme="minorHAnsi"/>
          <w:color w:val="1F1E1D"/>
          <w:lang w:eastAsia="en-US"/>
        </w:rPr>
        <w:t xml:space="preserve"> </w:t>
      </w:r>
      <w:r w:rsidRPr="00BD3A8A">
        <w:rPr>
          <w:rFonts w:eastAsiaTheme="minorHAnsi"/>
          <w:color w:val="1F1E1D"/>
          <w:lang w:eastAsia="en-US"/>
        </w:rPr>
        <w:t>kaip esminį tęstinumo, rezultatyvumo, efektyvumo faktorių įgyvendinant VP/IP prioretizuoti sanglaudos politikos valdymo ir administravimo sistemos žmogiškąjį kapitalą, siekti glaudesnio ir nuoseklesnio bendradarbiavimo su socialiniais partneriais;</w:t>
      </w:r>
    </w:p>
    <w:p w14:paraId="354750AD" w14:textId="6E01C9AD" w:rsidR="002923DC" w:rsidRPr="002923DC" w:rsidRDefault="00BD3A8A" w:rsidP="00D35893">
      <w:pPr>
        <w:jc w:val="both"/>
        <w:rPr>
          <w:rFonts w:eastAsiaTheme="minorHAnsi"/>
          <w:color w:val="1F1E1D"/>
          <w:lang w:eastAsia="en-US"/>
        </w:rPr>
      </w:pPr>
      <w:r w:rsidRPr="00BD3A8A">
        <w:rPr>
          <w:rFonts w:eastAsiaTheme="minorHAnsi"/>
          <w:color w:val="1F1E1D"/>
          <w:lang w:eastAsia="en-US"/>
        </w:rPr>
        <w:t>9)</w:t>
      </w:r>
      <w:r>
        <w:rPr>
          <w:rFonts w:eastAsiaTheme="minorHAnsi"/>
          <w:color w:val="1F1E1D"/>
          <w:lang w:eastAsia="en-US"/>
        </w:rPr>
        <w:t xml:space="preserve"> </w:t>
      </w:r>
      <w:r w:rsidRPr="00BD3A8A">
        <w:rPr>
          <w:rFonts w:eastAsiaTheme="minorHAnsi"/>
          <w:color w:val="1F1E1D"/>
          <w:lang w:eastAsia="en-US"/>
        </w:rPr>
        <w:t>siekti stebėsenos rodiklių sistemos nuoseklumo ir realistiškumo.</w:t>
      </w:r>
    </w:p>
    <w:p w14:paraId="0BEEC2C2" w14:textId="77777777" w:rsidR="002923DC" w:rsidRPr="00BD3A8A" w:rsidRDefault="002923DC" w:rsidP="00D35893">
      <w:pPr>
        <w:jc w:val="both"/>
        <w:rPr>
          <w:rFonts w:eastAsiaTheme="minorHAnsi"/>
          <w:b/>
          <w:bCs/>
          <w:color w:val="1F1E1D"/>
          <w:lang w:eastAsia="en-US"/>
        </w:rPr>
      </w:pPr>
      <w:r w:rsidRPr="00BD3A8A">
        <w:rPr>
          <w:rFonts w:eastAsiaTheme="minorHAnsi"/>
          <w:b/>
          <w:bCs/>
          <w:color w:val="1F1E1D"/>
          <w:lang w:eastAsia="en-US"/>
        </w:rPr>
        <w:t>Vertinimo nauda</w:t>
      </w:r>
    </w:p>
    <w:p w14:paraId="7015F1DB" w14:textId="77777777" w:rsidR="002904A7" w:rsidRDefault="0074006E" w:rsidP="00D35893">
      <w:pPr>
        <w:jc w:val="both"/>
        <w:rPr>
          <w:rFonts w:eastAsiaTheme="minorHAnsi"/>
          <w:color w:val="1F1E1D"/>
          <w:lang w:eastAsia="en-US"/>
        </w:rPr>
      </w:pPr>
      <w:r>
        <w:rPr>
          <w:rFonts w:eastAsiaTheme="minorHAnsi"/>
          <w:color w:val="1F1E1D"/>
          <w:lang w:eastAsia="en-US"/>
        </w:rPr>
        <w:lastRenderedPageBreak/>
        <w:t>Baigiantis</w:t>
      </w:r>
      <w:r w:rsidR="002923DC" w:rsidRPr="002923DC">
        <w:rPr>
          <w:rFonts w:eastAsiaTheme="minorHAnsi"/>
          <w:color w:val="1F1E1D"/>
          <w:lang w:eastAsia="en-US"/>
        </w:rPr>
        <w:t xml:space="preserve"> 2014–2020 m. finansinio laikotarpio </w:t>
      </w:r>
      <w:r>
        <w:rPr>
          <w:rFonts w:eastAsiaTheme="minorHAnsi"/>
          <w:color w:val="1F1E1D"/>
          <w:lang w:eastAsia="en-US"/>
        </w:rPr>
        <w:t>vertinimas</w:t>
      </w:r>
      <w:r w:rsidR="002923DC" w:rsidRPr="002923DC">
        <w:rPr>
          <w:rFonts w:eastAsiaTheme="minorHAnsi"/>
          <w:color w:val="1F1E1D"/>
          <w:lang w:eastAsia="en-US"/>
        </w:rPr>
        <w:t xml:space="preserve"> </w:t>
      </w:r>
      <w:r>
        <w:rPr>
          <w:rFonts w:eastAsiaTheme="minorHAnsi"/>
          <w:color w:val="1F1E1D"/>
          <w:lang w:eastAsia="en-US"/>
        </w:rPr>
        <w:t xml:space="preserve">leis </w:t>
      </w:r>
      <w:r w:rsidR="002923DC" w:rsidRPr="002923DC">
        <w:rPr>
          <w:rFonts w:eastAsiaTheme="minorHAnsi"/>
          <w:color w:val="1F1E1D"/>
          <w:lang w:eastAsia="en-US"/>
        </w:rPr>
        <w:t>tinkamai atsiskaityt</w:t>
      </w:r>
      <w:r>
        <w:rPr>
          <w:rFonts w:eastAsiaTheme="minorHAnsi"/>
          <w:color w:val="1F1E1D"/>
          <w:lang w:eastAsia="en-US"/>
        </w:rPr>
        <w:t>i</w:t>
      </w:r>
      <w:r w:rsidR="002923DC" w:rsidRPr="002923DC">
        <w:rPr>
          <w:rFonts w:eastAsiaTheme="minorHAnsi"/>
          <w:color w:val="1F1E1D"/>
          <w:lang w:eastAsia="en-US"/>
        </w:rPr>
        <w:t xml:space="preserve"> Europos Komisijai, apie pasiektus rezultatus informuoti atsaking</w:t>
      </w:r>
      <w:r>
        <w:rPr>
          <w:rFonts w:eastAsiaTheme="minorHAnsi"/>
          <w:color w:val="1F1E1D"/>
          <w:lang w:eastAsia="en-US"/>
        </w:rPr>
        <w:t>a</w:t>
      </w:r>
      <w:r w:rsidR="002923DC" w:rsidRPr="002923DC">
        <w:rPr>
          <w:rFonts w:eastAsiaTheme="minorHAnsi"/>
          <w:color w:val="1F1E1D"/>
          <w:lang w:eastAsia="en-US"/>
        </w:rPr>
        <w:t>s Lietuvos valdžios institucijos ir visuomen</w:t>
      </w:r>
      <w:r>
        <w:rPr>
          <w:rFonts w:eastAsiaTheme="minorHAnsi"/>
          <w:color w:val="1F1E1D"/>
          <w:lang w:eastAsia="en-US"/>
        </w:rPr>
        <w:t xml:space="preserve">ę. </w:t>
      </w:r>
      <w:r w:rsidR="002923DC" w:rsidRPr="002923DC">
        <w:rPr>
          <w:rFonts w:eastAsiaTheme="minorHAnsi"/>
          <w:color w:val="1F1E1D"/>
          <w:lang w:eastAsia="en-US"/>
        </w:rPr>
        <w:t xml:space="preserve"> </w:t>
      </w:r>
      <w:r>
        <w:rPr>
          <w:rFonts w:eastAsiaTheme="minorHAnsi"/>
          <w:color w:val="1F1E1D"/>
          <w:lang w:eastAsia="en-US"/>
        </w:rPr>
        <w:t>S</w:t>
      </w:r>
      <w:r w:rsidR="002923DC" w:rsidRPr="002923DC">
        <w:rPr>
          <w:rFonts w:eastAsiaTheme="minorHAnsi"/>
          <w:color w:val="1F1E1D"/>
          <w:lang w:eastAsia="en-US"/>
        </w:rPr>
        <w:t xml:space="preserve">urinktos įrodymais grįstos įžvalgos, </w:t>
      </w:r>
      <w:r>
        <w:rPr>
          <w:rFonts w:eastAsiaTheme="minorHAnsi"/>
          <w:color w:val="1F1E1D"/>
          <w:lang w:eastAsia="en-US"/>
        </w:rPr>
        <w:t xml:space="preserve">leis patobulinti </w:t>
      </w:r>
      <w:r w:rsidR="002923DC" w:rsidRPr="002923DC">
        <w:rPr>
          <w:rFonts w:eastAsiaTheme="minorHAnsi"/>
          <w:color w:val="1F1E1D"/>
          <w:lang w:eastAsia="en-US"/>
        </w:rPr>
        <w:t>2021–2027 m. finansinio laikotarpio investicijų įgyvendinim</w:t>
      </w:r>
      <w:r>
        <w:rPr>
          <w:rFonts w:eastAsiaTheme="minorHAnsi"/>
          <w:color w:val="1F1E1D"/>
          <w:lang w:eastAsia="en-US"/>
        </w:rPr>
        <w:t xml:space="preserve">ą ir </w:t>
      </w:r>
      <w:r w:rsidRPr="0074006E">
        <w:rPr>
          <w:rFonts w:eastAsiaTheme="minorHAnsi"/>
          <w:color w:val="1F1E1D"/>
          <w:lang w:eastAsia="en-US"/>
        </w:rPr>
        <w:t xml:space="preserve"> </w:t>
      </w:r>
      <w:r w:rsidRPr="002923DC">
        <w:rPr>
          <w:rFonts w:eastAsiaTheme="minorHAnsi"/>
          <w:color w:val="1F1E1D"/>
          <w:lang w:eastAsia="en-US"/>
        </w:rPr>
        <w:t xml:space="preserve">geriau pasiruošti </w:t>
      </w:r>
      <w:r>
        <w:rPr>
          <w:rFonts w:eastAsiaTheme="minorHAnsi"/>
          <w:color w:val="1F1E1D"/>
          <w:lang w:eastAsia="en-US"/>
        </w:rPr>
        <w:t>naujam finansavimo laikotarpiui,</w:t>
      </w:r>
      <w:r w:rsidRPr="0074006E">
        <w:rPr>
          <w:rFonts w:eastAsiaTheme="minorHAnsi"/>
          <w:color w:val="1F1E1D"/>
          <w:lang w:eastAsia="en-US"/>
        </w:rPr>
        <w:t xml:space="preserve"> siekiant didžiausio ES fondų ir kitų investicijų poveikio, sprendžiant </w:t>
      </w:r>
      <w:r>
        <w:rPr>
          <w:rFonts w:eastAsiaTheme="minorHAnsi"/>
          <w:color w:val="1F1E1D"/>
          <w:lang w:eastAsia="en-US"/>
        </w:rPr>
        <w:t xml:space="preserve">Lietuvos socialines ir ekonomines </w:t>
      </w:r>
      <w:r w:rsidRPr="0074006E">
        <w:rPr>
          <w:rFonts w:eastAsiaTheme="minorHAnsi"/>
          <w:color w:val="1F1E1D"/>
          <w:lang w:eastAsia="en-US"/>
        </w:rPr>
        <w:t xml:space="preserve">problemas </w:t>
      </w:r>
      <w:r w:rsidR="00507648">
        <w:rPr>
          <w:rFonts w:eastAsiaTheme="minorHAnsi"/>
          <w:color w:val="1F1E1D"/>
          <w:lang w:eastAsia="en-US"/>
        </w:rPr>
        <w:t xml:space="preserve">bei </w:t>
      </w:r>
      <w:r w:rsidRPr="0074006E">
        <w:rPr>
          <w:rFonts w:eastAsiaTheme="minorHAnsi"/>
          <w:color w:val="1F1E1D"/>
          <w:lang w:eastAsia="en-US"/>
        </w:rPr>
        <w:t>siekiant esminių pokyčių</w:t>
      </w:r>
      <w:r w:rsidR="00507648">
        <w:rPr>
          <w:rFonts w:eastAsiaTheme="minorHAnsi"/>
          <w:color w:val="1F1E1D"/>
          <w:lang w:eastAsia="en-US"/>
        </w:rPr>
        <w:t>.</w:t>
      </w:r>
      <w:r w:rsidRPr="0074006E">
        <w:rPr>
          <w:rFonts w:eastAsiaTheme="minorHAnsi"/>
          <w:color w:val="1F1E1D"/>
          <w:lang w:eastAsia="en-US"/>
        </w:rPr>
        <w:t xml:space="preserve"> </w:t>
      </w:r>
    </w:p>
    <w:p w14:paraId="48E86896" w14:textId="02036288" w:rsidR="002904A7" w:rsidRDefault="002904A7" w:rsidP="00D35893">
      <w:pPr>
        <w:spacing w:after="200"/>
        <w:rPr>
          <w:rFonts w:eastAsiaTheme="minorHAnsi"/>
          <w:color w:val="1F1E1D"/>
          <w:lang w:eastAsia="en-US"/>
        </w:rPr>
      </w:pPr>
      <w:r>
        <w:rPr>
          <w:rFonts w:eastAsiaTheme="minorHAnsi"/>
          <w:color w:val="1F1E1D"/>
          <w:lang w:eastAsia="en-US"/>
        </w:rPr>
        <w:br w:type="page"/>
      </w:r>
    </w:p>
    <w:p w14:paraId="56E7AA16" w14:textId="77777777" w:rsidR="002904A7" w:rsidRDefault="002904A7" w:rsidP="002923DC">
      <w:pPr>
        <w:spacing w:line="276" w:lineRule="auto"/>
        <w:jc w:val="both"/>
        <w:rPr>
          <w:rFonts w:eastAsiaTheme="minorHAnsi"/>
          <w:color w:val="1F1E1D"/>
          <w:lang w:eastAsia="en-US"/>
        </w:rPr>
      </w:pPr>
    </w:p>
    <w:p w14:paraId="300F4B78" w14:textId="46BB75A5" w:rsidR="002904A7" w:rsidRPr="002923DC" w:rsidRDefault="006B69FE" w:rsidP="002904A7">
      <w:pPr>
        <w:spacing w:line="276" w:lineRule="auto"/>
        <w:jc w:val="both"/>
        <w:rPr>
          <w:rFonts w:eastAsiaTheme="minorHAnsi"/>
          <w:b/>
          <w:bCs/>
          <w:color w:val="1F1E1D"/>
          <w:lang w:eastAsia="en-US"/>
        </w:rPr>
      </w:pPr>
      <w:r>
        <w:rPr>
          <w:rFonts w:eastAsiaTheme="minorHAnsi"/>
          <w:b/>
          <w:bCs/>
          <w:color w:val="1F1E1D"/>
          <w:lang w:eastAsia="en-US"/>
        </w:rPr>
        <w:t>2</w:t>
      </w:r>
      <w:r w:rsidR="002904A7" w:rsidRPr="002904A7">
        <w:rPr>
          <w:rFonts w:eastAsiaTheme="minorHAnsi"/>
          <w:b/>
          <w:bCs/>
          <w:color w:val="1F1E1D"/>
          <w:lang w:eastAsia="en-US"/>
        </w:rPr>
        <w:t>.</w:t>
      </w:r>
      <w:r w:rsidR="002904A7">
        <w:rPr>
          <w:rFonts w:eastAsiaTheme="minorHAnsi"/>
          <w:color w:val="1F1E1D"/>
          <w:lang w:eastAsia="en-US"/>
        </w:rPr>
        <w:t xml:space="preserve"> </w:t>
      </w:r>
      <w:r w:rsidR="002904A7" w:rsidRPr="002904A7">
        <w:rPr>
          <w:rFonts w:eastAsiaTheme="minorHAnsi"/>
          <w:b/>
          <w:bCs/>
          <w:color w:val="1F1E1D"/>
          <w:lang w:eastAsia="en-US"/>
        </w:rPr>
        <w:t>Ekonomikos ir inovacijų ministerijos (toliau – EIMIN) kompetencijai priskirtų bendrai finansuojamų iš ES struktūrinių fondų lėšų ekonomikos sektorių būklės pokyčių vertinimas (III etapas)</w:t>
      </w:r>
    </w:p>
    <w:p w14:paraId="55CF01ED" w14:textId="41720B58" w:rsidR="002904A7" w:rsidRPr="002923DC" w:rsidRDefault="002904A7" w:rsidP="002904A7">
      <w:pPr>
        <w:spacing w:line="276" w:lineRule="auto"/>
        <w:jc w:val="both"/>
        <w:rPr>
          <w:rFonts w:eastAsiaTheme="minorHAnsi"/>
          <w:color w:val="1F1E1D"/>
          <w:lang w:eastAsia="en-US"/>
        </w:rPr>
      </w:pPr>
      <w:r w:rsidRPr="002923DC">
        <w:rPr>
          <w:rFonts w:eastAsiaTheme="minorHAnsi"/>
          <w:color w:val="1F1E1D"/>
          <w:lang w:eastAsia="en-US"/>
        </w:rPr>
        <w:t xml:space="preserve">Užsakovas: </w:t>
      </w:r>
      <w:r>
        <w:rPr>
          <w:rFonts w:eastAsiaTheme="minorHAnsi"/>
          <w:color w:val="1F1E1D"/>
          <w:lang w:eastAsia="en-US"/>
        </w:rPr>
        <w:t>EIMIN</w:t>
      </w:r>
    </w:p>
    <w:p w14:paraId="0189B7F2" w14:textId="77777777" w:rsidR="002904A7" w:rsidRPr="002923DC" w:rsidRDefault="002904A7" w:rsidP="002904A7">
      <w:pPr>
        <w:spacing w:line="276" w:lineRule="auto"/>
        <w:jc w:val="both"/>
        <w:rPr>
          <w:rFonts w:eastAsiaTheme="minorHAnsi"/>
          <w:color w:val="1F1E1D"/>
          <w:lang w:eastAsia="en-US"/>
        </w:rPr>
      </w:pPr>
      <w:r w:rsidRPr="002923DC">
        <w:rPr>
          <w:rFonts w:eastAsiaTheme="minorHAnsi"/>
          <w:color w:val="1F1E1D"/>
          <w:lang w:eastAsia="en-US"/>
        </w:rPr>
        <w:t>Vertinimą atliko: UAB „BGI Consulting“, 202</w:t>
      </w:r>
      <w:r>
        <w:rPr>
          <w:rFonts w:eastAsiaTheme="minorHAnsi"/>
          <w:color w:val="1F1E1D"/>
          <w:lang w:eastAsia="en-US"/>
        </w:rPr>
        <w:t>3</w:t>
      </w:r>
      <w:r w:rsidRPr="002923DC">
        <w:rPr>
          <w:rFonts w:eastAsiaTheme="minorHAnsi"/>
          <w:color w:val="1F1E1D"/>
          <w:lang w:eastAsia="en-US"/>
        </w:rPr>
        <w:t xml:space="preserve"> m.</w:t>
      </w:r>
    </w:p>
    <w:p w14:paraId="1B626009" w14:textId="77777777" w:rsidR="002904A7" w:rsidRPr="002923DC" w:rsidRDefault="002904A7" w:rsidP="002904A7">
      <w:pPr>
        <w:spacing w:line="276" w:lineRule="auto"/>
        <w:jc w:val="both"/>
        <w:rPr>
          <w:rFonts w:eastAsiaTheme="minorHAnsi"/>
          <w:color w:val="1F1E1D"/>
          <w:lang w:eastAsia="en-US"/>
        </w:rPr>
      </w:pPr>
    </w:p>
    <w:p w14:paraId="280AF7B0" w14:textId="0EB740F9" w:rsidR="002904A7" w:rsidRPr="002923DC" w:rsidRDefault="002904A7" w:rsidP="002904A7">
      <w:pPr>
        <w:spacing w:line="276" w:lineRule="auto"/>
        <w:jc w:val="both"/>
        <w:rPr>
          <w:rFonts w:eastAsiaTheme="minorHAnsi"/>
          <w:b/>
          <w:bCs/>
          <w:color w:val="1F1E1D"/>
          <w:lang w:eastAsia="en-US"/>
        </w:rPr>
      </w:pPr>
      <w:r w:rsidRPr="002923DC">
        <w:rPr>
          <w:rFonts w:eastAsiaTheme="minorHAnsi"/>
          <w:b/>
          <w:bCs/>
          <w:color w:val="1F1E1D"/>
          <w:lang w:eastAsia="en-US"/>
        </w:rPr>
        <w:t xml:space="preserve">Vertinimo tikslas, uždaviniai, </w:t>
      </w:r>
      <w:r w:rsidR="00C15C7E">
        <w:rPr>
          <w:rFonts w:eastAsiaTheme="minorHAnsi"/>
          <w:b/>
          <w:bCs/>
          <w:color w:val="1F1E1D"/>
          <w:lang w:eastAsia="en-US"/>
        </w:rPr>
        <w:t>apimtis,</w:t>
      </w:r>
      <w:r w:rsidR="00C15C7E" w:rsidRPr="002923DC">
        <w:rPr>
          <w:rFonts w:eastAsiaTheme="minorHAnsi"/>
          <w:b/>
          <w:bCs/>
          <w:color w:val="1F1E1D"/>
          <w:lang w:eastAsia="en-US"/>
        </w:rPr>
        <w:t xml:space="preserve"> </w:t>
      </w:r>
      <w:r w:rsidRPr="002923DC">
        <w:rPr>
          <w:rFonts w:eastAsiaTheme="minorHAnsi"/>
          <w:b/>
          <w:bCs/>
          <w:color w:val="1F1E1D"/>
          <w:lang w:eastAsia="en-US"/>
        </w:rPr>
        <w:t>metodai</w:t>
      </w:r>
      <w:r>
        <w:rPr>
          <w:rFonts w:eastAsiaTheme="minorHAnsi"/>
          <w:b/>
          <w:bCs/>
          <w:color w:val="1F1E1D"/>
          <w:lang w:eastAsia="en-US"/>
        </w:rPr>
        <w:t xml:space="preserve"> </w:t>
      </w:r>
    </w:p>
    <w:p w14:paraId="47CCE5AE" w14:textId="77777777" w:rsidR="002904A7" w:rsidRPr="002923DC" w:rsidRDefault="002904A7" w:rsidP="002904A7">
      <w:pPr>
        <w:spacing w:line="276" w:lineRule="auto"/>
        <w:jc w:val="both"/>
        <w:rPr>
          <w:rFonts w:eastAsiaTheme="minorHAnsi"/>
          <w:b/>
          <w:bCs/>
          <w:color w:val="1F1E1D"/>
          <w:lang w:eastAsia="en-US"/>
        </w:rPr>
      </w:pPr>
      <w:r w:rsidRPr="002923DC">
        <w:rPr>
          <w:rFonts w:eastAsiaTheme="minorHAnsi"/>
          <w:b/>
          <w:bCs/>
          <w:color w:val="1F1E1D"/>
          <w:lang w:eastAsia="en-US"/>
        </w:rPr>
        <w:t>Tikslas</w:t>
      </w:r>
    </w:p>
    <w:p w14:paraId="7030A413" w14:textId="77777777" w:rsidR="002904A7" w:rsidRDefault="002904A7" w:rsidP="00D35893">
      <w:pPr>
        <w:jc w:val="both"/>
      </w:pPr>
      <w:r>
        <w:t>Atnaujinti EIMIN kompetencijai priskirtų iš Europos Sąjungos (ES) fondų lėšų bendrai finansuojamų ekonomikos sektorių stebėsenos sistemą ir automatizuotai veikiantį HERLIT–16 makroekonominį modelį.</w:t>
      </w:r>
    </w:p>
    <w:p w14:paraId="3D844F30" w14:textId="3D25DA33" w:rsidR="002904A7" w:rsidRPr="00122E11" w:rsidRDefault="002904A7" w:rsidP="00D35893">
      <w:pPr>
        <w:jc w:val="both"/>
        <w:rPr>
          <w:rFonts w:eastAsiaTheme="minorHAnsi"/>
          <w:b/>
          <w:bCs/>
          <w:color w:val="1F1E1D"/>
          <w:lang w:eastAsia="en-US"/>
        </w:rPr>
      </w:pPr>
      <w:r w:rsidRPr="00122E11">
        <w:rPr>
          <w:rFonts w:eastAsiaTheme="minorHAnsi"/>
          <w:b/>
          <w:bCs/>
          <w:color w:val="1F1E1D"/>
          <w:lang w:eastAsia="en-US"/>
        </w:rPr>
        <w:t>Uždaviniai</w:t>
      </w:r>
    </w:p>
    <w:p w14:paraId="08E956B0" w14:textId="1039D170" w:rsidR="002904A7" w:rsidRPr="002904A7" w:rsidRDefault="002904A7" w:rsidP="00D35893">
      <w:pPr>
        <w:jc w:val="both"/>
        <w:rPr>
          <w:noProof/>
          <w:szCs w:val="22"/>
        </w:rPr>
      </w:pPr>
      <w:r>
        <w:rPr>
          <w:noProof/>
          <w:szCs w:val="22"/>
        </w:rPr>
        <w:t>1</w:t>
      </w:r>
      <w:r w:rsidR="006B69FE">
        <w:rPr>
          <w:noProof/>
          <w:szCs w:val="22"/>
        </w:rPr>
        <w:t>)</w:t>
      </w:r>
      <w:r>
        <w:rPr>
          <w:noProof/>
          <w:szCs w:val="22"/>
        </w:rPr>
        <w:t xml:space="preserve"> </w:t>
      </w:r>
      <w:r w:rsidRPr="002904A7">
        <w:rPr>
          <w:noProof/>
          <w:szCs w:val="22"/>
        </w:rPr>
        <w:t xml:space="preserve">Papildyti EIMIN kompetencijai priskirtas ir ES investicijų fondų lėšomis bendrai finansuojamas </w:t>
      </w:r>
    </w:p>
    <w:p w14:paraId="4CB6021B" w14:textId="066B515C" w:rsidR="002904A7" w:rsidRPr="002904A7" w:rsidRDefault="002904A7" w:rsidP="00D35893">
      <w:pPr>
        <w:jc w:val="both"/>
        <w:rPr>
          <w:noProof/>
          <w:szCs w:val="22"/>
        </w:rPr>
      </w:pPr>
      <w:r w:rsidRPr="002904A7">
        <w:rPr>
          <w:noProof/>
          <w:szCs w:val="22"/>
        </w:rPr>
        <w:t>ekonomikos sritis (turizmas, verslas, verslo aplinka, moksliniai tyrimai ir technologinė eksperimentinė plėtra, inovacijos, energetika, žmogiškieji ištekliai) skaitmeninimo sektoriaus būklės pokyčio vertinimu;</w:t>
      </w:r>
    </w:p>
    <w:p w14:paraId="7D7B9D52" w14:textId="31D1D732" w:rsidR="002904A7" w:rsidRPr="002904A7" w:rsidRDefault="002904A7" w:rsidP="00D35893">
      <w:pPr>
        <w:jc w:val="both"/>
        <w:rPr>
          <w:noProof/>
          <w:szCs w:val="22"/>
        </w:rPr>
      </w:pPr>
      <w:r w:rsidRPr="002904A7">
        <w:rPr>
          <w:noProof/>
          <w:szCs w:val="22"/>
        </w:rPr>
        <w:t>2</w:t>
      </w:r>
      <w:r w:rsidR="006B69FE">
        <w:rPr>
          <w:noProof/>
          <w:szCs w:val="22"/>
        </w:rPr>
        <w:t>)</w:t>
      </w:r>
      <w:r w:rsidRPr="002904A7">
        <w:rPr>
          <w:noProof/>
          <w:szCs w:val="22"/>
        </w:rPr>
        <w:t xml:space="preserve"> Identifikuoti tinkamiausius ekonomikos, šio sektoriaus specifinius ir atitinkamus ES struktūrinių </w:t>
      </w:r>
    </w:p>
    <w:p w14:paraId="0A4F58FD" w14:textId="77777777" w:rsidR="002904A7" w:rsidRPr="002904A7" w:rsidRDefault="002904A7" w:rsidP="00D35893">
      <w:pPr>
        <w:jc w:val="both"/>
        <w:rPr>
          <w:noProof/>
          <w:szCs w:val="22"/>
        </w:rPr>
      </w:pPr>
      <w:r w:rsidRPr="002904A7">
        <w:rPr>
          <w:noProof/>
          <w:szCs w:val="22"/>
        </w:rPr>
        <w:t xml:space="preserve">fondų finansinius stebėsenos rodiklius, atsižvelgiant į tai, kad duomenys bus naudojami planuojant </w:t>
      </w:r>
    </w:p>
    <w:p w14:paraId="2115A1AD" w14:textId="5E1CECBE" w:rsidR="002904A7" w:rsidRPr="002904A7" w:rsidRDefault="002904A7" w:rsidP="00D35893">
      <w:pPr>
        <w:jc w:val="both"/>
        <w:rPr>
          <w:noProof/>
          <w:szCs w:val="22"/>
        </w:rPr>
      </w:pPr>
      <w:r w:rsidRPr="002904A7">
        <w:rPr>
          <w:noProof/>
          <w:szCs w:val="22"/>
        </w:rPr>
        <w:t>2021–2027 m. laikotarpio naujas priemones ir vertinant jų poveikį bei investicijų atsiperkamumą</w:t>
      </w:r>
    </w:p>
    <w:p w14:paraId="55E8336D" w14:textId="77777777" w:rsidR="002904A7" w:rsidRPr="002904A7" w:rsidRDefault="002904A7" w:rsidP="00D35893">
      <w:pPr>
        <w:jc w:val="both"/>
        <w:rPr>
          <w:noProof/>
          <w:szCs w:val="22"/>
        </w:rPr>
      </w:pPr>
      <w:r w:rsidRPr="002904A7">
        <w:rPr>
          <w:noProof/>
          <w:szCs w:val="22"/>
        </w:rPr>
        <w:t>viso laikotarpio ir atskirų sektorių pjūviu;</w:t>
      </w:r>
    </w:p>
    <w:p w14:paraId="06A53C26" w14:textId="69681A3F" w:rsidR="002904A7" w:rsidRDefault="002904A7" w:rsidP="00D35893">
      <w:pPr>
        <w:jc w:val="both"/>
        <w:rPr>
          <w:noProof/>
          <w:szCs w:val="22"/>
        </w:rPr>
      </w:pPr>
      <w:r w:rsidRPr="002904A7">
        <w:rPr>
          <w:noProof/>
          <w:szCs w:val="22"/>
        </w:rPr>
        <w:t>3</w:t>
      </w:r>
      <w:r w:rsidR="006B69FE">
        <w:rPr>
          <w:noProof/>
          <w:szCs w:val="22"/>
        </w:rPr>
        <w:t>)</w:t>
      </w:r>
      <w:r w:rsidRPr="002904A7">
        <w:rPr>
          <w:noProof/>
          <w:szCs w:val="22"/>
        </w:rPr>
        <w:t xml:space="preserve"> Naudojantis atnaujintais ekonomikos sektorių stebėsenos sistemos rodikliais, atnaujinti ir papildyti modelį, išlaikant galimybę vartotojui atnaujinti modeliavimui reikalingus statistinius duomenis.</w:t>
      </w:r>
    </w:p>
    <w:p w14:paraId="24A29438" w14:textId="57029277" w:rsidR="002904A7" w:rsidRPr="002904A7" w:rsidRDefault="005B1055" w:rsidP="00D35893">
      <w:pPr>
        <w:jc w:val="both"/>
        <w:rPr>
          <w:rFonts w:eastAsiaTheme="minorHAnsi"/>
          <w:b/>
          <w:bCs/>
          <w:color w:val="1F1E1D"/>
          <w:lang w:eastAsia="en-US"/>
        </w:rPr>
      </w:pPr>
      <w:r>
        <w:rPr>
          <w:rFonts w:eastAsiaTheme="minorHAnsi"/>
          <w:b/>
          <w:bCs/>
          <w:color w:val="1F1E1D"/>
          <w:lang w:eastAsia="en-US"/>
        </w:rPr>
        <w:t>O</w:t>
      </w:r>
      <w:r w:rsidR="002904A7" w:rsidRPr="002904A7">
        <w:rPr>
          <w:rFonts w:eastAsiaTheme="minorHAnsi"/>
          <w:b/>
          <w:bCs/>
          <w:color w:val="1F1E1D"/>
          <w:lang w:eastAsia="en-US"/>
        </w:rPr>
        <w:t>bjektas ir apimtis</w:t>
      </w:r>
    </w:p>
    <w:p w14:paraId="075CEA02" w14:textId="68EFE846" w:rsidR="002904A7" w:rsidRPr="002904A7" w:rsidRDefault="002904A7" w:rsidP="00D35893">
      <w:pPr>
        <w:jc w:val="both"/>
        <w:rPr>
          <w:rFonts w:eastAsiaTheme="minorHAnsi"/>
          <w:color w:val="1F1E1D"/>
          <w:lang w:eastAsia="en-US"/>
        </w:rPr>
      </w:pPr>
      <w:r w:rsidRPr="002904A7">
        <w:rPr>
          <w:rFonts w:eastAsiaTheme="minorHAnsi"/>
          <w:color w:val="1F1E1D"/>
          <w:lang w:eastAsia="en-US"/>
        </w:rPr>
        <w:t xml:space="preserve">EIMIN kompetencijai priskirti 2014–2020 m. ES fondų investicijų veiksmų programos (toliau – 2014-2020 m. Veiksmų programa) investiciniai prioritetai ir uždaviniai, įskaitant EIMIN kompetencijai priskirtą 2021–2027 m. Veiksmų programos 1.2. uždavinį „Pasinaudoti skaitmeninimo teikiama nauda piliečiams, įmonėms, mokslinių tyrimų organizacijoms ir valdžios </w:t>
      </w:r>
    </w:p>
    <w:p w14:paraId="53AAC5A4" w14:textId="77777777" w:rsidR="002904A7" w:rsidRDefault="002904A7" w:rsidP="00D35893">
      <w:pPr>
        <w:jc w:val="both"/>
        <w:rPr>
          <w:rFonts w:eastAsiaTheme="minorHAnsi"/>
          <w:color w:val="1F1E1D"/>
          <w:lang w:eastAsia="en-US"/>
        </w:rPr>
      </w:pPr>
      <w:r w:rsidRPr="002904A7">
        <w:rPr>
          <w:rFonts w:eastAsiaTheme="minorHAnsi"/>
          <w:color w:val="1F1E1D"/>
          <w:lang w:eastAsia="en-US"/>
        </w:rPr>
        <w:t xml:space="preserve">institucijoms“. </w:t>
      </w:r>
    </w:p>
    <w:p w14:paraId="241D6377" w14:textId="77777777" w:rsidR="00FC5013" w:rsidRPr="00FC5013" w:rsidRDefault="00FC5013" w:rsidP="00FC5013">
      <w:pPr>
        <w:jc w:val="both"/>
        <w:rPr>
          <w:rFonts w:eastAsiaTheme="minorHAnsi"/>
          <w:b/>
          <w:bCs/>
          <w:color w:val="1F1E1D"/>
          <w:lang w:eastAsia="en-US"/>
        </w:rPr>
      </w:pPr>
      <w:r w:rsidRPr="00FC5013">
        <w:rPr>
          <w:rFonts w:eastAsiaTheme="minorHAnsi"/>
          <w:b/>
          <w:bCs/>
          <w:color w:val="1F1E1D"/>
          <w:lang w:eastAsia="en-US"/>
        </w:rPr>
        <w:t xml:space="preserve">Naudoti metodai </w:t>
      </w:r>
    </w:p>
    <w:p w14:paraId="69C4176D" w14:textId="167D86FA" w:rsidR="00D35893" w:rsidRPr="00FC5013" w:rsidRDefault="00FC5013" w:rsidP="00FC5013">
      <w:pPr>
        <w:jc w:val="both"/>
        <w:rPr>
          <w:rFonts w:eastAsiaTheme="minorHAnsi"/>
          <w:color w:val="1F1E1D"/>
          <w:lang w:eastAsia="en-US"/>
        </w:rPr>
      </w:pPr>
      <w:r w:rsidRPr="00FC5013">
        <w:rPr>
          <w:rFonts w:eastAsiaTheme="minorHAnsi"/>
          <w:color w:val="1F1E1D"/>
          <w:lang w:eastAsia="en-US"/>
        </w:rPr>
        <w:t>Pagrindiniai taikyti metodai: pirminių ir antrinių šaltinių analizė, akademinės literatūros analizė, makroekonominis modeliavimas.</w:t>
      </w:r>
    </w:p>
    <w:p w14:paraId="3F5F9262" w14:textId="77777777" w:rsidR="00FC5013" w:rsidRDefault="00FC5013" w:rsidP="00D35893">
      <w:pPr>
        <w:jc w:val="both"/>
        <w:rPr>
          <w:rFonts w:eastAsiaTheme="minorHAnsi"/>
          <w:b/>
          <w:bCs/>
          <w:color w:val="1F1E1D"/>
          <w:lang w:eastAsia="en-US"/>
        </w:rPr>
      </w:pPr>
    </w:p>
    <w:p w14:paraId="19B2B8F5" w14:textId="68AFE7E1" w:rsidR="005F6564" w:rsidRPr="00E6001A" w:rsidRDefault="002904A7" w:rsidP="00D35893">
      <w:pPr>
        <w:jc w:val="both"/>
        <w:rPr>
          <w:rFonts w:eastAsiaTheme="minorHAnsi"/>
          <w:b/>
          <w:bCs/>
          <w:color w:val="1F1E1D"/>
          <w:lang w:eastAsia="en-US"/>
        </w:rPr>
      </w:pPr>
      <w:r w:rsidRPr="00E6001A">
        <w:rPr>
          <w:rFonts w:eastAsiaTheme="minorHAnsi"/>
          <w:b/>
          <w:bCs/>
          <w:color w:val="1F1E1D"/>
          <w:lang w:eastAsia="en-US"/>
        </w:rPr>
        <w:t>Vertinimo rezultatai</w:t>
      </w:r>
    </w:p>
    <w:p w14:paraId="3676ABB0" w14:textId="52272F02" w:rsidR="005B1055" w:rsidRDefault="005B1055" w:rsidP="00D35893">
      <w:pPr>
        <w:jc w:val="both"/>
        <w:rPr>
          <w:rFonts w:eastAsiaTheme="minorHAnsi"/>
          <w:color w:val="1F1E1D"/>
          <w:lang w:eastAsia="en-US"/>
        </w:rPr>
      </w:pPr>
      <w:r w:rsidRPr="005B1055">
        <w:rPr>
          <w:rFonts w:eastAsiaTheme="minorHAnsi"/>
          <w:color w:val="1F1E1D"/>
          <w:lang w:eastAsia="en-US"/>
        </w:rPr>
        <w:t>Atnaujinta ankstesnių vertinimo etapų (I ir II) metu sukurta ekonomikos rodiklių stebėsenos sistema, kurios pagrindu veikia HERLIT–16 makroekonominis modelis, ir papildyti naujos – skaitmeninimo – srities stebėsenos rodikliai.</w:t>
      </w:r>
    </w:p>
    <w:p w14:paraId="58B6C9DB" w14:textId="5FE3851E" w:rsidR="005F6564" w:rsidRDefault="005F6564" w:rsidP="00D35893">
      <w:pPr>
        <w:jc w:val="both"/>
        <w:rPr>
          <w:rFonts w:eastAsiaTheme="minorHAnsi"/>
          <w:color w:val="1F1E1D"/>
          <w:lang w:eastAsia="en-US"/>
        </w:rPr>
      </w:pPr>
      <w:r w:rsidRPr="005F6564">
        <w:rPr>
          <w:rFonts w:eastAsiaTheme="minorHAnsi"/>
          <w:color w:val="1F1E1D"/>
          <w:lang w:eastAsia="en-US"/>
        </w:rPr>
        <w:t>EIMIN administruojamai sričiai skirtų investicijų poveikio makroekonominiams rodikliams modeliavimas nustatė, kad finansinių intervencijų piko metais didžiausią poveikį metiniam BVP lygiui darys investicijos energetikos bei MTEPI srityse, mažiausią – intervencijos žmogiškųjų išteklių srityje; didžiausią poveikį užimtųjų skaičiui atitinkamai taip pat darys energetikos ir MTEPI sričių finansavimas – piko metais šių abiejų sričių finansavimo dėka turėtų būti sukuriama apie 8,2 tūkst. naujų darbo vietų, lyginant su scenarijumi be investicijų.</w:t>
      </w:r>
    </w:p>
    <w:p w14:paraId="462F137E" w14:textId="77777777" w:rsidR="00D35893" w:rsidRDefault="00D35893" w:rsidP="00D35893">
      <w:pPr>
        <w:jc w:val="both"/>
        <w:rPr>
          <w:rFonts w:eastAsiaTheme="minorHAnsi"/>
          <w:b/>
          <w:bCs/>
          <w:color w:val="1F1E1D"/>
          <w:lang w:eastAsia="en-US"/>
        </w:rPr>
      </w:pPr>
    </w:p>
    <w:p w14:paraId="4F539676" w14:textId="2CFFA6C4" w:rsidR="005F6564" w:rsidRPr="005F6564" w:rsidRDefault="005F6564" w:rsidP="00D35893">
      <w:pPr>
        <w:jc w:val="both"/>
        <w:rPr>
          <w:rFonts w:eastAsiaTheme="minorHAnsi"/>
          <w:b/>
          <w:bCs/>
          <w:color w:val="1F1E1D"/>
          <w:lang w:eastAsia="en-US"/>
        </w:rPr>
      </w:pPr>
      <w:r w:rsidRPr="005F6564">
        <w:rPr>
          <w:rFonts w:eastAsiaTheme="minorHAnsi"/>
          <w:b/>
          <w:bCs/>
          <w:color w:val="1F1E1D"/>
          <w:lang w:eastAsia="en-US"/>
        </w:rPr>
        <w:t>Vertinimo rekomendacijos</w:t>
      </w:r>
      <w:r w:rsidR="00C15C7E">
        <w:rPr>
          <w:rFonts w:eastAsiaTheme="minorHAnsi"/>
          <w:b/>
          <w:bCs/>
          <w:color w:val="1F1E1D"/>
          <w:lang w:eastAsia="en-US"/>
        </w:rPr>
        <w:t xml:space="preserve"> ir nauda</w:t>
      </w:r>
      <w:r w:rsidR="005B1055">
        <w:rPr>
          <w:rFonts w:eastAsiaTheme="minorHAnsi"/>
          <w:b/>
          <w:bCs/>
          <w:color w:val="1F1E1D"/>
          <w:lang w:eastAsia="en-US"/>
        </w:rPr>
        <w:t xml:space="preserve"> </w:t>
      </w:r>
    </w:p>
    <w:p w14:paraId="5C8F9975" w14:textId="16EFF3A2" w:rsidR="005F6564" w:rsidRPr="006B69FE" w:rsidRDefault="005F6564" w:rsidP="00D35893">
      <w:pPr>
        <w:pStyle w:val="Sraopastraipa"/>
        <w:numPr>
          <w:ilvl w:val="0"/>
          <w:numId w:val="10"/>
        </w:numPr>
        <w:ind w:left="426"/>
        <w:jc w:val="both"/>
        <w:rPr>
          <w:rFonts w:eastAsiaTheme="minorHAnsi"/>
          <w:color w:val="1F1E1D"/>
          <w:lang w:eastAsia="en-US"/>
        </w:rPr>
      </w:pPr>
      <w:r w:rsidRPr="006B69FE">
        <w:rPr>
          <w:rFonts w:eastAsiaTheme="minorHAnsi"/>
          <w:color w:val="1F1E1D"/>
          <w:lang w:eastAsia="en-US"/>
        </w:rPr>
        <w:t>Skaitmeninės transformacijos apimtims matuoti galėtų būti renkami kiti įvairialypiai duomenys: pavyzdžiui, būtų tikslinga išsiaiškinti gyventojų nesinaudojimo skaitmeninėmis technologijomis priežastis; taip pat verta paminėti neberenkamų rodiklių duomenų atnaujinimą arba papildomų pjūvių įtraukimą.</w:t>
      </w:r>
    </w:p>
    <w:p w14:paraId="0BFEF912" w14:textId="3DA37C78" w:rsidR="005F6564" w:rsidRPr="006B69FE" w:rsidRDefault="005F6564" w:rsidP="00D35893">
      <w:pPr>
        <w:pStyle w:val="Sraopastraipa"/>
        <w:numPr>
          <w:ilvl w:val="0"/>
          <w:numId w:val="10"/>
        </w:numPr>
        <w:ind w:left="426"/>
        <w:jc w:val="both"/>
        <w:rPr>
          <w:rFonts w:eastAsiaTheme="minorHAnsi"/>
          <w:color w:val="1F1E1D"/>
          <w:lang w:eastAsia="en-US"/>
        </w:rPr>
      </w:pPr>
      <w:r w:rsidRPr="006B69FE">
        <w:rPr>
          <w:rFonts w:eastAsiaTheme="minorHAnsi"/>
          <w:color w:val="1F1E1D"/>
          <w:lang w:eastAsia="en-US"/>
        </w:rPr>
        <w:t>Naudoti HERLIT–16 modelį skaitmeninimo srityje atliekamų investicijų poveikio vertinimui.</w:t>
      </w:r>
    </w:p>
    <w:p w14:paraId="4FA5D9AA" w14:textId="2330A402" w:rsidR="005F6564" w:rsidRPr="006B69FE" w:rsidRDefault="005F6564" w:rsidP="00D35893">
      <w:pPr>
        <w:pStyle w:val="Sraopastraipa"/>
        <w:numPr>
          <w:ilvl w:val="0"/>
          <w:numId w:val="10"/>
        </w:numPr>
        <w:ind w:left="426"/>
        <w:jc w:val="both"/>
        <w:rPr>
          <w:rFonts w:eastAsiaTheme="minorHAnsi"/>
          <w:color w:val="1F1E1D"/>
          <w:lang w:eastAsia="en-US"/>
        </w:rPr>
      </w:pPr>
      <w:r w:rsidRPr="006B69FE">
        <w:rPr>
          <w:rFonts w:eastAsiaTheme="minorHAnsi"/>
          <w:color w:val="1F1E1D"/>
          <w:lang w:eastAsia="en-US"/>
        </w:rPr>
        <w:t>Rekomenduojama modeliuoti tik pakankamai didelės apimties investicijas.</w:t>
      </w:r>
    </w:p>
    <w:p w14:paraId="3045F378" w14:textId="407BF9F7" w:rsidR="005F6564" w:rsidRPr="006B69FE" w:rsidRDefault="005F6564" w:rsidP="00D35893">
      <w:pPr>
        <w:pStyle w:val="Sraopastraipa"/>
        <w:numPr>
          <w:ilvl w:val="0"/>
          <w:numId w:val="10"/>
        </w:numPr>
        <w:ind w:left="426"/>
        <w:jc w:val="both"/>
        <w:rPr>
          <w:rFonts w:eastAsiaTheme="minorHAnsi"/>
          <w:color w:val="1F1E1D"/>
          <w:lang w:eastAsia="en-US"/>
        </w:rPr>
      </w:pPr>
      <w:r w:rsidRPr="006B69FE">
        <w:rPr>
          <w:rFonts w:eastAsiaTheme="minorHAnsi"/>
          <w:color w:val="1F1E1D"/>
          <w:lang w:eastAsia="en-US"/>
        </w:rPr>
        <w:lastRenderedPageBreak/>
        <w:t>Siūloma ateityje panaudoti HERLIT modelį ne tik EIMIN, bet ir kitų ministerijų skaitmeninimo srityje atliekamų investicijų poveikio vertinimui, tokiu būdu valdžios institucijoms leidžiant susidaryti aiškesnį vaizdą ir tikslingiau bei efektyviau planuoti reformas ar kitas iniciatyvas šioje srityje, turint omenyje, jog poreikis dalyvauti transformacijos procese ir naudotis skaitmenizacijos produktais ateityje tik augs.</w:t>
      </w:r>
    </w:p>
    <w:p w14:paraId="634D09C8" w14:textId="7EF18BA8" w:rsidR="005F6564" w:rsidRPr="006B69FE" w:rsidRDefault="005F6564" w:rsidP="00D35893">
      <w:pPr>
        <w:pStyle w:val="Sraopastraipa"/>
        <w:numPr>
          <w:ilvl w:val="0"/>
          <w:numId w:val="10"/>
        </w:numPr>
        <w:ind w:left="426"/>
        <w:jc w:val="both"/>
        <w:rPr>
          <w:rFonts w:eastAsiaTheme="minorHAnsi"/>
          <w:color w:val="1F1E1D"/>
          <w:lang w:eastAsia="en-US"/>
        </w:rPr>
      </w:pPr>
      <w:r w:rsidRPr="006B69FE">
        <w:rPr>
          <w:rFonts w:eastAsiaTheme="minorHAnsi"/>
          <w:color w:val="1F1E1D"/>
          <w:lang w:eastAsia="en-US"/>
        </w:rPr>
        <w:t>Užtikrinti žinių mainus ir kompetencijos sklaidą su skaitmeninimo srities projektus atrenkančia ir prižiūrinčia VšĮ Inovacijų agentūra, siekiant užtikrinti, kad finansavimui būtų atrinkti kaip įmanoma didžiausią grąžą teikiantys projektai.</w:t>
      </w:r>
    </w:p>
    <w:p w14:paraId="3A429F93" w14:textId="77777777" w:rsidR="00C15C7E" w:rsidRDefault="005F6564" w:rsidP="00D35893">
      <w:pPr>
        <w:pStyle w:val="Sraopastraipa"/>
        <w:numPr>
          <w:ilvl w:val="0"/>
          <w:numId w:val="10"/>
        </w:numPr>
        <w:ind w:left="426"/>
        <w:jc w:val="both"/>
        <w:rPr>
          <w:rFonts w:eastAsiaTheme="minorHAnsi"/>
          <w:color w:val="1F1E1D"/>
          <w:lang w:eastAsia="en-US"/>
        </w:rPr>
      </w:pPr>
      <w:r w:rsidRPr="006B69FE">
        <w:rPr>
          <w:rFonts w:eastAsiaTheme="minorHAnsi"/>
          <w:color w:val="1F1E1D"/>
          <w:lang w:eastAsia="en-US"/>
        </w:rPr>
        <w:t>Siūloma planuojant intervencijas užtikrinti, kad lėšų įsisavinimas būtų kaip įmanoma tolygiau pasiskirstęs visu programavimo laikotarpiu.</w:t>
      </w:r>
    </w:p>
    <w:p w14:paraId="20C5DF83" w14:textId="77777777" w:rsidR="00C15C7E" w:rsidRDefault="00C15C7E" w:rsidP="00C15C7E">
      <w:pPr>
        <w:jc w:val="both"/>
        <w:rPr>
          <w:rFonts w:eastAsiaTheme="minorHAnsi"/>
          <w:color w:val="1F1E1D"/>
          <w:lang w:eastAsia="en-US"/>
        </w:rPr>
      </w:pPr>
    </w:p>
    <w:p w14:paraId="1522DFA2" w14:textId="6CA946CA" w:rsidR="00B458FD" w:rsidRPr="00C15C7E" w:rsidRDefault="00C15C7E" w:rsidP="00C15C7E">
      <w:pPr>
        <w:jc w:val="both"/>
        <w:rPr>
          <w:rFonts w:eastAsiaTheme="minorHAnsi"/>
          <w:color w:val="1F1E1D"/>
          <w:lang w:eastAsia="en-US"/>
        </w:rPr>
      </w:pPr>
      <w:r w:rsidRPr="00C15C7E">
        <w:rPr>
          <w:rFonts w:eastAsiaTheme="minorHAnsi"/>
          <w:color w:val="1F1E1D"/>
          <w:lang w:eastAsia="en-US"/>
        </w:rPr>
        <w:t xml:space="preserve">Vertinimo rezultatai bus naudojami tobulinant 2021–2027 m. ES investicijų panaudojimą </w:t>
      </w:r>
      <w:r>
        <w:rPr>
          <w:rFonts w:eastAsiaTheme="minorHAnsi"/>
          <w:color w:val="1F1E1D"/>
          <w:lang w:eastAsia="en-US"/>
        </w:rPr>
        <w:t xml:space="preserve">EIMIN administravimo </w:t>
      </w:r>
      <w:r w:rsidRPr="00C15C7E">
        <w:rPr>
          <w:rFonts w:eastAsiaTheme="minorHAnsi"/>
          <w:color w:val="1F1E1D"/>
          <w:lang w:eastAsia="en-US"/>
        </w:rPr>
        <w:t>srity</w:t>
      </w:r>
      <w:r>
        <w:rPr>
          <w:rFonts w:eastAsiaTheme="minorHAnsi"/>
          <w:color w:val="1F1E1D"/>
          <w:lang w:eastAsia="en-US"/>
        </w:rPr>
        <w:t>se</w:t>
      </w:r>
      <w:r w:rsidRPr="00C15C7E">
        <w:rPr>
          <w:rFonts w:eastAsiaTheme="minorHAnsi"/>
          <w:color w:val="1F1E1D"/>
          <w:lang w:eastAsia="en-US"/>
        </w:rPr>
        <w:t xml:space="preserve"> bei planuojant investicijas ateityje. Bus išanalizuotos vertinimo išvados bei rekomendacijos ir parengtas veiksmų planas rekomendacijoms įgyvendinti.</w:t>
      </w:r>
      <w:r w:rsidR="00B458FD" w:rsidRPr="00C15C7E">
        <w:rPr>
          <w:rFonts w:eastAsiaTheme="minorHAnsi"/>
          <w:color w:val="1F1E1D"/>
          <w:lang w:eastAsia="en-US"/>
        </w:rPr>
        <w:br w:type="page"/>
      </w:r>
    </w:p>
    <w:p w14:paraId="2F7B9406" w14:textId="483FC5CE" w:rsidR="00FB4B54" w:rsidRPr="00EB3F02" w:rsidRDefault="006B69FE" w:rsidP="009E0C38">
      <w:pPr>
        <w:rPr>
          <w:b/>
        </w:rPr>
      </w:pPr>
      <w:r>
        <w:rPr>
          <w:b/>
        </w:rPr>
        <w:lastRenderedPageBreak/>
        <w:t>3</w:t>
      </w:r>
      <w:r w:rsidR="009E0C38" w:rsidRPr="00EB3F02">
        <w:rPr>
          <w:b/>
        </w:rPr>
        <w:t xml:space="preserve">. </w:t>
      </w:r>
      <w:r w:rsidR="006E50A1" w:rsidRPr="006E50A1">
        <w:rPr>
          <w:b/>
        </w:rPr>
        <w:t>2014–2020 m. ES fondų investicijų poveikio Lietuvos turizmo sektoriaus augimui ir plėtrai vertinimas</w:t>
      </w:r>
    </w:p>
    <w:p w14:paraId="2EDA9EB8" w14:textId="77777777" w:rsidR="006259C8" w:rsidRPr="00EB3F02" w:rsidRDefault="006259C8" w:rsidP="006259C8">
      <w:pPr>
        <w:jc w:val="both"/>
        <w:rPr>
          <w:color w:val="000000"/>
        </w:rPr>
      </w:pPr>
      <w:r w:rsidRPr="00EB3F02">
        <w:rPr>
          <w:color w:val="000000"/>
        </w:rPr>
        <w:t xml:space="preserve">Užsakovas: Lietuvos Respublikos </w:t>
      </w:r>
      <w:r>
        <w:rPr>
          <w:color w:val="000000"/>
        </w:rPr>
        <w:t>ekonomikos ir inovacijų</w:t>
      </w:r>
      <w:r w:rsidRPr="00EB3F02">
        <w:rPr>
          <w:color w:val="000000"/>
        </w:rPr>
        <w:t xml:space="preserve"> ministerija (</w:t>
      </w:r>
      <w:r>
        <w:rPr>
          <w:color w:val="000000"/>
        </w:rPr>
        <w:t>EIMIN</w:t>
      </w:r>
      <w:r w:rsidRPr="00EB3F02">
        <w:rPr>
          <w:color w:val="000000"/>
        </w:rPr>
        <w:t>)</w:t>
      </w:r>
    </w:p>
    <w:p w14:paraId="1407D6F5" w14:textId="24E9D340" w:rsidR="006259C8" w:rsidRPr="00EB3F02" w:rsidRDefault="006259C8" w:rsidP="006259C8">
      <w:pPr>
        <w:jc w:val="both"/>
        <w:rPr>
          <w:color w:val="000000"/>
        </w:rPr>
      </w:pPr>
      <w:r w:rsidRPr="00EB3F02">
        <w:rPr>
          <w:color w:val="000000"/>
        </w:rPr>
        <w:t xml:space="preserve">Vertinimą atliko: </w:t>
      </w:r>
      <w:r w:rsidRPr="006259C8">
        <w:t>UAB „ESTEP Vilnius“</w:t>
      </w:r>
      <w:r>
        <w:t xml:space="preserve">, </w:t>
      </w:r>
      <w:r w:rsidRPr="00EB3F02">
        <w:rPr>
          <w:color w:val="000000"/>
        </w:rPr>
        <w:t>20</w:t>
      </w:r>
      <w:r>
        <w:rPr>
          <w:color w:val="000000"/>
        </w:rPr>
        <w:t>23</w:t>
      </w:r>
      <w:r w:rsidRPr="00EB3F02">
        <w:rPr>
          <w:color w:val="000000"/>
        </w:rPr>
        <w:t xml:space="preserve"> m.</w:t>
      </w:r>
    </w:p>
    <w:p w14:paraId="0BCE2DE1" w14:textId="77777777" w:rsidR="006259C8" w:rsidRPr="00EB3F02" w:rsidRDefault="006259C8" w:rsidP="006259C8">
      <w:pPr>
        <w:autoSpaceDE w:val="0"/>
        <w:autoSpaceDN w:val="0"/>
        <w:adjustRightInd w:val="0"/>
        <w:jc w:val="both"/>
        <w:rPr>
          <w:b/>
          <w:color w:val="000000"/>
        </w:rPr>
      </w:pPr>
    </w:p>
    <w:p w14:paraId="7FC2BF0A" w14:textId="77777777" w:rsidR="006259C8" w:rsidRPr="00EB3F02" w:rsidRDefault="006259C8" w:rsidP="006259C8">
      <w:pPr>
        <w:autoSpaceDE w:val="0"/>
        <w:autoSpaceDN w:val="0"/>
        <w:adjustRightInd w:val="0"/>
        <w:jc w:val="both"/>
        <w:rPr>
          <w:b/>
          <w:color w:val="000000"/>
        </w:rPr>
      </w:pPr>
      <w:r w:rsidRPr="00EB3F02">
        <w:rPr>
          <w:b/>
          <w:color w:val="000000"/>
        </w:rPr>
        <w:t>Vertinimo tikslas, uždaviniai, apimtis, metodai</w:t>
      </w:r>
    </w:p>
    <w:p w14:paraId="0D15D1DF" w14:textId="77777777" w:rsidR="006B69FE" w:rsidRDefault="006259C8" w:rsidP="006259C8">
      <w:pPr>
        <w:autoSpaceDE w:val="0"/>
        <w:autoSpaceDN w:val="0"/>
        <w:adjustRightInd w:val="0"/>
        <w:jc w:val="both"/>
      </w:pPr>
      <w:r w:rsidRPr="001E141A">
        <w:rPr>
          <w:b/>
          <w:color w:val="000000"/>
        </w:rPr>
        <w:t>Tikslas</w:t>
      </w:r>
      <w:r w:rsidRPr="001E141A">
        <w:t xml:space="preserve"> </w:t>
      </w:r>
    </w:p>
    <w:p w14:paraId="6D27EC93" w14:textId="24EA9EC3" w:rsidR="006259C8" w:rsidRPr="001E141A" w:rsidRDefault="006B69FE" w:rsidP="006259C8">
      <w:pPr>
        <w:autoSpaceDE w:val="0"/>
        <w:autoSpaceDN w:val="0"/>
        <w:adjustRightInd w:val="0"/>
        <w:jc w:val="both"/>
        <w:rPr>
          <w:rFonts w:eastAsiaTheme="minorHAnsi"/>
          <w:color w:val="000000"/>
          <w:lang w:eastAsia="en-US"/>
        </w:rPr>
      </w:pPr>
      <w:r>
        <w:t>N</w:t>
      </w:r>
      <w:r w:rsidR="006259C8" w:rsidRPr="006259C8">
        <w:rPr>
          <w:rFonts w:eastAsiaTheme="minorHAnsi"/>
          <w:color w:val="000000"/>
          <w:lang w:eastAsia="en-US"/>
        </w:rPr>
        <w:t>ustatyti 2014–2020 m. ES fondų investicijų poveikį Lietuvos turizmo srityje ir investicijų prioritetus 2021–2027 m. finansavimo laikotarpiu.</w:t>
      </w:r>
    </w:p>
    <w:p w14:paraId="2FABACAE" w14:textId="77777777" w:rsidR="006259C8" w:rsidRPr="001E141A" w:rsidRDefault="006259C8" w:rsidP="006259C8">
      <w:pPr>
        <w:autoSpaceDE w:val="0"/>
        <w:autoSpaceDN w:val="0"/>
        <w:adjustRightInd w:val="0"/>
        <w:jc w:val="both"/>
      </w:pPr>
      <w:r w:rsidRPr="001E141A">
        <w:rPr>
          <w:b/>
          <w:color w:val="000000"/>
        </w:rPr>
        <w:t>Uždaviniai</w:t>
      </w:r>
      <w:r w:rsidRPr="001E141A">
        <w:t xml:space="preserve"> </w:t>
      </w:r>
    </w:p>
    <w:p w14:paraId="5B6F95DB" w14:textId="1B4C96EC" w:rsidR="006259C8" w:rsidRPr="006259C8" w:rsidRDefault="006259C8" w:rsidP="006259C8">
      <w:pPr>
        <w:jc w:val="both"/>
        <w:rPr>
          <w:rFonts w:eastAsiaTheme="minorHAnsi"/>
          <w:color w:val="000000"/>
          <w:lang w:eastAsia="en-US"/>
        </w:rPr>
      </w:pPr>
      <w:r w:rsidRPr="006259C8">
        <w:rPr>
          <w:rFonts w:eastAsiaTheme="minorHAnsi"/>
          <w:color w:val="000000"/>
          <w:lang w:eastAsia="en-US"/>
        </w:rPr>
        <w:t>1)</w:t>
      </w:r>
      <w:r>
        <w:rPr>
          <w:rFonts w:eastAsiaTheme="minorHAnsi"/>
          <w:color w:val="000000"/>
          <w:lang w:eastAsia="en-US"/>
        </w:rPr>
        <w:t xml:space="preserve"> </w:t>
      </w:r>
      <w:r w:rsidRPr="006259C8">
        <w:rPr>
          <w:rFonts w:eastAsiaTheme="minorHAnsi"/>
          <w:color w:val="000000"/>
          <w:lang w:eastAsia="en-US"/>
        </w:rPr>
        <w:t>2014–2020 m. ES fondų investicijų rezultatyvumo, efektyvumo ir poveikio Lietuvos turizmo augimui bei COVID-19 pandemijos poveikio turizmo sektoriui ir 2014–2020 m. ES fondų investicijų veiksmų programos (toliau – VP) priemonių įgyvendinimui vertinimas;</w:t>
      </w:r>
    </w:p>
    <w:p w14:paraId="060BB7B2" w14:textId="77777777" w:rsidR="006259C8" w:rsidRDefault="006259C8" w:rsidP="006259C8">
      <w:pPr>
        <w:jc w:val="both"/>
        <w:rPr>
          <w:rFonts w:eastAsiaTheme="minorHAnsi"/>
          <w:color w:val="000000"/>
          <w:lang w:eastAsia="en-US"/>
        </w:rPr>
      </w:pPr>
      <w:r w:rsidRPr="006259C8">
        <w:rPr>
          <w:rFonts w:eastAsiaTheme="minorHAnsi"/>
          <w:color w:val="000000"/>
          <w:lang w:eastAsia="en-US"/>
        </w:rPr>
        <w:t>2)</w:t>
      </w:r>
      <w:r>
        <w:rPr>
          <w:rFonts w:eastAsiaTheme="minorHAnsi"/>
          <w:color w:val="000000"/>
          <w:lang w:eastAsia="en-US"/>
        </w:rPr>
        <w:t xml:space="preserve"> </w:t>
      </w:r>
      <w:r w:rsidRPr="006259C8">
        <w:rPr>
          <w:rFonts w:eastAsiaTheme="minorHAnsi"/>
          <w:color w:val="000000"/>
          <w:lang w:eastAsia="en-US"/>
        </w:rPr>
        <w:t>VP 5 prioriteto indėlio į „Europa 2020“ strategiją vertinimas ir Lietuvos turizmo sektoriaus plėtros ir finansavimo scenarijų po 2022 m., atsižvelgiant į COVID-19 pandemijos padarinius, analizė.</w:t>
      </w:r>
    </w:p>
    <w:p w14:paraId="6DC4BDA5" w14:textId="1FB53700" w:rsidR="006259C8" w:rsidRPr="00EB3F02" w:rsidRDefault="006259C8" w:rsidP="006259C8">
      <w:pPr>
        <w:jc w:val="both"/>
        <w:rPr>
          <w:b/>
          <w:color w:val="000000"/>
        </w:rPr>
      </w:pPr>
      <w:r w:rsidRPr="00EB3F02">
        <w:rPr>
          <w:b/>
          <w:color w:val="000000"/>
        </w:rPr>
        <w:t xml:space="preserve">Apimtis </w:t>
      </w:r>
    </w:p>
    <w:p w14:paraId="2FAC65C4" w14:textId="2985F2F8" w:rsidR="006259C8" w:rsidRPr="00B543C5" w:rsidRDefault="006259C8" w:rsidP="006259C8">
      <w:pPr>
        <w:autoSpaceDE w:val="0"/>
        <w:autoSpaceDN w:val="0"/>
        <w:adjustRightInd w:val="0"/>
        <w:jc w:val="both"/>
      </w:pPr>
      <w:r>
        <w:t xml:space="preserve">VP </w:t>
      </w:r>
      <w:r w:rsidRPr="006259C8">
        <w:t>18 priemonių, įgyvendintų pagal keturis (1, 3, 5 ir 13) VP prioritetus ir konkrečius jų uždavinius</w:t>
      </w:r>
      <w:r>
        <w:t xml:space="preserve"> turizmo srityje.</w:t>
      </w:r>
    </w:p>
    <w:p w14:paraId="03C8EFBE" w14:textId="77777777" w:rsidR="006259C8" w:rsidRPr="00EB3F02" w:rsidRDefault="006259C8" w:rsidP="006259C8">
      <w:pPr>
        <w:autoSpaceDE w:val="0"/>
        <w:autoSpaceDN w:val="0"/>
        <w:adjustRightInd w:val="0"/>
        <w:jc w:val="both"/>
        <w:rPr>
          <w:rFonts w:eastAsia="Calibri"/>
          <w:b/>
          <w:color w:val="000000"/>
        </w:rPr>
      </w:pPr>
      <w:r w:rsidRPr="00EB3F02">
        <w:rPr>
          <w:rFonts w:eastAsia="Calibri"/>
          <w:b/>
          <w:color w:val="000000"/>
        </w:rPr>
        <w:t xml:space="preserve">Naudoti metodai </w:t>
      </w:r>
    </w:p>
    <w:p w14:paraId="61453BB7" w14:textId="4C7C4227" w:rsidR="00835199" w:rsidRDefault="00835199" w:rsidP="006259C8">
      <w:pPr>
        <w:autoSpaceDE w:val="0"/>
        <w:autoSpaceDN w:val="0"/>
        <w:adjustRightInd w:val="0"/>
        <w:jc w:val="both"/>
        <w:rPr>
          <w:rFonts w:eastAsia="Calibri"/>
        </w:rPr>
      </w:pPr>
      <w:r w:rsidRPr="00835199">
        <w:rPr>
          <w:rFonts w:eastAsia="Calibri"/>
        </w:rPr>
        <w:t xml:space="preserve">Vertinant ES fondų investicijų poveikį turizmo sektoriui </w:t>
      </w:r>
      <w:r>
        <w:rPr>
          <w:rFonts w:eastAsia="Calibri"/>
        </w:rPr>
        <w:t xml:space="preserve">buvo </w:t>
      </w:r>
      <w:r w:rsidRPr="00835199">
        <w:rPr>
          <w:rFonts w:eastAsia="Calibri"/>
        </w:rPr>
        <w:t>taik</w:t>
      </w:r>
      <w:r>
        <w:rPr>
          <w:rFonts w:eastAsia="Calibri"/>
        </w:rPr>
        <w:t>yta</w:t>
      </w:r>
      <w:r w:rsidRPr="00835199">
        <w:rPr>
          <w:rFonts w:eastAsia="Calibri"/>
        </w:rPr>
        <w:t xml:space="preserve"> teorija grįsto poveikio vertinimo </w:t>
      </w:r>
      <w:r>
        <w:rPr>
          <w:rFonts w:eastAsia="Calibri"/>
        </w:rPr>
        <w:t xml:space="preserve">prieiga. </w:t>
      </w:r>
      <w:r w:rsidRPr="00835199">
        <w:rPr>
          <w:rFonts w:eastAsia="Calibri"/>
        </w:rPr>
        <w:t>Nagrinėjant vertinimo klausimus buvo derinama pirminių ir antrinių šaltinių, kiekybinių ir kokybinių duomenų analizė. Atsižvelgiant į vertinimo objektą ir vertinimo klausimus, vienu svarbiausių metodų buvo ekspertinis vertinimas, kuris papildė rezultatus, gautus atliekant analizę ir taikant kitus metodus</w:t>
      </w:r>
      <w:r>
        <w:rPr>
          <w:rFonts w:eastAsia="Calibri"/>
        </w:rPr>
        <w:t>.</w:t>
      </w:r>
    </w:p>
    <w:p w14:paraId="34A96FDD" w14:textId="77777777" w:rsidR="00D35893" w:rsidRDefault="00D35893" w:rsidP="006259C8">
      <w:pPr>
        <w:autoSpaceDE w:val="0"/>
        <w:autoSpaceDN w:val="0"/>
        <w:adjustRightInd w:val="0"/>
        <w:jc w:val="both"/>
        <w:rPr>
          <w:b/>
        </w:rPr>
      </w:pPr>
    </w:p>
    <w:p w14:paraId="357ADE34" w14:textId="170BA444" w:rsidR="006259C8" w:rsidRPr="00EB3F02" w:rsidRDefault="006259C8" w:rsidP="006259C8">
      <w:pPr>
        <w:autoSpaceDE w:val="0"/>
        <w:autoSpaceDN w:val="0"/>
        <w:adjustRightInd w:val="0"/>
        <w:jc w:val="both"/>
        <w:rPr>
          <w:b/>
        </w:rPr>
      </w:pPr>
      <w:r w:rsidRPr="00EB3F02">
        <w:rPr>
          <w:b/>
        </w:rPr>
        <w:t>Pagrindiniai vertinimo rezultatai</w:t>
      </w:r>
    </w:p>
    <w:p w14:paraId="30F3B2FF" w14:textId="5C12B5A4" w:rsidR="00835199" w:rsidRPr="00835199" w:rsidRDefault="00835199" w:rsidP="006259C8">
      <w:pPr>
        <w:autoSpaceDE w:val="0"/>
        <w:autoSpaceDN w:val="0"/>
        <w:adjustRightInd w:val="0"/>
        <w:jc w:val="both"/>
        <w:rPr>
          <w:bCs/>
        </w:rPr>
      </w:pPr>
      <w:r w:rsidRPr="00835199">
        <w:rPr>
          <w:bCs/>
        </w:rPr>
        <w:t>Vertinimo metu nustatyta, kad:</w:t>
      </w:r>
    </w:p>
    <w:p w14:paraId="2E288E88" w14:textId="2DAA9BB0" w:rsidR="00835199" w:rsidRDefault="00051122" w:rsidP="006259C8">
      <w:pPr>
        <w:autoSpaceDE w:val="0"/>
        <w:autoSpaceDN w:val="0"/>
        <w:adjustRightInd w:val="0"/>
        <w:jc w:val="both"/>
        <w:rPr>
          <w:bCs/>
        </w:rPr>
      </w:pPr>
      <w:r>
        <w:rPr>
          <w:bCs/>
        </w:rPr>
        <w:t xml:space="preserve">1) </w:t>
      </w:r>
      <w:r w:rsidR="00835199" w:rsidRPr="00835199">
        <w:rPr>
          <w:bCs/>
        </w:rPr>
        <w:t>P</w:t>
      </w:r>
      <w:r w:rsidR="00835199">
        <w:rPr>
          <w:bCs/>
        </w:rPr>
        <w:t>lanuojant</w:t>
      </w:r>
      <w:r w:rsidR="00835199" w:rsidRPr="00835199">
        <w:rPr>
          <w:bCs/>
        </w:rPr>
        <w:t xml:space="preserve"> ES fondų lėšas 2014–2020 m. finansiniam laikotarpiui, priešingai nei ankstesniais programiniais laikotarpiais, nebuvo sukurta atskirų priemonių, skirtų konkrečiai turizmo MVĮ projektų finansavimui</w:t>
      </w:r>
      <w:r w:rsidR="00835199">
        <w:rPr>
          <w:bCs/>
        </w:rPr>
        <w:t xml:space="preserve">, </w:t>
      </w:r>
      <w:r w:rsidRPr="00A44D00">
        <w:rPr>
          <w:b/>
        </w:rPr>
        <w:t>todėl p</w:t>
      </w:r>
      <w:r w:rsidR="00835199" w:rsidRPr="00A44D00">
        <w:rPr>
          <w:b/>
        </w:rPr>
        <w:t xml:space="preserve">agal 1 ir 3 VP prioritetus įgyvendintos intervencijos ribotai prisidėjo prie projektų, </w:t>
      </w:r>
      <w:r w:rsidR="00835199" w:rsidRPr="00835199">
        <w:rPr>
          <w:bCs/>
        </w:rPr>
        <w:t>susijusių su turizmo paslaugų ir produktų plėtra ar turizmo įmonių efektyvumo didinimu.</w:t>
      </w:r>
    </w:p>
    <w:p w14:paraId="2EE1C0E5" w14:textId="302345F6" w:rsidR="00051122" w:rsidRPr="00835199" w:rsidRDefault="00051122" w:rsidP="006259C8">
      <w:pPr>
        <w:autoSpaceDE w:val="0"/>
        <w:autoSpaceDN w:val="0"/>
        <w:adjustRightInd w:val="0"/>
        <w:jc w:val="both"/>
        <w:rPr>
          <w:bCs/>
        </w:rPr>
      </w:pPr>
      <w:r>
        <w:rPr>
          <w:bCs/>
        </w:rPr>
        <w:t xml:space="preserve">2) </w:t>
      </w:r>
      <w:r w:rsidRPr="00051122">
        <w:rPr>
          <w:bCs/>
        </w:rPr>
        <w:t>Įgyvendin</w:t>
      </w:r>
      <w:r>
        <w:rPr>
          <w:bCs/>
        </w:rPr>
        <w:t>tos</w:t>
      </w:r>
      <w:r w:rsidRPr="00051122">
        <w:rPr>
          <w:bCs/>
        </w:rPr>
        <w:t xml:space="preserve"> </w:t>
      </w:r>
      <w:r w:rsidRPr="00A44D00">
        <w:rPr>
          <w:b/>
        </w:rPr>
        <w:t>priemones pagal 5 VP prioritetą tiesiogiai prisidėjo prie turizmo sektoriaus plėtros</w:t>
      </w:r>
      <w:r w:rsidRPr="00051122">
        <w:rPr>
          <w:bCs/>
        </w:rPr>
        <w:t>: buvo investuota į turizmui reikalingą viešąją infrastruktūrą, aktualias rinkodaros priemones, kultūros paveldo aktualizavimą, kultūrinio–pažintinio turizmo skatinimą, gamtinio turizmo plėtrą</w:t>
      </w:r>
      <w:r>
        <w:rPr>
          <w:bCs/>
        </w:rPr>
        <w:t>.</w:t>
      </w:r>
    </w:p>
    <w:p w14:paraId="35E14D9E" w14:textId="22C20E0D" w:rsidR="00835199" w:rsidRPr="00A44D00" w:rsidRDefault="00051122" w:rsidP="006259C8">
      <w:pPr>
        <w:autoSpaceDE w:val="0"/>
        <w:autoSpaceDN w:val="0"/>
        <w:adjustRightInd w:val="0"/>
        <w:jc w:val="both"/>
        <w:rPr>
          <w:bCs/>
        </w:rPr>
      </w:pPr>
      <w:r>
        <w:rPr>
          <w:bCs/>
        </w:rPr>
        <w:t xml:space="preserve">3) </w:t>
      </w:r>
      <w:r w:rsidRPr="00051122">
        <w:rPr>
          <w:bCs/>
        </w:rPr>
        <w:t xml:space="preserve">Finansuotų projektų analizė parodė,  kad </w:t>
      </w:r>
      <w:r w:rsidRPr="00A44D00">
        <w:rPr>
          <w:b/>
        </w:rPr>
        <w:t xml:space="preserve">su turizmu susijusioms įmonėms aktualiausios buvo 13 VP prioriteto priemonės </w:t>
      </w:r>
      <w:r w:rsidRPr="00A44D00">
        <w:rPr>
          <w:bCs/>
        </w:rPr>
        <w:t>„Kūrybiniai čekiai COVID-19“ ir „E. komercijos modelis COVID-19“.</w:t>
      </w:r>
    </w:p>
    <w:p w14:paraId="21E7AB9C" w14:textId="447D8BAF" w:rsidR="00051122" w:rsidRDefault="00051122" w:rsidP="006259C8">
      <w:pPr>
        <w:autoSpaceDE w:val="0"/>
        <w:autoSpaceDN w:val="0"/>
        <w:adjustRightInd w:val="0"/>
        <w:jc w:val="both"/>
        <w:rPr>
          <w:bCs/>
        </w:rPr>
      </w:pPr>
      <w:r>
        <w:rPr>
          <w:bCs/>
        </w:rPr>
        <w:t xml:space="preserve">4) </w:t>
      </w:r>
      <w:r w:rsidRPr="00051122">
        <w:rPr>
          <w:bCs/>
        </w:rPr>
        <w:t xml:space="preserve">5.4.1 uždavinio rezultatyvumui įvertinti VP buvo nustatytas 7 stebėsenos rodiklių rinkinys, kurį sudarė 4 produkto ir 3 rezultato rodikliai. Papildomai projektų įgyvendinimo stebėsenai nustatyti 6 nacionaliniai produkto rodikliai. Atsižvelgiant į tai, </w:t>
      </w:r>
      <w:r w:rsidRPr="00A44D00">
        <w:rPr>
          <w:b/>
        </w:rPr>
        <w:t>kad iki 2022 m. pabaigos pasiekti rezultatai viršijo Turizmo programoje numatytus vertinimo kriterijus</w:t>
      </w:r>
      <w:r w:rsidRPr="00051122">
        <w:rPr>
          <w:bCs/>
        </w:rPr>
        <w:t xml:space="preserve">, galima apibendrinti, kad srityse, kurioms buvo numatytas finansavimas, ES investicijos </w:t>
      </w:r>
      <w:r w:rsidRPr="00051122">
        <w:rPr>
          <w:b/>
        </w:rPr>
        <w:t>buvo rezultatyvios</w:t>
      </w:r>
      <w:r w:rsidRPr="00051122">
        <w:rPr>
          <w:bCs/>
        </w:rPr>
        <w:t xml:space="preserve"> ir prisidėjo prie laikotarpio pradžioje identifikuotų problemų sprendimo.</w:t>
      </w:r>
    </w:p>
    <w:p w14:paraId="5CD181EB" w14:textId="3D987AA2" w:rsidR="00051122" w:rsidRDefault="00051122" w:rsidP="006259C8">
      <w:pPr>
        <w:autoSpaceDE w:val="0"/>
        <w:autoSpaceDN w:val="0"/>
        <w:adjustRightInd w:val="0"/>
        <w:jc w:val="both"/>
        <w:rPr>
          <w:bCs/>
        </w:rPr>
      </w:pPr>
      <w:r>
        <w:rPr>
          <w:bCs/>
        </w:rPr>
        <w:t xml:space="preserve">5) </w:t>
      </w:r>
      <w:r w:rsidRPr="00051122">
        <w:rPr>
          <w:bCs/>
        </w:rPr>
        <w:t xml:space="preserve">Atsižvelgiant į skirtą finansavimą ir lyginant su bendromis šalies tendencijomis nepagerėjusius rodiklius,  daroma išvada, kad įgyvendintos VP priemonės </w:t>
      </w:r>
      <w:r w:rsidRPr="00051122">
        <w:rPr>
          <w:b/>
        </w:rPr>
        <w:t>nebuvo pakankamai efektyvios</w:t>
      </w:r>
      <w:r w:rsidRPr="00051122">
        <w:rPr>
          <w:bCs/>
        </w:rPr>
        <w:t>, siekiant sustiprinti prioritetinių turizmo plėtros regionų pozicijas ir pritraukti didesnius turistų srautus.</w:t>
      </w:r>
    </w:p>
    <w:p w14:paraId="10FEF6D2" w14:textId="78AB82C3" w:rsidR="00051122" w:rsidRPr="00051122" w:rsidRDefault="00A44D00" w:rsidP="006259C8">
      <w:pPr>
        <w:autoSpaceDE w:val="0"/>
        <w:autoSpaceDN w:val="0"/>
        <w:adjustRightInd w:val="0"/>
        <w:jc w:val="both"/>
        <w:rPr>
          <w:bCs/>
        </w:rPr>
      </w:pPr>
      <w:r>
        <w:rPr>
          <w:bCs/>
        </w:rPr>
        <w:t xml:space="preserve">6) </w:t>
      </w:r>
      <w:r w:rsidR="00051122" w:rsidRPr="00051122">
        <w:rPr>
          <w:bCs/>
        </w:rPr>
        <w:t xml:space="preserve">VP priemonių </w:t>
      </w:r>
      <w:r w:rsidR="00051122" w:rsidRPr="00051122">
        <w:rPr>
          <w:b/>
        </w:rPr>
        <w:t xml:space="preserve">poveikis </w:t>
      </w:r>
      <w:r w:rsidR="00051122" w:rsidRPr="00051122">
        <w:rPr>
          <w:bCs/>
        </w:rPr>
        <w:t>turizmo sektoriaus konkurencingumui buvo įvertintas pagal 5 rodiklius:</w:t>
      </w:r>
    </w:p>
    <w:p w14:paraId="6FB62BBE" w14:textId="66C477C3" w:rsidR="00A44D00" w:rsidRPr="00A44D00" w:rsidRDefault="00A44D00" w:rsidP="00984DE1">
      <w:pPr>
        <w:pStyle w:val="Sraopastraipa"/>
        <w:numPr>
          <w:ilvl w:val="0"/>
          <w:numId w:val="6"/>
        </w:numPr>
        <w:autoSpaceDE w:val="0"/>
        <w:autoSpaceDN w:val="0"/>
        <w:adjustRightInd w:val="0"/>
        <w:jc w:val="both"/>
        <w:rPr>
          <w:bCs/>
        </w:rPr>
      </w:pPr>
      <w:r w:rsidRPr="00A44D00">
        <w:rPr>
          <w:b/>
        </w:rPr>
        <w:t>Turizmo sektoriaus sukuriama pridėtinė vertė.</w:t>
      </w:r>
      <w:r w:rsidRPr="00A44D00">
        <w:rPr>
          <w:bCs/>
        </w:rPr>
        <w:t xml:space="preserve"> VP priemonių indėlis į turizmo sektoriaus pridėtinės vertės augimą – menkas. Vertinama, kad analizuotų priemonių įgyvendinimas per laikotarpį nuo investicijų pradžios iki 2030 m. </w:t>
      </w:r>
      <w:r w:rsidRPr="00A44D00">
        <w:rPr>
          <w:b/>
        </w:rPr>
        <w:t>sukurs apie 442,2 mln. Eur papildomo šalies BVP</w:t>
      </w:r>
      <w:r w:rsidRPr="00A44D00">
        <w:rPr>
          <w:bCs/>
        </w:rPr>
        <w:t xml:space="preserve"> arba vidutiniškai 1 proc. punktu didins Lietuvos turizmo sektoriaus sukuriamą pridėtinę vertę.</w:t>
      </w:r>
    </w:p>
    <w:p w14:paraId="3AB909FD" w14:textId="1A3364E9" w:rsidR="00A44D00" w:rsidRPr="00A44D00" w:rsidRDefault="00A44D00" w:rsidP="00984DE1">
      <w:pPr>
        <w:pStyle w:val="Sraopastraipa"/>
        <w:numPr>
          <w:ilvl w:val="0"/>
          <w:numId w:val="6"/>
        </w:numPr>
        <w:autoSpaceDE w:val="0"/>
        <w:autoSpaceDN w:val="0"/>
        <w:adjustRightInd w:val="0"/>
        <w:jc w:val="both"/>
        <w:rPr>
          <w:bCs/>
        </w:rPr>
      </w:pPr>
      <w:r w:rsidRPr="00A44D00">
        <w:rPr>
          <w:b/>
        </w:rPr>
        <w:lastRenderedPageBreak/>
        <w:t>Turizmo paslaugų eksportas</w:t>
      </w:r>
      <w:r w:rsidRPr="00A44D00">
        <w:rPr>
          <w:bCs/>
        </w:rPr>
        <w:t xml:space="preserve">. VP priemonės </w:t>
      </w:r>
      <w:r w:rsidRPr="00A44D00">
        <w:rPr>
          <w:b/>
        </w:rPr>
        <w:t>turėjo mažą poveikį turizmo paslaugų eksportui</w:t>
      </w:r>
      <w:r w:rsidRPr="00A44D00">
        <w:rPr>
          <w:bCs/>
        </w:rPr>
        <w:t>, nes finansavimą projektų įgyvendinimui gavo tik 13 % kelionių organizatorių ir mažiau nei 1 % apgyvendinimo įstaigų, kurios yra vienos iš svarbiausių veikėjų turizmo eksporto paslaugų srityje.</w:t>
      </w:r>
    </w:p>
    <w:p w14:paraId="67C11363" w14:textId="40B2F5CB" w:rsidR="00A44D00" w:rsidRPr="00A44D00" w:rsidRDefault="00A44D00" w:rsidP="00984DE1">
      <w:pPr>
        <w:pStyle w:val="Sraopastraipa"/>
        <w:numPr>
          <w:ilvl w:val="0"/>
          <w:numId w:val="6"/>
        </w:numPr>
        <w:autoSpaceDE w:val="0"/>
        <w:autoSpaceDN w:val="0"/>
        <w:adjustRightInd w:val="0"/>
        <w:jc w:val="both"/>
        <w:rPr>
          <w:bCs/>
        </w:rPr>
      </w:pPr>
      <w:r w:rsidRPr="00A44D00">
        <w:rPr>
          <w:b/>
        </w:rPr>
        <w:t>Nakvynių skaičius apgyvendinimo įstaigose</w:t>
      </w:r>
      <w:r w:rsidRPr="00A44D00">
        <w:rPr>
          <w:bCs/>
        </w:rPr>
        <w:t xml:space="preserve">. Vertintos </w:t>
      </w:r>
      <w:r w:rsidRPr="00A44D00">
        <w:rPr>
          <w:b/>
        </w:rPr>
        <w:t xml:space="preserve">VP priemonės turėjo teigiamą poveikį nakvynių skaičiaus apgyvendinimo įstaigose pokyčiui. </w:t>
      </w:r>
      <w:r w:rsidRPr="00A44D00">
        <w:rPr>
          <w:bCs/>
        </w:rPr>
        <w:t>Tiesioginį poveikį turėjo priemonė „Regio Invest LT+“, pagal kurią buvo įgyvendinti keli su sveikatos turizmo plėtra susiję svarbūs projektai Druskininkų, Birštono, Palangos ir Neringos savivaldybėse, sukurta nauja apgyvendinimo ir sveikatinimo paslaugas teikianti infrastruktūra. Netiesioginį teigiamą poveikį nakvynių skaičiaus augimui taip pat turėjo visos įgyvendintos rinkodaros priemonės.</w:t>
      </w:r>
    </w:p>
    <w:p w14:paraId="7511AD0E" w14:textId="2C8C3A99" w:rsidR="00A44D00" w:rsidRPr="00A44D00" w:rsidRDefault="00A44D00" w:rsidP="00984DE1">
      <w:pPr>
        <w:pStyle w:val="Sraopastraipa"/>
        <w:numPr>
          <w:ilvl w:val="0"/>
          <w:numId w:val="6"/>
        </w:numPr>
        <w:autoSpaceDE w:val="0"/>
        <w:autoSpaceDN w:val="0"/>
        <w:adjustRightInd w:val="0"/>
        <w:jc w:val="both"/>
        <w:rPr>
          <w:b/>
        </w:rPr>
      </w:pPr>
      <w:r w:rsidRPr="00A44D00">
        <w:rPr>
          <w:b/>
        </w:rPr>
        <w:t>Su turizmu susijusių darbo vietų pokytis</w:t>
      </w:r>
      <w:r w:rsidRPr="00A44D00">
        <w:rPr>
          <w:bCs/>
        </w:rPr>
        <w:t xml:space="preserve">. Remiantis SFMIS informacija, dėka 4 turizmo projektų, finansuotų pagal priemonę „Regio Invest LT+“, Lietuvos </w:t>
      </w:r>
      <w:r w:rsidRPr="00A44D00">
        <w:rPr>
          <w:b/>
        </w:rPr>
        <w:t>regionuose buvo sukurta 190 naujų ilgalaikių darbo vietų.</w:t>
      </w:r>
      <w:r w:rsidRPr="00A44D00">
        <w:rPr>
          <w:bCs/>
        </w:rPr>
        <w:t xml:space="preserve"> Nors bendrame šalies kontekste tai sudaro tik 0,4 % visų dirbančiųjų turizme, tačiau įvertinant projektų skaičių ir dėka jų sukurtų naujų darbo vietų rezultatą (vidutiniškai po 48 darbo vietas), galima teigti, kad projektų </w:t>
      </w:r>
      <w:r w:rsidRPr="00A44D00">
        <w:rPr>
          <w:b/>
        </w:rPr>
        <w:t>poveikis darbo vietų kūrimui regionuose buvo reikšmingas.</w:t>
      </w:r>
    </w:p>
    <w:p w14:paraId="65DE31A3" w14:textId="1AB0CEDC" w:rsidR="00A44D00" w:rsidRPr="00A44D00" w:rsidRDefault="00A44D00" w:rsidP="00984DE1">
      <w:pPr>
        <w:pStyle w:val="Sraopastraipa"/>
        <w:numPr>
          <w:ilvl w:val="0"/>
          <w:numId w:val="6"/>
        </w:numPr>
        <w:autoSpaceDE w:val="0"/>
        <w:autoSpaceDN w:val="0"/>
        <w:adjustRightInd w:val="0"/>
        <w:jc w:val="both"/>
        <w:rPr>
          <w:bCs/>
        </w:rPr>
      </w:pPr>
      <w:r w:rsidRPr="00A44D00">
        <w:rPr>
          <w:b/>
        </w:rPr>
        <w:t>Sezoniškumo įtakos sumažėjimas</w:t>
      </w:r>
      <w:r w:rsidRPr="00A44D00">
        <w:rPr>
          <w:bCs/>
        </w:rPr>
        <w:t xml:space="preserve">. Įgyvendintos </w:t>
      </w:r>
      <w:r w:rsidRPr="00A44D00">
        <w:rPr>
          <w:b/>
        </w:rPr>
        <w:t>VP priemonės turėjo teigiamą poveikį</w:t>
      </w:r>
      <w:r w:rsidRPr="00A44D00">
        <w:rPr>
          <w:bCs/>
        </w:rPr>
        <w:t xml:space="preserve"> sezoniškumo mažinimui, nes kūrė naujas paslaugas, nepriklausomas nuo sezono (pavyzdžiui, kultūros objektų aktualizavimas ir pritaikymas turizmo reikmėms, sveikatos turizmo plėtra) ir vykdant rinkodaros priemones skatino naudotis turimas turizmo ištekliais.</w:t>
      </w:r>
    </w:p>
    <w:p w14:paraId="185465C4" w14:textId="77777777" w:rsidR="00A44D00" w:rsidRPr="00A44D00" w:rsidRDefault="00A44D00" w:rsidP="006259C8">
      <w:pPr>
        <w:autoSpaceDE w:val="0"/>
        <w:autoSpaceDN w:val="0"/>
        <w:adjustRightInd w:val="0"/>
        <w:jc w:val="both"/>
        <w:rPr>
          <w:bCs/>
        </w:rPr>
      </w:pPr>
    </w:p>
    <w:p w14:paraId="15AFEC0F" w14:textId="74F08861" w:rsidR="006259C8" w:rsidRPr="00EB3F02" w:rsidRDefault="006259C8" w:rsidP="006259C8">
      <w:pPr>
        <w:autoSpaceDE w:val="0"/>
        <w:autoSpaceDN w:val="0"/>
        <w:adjustRightInd w:val="0"/>
        <w:jc w:val="both"/>
        <w:rPr>
          <w:b/>
        </w:rPr>
      </w:pPr>
      <w:r w:rsidRPr="00EB3F02">
        <w:rPr>
          <w:b/>
        </w:rPr>
        <w:t>Vertinimo rekomendacijos</w:t>
      </w:r>
      <w:r w:rsidR="00A44D00">
        <w:rPr>
          <w:b/>
        </w:rPr>
        <w:t xml:space="preserve"> ir nauda</w:t>
      </w:r>
    </w:p>
    <w:p w14:paraId="034B9F93" w14:textId="10917551" w:rsidR="006259C8" w:rsidRDefault="00807A75" w:rsidP="00807A75">
      <w:pPr>
        <w:spacing w:after="200" w:line="276" w:lineRule="auto"/>
        <w:jc w:val="both"/>
        <w:rPr>
          <w:b/>
        </w:rPr>
      </w:pPr>
      <w:r>
        <w:rPr>
          <w:rFonts w:eastAsia="Calibri"/>
          <w:color w:val="000000"/>
        </w:rPr>
        <w:t xml:space="preserve">Įvertintas ES investicijų poveikis turizmo sektoriuje </w:t>
      </w:r>
      <w:r w:rsidR="006259C8">
        <w:rPr>
          <w:rFonts w:eastAsia="Calibri"/>
          <w:color w:val="000000"/>
        </w:rPr>
        <w:t>ir pateiktos rekomendacijos</w:t>
      </w:r>
      <w:r>
        <w:rPr>
          <w:rFonts w:eastAsia="Calibri"/>
          <w:color w:val="000000"/>
        </w:rPr>
        <w:t xml:space="preserve"> bei strateginiai siūlymai dėl </w:t>
      </w:r>
      <w:r w:rsidR="006259C8">
        <w:rPr>
          <w:rFonts w:eastAsia="Calibri"/>
          <w:color w:val="000000"/>
        </w:rPr>
        <w:t xml:space="preserve"> </w:t>
      </w:r>
      <w:r>
        <w:rPr>
          <w:rFonts w:eastAsia="Calibri"/>
          <w:color w:val="000000"/>
        </w:rPr>
        <w:t>investicijų tobulinimo ateityje. Vertinimo rezultatai leis</w:t>
      </w:r>
      <w:r w:rsidR="006259C8">
        <w:rPr>
          <w:rFonts w:eastAsia="Calibri"/>
          <w:color w:val="000000"/>
        </w:rPr>
        <w:t xml:space="preserve"> </w:t>
      </w:r>
      <w:r>
        <w:rPr>
          <w:rFonts w:eastAsia="Calibri"/>
          <w:color w:val="000000"/>
        </w:rPr>
        <w:t xml:space="preserve">kokybiškai atsiskaityti už ES investicijų </w:t>
      </w:r>
      <w:r w:rsidR="006259C8">
        <w:rPr>
          <w:rFonts w:eastAsia="Calibri"/>
          <w:color w:val="000000"/>
        </w:rPr>
        <w:t xml:space="preserve"> įgyvendinimą ir geriau </w:t>
      </w:r>
      <w:r w:rsidR="006259C8" w:rsidRPr="00F55C12">
        <w:rPr>
          <w:rFonts w:eastAsia="Calibri"/>
          <w:color w:val="000000"/>
        </w:rPr>
        <w:t>pasiruošti naujam finansavimo laikotarpiui</w:t>
      </w:r>
      <w:r w:rsidR="006259C8">
        <w:rPr>
          <w:rFonts w:eastAsia="Calibri"/>
          <w:color w:val="000000"/>
        </w:rPr>
        <w:t>.</w:t>
      </w:r>
    </w:p>
    <w:p w14:paraId="32EA83CC" w14:textId="0EAC4E7C" w:rsidR="00FB4B54" w:rsidRPr="00EB3F02" w:rsidRDefault="00FB4B54">
      <w:pPr>
        <w:spacing w:after="200" w:line="276" w:lineRule="auto"/>
        <w:rPr>
          <w:b/>
        </w:rPr>
      </w:pPr>
      <w:r w:rsidRPr="00EB3F02">
        <w:rPr>
          <w:b/>
        </w:rPr>
        <w:br w:type="page"/>
      </w:r>
    </w:p>
    <w:p w14:paraId="45C5251A" w14:textId="216143FE" w:rsidR="0089598D" w:rsidRDefault="00086D5F" w:rsidP="0089598D">
      <w:pPr>
        <w:spacing w:line="276" w:lineRule="auto"/>
        <w:rPr>
          <w:b/>
        </w:rPr>
      </w:pPr>
      <w:r>
        <w:rPr>
          <w:b/>
        </w:rPr>
        <w:lastRenderedPageBreak/>
        <w:t>4</w:t>
      </w:r>
      <w:r w:rsidR="0089598D">
        <w:rPr>
          <w:b/>
        </w:rPr>
        <w:t xml:space="preserve">. </w:t>
      </w:r>
      <w:r w:rsidR="0089598D" w:rsidRPr="0089598D">
        <w:rPr>
          <w:b/>
        </w:rPr>
        <w:t xml:space="preserve">2014–2020 m. Europos Sąjungos fondų investicijų veiksmų programos prioriteto „Informacinės visuomenės skatinimas“ poveikio vertinimas </w:t>
      </w:r>
    </w:p>
    <w:p w14:paraId="7EB76D84" w14:textId="3439E833" w:rsidR="0089598D" w:rsidRDefault="0089598D" w:rsidP="0089598D">
      <w:pPr>
        <w:jc w:val="both"/>
        <w:rPr>
          <w:color w:val="000000"/>
        </w:rPr>
      </w:pPr>
      <w:r>
        <w:rPr>
          <w:color w:val="000000"/>
        </w:rPr>
        <w:t>Užsakovas: Lietuvos Respublikos susiekimo ministerija (SM)</w:t>
      </w:r>
    </w:p>
    <w:p w14:paraId="3BE989C7" w14:textId="2B7A2B29" w:rsidR="0089598D" w:rsidRPr="0089598D" w:rsidRDefault="0089598D" w:rsidP="0089598D">
      <w:pPr>
        <w:jc w:val="both"/>
        <w:rPr>
          <w:color w:val="000000"/>
        </w:rPr>
      </w:pPr>
      <w:r>
        <w:rPr>
          <w:color w:val="000000"/>
        </w:rPr>
        <w:t xml:space="preserve">Vertinimą atliko: </w:t>
      </w:r>
      <w:r w:rsidRPr="0089598D">
        <w:t>UAB „Civitta“</w:t>
      </w:r>
      <w:r w:rsidRPr="0089598D">
        <w:rPr>
          <w:color w:val="000000"/>
        </w:rPr>
        <w:t>, 2023 m.</w:t>
      </w:r>
    </w:p>
    <w:p w14:paraId="0E53CA6A" w14:textId="09576C31" w:rsidR="0089598D" w:rsidRDefault="0089598D" w:rsidP="0089598D">
      <w:pPr>
        <w:jc w:val="both"/>
        <w:rPr>
          <w:b/>
          <w:color w:val="000000"/>
        </w:rPr>
      </w:pPr>
    </w:p>
    <w:p w14:paraId="6E70FC2A" w14:textId="77777777" w:rsidR="0089598D" w:rsidRPr="0089598D" w:rsidRDefault="0089598D" w:rsidP="0089598D">
      <w:pPr>
        <w:autoSpaceDE w:val="0"/>
        <w:autoSpaceDN w:val="0"/>
        <w:adjustRightInd w:val="0"/>
        <w:jc w:val="both"/>
        <w:rPr>
          <w:b/>
          <w:color w:val="000000"/>
        </w:rPr>
      </w:pPr>
      <w:r w:rsidRPr="0089598D">
        <w:rPr>
          <w:b/>
          <w:color w:val="000000"/>
        </w:rPr>
        <w:t>Vertinimo tikslas, uždaviniai, apimtis, metodai</w:t>
      </w:r>
    </w:p>
    <w:p w14:paraId="7F86BD3B" w14:textId="77777777" w:rsidR="0089598D" w:rsidRPr="0089598D" w:rsidRDefault="0089598D" w:rsidP="0089598D">
      <w:pPr>
        <w:autoSpaceDE w:val="0"/>
        <w:autoSpaceDN w:val="0"/>
        <w:adjustRightInd w:val="0"/>
        <w:jc w:val="both"/>
        <w:rPr>
          <w:b/>
          <w:color w:val="000000"/>
        </w:rPr>
      </w:pPr>
      <w:r w:rsidRPr="0089598D">
        <w:rPr>
          <w:b/>
          <w:color w:val="000000"/>
        </w:rPr>
        <w:t>Tikslas</w:t>
      </w:r>
    </w:p>
    <w:p w14:paraId="6F1688E0" w14:textId="77777777" w:rsidR="0089598D" w:rsidRPr="0089598D" w:rsidRDefault="0089598D" w:rsidP="0089598D">
      <w:pPr>
        <w:autoSpaceDE w:val="0"/>
        <w:autoSpaceDN w:val="0"/>
        <w:adjustRightInd w:val="0"/>
        <w:jc w:val="both"/>
        <w:rPr>
          <w:rFonts w:eastAsia="STXinwei"/>
          <w:lang w:eastAsia="en-US"/>
        </w:rPr>
      </w:pPr>
      <w:r w:rsidRPr="0089598D">
        <w:rPr>
          <w:rFonts w:eastAsia="STXinwei"/>
          <w:lang w:eastAsia="en-US"/>
        </w:rPr>
        <w:t>Nustatyti ataskaitinio laikotarpio ES fondų investicijų paramos panaudojimo valstybės skaitmenizavimo sektoriuje poveikį, siekiant tinkamai atsiskaityti už 2014–2020 m. lėšų panaudojimą ir patobulinti 2021–2027 m. ES fondų investicijų panaudojimą šiame sektoriuje</w:t>
      </w:r>
    </w:p>
    <w:p w14:paraId="4E8DF0BC" w14:textId="77777777" w:rsidR="0089598D" w:rsidRPr="0089598D" w:rsidRDefault="0089598D" w:rsidP="0089598D">
      <w:pPr>
        <w:autoSpaceDE w:val="0"/>
        <w:autoSpaceDN w:val="0"/>
        <w:adjustRightInd w:val="0"/>
        <w:jc w:val="both"/>
        <w:rPr>
          <w:b/>
          <w:color w:val="000000"/>
        </w:rPr>
      </w:pPr>
      <w:r w:rsidRPr="0089598D">
        <w:rPr>
          <w:b/>
          <w:color w:val="000000"/>
        </w:rPr>
        <w:t>Uždaviniai</w:t>
      </w:r>
    </w:p>
    <w:p w14:paraId="365943C6" w14:textId="77777777" w:rsidR="0089598D" w:rsidRPr="0089598D" w:rsidRDefault="0089598D" w:rsidP="0089598D">
      <w:pPr>
        <w:tabs>
          <w:tab w:val="left" w:pos="9600"/>
        </w:tabs>
        <w:contextualSpacing/>
        <w:jc w:val="both"/>
        <w:rPr>
          <w:bCs/>
          <w:noProof/>
        </w:rPr>
      </w:pPr>
      <w:r w:rsidRPr="0089598D">
        <w:rPr>
          <w:bCs/>
          <w:noProof/>
        </w:rPr>
        <w:t>1) Įvertinti Veiksmų programos 2 prioriteto „Informacinės visuomenės skatinimas“ poveikį informacinės visuomenės plėtrai 2014–2020 m. nustatant, kiek ir kaip šio prioriteto investicijos prisidėjo prie Veiksmų programos atitinkamų strateginių konteksto rodiklių.</w:t>
      </w:r>
    </w:p>
    <w:p w14:paraId="1989D6DA" w14:textId="77777777" w:rsidR="0089598D" w:rsidRPr="0089598D" w:rsidRDefault="0089598D" w:rsidP="0089598D">
      <w:pPr>
        <w:tabs>
          <w:tab w:val="left" w:pos="9600"/>
        </w:tabs>
        <w:contextualSpacing/>
        <w:jc w:val="both"/>
        <w:rPr>
          <w:bCs/>
          <w:noProof/>
        </w:rPr>
      </w:pPr>
      <w:r w:rsidRPr="0089598D">
        <w:rPr>
          <w:bCs/>
          <w:noProof/>
        </w:rPr>
        <w:t>2) Įvertinti Veiksmų programos 2 prioriteto „Informacinės visuomenės skatinimas“ priemonių projektuose sukurtų produktų naudą, jų tvarumą.</w:t>
      </w:r>
    </w:p>
    <w:p w14:paraId="3FFE558D" w14:textId="77777777" w:rsidR="003E19A7" w:rsidRPr="0089598D" w:rsidRDefault="003E19A7" w:rsidP="003E19A7">
      <w:pPr>
        <w:contextualSpacing/>
        <w:jc w:val="both"/>
        <w:rPr>
          <w:rFonts w:eastAsia="MS Mincho"/>
          <w:b/>
        </w:rPr>
      </w:pPr>
      <w:r w:rsidRPr="0089598D">
        <w:rPr>
          <w:rFonts w:eastAsia="MS Mincho"/>
          <w:b/>
        </w:rPr>
        <w:t>Apimtis</w:t>
      </w:r>
    </w:p>
    <w:p w14:paraId="1B24CF40" w14:textId="77777777" w:rsidR="003E19A7" w:rsidRPr="0089598D" w:rsidRDefault="003E19A7" w:rsidP="003E19A7">
      <w:pPr>
        <w:contextualSpacing/>
        <w:jc w:val="both"/>
        <w:rPr>
          <w:lang w:eastAsia="en-US"/>
        </w:rPr>
      </w:pPr>
      <w:r w:rsidRPr="0089598D">
        <w:rPr>
          <w:lang w:eastAsia="en-US"/>
        </w:rPr>
        <w:t xml:space="preserve">Veiksmų programos 2 prioriteto „Informacinės visuomenės skatinimas“ devynios priemonės, kurios buvo vykdomos 2014–2020 m. ES investicijų finansavimo laikotarpiu. </w:t>
      </w:r>
    </w:p>
    <w:p w14:paraId="58042D74" w14:textId="60E7AE26" w:rsidR="0089598D" w:rsidRPr="0089598D" w:rsidRDefault="0089598D" w:rsidP="0089598D">
      <w:pPr>
        <w:tabs>
          <w:tab w:val="left" w:pos="9600"/>
        </w:tabs>
        <w:contextualSpacing/>
        <w:jc w:val="both"/>
        <w:rPr>
          <w:b/>
          <w:noProof/>
        </w:rPr>
      </w:pPr>
      <w:r w:rsidRPr="0089598D">
        <w:rPr>
          <w:b/>
          <w:noProof/>
        </w:rPr>
        <w:t xml:space="preserve">Naudoti metodai </w:t>
      </w:r>
    </w:p>
    <w:p w14:paraId="3350A730" w14:textId="77777777" w:rsidR="0089598D" w:rsidRPr="0089598D" w:rsidRDefault="0089598D" w:rsidP="0089598D">
      <w:pPr>
        <w:contextualSpacing/>
        <w:jc w:val="both"/>
        <w:rPr>
          <w:color w:val="000000"/>
          <w:lang w:eastAsia="en-US"/>
        </w:rPr>
      </w:pPr>
      <w:r w:rsidRPr="0089598D">
        <w:rPr>
          <w:color w:val="000000"/>
          <w:lang w:eastAsia="en-US"/>
        </w:rPr>
        <w:t>Atliekant vertinimą taikyti kokybiniai ir kiekybiniai duomenų rinkimo ir analizės metodai, kurie užtikrino reikalingų duomenų prieinamumą, patikimumą ir kokybę, vertinimo išvadų ir rekomendacijų pagrįstumą, nuoseklumą ir praktinį vertinimo pritaikomumą. vertinimo metodai parinkti atsižvelgiant į Vertinimo uždavinius ir klausimus. Naudoti skirtingi analizės būdai, pritaikyti pagal konkrečių klausimų ir analizės objektų specifiką, o gautų rezultatų patikimumas užtikrintas pasitelkiant duomenų trianguliaciją. Pagrindiniai metodai: pirminių ir antrinių šaltinių analizė, lyginamoji ir priežastinio ryšio analizė, ekspertinis vertinimas, intervencijų logikos rekonstrukcija;, interviu, atvejo studijos.</w:t>
      </w:r>
    </w:p>
    <w:p w14:paraId="0C67F522" w14:textId="77777777" w:rsidR="00D35893" w:rsidRDefault="00D35893" w:rsidP="0089598D">
      <w:pPr>
        <w:contextualSpacing/>
        <w:jc w:val="both"/>
        <w:rPr>
          <w:b/>
        </w:rPr>
      </w:pPr>
    </w:p>
    <w:p w14:paraId="7B755DC5" w14:textId="63353CBC" w:rsidR="0089598D" w:rsidRPr="0089598D" w:rsidRDefault="0089598D" w:rsidP="0089598D">
      <w:pPr>
        <w:contextualSpacing/>
        <w:jc w:val="both"/>
        <w:rPr>
          <w:b/>
        </w:rPr>
      </w:pPr>
      <w:r w:rsidRPr="0089598D">
        <w:rPr>
          <w:b/>
        </w:rPr>
        <w:t>Pagrindiniai vertinimo rezultatai</w:t>
      </w:r>
    </w:p>
    <w:p w14:paraId="68738DB8" w14:textId="14908249" w:rsidR="00B97A89" w:rsidRPr="00E50297" w:rsidRDefault="0089598D" w:rsidP="0089598D">
      <w:pPr>
        <w:contextualSpacing/>
        <w:jc w:val="both"/>
        <w:rPr>
          <w:bCs/>
        </w:rPr>
      </w:pPr>
      <w:r w:rsidRPr="0089598D">
        <w:rPr>
          <w:bCs/>
        </w:rPr>
        <w:t>ES investicijų rezultatai ir poveikis</w:t>
      </w:r>
      <w:r w:rsidR="00B97A89" w:rsidRPr="00E50297">
        <w:rPr>
          <w:bCs/>
        </w:rPr>
        <w:t xml:space="preserve"> šiose srit</w:t>
      </w:r>
      <w:r w:rsidR="00F20EB8" w:rsidRPr="00E50297">
        <w:rPr>
          <w:bCs/>
        </w:rPr>
        <w:t>y</w:t>
      </w:r>
      <w:r w:rsidR="00B97A89" w:rsidRPr="00E50297">
        <w:rPr>
          <w:bCs/>
        </w:rPr>
        <w:t>se</w:t>
      </w:r>
      <w:r w:rsidRPr="00E50297">
        <w:rPr>
          <w:bCs/>
        </w:rPr>
        <w:t>:</w:t>
      </w:r>
    </w:p>
    <w:p w14:paraId="4309B7CA" w14:textId="02B30292" w:rsidR="0089598D" w:rsidRPr="0089598D" w:rsidRDefault="0089598D" w:rsidP="0089598D">
      <w:pPr>
        <w:contextualSpacing/>
        <w:jc w:val="both"/>
        <w:rPr>
          <w:bCs/>
        </w:rPr>
      </w:pPr>
      <w:r>
        <w:rPr>
          <w:b/>
        </w:rPr>
        <w:t xml:space="preserve">1) </w:t>
      </w:r>
      <w:r w:rsidRPr="0089598D">
        <w:rPr>
          <w:b/>
        </w:rPr>
        <w:t>Plačiajuostis internetas (PI)</w:t>
      </w:r>
      <w:r w:rsidR="00B97A89">
        <w:rPr>
          <w:b/>
        </w:rPr>
        <w:t>.</w:t>
      </w:r>
      <w:r w:rsidRPr="0089598D">
        <w:rPr>
          <w:b/>
        </w:rPr>
        <w:t xml:space="preserve"> </w:t>
      </w:r>
      <w:r w:rsidRPr="0089598D">
        <w:rPr>
          <w:bCs/>
        </w:rPr>
        <w:t>Numatoma, kad projektą užbaigus sparčiuoju (30 Mbps ir didesnės greitaveikos) interneto ryšiu bus aprėpiama 254 tūkst. namų ūkių.</w:t>
      </w:r>
      <w:r w:rsidRPr="0089598D">
        <w:rPr>
          <w:rFonts w:ascii="Calibri" w:eastAsia="Calibri" w:hAnsi="Calibri"/>
          <w:kern w:val="2"/>
          <w:sz w:val="22"/>
          <w:szCs w:val="22"/>
          <w:lang w:eastAsia="en-US"/>
          <w14:ligatures w14:val="standardContextual"/>
        </w:rPr>
        <w:t xml:space="preserve"> </w:t>
      </w:r>
      <w:r w:rsidRPr="0089598D">
        <w:rPr>
          <w:bCs/>
        </w:rPr>
        <w:t>Vis dėlto įgyvendinama intervencija neleis pasiekti VP rezultato rodiklio „Namų ūkių, esančių 30 Mbps ir spartesniu plačiajuosčio interneto ryšiu padengtoje šalies teritorijoje, dalis“ siektinos reikšmės (100 proc.), nes PI projekte įsipareigojama aprėpti tik pusę „baltosiose dėmėse“ esančių namų ūkių.</w:t>
      </w:r>
    </w:p>
    <w:p w14:paraId="66DCAA08" w14:textId="7BFEE495" w:rsidR="0089598D" w:rsidRPr="0089598D" w:rsidRDefault="00B97A89" w:rsidP="0089598D">
      <w:pPr>
        <w:contextualSpacing/>
        <w:jc w:val="both"/>
        <w:rPr>
          <w:bCs/>
        </w:rPr>
      </w:pPr>
      <w:r>
        <w:rPr>
          <w:b/>
        </w:rPr>
        <w:t xml:space="preserve">2) </w:t>
      </w:r>
      <w:r w:rsidR="0089598D" w:rsidRPr="0089598D">
        <w:rPr>
          <w:b/>
        </w:rPr>
        <w:t>Sauga</w:t>
      </w:r>
      <w:r w:rsidR="0089598D" w:rsidRPr="0089598D">
        <w:rPr>
          <w:bCs/>
        </w:rPr>
        <w:t>.</w:t>
      </w:r>
      <w:r>
        <w:rPr>
          <w:bCs/>
        </w:rPr>
        <w:t xml:space="preserve"> </w:t>
      </w:r>
      <w:r w:rsidR="0089598D" w:rsidRPr="0089598D">
        <w:rPr>
          <w:bCs/>
        </w:rPr>
        <w:t>ES investicijos taip pat prisidėjo prie augančio kibernetinio saugumo lygio Lietuvoje. Saugiojo tinklo modernizavimas ir Kibernetinių atakų prevencijos sistema prisidės prie Lietuvos gyventojų, verslo ir viešojo sektoriaus asmens duomenų ir kitos konfidencialios informacijos apsaugos. ES parama ir kitos nacionalinės iniciatyvos leido 2014–2020 m. laikotarpiu Lietuvai Jungtinių Tautų Tarptautinės telekomunikacijų sąjungos tarptautiniame kibernetinio saugumo indekse iš 47–50 vietos pakilti į 6 vietą.</w:t>
      </w:r>
    </w:p>
    <w:p w14:paraId="3A73D317" w14:textId="0123E9A6" w:rsidR="0089598D" w:rsidRPr="0089598D" w:rsidRDefault="00F20EB8" w:rsidP="0089598D">
      <w:pPr>
        <w:contextualSpacing/>
        <w:jc w:val="both"/>
        <w:rPr>
          <w:bCs/>
        </w:rPr>
      </w:pPr>
      <w:r>
        <w:rPr>
          <w:b/>
        </w:rPr>
        <w:t xml:space="preserve">3) </w:t>
      </w:r>
      <w:r w:rsidR="0089598D" w:rsidRPr="0089598D">
        <w:rPr>
          <w:b/>
        </w:rPr>
        <w:t xml:space="preserve">Interneto paklausa. </w:t>
      </w:r>
      <w:r w:rsidR="0089598D" w:rsidRPr="0089598D">
        <w:rPr>
          <w:bCs/>
        </w:rPr>
        <w:t>IRT paklausos ir naudojimo tarp gyventojų didinimui skirta 524 priemonė pasižymėjo dideliu rezultatyvumu – VP rezultato rodiklio „Gyventojų, kurie nuolat naudojasi internetu, dalis“ siektina reikšmė praktiškai pasiekta jau 2022 m.</w:t>
      </w:r>
      <w:r w:rsidR="0089598D" w:rsidRPr="0089598D">
        <w:rPr>
          <w:rFonts w:ascii="Calibri" w:eastAsia="Calibri" w:hAnsi="Calibri"/>
          <w:kern w:val="2"/>
          <w:sz w:val="22"/>
          <w:szCs w:val="22"/>
          <w:lang w:eastAsia="en-US"/>
          <w14:ligatures w14:val="standardContextual"/>
        </w:rPr>
        <w:t xml:space="preserve"> </w:t>
      </w:r>
      <w:r w:rsidR="0089598D" w:rsidRPr="0089598D">
        <w:rPr>
          <w:bCs/>
        </w:rPr>
        <w:t>Įgyvendintos projekto „Prisijungusi Lietuva“ veiklos, bendras viešųjų el. paslaugų prieinamumo ir paklausos augimas ir COVID-19 pandemijos metu išaugęs nuotolinio darbo poreikis prisidėjo prie to, kad rodiklio reikšmė analizuojamu laikotarpiu padidėjo beveik 22 procentiniais punktais (nuo 65 proc. 2013 m. iki 87 proc. 2022 m.). Nepaisant reikšmingo augimo Lietuva vis dar atsilieka nuo ES vidurkio (89 proc.). Sėkminga ES intervencija tiesiogiai prisideda prie skaitmeninės atskirties mažinimo Lietuvoje.</w:t>
      </w:r>
    </w:p>
    <w:p w14:paraId="0875FF90" w14:textId="688857A3" w:rsidR="0089598D" w:rsidRPr="0089598D" w:rsidRDefault="00F20EB8" w:rsidP="0089598D">
      <w:pPr>
        <w:contextualSpacing/>
        <w:jc w:val="both"/>
        <w:rPr>
          <w:bCs/>
        </w:rPr>
      </w:pPr>
      <w:r>
        <w:rPr>
          <w:bCs/>
        </w:rPr>
        <w:t xml:space="preserve">4) </w:t>
      </w:r>
      <w:r w:rsidRPr="00F20EB8">
        <w:rPr>
          <w:b/>
        </w:rPr>
        <w:t>Atviri duomenys</w:t>
      </w:r>
      <w:r>
        <w:rPr>
          <w:bCs/>
        </w:rPr>
        <w:t>.</w:t>
      </w:r>
      <w:r w:rsidRPr="00F20EB8">
        <w:rPr>
          <w:bCs/>
        </w:rPr>
        <w:t xml:space="preserve"> </w:t>
      </w:r>
      <w:r w:rsidR="0089598D" w:rsidRPr="0089598D">
        <w:rPr>
          <w:bCs/>
        </w:rPr>
        <w:t xml:space="preserve">ES investicijos į Lietuvos atvirų duomenų portalą suteikia galimybę Lietuvos viešojo valdymo institucijų ir įstaigų duomenų rinkinius panaudoti kuriant naujus sprendimus ir </w:t>
      </w:r>
      <w:r w:rsidR="0089598D" w:rsidRPr="0089598D">
        <w:rPr>
          <w:bCs/>
        </w:rPr>
        <w:lastRenderedPageBreak/>
        <w:t>didina komercinį jų panaudojimo potencialą.</w:t>
      </w:r>
      <w:r w:rsidR="0089598D" w:rsidRPr="0089598D">
        <w:rPr>
          <w:rFonts w:ascii="Calibri" w:eastAsia="Calibri" w:hAnsi="Calibri"/>
          <w:bCs/>
          <w:kern w:val="2"/>
          <w:sz w:val="22"/>
          <w:szCs w:val="22"/>
          <w:lang w:eastAsia="en-US"/>
          <w14:ligatures w14:val="standardContextual"/>
        </w:rPr>
        <w:t xml:space="preserve"> </w:t>
      </w:r>
      <w:r w:rsidR="0089598D" w:rsidRPr="0089598D">
        <w:rPr>
          <w:bCs/>
        </w:rPr>
        <w:t>Vien per 2021 m. IVPK, bendradarbiaudamas su kitomis viešojo sektoriaus įstaigomis, padvigubino atvertų duomenų rinkinių skaičių ir penkiais kartais padidino išorinių portalo vartotojų skaičių,</w:t>
      </w:r>
    </w:p>
    <w:p w14:paraId="10DFBD09" w14:textId="72FE5DC1" w:rsidR="0089598D" w:rsidRPr="0089598D" w:rsidRDefault="00F20EB8" w:rsidP="0089598D">
      <w:pPr>
        <w:contextualSpacing/>
        <w:jc w:val="both"/>
        <w:rPr>
          <w:bCs/>
        </w:rPr>
      </w:pPr>
      <w:r>
        <w:rPr>
          <w:b/>
        </w:rPr>
        <w:t xml:space="preserve">5) </w:t>
      </w:r>
      <w:r w:rsidR="0089598D" w:rsidRPr="0089598D">
        <w:rPr>
          <w:b/>
        </w:rPr>
        <w:t xml:space="preserve">Viešosios elektroninės paslaugos. </w:t>
      </w:r>
      <w:r w:rsidR="0089598D" w:rsidRPr="0089598D">
        <w:rPr>
          <w:bCs/>
        </w:rPr>
        <w:t>Šioje srityje numatytos investicijos prisidėjo prie išskirtinai didelio rezultatyvumo – jau 2022 m. rodiklio „Gyventojų, kurie naudojasi elektroniniu būdu teikiamomis viešosiomis ir administracinėmis paslaugomis, dalis“ siektina vertė viršyta daugiau nei 10 proc.</w:t>
      </w:r>
      <w:r w:rsidR="00086D5F">
        <w:rPr>
          <w:bCs/>
        </w:rPr>
        <w:t xml:space="preserve"> </w:t>
      </w:r>
      <w:r w:rsidR="0089598D" w:rsidRPr="0089598D">
        <w:rPr>
          <w:bCs/>
        </w:rPr>
        <w:t>Vertinimo laikotarpiu pastebimas reikšmingas bendras valstybės ir savivaldybių institucijų ir įstaigų teikiamų el. paslaugų brandos lygio augimas. 2014–2022 m. laikotarpiu ketvirto ir penkto brandos lygių paslaugas teikiančių įstaigų dalis išaugo atitinkamai nuo 27 ir 15 proc. iki 47 ir 22 proc. Šis šuolis rodo, kad viešasis sektorius tikslingai siekia aukštesnio viešųjų ir administracinių paslaugų skaitmenizavimo lygio.Kitokia tendencija matoma žvelgiant į gyventojų naudojimąsi su lietuvių kalba ir kultūros paveldu susijusiomis paslaugomis: šių paslaugų naudojimo lygis nėra stabilus, siektinos 2020 m. strateginio konteksto (Informacinės visuomenės programos) rodiklio reikšmės nepasiektos. Ši neigiama tendencija neturėtų būti vertinama kaip įgyvendinamos politikos nesėkmė, nes paslaugų naudojimo lygis labiau siejamas ne su paslaugų teikimo forma, o su pačiu turiniu ir jo aktualumu bei įprasminimu visuomenei.</w:t>
      </w:r>
    </w:p>
    <w:p w14:paraId="7263C866" w14:textId="77777777" w:rsidR="0089598D" w:rsidRPr="0089598D" w:rsidRDefault="0089598D" w:rsidP="0089598D">
      <w:pPr>
        <w:contextualSpacing/>
        <w:jc w:val="both"/>
        <w:rPr>
          <w:bCs/>
        </w:rPr>
      </w:pPr>
      <w:r w:rsidRPr="0089598D">
        <w:rPr>
          <w:b/>
        </w:rPr>
        <w:t>Didžiausią poveikį turėjo projektai, apimantys didžiausias tikslines grupes</w:t>
      </w:r>
      <w:r w:rsidRPr="0089598D">
        <w:rPr>
          <w:bCs/>
        </w:rPr>
        <w:t>. Į šį sąrašą patenka IVPK vykdomi projektai „Prisijungusi Lietuva“ (projekto veiklose dalyvavo daugiau nei 100 tūkst. asmenų), Valstybės debesijos paslaugų infrastruktūros projektas (perkeliama 140-ies viešojo sektoriaus institucijų IRT infrastruktūra), SAM vykdoma Elektroninės sveikatos paslaugų ir bendradarbiavimo infrastruktūros IS plėtra (kuriamos ir modernizuojamos paslaugos aktualios daugiau nei 2 mln. Lietuvos gyventojų) ir VMI išmaniosios mokesčių administravimo sistemos plėtra (daugiau nei 100 tūkst. nuolatinių vartotojų).</w:t>
      </w:r>
    </w:p>
    <w:p w14:paraId="790BF1DA" w14:textId="4D15DD83" w:rsidR="0089598D" w:rsidRDefault="00F20EB8" w:rsidP="0089598D">
      <w:pPr>
        <w:contextualSpacing/>
        <w:jc w:val="both"/>
        <w:rPr>
          <w:bCs/>
        </w:rPr>
      </w:pPr>
      <w:r w:rsidRPr="00F20EB8">
        <w:rPr>
          <w:b/>
        </w:rPr>
        <w:t>ES investicijų sukurta socialinė ir ekonominė nauda</w:t>
      </w:r>
      <w:r>
        <w:rPr>
          <w:b/>
        </w:rPr>
        <w:t>.</w:t>
      </w:r>
      <w:r w:rsidRPr="00F20EB8">
        <w:t xml:space="preserve"> </w:t>
      </w:r>
      <w:r w:rsidRPr="00F20EB8">
        <w:rPr>
          <w:bCs/>
        </w:rPr>
        <w:t>2014‒2020 m. ES investicijomis sukurtų projektų ilgalaikiai padariniai yra socialiniai (pagerinta nuotolinė prieiga prie viešųjų ir administracinių paslaugų ar kito suskaitmeninto turinio) ir ekonominiai (sutaupoma laiko ir administracinių išlaidų teikiant ar gaunant viešąsias paslaugas, efektyvinant informacines sistemas). Informacinės visuomenės srityje įgyvendinamų projektų sukuriama socialinė ir ekonominė nauda, išreikšta pinigine išraiška, siekia 1,89 mlrd. Eur. Didžiausia dalis sukuriamos socialinės ir ekonominės naudos (87 proc. visos sukuriamos naudos) susidaro dėl laiko ir piniginių sutaupymų, atsiradusių naudojantis viešosiomis paslaugomis el. būdu vietoj kelionių į fizinę buveinę.</w:t>
      </w:r>
    </w:p>
    <w:p w14:paraId="54742DA9" w14:textId="77777777" w:rsidR="00F20EB8" w:rsidRPr="0089598D" w:rsidRDefault="00F20EB8" w:rsidP="0089598D">
      <w:pPr>
        <w:contextualSpacing/>
        <w:jc w:val="both"/>
        <w:rPr>
          <w:bCs/>
        </w:rPr>
      </w:pPr>
    </w:p>
    <w:p w14:paraId="5A4A41B0" w14:textId="48A48992" w:rsidR="0089598D" w:rsidRPr="0089598D" w:rsidRDefault="0089598D" w:rsidP="00FC5013">
      <w:pPr>
        <w:contextualSpacing/>
        <w:jc w:val="both"/>
        <w:rPr>
          <w:b/>
        </w:rPr>
      </w:pPr>
      <w:r w:rsidRPr="0089598D">
        <w:rPr>
          <w:b/>
        </w:rPr>
        <w:t>Vertinimo rekomendacijos</w:t>
      </w:r>
      <w:r w:rsidR="00086D5F">
        <w:rPr>
          <w:b/>
        </w:rPr>
        <w:t xml:space="preserve"> ir nauda</w:t>
      </w:r>
    </w:p>
    <w:p w14:paraId="6C58D75E" w14:textId="571E9386" w:rsidR="00F20EB8" w:rsidRPr="00F20EB8" w:rsidRDefault="00F20EB8" w:rsidP="00FC5013">
      <w:pPr>
        <w:jc w:val="both"/>
        <w:rPr>
          <w:rFonts w:eastAsia="STXinwei"/>
          <w:lang w:eastAsia="en-US"/>
        </w:rPr>
      </w:pPr>
      <w:r w:rsidRPr="00F20EB8">
        <w:rPr>
          <w:rFonts w:eastAsia="STXinwei"/>
          <w:lang w:eastAsia="en-US"/>
        </w:rPr>
        <w:t xml:space="preserve">Atsižvelgdami į </w:t>
      </w:r>
      <w:r w:rsidR="00E50297">
        <w:rPr>
          <w:rFonts w:eastAsia="STXinwei"/>
          <w:lang w:eastAsia="en-US"/>
        </w:rPr>
        <w:t>v</w:t>
      </w:r>
      <w:r w:rsidRPr="00F20EB8">
        <w:rPr>
          <w:rFonts w:eastAsia="STXinwei"/>
          <w:lang w:eastAsia="en-US"/>
        </w:rPr>
        <w:t xml:space="preserve">ertinimo metu identifikuotas problemas ir iššūkius, </w:t>
      </w:r>
      <w:r w:rsidR="00E50297">
        <w:rPr>
          <w:rFonts w:eastAsia="STXinwei"/>
          <w:lang w:eastAsia="en-US"/>
        </w:rPr>
        <w:t>v</w:t>
      </w:r>
      <w:r w:rsidRPr="00F20EB8">
        <w:rPr>
          <w:rFonts w:eastAsia="STXinwei"/>
          <w:lang w:eastAsia="en-US"/>
        </w:rPr>
        <w:t>ertintojai parengė ir su atsakingomis institucijoms suderino strateginius siūlymus ir rekomendacijas, kurios leis patobulinti ES fondų investicijų administravimą, panaudojimą ir vertinimą 2021–2027 m. laikotarpiu</w:t>
      </w:r>
      <w:r w:rsidR="00086D5F">
        <w:rPr>
          <w:rFonts w:eastAsia="STXinwei"/>
          <w:lang w:eastAsia="en-US"/>
        </w:rPr>
        <w:t>:</w:t>
      </w:r>
    </w:p>
    <w:p w14:paraId="274B1062" w14:textId="1BCD8A50" w:rsidR="00F20EB8" w:rsidRPr="00F20EB8" w:rsidRDefault="00086D5F" w:rsidP="00FC5013">
      <w:pPr>
        <w:tabs>
          <w:tab w:val="left" w:pos="720"/>
        </w:tabs>
        <w:contextualSpacing/>
        <w:jc w:val="both"/>
        <w:rPr>
          <w:rFonts w:eastAsia="STXinwei"/>
          <w:lang w:eastAsia="en-US"/>
        </w:rPr>
      </w:pPr>
      <w:r>
        <w:rPr>
          <w:rFonts w:eastAsia="STXinwei"/>
          <w:lang w:eastAsia="en-US"/>
        </w:rPr>
        <w:t xml:space="preserve">1) </w:t>
      </w:r>
      <w:r w:rsidR="00F20EB8" w:rsidRPr="00F20EB8">
        <w:rPr>
          <w:rFonts w:eastAsia="STXinwei"/>
          <w:lang w:eastAsia="en-US"/>
        </w:rPr>
        <w:t>Viešajame sektoriuje trūksta bendro suinteresuotumo rengiant viešojo administravimo gerinimo projektus, tad siūloma skatinti gilesnį politinį dialogą dėl viešųjų institucijų teikiamų el. paslaugų brandos lygio kėlimo ir jų tarpusavio sąveikumo gerinimo.</w:t>
      </w:r>
    </w:p>
    <w:p w14:paraId="04F0B6F4" w14:textId="77777777" w:rsidR="00086D5F" w:rsidRDefault="00086D5F" w:rsidP="00086D5F">
      <w:pPr>
        <w:tabs>
          <w:tab w:val="left" w:pos="720"/>
        </w:tabs>
        <w:spacing w:before="120" w:after="60"/>
        <w:contextualSpacing/>
        <w:jc w:val="both"/>
        <w:rPr>
          <w:rFonts w:eastAsia="STXinwei"/>
          <w:lang w:eastAsia="en-US"/>
        </w:rPr>
      </w:pPr>
      <w:r>
        <w:rPr>
          <w:rFonts w:eastAsia="STXinwei"/>
          <w:lang w:eastAsia="en-US"/>
        </w:rPr>
        <w:t xml:space="preserve">2) </w:t>
      </w:r>
      <w:r w:rsidR="00F20EB8" w:rsidRPr="00F20EB8">
        <w:rPr>
          <w:rFonts w:eastAsia="STXinwei"/>
          <w:lang w:eastAsia="en-US"/>
        </w:rPr>
        <w:t>Šiuo metu nėra kokybiškos, standartizuotos el. paslaugų naudojimo stebėsenos mechanizmo, todėl siūloma</w:t>
      </w:r>
      <w:r>
        <w:rPr>
          <w:rFonts w:eastAsia="STXinwei"/>
          <w:lang w:eastAsia="en-US"/>
        </w:rPr>
        <w:t>:</w:t>
      </w:r>
    </w:p>
    <w:p w14:paraId="7437A377" w14:textId="77066650" w:rsidR="00086D5F" w:rsidRPr="00086D5F" w:rsidRDefault="00F20EB8" w:rsidP="00984DE1">
      <w:pPr>
        <w:pStyle w:val="Sraopastraipa"/>
        <w:numPr>
          <w:ilvl w:val="0"/>
          <w:numId w:val="11"/>
        </w:numPr>
        <w:tabs>
          <w:tab w:val="left" w:pos="720"/>
        </w:tabs>
        <w:spacing w:before="120" w:after="60"/>
        <w:jc w:val="both"/>
        <w:rPr>
          <w:rFonts w:eastAsia="STXinwei"/>
          <w:lang w:eastAsia="en-US"/>
        </w:rPr>
      </w:pPr>
      <w:r w:rsidRPr="00086D5F">
        <w:rPr>
          <w:rFonts w:eastAsia="STXinwei"/>
          <w:lang w:eastAsia="en-US"/>
        </w:rPr>
        <w:t>įtraukti į projektų finansavimo sutartis tikėtinos projektų naudos paslaugos teikėjui rodiklius</w:t>
      </w:r>
      <w:r w:rsidR="00086D5F" w:rsidRPr="00086D5F">
        <w:rPr>
          <w:rFonts w:eastAsia="STXinwei"/>
          <w:lang w:eastAsia="en-US"/>
        </w:rPr>
        <w:t>;</w:t>
      </w:r>
      <w:r w:rsidRPr="00086D5F">
        <w:rPr>
          <w:rFonts w:eastAsia="STXinwei"/>
          <w:lang w:eastAsia="en-US"/>
        </w:rPr>
        <w:t xml:space="preserve"> </w:t>
      </w:r>
    </w:p>
    <w:p w14:paraId="2B74E134" w14:textId="0831A946" w:rsidR="00086D5F" w:rsidRPr="00086D5F" w:rsidRDefault="00F20EB8" w:rsidP="00984DE1">
      <w:pPr>
        <w:pStyle w:val="Sraopastraipa"/>
        <w:numPr>
          <w:ilvl w:val="0"/>
          <w:numId w:val="11"/>
        </w:numPr>
        <w:tabs>
          <w:tab w:val="left" w:pos="720"/>
        </w:tabs>
        <w:spacing w:before="120" w:after="60"/>
        <w:jc w:val="both"/>
        <w:rPr>
          <w:rFonts w:eastAsia="STXinwei"/>
          <w:lang w:eastAsia="en-US"/>
        </w:rPr>
      </w:pPr>
      <w:r w:rsidRPr="00086D5F">
        <w:rPr>
          <w:rFonts w:eastAsia="STXinwei"/>
          <w:lang w:eastAsia="en-US"/>
        </w:rPr>
        <w:t>taikyti prievolę atlikti viešųjų ir administracinių el. paslaugų stebėseną ir teikti duomenis Viešųjų ir administracinių paslaugų stebėsenos ir analizės informacinei sistemai PASIS</w:t>
      </w:r>
      <w:r w:rsidR="00086D5F" w:rsidRPr="00086D5F">
        <w:rPr>
          <w:rFonts w:eastAsia="STXinwei"/>
          <w:lang w:eastAsia="en-US"/>
        </w:rPr>
        <w:t>;</w:t>
      </w:r>
      <w:r w:rsidRPr="00086D5F">
        <w:rPr>
          <w:rFonts w:eastAsia="STXinwei"/>
          <w:lang w:eastAsia="en-US"/>
        </w:rPr>
        <w:t xml:space="preserve"> </w:t>
      </w:r>
    </w:p>
    <w:p w14:paraId="05C05459" w14:textId="1586FF8C" w:rsidR="00F20EB8" w:rsidRPr="00086D5F" w:rsidRDefault="00F20EB8" w:rsidP="00984DE1">
      <w:pPr>
        <w:pStyle w:val="Sraopastraipa"/>
        <w:numPr>
          <w:ilvl w:val="0"/>
          <w:numId w:val="11"/>
        </w:numPr>
        <w:tabs>
          <w:tab w:val="left" w:pos="720"/>
        </w:tabs>
        <w:spacing w:before="120" w:after="60"/>
        <w:jc w:val="both"/>
        <w:rPr>
          <w:rFonts w:eastAsia="STXinwei"/>
          <w:lang w:eastAsia="en-US"/>
        </w:rPr>
      </w:pPr>
      <w:r w:rsidRPr="00086D5F">
        <w:rPr>
          <w:rFonts w:eastAsia="STXinwei"/>
          <w:lang w:eastAsia="en-US"/>
        </w:rPr>
        <w:t>įgalinti Atvirų duomenų ir skaitmeninės transformacijos kompetencijų centrą ir jam pavesti parengti viešųjų ir administracinių el. paslaugų stebėsenos metodiką.</w:t>
      </w:r>
    </w:p>
    <w:p w14:paraId="3E709E84" w14:textId="399B4921" w:rsidR="00F20EB8" w:rsidRPr="00F20EB8" w:rsidRDefault="00086D5F" w:rsidP="00086D5F">
      <w:pPr>
        <w:tabs>
          <w:tab w:val="left" w:pos="720"/>
        </w:tabs>
        <w:spacing w:before="120" w:after="60"/>
        <w:contextualSpacing/>
        <w:jc w:val="both"/>
        <w:rPr>
          <w:rFonts w:eastAsia="STXinwei"/>
          <w:lang w:eastAsia="en-US"/>
        </w:rPr>
      </w:pPr>
      <w:r>
        <w:rPr>
          <w:rFonts w:eastAsia="STXinwei"/>
          <w:lang w:eastAsia="en-US"/>
        </w:rPr>
        <w:t xml:space="preserve">3) </w:t>
      </w:r>
      <w:r w:rsidR="00F20EB8" w:rsidRPr="00F20EB8">
        <w:rPr>
          <w:rFonts w:eastAsia="STXinwei"/>
          <w:lang w:eastAsia="en-US"/>
        </w:rPr>
        <w:t>Kadangi projektai įgyvendinami lėtai ir (arba) ilgai, rengiant Vertinimą nebuvo galima tinkamai įvertinti VP rodiklių rezultatyvumo, todėl rekomenduojama per kitą finansavimo laikotarpį atlikti du atskirus poveikio vertinimus: vieną – orientuotą į investicijų ir rodiklių tinkamumą ir kito finansavimo laikotarpio prioritetų nustatymą, kitą – orientuotą į sukurtų produktų poveikio analizę.</w:t>
      </w:r>
    </w:p>
    <w:p w14:paraId="017E1309" w14:textId="335840DC" w:rsidR="00F20EB8" w:rsidRPr="00F20EB8" w:rsidRDefault="00272EAF" w:rsidP="00086D5F">
      <w:pPr>
        <w:tabs>
          <w:tab w:val="left" w:pos="720"/>
        </w:tabs>
        <w:spacing w:before="120" w:after="60"/>
        <w:contextualSpacing/>
        <w:jc w:val="both"/>
        <w:rPr>
          <w:rFonts w:eastAsia="STXinwei"/>
          <w:lang w:eastAsia="en-US"/>
        </w:rPr>
      </w:pPr>
      <w:r>
        <w:rPr>
          <w:rFonts w:eastAsia="STXinwei"/>
          <w:lang w:eastAsia="en-US"/>
        </w:rPr>
        <w:lastRenderedPageBreak/>
        <w:t xml:space="preserve">4) </w:t>
      </w:r>
      <w:r w:rsidR="00F20EB8" w:rsidRPr="00F20EB8">
        <w:rPr>
          <w:rFonts w:eastAsia="STXinwei"/>
          <w:lang w:eastAsia="en-US"/>
        </w:rPr>
        <w:t>Siekiant išvengti rodiklių stebėsenos nepakankamo tęstinumo rizikos, rekomenduojama 2021–2027 m. Investicijų programos stebėsenos rodiklių duomenų rinkimo iššūkius spręsti darbo grupių formatu.</w:t>
      </w:r>
    </w:p>
    <w:p w14:paraId="5CACF505" w14:textId="1E5BBAA0" w:rsidR="00F20EB8" w:rsidRPr="00F20EB8" w:rsidRDefault="00272EAF" w:rsidP="00086D5F">
      <w:pPr>
        <w:tabs>
          <w:tab w:val="left" w:pos="720"/>
        </w:tabs>
        <w:spacing w:before="120" w:after="60"/>
        <w:contextualSpacing/>
        <w:jc w:val="both"/>
        <w:rPr>
          <w:rFonts w:eastAsia="STXinwei"/>
          <w:lang w:eastAsia="en-US"/>
        </w:rPr>
      </w:pPr>
      <w:r>
        <w:rPr>
          <w:rFonts w:eastAsia="STXinwei"/>
          <w:lang w:eastAsia="en-US"/>
        </w:rPr>
        <w:t xml:space="preserve">5) </w:t>
      </w:r>
      <w:r w:rsidR="00F20EB8" w:rsidRPr="00F20EB8">
        <w:rPr>
          <w:rFonts w:eastAsia="STXinwei"/>
          <w:lang w:eastAsia="en-US"/>
        </w:rPr>
        <w:t>Siekiant užtikrinti aukštą projektų kokybę ir tinkamą projektų vykdytojų pasirengimą, rekomenduojama plėsti projektų vykdymo ir administravimo metodinės medžiagos rengimą.</w:t>
      </w:r>
    </w:p>
    <w:p w14:paraId="724095DC" w14:textId="721A3CBA" w:rsidR="00F20EB8" w:rsidRPr="00F20EB8" w:rsidRDefault="00272EAF" w:rsidP="00086D5F">
      <w:pPr>
        <w:tabs>
          <w:tab w:val="left" w:pos="720"/>
        </w:tabs>
        <w:spacing w:before="120" w:after="60"/>
        <w:contextualSpacing/>
        <w:jc w:val="both"/>
        <w:rPr>
          <w:rFonts w:eastAsia="STXinwei"/>
          <w:lang w:eastAsia="en-US"/>
        </w:rPr>
      </w:pPr>
      <w:r>
        <w:rPr>
          <w:rFonts w:eastAsia="STXinwei"/>
          <w:lang w:eastAsia="en-US"/>
        </w:rPr>
        <w:t xml:space="preserve">6) </w:t>
      </w:r>
      <w:r w:rsidR="00F20EB8" w:rsidRPr="00F20EB8">
        <w:rPr>
          <w:rFonts w:eastAsia="STXinwei"/>
          <w:lang w:eastAsia="en-US"/>
        </w:rPr>
        <w:t xml:space="preserve">Dalyje projektų susiduriama su sukurtų paslaugų ir produktų paklausos didinimo problema, todėl siūloma į projektų finansavimo paraiškas įtraukti reikalavimą 3 metus po projekto įgyvendinimo pabaigos vykdyti sukurtų ar modernizuotų paslaugų ar produktų viešinimo veiklas, prisidedančias prie paklausos didinimo. </w:t>
      </w:r>
    </w:p>
    <w:p w14:paraId="32C20472" w14:textId="2B4EFA0B" w:rsidR="00F20EB8" w:rsidRPr="00F20EB8" w:rsidRDefault="00272EAF" w:rsidP="00086D5F">
      <w:pPr>
        <w:tabs>
          <w:tab w:val="left" w:pos="720"/>
        </w:tabs>
        <w:spacing w:before="120" w:after="60"/>
        <w:contextualSpacing/>
        <w:jc w:val="both"/>
        <w:rPr>
          <w:rFonts w:eastAsia="STXinwei"/>
          <w:lang w:eastAsia="en-US"/>
        </w:rPr>
      </w:pPr>
      <w:r>
        <w:rPr>
          <w:rFonts w:eastAsia="STXinwei"/>
          <w:lang w:eastAsia="en-US"/>
        </w:rPr>
        <w:t xml:space="preserve">7) </w:t>
      </w:r>
      <w:r w:rsidR="00F20EB8" w:rsidRPr="00F20EB8">
        <w:rPr>
          <w:rFonts w:eastAsia="STXinwei"/>
          <w:lang w:eastAsia="en-US"/>
        </w:rPr>
        <w:t>Siekiant pagerinti ES intervencijų el. paslaugų srityje tikslingumą, siūloma įtraukti į PFSA papildomą sąlygą: kad pareiškėjai pateiktų duomenimis grįstą informaciją apie tikslinių grupių dydžius ir jų poreikius, planuojamą rezultato poveikio apimtį ir paslaugos aktualumą tikslinėms grupėms.</w:t>
      </w:r>
    </w:p>
    <w:p w14:paraId="58315611" w14:textId="7F0899E0" w:rsidR="00F20EB8" w:rsidRPr="00F20EB8" w:rsidRDefault="00272EAF" w:rsidP="00086D5F">
      <w:pPr>
        <w:tabs>
          <w:tab w:val="left" w:pos="720"/>
        </w:tabs>
        <w:spacing w:before="120" w:after="60"/>
        <w:contextualSpacing/>
        <w:jc w:val="both"/>
        <w:rPr>
          <w:rFonts w:eastAsia="STXinwei"/>
          <w:lang w:eastAsia="en-US"/>
        </w:rPr>
      </w:pPr>
      <w:r>
        <w:rPr>
          <w:rFonts w:eastAsia="STXinwei"/>
          <w:lang w:eastAsia="en-US"/>
        </w:rPr>
        <w:t xml:space="preserve">8) </w:t>
      </w:r>
      <w:r w:rsidR="00F20EB8" w:rsidRPr="00F20EB8">
        <w:rPr>
          <w:rFonts w:eastAsia="STXinwei"/>
          <w:lang w:eastAsia="en-US"/>
        </w:rPr>
        <w:t>Norint valdyti ilgalaikio finansavimo nepakankamumo rizikas, rekomenduojama tęsti CPVA taikomą praktiką į projektų finansavimo paraiškas įtraukti papildomą klausimą, kaip projekto vykdytojai planuoja užtikrinti ilgalaikį projektų finansavimą ir kokia suma tam numatoma.</w:t>
      </w:r>
    </w:p>
    <w:p w14:paraId="6A7E5710" w14:textId="48EE95A8" w:rsidR="0089598D" w:rsidRDefault="0089598D" w:rsidP="00086D5F">
      <w:pPr>
        <w:spacing w:after="200" w:line="276" w:lineRule="auto"/>
        <w:rPr>
          <w:b/>
        </w:rPr>
      </w:pPr>
      <w:r>
        <w:rPr>
          <w:b/>
        </w:rPr>
        <w:br w:type="page"/>
      </w:r>
    </w:p>
    <w:p w14:paraId="03F0209B" w14:textId="77777777" w:rsidR="0063150E" w:rsidRDefault="0063150E" w:rsidP="00565D69">
      <w:pPr>
        <w:spacing w:line="276" w:lineRule="auto"/>
        <w:rPr>
          <w:b/>
        </w:rPr>
      </w:pPr>
    </w:p>
    <w:p w14:paraId="250328E1" w14:textId="4C68505D" w:rsidR="007D2D7C" w:rsidRPr="00EB3F02" w:rsidRDefault="007D2D7C" w:rsidP="00EB3F02">
      <w:pPr>
        <w:spacing w:after="200"/>
        <w:jc w:val="both"/>
        <w:rPr>
          <w:b/>
        </w:rPr>
      </w:pPr>
    </w:p>
    <w:p w14:paraId="5748344A" w14:textId="6BCDABD2" w:rsidR="00A256BD" w:rsidRPr="00D70AB5" w:rsidRDefault="00272EAF" w:rsidP="00A256BD">
      <w:pPr>
        <w:spacing w:before="60" w:after="60"/>
        <w:ind w:left="284" w:right="176" w:hanging="284"/>
        <w:jc w:val="both"/>
        <w:rPr>
          <w:rFonts w:eastAsia="MS Gothic"/>
          <w:b/>
          <w:color w:val="000000"/>
          <w:lang w:eastAsia="en-GB"/>
        </w:rPr>
      </w:pPr>
      <w:r>
        <w:rPr>
          <w:rFonts w:eastAsia="MS Gothic"/>
          <w:b/>
          <w:color w:val="000000"/>
          <w:lang w:eastAsia="en-GB"/>
        </w:rPr>
        <w:t>4.</w:t>
      </w:r>
      <w:r w:rsidR="00D70AB5" w:rsidRPr="00D70AB5">
        <w:rPr>
          <w:rFonts w:eastAsia="MS Gothic"/>
          <w:b/>
          <w:color w:val="000000"/>
          <w:lang w:eastAsia="en-GB"/>
        </w:rPr>
        <w:t xml:space="preserve"> 2014–2020 m. ES fondų investicijų sveikatos srityje poveikio vertinimas</w:t>
      </w:r>
    </w:p>
    <w:p w14:paraId="1FF3209E" w14:textId="77777777" w:rsidR="00D70AB5" w:rsidRPr="00D70AB5" w:rsidRDefault="00D70AB5" w:rsidP="00D70AB5">
      <w:pPr>
        <w:jc w:val="both"/>
        <w:rPr>
          <w:color w:val="000000"/>
        </w:rPr>
      </w:pPr>
      <w:r w:rsidRPr="00D70AB5">
        <w:rPr>
          <w:color w:val="000000"/>
        </w:rPr>
        <w:t>Užsakovas: Lietuvos Respublikos sveikatos apsaugos ministerija (SAM)</w:t>
      </w:r>
    </w:p>
    <w:p w14:paraId="4D371734" w14:textId="285AEC00" w:rsidR="00D70AB5" w:rsidRPr="00D70AB5" w:rsidRDefault="00D70AB5" w:rsidP="00D70AB5">
      <w:pPr>
        <w:jc w:val="both"/>
        <w:rPr>
          <w:color w:val="000000"/>
        </w:rPr>
      </w:pPr>
      <w:r w:rsidRPr="00D70AB5">
        <w:rPr>
          <w:color w:val="000000"/>
        </w:rPr>
        <w:t>Vertinimą atliko: UAB „</w:t>
      </w:r>
      <w:r>
        <w:rPr>
          <w:color w:val="000000"/>
        </w:rPr>
        <w:t>BGI Consulting</w:t>
      </w:r>
      <w:r w:rsidRPr="00D70AB5">
        <w:rPr>
          <w:color w:val="000000"/>
        </w:rPr>
        <w:t>“, 20</w:t>
      </w:r>
      <w:r>
        <w:rPr>
          <w:color w:val="000000"/>
        </w:rPr>
        <w:t>23</w:t>
      </w:r>
      <w:r w:rsidRPr="00D70AB5">
        <w:rPr>
          <w:color w:val="000000"/>
        </w:rPr>
        <w:t xml:space="preserve"> m.</w:t>
      </w:r>
    </w:p>
    <w:p w14:paraId="5581FC82" w14:textId="77777777" w:rsidR="00D70AB5" w:rsidRPr="00D70AB5" w:rsidRDefault="00D70AB5" w:rsidP="00D70AB5">
      <w:pPr>
        <w:jc w:val="both"/>
        <w:rPr>
          <w:color w:val="000000"/>
        </w:rPr>
      </w:pPr>
    </w:p>
    <w:p w14:paraId="76C0E02A" w14:textId="77777777" w:rsidR="00D70AB5" w:rsidRPr="00D70AB5" w:rsidRDefault="00D70AB5" w:rsidP="00D70AB5">
      <w:pPr>
        <w:autoSpaceDE w:val="0"/>
        <w:autoSpaceDN w:val="0"/>
        <w:adjustRightInd w:val="0"/>
        <w:jc w:val="both"/>
        <w:rPr>
          <w:b/>
          <w:color w:val="000000"/>
        </w:rPr>
      </w:pPr>
      <w:r w:rsidRPr="00D70AB5">
        <w:rPr>
          <w:b/>
          <w:color w:val="000000"/>
        </w:rPr>
        <w:t>Vertinimo tikslas, uždaviniai, apimtis, metodai</w:t>
      </w:r>
    </w:p>
    <w:p w14:paraId="60649C66" w14:textId="77777777" w:rsidR="00D70AB5" w:rsidRPr="00D70AB5" w:rsidRDefault="00D70AB5" w:rsidP="00D70AB5">
      <w:pPr>
        <w:autoSpaceDE w:val="0"/>
        <w:autoSpaceDN w:val="0"/>
        <w:adjustRightInd w:val="0"/>
        <w:jc w:val="both"/>
        <w:rPr>
          <w:b/>
          <w:color w:val="000000"/>
        </w:rPr>
      </w:pPr>
      <w:r w:rsidRPr="00D70AB5">
        <w:rPr>
          <w:b/>
          <w:color w:val="000000"/>
        </w:rPr>
        <w:t>Tikslas</w:t>
      </w:r>
    </w:p>
    <w:p w14:paraId="7D3BE63D" w14:textId="17F0F3FF" w:rsidR="00D70AB5" w:rsidRPr="00D70AB5" w:rsidRDefault="00D70AB5" w:rsidP="00D70AB5">
      <w:pPr>
        <w:autoSpaceDE w:val="0"/>
        <w:autoSpaceDN w:val="0"/>
        <w:adjustRightInd w:val="0"/>
        <w:jc w:val="both"/>
        <w:rPr>
          <w:b/>
          <w:color w:val="000000"/>
        </w:rPr>
      </w:pPr>
      <w:r>
        <w:rPr>
          <w:rFonts w:eastAsia="MS Gothic"/>
          <w:color w:val="000000"/>
          <w:lang w:eastAsia="en-GB"/>
        </w:rPr>
        <w:t>N</w:t>
      </w:r>
      <w:r w:rsidRPr="00D70AB5">
        <w:rPr>
          <w:rFonts w:eastAsia="MS Gothic"/>
          <w:color w:val="000000"/>
          <w:lang w:eastAsia="en-GB"/>
        </w:rPr>
        <w:t>ustatyti pagal 2014–2020 m. ES fondų investicijų veiksmų programos</w:t>
      </w:r>
      <w:r>
        <w:rPr>
          <w:rFonts w:eastAsia="MS Gothic"/>
          <w:color w:val="000000"/>
          <w:lang w:eastAsia="en-GB"/>
        </w:rPr>
        <w:t xml:space="preserve"> (toliau – VP)</w:t>
      </w:r>
      <w:r w:rsidRPr="00D70AB5">
        <w:rPr>
          <w:rFonts w:eastAsia="MS Gothic"/>
          <w:color w:val="000000"/>
          <w:lang w:eastAsia="en-GB"/>
        </w:rPr>
        <w:t xml:space="preserve"> uždavinių</w:t>
      </w:r>
      <w:r w:rsidR="00F93BF5">
        <w:rPr>
          <w:rFonts w:eastAsia="MS Gothic"/>
          <w:color w:val="000000"/>
          <w:lang w:eastAsia="en-GB"/>
        </w:rPr>
        <w:t xml:space="preserve"> </w:t>
      </w:r>
      <w:r w:rsidRPr="00D70AB5">
        <w:rPr>
          <w:rFonts w:eastAsia="MS Gothic"/>
          <w:color w:val="000000"/>
          <w:lang w:eastAsia="en-GB"/>
        </w:rPr>
        <w:t xml:space="preserve">(8.1.3, 8.4.2, 13.1.1) priemones įgyvendinamų intervencijų poveikį, pateikiant įrodymus, kokius pokyčius lėmė investicijos ir kaip jos prisidėjo prie </w:t>
      </w:r>
      <w:r>
        <w:rPr>
          <w:rFonts w:eastAsia="MS Gothic"/>
          <w:color w:val="000000"/>
          <w:lang w:eastAsia="en-GB"/>
        </w:rPr>
        <w:t>VP</w:t>
      </w:r>
      <w:r w:rsidRPr="00D70AB5">
        <w:rPr>
          <w:rFonts w:eastAsia="MS Gothic"/>
          <w:color w:val="000000"/>
          <w:lang w:eastAsia="en-GB"/>
        </w:rPr>
        <w:t xml:space="preserve"> nustatytų tikslų įgyvendinimo.</w:t>
      </w:r>
      <w:r w:rsidRPr="00D70AB5">
        <w:rPr>
          <w:rFonts w:eastAsia="MS Gothic"/>
          <w:color w:val="000000"/>
          <w:lang w:eastAsia="en-GB"/>
        </w:rPr>
        <w:cr/>
      </w:r>
      <w:r w:rsidRPr="00D70AB5">
        <w:rPr>
          <w:b/>
          <w:color w:val="000000"/>
        </w:rPr>
        <w:t>Uždaviniai</w:t>
      </w:r>
    </w:p>
    <w:p w14:paraId="58292C7A" w14:textId="2202EEDB" w:rsidR="00D70AB5" w:rsidRPr="00D70AB5" w:rsidRDefault="00D70AB5" w:rsidP="00C5093E">
      <w:pPr>
        <w:autoSpaceDE w:val="0"/>
        <w:autoSpaceDN w:val="0"/>
        <w:adjustRightInd w:val="0"/>
        <w:jc w:val="both"/>
        <w:rPr>
          <w:rFonts w:eastAsia="SimSun"/>
          <w:bCs/>
          <w:lang w:eastAsia="ja-JP"/>
        </w:rPr>
      </w:pPr>
      <w:r w:rsidRPr="00D70AB5">
        <w:rPr>
          <w:rFonts w:eastAsia="SimSun"/>
          <w:bCs/>
          <w:lang w:eastAsia="ja-JP"/>
        </w:rPr>
        <w:t>1</w:t>
      </w:r>
      <w:r w:rsidR="00272EAF">
        <w:rPr>
          <w:rFonts w:eastAsia="SimSun"/>
          <w:bCs/>
          <w:lang w:eastAsia="ja-JP"/>
        </w:rPr>
        <w:t>)</w:t>
      </w:r>
      <w:r w:rsidRPr="00D70AB5">
        <w:rPr>
          <w:rFonts w:eastAsia="SimSun"/>
          <w:bCs/>
          <w:lang w:eastAsia="ja-JP"/>
        </w:rPr>
        <w:t xml:space="preserve"> Įvertinti </w:t>
      </w:r>
      <w:r>
        <w:rPr>
          <w:rFonts w:eastAsia="SimSun"/>
          <w:bCs/>
          <w:lang w:eastAsia="ja-JP"/>
        </w:rPr>
        <w:t>VP</w:t>
      </w:r>
      <w:r w:rsidRPr="00D70AB5">
        <w:rPr>
          <w:rFonts w:eastAsia="SimSun"/>
          <w:bCs/>
          <w:lang w:eastAsia="ja-JP"/>
        </w:rPr>
        <w:t xml:space="preserve"> 8 prioriteto „Socialinės įtraukties didinimas ir kova su skurdu“ 8.1.3 ir 8.4.2 uždavinių ir 13 prioriteto „Veiksmų, skirtų COVID-19 pandemijos sukeltai krizei įveikti, skatinimas ir pasirengimas aplinką tausojančiam</w:t>
      </w:r>
      <w:r>
        <w:rPr>
          <w:rFonts w:eastAsia="SimSun"/>
          <w:bCs/>
          <w:lang w:eastAsia="ja-JP"/>
        </w:rPr>
        <w:t xml:space="preserve"> </w:t>
      </w:r>
      <w:r w:rsidRPr="00D70AB5">
        <w:rPr>
          <w:rFonts w:eastAsia="SimSun"/>
          <w:bCs/>
          <w:lang w:eastAsia="ja-JP"/>
        </w:rPr>
        <w:t xml:space="preserve">skaitmeniniam ir tvariam ekonomikos atgaivinimui“ 13.1.1 uždavinio </w:t>
      </w:r>
      <w:bookmarkStart w:id="2" w:name="_Hlk144366172"/>
      <w:r w:rsidRPr="00D70AB5">
        <w:rPr>
          <w:rFonts w:eastAsia="SimSun"/>
          <w:bCs/>
          <w:lang w:eastAsia="ja-JP"/>
        </w:rPr>
        <w:t>rezultatyvumą,</w:t>
      </w:r>
      <w:r w:rsidR="00C5093E">
        <w:rPr>
          <w:rFonts w:eastAsia="SimSun"/>
          <w:bCs/>
          <w:lang w:eastAsia="ja-JP"/>
        </w:rPr>
        <w:t xml:space="preserve"> </w:t>
      </w:r>
      <w:r w:rsidRPr="00D70AB5">
        <w:rPr>
          <w:rFonts w:eastAsia="SimSun"/>
          <w:bCs/>
          <w:lang w:eastAsia="ja-JP"/>
        </w:rPr>
        <w:t>pakankamumą, tinkamumą, suderinamumą ir poveikį</w:t>
      </w:r>
      <w:r w:rsidR="00C5093E">
        <w:rPr>
          <w:rFonts w:eastAsia="SimSun"/>
          <w:bCs/>
          <w:lang w:eastAsia="ja-JP"/>
        </w:rPr>
        <w:t>.</w:t>
      </w:r>
    </w:p>
    <w:bookmarkEnd w:id="2"/>
    <w:p w14:paraId="1417495E" w14:textId="2C7DB843" w:rsidR="00D70AB5" w:rsidRPr="00D70AB5" w:rsidRDefault="00D70AB5" w:rsidP="00F93BF5">
      <w:pPr>
        <w:autoSpaceDE w:val="0"/>
        <w:autoSpaceDN w:val="0"/>
        <w:adjustRightInd w:val="0"/>
        <w:jc w:val="both"/>
        <w:rPr>
          <w:rFonts w:eastAsia="SimSun"/>
          <w:bCs/>
          <w:lang w:eastAsia="ja-JP"/>
        </w:rPr>
      </w:pPr>
      <w:r w:rsidRPr="00D70AB5">
        <w:rPr>
          <w:rFonts w:eastAsia="SimSun"/>
          <w:bCs/>
          <w:lang w:eastAsia="ja-JP"/>
        </w:rPr>
        <w:t>2</w:t>
      </w:r>
      <w:r w:rsidR="00272EAF">
        <w:rPr>
          <w:rFonts w:eastAsia="SimSun"/>
          <w:bCs/>
          <w:lang w:eastAsia="ja-JP"/>
        </w:rPr>
        <w:t>)</w:t>
      </w:r>
      <w:r w:rsidRPr="00D70AB5">
        <w:rPr>
          <w:rFonts w:eastAsia="SimSun"/>
          <w:bCs/>
          <w:lang w:eastAsia="ja-JP"/>
        </w:rPr>
        <w:t xml:space="preserve"> Įvertinti kitų 2014–2020 metų ES fondų investicijų veiksmų programos prioritetų lėšomis</w:t>
      </w:r>
      <w:r w:rsidR="00F93BF5">
        <w:rPr>
          <w:rFonts w:eastAsia="SimSun"/>
          <w:bCs/>
          <w:lang w:eastAsia="ja-JP"/>
        </w:rPr>
        <w:t xml:space="preserve"> </w:t>
      </w:r>
      <w:r w:rsidRPr="00D70AB5">
        <w:rPr>
          <w:rFonts w:eastAsia="SimSun"/>
          <w:bCs/>
          <w:lang w:eastAsia="ja-JP"/>
        </w:rPr>
        <w:t>įgyvendintų specifinių priemonių ir intervencijų suderinamumą, tikėtiną poveikį bei prisidėjimą prie sveikatos sričiai aktualių probleminių klausimų sprendimo</w:t>
      </w:r>
      <w:r w:rsidR="00C5093E">
        <w:rPr>
          <w:rFonts w:eastAsia="SimSun"/>
          <w:bCs/>
          <w:lang w:eastAsia="ja-JP"/>
        </w:rPr>
        <w:t>.</w:t>
      </w:r>
    </w:p>
    <w:p w14:paraId="5C66531E" w14:textId="5D713D69" w:rsidR="00D70AB5" w:rsidRPr="00D70AB5" w:rsidRDefault="00D70AB5" w:rsidP="00C5093E">
      <w:pPr>
        <w:autoSpaceDE w:val="0"/>
        <w:autoSpaceDN w:val="0"/>
        <w:adjustRightInd w:val="0"/>
        <w:jc w:val="both"/>
        <w:rPr>
          <w:rFonts w:eastAsia="SimSun"/>
          <w:bCs/>
          <w:lang w:eastAsia="ja-JP"/>
        </w:rPr>
      </w:pPr>
      <w:r w:rsidRPr="00D70AB5">
        <w:rPr>
          <w:rFonts w:eastAsia="SimSun"/>
          <w:bCs/>
          <w:lang w:eastAsia="ja-JP"/>
        </w:rPr>
        <w:t>3</w:t>
      </w:r>
      <w:r w:rsidR="00272EAF">
        <w:rPr>
          <w:rFonts w:eastAsia="SimSun"/>
          <w:bCs/>
          <w:lang w:eastAsia="ja-JP"/>
        </w:rPr>
        <w:t>)</w:t>
      </w:r>
      <w:r w:rsidRPr="00D70AB5">
        <w:rPr>
          <w:rFonts w:eastAsia="SimSun"/>
          <w:bCs/>
          <w:lang w:eastAsia="ja-JP"/>
        </w:rPr>
        <w:t xml:space="preserve"> Įvertinti, ar ir kaip įgyvendinamos / įgyvendintos sveikatos apsaugos srities priemonės prisidėjo </w:t>
      </w:r>
    </w:p>
    <w:p w14:paraId="682E384C" w14:textId="77777777" w:rsidR="00F51A42" w:rsidRDefault="00D70AB5" w:rsidP="00C5093E">
      <w:pPr>
        <w:autoSpaceDE w:val="0"/>
        <w:autoSpaceDN w:val="0"/>
        <w:adjustRightInd w:val="0"/>
        <w:jc w:val="both"/>
        <w:rPr>
          <w:rFonts w:eastAsia="SimSun"/>
          <w:b/>
          <w:bCs/>
          <w:color w:val="000000"/>
          <w:u w:val="single"/>
          <w:lang w:eastAsia="ja-JP"/>
        </w:rPr>
      </w:pPr>
      <w:r w:rsidRPr="00D70AB5">
        <w:rPr>
          <w:rFonts w:eastAsia="SimSun"/>
          <w:bCs/>
          <w:lang w:eastAsia="ja-JP"/>
        </w:rPr>
        <w:t>prie strategijos „Europa 2020“ tikslų.</w:t>
      </w:r>
      <w:r w:rsidRPr="00D70AB5">
        <w:rPr>
          <w:rFonts w:eastAsia="SimSun"/>
          <w:b/>
          <w:bCs/>
          <w:color w:val="000000"/>
          <w:u w:val="single"/>
          <w:lang w:eastAsia="ja-JP"/>
        </w:rPr>
        <w:t xml:space="preserve"> </w:t>
      </w:r>
    </w:p>
    <w:p w14:paraId="5910974C" w14:textId="07D8819C" w:rsidR="00D70AB5" w:rsidRPr="00D70AB5" w:rsidRDefault="00D35893" w:rsidP="00D70AB5">
      <w:pPr>
        <w:autoSpaceDE w:val="0"/>
        <w:autoSpaceDN w:val="0"/>
        <w:adjustRightInd w:val="0"/>
        <w:jc w:val="both"/>
        <w:rPr>
          <w:b/>
          <w:color w:val="000000"/>
        </w:rPr>
      </w:pPr>
      <w:r>
        <w:rPr>
          <w:b/>
          <w:color w:val="000000"/>
        </w:rPr>
        <w:t>O</w:t>
      </w:r>
      <w:r w:rsidR="00F51A42">
        <w:rPr>
          <w:b/>
          <w:color w:val="000000"/>
        </w:rPr>
        <w:t>bjektas ir a</w:t>
      </w:r>
      <w:r w:rsidR="00D70AB5" w:rsidRPr="00D70AB5">
        <w:rPr>
          <w:b/>
          <w:color w:val="000000"/>
        </w:rPr>
        <w:t xml:space="preserve">pimtis </w:t>
      </w:r>
    </w:p>
    <w:p w14:paraId="2C8C500C" w14:textId="7A6CD46C" w:rsidR="00F51A42" w:rsidRDefault="00F51A42" w:rsidP="00F51A42">
      <w:pPr>
        <w:autoSpaceDE w:val="0"/>
        <w:autoSpaceDN w:val="0"/>
        <w:adjustRightInd w:val="0"/>
        <w:jc w:val="both"/>
        <w:rPr>
          <w:rFonts w:eastAsia="MS Gothic"/>
          <w:b/>
          <w:color w:val="000000"/>
          <w:u w:val="single"/>
          <w:lang w:eastAsia="en-GB"/>
        </w:rPr>
      </w:pPr>
      <w:r>
        <w:rPr>
          <w:rFonts w:eastAsia="MS Gothic"/>
          <w:color w:val="000000"/>
          <w:lang w:eastAsia="en-GB"/>
        </w:rPr>
        <w:t>VP</w:t>
      </w:r>
      <w:r w:rsidRPr="00F51A42">
        <w:rPr>
          <w:rFonts w:eastAsia="MS Gothic"/>
          <w:color w:val="000000"/>
          <w:lang w:eastAsia="en-GB"/>
        </w:rPr>
        <w:t xml:space="preserve"> 34-ios priemonės, tiesiogiai prisidedančios prie 2014</w:t>
      </w:r>
      <w:r>
        <w:rPr>
          <w:rFonts w:eastAsia="MS Gothic"/>
          <w:color w:val="000000"/>
          <w:lang w:eastAsia="en-GB"/>
        </w:rPr>
        <w:t>–</w:t>
      </w:r>
      <w:r w:rsidRPr="00F51A42">
        <w:rPr>
          <w:rFonts w:eastAsia="MS Gothic"/>
          <w:color w:val="000000"/>
          <w:lang w:eastAsia="en-GB"/>
        </w:rPr>
        <w:t xml:space="preserve">2020 m. investiciniu laikotarpiu keltų sveikatos apsaugos srities tikslų. 26-ios </w:t>
      </w:r>
      <w:r>
        <w:rPr>
          <w:rFonts w:eastAsia="MS Gothic"/>
          <w:color w:val="000000"/>
          <w:lang w:eastAsia="en-GB"/>
        </w:rPr>
        <w:t>VP</w:t>
      </w:r>
      <w:r w:rsidRPr="00F51A42">
        <w:rPr>
          <w:rFonts w:eastAsia="MS Gothic"/>
          <w:color w:val="000000"/>
          <w:lang w:eastAsia="en-GB"/>
        </w:rPr>
        <w:t xml:space="preserve"> priemonės įgyvendinamos pagal VP 8.1.3, 8.4.2 ir 13.1.1 uždavinius ir administruojamos Lietuvos Respublikos sveikatos apsaugos ministerijos (toliau – SAM), 8-ios priemonės įgyvendinamos pagal kitus VP uždavinius ir administruojamos kitų tarpinių institucij</w:t>
      </w:r>
      <w:r>
        <w:rPr>
          <w:rFonts w:eastAsia="MS Gothic"/>
          <w:color w:val="000000"/>
          <w:lang w:eastAsia="en-GB"/>
        </w:rPr>
        <w:t>ų.</w:t>
      </w:r>
      <w:r w:rsidRPr="00F51A42">
        <w:rPr>
          <w:rFonts w:eastAsia="MS Gothic"/>
          <w:b/>
          <w:color w:val="000000"/>
          <w:u w:val="single"/>
          <w:lang w:eastAsia="en-GB"/>
        </w:rPr>
        <w:t xml:space="preserve"> </w:t>
      </w:r>
    </w:p>
    <w:p w14:paraId="66F1937B" w14:textId="6555AA58" w:rsidR="00D70AB5" w:rsidRPr="00D70AB5" w:rsidRDefault="00D70AB5" w:rsidP="00F51A42">
      <w:pPr>
        <w:autoSpaceDE w:val="0"/>
        <w:autoSpaceDN w:val="0"/>
        <w:adjustRightInd w:val="0"/>
        <w:jc w:val="both"/>
        <w:rPr>
          <w:rFonts w:eastAsiaTheme="minorHAnsi"/>
          <w:b/>
          <w:color w:val="000000"/>
          <w:lang w:eastAsia="en-US"/>
        </w:rPr>
      </w:pPr>
      <w:r w:rsidRPr="00D70AB5">
        <w:rPr>
          <w:rFonts w:eastAsiaTheme="minorHAnsi"/>
          <w:b/>
          <w:color w:val="000000"/>
          <w:lang w:eastAsia="en-US"/>
        </w:rPr>
        <w:t>Naudoti metodai</w:t>
      </w:r>
    </w:p>
    <w:p w14:paraId="191B8F4C" w14:textId="1F73122D" w:rsidR="00F80A8E" w:rsidRDefault="00C5093E" w:rsidP="00F51A42">
      <w:pPr>
        <w:jc w:val="both"/>
        <w:rPr>
          <w:rFonts w:eastAsiaTheme="minorHAnsi"/>
          <w:color w:val="000000"/>
          <w:lang w:eastAsia="en-US"/>
        </w:rPr>
      </w:pPr>
      <w:r>
        <w:rPr>
          <w:rFonts w:eastAsiaTheme="minorHAnsi"/>
          <w:color w:val="000000"/>
          <w:lang w:eastAsia="en-US"/>
        </w:rPr>
        <w:t>Taikytas</w:t>
      </w:r>
      <w:r w:rsidR="00F51A42">
        <w:rPr>
          <w:rFonts w:eastAsiaTheme="minorHAnsi"/>
          <w:color w:val="000000"/>
          <w:lang w:eastAsia="en-US"/>
        </w:rPr>
        <w:t xml:space="preserve"> t</w:t>
      </w:r>
      <w:r w:rsidR="00F51A42" w:rsidRPr="00F51A42">
        <w:rPr>
          <w:rFonts w:eastAsiaTheme="minorHAnsi"/>
          <w:color w:val="000000"/>
          <w:lang w:eastAsia="en-US"/>
        </w:rPr>
        <w:t>eorija grįsto vertinimo požiūris</w:t>
      </w:r>
      <w:r w:rsidR="00F80A8E">
        <w:rPr>
          <w:rFonts w:eastAsiaTheme="minorHAnsi"/>
          <w:color w:val="000000"/>
          <w:lang w:eastAsia="en-US"/>
        </w:rPr>
        <w:t>, kuris</w:t>
      </w:r>
      <w:r w:rsidR="00F51A42" w:rsidRPr="00F51A42">
        <w:rPr>
          <w:rFonts w:eastAsiaTheme="minorHAnsi"/>
          <w:color w:val="000000"/>
          <w:lang w:eastAsia="en-US"/>
        </w:rPr>
        <w:t xml:space="preserve"> yra grindžiamas kaitos teorija, paremta intervencijų logika, o analizuojant atskirus jos etapus ir jų sąsajas buvo atlikta problemų analizė (sudaryti problemų medžiai), nustatyti priežastiniai ryšiai, atlikta priežasčių ir pasekmių analizė. </w:t>
      </w:r>
    </w:p>
    <w:p w14:paraId="7F2FC09E" w14:textId="77777777" w:rsidR="00F80A8E" w:rsidRDefault="00F80A8E" w:rsidP="00F80A8E">
      <w:pPr>
        <w:jc w:val="both"/>
        <w:rPr>
          <w:rFonts w:eastAsiaTheme="minorHAnsi"/>
          <w:color w:val="000000"/>
          <w:lang w:eastAsia="en-US"/>
        </w:rPr>
      </w:pPr>
      <w:r w:rsidRPr="00F80A8E">
        <w:rPr>
          <w:rFonts w:eastAsiaTheme="minorHAnsi"/>
          <w:color w:val="000000"/>
          <w:lang w:eastAsia="en-US"/>
        </w:rPr>
        <w:t>Analizei atlikti reikalingi duomenys gauti iš įvairių pirminių ir antrinių šaltinių, iš kurių pagrindiniai: SFMIS (2014–2020 metų Europos Sąjungos struktūrinių fondų informacinės sistemos posistemė), projektų sutartys, įvairių institucijų ir įstaigų anksčiau parengtos apžvalgos ir tyrimai, anketinė projektų vykdytojų</w:t>
      </w:r>
      <w:r>
        <w:rPr>
          <w:rFonts w:eastAsiaTheme="minorHAnsi"/>
          <w:color w:val="000000"/>
          <w:lang w:eastAsia="en-US"/>
        </w:rPr>
        <w:t xml:space="preserve"> </w:t>
      </w:r>
      <w:r w:rsidRPr="00F80A8E">
        <w:rPr>
          <w:rFonts w:eastAsiaTheme="minorHAnsi"/>
          <w:color w:val="000000"/>
          <w:lang w:eastAsia="en-US"/>
        </w:rPr>
        <w:t>apklausa, pusiau struktūruoti interviu su projektų vykdytojais, fokusuota grupinė</w:t>
      </w:r>
      <w:r>
        <w:rPr>
          <w:rFonts w:eastAsiaTheme="minorHAnsi"/>
          <w:color w:val="000000"/>
          <w:lang w:eastAsia="en-US"/>
        </w:rPr>
        <w:t xml:space="preserve"> </w:t>
      </w:r>
      <w:r w:rsidRPr="00F80A8E">
        <w:rPr>
          <w:rFonts w:eastAsiaTheme="minorHAnsi"/>
          <w:color w:val="000000"/>
          <w:lang w:eastAsia="en-US"/>
        </w:rPr>
        <w:t>diskusija su pacientus bei kitas tikslines grupes atstovaujančių nevyriausybinių organizacijų atstovais</w:t>
      </w:r>
      <w:r>
        <w:rPr>
          <w:rFonts w:eastAsiaTheme="minorHAnsi"/>
          <w:color w:val="000000"/>
          <w:lang w:eastAsia="en-US"/>
        </w:rPr>
        <w:t>.</w:t>
      </w:r>
    </w:p>
    <w:p w14:paraId="48288BE1" w14:textId="65FD69B4" w:rsidR="00F80A8E" w:rsidRDefault="00F80A8E" w:rsidP="00F80A8E">
      <w:pPr>
        <w:jc w:val="both"/>
        <w:rPr>
          <w:rFonts w:eastAsiaTheme="minorHAnsi"/>
          <w:color w:val="000000"/>
          <w:lang w:eastAsia="en-US"/>
        </w:rPr>
      </w:pPr>
    </w:p>
    <w:p w14:paraId="75CE88ED" w14:textId="5155158C" w:rsidR="00D70AB5" w:rsidRPr="00D70AB5" w:rsidRDefault="00D70AB5" w:rsidP="0000664D">
      <w:pPr>
        <w:jc w:val="both"/>
        <w:rPr>
          <w:rFonts w:eastAsia="MS Gothic"/>
          <w:b/>
          <w:color w:val="000000"/>
          <w:lang w:eastAsia="en-GB"/>
        </w:rPr>
      </w:pPr>
      <w:r w:rsidRPr="00D70AB5">
        <w:rPr>
          <w:rFonts w:eastAsia="MS Gothic"/>
          <w:b/>
          <w:color w:val="000000"/>
          <w:lang w:eastAsia="en-GB"/>
        </w:rPr>
        <w:t>Pagrindiniai vertinimo rezultatai</w:t>
      </w:r>
    </w:p>
    <w:p w14:paraId="34218590" w14:textId="226ACEB5" w:rsidR="000D34BC" w:rsidRDefault="00C5093E" w:rsidP="00303162">
      <w:pPr>
        <w:jc w:val="both"/>
      </w:pPr>
      <w:r>
        <w:rPr>
          <w:bCs/>
        </w:rPr>
        <w:t>Atlik</w:t>
      </w:r>
      <w:r w:rsidR="00A84E7F">
        <w:rPr>
          <w:bCs/>
        </w:rPr>
        <w:t xml:space="preserve">us </w:t>
      </w:r>
      <w:r>
        <w:rPr>
          <w:bCs/>
        </w:rPr>
        <w:t>investicijų vertinim</w:t>
      </w:r>
      <w:r w:rsidR="00A84E7F">
        <w:rPr>
          <w:bCs/>
        </w:rPr>
        <w:t>ą</w:t>
      </w:r>
      <w:r>
        <w:rPr>
          <w:bCs/>
        </w:rPr>
        <w:t xml:space="preserve"> pagal </w:t>
      </w:r>
      <w:r w:rsidRPr="00C5093E">
        <w:rPr>
          <w:bCs/>
        </w:rPr>
        <w:t>rezultatyvum</w:t>
      </w:r>
      <w:r>
        <w:rPr>
          <w:bCs/>
        </w:rPr>
        <w:t>o</w:t>
      </w:r>
      <w:r w:rsidRPr="00C5093E">
        <w:rPr>
          <w:bCs/>
        </w:rPr>
        <w:t>, pakankamum</w:t>
      </w:r>
      <w:r>
        <w:rPr>
          <w:bCs/>
        </w:rPr>
        <w:t>o</w:t>
      </w:r>
      <w:r w:rsidRPr="00C5093E">
        <w:rPr>
          <w:bCs/>
        </w:rPr>
        <w:t>, tinkamum</w:t>
      </w:r>
      <w:r>
        <w:rPr>
          <w:bCs/>
        </w:rPr>
        <w:t>o</w:t>
      </w:r>
      <w:r w:rsidRPr="00C5093E">
        <w:rPr>
          <w:bCs/>
        </w:rPr>
        <w:t>, suderinamum</w:t>
      </w:r>
      <w:r>
        <w:rPr>
          <w:bCs/>
        </w:rPr>
        <w:t>o</w:t>
      </w:r>
      <w:r w:rsidRPr="00C5093E">
        <w:rPr>
          <w:bCs/>
        </w:rPr>
        <w:t xml:space="preserve"> ir poveik</w:t>
      </w:r>
      <w:r>
        <w:rPr>
          <w:bCs/>
        </w:rPr>
        <w:t>io kriterijus</w:t>
      </w:r>
      <w:r w:rsidR="00A84E7F">
        <w:rPr>
          <w:bCs/>
        </w:rPr>
        <w:t>, nustatyta, kad:</w:t>
      </w:r>
      <w:r w:rsidR="00303162" w:rsidRPr="00303162">
        <w:t xml:space="preserve"> </w:t>
      </w:r>
    </w:p>
    <w:p w14:paraId="1F809718" w14:textId="3448E47E" w:rsidR="000D34BC" w:rsidRPr="00272EAF" w:rsidRDefault="00272EAF" w:rsidP="00272EAF">
      <w:pPr>
        <w:jc w:val="both"/>
        <w:rPr>
          <w:bCs/>
        </w:rPr>
      </w:pPr>
      <w:r>
        <w:rPr>
          <w:bCs/>
        </w:rPr>
        <w:t xml:space="preserve"> 1)</w:t>
      </w:r>
      <w:r w:rsidR="00A84E7F" w:rsidRPr="00272EAF">
        <w:rPr>
          <w:bCs/>
        </w:rPr>
        <w:t>s</w:t>
      </w:r>
      <w:r w:rsidR="000D34BC" w:rsidRPr="00272EAF">
        <w:rPr>
          <w:bCs/>
        </w:rPr>
        <w:t xml:space="preserve">uplanuotų ir įgyvendintų 2014–2020 m. intervencijų atitikimas laikotarpio pradžioje identifikuotiems poreikiams ir suderinamumas yra </w:t>
      </w:r>
      <w:r w:rsidR="00A84E7F" w:rsidRPr="00272EAF">
        <w:rPr>
          <w:bCs/>
        </w:rPr>
        <w:t>teigiamas</w:t>
      </w:r>
      <w:r w:rsidR="000D34BC" w:rsidRPr="00272EAF">
        <w:rPr>
          <w:bCs/>
        </w:rPr>
        <w:t>.</w:t>
      </w:r>
    </w:p>
    <w:p w14:paraId="2A286AC5" w14:textId="77777777" w:rsidR="00272EAF" w:rsidRDefault="00272EAF" w:rsidP="00272EAF">
      <w:pPr>
        <w:jc w:val="both"/>
        <w:rPr>
          <w:bCs/>
        </w:rPr>
      </w:pPr>
      <w:r>
        <w:rPr>
          <w:bCs/>
        </w:rPr>
        <w:t xml:space="preserve">2) </w:t>
      </w:r>
      <w:r w:rsidR="0000664D" w:rsidRPr="00272EAF">
        <w:rPr>
          <w:bCs/>
        </w:rPr>
        <w:t>B</w:t>
      </w:r>
      <w:r w:rsidR="00F80A8E" w:rsidRPr="00272EAF">
        <w:rPr>
          <w:bCs/>
        </w:rPr>
        <w:t>eveik visi pagrindiniai sveikatos rodikliai, remiantis kuriais buvo planuojamos 2014–2020 m. ES fondų investicijos, iki 2019 m. nuosekliai gerėjo.</w:t>
      </w:r>
      <w:r w:rsidR="0000664D" w:rsidRPr="00272EAF">
        <w:rPr>
          <w:bCs/>
        </w:rPr>
        <w:t xml:space="preserve"> </w:t>
      </w:r>
      <w:r w:rsidR="00F80A8E" w:rsidRPr="00272EAF">
        <w:rPr>
          <w:bCs/>
        </w:rPr>
        <w:t xml:space="preserve"> Daugumos rodiklių reikšmės gana ženkliai </w:t>
      </w:r>
      <w:r w:rsidR="0000664D" w:rsidRPr="00272EAF">
        <w:rPr>
          <w:bCs/>
        </w:rPr>
        <w:t>pa</w:t>
      </w:r>
      <w:r w:rsidR="00F80A8E" w:rsidRPr="00272EAF">
        <w:rPr>
          <w:bCs/>
        </w:rPr>
        <w:t xml:space="preserve">sikeitė 2020–2021 m., tačiau tai sietina beveik išskirtinai su COVID-19 pandemija. COVID-19 pandemija pareikalavo didelių ir staigių pokyčių tiek užtikrinant sveikatos priežiūros paslaugas COVID-19 pacientams, tiek ir organizuojant visų kitų sveikatos priežiūros paslaugų teikimą. </w:t>
      </w:r>
    </w:p>
    <w:p w14:paraId="4FAB0092" w14:textId="5366293D" w:rsidR="00F80A8E" w:rsidRPr="00272EAF" w:rsidRDefault="00272EAF" w:rsidP="00272EAF">
      <w:pPr>
        <w:jc w:val="both"/>
        <w:rPr>
          <w:b/>
        </w:rPr>
      </w:pPr>
      <w:r>
        <w:rPr>
          <w:bCs/>
        </w:rPr>
        <w:t xml:space="preserve">3) </w:t>
      </w:r>
      <w:r w:rsidR="00F80A8E" w:rsidRPr="00272EAF">
        <w:rPr>
          <w:bCs/>
        </w:rPr>
        <w:t>2014</w:t>
      </w:r>
      <w:r w:rsidR="00485ADC" w:rsidRPr="00272EAF">
        <w:rPr>
          <w:bCs/>
        </w:rPr>
        <w:t>–</w:t>
      </w:r>
      <w:r w:rsidR="00F80A8E" w:rsidRPr="00272EAF">
        <w:rPr>
          <w:bCs/>
        </w:rPr>
        <w:t>2020 m. laikotarpio ES struktūrinių fondų lėšos reaguojant į COVID-19 situaciją iš esmės buvo sukoncentruotos į sveikatos paslaugų teikimo COVID-19 pacientams užtikrinimą ir</w:t>
      </w:r>
      <w:r w:rsidR="00485ADC" w:rsidRPr="00272EAF">
        <w:rPr>
          <w:bCs/>
        </w:rPr>
        <w:t xml:space="preserve"> </w:t>
      </w:r>
      <w:r w:rsidR="00F80A8E" w:rsidRPr="00272EAF">
        <w:rPr>
          <w:bCs/>
        </w:rPr>
        <w:t>epidemiologinės kontrolės stiprinimą.</w:t>
      </w:r>
      <w:r w:rsidR="00F80A8E" w:rsidRPr="00272EAF">
        <w:rPr>
          <w:b/>
        </w:rPr>
        <w:t xml:space="preserve"> </w:t>
      </w:r>
    </w:p>
    <w:p w14:paraId="73740379" w14:textId="7A95F2DD" w:rsidR="00F80A8E" w:rsidRPr="00272EAF" w:rsidRDefault="00272EAF" w:rsidP="00272EAF">
      <w:pPr>
        <w:jc w:val="both"/>
        <w:rPr>
          <w:bCs/>
        </w:rPr>
      </w:pPr>
      <w:r>
        <w:rPr>
          <w:bCs/>
        </w:rPr>
        <w:lastRenderedPageBreak/>
        <w:t xml:space="preserve">4) </w:t>
      </w:r>
      <w:r w:rsidR="00F80A8E" w:rsidRPr="00272EAF">
        <w:rPr>
          <w:bCs/>
        </w:rPr>
        <w:t xml:space="preserve">Suplanuotų ir įgyvendintų ES fondų investicijų poveikis </w:t>
      </w:r>
      <w:r w:rsidR="00485ADC" w:rsidRPr="00272EAF">
        <w:rPr>
          <w:bCs/>
        </w:rPr>
        <w:t>analizuotų</w:t>
      </w:r>
      <w:r w:rsidR="00F80A8E" w:rsidRPr="00272EAF">
        <w:rPr>
          <w:bCs/>
        </w:rPr>
        <w:t xml:space="preserve"> pagrindinių rodiklių raidai – tiesioginis</w:t>
      </w:r>
      <w:r w:rsidR="0000664D" w:rsidRPr="00272EAF">
        <w:rPr>
          <w:bCs/>
        </w:rPr>
        <w:t xml:space="preserve"> ir </w:t>
      </w:r>
      <w:r w:rsidR="00F80A8E" w:rsidRPr="00272EAF">
        <w:rPr>
          <w:bCs/>
        </w:rPr>
        <w:t>galima prognozuoti teigiamą 2014–2020 m. ES fondų investicijų įtaką būsimiems rodiklių pokyčiams</w:t>
      </w:r>
      <w:r w:rsidR="00F93BF5" w:rsidRPr="00272EAF">
        <w:rPr>
          <w:bCs/>
        </w:rPr>
        <w:t>:</w:t>
      </w:r>
      <w:r w:rsidR="00F80A8E" w:rsidRPr="00272EAF">
        <w:rPr>
          <w:bCs/>
        </w:rPr>
        <w:t xml:space="preserve"> </w:t>
      </w:r>
    </w:p>
    <w:p w14:paraId="36CC66DC" w14:textId="49718333" w:rsidR="0000664D" w:rsidRPr="00272EAF" w:rsidRDefault="00F80A8E" w:rsidP="00984DE1">
      <w:pPr>
        <w:pStyle w:val="Sraopastraipa"/>
        <w:numPr>
          <w:ilvl w:val="0"/>
          <w:numId w:val="12"/>
        </w:numPr>
        <w:jc w:val="both"/>
        <w:rPr>
          <w:bCs/>
        </w:rPr>
      </w:pPr>
      <w:r w:rsidRPr="00272EAF">
        <w:rPr>
          <w:b/>
        </w:rPr>
        <w:t>Standartizuotas 0–64 amžiaus gyventojų mirtingumas nuo kraujotakos sistemos ligų</w:t>
      </w:r>
      <w:r w:rsidRPr="00272EAF">
        <w:rPr>
          <w:bCs/>
        </w:rPr>
        <w:t xml:space="preserve"> tikslinėse teritorijose analizuojamu laikotarpiu mažėjo – nuo 146,17 atvejų 100 tūkst. gyv. 2014 m. iki 127,64 atvejų 100 tūkst. gyv. 2021 m. suplanuotų ir įgyvendintų ES fondų investicijų poveikis šio rodiklio dinamikai – tiesioginis, tačiau iki 2021 m. pasireiškė dar labai nedidele apimtimi, nes iki to laiko buvo baigta įgyvendinti labai nedidelė suplanuotų investicijų dalis. Prognozuojamas </w:t>
      </w:r>
      <w:r w:rsidRPr="00272EAF">
        <w:rPr>
          <w:b/>
        </w:rPr>
        <w:t>vidutiniškai teigiamas investicijų poveikis</w:t>
      </w:r>
      <w:r w:rsidRPr="00272EAF">
        <w:rPr>
          <w:bCs/>
        </w:rPr>
        <w:t xml:space="preserve"> mirtingumo nuo kraujotakos sistemos ligų mažėjimui. </w:t>
      </w:r>
    </w:p>
    <w:p w14:paraId="783F2BA2" w14:textId="7EF76F49" w:rsidR="0000664D" w:rsidRPr="00272EAF" w:rsidRDefault="0000664D" w:rsidP="00984DE1">
      <w:pPr>
        <w:pStyle w:val="Sraopastraipa"/>
        <w:numPr>
          <w:ilvl w:val="0"/>
          <w:numId w:val="12"/>
        </w:numPr>
        <w:jc w:val="both"/>
        <w:rPr>
          <w:bCs/>
        </w:rPr>
      </w:pPr>
      <w:r w:rsidRPr="00272EAF">
        <w:rPr>
          <w:b/>
        </w:rPr>
        <w:t>Standartizuotas 0–64 m. amžiaus gyventojų mirtingumas nuo cerebrovaskulinių ligų</w:t>
      </w:r>
      <w:r w:rsidRPr="00272EAF">
        <w:rPr>
          <w:bCs/>
        </w:rPr>
        <w:t xml:space="preserve"> tikslinėse teritorijose mažėjo – nuo 29,57 atvejų 100 tūkst. gyv. 2014 m. iki 21,56 atvejų 100 tūkst. gyv. 2021 m. Prie teigiamo rodiklio reikšmės pokyčio paskutiniaisiais metais jau prisidėjo ir analizuojamos intervencijos (dalis kurių baigtos įgyvendinti apie 2019 m.), o ateityje, pilnai įgyvendinus visas intervencijas, taip pat įgyvendinus planuojamas sistemines pertvarkas (GMP), poveikis turėtų ne tik išlikti, bet ir didėti. </w:t>
      </w:r>
      <w:r w:rsidRPr="00272EAF">
        <w:rPr>
          <w:b/>
        </w:rPr>
        <w:t>Ženklus teigiamas poveikis</w:t>
      </w:r>
      <w:r w:rsidRPr="00272EAF">
        <w:rPr>
          <w:bCs/>
        </w:rPr>
        <w:t xml:space="preserve"> mirtingumo nuo smegenų kraujagyslių ligų sumažėjimui prognozuojamas pirmiausiai dėl investicijų į insulto gydymo centrų ir tarpinės pagalbos ligoninių tinklo įrangą. Bendrą teigiamą investicijų poveikį taip pat stiprina plėtojamas greitosios medicinos pagalbos priemonių parkas, didinamas konsultacinės pagalbos prieinamumas asmens sveikatos specialistams, dirbantiems rajono lygmens ligoninėse, naujai kuriami ar atnaujinami metodiniai dokumentai ir keliama gydytojų kvalifikacija. </w:t>
      </w:r>
    </w:p>
    <w:p w14:paraId="6F275598" w14:textId="0259B1DD" w:rsidR="0000664D" w:rsidRPr="00272EAF" w:rsidRDefault="0000664D" w:rsidP="00984DE1">
      <w:pPr>
        <w:pStyle w:val="Sraopastraipa"/>
        <w:numPr>
          <w:ilvl w:val="0"/>
          <w:numId w:val="12"/>
        </w:numPr>
        <w:jc w:val="both"/>
        <w:rPr>
          <w:bCs/>
        </w:rPr>
      </w:pPr>
      <w:r w:rsidRPr="00272EAF">
        <w:rPr>
          <w:b/>
        </w:rPr>
        <w:t>Standartizuotas 0-64 m. amžiaus gyventojų mirtingumas nuo piktybinių navikų</w:t>
      </w:r>
      <w:r w:rsidRPr="00272EAF">
        <w:rPr>
          <w:bCs/>
        </w:rPr>
        <w:t xml:space="preserve"> tikslinėse teritorijose mažėjo – nuo 96,45 atvejų 100 tūkst. gyv. 2014 m. iki 86,49 atvejų 100 tūkst. gyv. 2021 m. 2014-2020 m. ES fondų investicijos turi tiesioginį poveikį mirtingumo nuo piktybinių navikų rodiklio pokyčiams, tačiau, dėl investicijų įgyvendinimo laiko, analizuojamais metais šis poveikis dar labai mažas. Poveikis gerinant rodiklio reikšmę galėjo jau pasireikšti dėl respublikos lygmens specializuotų onkologijos centrų aprūpinimo itin specializuota, inovatyvia medicinine įranga operacijoms, taip pat naujos kartos spindulinės terapijos įranga. Pradėjus pilnu pajėgumu naudoti visą įsigytą įrangą, taip pat bent dalinai pagerinus atrankinių patikros programų įgyvendinimą (suplanuotos gyventojų centralizuoto kvietimo pasitikrinti pagal jiems priklausančias schemas veiklos dėl techninių kliūčių kol kas nebus įgyvendintos), prognozuojamas </w:t>
      </w:r>
      <w:r w:rsidRPr="00272EAF">
        <w:rPr>
          <w:b/>
        </w:rPr>
        <w:t>nuosaikus teigiamas poveikis</w:t>
      </w:r>
      <w:r w:rsidRPr="00272EAF">
        <w:rPr>
          <w:bCs/>
        </w:rPr>
        <w:t xml:space="preserve"> mirtingumo nuo piktybinių navikų pokyčiams.</w:t>
      </w:r>
    </w:p>
    <w:p w14:paraId="4FBD1D55" w14:textId="2F2BC411" w:rsidR="0000664D" w:rsidRPr="00272EAF" w:rsidRDefault="0000664D" w:rsidP="00984DE1">
      <w:pPr>
        <w:pStyle w:val="Sraopastraipa"/>
        <w:numPr>
          <w:ilvl w:val="0"/>
          <w:numId w:val="12"/>
        </w:numPr>
        <w:jc w:val="both"/>
        <w:rPr>
          <w:bCs/>
        </w:rPr>
      </w:pPr>
      <w:r w:rsidRPr="00272EAF">
        <w:rPr>
          <w:bCs/>
        </w:rPr>
        <w:t xml:space="preserve">Investicijų poveikio įvertį riboja tai, kad piktybinių navikų gydymas apima įvairias priemones, o šio tipo investicijų didesnio teigiamo poveikio užtikrinimui būtini ir kiti faktoriai, tokie kaip inovatyvių vaistų prieinamumas, naujų diagnostikos ir gydymo metodų diegimas ir pan. Be to, rodiklis apima mirtingumą nuo įvairių lokalizacijų vėžio, o prevencinės priemonės stiprinamos tik įgyvendinant krūties vėžio, gimdos kaklelio vėžio ir storosios žarnos vėžio atrankinės patikros programas. </w:t>
      </w:r>
    </w:p>
    <w:p w14:paraId="6793209C" w14:textId="77777777" w:rsidR="00272EAF" w:rsidRDefault="0000664D" w:rsidP="00984DE1">
      <w:pPr>
        <w:pStyle w:val="Sraopastraipa"/>
        <w:numPr>
          <w:ilvl w:val="0"/>
          <w:numId w:val="12"/>
        </w:numPr>
        <w:jc w:val="both"/>
        <w:rPr>
          <w:bCs/>
        </w:rPr>
      </w:pPr>
      <w:r w:rsidRPr="000830E3">
        <w:rPr>
          <w:b/>
        </w:rPr>
        <w:t xml:space="preserve">Standartizuotas 0–64 m. amžiaus gyventojų mirtingumas </w:t>
      </w:r>
      <w:r w:rsidRPr="00272EAF">
        <w:rPr>
          <w:bCs/>
        </w:rPr>
        <w:t xml:space="preserve">dėl išorinių mirties priežasčių tikslinėse teritorijose mažėjo – nuo 124,22 atvejų 100 tūkst. gyv. 2014 m. iki 73,15 atvejų 100 tūkst. gyv. 2021 m. Stebimam teigiamam pokyčiui įgyvendintos Veiksmų programos priemonės poveikio dar neturėjo ar beveik neturėjo, nes pagrindinės intervencijos analizuojamu laikotarpiu dar nebuvo įgyvendintos. Artimiausiais metais prognozuojamas ribotas teigiamas intervencijų poveikis mirtingumo dėl išorinių mirties priežasčių pokyčiui. Ribotas poveikis labiausiai siejamas su aplinkybe, kad išorinių mirties priežasčių sąrašas yra gana ilgas ir apimantis skirtingos prigimties veiksnius. Vadinasi, investicijos, susijusios su konkrečia priežastimi (pavyzdžiui, apsinuodijimais), gali paveikti tik dalį rodiklio. </w:t>
      </w:r>
    </w:p>
    <w:p w14:paraId="7D1CA589" w14:textId="523609F6" w:rsidR="0000664D" w:rsidRPr="000830E3" w:rsidRDefault="000830E3" w:rsidP="000830E3">
      <w:pPr>
        <w:jc w:val="both"/>
        <w:rPr>
          <w:bCs/>
        </w:rPr>
      </w:pPr>
      <w:r>
        <w:rPr>
          <w:bCs/>
        </w:rPr>
        <w:t xml:space="preserve">5) </w:t>
      </w:r>
      <w:r w:rsidR="0000664D" w:rsidRPr="000830E3">
        <w:rPr>
          <w:bCs/>
        </w:rPr>
        <w:t xml:space="preserve">Pagrindinės investicijos, kurios turėtų prisidėti siekiant mažinti mirtingumą dėl išorinių mirties priežasčių,– toksikologijos gydymo ir (arba) laboratorinių pajėgumų plėtra VšĮ Respublikinės Vilniaus universitetinės ligoninės Toksikologijos centre bei Nacionalinėje visuomenės sveikatos </w:t>
      </w:r>
      <w:r w:rsidR="0000664D" w:rsidRPr="000830E3">
        <w:rPr>
          <w:bCs/>
        </w:rPr>
        <w:lastRenderedPageBreak/>
        <w:t xml:space="preserve">priežiūros laboratorijoje, Lietuvos sveikatos mokslų universiteto ligoninėje Kauno klinikose esančio traumų centro medicininės įrangos atnaujinimas, GMP plėtra ir skubiosios medicinos pagalbos kokybės gerinimas rajonuose. </w:t>
      </w:r>
    </w:p>
    <w:p w14:paraId="4192DD4D" w14:textId="1F43B396" w:rsidR="0000664D" w:rsidRPr="00272EAF" w:rsidRDefault="000830E3" w:rsidP="000830E3">
      <w:pPr>
        <w:jc w:val="both"/>
        <w:rPr>
          <w:bCs/>
        </w:rPr>
      </w:pPr>
      <w:r>
        <w:rPr>
          <w:bCs/>
        </w:rPr>
        <w:t xml:space="preserve">6) </w:t>
      </w:r>
      <w:r w:rsidR="00A84E7F" w:rsidRPr="00272EAF">
        <w:rPr>
          <w:bCs/>
        </w:rPr>
        <w:t>V</w:t>
      </w:r>
      <w:r w:rsidR="0000664D" w:rsidRPr="00272EAF">
        <w:rPr>
          <w:bCs/>
        </w:rPr>
        <w:t xml:space="preserve">isi aptarti rodikliai yra skirti mirtingumo išskirtose tikslinėse teritorijose (savivaldybėse, kuriose standartizuotas mirtingumas nuo tam tikrų priežasčių nustatytu dydžiu viršijo Lietuvos vidurkį) matavimui. Remiantis statistikos duomenimis, kol kas mirtingumo nuo nustatytų priežasčių dinamika išskirtose tikslinių teritorijų savivaldybėse ir likusiose šalies savivaldybėse yra labai panaši, t. y. nors mirtingumas nuo visų analizuojamų priežasčių mažėja, </w:t>
      </w:r>
      <w:r w:rsidR="0000664D" w:rsidRPr="00272EAF">
        <w:rPr>
          <w:b/>
        </w:rPr>
        <w:t>skirtumai tarp savivaldybių išlieka</w:t>
      </w:r>
      <w:r w:rsidR="0000664D" w:rsidRPr="00272EAF">
        <w:rPr>
          <w:bCs/>
        </w:rPr>
        <w:t xml:space="preserve">. Detali investicijų analizė rodo, kad įgyvendinus visas suplanuotas 2014–2020 m. intervencijas, jos beveik jokio poveikio šio skirtumo mažėjimui neturės. </w:t>
      </w:r>
    </w:p>
    <w:p w14:paraId="10CE4CFA" w14:textId="62047DE5" w:rsidR="00360C1E" w:rsidRPr="00272EAF" w:rsidRDefault="000830E3" w:rsidP="000830E3">
      <w:pPr>
        <w:jc w:val="both"/>
        <w:rPr>
          <w:bCs/>
        </w:rPr>
      </w:pPr>
      <w:r>
        <w:rPr>
          <w:bCs/>
        </w:rPr>
        <w:t xml:space="preserve">7) </w:t>
      </w:r>
      <w:r w:rsidR="0000664D" w:rsidRPr="00272EAF">
        <w:rPr>
          <w:bCs/>
        </w:rPr>
        <w:t xml:space="preserve">Prastesni rajonų, ypač nutolusių nuo didžiųjų centrų, gyventojų sveikatos rodikliai susiję ir su tuo, kad rajonų savivaldybėse mažiau naudojamasi sveikatos priežiūros paslaugomis. </w:t>
      </w:r>
      <w:r w:rsidR="0000664D" w:rsidRPr="00272EAF">
        <w:rPr>
          <w:b/>
        </w:rPr>
        <w:t>Apsilankymų pas gydytojus skaičiaus, tenkančio vienam gyventojui, skirtumas tarp miestų ir rajonų savivaldybių gyventojų analizuojamu laikotarpiu didėjo nuo 3,9 karto 2013 m. iki 5,1 karto 2019 m.</w:t>
      </w:r>
      <w:r w:rsidR="0000664D" w:rsidRPr="00272EAF">
        <w:rPr>
          <w:bCs/>
        </w:rPr>
        <w:t xml:space="preserve"> (apsilankymų pas gydytojus skirtumas tarp miestų ir rajonų savivaldybių gyventojų mažėjo tik pastaraisiais metais, kuomet dėl COVID</w:t>
      </w:r>
      <w:r w:rsidR="00485ADC" w:rsidRPr="00272EAF">
        <w:rPr>
          <w:bCs/>
        </w:rPr>
        <w:t>-</w:t>
      </w:r>
      <w:r w:rsidR="0000664D" w:rsidRPr="00272EAF">
        <w:rPr>
          <w:bCs/>
        </w:rPr>
        <w:t xml:space="preserve">19 pandemijos metu taikytų apribojimų, gyventojų elgesio pokyčių apsilankymų pas gydytojus skaičius apskritai ženkliai kito). Manytina, kad apsilankymų pas gydytojus skaičiaus, tenkančio vienam gyventojui, skirtumo tarp miestų ir rajonų savivaldybių gyventojų dinamika visgi labiausiai priklausys nuo įgyvendinamų bendrųjų nacionalinės sveikatos sistemos pokyčių. </w:t>
      </w:r>
    </w:p>
    <w:p w14:paraId="081F2219" w14:textId="187B1206" w:rsidR="0000664D" w:rsidRPr="00272EAF" w:rsidRDefault="000830E3" w:rsidP="000830E3">
      <w:pPr>
        <w:jc w:val="both"/>
        <w:rPr>
          <w:bCs/>
        </w:rPr>
      </w:pPr>
      <w:r>
        <w:rPr>
          <w:bCs/>
        </w:rPr>
        <w:t xml:space="preserve">8) </w:t>
      </w:r>
      <w:r w:rsidR="0000664D" w:rsidRPr="00272EAF">
        <w:rPr>
          <w:bCs/>
        </w:rPr>
        <w:t xml:space="preserve">ES fondų lėšomis </w:t>
      </w:r>
      <w:r w:rsidR="0000664D" w:rsidRPr="00272EAF">
        <w:rPr>
          <w:b/>
        </w:rPr>
        <w:t>buvo suteikti tam tikri įrankiai</w:t>
      </w:r>
      <w:r w:rsidR="0000664D" w:rsidRPr="00272EAF">
        <w:rPr>
          <w:bCs/>
        </w:rPr>
        <w:t xml:space="preserve"> (medicininė įranga, metodologinė pagalba, kvalifikacijos kėlimas), </w:t>
      </w:r>
      <w:r w:rsidR="0000664D" w:rsidRPr="00272EAF">
        <w:rPr>
          <w:b/>
        </w:rPr>
        <w:t>tačiau ar ir kaip jie bus panaudoti labai daug priklausys nuo paslaugų organizavimo</w:t>
      </w:r>
      <w:r w:rsidR="0000664D" w:rsidRPr="00272EAF">
        <w:rPr>
          <w:bCs/>
        </w:rPr>
        <w:t xml:space="preserve">, </w:t>
      </w:r>
      <w:r w:rsidR="0000664D" w:rsidRPr="00272EAF">
        <w:rPr>
          <w:b/>
        </w:rPr>
        <w:t>skirtingo lygmens įstaigų bendradarbiavimo</w:t>
      </w:r>
      <w:r w:rsidR="0000664D" w:rsidRPr="00272EAF">
        <w:rPr>
          <w:bCs/>
        </w:rPr>
        <w:t xml:space="preserve"> ir pan. Svarbu pastebėti, kad beveik visos 2014–2020 m. investicinio laikotarpio intervencijos skirtos visai šaliai bendrų problemų sprendimui ir netgi laikotarpio pradžioje išskirtų tikslinių teritorijų (tam tikrų rajonų savivaldybių) atžvilgiu specifinių intervencijų buvo labai mažai. </w:t>
      </w:r>
    </w:p>
    <w:p w14:paraId="631266C9" w14:textId="77777777" w:rsidR="00A84E7F" w:rsidRDefault="00A84E7F" w:rsidP="00272EAF">
      <w:pPr>
        <w:jc w:val="both"/>
        <w:rPr>
          <w:b/>
        </w:rPr>
      </w:pPr>
    </w:p>
    <w:p w14:paraId="1B14E150" w14:textId="0F54A9AE" w:rsidR="0000664D" w:rsidRPr="0000664D" w:rsidRDefault="0000664D" w:rsidP="0000664D">
      <w:pPr>
        <w:jc w:val="both"/>
        <w:rPr>
          <w:b/>
        </w:rPr>
      </w:pPr>
      <w:r w:rsidRPr="0000664D">
        <w:rPr>
          <w:b/>
        </w:rPr>
        <w:t>Vertinimo rekomendacijos</w:t>
      </w:r>
      <w:r w:rsidR="000830E3">
        <w:rPr>
          <w:b/>
        </w:rPr>
        <w:t xml:space="preserve"> ir nauda</w:t>
      </w:r>
    </w:p>
    <w:p w14:paraId="0721DDA2" w14:textId="77777777" w:rsidR="001C6E0F" w:rsidRDefault="0000664D" w:rsidP="00360C1E">
      <w:pPr>
        <w:jc w:val="both"/>
        <w:rPr>
          <w:bCs/>
        </w:rPr>
      </w:pPr>
      <w:r w:rsidRPr="0000664D">
        <w:rPr>
          <w:bCs/>
        </w:rPr>
        <w:t xml:space="preserve">Atsižvelgiant į vertinimo metu surinktą informaciją ir atliktą analizę, suformuoti siūlymai ir rekomendacijos, skirtos prisidėti prie </w:t>
      </w:r>
      <w:r w:rsidR="00360C1E" w:rsidRPr="0000664D">
        <w:rPr>
          <w:bCs/>
        </w:rPr>
        <w:t xml:space="preserve">geresnio intervencijų planavimo ir įgyvendinimo </w:t>
      </w:r>
      <w:r w:rsidR="00360C1E">
        <w:rPr>
          <w:bCs/>
        </w:rPr>
        <w:t xml:space="preserve">pagal </w:t>
      </w:r>
      <w:r w:rsidRPr="0000664D">
        <w:rPr>
          <w:bCs/>
        </w:rPr>
        <w:t>2021–2027 m. ES fondų investicijų programą ir kitas panašias programas</w:t>
      </w:r>
      <w:r w:rsidR="00360C1E">
        <w:rPr>
          <w:bCs/>
        </w:rPr>
        <w:t>.</w:t>
      </w:r>
      <w:r w:rsidRPr="0000664D">
        <w:rPr>
          <w:bCs/>
        </w:rPr>
        <w:t xml:space="preserve"> </w:t>
      </w:r>
    </w:p>
    <w:p w14:paraId="742C9F1D" w14:textId="77777777" w:rsidR="001C6E0F" w:rsidRDefault="001C6E0F">
      <w:pPr>
        <w:spacing w:after="200" w:line="276" w:lineRule="auto"/>
        <w:rPr>
          <w:bCs/>
        </w:rPr>
      </w:pPr>
      <w:r>
        <w:rPr>
          <w:bCs/>
        </w:rPr>
        <w:br w:type="page"/>
      </w:r>
    </w:p>
    <w:p w14:paraId="355D74B1" w14:textId="5C32185A" w:rsidR="001C6E0F" w:rsidRPr="001C6E0F" w:rsidRDefault="000830E3" w:rsidP="00360C1E">
      <w:pPr>
        <w:jc w:val="both"/>
        <w:rPr>
          <w:b/>
        </w:rPr>
      </w:pPr>
      <w:r>
        <w:rPr>
          <w:b/>
        </w:rPr>
        <w:lastRenderedPageBreak/>
        <w:t>6</w:t>
      </w:r>
      <w:r w:rsidR="001C6E0F" w:rsidRPr="001C6E0F">
        <w:rPr>
          <w:b/>
        </w:rPr>
        <w:t xml:space="preserve">. 2021–2027 m. ES fondų ir kitų finansavimo šaltinių investicijų poreikio sveikatos apsaugos sektoriuje vertinimas, planuojant ir įgyvendinant sveikatos priežiūros įstaigų tinklo pertvarką </w:t>
      </w:r>
    </w:p>
    <w:p w14:paraId="5D527CDF" w14:textId="3A1B4E78" w:rsidR="001C6E0F" w:rsidRPr="00D70AB5" w:rsidRDefault="001C6E0F" w:rsidP="001C6E0F">
      <w:pPr>
        <w:jc w:val="both"/>
        <w:rPr>
          <w:color w:val="000000"/>
        </w:rPr>
      </w:pPr>
      <w:r w:rsidRPr="00D70AB5">
        <w:rPr>
          <w:color w:val="000000"/>
        </w:rPr>
        <w:t>Užsakovas: Lietuvos Respublikos sveikatos apsaugos ministerija (SAM)</w:t>
      </w:r>
    </w:p>
    <w:p w14:paraId="408D574B" w14:textId="65492A9A" w:rsidR="001C6E0F" w:rsidRPr="00D70AB5" w:rsidRDefault="001C6E0F" w:rsidP="001C6E0F">
      <w:pPr>
        <w:jc w:val="both"/>
        <w:rPr>
          <w:color w:val="000000"/>
        </w:rPr>
      </w:pPr>
      <w:r w:rsidRPr="00D70AB5">
        <w:rPr>
          <w:color w:val="000000"/>
        </w:rPr>
        <w:t>Vertinimą atliko: UAB „</w:t>
      </w:r>
      <w:r>
        <w:rPr>
          <w:color w:val="000000"/>
        </w:rPr>
        <w:t>Smart Continent</w:t>
      </w:r>
      <w:r w:rsidRPr="00D70AB5">
        <w:rPr>
          <w:color w:val="000000"/>
        </w:rPr>
        <w:t>“, 20</w:t>
      </w:r>
      <w:r>
        <w:rPr>
          <w:color w:val="000000"/>
        </w:rPr>
        <w:t>23</w:t>
      </w:r>
      <w:r w:rsidRPr="00D70AB5">
        <w:rPr>
          <w:color w:val="000000"/>
        </w:rPr>
        <w:t xml:space="preserve"> m.</w:t>
      </w:r>
    </w:p>
    <w:p w14:paraId="095AC1C0" w14:textId="77777777" w:rsidR="001C6E0F" w:rsidRPr="00D70AB5" w:rsidRDefault="001C6E0F" w:rsidP="001C6E0F">
      <w:pPr>
        <w:jc w:val="both"/>
        <w:rPr>
          <w:color w:val="000000"/>
        </w:rPr>
      </w:pPr>
    </w:p>
    <w:p w14:paraId="79C78CA2" w14:textId="77777777" w:rsidR="001C6E0F" w:rsidRPr="00D70AB5" w:rsidRDefault="001C6E0F" w:rsidP="001C6E0F">
      <w:pPr>
        <w:autoSpaceDE w:val="0"/>
        <w:autoSpaceDN w:val="0"/>
        <w:adjustRightInd w:val="0"/>
        <w:jc w:val="both"/>
        <w:rPr>
          <w:b/>
          <w:color w:val="000000"/>
        </w:rPr>
      </w:pPr>
      <w:r w:rsidRPr="00D70AB5">
        <w:rPr>
          <w:b/>
          <w:color w:val="000000"/>
        </w:rPr>
        <w:t>Vertinimo tikslas, uždaviniai, apimtis, metodai</w:t>
      </w:r>
    </w:p>
    <w:p w14:paraId="776B114B" w14:textId="77777777" w:rsidR="001C6E0F" w:rsidRPr="00D70AB5" w:rsidRDefault="001C6E0F" w:rsidP="001C6E0F">
      <w:pPr>
        <w:autoSpaceDE w:val="0"/>
        <w:autoSpaceDN w:val="0"/>
        <w:adjustRightInd w:val="0"/>
        <w:jc w:val="both"/>
        <w:rPr>
          <w:b/>
          <w:color w:val="000000"/>
        </w:rPr>
      </w:pPr>
      <w:r w:rsidRPr="00D70AB5">
        <w:rPr>
          <w:b/>
          <w:color w:val="000000"/>
        </w:rPr>
        <w:t>Tikslas</w:t>
      </w:r>
    </w:p>
    <w:p w14:paraId="3CFC6E30" w14:textId="12297F4F" w:rsidR="001C6E0F" w:rsidRPr="001C6E0F" w:rsidRDefault="000830E3" w:rsidP="001C6E0F">
      <w:pPr>
        <w:jc w:val="both"/>
        <w:rPr>
          <w:rFonts w:eastAsia="MS Gothic"/>
          <w:color w:val="000000"/>
          <w:lang w:eastAsia="en-GB"/>
        </w:rPr>
      </w:pPr>
      <w:r>
        <w:rPr>
          <w:rFonts w:eastAsia="MS Gothic"/>
          <w:color w:val="000000"/>
          <w:lang w:eastAsia="en-GB"/>
        </w:rPr>
        <w:t>N</w:t>
      </w:r>
      <w:r w:rsidR="001C6E0F" w:rsidRPr="001C6E0F">
        <w:rPr>
          <w:rFonts w:eastAsia="MS Gothic"/>
          <w:color w:val="000000"/>
          <w:lang w:eastAsia="en-GB"/>
        </w:rPr>
        <w:t>ustatyti investicijų prioritetus savivaldybių ir regionų lygiu, siekiant užtikrinti tikslingą 2021–2027 m. ES fondų ir kitų finansinių šaltinių investicijų panaudojimą sveikatos apsaugos sektoriuje, įgyvendinant sveikatos priežiūros įstaigų tinklo pertvarką.</w:t>
      </w:r>
    </w:p>
    <w:p w14:paraId="3B1BF3F1" w14:textId="5F11D625" w:rsidR="001C6E0F" w:rsidRPr="00D238BF" w:rsidRDefault="00D238BF" w:rsidP="001C6E0F">
      <w:pPr>
        <w:jc w:val="both"/>
        <w:rPr>
          <w:rFonts w:eastAsia="MS Gothic"/>
          <w:b/>
          <w:bCs/>
          <w:color w:val="000000"/>
          <w:lang w:eastAsia="en-GB"/>
        </w:rPr>
      </w:pPr>
      <w:r w:rsidRPr="00D238BF">
        <w:rPr>
          <w:rFonts w:eastAsia="MS Gothic"/>
          <w:b/>
          <w:bCs/>
          <w:color w:val="000000"/>
          <w:lang w:eastAsia="en-GB"/>
        </w:rPr>
        <w:t>U</w:t>
      </w:r>
      <w:r w:rsidR="001C6E0F" w:rsidRPr="00D238BF">
        <w:rPr>
          <w:rFonts w:eastAsia="MS Gothic"/>
          <w:b/>
          <w:bCs/>
          <w:color w:val="000000"/>
          <w:lang w:eastAsia="en-GB"/>
        </w:rPr>
        <w:t xml:space="preserve">ždaviniai: </w:t>
      </w:r>
    </w:p>
    <w:p w14:paraId="3A6A297C" w14:textId="1314DC98" w:rsidR="001C6E0F" w:rsidRPr="001C6E0F" w:rsidRDefault="00D238BF" w:rsidP="001C6E0F">
      <w:pPr>
        <w:jc w:val="both"/>
        <w:rPr>
          <w:rFonts w:eastAsia="MS Gothic"/>
          <w:color w:val="000000"/>
          <w:lang w:eastAsia="en-GB"/>
        </w:rPr>
      </w:pPr>
      <w:r>
        <w:rPr>
          <w:rFonts w:eastAsia="MS Gothic"/>
          <w:color w:val="000000"/>
          <w:lang w:eastAsia="en-GB"/>
        </w:rPr>
        <w:t xml:space="preserve">1) </w:t>
      </w:r>
      <w:r w:rsidR="001C6E0F" w:rsidRPr="001C6E0F">
        <w:rPr>
          <w:rFonts w:eastAsia="MS Gothic"/>
          <w:color w:val="000000"/>
          <w:lang w:eastAsia="en-GB"/>
        </w:rPr>
        <w:t xml:space="preserve">Pagal su Sveikatos apsaugos ministerija suderintą formatą bei kriterijus, parengti 5 techninius funkcinių sveikatos priežiūros regionų planus dėl savivaldybių ir regiono lygmens sveikatos priežiūros įstaigų išdėstymo, paslaugų organizavimo, tarpusavio bendradarbiavimo ir kt. </w:t>
      </w:r>
    </w:p>
    <w:p w14:paraId="15C65816" w14:textId="78BD1263" w:rsidR="001C6E0F" w:rsidRPr="001C6E0F" w:rsidRDefault="00D238BF" w:rsidP="001C6E0F">
      <w:pPr>
        <w:jc w:val="both"/>
        <w:rPr>
          <w:rFonts w:eastAsia="MS Gothic"/>
          <w:color w:val="000000"/>
          <w:lang w:eastAsia="en-GB"/>
        </w:rPr>
      </w:pPr>
      <w:r>
        <w:rPr>
          <w:rFonts w:eastAsia="MS Gothic"/>
          <w:color w:val="000000"/>
          <w:lang w:eastAsia="en-GB"/>
        </w:rPr>
        <w:t xml:space="preserve">2) </w:t>
      </w:r>
      <w:r w:rsidR="001C6E0F" w:rsidRPr="001C6E0F">
        <w:rPr>
          <w:rFonts w:eastAsia="MS Gothic"/>
          <w:color w:val="000000"/>
          <w:lang w:eastAsia="en-GB"/>
        </w:rPr>
        <w:t xml:space="preserve">Įvertinti savivaldybių ir regiono lygmens sveikatos priežiūros įstaigų, numatančių dalyvauti Sveikatos priežiūros įstaigų tinklo pertvarkoje, investicijų poreikį į konkrečias paslaugų organizavimo priemones, specialistus ir infrastruktūrą, reikalingą įgyvendinti sveikatos priežiūros įstaigų tinklo pertvarką. </w:t>
      </w:r>
    </w:p>
    <w:p w14:paraId="3EE2D095" w14:textId="77777777" w:rsidR="00D238BF" w:rsidRDefault="00D238BF" w:rsidP="001C6E0F">
      <w:pPr>
        <w:jc w:val="both"/>
        <w:rPr>
          <w:rFonts w:eastAsia="MS Gothic"/>
          <w:color w:val="000000"/>
          <w:lang w:eastAsia="en-GB"/>
        </w:rPr>
      </w:pPr>
      <w:r>
        <w:rPr>
          <w:rFonts w:eastAsia="MS Gothic"/>
          <w:color w:val="000000"/>
          <w:lang w:eastAsia="en-GB"/>
        </w:rPr>
        <w:t xml:space="preserve">3) </w:t>
      </w:r>
      <w:r w:rsidR="001C6E0F" w:rsidRPr="001C6E0F">
        <w:rPr>
          <w:rFonts w:eastAsia="MS Gothic"/>
          <w:color w:val="000000"/>
          <w:lang w:eastAsia="en-GB"/>
        </w:rPr>
        <w:t>Pateikti pasiūlymus dėl investicijų prioritetų nustatymo savivaldybių ir regionų lygiu.</w:t>
      </w:r>
    </w:p>
    <w:p w14:paraId="498E4B9C" w14:textId="11ED890D" w:rsidR="00D238BF" w:rsidRPr="00C15C7E" w:rsidRDefault="00D35893" w:rsidP="001C6E0F">
      <w:pPr>
        <w:jc w:val="both"/>
        <w:rPr>
          <w:rFonts w:eastAsia="MS Gothic"/>
          <w:b/>
          <w:bCs/>
          <w:lang w:eastAsia="en-GB"/>
        </w:rPr>
      </w:pPr>
      <w:r w:rsidRPr="00C15C7E">
        <w:rPr>
          <w:rFonts w:eastAsia="MS Gothic"/>
          <w:b/>
          <w:bCs/>
          <w:lang w:eastAsia="en-GB"/>
        </w:rPr>
        <w:t>O</w:t>
      </w:r>
      <w:r w:rsidR="00D238BF" w:rsidRPr="00C15C7E">
        <w:rPr>
          <w:rFonts w:eastAsia="MS Gothic"/>
          <w:b/>
          <w:bCs/>
          <w:lang w:eastAsia="en-GB"/>
        </w:rPr>
        <w:t>bjektas ir apimtis</w:t>
      </w:r>
    </w:p>
    <w:p w14:paraId="4B78DFAE" w14:textId="560F9D17" w:rsidR="00C15C7E" w:rsidRPr="00C15C7E" w:rsidRDefault="00C15C7E" w:rsidP="001C6E0F">
      <w:pPr>
        <w:jc w:val="both"/>
        <w:rPr>
          <w:rFonts w:eastAsia="MS Gothic"/>
          <w:lang w:eastAsia="en-GB"/>
        </w:rPr>
      </w:pPr>
      <w:r w:rsidRPr="00C15C7E">
        <w:rPr>
          <w:rFonts w:eastAsia="MS Gothic"/>
          <w:lang w:eastAsia="en-GB"/>
        </w:rPr>
        <w:t>ES SF ir kitos investicijos savivaldybių ir regionų lygiu, reikalingos įgyvendinti sveikatos priežiūros įstaigų tinklo pertvarką</w:t>
      </w:r>
      <w:r>
        <w:rPr>
          <w:rFonts w:eastAsia="MS Gothic"/>
          <w:lang w:eastAsia="en-GB"/>
        </w:rPr>
        <w:t>.</w:t>
      </w:r>
    </w:p>
    <w:p w14:paraId="38E22C14" w14:textId="77777777" w:rsidR="00D238BF" w:rsidRDefault="00D238BF" w:rsidP="001C6E0F">
      <w:pPr>
        <w:jc w:val="both"/>
        <w:rPr>
          <w:rFonts w:eastAsia="MS Gothic"/>
          <w:b/>
          <w:bCs/>
          <w:color w:val="000000"/>
          <w:lang w:eastAsia="en-GB"/>
        </w:rPr>
      </w:pPr>
      <w:r w:rsidRPr="00D238BF">
        <w:rPr>
          <w:rFonts w:eastAsia="MS Gothic"/>
          <w:b/>
          <w:bCs/>
          <w:color w:val="000000"/>
          <w:lang w:eastAsia="en-GB"/>
        </w:rPr>
        <w:t xml:space="preserve">Naudoti metodai </w:t>
      </w:r>
    </w:p>
    <w:p w14:paraId="7170BEB1" w14:textId="4DB960FF" w:rsidR="00D238BF" w:rsidRPr="00D238BF" w:rsidRDefault="00D238BF" w:rsidP="001C6E0F">
      <w:pPr>
        <w:jc w:val="both"/>
        <w:rPr>
          <w:rFonts w:eastAsia="MS Gothic"/>
          <w:color w:val="000000"/>
          <w:lang w:eastAsia="en-GB"/>
        </w:rPr>
      </w:pPr>
      <w:r>
        <w:rPr>
          <w:rFonts w:eastAsia="MS Gothic"/>
          <w:color w:val="000000"/>
          <w:lang w:eastAsia="en-GB"/>
        </w:rPr>
        <w:t>Naudotas t</w:t>
      </w:r>
      <w:r w:rsidRPr="00D238BF">
        <w:rPr>
          <w:rFonts w:eastAsia="MS Gothic"/>
          <w:color w:val="000000"/>
          <w:lang w:eastAsia="en-GB"/>
        </w:rPr>
        <w:t>eorija grįstas vertinimo požiūris taikant intervencijų logikos nustatymą</w:t>
      </w:r>
      <w:r>
        <w:rPr>
          <w:rFonts w:eastAsia="MS Gothic"/>
          <w:color w:val="000000"/>
          <w:lang w:eastAsia="en-GB"/>
        </w:rPr>
        <w:t>. Taikyti metodai: pirminių ir antrinių šaltinių analizė, statistinė analizė ir kt. kiekybiniai bei kokybiniai metodai.</w:t>
      </w:r>
    </w:p>
    <w:p w14:paraId="45850BA1" w14:textId="77777777" w:rsidR="00D35893" w:rsidRDefault="00D35893" w:rsidP="001C6E0F">
      <w:pPr>
        <w:jc w:val="both"/>
        <w:rPr>
          <w:rFonts w:eastAsia="MS Gothic"/>
          <w:b/>
          <w:bCs/>
          <w:color w:val="000000"/>
          <w:lang w:eastAsia="en-GB"/>
        </w:rPr>
      </w:pPr>
    </w:p>
    <w:p w14:paraId="311C6EA6" w14:textId="60AF70BE" w:rsidR="00D238BF" w:rsidRDefault="00D238BF" w:rsidP="001C6E0F">
      <w:pPr>
        <w:jc w:val="both"/>
        <w:rPr>
          <w:rFonts w:eastAsia="MS Gothic"/>
          <w:b/>
          <w:bCs/>
          <w:color w:val="000000"/>
          <w:lang w:eastAsia="en-GB"/>
        </w:rPr>
      </w:pPr>
      <w:r w:rsidRPr="00D238BF">
        <w:rPr>
          <w:rFonts w:eastAsia="MS Gothic"/>
          <w:b/>
          <w:bCs/>
          <w:color w:val="000000"/>
          <w:lang w:eastAsia="en-GB"/>
        </w:rPr>
        <w:t>Vertinimo rezultatai</w:t>
      </w:r>
    </w:p>
    <w:p w14:paraId="59291358" w14:textId="79910E38" w:rsidR="00BA5360" w:rsidRPr="000830E3" w:rsidRDefault="000830E3" w:rsidP="000830E3">
      <w:pPr>
        <w:jc w:val="both"/>
        <w:rPr>
          <w:bCs/>
        </w:rPr>
      </w:pPr>
      <w:r>
        <w:rPr>
          <w:bCs/>
        </w:rPr>
        <w:t xml:space="preserve">1) </w:t>
      </w:r>
      <w:r w:rsidR="005F36B8" w:rsidRPr="000830E3">
        <w:rPr>
          <w:bCs/>
        </w:rPr>
        <w:t xml:space="preserve">Parengti ir </w:t>
      </w:r>
      <w:r w:rsidR="00D238BF" w:rsidRPr="000830E3">
        <w:rPr>
          <w:bCs/>
        </w:rPr>
        <w:t xml:space="preserve">pateikti 5 </w:t>
      </w:r>
      <w:bookmarkStart w:id="3" w:name="_Hlk178087553"/>
      <w:r w:rsidR="00D238BF" w:rsidRPr="000830E3">
        <w:rPr>
          <w:bCs/>
        </w:rPr>
        <w:t xml:space="preserve">regionų funkcinės sveikatos priežiūros </w:t>
      </w:r>
      <w:bookmarkEnd w:id="3"/>
      <w:r w:rsidR="00D238BF" w:rsidRPr="000830E3">
        <w:rPr>
          <w:bCs/>
        </w:rPr>
        <w:t xml:space="preserve">planai: Vilniaus, Kauno, Klaipėdos, Šiaulių ir Panevėžio. </w:t>
      </w:r>
      <w:r w:rsidR="00BA5360" w:rsidRPr="000830E3">
        <w:rPr>
          <w:bCs/>
        </w:rPr>
        <w:t>Juose pateikta:</w:t>
      </w:r>
    </w:p>
    <w:p w14:paraId="17D7F767" w14:textId="4BACFD3C" w:rsidR="00BA5360" w:rsidRPr="000830E3" w:rsidRDefault="00BA5360" w:rsidP="00984DE1">
      <w:pPr>
        <w:pStyle w:val="Sraopastraipa"/>
        <w:numPr>
          <w:ilvl w:val="0"/>
          <w:numId w:val="13"/>
        </w:numPr>
        <w:jc w:val="both"/>
        <w:rPr>
          <w:bCs/>
        </w:rPr>
      </w:pPr>
      <w:r w:rsidRPr="000830E3">
        <w:rPr>
          <w:bCs/>
        </w:rPr>
        <w:t>Regiono situacijos apžvalga.</w:t>
      </w:r>
    </w:p>
    <w:p w14:paraId="533AFB7D" w14:textId="0E0237CD" w:rsidR="00BA5360" w:rsidRPr="000830E3" w:rsidRDefault="00BA5360" w:rsidP="00984DE1">
      <w:pPr>
        <w:pStyle w:val="Sraopastraipa"/>
        <w:numPr>
          <w:ilvl w:val="0"/>
          <w:numId w:val="13"/>
        </w:numPr>
        <w:jc w:val="both"/>
        <w:rPr>
          <w:bCs/>
        </w:rPr>
      </w:pPr>
      <w:r w:rsidRPr="000830E3">
        <w:rPr>
          <w:bCs/>
        </w:rPr>
        <w:t>Sveikatos priežiūros teikiamų paslaugų tendencijų analizė.</w:t>
      </w:r>
    </w:p>
    <w:p w14:paraId="18CED8C8" w14:textId="062370C5" w:rsidR="00BA5360" w:rsidRPr="000830E3" w:rsidRDefault="00BA5360" w:rsidP="00984DE1">
      <w:pPr>
        <w:pStyle w:val="Sraopastraipa"/>
        <w:numPr>
          <w:ilvl w:val="0"/>
          <w:numId w:val="13"/>
        </w:numPr>
        <w:jc w:val="both"/>
        <w:rPr>
          <w:bCs/>
        </w:rPr>
      </w:pPr>
      <w:r w:rsidRPr="000830E3">
        <w:rPr>
          <w:bCs/>
        </w:rPr>
        <w:t>Regiono bazinių ir specializuotų paslaugų tendencijų iki 2030 m. analizė.</w:t>
      </w:r>
    </w:p>
    <w:p w14:paraId="525F397C" w14:textId="18A9D903" w:rsidR="00BA5360" w:rsidRPr="000830E3" w:rsidRDefault="00BA5360" w:rsidP="00984DE1">
      <w:pPr>
        <w:pStyle w:val="Sraopastraipa"/>
        <w:numPr>
          <w:ilvl w:val="0"/>
          <w:numId w:val="13"/>
        </w:numPr>
        <w:jc w:val="both"/>
        <w:rPr>
          <w:bCs/>
        </w:rPr>
      </w:pPr>
      <w:r w:rsidRPr="000830E3">
        <w:rPr>
          <w:bCs/>
        </w:rPr>
        <w:t>Regiono ambulatorinių ir stacionarių paslaugų situacijos analizė.</w:t>
      </w:r>
    </w:p>
    <w:p w14:paraId="2A2D392B" w14:textId="46F6F858" w:rsidR="00BA5360" w:rsidRPr="000830E3" w:rsidRDefault="00BA5360" w:rsidP="00984DE1">
      <w:pPr>
        <w:pStyle w:val="Sraopastraipa"/>
        <w:numPr>
          <w:ilvl w:val="0"/>
          <w:numId w:val="13"/>
        </w:numPr>
        <w:jc w:val="both"/>
        <w:rPr>
          <w:bCs/>
        </w:rPr>
      </w:pPr>
      <w:r w:rsidRPr="000830E3">
        <w:rPr>
          <w:bCs/>
        </w:rPr>
        <w:t>Regiono pokyčių įgyvendinimo investicijos.</w:t>
      </w:r>
    </w:p>
    <w:p w14:paraId="48EDDCD1" w14:textId="0BA220EA" w:rsidR="00BA5360" w:rsidRPr="000830E3" w:rsidRDefault="00BA5360" w:rsidP="00984DE1">
      <w:pPr>
        <w:pStyle w:val="Sraopastraipa"/>
        <w:numPr>
          <w:ilvl w:val="0"/>
          <w:numId w:val="13"/>
        </w:numPr>
        <w:jc w:val="both"/>
        <w:rPr>
          <w:bCs/>
        </w:rPr>
      </w:pPr>
      <w:r w:rsidRPr="000830E3">
        <w:rPr>
          <w:bCs/>
        </w:rPr>
        <w:t>Vykdomų sveikatos priežiūros paslaugų pasiūlos regione rekomendacijos</w:t>
      </w:r>
    </w:p>
    <w:p w14:paraId="29D2A193" w14:textId="2A15A1F0" w:rsidR="005F36B8" w:rsidRPr="000830E3" w:rsidRDefault="000830E3" w:rsidP="000830E3">
      <w:pPr>
        <w:jc w:val="both"/>
        <w:rPr>
          <w:bCs/>
        </w:rPr>
      </w:pPr>
      <w:r>
        <w:rPr>
          <w:bCs/>
        </w:rPr>
        <w:t xml:space="preserve">2) </w:t>
      </w:r>
      <w:r w:rsidR="00BA5360" w:rsidRPr="000830E3">
        <w:rPr>
          <w:bCs/>
        </w:rPr>
        <w:t>S</w:t>
      </w:r>
      <w:r w:rsidR="005F36B8" w:rsidRPr="000830E3">
        <w:rPr>
          <w:bCs/>
        </w:rPr>
        <w:t xml:space="preserve">udarytas aktyviojo gydymo stacionarines paslaugas teikiančių įstaigų tinklas 2030 metams; </w:t>
      </w:r>
      <w:r w:rsidR="00BA5360" w:rsidRPr="000830E3">
        <w:rPr>
          <w:bCs/>
        </w:rPr>
        <w:t>r</w:t>
      </w:r>
      <w:r w:rsidR="005F36B8" w:rsidRPr="000830E3">
        <w:rPr>
          <w:bCs/>
        </w:rPr>
        <w:t>emiantis regionų stacionarinių sveikatos priežiūros paslaugų vartojimo poreikio prognozėmis, numatančiomis stacionarinių aktyvaus gydymo paslaugų vartojimo dinamiką, nustatomas optimizavimo poreikis ir būdas regiono klinikose.</w:t>
      </w:r>
    </w:p>
    <w:p w14:paraId="108D4A77" w14:textId="654E0DFE" w:rsidR="005F36B8" w:rsidRDefault="000830E3" w:rsidP="000830E3">
      <w:pPr>
        <w:jc w:val="both"/>
        <w:rPr>
          <w:bCs/>
        </w:rPr>
      </w:pPr>
      <w:r>
        <w:rPr>
          <w:bCs/>
        </w:rPr>
        <w:t xml:space="preserve">3) </w:t>
      </w:r>
      <w:r w:rsidR="00BA5360" w:rsidRPr="000830E3">
        <w:rPr>
          <w:bCs/>
        </w:rPr>
        <w:t>S</w:t>
      </w:r>
      <w:r w:rsidR="005F36B8" w:rsidRPr="000830E3">
        <w:rPr>
          <w:bCs/>
        </w:rPr>
        <w:t>udarytas psichiatrijos dienos stacionarų paslaugų plėtrą Lietuvoje tinklas: psichiatrijos dienos stacionaro paslaugų tinklas kiekvieno rajono savivaldybėse nustatytas remiantis tiek gyventojų skaičiumi, tiek konkrečios paslaugos poreikiu.</w:t>
      </w:r>
    </w:p>
    <w:p w14:paraId="78725A99" w14:textId="77777777" w:rsidR="00D35893" w:rsidRDefault="00D35893" w:rsidP="000830E3">
      <w:pPr>
        <w:jc w:val="both"/>
        <w:rPr>
          <w:b/>
        </w:rPr>
      </w:pPr>
    </w:p>
    <w:p w14:paraId="5E1FBB1C" w14:textId="66AD7F53" w:rsidR="000830E3" w:rsidRDefault="000830E3" w:rsidP="000830E3">
      <w:pPr>
        <w:jc w:val="both"/>
        <w:rPr>
          <w:b/>
        </w:rPr>
      </w:pPr>
      <w:r w:rsidRPr="000830E3">
        <w:rPr>
          <w:b/>
        </w:rPr>
        <w:t>Vertinimo rekomendacijos ir nauda</w:t>
      </w:r>
    </w:p>
    <w:p w14:paraId="5E2762D3" w14:textId="15A943AE" w:rsidR="00984DE1" w:rsidRPr="00984DE1" w:rsidRDefault="00984DE1" w:rsidP="000830E3">
      <w:pPr>
        <w:jc w:val="both"/>
        <w:rPr>
          <w:bCs/>
        </w:rPr>
      </w:pPr>
      <w:r>
        <w:rPr>
          <w:bCs/>
        </w:rPr>
        <w:t>Atlikta išsami analizė padės</w:t>
      </w:r>
      <w:r w:rsidRPr="00984DE1">
        <w:rPr>
          <w:bCs/>
        </w:rPr>
        <w:t xml:space="preserve"> užtikrinti tikslingą 2021–2027 m. ES fondų ir kitų finansinių šaltinių investicijų panaudojimą sveikatos apsaugos sektoriuje, įgyvendinant sveikatos priežiūros įstaigų tinklo pertvarką. </w:t>
      </w:r>
      <w:r>
        <w:rPr>
          <w:bCs/>
        </w:rPr>
        <w:t>R</w:t>
      </w:r>
      <w:r w:rsidRPr="00984DE1">
        <w:rPr>
          <w:bCs/>
        </w:rPr>
        <w:t>egionų funkcinės sveikatos priežiūros plan</w:t>
      </w:r>
      <w:r>
        <w:rPr>
          <w:bCs/>
        </w:rPr>
        <w:t>uose pateiktos rekomendacijos</w:t>
      </w:r>
      <w:r w:rsidRPr="00984DE1">
        <w:rPr>
          <w:bCs/>
        </w:rPr>
        <w:t>, atsižvelgiant į kiekvieno regiono savivaldybės poreikius</w:t>
      </w:r>
      <w:r>
        <w:rPr>
          <w:bCs/>
        </w:rPr>
        <w:t>.</w:t>
      </w:r>
    </w:p>
    <w:p w14:paraId="7B9B5DB8" w14:textId="683D1B96" w:rsidR="00061D7F" w:rsidRPr="00BA5360" w:rsidRDefault="00061D7F" w:rsidP="00984DE1">
      <w:pPr>
        <w:pStyle w:val="Sraopastraipa"/>
        <w:numPr>
          <w:ilvl w:val="0"/>
          <w:numId w:val="5"/>
        </w:numPr>
        <w:jc w:val="both"/>
        <w:rPr>
          <w:bCs/>
        </w:rPr>
      </w:pPr>
      <w:r w:rsidRPr="00BA5360">
        <w:rPr>
          <w:bCs/>
        </w:rPr>
        <w:br w:type="page"/>
      </w:r>
    </w:p>
    <w:p w14:paraId="786D0984" w14:textId="77777777" w:rsidR="000B5947" w:rsidRPr="00D7785E" w:rsidRDefault="000B5947" w:rsidP="009E0C38">
      <w:pPr>
        <w:rPr>
          <w:b/>
        </w:rPr>
      </w:pPr>
    </w:p>
    <w:p w14:paraId="21DAA81D" w14:textId="6AE7DF58" w:rsidR="0042453E" w:rsidRDefault="008D1CE5" w:rsidP="00B02B73">
      <w:pPr>
        <w:jc w:val="both"/>
        <w:rPr>
          <w:color w:val="000000"/>
        </w:rPr>
      </w:pPr>
      <w:r>
        <w:rPr>
          <w:b/>
        </w:rPr>
        <w:t>7</w:t>
      </w:r>
      <w:r w:rsidR="00B02B73">
        <w:rPr>
          <w:b/>
        </w:rPr>
        <w:t xml:space="preserve">. </w:t>
      </w:r>
      <w:bookmarkStart w:id="4" w:name="_Hlk144381779"/>
      <w:r w:rsidR="00B02B73" w:rsidRPr="00B02B73">
        <w:rPr>
          <w:b/>
        </w:rPr>
        <w:t>2021–2027 m. ES fondų investicijų laikotarpio kultūros skaitmeninimo srities prioritetų strateginis vertinimas</w:t>
      </w:r>
      <w:r w:rsidR="00B02B73" w:rsidRPr="00B02B73">
        <w:rPr>
          <w:color w:val="000000"/>
        </w:rPr>
        <w:t xml:space="preserve"> </w:t>
      </w:r>
    </w:p>
    <w:p w14:paraId="4D87F3D0" w14:textId="2A33D763" w:rsidR="00B02B73" w:rsidRPr="00D7785E" w:rsidRDefault="00B02B73" w:rsidP="00B02B73">
      <w:pPr>
        <w:jc w:val="both"/>
        <w:rPr>
          <w:color w:val="000000"/>
        </w:rPr>
      </w:pPr>
      <w:bookmarkStart w:id="5" w:name="_Hlk150427940"/>
      <w:r w:rsidRPr="00D7785E">
        <w:rPr>
          <w:color w:val="000000"/>
        </w:rPr>
        <w:t>Užsakovas: Lietuvos Respublikos kultūros ministerija (KM)</w:t>
      </w:r>
    </w:p>
    <w:p w14:paraId="1158566D" w14:textId="4A816F56" w:rsidR="00B02B73" w:rsidRDefault="00B02B73" w:rsidP="0042453E">
      <w:pPr>
        <w:pStyle w:val="Default"/>
        <w:jc w:val="both"/>
        <w:rPr>
          <w:rFonts w:ascii="Times New Roman" w:hAnsi="Times New Roman" w:cs="Times New Roman"/>
        </w:rPr>
      </w:pPr>
      <w:r w:rsidRPr="00D7785E">
        <w:rPr>
          <w:rFonts w:ascii="Times New Roman" w:hAnsi="Times New Roman" w:cs="Times New Roman"/>
        </w:rPr>
        <w:t xml:space="preserve">Vertinimą atliko: </w:t>
      </w:r>
      <w:r w:rsidR="0042453E">
        <w:rPr>
          <w:rFonts w:ascii="Times New Roman" w:hAnsi="Times New Roman" w:cs="Times New Roman"/>
        </w:rPr>
        <w:t>Smart Continent</w:t>
      </w:r>
      <w:r w:rsidRPr="00D7785E">
        <w:rPr>
          <w:rFonts w:ascii="Times New Roman" w:hAnsi="Times New Roman" w:cs="Times New Roman"/>
        </w:rPr>
        <w:t xml:space="preserve">, </w:t>
      </w:r>
      <w:r w:rsidR="00805976">
        <w:rPr>
          <w:rFonts w:ascii="Times New Roman" w:hAnsi="Times New Roman" w:cs="Times New Roman"/>
        </w:rPr>
        <w:t xml:space="preserve">UAB, </w:t>
      </w:r>
      <w:r w:rsidR="0042453E">
        <w:rPr>
          <w:rFonts w:ascii="Times New Roman" w:hAnsi="Times New Roman" w:cs="Times New Roman"/>
        </w:rPr>
        <w:t xml:space="preserve">2023 m. </w:t>
      </w:r>
    </w:p>
    <w:p w14:paraId="24745FA3" w14:textId="77777777" w:rsidR="0042453E" w:rsidRPr="00D7785E" w:rsidRDefault="0042453E" w:rsidP="0042453E">
      <w:pPr>
        <w:pStyle w:val="Default"/>
        <w:jc w:val="both"/>
      </w:pPr>
    </w:p>
    <w:p w14:paraId="04F84222" w14:textId="77777777" w:rsidR="00B02B73" w:rsidRPr="00D7785E" w:rsidRDefault="00B02B73" w:rsidP="00D35893">
      <w:pPr>
        <w:autoSpaceDE w:val="0"/>
        <w:autoSpaceDN w:val="0"/>
        <w:adjustRightInd w:val="0"/>
        <w:jc w:val="both"/>
        <w:rPr>
          <w:b/>
          <w:color w:val="000000"/>
        </w:rPr>
      </w:pPr>
      <w:r w:rsidRPr="00D7785E">
        <w:rPr>
          <w:b/>
          <w:color w:val="000000"/>
        </w:rPr>
        <w:t>Vertinimo tikslas, uždaviniai, apimtis, metodai</w:t>
      </w:r>
    </w:p>
    <w:p w14:paraId="430DBE1C" w14:textId="77777777" w:rsidR="00B02B73" w:rsidRPr="00D7785E" w:rsidRDefault="00B02B73" w:rsidP="00D35893">
      <w:pPr>
        <w:autoSpaceDE w:val="0"/>
        <w:autoSpaceDN w:val="0"/>
        <w:adjustRightInd w:val="0"/>
        <w:jc w:val="both"/>
        <w:rPr>
          <w:b/>
          <w:color w:val="000000"/>
        </w:rPr>
      </w:pPr>
      <w:r w:rsidRPr="00D7785E">
        <w:rPr>
          <w:b/>
          <w:color w:val="000000"/>
        </w:rPr>
        <w:t>Tikslas</w:t>
      </w:r>
    </w:p>
    <w:p w14:paraId="01431503" w14:textId="33187ABB" w:rsidR="00B02B73" w:rsidRPr="00D7785E" w:rsidRDefault="0042453E" w:rsidP="00D35893">
      <w:pPr>
        <w:autoSpaceDE w:val="0"/>
        <w:autoSpaceDN w:val="0"/>
        <w:adjustRightInd w:val="0"/>
        <w:jc w:val="both"/>
      </w:pPr>
      <w:r>
        <w:t>Į</w:t>
      </w:r>
      <w:r w:rsidRPr="0042453E">
        <w:t>vertinti ES fondų ir kitų finansinių šaltinių investicijų į kultūros srities išteklių skaitmeninimą poveikį teikiamų kultūros paslaugų apimtims ir kokybei</w:t>
      </w:r>
      <w:r w:rsidR="00B02B73" w:rsidRPr="00D7785E">
        <w:t>.</w:t>
      </w:r>
    </w:p>
    <w:p w14:paraId="0589C998" w14:textId="5711CA8C" w:rsidR="00B02B73" w:rsidRPr="00D7785E" w:rsidRDefault="00B02B73" w:rsidP="00D35893">
      <w:pPr>
        <w:autoSpaceDE w:val="0"/>
        <w:autoSpaceDN w:val="0"/>
        <w:adjustRightInd w:val="0"/>
        <w:jc w:val="both"/>
        <w:rPr>
          <w:b/>
          <w:color w:val="000000"/>
        </w:rPr>
      </w:pPr>
      <w:r w:rsidRPr="00D7785E">
        <w:rPr>
          <w:b/>
          <w:color w:val="000000"/>
        </w:rPr>
        <w:t>Uždaviniai</w:t>
      </w:r>
    </w:p>
    <w:p w14:paraId="475AA424" w14:textId="556B27B2" w:rsidR="0042453E" w:rsidRPr="0042453E" w:rsidRDefault="00B02B73" w:rsidP="00D35893">
      <w:pPr>
        <w:autoSpaceDE w:val="0"/>
        <w:autoSpaceDN w:val="0"/>
        <w:adjustRightInd w:val="0"/>
        <w:jc w:val="both"/>
        <w:rPr>
          <w:rFonts w:eastAsiaTheme="minorHAnsi"/>
          <w:color w:val="000000"/>
          <w:lang w:eastAsia="en-US"/>
        </w:rPr>
      </w:pPr>
      <w:r w:rsidRPr="00D7785E">
        <w:rPr>
          <w:rFonts w:eastAsiaTheme="minorHAnsi"/>
          <w:color w:val="000000"/>
          <w:lang w:eastAsia="en-US"/>
        </w:rPr>
        <w:t>1</w:t>
      </w:r>
      <w:r w:rsidR="008D1CE5">
        <w:rPr>
          <w:rFonts w:eastAsiaTheme="minorHAnsi"/>
          <w:color w:val="000000"/>
          <w:lang w:eastAsia="en-US"/>
        </w:rPr>
        <w:t>)</w:t>
      </w:r>
      <w:r w:rsidRPr="00D7785E">
        <w:rPr>
          <w:rFonts w:eastAsiaTheme="minorHAnsi"/>
          <w:color w:val="000000"/>
          <w:lang w:eastAsia="en-US"/>
        </w:rPr>
        <w:t xml:space="preserve"> </w:t>
      </w:r>
      <w:r w:rsidR="0042453E" w:rsidRPr="0042453E">
        <w:rPr>
          <w:rFonts w:eastAsiaTheme="minorHAnsi"/>
          <w:color w:val="000000"/>
          <w:lang w:eastAsia="en-US"/>
        </w:rPr>
        <w:t>įvertinti 2014–2020 m. ES fondų ir kitų valstybės investicijų  į kultūros turinio skaitmeninimo poveikį skaitmeninio ir suskaitmeninto kultūros turinio atvirumui ir prieinamumui visuomenei;</w:t>
      </w:r>
    </w:p>
    <w:p w14:paraId="7B57E01A" w14:textId="1E65FB5B" w:rsidR="0042453E" w:rsidRPr="0042453E" w:rsidRDefault="00720FE9" w:rsidP="00D35893">
      <w:pPr>
        <w:autoSpaceDE w:val="0"/>
        <w:autoSpaceDN w:val="0"/>
        <w:adjustRightInd w:val="0"/>
        <w:jc w:val="both"/>
        <w:rPr>
          <w:rFonts w:eastAsiaTheme="minorHAnsi"/>
          <w:color w:val="000000"/>
          <w:lang w:eastAsia="en-US"/>
        </w:rPr>
      </w:pPr>
      <w:r>
        <w:rPr>
          <w:rFonts w:eastAsiaTheme="minorHAnsi"/>
          <w:color w:val="000000"/>
          <w:lang w:eastAsia="en-US"/>
        </w:rPr>
        <w:t>2</w:t>
      </w:r>
      <w:r w:rsidR="008D1CE5">
        <w:rPr>
          <w:rFonts w:eastAsiaTheme="minorHAnsi"/>
          <w:color w:val="000000"/>
          <w:lang w:eastAsia="en-US"/>
        </w:rPr>
        <w:t>)</w:t>
      </w:r>
      <w:r>
        <w:rPr>
          <w:rFonts w:eastAsiaTheme="minorHAnsi"/>
          <w:color w:val="000000"/>
          <w:lang w:eastAsia="en-US"/>
        </w:rPr>
        <w:t xml:space="preserve"> </w:t>
      </w:r>
      <w:r w:rsidR="0042453E" w:rsidRPr="0042453E">
        <w:rPr>
          <w:rFonts w:eastAsiaTheme="minorHAnsi"/>
          <w:color w:val="000000"/>
          <w:lang w:eastAsia="en-US"/>
        </w:rPr>
        <w:t>išanalizuoti ir pateikti gerąsias praktikas pasirinktose Europos Sąjungos šalyse taikomas kultūros išteklių skaitmeninimo bei skaitmeninio kultūros turinio sklaidos priemonėms;</w:t>
      </w:r>
    </w:p>
    <w:p w14:paraId="753D3C47" w14:textId="36154896" w:rsidR="0042453E" w:rsidRPr="0042453E" w:rsidRDefault="00720FE9" w:rsidP="00D35893">
      <w:pPr>
        <w:autoSpaceDE w:val="0"/>
        <w:autoSpaceDN w:val="0"/>
        <w:adjustRightInd w:val="0"/>
        <w:jc w:val="both"/>
        <w:rPr>
          <w:rFonts w:eastAsiaTheme="minorHAnsi"/>
          <w:color w:val="000000"/>
          <w:lang w:eastAsia="en-US"/>
        </w:rPr>
      </w:pPr>
      <w:r>
        <w:rPr>
          <w:rFonts w:eastAsiaTheme="minorHAnsi"/>
          <w:color w:val="000000"/>
          <w:lang w:eastAsia="en-US"/>
        </w:rPr>
        <w:t>3</w:t>
      </w:r>
      <w:r w:rsidR="008D1CE5">
        <w:rPr>
          <w:rFonts w:eastAsiaTheme="minorHAnsi"/>
          <w:color w:val="000000"/>
          <w:lang w:eastAsia="en-US"/>
        </w:rPr>
        <w:t>)</w:t>
      </w:r>
      <w:r>
        <w:rPr>
          <w:rFonts w:eastAsiaTheme="minorHAnsi"/>
          <w:color w:val="000000"/>
          <w:lang w:eastAsia="en-US"/>
        </w:rPr>
        <w:t xml:space="preserve"> i</w:t>
      </w:r>
      <w:r w:rsidR="0042453E" w:rsidRPr="0042453E">
        <w:rPr>
          <w:rFonts w:eastAsiaTheme="minorHAnsi"/>
          <w:color w:val="000000"/>
          <w:lang w:eastAsia="en-US"/>
        </w:rPr>
        <w:t>šanalizuoti ir pateikti unifikuotų portalų, skirtų kaupti, saugoti ir skleisti skaitmeninius ir skaitmenizuotus kultūros išteklius, tinklaveikos, sąsajumo ir sąveikumo su esamomis Lietuvoje kultūros išteklių sistemomis galimybes, techninius reikalavimus, taikomus tokių portalų suskaitmenintam kultūros produktui, šių portalų kuriamą vertę bei bendradarbiavimo kaštus;</w:t>
      </w:r>
    </w:p>
    <w:p w14:paraId="493E734B" w14:textId="4141E4EF" w:rsidR="0042453E" w:rsidRPr="0042453E" w:rsidRDefault="00720FE9" w:rsidP="00D35893">
      <w:pPr>
        <w:autoSpaceDE w:val="0"/>
        <w:autoSpaceDN w:val="0"/>
        <w:adjustRightInd w:val="0"/>
        <w:jc w:val="both"/>
        <w:rPr>
          <w:rFonts w:eastAsiaTheme="minorHAnsi"/>
          <w:color w:val="000000"/>
          <w:lang w:eastAsia="en-US"/>
        </w:rPr>
      </w:pPr>
      <w:r>
        <w:rPr>
          <w:rFonts w:eastAsiaTheme="minorHAnsi"/>
          <w:color w:val="000000"/>
          <w:lang w:eastAsia="en-US"/>
        </w:rPr>
        <w:t>4</w:t>
      </w:r>
      <w:r w:rsidR="008D1CE5">
        <w:rPr>
          <w:rFonts w:eastAsiaTheme="minorHAnsi"/>
          <w:color w:val="000000"/>
          <w:lang w:eastAsia="en-US"/>
        </w:rPr>
        <w:t>)</w:t>
      </w:r>
      <w:r>
        <w:rPr>
          <w:rFonts w:eastAsiaTheme="minorHAnsi"/>
          <w:color w:val="000000"/>
          <w:lang w:eastAsia="en-US"/>
        </w:rPr>
        <w:t xml:space="preserve"> </w:t>
      </w:r>
      <w:r w:rsidR="0042453E" w:rsidRPr="0042453E">
        <w:rPr>
          <w:rFonts w:eastAsiaTheme="minorHAnsi"/>
          <w:color w:val="000000"/>
          <w:lang w:eastAsia="en-US"/>
        </w:rPr>
        <w:t>išanalizuoti ir apibendrinti Lietuvos skaitmeninius ir suskaitmenintus kultūros išteklius bei skaitmeninti bei skleisti naudojamus įrankius, kylančius iššūkius;</w:t>
      </w:r>
    </w:p>
    <w:p w14:paraId="7BD9D5B1" w14:textId="34F1BC7B" w:rsidR="0042453E" w:rsidRPr="0042453E" w:rsidRDefault="00720FE9" w:rsidP="00D35893">
      <w:pPr>
        <w:autoSpaceDE w:val="0"/>
        <w:autoSpaceDN w:val="0"/>
        <w:adjustRightInd w:val="0"/>
        <w:jc w:val="both"/>
        <w:rPr>
          <w:rFonts w:eastAsiaTheme="minorHAnsi"/>
          <w:color w:val="000000"/>
          <w:lang w:eastAsia="en-US"/>
        </w:rPr>
      </w:pPr>
      <w:r>
        <w:rPr>
          <w:rFonts w:eastAsiaTheme="minorHAnsi"/>
          <w:color w:val="000000"/>
          <w:lang w:eastAsia="en-US"/>
        </w:rPr>
        <w:t>5</w:t>
      </w:r>
      <w:r w:rsidR="008D1CE5">
        <w:rPr>
          <w:rFonts w:eastAsiaTheme="minorHAnsi"/>
          <w:color w:val="000000"/>
          <w:lang w:eastAsia="en-US"/>
        </w:rPr>
        <w:t>)</w:t>
      </w:r>
      <w:r>
        <w:rPr>
          <w:rFonts w:eastAsiaTheme="minorHAnsi"/>
          <w:color w:val="000000"/>
          <w:lang w:eastAsia="en-US"/>
        </w:rPr>
        <w:t xml:space="preserve"> </w:t>
      </w:r>
      <w:r w:rsidR="0042453E" w:rsidRPr="0042453E">
        <w:rPr>
          <w:rFonts w:eastAsiaTheme="minorHAnsi"/>
          <w:color w:val="000000"/>
          <w:lang w:eastAsia="en-US"/>
        </w:rPr>
        <w:t>įvertinti ES fondų ir kitų investicijų į kultūros srities išteklių skaitmeninimo rezultatyvumą ir pasiekimo laipsnį;</w:t>
      </w:r>
    </w:p>
    <w:p w14:paraId="41401C77" w14:textId="656545C4" w:rsidR="00720FE9" w:rsidRDefault="00720FE9" w:rsidP="00D35893">
      <w:pPr>
        <w:autoSpaceDE w:val="0"/>
        <w:autoSpaceDN w:val="0"/>
        <w:adjustRightInd w:val="0"/>
        <w:jc w:val="both"/>
        <w:rPr>
          <w:rFonts w:eastAsiaTheme="minorHAnsi"/>
          <w:color w:val="000000"/>
          <w:lang w:eastAsia="en-US"/>
        </w:rPr>
      </w:pPr>
      <w:r>
        <w:rPr>
          <w:rFonts w:eastAsiaTheme="minorHAnsi"/>
          <w:color w:val="000000"/>
          <w:lang w:eastAsia="en-US"/>
        </w:rPr>
        <w:t>6</w:t>
      </w:r>
      <w:r w:rsidR="008D1CE5">
        <w:rPr>
          <w:rFonts w:eastAsiaTheme="minorHAnsi"/>
          <w:color w:val="000000"/>
          <w:lang w:eastAsia="en-US"/>
        </w:rPr>
        <w:t>)</w:t>
      </w:r>
      <w:r>
        <w:rPr>
          <w:rFonts w:eastAsiaTheme="minorHAnsi"/>
          <w:color w:val="000000"/>
          <w:lang w:eastAsia="en-US"/>
        </w:rPr>
        <w:t xml:space="preserve"> </w:t>
      </w:r>
      <w:r w:rsidR="0042453E" w:rsidRPr="0042453E">
        <w:rPr>
          <w:rFonts w:eastAsiaTheme="minorHAnsi"/>
          <w:color w:val="000000"/>
          <w:lang w:eastAsia="en-US"/>
        </w:rPr>
        <w:t>pateikti esamų kultūros išteklių elektroninių paslaugų efektyvinimo bei naujų paslaugų kūrimo gaires 2021–2027 m. programavimo laikotarpiu ir investicijų poreikį joms (jas) realizuoti.</w:t>
      </w:r>
    </w:p>
    <w:p w14:paraId="56FE44F8" w14:textId="0D8F5B88" w:rsidR="0042453E" w:rsidRPr="0042453E" w:rsidRDefault="00D35893" w:rsidP="00D35893">
      <w:pPr>
        <w:autoSpaceDE w:val="0"/>
        <w:autoSpaceDN w:val="0"/>
        <w:adjustRightInd w:val="0"/>
        <w:jc w:val="both"/>
        <w:rPr>
          <w:b/>
        </w:rPr>
      </w:pPr>
      <w:r>
        <w:rPr>
          <w:b/>
        </w:rPr>
        <w:t>O</w:t>
      </w:r>
      <w:r w:rsidR="0042453E" w:rsidRPr="0042453E">
        <w:rPr>
          <w:b/>
        </w:rPr>
        <w:t>bjektas</w:t>
      </w:r>
    </w:p>
    <w:p w14:paraId="29F6247C" w14:textId="47C0EFCA" w:rsidR="0042453E" w:rsidRPr="0042453E" w:rsidRDefault="0042453E" w:rsidP="00D35893">
      <w:pPr>
        <w:jc w:val="both"/>
        <w:rPr>
          <w:bCs/>
        </w:rPr>
      </w:pPr>
      <w:r w:rsidRPr="0042453E">
        <w:rPr>
          <w:bCs/>
        </w:rPr>
        <w:t>2014–2020 m. ES fondų investicijų veiksmų program</w:t>
      </w:r>
      <w:r>
        <w:rPr>
          <w:bCs/>
        </w:rPr>
        <w:t xml:space="preserve">a (toliau – </w:t>
      </w:r>
      <w:r w:rsidR="005B4C83">
        <w:rPr>
          <w:bCs/>
        </w:rPr>
        <w:t>VP</w:t>
      </w:r>
      <w:r>
        <w:rPr>
          <w:bCs/>
        </w:rPr>
        <w:t>)</w:t>
      </w:r>
      <w:r w:rsidRPr="0042453E">
        <w:rPr>
          <w:bCs/>
        </w:rPr>
        <w:t>, 2021–2027 m. ES fondų investicijų programos ir kitos investicijos į kultūros srities išteklių skaitmeninimą.</w:t>
      </w:r>
    </w:p>
    <w:p w14:paraId="5B059422" w14:textId="77777777" w:rsidR="0042453E" w:rsidRDefault="0042453E" w:rsidP="00D35893">
      <w:pPr>
        <w:overflowPunct w:val="0"/>
        <w:autoSpaceDE w:val="0"/>
        <w:autoSpaceDN w:val="0"/>
        <w:adjustRightInd w:val="0"/>
        <w:jc w:val="both"/>
        <w:textAlignment w:val="baseline"/>
        <w:rPr>
          <w:b/>
          <w:color w:val="000000"/>
        </w:rPr>
      </w:pPr>
      <w:r w:rsidRPr="00D7785E">
        <w:rPr>
          <w:b/>
          <w:color w:val="000000"/>
        </w:rPr>
        <w:t>Apimtis</w:t>
      </w:r>
    </w:p>
    <w:p w14:paraId="56DD0CC9" w14:textId="79F1B33C" w:rsidR="0042453E" w:rsidRPr="0042453E" w:rsidRDefault="0042453E" w:rsidP="00D35893">
      <w:pPr>
        <w:overflowPunct w:val="0"/>
        <w:autoSpaceDE w:val="0"/>
        <w:autoSpaceDN w:val="0"/>
        <w:adjustRightInd w:val="0"/>
        <w:jc w:val="both"/>
        <w:textAlignment w:val="baseline"/>
        <w:rPr>
          <w:bCs/>
          <w:color w:val="000000"/>
        </w:rPr>
      </w:pPr>
      <w:r w:rsidRPr="0042453E">
        <w:rPr>
          <w:bCs/>
          <w:color w:val="000000"/>
        </w:rPr>
        <w:t>Vertinimo apimtyje analizuojamos VP priemonės ir Kultūros rėmimo fondo (toliau – KRF) programos:</w:t>
      </w:r>
    </w:p>
    <w:p w14:paraId="79405874" w14:textId="72BA0CF9" w:rsidR="0042453E" w:rsidRPr="0042453E" w:rsidRDefault="0042453E" w:rsidP="00D35893">
      <w:pPr>
        <w:overflowPunct w:val="0"/>
        <w:autoSpaceDE w:val="0"/>
        <w:autoSpaceDN w:val="0"/>
        <w:adjustRightInd w:val="0"/>
        <w:jc w:val="both"/>
        <w:textAlignment w:val="baseline"/>
        <w:rPr>
          <w:bCs/>
          <w:color w:val="000000"/>
        </w:rPr>
      </w:pPr>
      <w:r w:rsidRPr="0042453E">
        <w:rPr>
          <w:bCs/>
          <w:color w:val="000000"/>
        </w:rPr>
        <w:t>•02.3.1-CPVA-V-526 „Kultūros turinio skaitmeninimas ir sklaida“;</w:t>
      </w:r>
    </w:p>
    <w:p w14:paraId="348E4763" w14:textId="6690A35E" w:rsidR="0042453E" w:rsidRPr="0042453E" w:rsidRDefault="0042453E" w:rsidP="00D35893">
      <w:pPr>
        <w:overflowPunct w:val="0"/>
        <w:autoSpaceDE w:val="0"/>
        <w:autoSpaceDN w:val="0"/>
        <w:adjustRightInd w:val="0"/>
        <w:jc w:val="both"/>
        <w:textAlignment w:val="baseline"/>
        <w:rPr>
          <w:bCs/>
          <w:color w:val="000000"/>
        </w:rPr>
      </w:pPr>
      <w:r w:rsidRPr="0042453E">
        <w:rPr>
          <w:bCs/>
          <w:color w:val="000000"/>
        </w:rPr>
        <w:t>•13.1.1-LVPA-K-309 „Paskatos gerinti kultūros ir kūrybinių industrijų įmonių infrastruktūrą“;</w:t>
      </w:r>
    </w:p>
    <w:p w14:paraId="51557482" w14:textId="55D8312D" w:rsidR="0042453E" w:rsidRPr="0042453E" w:rsidRDefault="0042453E" w:rsidP="00D35893">
      <w:pPr>
        <w:overflowPunct w:val="0"/>
        <w:autoSpaceDE w:val="0"/>
        <w:autoSpaceDN w:val="0"/>
        <w:adjustRightInd w:val="0"/>
        <w:jc w:val="both"/>
        <w:textAlignment w:val="baseline"/>
        <w:rPr>
          <w:bCs/>
          <w:color w:val="000000"/>
        </w:rPr>
      </w:pPr>
      <w:r w:rsidRPr="0042453E">
        <w:rPr>
          <w:bCs/>
          <w:color w:val="000000"/>
        </w:rPr>
        <w:t>•13.1.1-LVPA-K-310 „Paskatos kultūros ir kūrybinių industrijų sektoriui kurti konkurencingus kultūros produktus“;</w:t>
      </w:r>
    </w:p>
    <w:p w14:paraId="56638D5F" w14:textId="61E377FE" w:rsidR="0042453E" w:rsidRPr="0042453E" w:rsidRDefault="0042453E" w:rsidP="00D35893">
      <w:pPr>
        <w:overflowPunct w:val="0"/>
        <w:autoSpaceDE w:val="0"/>
        <w:autoSpaceDN w:val="0"/>
        <w:adjustRightInd w:val="0"/>
        <w:jc w:val="both"/>
        <w:textAlignment w:val="baseline"/>
        <w:rPr>
          <w:bCs/>
          <w:color w:val="000000"/>
        </w:rPr>
      </w:pPr>
      <w:r w:rsidRPr="0042453E">
        <w:rPr>
          <w:bCs/>
          <w:color w:val="000000"/>
        </w:rPr>
        <w:t>•KRF01 „Kultūros ir meno organizacijų naujų produktų ir (ar) paslaugų kūrimas“;</w:t>
      </w:r>
    </w:p>
    <w:p w14:paraId="25907485" w14:textId="6E7F33A5" w:rsidR="0042453E" w:rsidRDefault="0042453E" w:rsidP="00D35893">
      <w:pPr>
        <w:overflowPunct w:val="0"/>
        <w:autoSpaceDE w:val="0"/>
        <w:autoSpaceDN w:val="0"/>
        <w:adjustRightInd w:val="0"/>
        <w:jc w:val="both"/>
        <w:textAlignment w:val="baseline"/>
        <w:rPr>
          <w:bCs/>
          <w:color w:val="000000"/>
        </w:rPr>
      </w:pPr>
      <w:r w:rsidRPr="0042453E">
        <w:rPr>
          <w:bCs/>
          <w:color w:val="000000"/>
        </w:rPr>
        <w:t>•KRF02 „Skaitmeninių kultūros objektų sklaida“</w:t>
      </w:r>
    </w:p>
    <w:p w14:paraId="39021D71" w14:textId="20ED421F" w:rsidR="0042453E" w:rsidRPr="0042453E" w:rsidRDefault="0042453E" w:rsidP="00D35893">
      <w:pPr>
        <w:overflowPunct w:val="0"/>
        <w:autoSpaceDE w:val="0"/>
        <w:autoSpaceDN w:val="0"/>
        <w:adjustRightInd w:val="0"/>
        <w:jc w:val="both"/>
        <w:textAlignment w:val="baseline"/>
        <w:rPr>
          <w:bCs/>
          <w:color w:val="000000"/>
        </w:rPr>
      </w:pPr>
      <w:r w:rsidRPr="0042453E">
        <w:rPr>
          <w:bCs/>
          <w:color w:val="000000"/>
        </w:rPr>
        <w:t>•KRF03 „Atminties institucijos“</w:t>
      </w:r>
    </w:p>
    <w:p w14:paraId="2130405C" w14:textId="490E586F" w:rsidR="0042453E" w:rsidRPr="0042453E" w:rsidRDefault="0042453E" w:rsidP="00D35893">
      <w:pPr>
        <w:overflowPunct w:val="0"/>
        <w:autoSpaceDE w:val="0"/>
        <w:autoSpaceDN w:val="0"/>
        <w:adjustRightInd w:val="0"/>
        <w:jc w:val="both"/>
        <w:textAlignment w:val="baseline"/>
        <w:rPr>
          <w:bCs/>
          <w:color w:val="000000"/>
        </w:rPr>
      </w:pPr>
      <w:r w:rsidRPr="0042453E">
        <w:rPr>
          <w:bCs/>
          <w:color w:val="000000"/>
        </w:rPr>
        <w:t>•KRF04 „Kūrybinė veikla ir autorių teisių ir gretutinių teisių apsauga: autorių teisių ir gretutinių teisių apsauga“</w:t>
      </w:r>
    </w:p>
    <w:p w14:paraId="5321C7C3" w14:textId="46636481" w:rsidR="0042453E" w:rsidRPr="0042453E" w:rsidRDefault="0042453E" w:rsidP="00D35893">
      <w:pPr>
        <w:overflowPunct w:val="0"/>
        <w:autoSpaceDE w:val="0"/>
        <w:autoSpaceDN w:val="0"/>
        <w:adjustRightInd w:val="0"/>
        <w:jc w:val="both"/>
        <w:textAlignment w:val="baseline"/>
        <w:rPr>
          <w:bCs/>
          <w:color w:val="000000"/>
        </w:rPr>
      </w:pPr>
      <w:r w:rsidRPr="0042453E">
        <w:rPr>
          <w:bCs/>
          <w:color w:val="000000"/>
        </w:rPr>
        <w:t>•KRF05 „Autorių teisių ir gretutinių teisių apsauga“</w:t>
      </w:r>
    </w:p>
    <w:p w14:paraId="5CDF78E7" w14:textId="6E137BF5" w:rsidR="0042453E" w:rsidRDefault="0042453E" w:rsidP="00D35893">
      <w:pPr>
        <w:overflowPunct w:val="0"/>
        <w:autoSpaceDE w:val="0"/>
        <w:autoSpaceDN w:val="0"/>
        <w:adjustRightInd w:val="0"/>
        <w:jc w:val="both"/>
        <w:textAlignment w:val="baseline"/>
        <w:rPr>
          <w:bCs/>
          <w:color w:val="000000"/>
        </w:rPr>
      </w:pPr>
      <w:r w:rsidRPr="0042453E">
        <w:rPr>
          <w:bCs/>
          <w:color w:val="000000"/>
        </w:rPr>
        <w:t>•KRF06 „Meno kūrėjų organizacijų strateginių programų įgyvendinimas“</w:t>
      </w:r>
    </w:p>
    <w:p w14:paraId="1F92E4BE" w14:textId="17B55882" w:rsidR="00720FE9" w:rsidRPr="003D1343" w:rsidRDefault="00C15C7E" w:rsidP="00D35893">
      <w:pPr>
        <w:overflowPunct w:val="0"/>
        <w:autoSpaceDE w:val="0"/>
        <w:autoSpaceDN w:val="0"/>
        <w:adjustRightInd w:val="0"/>
        <w:jc w:val="both"/>
        <w:textAlignment w:val="baseline"/>
        <w:rPr>
          <w:b/>
          <w:color w:val="000000"/>
        </w:rPr>
      </w:pPr>
      <w:r>
        <w:rPr>
          <w:b/>
          <w:color w:val="000000"/>
        </w:rPr>
        <w:t>Naudoti</w:t>
      </w:r>
      <w:r w:rsidR="00720FE9" w:rsidRPr="003D1343">
        <w:rPr>
          <w:b/>
          <w:color w:val="000000"/>
        </w:rPr>
        <w:t xml:space="preserve"> metodai</w:t>
      </w:r>
    </w:p>
    <w:p w14:paraId="06D83BA6" w14:textId="42D4449C" w:rsidR="00720FE9" w:rsidRPr="0042453E" w:rsidRDefault="00720FE9" w:rsidP="00D35893">
      <w:pPr>
        <w:overflowPunct w:val="0"/>
        <w:autoSpaceDE w:val="0"/>
        <w:autoSpaceDN w:val="0"/>
        <w:adjustRightInd w:val="0"/>
        <w:jc w:val="both"/>
        <w:textAlignment w:val="baseline"/>
        <w:rPr>
          <w:bCs/>
          <w:color w:val="000000"/>
        </w:rPr>
      </w:pPr>
      <w:r>
        <w:rPr>
          <w:bCs/>
          <w:color w:val="000000"/>
        </w:rPr>
        <w:t>Šiame vertinime naudotas teorija grįstas vertinimo požiūris: buvo rekonstruojama intervencijų logika, keliamos hipotezės, renkami bei analizuojami duomenys ir tikrinamos hipotezės. Vertinimo metu naudoti įvairūs kokybiniai ir kiekybiniai metodai:</w:t>
      </w:r>
      <w:r w:rsidR="003D1343">
        <w:rPr>
          <w:bCs/>
          <w:color w:val="000000"/>
        </w:rPr>
        <w:t xml:space="preserve"> grupinės diskusijos, pusiau struktūruoti interviu, </w:t>
      </w:r>
      <w:r w:rsidR="00BD23EF">
        <w:rPr>
          <w:bCs/>
          <w:color w:val="000000"/>
        </w:rPr>
        <w:t xml:space="preserve">reprezentatyvi </w:t>
      </w:r>
      <w:r w:rsidR="003D1343">
        <w:rPr>
          <w:bCs/>
          <w:color w:val="000000"/>
        </w:rPr>
        <w:t xml:space="preserve">vartotojų apklausa, </w:t>
      </w:r>
      <w:r w:rsidR="003D1343" w:rsidRPr="003D1343">
        <w:rPr>
          <w:bCs/>
          <w:color w:val="000000"/>
        </w:rPr>
        <w:t>užsienio šalių gerųjų praktikų atvejo analizė</w:t>
      </w:r>
      <w:r w:rsidR="003D1343">
        <w:rPr>
          <w:bCs/>
          <w:color w:val="000000"/>
        </w:rPr>
        <w:t>, statistinė analizė ir kt.</w:t>
      </w:r>
    </w:p>
    <w:p w14:paraId="2A4432F6" w14:textId="77777777" w:rsidR="005B4C83" w:rsidRDefault="005B4C83" w:rsidP="00D35893">
      <w:pPr>
        <w:jc w:val="both"/>
        <w:rPr>
          <w:b/>
        </w:rPr>
      </w:pPr>
    </w:p>
    <w:p w14:paraId="4EC773B7" w14:textId="77777777" w:rsidR="005B4C83" w:rsidRDefault="005B4C83" w:rsidP="00D35893">
      <w:pPr>
        <w:jc w:val="both"/>
        <w:rPr>
          <w:b/>
        </w:rPr>
      </w:pPr>
      <w:r w:rsidRPr="005B4C83">
        <w:rPr>
          <w:b/>
        </w:rPr>
        <w:t>Vertinimo rezultatai</w:t>
      </w:r>
    </w:p>
    <w:p w14:paraId="2935097F" w14:textId="4C836BD6" w:rsidR="0042453E" w:rsidRDefault="00EE40F8" w:rsidP="00D35893">
      <w:pPr>
        <w:jc w:val="both"/>
        <w:rPr>
          <w:bCs/>
        </w:rPr>
      </w:pPr>
      <w:r>
        <w:rPr>
          <w:bCs/>
        </w:rPr>
        <w:t xml:space="preserve">1) </w:t>
      </w:r>
      <w:r w:rsidR="005B4C83" w:rsidRPr="005B4C83">
        <w:rPr>
          <w:bCs/>
        </w:rPr>
        <w:t xml:space="preserve">Visi analizuojamų priemonių produkto rodikliai bus / yra pasiekti. Tačiau nustatyta, kad ne visi rezultato rodikliai buvo pasiekti. Vienintelis rezultato rodiklis, kurio reikšmė buvo pasiekta ir viršyta </w:t>
      </w:r>
      <w:r w:rsidR="005B4C83" w:rsidRPr="005B4C83">
        <w:rPr>
          <w:bCs/>
        </w:rPr>
        <w:lastRenderedPageBreak/>
        <w:t>– tai VP rezultato rodiklis „Gyventojų, kurie naudojasi elektroniniu būdu teikiamomis viešosiomis ir administracinėmis paslaugomis, dalis“. Kitų rodiklių reikšmės nebuvo pasiektos</w:t>
      </w:r>
      <w:r w:rsidR="005B4C83">
        <w:rPr>
          <w:bCs/>
        </w:rPr>
        <w:t>.</w:t>
      </w:r>
    </w:p>
    <w:p w14:paraId="2ABBCD5A" w14:textId="340A7E4F" w:rsidR="00795F3E" w:rsidRDefault="00EE40F8" w:rsidP="00D35893">
      <w:pPr>
        <w:jc w:val="both"/>
        <w:rPr>
          <w:bCs/>
        </w:rPr>
      </w:pPr>
      <w:r>
        <w:rPr>
          <w:bCs/>
        </w:rPr>
        <w:t xml:space="preserve">2) </w:t>
      </w:r>
      <w:r w:rsidR="005B4C83" w:rsidRPr="005B4C83">
        <w:rPr>
          <w:bCs/>
        </w:rPr>
        <w:t xml:space="preserve">Vertinant skirtingų priemonių / programų indėlį į bendrą poveikį, nustatyta, kad didžiausią poveikį kultūros turinio atvirumui ir prieinamumui padarė VP priemonė </w:t>
      </w:r>
      <w:r w:rsidR="00BD23EF">
        <w:rPr>
          <w:bCs/>
        </w:rPr>
        <w:t>„Kultūros turinio skaitmeniniams ir sklaida“</w:t>
      </w:r>
      <w:r w:rsidR="005B4C83" w:rsidRPr="005B4C83">
        <w:rPr>
          <w:bCs/>
        </w:rPr>
        <w:t xml:space="preserve">, sukūrusi 207 tūkst. vnt. </w:t>
      </w:r>
      <w:r w:rsidR="005B4C83">
        <w:rPr>
          <w:bCs/>
        </w:rPr>
        <w:t>s</w:t>
      </w:r>
      <w:r w:rsidR="005B4C83" w:rsidRPr="005B4C83">
        <w:rPr>
          <w:bCs/>
        </w:rPr>
        <w:t>uskaitmenint</w:t>
      </w:r>
      <w:r w:rsidR="005B4C83">
        <w:rPr>
          <w:bCs/>
        </w:rPr>
        <w:t>o</w:t>
      </w:r>
      <w:r w:rsidR="005B4C83" w:rsidRPr="005B4C83">
        <w:rPr>
          <w:bCs/>
        </w:rPr>
        <w:t xml:space="preserve"> ir skaitmenini</w:t>
      </w:r>
      <w:r w:rsidR="005B4C83">
        <w:rPr>
          <w:bCs/>
        </w:rPr>
        <w:t>o</w:t>
      </w:r>
      <w:r w:rsidR="005B4C83" w:rsidRPr="005B4C83">
        <w:rPr>
          <w:bCs/>
        </w:rPr>
        <w:t xml:space="preserve"> kultūros turin</w:t>
      </w:r>
      <w:r w:rsidR="005B4C83">
        <w:rPr>
          <w:bCs/>
        </w:rPr>
        <w:t>io (</w:t>
      </w:r>
      <w:r w:rsidR="005B4C83" w:rsidRPr="005B4C83">
        <w:rPr>
          <w:bCs/>
        </w:rPr>
        <w:t>SSKT</w:t>
      </w:r>
      <w:r w:rsidR="005B4C83">
        <w:rPr>
          <w:bCs/>
        </w:rPr>
        <w:t>)</w:t>
      </w:r>
      <w:r w:rsidR="005B4C83" w:rsidRPr="005B4C83">
        <w:rPr>
          <w:bCs/>
        </w:rPr>
        <w:t xml:space="preserve"> objektų (10,1 proc. </w:t>
      </w:r>
      <w:r w:rsidR="00596DFE" w:rsidRPr="00596DFE">
        <w:rPr>
          <w:bCs/>
        </w:rPr>
        <w:t>nuo visų šalies 2022 m. SSKT objektų</w:t>
      </w:r>
      <w:r w:rsidR="005B4C83" w:rsidRPr="005B4C83">
        <w:rPr>
          <w:bCs/>
        </w:rPr>
        <w:t xml:space="preserve">), ir pritraukusi papildomai 2,96 mln. turinio peržiūrų vienetų pirmaisiais metais po projektų įgyvendinimo (17 proc. </w:t>
      </w:r>
      <w:r w:rsidR="00596DFE" w:rsidRPr="00596DFE">
        <w:rPr>
          <w:bCs/>
        </w:rPr>
        <w:t>nuo visų šalies 2022 m. SSKT peržiūrų</w:t>
      </w:r>
      <w:r w:rsidR="005B4C83" w:rsidRPr="005B4C83">
        <w:rPr>
          <w:bCs/>
        </w:rPr>
        <w:t>). Kultūros rėmimo fond</w:t>
      </w:r>
      <w:r w:rsidR="00955E80">
        <w:rPr>
          <w:bCs/>
        </w:rPr>
        <w:t>o</w:t>
      </w:r>
      <w:r w:rsidR="005B4C83" w:rsidRPr="005B4C83">
        <w:rPr>
          <w:bCs/>
        </w:rPr>
        <w:t xml:space="preserve"> </w:t>
      </w:r>
      <w:r w:rsidR="005B4C83">
        <w:rPr>
          <w:bCs/>
        </w:rPr>
        <w:t>(</w:t>
      </w:r>
      <w:r w:rsidR="005B4C83" w:rsidRPr="005B4C83">
        <w:rPr>
          <w:bCs/>
        </w:rPr>
        <w:t>KRF</w:t>
      </w:r>
      <w:r w:rsidR="005B4C83">
        <w:rPr>
          <w:bCs/>
        </w:rPr>
        <w:t>)</w:t>
      </w:r>
      <w:r w:rsidR="005B4C83" w:rsidRPr="005B4C83">
        <w:rPr>
          <w:bCs/>
        </w:rPr>
        <w:t xml:space="preserve"> </w:t>
      </w:r>
      <w:r w:rsidR="00CB61DE">
        <w:rPr>
          <w:bCs/>
        </w:rPr>
        <w:t xml:space="preserve">programos </w:t>
      </w:r>
      <w:r w:rsidR="00B804A2" w:rsidRPr="00B804A2">
        <w:rPr>
          <w:bCs/>
        </w:rPr>
        <w:t>lėmė bent 5 proc. didesnes turinio peržiūras pirmaisiais metais po projektų įgyvendinimo (0,95 mln. peržiūrų, kas sudaro 5 proc. palyginus su 2022 m. peržiūrų kiekiu)</w:t>
      </w:r>
      <w:r w:rsidR="00955E80">
        <w:rPr>
          <w:bCs/>
        </w:rPr>
        <w:t>.</w:t>
      </w:r>
      <w:r w:rsidR="005B4C83" w:rsidRPr="005B4C83">
        <w:rPr>
          <w:bCs/>
        </w:rPr>
        <w:t xml:space="preserve"> </w:t>
      </w:r>
    </w:p>
    <w:p w14:paraId="6F3E9CE8" w14:textId="18494D7E" w:rsidR="00795F3E" w:rsidRDefault="00EE40F8" w:rsidP="00D35893">
      <w:pPr>
        <w:jc w:val="both"/>
        <w:rPr>
          <w:bCs/>
        </w:rPr>
      </w:pPr>
      <w:r>
        <w:rPr>
          <w:bCs/>
        </w:rPr>
        <w:t xml:space="preserve">3) </w:t>
      </w:r>
      <w:r w:rsidR="00795F3E">
        <w:rPr>
          <w:bCs/>
        </w:rPr>
        <w:t>A</w:t>
      </w:r>
      <w:r w:rsidR="00795F3E" w:rsidRPr="00795F3E">
        <w:rPr>
          <w:bCs/>
        </w:rPr>
        <w:t>tlik</w:t>
      </w:r>
      <w:r w:rsidR="00795F3E">
        <w:rPr>
          <w:bCs/>
        </w:rPr>
        <w:t>us</w:t>
      </w:r>
      <w:r w:rsidR="00795F3E" w:rsidRPr="00795F3E">
        <w:rPr>
          <w:bCs/>
        </w:rPr>
        <w:t xml:space="preserve"> užsienio šalių (Nyderlandų, Lenkijos ir Danijos) analiz</w:t>
      </w:r>
      <w:r w:rsidR="00795F3E">
        <w:rPr>
          <w:bCs/>
        </w:rPr>
        <w:t>ę pateikti gerosios praktikos pavyzdžiai: orientacija į vartotoją;</w:t>
      </w:r>
      <w:r w:rsidR="00795F3E" w:rsidRPr="00795F3E">
        <w:t xml:space="preserve"> </w:t>
      </w:r>
      <w:r w:rsidR="00795F3E" w:rsidRPr="00795F3E">
        <w:rPr>
          <w:bCs/>
        </w:rPr>
        <w:t xml:space="preserve">socialinių tinklų panaudojimas </w:t>
      </w:r>
      <w:r w:rsidR="00795F3E">
        <w:rPr>
          <w:bCs/>
        </w:rPr>
        <w:t>SSKT</w:t>
      </w:r>
      <w:r w:rsidR="00795F3E" w:rsidRPr="00795F3E">
        <w:rPr>
          <w:bCs/>
        </w:rPr>
        <w:t xml:space="preserve"> sklaidai</w:t>
      </w:r>
      <w:r w:rsidR="00795F3E">
        <w:rPr>
          <w:bCs/>
        </w:rPr>
        <w:t>;</w:t>
      </w:r>
      <w:r w:rsidR="00795F3E" w:rsidRPr="00795F3E">
        <w:t xml:space="preserve"> </w:t>
      </w:r>
      <w:r w:rsidR="00795F3E" w:rsidRPr="00795F3E">
        <w:rPr>
          <w:bCs/>
        </w:rPr>
        <w:t>turinio pritaikymas žmonėms su negalia</w:t>
      </w:r>
      <w:r w:rsidR="00795F3E">
        <w:rPr>
          <w:bCs/>
        </w:rPr>
        <w:t>;</w:t>
      </w:r>
      <w:r w:rsidR="00795F3E" w:rsidRPr="00795F3E">
        <w:t xml:space="preserve"> </w:t>
      </w:r>
      <w:r w:rsidR="00795F3E" w:rsidRPr="00795F3E">
        <w:rPr>
          <w:bCs/>
        </w:rPr>
        <w:t>mokymai, dirbtuvės tikslinių profesionalų grupių atstovams</w:t>
      </w:r>
      <w:r w:rsidR="00795F3E">
        <w:rPr>
          <w:bCs/>
        </w:rPr>
        <w:t>;</w:t>
      </w:r>
      <w:r w:rsidR="00795F3E" w:rsidRPr="00795F3E">
        <w:t xml:space="preserve"> </w:t>
      </w:r>
      <w:r w:rsidR="00795F3E" w:rsidRPr="00795F3E">
        <w:rPr>
          <w:bCs/>
        </w:rPr>
        <w:t>diegiami duomenų valdymo standartai</w:t>
      </w:r>
      <w:r w:rsidR="00795F3E">
        <w:rPr>
          <w:bCs/>
        </w:rPr>
        <w:t>;</w:t>
      </w:r>
      <w:r w:rsidR="00795F3E" w:rsidRPr="00795F3E">
        <w:t xml:space="preserve"> </w:t>
      </w:r>
      <w:r w:rsidR="00795F3E" w:rsidRPr="00795F3E">
        <w:rPr>
          <w:bCs/>
        </w:rPr>
        <w:t>centralizuoti autorių teisių sprendimai</w:t>
      </w:r>
      <w:r w:rsidR="00795F3E">
        <w:rPr>
          <w:bCs/>
        </w:rPr>
        <w:t xml:space="preserve"> ir kt.</w:t>
      </w:r>
    </w:p>
    <w:p w14:paraId="6EBF8EB8" w14:textId="68CCDFEF" w:rsidR="00C478D5" w:rsidRDefault="00EE40F8" w:rsidP="00D35893">
      <w:pPr>
        <w:jc w:val="both"/>
        <w:rPr>
          <w:bCs/>
        </w:rPr>
      </w:pPr>
      <w:r>
        <w:rPr>
          <w:bCs/>
        </w:rPr>
        <w:t xml:space="preserve">4) </w:t>
      </w:r>
      <w:r w:rsidR="00C478D5">
        <w:rPr>
          <w:bCs/>
        </w:rPr>
        <w:t>N</w:t>
      </w:r>
      <w:r w:rsidR="00C478D5" w:rsidRPr="00C478D5">
        <w:rPr>
          <w:bCs/>
        </w:rPr>
        <w:t>ustatyt</w:t>
      </w:r>
      <w:r w:rsidR="00C478D5">
        <w:rPr>
          <w:bCs/>
        </w:rPr>
        <w:t>os</w:t>
      </w:r>
      <w:r w:rsidR="00C478D5" w:rsidRPr="00C478D5">
        <w:rPr>
          <w:bCs/>
        </w:rPr>
        <w:t xml:space="preserve"> unifikuotų portalų tinklaveikos, sąsajumo ir sąveikumo galimyb</w:t>
      </w:r>
      <w:r w:rsidR="00C478D5">
        <w:rPr>
          <w:bCs/>
        </w:rPr>
        <w:t>ės</w:t>
      </w:r>
      <w:r>
        <w:rPr>
          <w:bCs/>
        </w:rPr>
        <w:t>.</w:t>
      </w:r>
    </w:p>
    <w:p w14:paraId="11B8DF79" w14:textId="0B93B23C" w:rsidR="00C478D5" w:rsidRDefault="00EE40F8" w:rsidP="00D35893">
      <w:pPr>
        <w:jc w:val="both"/>
        <w:rPr>
          <w:bCs/>
        </w:rPr>
      </w:pPr>
      <w:r>
        <w:rPr>
          <w:bCs/>
        </w:rPr>
        <w:t xml:space="preserve">5) </w:t>
      </w:r>
      <w:r w:rsidR="00C478D5">
        <w:rPr>
          <w:bCs/>
        </w:rPr>
        <w:t>Nustatyta</w:t>
      </w:r>
      <w:r w:rsidR="00C478D5" w:rsidRPr="00C478D5">
        <w:rPr>
          <w:bCs/>
        </w:rPr>
        <w:t>, kad 10 proc. saugomų kultūros paveldo objektų šiuo metu yra suskaitmeninti (daugiausiai suskaitmenintų objektų yra vizualinio dvimačio tipo), pus</w:t>
      </w:r>
      <w:r w:rsidR="009C035B">
        <w:rPr>
          <w:bCs/>
        </w:rPr>
        <w:t>ė</w:t>
      </w:r>
      <w:r w:rsidR="00C478D5" w:rsidRPr="00C478D5">
        <w:rPr>
          <w:bCs/>
        </w:rPr>
        <w:t xml:space="preserve"> suskaitmeninto turinio yra viešai prieinama, dar mažesnė dalis yra paženklinta atvirąja turinio licencija. </w:t>
      </w:r>
    </w:p>
    <w:p w14:paraId="7D73DFEB" w14:textId="561C025E" w:rsidR="00EE40F8" w:rsidRDefault="00EE40F8" w:rsidP="00D35893">
      <w:pPr>
        <w:jc w:val="both"/>
        <w:rPr>
          <w:bCs/>
        </w:rPr>
      </w:pPr>
      <w:r>
        <w:rPr>
          <w:bCs/>
        </w:rPr>
        <w:t xml:space="preserve">6) </w:t>
      </w:r>
      <w:r w:rsidR="00C478D5" w:rsidRPr="00C478D5">
        <w:rPr>
          <w:bCs/>
        </w:rPr>
        <w:t>Nustatyta, kad skleidžiant skaitmeninį turinį ir teikiant el. paslaugas Lietuvoje naudojamos skaitmeninio kultūros paveldo platformos (pavyzdžiui, ePaveldas, LIMIS, e-Kinas ir t.t.) ir kultūros įstaigų internetiniai tinklapiai</w:t>
      </w:r>
      <w:r w:rsidR="00C478D5">
        <w:rPr>
          <w:bCs/>
        </w:rPr>
        <w:t>.</w:t>
      </w:r>
      <w:r w:rsidR="00C478D5" w:rsidRPr="00C478D5">
        <w:rPr>
          <w:bCs/>
        </w:rPr>
        <w:t xml:space="preserve"> </w:t>
      </w:r>
      <w:r w:rsidR="00C478D5">
        <w:rPr>
          <w:bCs/>
        </w:rPr>
        <w:t>V</w:t>
      </w:r>
      <w:r w:rsidR="00C478D5" w:rsidRPr="00C478D5">
        <w:rPr>
          <w:bCs/>
        </w:rPr>
        <w:t>isos platformos vertinamos teigiamai, esminių skirtumų tarp platformų nenustatyta.</w:t>
      </w:r>
    </w:p>
    <w:p w14:paraId="0ECFFDC6" w14:textId="140670A4" w:rsidR="00EE40F8" w:rsidRDefault="00EE40F8" w:rsidP="00D35893">
      <w:pPr>
        <w:jc w:val="both"/>
        <w:rPr>
          <w:bCs/>
        </w:rPr>
      </w:pPr>
      <w:r>
        <w:rPr>
          <w:bCs/>
        </w:rPr>
        <w:t xml:space="preserve">7) </w:t>
      </w:r>
      <w:r w:rsidRPr="00EE40F8">
        <w:rPr>
          <w:bCs/>
        </w:rPr>
        <w:t>Apibendrin</w:t>
      </w:r>
      <w:r>
        <w:rPr>
          <w:bCs/>
        </w:rPr>
        <w:t>us</w:t>
      </w:r>
      <w:r w:rsidRPr="00EE40F8">
        <w:rPr>
          <w:bCs/>
        </w:rPr>
        <w:t xml:space="preserve"> atliktą </w:t>
      </w:r>
      <w:r>
        <w:rPr>
          <w:bCs/>
        </w:rPr>
        <w:t>v</w:t>
      </w:r>
      <w:r w:rsidRPr="00EE40F8">
        <w:rPr>
          <w:bCs/>
        </w:rPr>
        <w:t xml:space="preserve">artotojų apklausą ir remiantis grupinių diskusijų rezultatais </w:t>
      </w:r>
      <w:r>
        <w:rPr>
          <w:bCs/>
        </w:rPr>
        <w:t>su</w:t>
      </w:r>
      <w:r w:rsidRPr="00EE40F8">
        <w:rPr>
          <w:bCs/>
        </w:rPr>
        <w:t>formuo</w:t>
      </w:r>
      <w:r>
        <w:rPr>
          <w:bCs/>
        </w:rPr>
        <w:t xml:space="preserve">ti </w:t>
      </w:r>
      <w:r w:rsidRPr="00EE40F8">
        <w:rPr>
          <w:bCs/>
        </w:rPr>
        <w:t>3 vartotojų</w:t>
      </w:r>
      <w:r>
        <w:rPr>
          <w:bCs/>
        </w:rPr>
        <w:t xml:space="preserve"> profiliai (grupės),</w:t>
      </w:r>
      <w:r w:rsidRPr="00EE40F8">
        <w:t xml:space="preserve"> </w:t>
      </w:r>
      <w:r>
        <w:t xml:space="preserve">ir atitinkamai </w:t>
      </w:r>
      <w:r>
        <w:rPr>
          <w:bCs/>
        </w:rPr>
        <w:t>suformuotos</w:t>
      </w:r>
      <w:r w:rsidRPr="00EE40F8">
        <w:rPr>
          <w:bCs/>
        </w:rPr>
        <w:t xml:space="preserve"> įžvalgos dėl į vartotojus orientuotos SSKT sklaidos</w:t>
      </w:r>
      <w:r>
        <w:rPr>
          <w:bCs/>
        </w:rPr>
        <w:t>.</w:t>
      </w:r>
    </w:p>
    <w:p w14:paraId="1F39E2C8" w14:textId="385A53F6" w:rsidR="002E3065" w:rsidRPr="002E3065" w:rsidRDefault="002E3065" w:rsidP="00D35893">
      <w:pPr>
        <w:jc w:val="both"/>
        <w:rPr>
          <w:bCs/>
        </w:rPr>
      </w:pPr>
      <w:r>
        <w:rPr>
          <w:bCs/>
        </w:rPr>
        <w:t>8)</w:t>
      </w:r>
      <w:r w:rsidRPr="002E3065">
        <w:rPr>
          <w:bCs/>
        </w:rPr>
        <w:t xml:space="preserve"> </w:t>
      </w:r>
      <w:r>
        <w:rPr>
          <w:bCs/>
        </w:rPr>
        <w:t>P</w:t>
      </w:r>
      <w:r w:rsidRPr="002E3065">
        <w:rPr>
          <w:bCs/>
        </w:rPr>
        <w:t xml:space="preserve">oveikis kultūros atvirumui ir prieinamumui pasireiškė trimis būdais: a) remiant SSKT kūrimo veiklą; b) kuriant ir modernizuojant skaitmeninio kultūros paveldo platformas (toliau – SKPP); c) remiant kultūros ir kūrybinių industrijų (toliau – KKI) sektoriaus ir meno atstovų veiklą. Atitinkamai, poveikis pasireiškė a) per didesnį SSKT kiekį; b) didesnį SKPP lankytojų kiekį; c) </w:t>
      </w:r>
      <w:r>
        <w:rPr>
          <w:bCs/>
        </w:rPr>
        <w:t>KKI</w:t>
      </w:r>
      <w:r w:rsidRPr="002E3065">
        <w:rPr>
          <w:bCs/>
        </w:rPr>
        <w:t xml:space="preserve"> sektoriaus ir meno atstovų padidėjusias galimybes kurti ir skleisti SSKT.</w:t>
      </w:r>
    </w:p>
    <w:p w14:paraId="651A8CA5" w14:textId="77777777" w:rsidR="00C15C7E" w:rsidRDefault="00C15C7E" w:rsidP="00D35893">
      <w:pPr>
        <w:jc w:val="both"/>
        <w:rPr>
          <w:b/>
        </w:rPr>
      </w:pPr>
    </w:p>
    <w:p w14:paraId="0135E24E" w14:textId="23112DE6" w:rsidR="00EE40F8" w:rsidRPr="00EE40F8" w:rsidRDefault="00EE40F8" w:rsidP="00D35893">
      <w:pPr>
        <w:jc w:val="both"/>
        <w:rPr>
          <w:b/>
        </w:rPr>
      </w:pPr>
      <w:r w:rsidRPr="00EE40F8">
        <w:rPr>
          <w:b/>
        </w:rPr>
        <w:t>Vertinimo rekomendacijos ir nauda</w:t>
      </w:r>
    </w:p>
    <w:p w14:paraId="33C2A49D" w14:textId="77777777" w:rsidR="002E3065" w:rsidRDefault="00EE40F8" w:rsidP="00D35893">
      <w:pPr>
        <w:jc w:val="both"/>
        <w:rPr>
          <w:bCs/>
        </w:rPr>
      </w:pPr>
      <w:r>
        <w:rPr>
          <w:bCs/>
        </w:rPr>
        <w:t>Remiantis</w:t>
      </w:r>
      <w:r w:rsidR="009C035B" w:rsidRPr="009C035B">
        <w:rPr>
          <w:bCs/>
        </w:rPr>
        <w:t xml:space="preserve"> atlikta analize, buvo parengtos gairės 2021–2027 m. ES fondų investicijų programavimo laikotarpiui, kurias sudaro 12 rekomendacijų, suskirstytų į 4 grupes. 1–3 grupių rekomendacijos yra nukreiptos į skaitmeninimo sistemos tobulinimą, 4 grupės rekomendacijos yra nukreiptos į vartotojų lūkesčių ir poreikių patenkinimą</w:t>
      </w:r>
      <w:r>
        <w:rPr>
          <w:bCs/>
        </w:rPr>
        <w:t>.</w:t>
      </w:r>
    </w:p>
    <w:p w14:paraId="6CA7F3B6" w14:textId="698E82B3" w:rsidR="00B2286B" w:rsidRDefault="002E3065" w:rsidP="00D35893">
      <w:pPr>
        <w:jc w:val="both"/>
        <w:rPr>
          <w:bCs/>
        </w:rPr>
      </w:pPr>
      <w:r w:rsidRPr="002E3065">
        <w:rPr>
          <w:bCs/>
        </w:rPr>
        <w:t>Vertinimo metu gautos  išvados sudar</w:t>
      </w:r>
      <w:r>
        <w:rPr>
          <w:bCs/>
        </w:rPr>
        <w:t xml:space="preserve">o </w:t>
      </w:r>
      <w:r w:rsidRPr="002E3065">
        <w:rPr>
          <w:bCs/>
        </w:rPr>
        <w:t>prielaidas efektyvesniam intervencijų planavimui</w:t>
      </w:r>
      <w:r>
        <w:rPr>
          <w:bCs/>
        </w:rPr>
        <w:t>,</w:t>
      </w:r>
      <w:r w:rsidRPr="002E3065">
        <w:rPr>
          <w:bCs/>
        </w:rPr>
        <w:t xml:space="preserve"> atliep</w:t>
      </w:r>
      <w:r>
        <w:rPr>
          <w:bCs/>
        </w:rPr>
        <w:t>iant</w:t>
      </w:r>
      <w:r w:rsidRPr="002E3065">
        <w:rPr>
          <w:bCs/>
        </w:rPr>
        <w:t xml:space="preserve"> visuomenės poreikius visų kultūros skaitmeninių išteklių atžvilgiu </w:t>
      </w:r>
      <w:r>
        <w:rPr>
          <w:bCs/>
        </w:rPr>
        <w:t>ir</w:t>
      </w:r>
      <w:r w:rsidRPr="002E3065">
        <w:rPr>
          <w:bCs/>
        </w:rPr>
        <w:t xml:space="preserve"> jų realizacijai parenkant </w:t>
      </w:r>
      <w:r>
        <w:rPr>
          <w:bCs/>
        </w:rPr>
        <w:t xml:space="preserve">bei </w:t>
      </w:r>
      <w:r w:rsidRPr="002E3065">
        <w:rPr>
          <w:bCs/>
        </w:rPr>
        <w:t>pritaikant reikalingus technologinius sprendinius</w:t>
      </w:r>
      <w:r>
        <w:rPr>
          <w:bCs/>
        </w:rPr>
        <w:t>,</w:t>
      </w:r>
      <w:r w:rsidRPr="002E3065">
        <w:rPr>
          <w:bCs/>
        </w:rPr>
        <w:t xml:space="preserve"> maksimaliai panaudojant esamus resursus. </w:t>
      </w:r>
      <w:bookmarkEnd w:id="4"/>
    </w:p>
    <w:p w14:paraId="0B0D9B06" w14:textId="2400F27A" w:rsidR="00B2286B" w:rsidRDefault="00B2286B" w:rsidP="00D35893">
      <w:pPr>
        <w:spacing w:after="200"/>
        <w:rPr>
          <w:bCs/>
        </w:rPr>
      </w:pPr>
      <w:r>
        <w:rPr>
          <w:bCs/>
        </w:rPr>
        <w:br w:type="page"/>
      </w:r>
    </w:p>
    <w:p w14:paraId="5362ECC1" w14:textId="77777777" w:rsidR="00B2286B" w:rsidRDefault="00B2286B" w:rsidP="002E3065">
      <w:pPr>
        <w:spacing w:line="276" w:lineRule="auto"/>
        <w:jc w:val="both"/>
        <w:rPr>
          <w:bCs/>
        </w:rPr>
      </w:pPr>
    </w:p>
    <w:bookmarkEnd w:id="5"/>
    <w:p w14:paraId="315EA9EB" w14:textId="724B1551" w:rsidR="00B2286B" w:rsidRPr="00B2286B" w:rsidRDefault="008D1CE5" w:rsidP="006C050A">
      <w:pPr>
        <w:jc w:val="both"/>
        <w:rPr>
          <w:b/>
        </w:rPr>
      </w:pPr>
      <w:r>
        <w:rPr>
          <w:b/>
        </w:rPr>
        <w:t>8</w:t>
      </w:r>
      <w:r w:rsidR="00B2286B" w:rsidRPr="00B2286B">
        <w:rPr>
          <w:b/>
        </w:rPr>
        <w:t>. ES fondų ir kitų investicijų į dalyvavimo kultūrinėje veikloje skatinimo projektus poveikio visuomenei vertinimas</w:t>
      </w:r>
    </w:p>
    <w:p w14:paraId="5CEE1500" w14:textId="77777777" w:rsidR="00B2286B" w:rsidRPr="00B2286B" w:rsidRDefault="00B2286B" w:rsidP="006C050A">
      <w:pPr>
        <w:jc w:val="both"/>
        <w:rPr>
          <w:bCs/>
        </w:rPr>
      </w:pPr>
      <w:r w:rsidRPr="00B2286B">
        <w:rPr>
          <w:bCs/>
        </w:rPr>
        <w:t>Užsakovas: Lietuvos Respublikos kultūros ministerija (KM)</w:t>
      </w:r>
    </w:p>
    <w:p w14:paraId="34A8822F" w14:textId="77777777" w:rsidR="00B2286B" w:rsidRPr="00B2286B" w:rsidRDefault="00B2286B" w:rsidP="006C050A">
      <w:pPr>
        <w:jc w:val="both"/>
        <w:rPr>
          <w:bCs/>
        </w:rPr>
      </w:pPr>
      <w:r w:rsidRPr="00B2286B">
        <w:rPr>
          <w:bCs/>
        </w:rPr>
        <w:t xml:space="preserve">Vertinimą atliko: Smart Continent, UAB, 2023 m. </w:t>
      </w:r>
    </w:p>
    <w:p w14:paraId="31FF6D0D" w14:textId="77777777" w:rsidR="008D1CE5" w:rsidRDefault="008D1CE5" w:rsidP="006C050A">
      <w:pPr>
        <w:autoSpaceDE w:val="0"/>
        <w:autoSpaceDN w:val="0"/>
        <w:adjustRightInd w:val="0"/>
        <w:jc w:val="both"/>
        <w:rPr>
          <w:b/>
          <w:color w:val="000000"/>
        </w:rPr>
      </w:pPr>
    </w:p>
    <w:p w14:paraId="3F970F1B" w14:textId="60157391" w:rsidR="00B2286B" w:rsidRPr="008D1CE5" w:rsidRDefault="008D1CE5" w:rsidP="006C050A">
      <w:pPr>
        <w:autoSpaceDE w:val="0"/>
        <w:autoSpaceDN w:val="0"/>
        <w:adjustRightInd w:val="0"/>
        <w:jc w:val="both"/>
        <w:rPr>
          <w:b/>
          <w:color w:val="000000"/>
        </w:rPr>
      </w:pPr>
      <w:r w:rsidRPr="00D7785E">
        <w:rPr>
          <w:b/>
          <w:color w:val="000000"/>
        </w:rPr>
        <w:t>Vertinimo tikslas, uždaviniai, apimtis, metodai</w:t>
      </w:r>
    </w:p>
    <w:p w14:paraId="13DB4DAC" w14:textId="77777777" w:rsidR="00B2286B" w:rsidRPr="00B2286B" w:rsidRDefault="00B2286B" w:rsidP="006C050A">
      <w:pPr>
        <w:jc w:val="both"/>
        <w:rPr>
          <w:b/>
        </w:rPr>
      </w:pPr>
      <w:r w:rsidRPr="00B2286B">
        <w:rPr>
          <w:b/>
        </w:rPr>
        <w:t>Tikslas</w:t>
      </w:r>
    </w:p>
    <w:p w14:paraId="23D32EE1" w14:textId="34E02F97" w:rsidR="00B2286B" w:rsidRPr="00B2286B" w:rsidRDefault="00B2286B" w:rsidP="006C050A">
      <w:pPr>
        <w:jc w:val="both"/>
        <w:rPr>
          <w:bCs/>
        </w:rPr>
      </w:pPr>
      <w:r>
        <w:rPr>
          <w:bCs/>
        </w:rPr>
        <w:t>Į</w:t>
      </w:r>
      <w:r w:rsidRPr="00B2286B">
        <w:rPr>
          <w:bCs/>
        </w:rPr>
        <w:t xml:space="preserve">vertinti ir nustatyti ES fondų ir kitų investicijų socialinį ekonominį poveikį į kultūros ir </w:t>
      </w:r>
      <w:r>
        <w:rPr>
          <w:bCs/>
        </w:rPr>
        <w:t>k</w:t>
      </w:r>
      <w:r w:rsidRPr="00B2286B">
        <w:rPr>
          <w:bCs/>
        </w:rPr>
        <w:t xml:space="preserve">ultūros ir kūrybinių industrijų </w:t>
      </w:r>
      <w:r>
        <w:rPr>
          <w:bCs/>
        </w:rPr>
        <w:t xml:space="preserve">(toliau – KKI) </w:t>
      </w:r>
      <w:r w:rsidRPr="00B2286B">
        <w:rPr>
          <w:bCs/>
        </w:rPr>
        <w:t xml:space="preserve">sektorių, įgyvendinant ES ir nacionalinius strateginius tikslus bei 2014–2020 metų ES fondų investicijų veiksmų programos </w:t>
      </w:r>
      <w:r>
        <w:rPr>
          <w:bCs/>
        </w:rPr>
        <w:t xml:space="preserve">(toliau – </w:t>
      </w:r>
      <w:r w:rsidRPr="00B2286B">
        <w:rPr>
          <w:bCs/>
        </w:rPr>
        <w:t>VP</w:t>
      </w:r>
      <w:r>
        <w:rPr>
          <w:bCs/>
        </w:rPr>
        <w:t>)</w:t>
      </w:r>
      <w:r w:rsidRPr="00B2286B">
        <w:rPr>
          <w:bCs/>
        </w:rPr>
        <w:t xml:space="preserve"> teminius tikslus šiam sektoriui, siekiant tinkamai atsiskaityti už ES fondų lėšų panaudojimą.</w:t>
      </w:r>
    </w:p>
    <w:p w14:paraId="77BA4660" w14:textId="77777777" w:rsidR="00B2286B" w:rsidRPr="00F5166F" w:rsidRDefault="00B2286B" w:rsidP="006C050A">
      <w:pPr>
        <w:jc w:val="both"/>
        <w:rPr>
          <w:b/>
        </w:rPr>
      </w:pPr>
      <w:r w:rsidRPr="00F5166F">
        <w:rPr>
          <w:b/>
        </w:rPr>
        <w:t>Uždaviniai</w:t>
      </w:r>
    </w:p>
    <w:p w14:paraId="62EBD6AE" w14:textId="45BCA5EE" w:rsidR="00B2286B" w:rsidRPr="00B2286B" w:rsidRDefault="00B2286B" w:rsidP="006C050A">
      <w:pPr>
        <w:jc w:val="both"/>
        <w:rPr>
          <w:bCs/>
        </w:rPr>
      </w:pPr>
      <w:r w:rsidRPr="00B2286B">
        <w:rPr>
          <w:bCs/>
        </w:rPr>
        <w:t>1</w:t>
      </w:r>
      <w:r w:rsidR="008D1CE5">
        <w:rPr>
          <w:bCs/>
        </w:rPr>
        <w:t>)</w:t>
      </w:r>
      <w:r w:rsidRPr="00B2286B">
        <w:rPr>
          <w:bCs/>
        </w:rPr>
        <w:t xml:space="preserve"> </w:t>
      </w:r>
      <w:r>
        <w:rPr>
          <w:bCs/>
        </w:rPr>
        <w:t>N</w:t>
      </w:r>
      <w:r w:rsidRPr="00B2286B">
        <w:rPr>
          <w:bCs/>
        </w:rPr>
        <w:t xml:space="preserve">ustatyti intervencijų į kultūros infrastruktūrą ir veiklas socialinį ir ekonominį poveikį (t. y. kaip investicijos į kultūros ir KKI sektorių veikia gyventojų  užimtumą, turizmo srautų pokyčius, objektų žinomumo ir jų lankomumo pokyčius, vietos bendruomenės įsitraukimą, savanorystę ir bendruomeniškumą, nekilnojamojo turto vertę, asmenines pajamas ir kt. </w:t>
      </w:r>
    </w:p>
    <w:p w14:paraId="0C97AA27" w14:textId="5124FDCF" w:rsidR="00B2286B" w:rsidRPr="00B2286B" w:rsidRDefault="00B2286B" w:rsidP="006C050A">
      <w:pPr>
        <w:jc w:val="both"/>
        <w:rPr>
          <w:bCs/>
        </w:rPr>
      </w:pPr>
      <w:r>
        <w:rPr>
          <w:bCs/>
        </w:rPr>
        <w:t>2</w:t>
      </w:r>
      <w:r w:rsidR="008D1CE5">
        <w:rPr>
          <w:bCs/>
        </w:rPr>
        <w:t>)</w:t>
      </w:r>
      <w:r>
        <w:rPr>
          <w:bCs/>
        </w:rPr>
        <w:t xml:space="preserve"> </w:t>
      </w:r>
      <w:r w:rsidRPr="00B2286B">
        <w:rPr>
          <w:bCs/>
        </w:rPr>
        <w:t>Įvertinti ES fondų ir kitų finansavimo šaltinių investicijų į kultūros ir KKI sektoriaus infrastruktūrą ir veiklas, tinkamumą ir efektyvumą.</w:t>
      </w:r>
    </w:p>
    <w:p w14:paraId="7466D97A" w14:textId="44ACBC26" w:rsidR="00B2286B" w:rsidRPr="00B2286B" w:rsidRDefault="00B2286B" w:rsidP="006C050A">
      <w:pPr>
        <w:jc w:val="both"/>
        <w:rPr>
          <w:bCs/>
        </w:rPr>
      </w:pPr>
      <w:r>
        <w:rPr>
          <w:bCs/>
        </w:rPr>
        <w:t>3</w:t>
      </w:r>
      <w:r w:rsidR="008D1CE5">
        <w:rPr>
          <w:bCs/>
        </w:rPr>
        <w:t>)</w:t>
      </w:r>
      <w:r>
        <w:rPr>
          <w:bCs/>
        </w:rPr>
        <w:t xml:space="preserve"> </w:t>
      </w:r>
      <w:r w:rsidRPr="00B2286B">
        <w:rPr>
          <w:bCs/>
        </w:rPr>
        <w:t>Pateikti išvadas ir rekomendacijas dėl investicijų į kultūros ir KKI sektorių poreikio ir investicijų efektyvesnio panaudojimo galimybių ateityje.</w:t>
      </w:r>
    </w:p>
    <w:p w14:paraId="28B21C40" w14:textId="2CEA63C2" w:rsidR="00B2286B" w:rsidRPr="00F5166F" w:rsidRDefault="006C050A" w:rsidP="006C050A">
      <w:pPr>
        <w:jc w:val="both"/>
        <w:rPr>
          <w:b/>
        </w:rPr>
      </w:pPr>
      <w:r>
        <w:rPr>
          <w:b/>
        </w:rPr>
        <w:t>O</w:t>
      </w:r>
      <w:r w:rsidR="00B2286B" w:rsidRPr="00F5166F">
        <w:rPr>
          <w:b/>
        </w:rPr>
        <w:t>bjektas</w:t>
      </w:r>
      <w:r w:rsidR="00F5166F">
        <w:rPr>
          <w:b/>
        </w:rPr>
        <w:t xml:space="preserve"> ir apimtis</w:t>
      </w:r>
    </w:p>
    <w:p w14:paraId="5C30124F" w14:textId="2EDAA6D9" w:rsidR="00B2286B" w:rsidRPr="00B2286B" w:rsidRDefault="00F5166F" w:rsidP="006C050A">
      <w:pPr>
        <w:jc w:val="both"/>
        <w:rPr>
          <w:bCs/>
        </w:rPr>
      </w:pPr>
      <w:r>
        <w:rPr>
          <w:bCs/>
        </w:rPr>
        <w:t>Vertinimo objektas –</w:t>
      </w:r>
      <w:r w:rsidR="003539BE">
        <w:rPr>
          <w:bCs/>
        </w:rPr>
        <w:t xml:space="preserve"> </w:t>
      </w:r>
      <w:r>
        <w:t>su kultūros sritimi susijusių programų prioritetai ir priemonės.</w:t>
      </w:r>
      <w:r w:rsidRPr="00F5166F">
        <w:t xml:space="preserve"> </w:t>
      </w:r>
      <w:r>
        <w:t>D</w:t>
      </w:r>
      <w:r w:rsidRPr="00F5166F">
        <w:t>idžiausia intervencija Lietuvoje į kultūros ir KKI sektorių yra VP priemonės</w:t>
      </w:r>
      <w:r w:rsidR="003539BE">
        <w:t xml:space="preserve"> (56 </w:t>
      </w:r>
      <w:r w:rsidR="005E0A7D">
        <w:t>proc.</w:t>
      </w:r>
      <w:r w:rsidR="003539BE" w:rsidRPr="003539BE">
        <w:t>)</w:t>
      </w:r>
      <w:r w:rsidR="003539BE">
        <w:t xml:space="preserve">. </w:t>
      </w:r>
      <w:r w:rsidRPr="00F5166F">
        <w:t>K</w:t>
      </w:r>
      <w:r>
        <w:t>ultūros rėmimo fondo (toliau –</w:t>
      </w:r>
      <w:r w:rsidR="003539BE">
        <w:t xml:space="preserve"> </w:t>
      </w:r>
      <w:r>
        <w:t>KRF)</w:t>
      </w:r>
      <w:r w:rsidRPr="00F5166F">
        <w:t xml:space="preserve"> finansuojamos </w:t>
      </w:r>
      <w:r>
        <w:t xml:space="preserve">Lietuvos kultūros tarybos (toliau – </w:t>
      </w:r>
      <w:r w:rsidRPr="00F5166F">
        <w:t>LKT</w:t>
      </w:r>
      <w:r>
        <w:t>)</w:t>
      </w:r>
      <w:r w:rsidRPr="00F5166F">
        <w:t xml:space="preserve"> programos</w:t>
      </w:r>
      <w:r w:rsidR="005E0A7D">
        <w:t xml:space="preserve"> sudarė 26 proc.</w:t>
      </w:r>
      <w:r w:rsidR="000D4F7C">
        <w:t xml:space="preserve"> </w:t>
      </w:r>
    </w:p>
    <w:p w14:paraId="3B3B3512" w14:textId="7588284E" w:rsidR="00B2286B" w:rsidRPr="00E4779A" w:rsidRDefault="006C050A" w:rsidP="006C050A">
      <w:pPr>
        <w:jc w:val="both"/>
        <w:rPr>
          <w:b/>
        </w:rPr>
      </w:pPr>
      <w:r>
        <w:rPr>
          <w:b/>
        </w:rPr>
        <w:t xml:space="preserve">Naudoti </w:t>
      </w:r>
      <w:r w:rsidR="00B2286B" w:rsidRPr="00E4779A">
        <w:rPr>
          <w:b/>
        </w:rPr>
        <w:t>metodai</w:t>
      </w:r>
    </w:p>
    <w:p w14:paraId="696FBB3E" w14:textId="56BD5E74" w:rsidR="00B2286B" w:rsidRPr="00B2286B" w:rsidRDefault="00B2286B" w:rsidP="006C050A">
      <w:pPr>
        <w:jc w:val="both"/>
        <w:rPr>
          <w:bCs/>
        </w:rPr>
      </w:pPr>
      <w:r w:rsidRPr="00B2286B">
        <w:rPr>
          <w:bCs/>
        </w:rPr>
        <w:t xml:space="preserve">Šiame vertinime naudoti įvairūs kokybiniai ir kiekybiniai metodai: </w:t>
      </w:r>
      <w:r w:rsidR="00E4779A">
        <w:rPr>
          <w:bCs/>
        </w:rPr>
        <w:t>intervencijų logikos rekonstrukcija, apklausos, interviu,</w:t>
      </w:r>
      <w:r w:rsidRPr="00B2286B">
        <w:rPr>
          <w:bCs/>
        </w:rPr>
        <w:t xml:space="preserve"> atvejo analizė, statistinė analizė ir kt.</w:t>
      </w:r>
    </w:p>
    <w:p w14:paraId="69F50F55" w14:textId="77777777" w:rsidR="008D1CE5" w:rsidRDefault="008D1CE5" w:rsidP="006C050A">
      <w:pPr>
        <w:jc w:val="both"/>
        <w:rPr>
          <w:b/>
        </w:rPr>
      </w:pPr>
    </w:p>
    <w:p w14:paraId="0B0C517F" w14:textId="31BAE522" w:rsidR="00B2286B" w:rsidRPr="00E4779A" w:rsidRDefault="00B2286B" w:rsidP="006C050A">
      <w:pPr>
        <w:jc w:val="both"/>
        <w:rPr>
          <w:b/>
        </w:rPr>
      </w:pPr>
      <w:r w:rsidRPr="00E4779A">
        <w:rPr>
          <w:b/>
        </w:rPr>
        <w:t>Vertinimo rezultatai</w:t>
      </w:r>
    </w:p>
    <w:p w14:paraId="434432C3" w14:textId="15155D70" w:rsidR="00845026" w:rsidRPr="00B2286B" w:rsidRDefault="00845026" w:rsidP="006C050A">
      <w:pPr>
        <w:jc w:val="both"/>
        <w:rPr>
          <w:bCs/>
        </w:rPr>
      </w:pPr>
      <w:r>
        <w:rPr>
          <w:bCs/>
        </w:rPr>
        <w:t>Investicijų poveikis kultūros ir KKI sektoriui</w:t>
      </w:r>
      <w:r w:rsidR="00E4779A">
        <w:rPr>
          <w:bCs/>
        </w:rPr>
        <w:t>:</w:t>
      </w:r>
    </w:p>
    <w:p w14:paraId="3FA213C3" w14:textId="67E87573" w:rsidR="00B2286B" w:rsidRDefault="00B2286B" w:rsidP="006C050A">
      <w:pPr>
        <w:jc w:val="both"/>
        <w:rPr>
          <w:bCs/>
        </w:rPr>
      </w:pPr>
      <w:r w:rsidRPr="00B2286B">
        <w:rPr>
          <w:bCs/>
        </w:rPr>
        <w:t>1</w:t>
      </w:r>
      <w:r w:rsidR="00845026">
        <w:rPr>
          <w:bCs/>
        </w:rPr>
        <w:t>)</w:t>
      </w:r>
      <w:r w:rsidR="00845026" w:rsidRPr="00845026">
        <w:t xml:space="preserve"> </w:t>
      </w:r>
      <w:r w:rsidR="00845026">
        <w:t>V</w:t>
      </w:r>
      <w:r w:rsidR="00845026" w:rsidRPr="00845026">
        <w:rPr>
          <w:bCs/>
        </w:rPr>
        <w:t>isos investicijos turėjo tiesioginį ir / ar netiesioginį poveikį kultūrai: investicijos pagerino kultūros ir KKI sektoriaus kokybę, prieinamumą, žinomumą bei pritraukė daugiau lankytojų</w:t>
      </w:r>
      <w:r w:rsidR="00845026">
        <w:rPr>
          <w:bCs/>
        </w:rPr>
        <w:t>.</w:t>
      </w:r>
    </w:p>
    <w:p w14:paraId="0EDCD41C" w14:textId="0CE84D4A" w:rsidR="00845026" w:rsidRDefault="00845026" w:rsidP="006C050A">
      <w:pPr>
        <w:jc w:val="both"/>
        <w:rPr>
          <w:bCs/>
        </w:rPr>
      </w:pPr>
      <w:r>
        <w:rPr>
          <w:bCs/>
        </w:rPr>
        <w:t>2) D</w:t>
      </w:r>
      <w:r w:rsidRPr="00845026">
        <w:rPr>
          <w:bCs/>
        </w:rPr>
        <w:t>idžiausias galimas visų investicijų intervencijų multiplikatoriaus efekto poveikis  – 1 080,7 mln. Eur vertės papildomos ekonominės veiklos, mažiausias galimas – 589,5 mln. Eur. Pritaikius vidutinį investicijų kultūros srityje multiplikatoriaus įvertį – 735,6 mln. Eur, poveikis ekonominiams rodikliams daugiausiai sukuriamas iš VP intervencijų prisidėjo prie gyventojų užimtumo augimo, turizmo srautų pokyčių. Jomis siekiama padidinti kultūros ir KKI sektoriaus pridėtinę vertę bei kurti naujas darbo vietas.</w:t>
      </w:r>
    </w:p>
    <w:p w14:paraId="0D9CCCF9" w14:textId="34DBC711" w:rsidR="00E4779A" w:rsidRDefault="00845026" w:rsidP="006C050A">
      <w:pPr>
        <w:jc w:val="both"/>
        <w:rPr>
          <w:bCs/>
        </w:rPr>
      </w:pPr>
      <w:r>
        <w:rPr>
          <w:bCs/>
        </w:rPr>
        <w:t xml:space="preserve">3) </w:t>
      </w:r>
      <w:r w:rsidR="00E4779A">
        <w:rPr>
          <w:bCs/>
        </w:rPr>
        <w:t>D</w:t>
      </w:r>
      <w:r w:rsidR="00E4779A" w:rsidRPr="00E4779A">
        <w:rPr>
          <w:bCs/>
        </w:rPr>
        <w:t>idžiausią socialinį ekonominį poveikį turėję investicijų į kultūros ir KKI sektorių aspektai</w:t>
      </w:r>
      <w:r w:rsidR="00E4779A">
        <w:rPr>
          <w:bCs/>
        </w:rPr>
        <w:t>: v</w:t>
      </w:r>
      <w:r w:rsidR="00E4779A" w:rsidRPr="00E4779A">
        <w:rPr>
          <w:bCs/>
        </w:rPr>
        <w:t>ietos bendruomenių integracija</w:t>
      </w:r>
      <w:r w:rsidR="00E4779A">
        <w:rPr>
          <w:bCs/>
        </w:rPr>
        <w:t>; kultūros prieinamumas ir įtrauktis;</w:t>
      </w:r>
      <w:r w:rsidR="00E4779A" w:rsidRPr="00E4779A">
        <w:t xml:space="preserve"> </w:t>
      </w:r>
      <w:r w:rsidR="00E4779A">
        <w:t>u</w:t>
      </w:r>
      <w:r w:rsidR="00E4779A" w:rsidRPr="00E4779A">
        <w:rPr>
          <w:bCs/>
        </w:rPr>
        <w:t>žimtumas ir kultūros sektoriaus pridėtinė vertė</w:t>
      </w:r>
      <w:r w:rsidR="00E4779A">
        <w:rPr>
          <w:bCs/>
        </w:rPr>
        <w:t>.</w:t>
      </w:r>
    </w:p>
    <w:p w14:paraId="37A3A645" w14:textId="713B9B0A" w:rsidR="00845026" w:rsidRDefault="00E4779A" w:rsidP="006C050A">
      <w:pPr>
        <w:jc w:val="both"/>
        <w:rPr>
          <w:bCs/>
        </w:rPr>
      </w:pPr>
      <w:r w:rsidRPr="00E4779A">
        <w:rPr>
          <w:bCs/>
        </w:rPr>
        <w:t xml:space="preserve"> </w:t>
      </w:r>
      <w:r>
        <w:rPr>
          <w:bCs/>
        </w:rPr>
        <w:t>4</w:t>
      </w:r>
      <w:r w:rsidR="00845026">
        <w:rPr>
          <w:bCs/>
        </w:rPr>
        <w:t>)</w:t>
      </w:r>
      <w:r w:rsidR="00845026" w:rsidRPr="00845026">
        <w:t xml:space="preserve"> </w:t>
      </w:r>
      <w:r w:rsidR="00845026" w:rsidRPr="00845026">
        <w:rPr>
          <w:bCs/>
        </w:rPr>
        <w:t xml:space="preserve">VP 5 prioriteto poveikis pasireiškia per kultūros paveldo objektų ar vietovių vertingąsias savybes ir jų reikšmingumą (autentiškumą, unikalumą), sukurtus papildomus lankytojų srautus, kultūrinio paveldo populiarinimą, žinomumą bei paveldo prieinamumą (užtikrinamas objekto prieinamumas, atvirumas visuomenei). </w:t>
      </w:r>
    </w:p>
    <w:p w14:paraId="3ABF6A62" w14:textId="2F874A2F" w:rsidR="00845026" w:rsidRDefault="00E4779A" w:rsidP="006C050A">
      <w:pPr>
        <w:jc w:val="both"/>
        <w:rPr>
          <w:bCs/>
        </w:rPr>
      </w:pPr>
      <w:r>
        <w:rPr>
          <w:bCs/>
        </w:rPr>
        <w:t xml:space="preserve">5) </w:t>
      </w:r>
      <w:r w:rsidR="00845026" w:rsidRPr="00845026">
        <w:rPr>
          <w:bCs/>
        </w:rPr>
        <w:t xml:space="preserve">VP 7 prioriteto poveikis pasireiškė per kultūros objekto (ar paslaugos) prieinamumo, kokybės ir žinomumo gerėjimą; taip pat nustatyta, kad projektai, kurie buvo nukreipti į kietąsias ir minkštąsias veiklas (derinant tarpusavyje skirtingas išlaidų grupes), sulaukė didesnio visuomenės dėmesio bei didesnių lankytojų srautų. </w:t>
      </w:r>
      <w:r w:rsidRPr="00E4779A">
        <w:rPr>
          <w:bCs/>
        </w:rPr>
        <w:t>VP 7 prioriteto priemonėmis labiausiai prisidėta prie užimtumo lygio augimo.</w:t>
      </w:r>
    </w:p>
    <w:p w14:paraId="1D015911" w14:textId="31E764DE" w:rsidR="00845026" w:rsidRDefault="00E4779A" w:rsidP="006C050A">
      <w:pPr>
        <w:jc w:val="both"/>
        <w:rPr>
          <w:bCs/>
        </w:rPr>
      </w:pPr>
      <w:r>
        <w:rPr>
          <w:bCs/>
        </w:rPr>
        <w:t xml:space="preserve">6) </w:t>
      </w:r>
      <w:r w:rsidR="00845026" w:rsidRPr="00845026">
        <w:rPr>
          <w:bCs/>
        </w:rPr>
        <w:t>VP 13 prioriteto poveikis pasižymėjo teikiamų kultūros ir KKI sektoriaus paslaugų kokybės ir žinomumo gerėjimu (įdiegus naujas technologijas padidėjo paslaugų pasiūla).</w:t>
      </w:r>
    </w:p>
    <w:p w14:paraId="3EE30355" w14:textId="77777777" w:rsidR="006C050A" w:rsidRDefault="006C050A" w:rsidP="006C050A">
      <w:pPr>
        <w:jc w:val="both"/>
        <w:rPr>
          <w:b/>
        </w:rPr>
      </w:pPr>
    </w:p>
    <w:p w14:paraId="47DCFCE7" w14:textId="037F1F5E" w:rsidR="00B2286B" w:rsidRPr="00E4779A" w:rsidRDefault="00B2286B" w:rsidP="006C050A">
      <w:pPr>
        <w:jc w:val="both"/>
        <w:rPr>
          <w:b/>
        </w:rPr>
      </w:pPr>
      <w:r w:rsidRPr="00E4779A">
        <w:rPr>
          <w:b/>
        </w:rPr>
        <w:t>Vertinimo rekomendacijos ir nauda</w:t>
      </w:r>
    </w:p>
    <w:p w14:paraId="5254E546" w14:textId="77777777" w:rsidR="00B977B7" w:rsidRDefault="00B2286B" w:rsidP="006C050A">
      <w:pPr>
        <w:jc w:val="both"/>
        <w:rPr>
          <w:bCs/>
        </w:rPr>
      </w:pPr>
      <w:r w:rsidRPr="00B2286B">
        <w:rPr>
          <w:bCs/>
        </w:rPr>
        <w:t xml:space="preserve">Remiantis </w:t>
      </w:r>
      <w:r w:rsidR="00B977B7">
        <w:rPr>
          <w:bCs/>
        </w:rPr>
        <w:t>gautais vertinimo rezultatais ir išvadomis, pateiktos rekomendacijos:</w:t>
      </w:r>
    </w:p>
    <w:p w14:paraId="20E27066" w14:textId="0E1A953B" w:rsidR="00B977B7" w:rsidRDefault="00B977B7" w:rsidP="006C050A">
      <w:pPr>
        <w:jc w:val="both"/>
        <w:rPr>
          <w:bCs/>
        </w:rPr>
      </w:pPr>
      <w:r w:rsidRPr="00B977B7">
        <w:rPr>
          <w:bCs/>
        </w:rPr>
        <w:t>1</w:t>
      </w:r>
      <w:r>
        <w:rPr>
          <w:bCs/>
        </w:rPr>
        <w:t xml:space="preserve">) </w:t>
      </w:r>
      <w:r w:rsidRPr="00B977B7">
        <w:rPr>
          <w:bCs/>
        </w:rPr>
        <w:t>Siūloma toliau tęsti (2021–2027 m. finansavimo periode) kultūros paveldo aktualizavimo veiklas: objektų ir su jais susijusios infrastruktūros sutvarkymą, atnaujinimą, restauravimą, sukūrimą atliepiant vietos bendruomenės, kultūros bendruomenės ir verslo poreikius</w:t>
      </w:r>
      <w:r>
        <w:rPr>
          <w:bCs/>
        </w:rPr>
        <w:t>.</w:t>
      </w:r>
    </w:p>
    <w:p w14:paraId="0433663D" w14:textId="0D23E73D" w:rsidR="00B977B7" w:rsidRDefault="00B977B7" w:rsidP="006C050A">
      <w:pPr>
        <w:jc w:val="both"/>
        <w:rPr>
          <w:bCs/>
        </w:rPr>
      </w:pPr>
      <w:r w:rsidRPr="00B977B7">
        <w:rPr>
          <w:bCs/>
        </w:rPr>
        <w:t>2</w:t>
      </w:r>
      <w:r>
        <w:rPr>
          <w:bCs/>
        </w:rPr>
        <w:t xml:space="preserve">) </w:t>
      </w:r>
      <w:r w:rsidRPr="00B977B7">
        <w:rPr>
          <w:bCs/>
        </w:rPr>
        <w:t>Dėl didelės investicijų paklausos rinkoje siūloma toliau nuosekliai didinti finansavimą šioms programoms kiekvienais metais</w:t>
      </w:r>
      <w:r>
        <w:rPr>
          <w:bCs/>
        </w:rPr>
        <w:t>, derinant „minkštąsias“ ir „kietąsias“ priemones.</w:t>
      </w:r>
    </w:p>
    <w:p w14:paraId="08220B39" w14:textId="524AFF75" w:rsidR="00B977B7" w:rsidRDefault="00B977B7" w:rsidP="006C050A">
      <w:pPr>
        <w:jc w:val="both"/>
        <w:rPr>
          <w:bCs/>
        </w:rPr>
      </w:pPr>
      <w:r w:rsidRPr="00B977B7">
        <w:rPr>
          <w:bCs/>
        </w:rPr>
        <w:t>3</w:t>
      </w:r>
      <w:r>
        <w:rPr>
          <w:bCs/>
        </w:rPr>
        <w:t xml:space="preserve">) </w:t>
      </w:r>
      <w:r w:rsidRPr="00B977B7">
        <w:rPr>
          <w:bCs/>
        </w:rPr>
        <w:t>Siekiant valdyti biudžeto pakitimo (išlaidų išaugimo) riziką, siūlomas projektų biudžetų indeksavimas (ypatingai renovacijos / pastatų modernizavimo priemonių atžvilgiu), siekiant užtikrinti projektų įgyvendinimą didėjant infliacijai</w:t>
      </w:r>
      <w:r>
        <w:rPr>
          <w:bCs/>
        </w:rPr>
        <w:t>.</w:t>
      </w:r>
    </w:p>
    <w:p w14:paraId="358C9EDB" w14:textId="2CC0D856" w:rsidR="00B977B7" w:rsidRDefault="00B977B7" w:rsidP="006C050A">
      <w:pPr>
        <w:jc w:val="both"/>
        <w:rPr>
          <w:bCs/>
        </w:rPr>
      </w:pPr>
      <w:r w:rsidRPr="00B977B7">
        <w:rPr>
          <w:bCs/>
        </w:rPr>
        <w:t>4</w:t>
      </w:r>
      <w:r>
        <w:rPr>
          <w:bCs/>
        </w:rPr>
        <w:t xml:space="preserve">) </w:t>
      </w:r>
      <w:r w:rsidRPr="00B977B7">
        <w:rPr>
          <w:bCs/>
        </w:rPr>
        <w:t>Planuojant investicijas siūloma įvertinti galimybes suplanuoti priemones, nukreiptas specifiškai į KKI sektorių</w:t>
      </w:r>
      <w:r>
        <w:rPr>
          <w:bCs/>
        </w:rPr>
        <w:t>.</w:t>
      </w:r>
    </w:p>
    <w:p w14:paraId="6DB8AD90" w14:textId="02C4452F" w:rsidR="00B977B7" w:rsidRDefault="00B977B7" w:rsidP="006C050A">
      <w:pPr>
        <w:jc w:val="both"/>
        <w:rPr>
          <w:bCs/>
        </w:rPr>
      </w:pPr>
      <w:r w:rsidRPr="00B977B7">
        <w:rPr>
          <w:bCs/>
        </w:rPr>
        <w:t>5</w:t>
      </w:r>
      <w:r>
        <w:rPr>
          <w:bCs/>
        </w:rPr>
        <w:t xml:space="preserve">) </w:t>
      </w:r>
      <w:r w:rsidRPr="00B977B7">
        <w:rPr>
          <w:bCs/>
        </w:rPr>
        <w:t>Siūloma vengti rodiklių, kuriais sunku išmatuoti rezultatus.</w:t>
      </w:r>
      <w:r w:rsidR="00242E51" w:rsidRPr="00242E51">
        <w:t xml:space="preserve"> </w:t>
      </w:r>
      <w:r w:rsidR="00242E51">
        <w:t>Iš n</w:t>
      </w:r>
      <w:r w:rsidR="00242E51" w:rsidRPr="00242E51">
        <w:rPr>
          <w:bCs/>
        </w:rPr>
        <w:t>acionalini</w:t>
      </w:r>
      <w:r w:rsidR="00242E51">
        <w:rPr>
          <w:bCs/>
        </w:rPr>
        <w:t>o</w:t>
      </w:r>
      <w:r w:rsidR="00242E51" w:rsidRPr="00242E51">
        <w:rPr>
          <w:bCs/>
        </w:rPr>
        <w:t xml:space="preserve"> biudžet</w:t>
      </w:r>
      <w:r w:rsidR="00242E51">
        <w:rPr>
          <w:bCs/>
        </w:rPr>
        <w:t>o</w:t>
      </w:r>
      <w:r w:rsidR="00242E51" w:rsidRPr="00242E51">
        <w:rPr>
          <w:bCs/>
        </w:rPr>
        <w:t xml:space="preserve"> finansuojam</w:t>
      </w:r>
      <w:r w:rsidR="00242E51">
        <w:rPr>
          <w:bCs/>
        </w:rPr>
        <w:t>ų</w:t>
      </w:r>
      <w:r w:rsidR="00242E51" w:rsidRPr="00242E51">
        <w:rPr>
          <w:bCs/>
        </w:rPr>
        <w:t xml:space="preserve"> intervencijų rodiklius rekomenduojama tiksliau susieti su NPP prioritetu „Kultūra“ ar kitu nacionaliniu strateginiu dokumentu, kuriuo formuojama kultūros politika</w:t>
      </w:r>
      <w:r w:rsidR="00242E51">
        <w:rPr>
          <w:bCs/>
        </w:rPr>
        <w:t>.</w:t>
      </w:r>
    </w:p>
    <w:p w14:paraId="6C0077BE" w14:textId="563ADB2B" w:rsidR="00242E51" w:rsidRDefault="00242E51" w:rsidP="006C050A">
      <w:pPr>
        <w:jc w:val="both"/>
        <w:rPr>
          <w:bCs/>
        </w:rPr>
      </w:pPr>
      <w:r w:rsidRPr="00242E51">
        <w:rPr>
          <w:bCs/>
        </w:rPr>
        <w:t>6</w:t>
      </w:r>
      <w:r>
        <w:rPr>
          <w:bCs/>
        </w:rPr>
        <w:t xml:space="preserve">) </w:t>
      </w:r>
      <w:r w:rsidRPr="00242E51">
        <w:rPr>
          <w:bCs/>
        </w:rPr>
        <w:t>Remiantis kitų sektorių gerąja praktika  ir išmoktomis pamokomis įgyvendinant 307 priemonę, siūloma derinti finansines priemones su subsidi</w:t>
      </w:r>
      <w:r>
        <w:rPr>
          <w:bCs/>
        </w:rPr>
        <w:t>jomis.</w:t>
      </w:r>
    </w:p>
    <w:p w14:paraId="1B4FD5CB" w14:textId="336C7C63" w:rsidR="00B2286B" w:rsidRPr="00B2286B" w:rsidRDefault="00B2286B" w:rsidP="006C050A">
      <w:pPr>
        <w:jc w:val="both"/>
        <w:rPr>
          <w:bCs/>
        </w:rPr>
      </w:pPr>
      <w:r w:rsidRPr="00B2286B">
        <w:rPr>
          <w:bCs/>
        </w:rPr>
        <w:t xml:space="preserve">Vertinimo metu gautos  išvados </w:t>
      </w:r>
      <w:r w:rsidR="00B977B7">
        <w:rPr>
          <w:bCs/>
        </w:rPr>
        <w:t>ir rekomendacijos leis geriau atsiskaityti už investicijų panaudojimą ir tobulinti investicijas ateityje.</w:t>
      </w:r>
    </w:p>
    <w:p w14:paraId="60C984B7" w14:textId="77777777" w:rsidR="00B2286B" w:rsidRPr="00B2286B" w:rsidRDefault="00B2286B" w:rsidP="00B2286B">
      <w:pPr>
        <w:spacing w:line="276" w:lineRule="auto"/>
        <w:jc w:val="both"/>
        <w:rPr>
          <w:bCs/>
        </w:rPr>
      </w:pPr>
      <w:r w:rsidRPr="00B2286B">
        <w:rPr>
          <w:bCs/>
        </w:rPr>
        <w:t> </w:t>
      </w:r>
    </w:p>
    <w:p w14:paraId="74E7FD39" w14:textId="266FFD8C" w:rsidR="000B5947" w:rsidRPr="005B4C83" w:rsidRDefault="000B5947" w:rsidP="002E3065">
      <w:pPr>
        <w:spacing w:line="276" w:lineRule="auto"/>
        <w:jc w:val="both"/>
        <w:rPr>
          <w:bCs/>
        </w:rPr>
      </w:pPr>
      <w:r w:rsidRPr="005B4C83">
        <w:rPr>
          <w:bCs/>
        </w:rPr>
        <w:br w:type="page"/>
      </w:r>
    </w:p>
    <w:p w14:paraId="1DB9D441" w14:textId="3EB1F4BE" w:rsidR="00EE5BD1" w:rsidRDefault="00D35893" w:rsidP="00EE5BD1">
      <w:pPr>
        <w:autoSpaceDE w:val="0"/>
        <w:autoSpaceDN w:val="0"/>
        <w:adjustRightInd w:val="0"/>
        <w:jc w:val="both"/>
        <w:rPr>
          <w:b/>
          <w:bCs/>
        </w:rPr>
      </w:pPr>
      <w:r>
        <w:rPr>
          <w:b/>
          <w:bCs/>
        </w:rPr>
        <w:lastRenderedPageBreak/>
        <w:t>9</w:t>
      </w:r>
      <w:r w:rsidR="00EE5BD1" w:rsidRPr="00EE5BD1">
        <w:rPr>
          <w:b/>
          <w:bCs/>
        </w:rPr>
        <w:t xml:space="preserve">. </w:t>
      </w:r>
      <w:bookmarkStart w:id="6" w:name="_Hlk134533792"/>
      <w:r w:rsidR="00EE5BD1" w:rsidRPr="00EE5BD1">
        <w:rPr>
          <w:b/>
          <w:bCs/>
        </w:rPr>
        <w:t>Veiksmų programos prioriteto „Energijos efektyvumo ir atsinaujinančių išteklių energijos ir naudojimo skatinimas“ poveikio vertinimas</w:t>
      </w:r>
    </w:p>
    <w:p w14:paraId="520E948F" w14:textId="4C06E721" w:rsidR="00EE5BD1" w:rsidRDefault="00EE5BD1" w:rsidP="00EE5BD1">
      <w:pPr>
        <w:autoSpaceDE w:val="0"/>
        <w:autoSpaceDN w:val="0"/>
        <w:adjustRightInd w:val="0"/>
        <w:jc w:val="both"/>
      </w:pPr>
      <w:r w:rsidRPr="00EE5BD1">
        <w:rPr>
          <w:b/>
          <w:bCs/>
        </w:rPr>
        <w:t xml:space="preserve"> </w:t>
      </w:r>
      <w:r>
        <w:t>Užsakovas: Lietuvos Respublikos energetikos ministerija (EM)</w:t>
      </w:r>
    </w:p>
    <w:p w14:paraId="14660400" w14:textId="77777777" w:rsidR="00EE5BD1" w:rsidRDefault="00EE5BD1" w:rsidP="00EE5BD1">
      <w:pPr>
        <w:autoSpaceDE w:val="0"/>
        <w:autoSpaceDN w:val="0"/>
        <w:adjustRightInd w:val="0"/>
        <w:jc w:val="both"/>
      </w:pPr>
      <w:r>
        <w:t xml:space="preserve">Vertinimą atliko: Smart Continent LT, UAB, 2023 m. </w:t>
      </w:r>
    </w:p>
    <w:p w14:paraId="00484CE7" w14:textId="77777777" w:rsidR="00EE5BD1" w:rsidRDefault="00EE5BD1" w:rsidP="00EE5BD1">
      <w:pPr>
        <w:autoSpaceDE w:val="0"/>
        <w:autoSpaceDN w:val="0"/>
        <w:adjustRightInd w:val="0"/>
        <w:jc w:val="both"/>
      </w:pPr>
    </w:p>
    <w:p w14:paraId="28B42382" w14:textId="7D10959B" w:rsidR="00EE5BD1" w:rsidRPr="006B0B82" w:rsidRDefault="00EE5BD1" w:rsidP="00EE5BD1">
      <w:pPr>
        <w:autoSpaceDE w:val="0"/>
        <w:autoSpaceDN w:val="0"/>
        <w:adjustRightInd w:val="0"/>
        <w:jc w:val="both"/>
        <w:rPr>
          <w:b/>
          <w:bCs/>
        </w:rPr>
      </w:pPr>
      <w:r w:rsidRPr="006B0B82">
        <w:rPr>
          <w:b/>
          <w:bCs/>
        </w:rPr>
        <w:t>Vertinimo tikslas, uždaviniai, apimtis, metodai</w:t>
      </w:r>
    </w:p>
    <w:p w14:paraId="21C2EBD9" w14:textId="77777777" w:rsidR="00EE5BD1" w:rsidRPr="00EE5BD1" w:rsidRDefault="00EE5BD1" w:rsidP="00EE5BD1">
      <w:pPr>
        <w:autoSpaceDE w:val="0"/>
        <w:autoSpaceDN w:val="0"/>
        <w:adjustRightInd w:val="0"/>
        <w:jc w:val="both"/>
        <w:rPr>
          <w:b/>
          <w:bCs/>
        </w:rPr>
      </w:pPr>
      <w:r w:rsidRPr="00EE5BD1">
        <w:rPr>
          <w:b/>
          <w:bCs/>
        </w:rPr>
        <w:t>Tikslas</w:t>
      </w:r>
    </w:p>
    <w:p w14:paraId="4DDEB175" w14:textId="41B70076" w:rsidR="00EE5BD1" w:rsidRDefault="00B26BFB" w:rsidP="00EE5BD1">
      <w:pPr>
        <w:autoSpaceDE w:val="0"/>
        <w:autoSpaceDN w:val="0"/>
        <w:adjustRightInd w:val="0"/>
        <w:jc w:val="both"/>
      </w:pPr>
      <w:r>
        <w:t>N</w:t>
      </w:r>
      <w:r w:rsidR="00EE5BD1">
        <w:t>ustatyti 2014–2020 m. ES struktūrinių fondų investicijų panaudojimo efektyvumą ir poveikį energetikos sektoriui, investicijų tvarumą ir tęstinumą šioje srityje, siekiant pritaikyti 2014–2020 m. lėšų panaudojimo gerąją praktiką ir patobulinti 2021–2027 m. ES fondų investicijų panaudojimą</w:t>
      </w:r>
    </w:p>
    <w:p w14:paraId="734AB63C" w14:textId="77777777" w:rsidR="00EE5BD1" w:rsidRPr="00EE5BD1" w:rsidRDefault="00EE5BD1" w:rsidP="00EE5BD1">
      <w:pPr>
        <w:autoSpaceDE w:val="0"/>
        <w:autoSpaceDN w:val="0"/>
        <w:adjustRightInd w:val="0"/>
        <w:jc w:val="both"/>
        <w:rPr>
          <w:b/>
          <w:bCs/>
        </w:rPr>
      </w:pPr>
      <w:r w:rsidRPr="00EE5BD1">
        <w:rPr>
          <w:b/>
          <w:bCs/>
        </w:rPr>
        <w:t>Uždaviniai</w:t>
      </w:r>
    </w:p>
    <w:p w14:paraId="143E08BF" w14:textId="541BEA32" w:rsidR="00EE5BD1" w:rsidRDefault="00EE5BD1" w:rsidP="00EE5BD1">
      <w:pPr>
        <w:autoSpaceDE w:val="0"/>
        <w:autoSpaceDN w:val="0"/>
        <w:adjustRightInd w:val="0"/>
        <w:jc w:val="both"/>
      </w:pPr>
      <w:r>
        <w:t>1</w:t>
      </w:r>
      <w:r w:rsidR="006C050A">
        <w:t>)</w:t>
      </w:r>
      <w:r>
        <w:t xml:space="preserve"> Įvertinti Veiksmų programos priemonių, skirtų energijos efektyvumo ir </w:t>
      </w:r>
      <w:r w:rsidR="007A0410">
        <w:t>a</w:t>
      </w:r>
      <w:r w:rsidR="007A0410" w:rsidRPr="007A0410">
        <w:t xml:space="preserve">tsinaujinančių išteklių energija </w:t>
      </w:r>
      <w:r w:rsidR="007A0410">
        <w:t>(</w:t>
      </w:r>
      <w:r>
        <w:t>AEI</w:t>
      </w:r>
      <w:r w:rsidR="007A0410">
        <w:t>)</w:t>
      </w:r>
      <w:r>
        <w:t xml:space="preserve"> gamybos ir naudojimo skatinimui, tinkamumą, įgyvendinimą, įvertinant šių priemonių poveikį.</w:t>
      </w:r>
    </w:p>
    <w:p w14:paraId="2AE23F0F" w14:textId="316FF292" w:rsidR="00EE5BD1" w:rsidRDefault="00EE5BD1" w:rsidP="00EE5BD1">
      <w:pPr>
        <w:autoSpaceDE w:val="0"/>
        <w:autoSpaceDN w:val="0"/>
        <w:adjustRightInd w:val="0"/>
        <w:jc w:val="both"/>
      </w:pPr>
      <w:r>
        <w:t>2</w:t>
      </w:r>
      <w:r w:rsidR="006C050A">
        <w:t>)</w:t>
      </w:r>
      <w:r>
        <w:t xml:space="preserve"> Įvertinti Veiksmų programos investicijų, skirtų energijos efektyvumo ir AEI gamybos ir naudojimo skatinimui, efektyvumą ir rezultatyvumą, siekiant Veiksmų programoje nustatytų tikslų.</w:t>
      </w:r>
    </w:p>
    <w:p w14:paraId="4499FAB7" w14:textId="236A183D" w:rsidR="00EE5BD1" w:rsidRDefault="00EE5BD1" w:rsidP="00EE5BD1">
      <w:pPr>
        <w:autoSpaceDE w:val="0"/>
        <w:autoSpaceDN w:val="0"/>
        <w:adjustRightInd w:val="0"/>
        <w:jc w:val="both"/>
      </w:pPr>
      <w:r>
        <w:t>3</w:t>
      </w:r>
      <w:r w:rsidR="006C050A">
        <w:t>)</w:t>
      </w:r>
      <w:r>
        <w:t>Įvertinti pagal Veiksmų programos priemones, skirtas energijos efektyvumo ir AEI gamybos ir naudojimo skatinimui, įgyvendintų / įgyvendinamų projektų tinkamumą, rezultatyvumą, efektyvumą, poveikį.</w:t>
      </w:r>
    </w:p>
    <w:p w14:paraId="62341745" w14:textId="77777777" w:rsidR="00EE5BD1" w:rsidRPr="00EE5BD1" w:rsidRDefault="00EE5BD1" w:rsidP="00EE5BD1">
      <w:pPr>
        <w:autoSpaceDE w:val="0"/>
        <w:autoSpaceDN w:val="0"/>
        <w:adjustRightInd w:val="0"/>
        <w:jc w:val="both"/>
        <w:rPr>
          <w:b/>
          <w:bCs/>
        </w:rPr>
      </w:pPr>
      <w:r w:rsidRPr="00EE5BD1">
        <w:rPr>
          <w:b/>
          <w:bCs/>
        </w:rPr>
        <w:t>Apimtis</w:t>
      </w:r>
    </w:p>
    <w:p w14:paraId="036D9547" w14:textId="49D3B7C4" w:rsidR="00EE5BD1" w:rsidRDefault="00EE5BD1" w:rsidP="00EE5BD1">
      <w:pPr>
        <w:autoSpaceDE w:val="0"/>
        <w:autoSpaceDN w:val="0"/>
        <w:adjustRightInd w:val="0"/>
        <w:jc w:val="both"/>
      </w:pPr>
      <w:r>
        <w:t xml:space="preserve">Vertinimo apimtis – dvidešimt priemonių iš 2014–2020 m. ES investicijų veiksmų programos 4 prioriteto (Transporto </w:t>
      </w:r>
      <w:r w:rsidR="007A0410">
        <w:t>sektorius</w:t>
      </w:r>
      <w:r>
        <w:t xml:space="preserve"> nebuvo vertinam</w:t>
      </w:r>
      <w:r w:rsidR="007A0410">
        <w:t>a</w:t>
      </w:r>
      <w:r>
        <w:t>s, kadangi buvo atliktas atskiras vertinimas).</w:t>
      </w:r>
    </w:p>
    <w:p w14:paraId="1E0464CA" w14:textId="77777777" w:rsidR="00EE5BD1" w:rsidRPr="007A0410" w:rsidRDefault="00EE5BD1" w:rsidP="00EE5BD1">
      <w:pPr>
        <w:autoSpaceDE w:val="0"/>
        <w:autoSpaceDN w:val="0"/>
        <w:adjustRightInd w:val="0"/>
        <w:jc w:val="both"/>
        <w:rPr>
          <w:b/>
          <w:bCs/>
        </w:rPr>
      </w:pPr>
      <w:r w:rsidRPr="007A0410">
        <w:rPr>
          <w:b/>
          <w:bCs/>
        </w:rPr>
        <w:t>Naudoti metodai</w:t>
      </w:r>
    </w:p>
    <w:p w14:paraId="299B625D" w14:textId="77777777" w:rsidR="00EE5BD1" w:rsidRDefault="00EE5BD1" w:rsidP="00EE5BD1">
      <w:pPr>
        <w:autoSpaceDE w:val="0"/>
        <w:autoSpaceDN w:val="0"/>
        <w:adjustRightInd w:val="0"/>
        <w:jc w:val="both"/>
      </w:pPr>
      <w:r>
        <w:t>Atliekant vertinimą buvo taikyti įvairūs kiekybiniai ir kokybiniai vertinimo duomenų rinkimo ir analizės metodai: teisės aktų analizė, antrinių šaltinių analizė, interviu su suinteresuotosiomis šalimis, lyginamoji analizė, intervencijų logikos rekonstrukcija, statistinė analizė, ekonometrinis modeliavimas. Vertinimui buvo naudoti SFMIS2014 duomenys, taip pat iš Valstybinės duomenų agentūros ir kitų oficialių šaltinių bei vertinimo metu surinkti duomenys.</w:t>
      </w:r>
    </w:p>
    <w:p w14:paraId="6DA6392C" w14:textId="77777777" w:rsidR="006C050A" w:rsidRDefault="006C050A" w:rsidP="00306392">
      <w:pPr>
        <w:autoSpaceDE w:val="0"/>
        <w:autoSpaceDN w:val="0"/>
        <w:adjustRightInd w:val="0"/>
        <w:jc w:val="both"/>
        <w:rPr>
          <w:b/>
          <w:bCs/>
        </w:rPr>
      </w:pPr>
    </w:p>
    <w:p w14:paraId="4919607A" w14:textId="11651368" w:rsidR="00EE5BD1" w:rsidRPr="00EE5BD1" w:rsidRDefault="00EE5BD1" w:rsidP="00306392">
      <w:pPr>
        <w:autoSpaceDE w:val="0"/>
        <w:autoSpaceDN w:val="0"/>
        <w:adjustRightInd w:val="0"/>
        <w:jc w:val="both"/>
        <w:rPr>
          <w:b/>
          <w:bCs/>
        </w:rPr>
      </w:pPr>
      <w:r w:rsidRPr="00EE5BD1">
        <w:rPr>
          <w:b/>
          <w:bCs/>
        </w:rPr>
        <w:t>Pagrindiniai vertinimo rezultatai</w:t>
      </w:r>
    </w:p>
    <w:p w14:paraId="6D97083A" w14:textId="77777777" w:rsidR="00EE5BD1" w:rsidRDefault="00EE5BD1" w:rsidP="006B0B82">
      <w:pPr>
        <w:autoSpaceDE w:val="0"/>
        <w:autoSpaceDN w:val="0"/>
        <w:adjustRightInd w:val="0"/>
        <w:jc w:val="both"/>
      </w:pPr>
      <w:r>
        <w:t xml:space="preserve">Įvertinus programos </w:t>
      </w:r>
      <w:r w:rsidRPr="00306392">
        <w:rPr>
          <w:b/>
          <w:bCs/>
        </w:rPr>
        <w:t>tikslų ir konkrečių uždavinių pasiekimo</w:t>
      </w:r>
      <w:r>
        <w:t xml:space="preserve"> tikimybę, nustatyta:</w:t>
      </w:r>
    </w:p>
    <w:p w14:paraId="2BDC0549" w14:textId="3DFCC41B" w:rsidR="00EE5BD1" w:rsidRDefault="00B26BFB" w:rsidP="006B0B82">
      <w:pPr>
        <w:autoSpaceDE w:val="0"/>
        <w:autoSpaceDN w:val="0"/>
        <w:adjustRightInd w:val="0"/>
        <w:jc w:val="both"/>
      </w:pPr>
      <w:r>
        <w:t>1</w:t>
      </w:r>
      <w:r w:rsidR="006C050A">
        <w:t>)</w:t>
      </w:r>
      <w:r w:rsidR="00EE5BD1">
        <w:t xml:space="preserve"> Darant prielaidą, kad tebevykdomi projektai pasieks 100 proc. sutartyje numatytas pasiekti produkto rodiklio reikšmes, bus </w:t>
      </w:r>
      <w:r>
        <w:t>visiškai</w:t>
      </w:r>
      <w:r w:rsidR="00EE5BD1">
        <w:t xml:space="preserve"> pasiekti 16 iš 20 priemonių PĮP produkto rodiklių. Atitinkamai, 26 produkto rodikliai iš 30 bus įgyvendinti.</w:t>
      </w:r>
    </w:p>
    <w:p w14:paraId="32C38EB2" w14:textId="7637498F" w:rsidR="00EE5BD1" w:rsidRDefault="00EE5BD1" w:rsidP="006B0B82">
      <w:pPr>
        <w:autoSpaceDE w:val="0"/>
        <w:autoSpaceDN w:val="0"/>
        <w:adjustRightInd w:val="0"/>
        <w:jc w:val="both"/>
      </w:pPr>
      <w:r>
        <w:t>3</w:t>
      </w:r>
      <w:r w:rsidR="006C050A">
        <w:t>)</w:t>
      </w:r>
      <w:r>
        <w:t xml:space="preserve"> Dalies PĮP produkto rodiklių reikšmės, remiantis 2022 m. gruodžio 12 d. duomenis, gali būti nepasiektos atsižvelgiant į priemonių įgyvendinimo eigą, tačiau didžioji dalis jų bus įgyvendintos, o VP siektinos reikšmės bus pasiektos ir viršytos. Tai nulemta to, kad VP produkto rodiklių reikšmės yra mažesnės nei atitinkamų PĮP produkto rodiklių siekiamos reikšmės.</w:t>
      </w:r>
    </w:p>
    <w:p w14:paraId="13461FF4" w14:textId="2CFF27DD" w:rsidR="00EE5BD1" w:rsidRDefault="00EE5BD1" w:rsidP="006B0B82">
      <w:pPr>
        <w:autoSpaceDE w:val="0"/>
        <w:autoSpaceDN w:val="0"/>
        <w:adjustRightInd w:val="0"/>
        <w:jc w:val="both"/>
      </w:pPr>
      <w:r>
        <w:t>4</w:t>
      </w:r>
      <w:r w:rsidR="006C050A">
        <w:t>)</w:t>
      </w:r>
      <w:r>
        <w:t xml:space="preserve"> Nėra galimybės įvertinti įgyvendinamų priemonių prisidėjimo prie konkretaus uždavinio (KU) rezultato rodiklių įgyvendinimo, nes nėra žinomas individualių projektų ir priemonių prisidėjimas prie KU rezultato rodiklio. KU rezultato rodiklių pasiekimui naudojami bendri statistiniai rodikliai, kuriems įtaką daro skirtingi makro veiksniai. Vertinama, kad 4 iš 6 KU rezultato rodikliai nebus įgyvendinti, tačiau koreliacijos tarp konkrečių uždavinių priemonių PĮP produkto rodiklių įgyvendinimo ir atitinkamų KU rezultato rodiklių įgyvendinimo nėra nustatytos.</w:t>
      </w:r>
    </w:p>
    <w:p w14:paraId="12DE6DD9" w14:textId="18B2CB73" w:rsidR="00EE5BD1" w:rsidRPr="00EB3F02" w:rsidRDefault="00EE5BD1" w:rsidP="006B0B82">
      <w:pPr>
        <w:autoSpaceDE w:val="0"/>
        <w:autoSpaceDN w:val="0"/>
        <w:adjustRightInd w:val="0"/>
        <w:jc w:val="both"/>
      </w:pPr>
      <w:r>
        <w:t>5</w:t>
      </w:r>
      <w:r w:rsidR="006C050A">
        <w:t>)</w:t>
      </w:r>
      <w:r>
        <w:t xml:space="preserve"> Vertinama, kad VP produkto rodikliai bus įgyvendinti, tačiau KU rezultato rodikliai – tik dalinai. Tai nulemta to, kad KU rezultato rodikliai yra tik dalinai veikiami priemonių rezultatų (nėra ryšių koks intervencijos prisidėjimo mastas prie rezultato rodiklio buvo programuojamas). KU rezultato rodikliams įtaką daro kiti veiksniai (makroekonominiai, klimato, žmonių elgsenos ir t.t.).</w:t>
      </w:r>
    </w:p>
    <w:p w14:paraId="6594A15C" w14:textId="77777777" w:rsidR="007A0410" w:rsidRDefault="007A0410" w:rsidP="006B0B82">
      <w:pPr>
        <w:jc w:val="both"/>
        <w:rPr>
          <w:rFonts w:eastAsiaTheme="minorHAnsi"/>
          <w:bCs/>
          <w:color w:val="000000"/>
          <w:lang w:eastAsia="en-US"/>
        </w:rPr>
      </w:pPr>
    </w:p>
    <w:p w14:paraId="5F248106" w14:textId="5E93C25F" w:rsidR="007A0410" w:rsidRPr="007A0410" w:rsidRDefault="007A0410" w:rsidP="006B0B82">
      <w:pPr>
        <w:jc w:val="both"/>
        <w:rPr>
          <w:rFonts w:eastAsiaTheme="minorHAnsi"/>
          <w:bCs/>
          <w:color w:val="000000"/>
          <w:lang w:eastAsia="en-US"/>
        </w:rPr>
      </w:pPr>
      <w:r w:rsidRPr="007A0410">
        <w:rPr>
          <w:rFonts w:eastAsiaTheme="minorHAnsi"/>
          <w:bCs/>
          <w:color w:val="000000"/>
          <w:lang w:eastAsia="en-US"/>
        </w:rPr>
        <w:t xml:space="preserve">Įvertinus projektų rezultatus ir </w:t>
      </w:r>
      <w:r w:rsidRPr="00306392">
        <w:rPr>
          <w:rFonts w:eastAsiaTheme="minorHAnsi"/>
          <w:b/>
          <w:color w:val="000000"/>
          <w:lang w:eastAsia="en-US"/>
        </w:rPr>
        <w:t>prisidėjimą prie AEI ir efektyvumo tikslų</w:t>
      </w:r>
      <w:r w:rsidRPr="007A0410">
        <w:rPr>
          <w:rFonts w:eastAsiaTheme="minorHAnsi"/>
          <w:bCs/>
          <w:color w:val="000000"/>
          <w:lang w:eastAsia="en-US"/>
        </w:rPr>
        <w:t xml:space="preserve"> nustatyta:</w:t>
      </w:r>
    </w:p>
    <w:p w14:paraId="1676A749" w14:textId="40EFD6EE" w:rsidR="007A0410" w:rsidRPr="007A0410" w:rsidRDefault="007A0410" w:rsidP="006B0B82">
      <w:pPr>
        <w:jc w:val="both"/>
        <w:rPr>
          <w:rFonts w:eastAsiaTheme="minorHAnsi"/>
          <w:bCs/>
          <w:color w:val="000000"/>
          <w:lang w:eastAsia="en-US"/>
        </w:rPr>
      </w:pPr>
      <w:r w:rsidRPr="007A0410">
        <w:rPr>
          <w:rFonts w:eastAsiaTheme="minorHAnsi"/>
          <w:bCs/>
          <w:color w:val="000000"/>
          <w:lang w:eastAsia="en-US"/>
        </w:rPr>
        <w:t>1</w:t>
      </w:r>
      <w:r w:rsidR="006C050A">
        <w:rPr>
          <w:rFonts w:eastAsiaTheme="minorHAnsi"/>
          <w:bCs/>
          <w:color w:val="000000"/>
          <w:lang w:eastAsia="en-US"/>
        </w:rPr>
        <w:t>)</w:t>
      </w:r>
      <w:r>
        <w:rPr>
          <w:rFonts w:eastAsiaTheme="minorHAnsi"/>
          <w:bCs/>
          <w:color w:val="000000"/>
          <w:lang w:eastAsia="en-US"/>
        </w:rPr>
        <w:t xml:space="preserve"> </w:t>
      </w:r>
      <w:r w:rsidRPr="007A0410">
        <w:rPr>
          <w:rFonts w:eastAsiaTheme="minorHAnsi"/>
          <w:bCs/>
          <w:color w:val="000000"/>
          <w:lang w:eastAsia="en-US"/>
        </w:rPr>
        <w:t>Veiksmų programos priemonės leis sukurti papildomus 249 MW AEI elektros gamybos pajėgumų. Vien šios priemonės leis padidinti AEI elektros gamybos pajėgumus 45 proc. palyginus su 2014 m. lygiu.</w:t>
      </w:r>
    </w:p>
    <w:p w14:paraId="60FC68C5" w14:textId="66FC3160" w:rsidR="007A0410" w:rsidRPr="007A0410" w:rsidRDefault="007A0410" w:rsidP="006B0B82">
      <w:pPr>
        <w:jc w:val="both"/>
        <w:rPr>
          <w:rFonts w:eastAsiaTheme="minorHAnsi"/>
          <w:bCs/>
          <w:color w:val="000000"/>
          <w:lang w:eastAsia="en-US"/>
        </w:rPr>
      </w:pPr>
      <w:r w:rsidRPr="007A0410">
        <w:rPr>
          <w:rFonts w:eastAsiaTheme="minorHAnsi"/>
          <w:bCs/>
          <w:color w:val="000000"/>
          <w:lang w:eastAsia="en-US"/>
        </w:rPr>
        <w:lastRenderedPageBreak/>
        <w:t>2</w:t>
      </w:r>
      <w:r w:rsidR="006C050A">
        <w:rPr>
          <w:rFonts w:eastAsiaTheme="minorHAnsi"/>
          <w:bCs/>
          <w:color w:val="000000"/>
          <w:lang w:eastAsia="en-US"/>
        </w:rPr>
        <w:t>)</w:t>
      </w:r>
      <w:r>
        <w:rPr>
          <w:rFonts w:eastAsiaTheme="minorHAnsi"/>
          <w:bCs/>
          <w:color w:val="000000"/>
          <w:lang w:eastAsia="en-US"/>
        </w:rPr>
        <w:t xml:space="preserve"> </w:t>
      </w:r>
      <w:r w:rsidRPr="007A0410">
        <w:rPr>
          <w:rFonts w:eastAsiaTheme="minorHAnsi"/>
          <w:bCs/>
          <w:color w:val="000000"/>
          <w:lang w:eastAsia="en-US"/>
        </w:rPr>
        <w:t>Veiksmų programos priemonės leis sukurti papildomus 72 MW AEI šilumos gamybos pajėgumų. Vien šios priemonės leis padidinti AEI elektros gamybos pajėgumus 17,9 proc. palyginus su 2014 m. lygiu.</w:t>
      </w:r>
    </w:p>
    <w:p w14:paraId="4E4C31D2" w14:textId="1CB105CC" w:rsidR="007A0410" w:rsidRPr="007A0410" w:rsidRDefault="007A0410" w:rsidP="006B0B82">
      <w:pPr>
        <w:jc w:val="both"/>
        <w:rPr>
          <w:rFonts w:eastAsiaTheme="minorHAnsi"/>
          <w:bCs/>
          <w:color w:val="000000"/>
          <w:lang w:eastAsia="en-US"/>
        </w:rPr>
      </w:pPr>
      <w:r w:rsidRPr="007A0410">
        <w:rPr>
          <w:rFonts w:eastAsiaTheme="minorHAnsi"/>
          <w:bCs/>
          <w:color w:val="000000"/>
          <w:lang w:eastAsia="en-US"/>
        </w:rPr>
        <w:t>3</w:t>
      </w:r>
      <w:r w:rsidR="006C050A">
        <w:rPr>
          <w:rFonts w:eastAsiaTheme="minorHAnsi"/>
          <w:bCs/>
          <w:color w:val="000000"/>
          <w:lang w:eastAsia="en-US"/>
        </w:rPr>
        <w:t>)</w:t>
      </w:r>
      <w:r>
        <w:rPr>
          <w:rFonts w:eastAsiaTheme="minorHAnsi"/>
          <w:bCs/>
          <w:color w:val="000000"/>
          <w:lang w:eastAsia="en-US"/>
        </w:rPr>
        <w:t xml:space="preserve"> </w:t>
      </w:r>
      <w:r w:rsidRPr="007A0410">
        <w:rPr>
          <w:rFonts w:eastAsiaTheme="minorHAnsi"/>
          <w:bCs/>
          <w:color w:val="000000"/>
          <w:lang w:eastAsia="en-US"/>
        </w:rPr>
        <w:t>Šios investicijos leido pasiekti pagrindinius AEI įstatymo tikslus iki 2020 m.:</w:t>
      </w:r>
    </w:p>
    <w:p w14:paraId="5C20207A" w14:textId="2603B7D6" w:rsidR="007A0410" w:rsidRPr="006C050A" w:rsidRDefault="007A0410" w:rsidP="006C050A">
      <w:pPr>
        <w:pStyle w:val="Sraopastraipa"/>
        <w:numPr>
          <w:ilvl w:val="0"/>
          <w:numId w:val="14"/>
        </w:numPr>
        <w:jc w:val="both"/>
        <w:rPr>
          <w:rFonts w:eastAsiaTheme="minorHAnsi"/>
          <w:bCs/>
          <w:color w:val="000000"/>
          <w:lang w:eastAsia="en-US"/>
        </w:rPr>
      </w:pPr>
      <w:r w:rsidRPr="006C050A">
        <w:rPr>
          <w:rFonts w:eastAsiaTheme="minorHAnsi"/>
          <w:bCs/>
          <w:color w:val="000000"/>
          <w:lang w:eastAsia="en-US"/>
        </w:rPr>
        <w:t>AEI dalis, palyginti su šalies bendruoju galutiniu energijos suvartojimu. Siektina reikšmė – 23 proc., pasiekta – 28,1 proc.</w:t>
      </w:r>
    </w:p>
    <w:p w14:paraId="578AC455" w14:textId="77B04C0E" w:rsidR="007A0410" w:rsidRPr="006C050A" w:rsidRDefault="007A0410" w:rsidP="006C050A">
      <w:pPr>
        <w:pStyle w:val="Sraopastraipa"/>
        <w:numPr>
          <w:ilvl w:val="0"/>
          <w:numId w:val="14"/>
        </w:numPr>
        <w:jc w:val="both"/>
        <w:rPr>
          <w:rFonts w:eastAsiaTheme="minorHAnsi"/>
          <w:bCs/>
          <w:color w:val="000000"/>
          <w:lang w:eastAsia="en-US"/>
        </w:rPr>
      </w:pPr>
      <w:r w:rsidRPr="006C050A">
        <w:rPr>
          <w:rFonts w:eastAsiaTheme="minorHAnsi"/>
          <w:bCs/>
          <w:color w:val="000000"/>
          <w:lang w:eastAsia="en-US"/>
        </w:rPr>
        <w:t>Elektros energijos, pagamintos iš AEI, dalies, palyginti su šalies bendruoju galutiniu suvartojimu, padidinimas. Siektina reikšmė – 20 proc., pasiekta – 20,9 proc.</w:t>
      </w:r>
    </w:p>
    <w:p w14:paraId="625231CE" w14:textId="5C426212" w:rsidR="007A0410" w:rsidRDefault="007A0410" w:rsidP="006B0B82">
      <w:pPr>
        <w:jc w:val="both"/>
        <w:rPr>
          <w:rFonts w:eastAsiaTheme="minorHAnsi"/>
          <w:bCs/>
          <w:color w:val="000000"/>
          <w:lang w:eastAsia="en-US"/>
        </w:rPr>
      </w:pPr>
      <w:r w:rsidRPr="007A0410">
        <w:rPr>
          <w:rFonts w:eastAsiaTheme="minorHAnsi"/>
          <w:bCs/>
          <w:color w:val="000000"/>
          <w:lang w:eastAsia="en-US"/>
        </w:rPr>
        <w:t>4</w:t>
      </w:r>
      <w:r w:rsidR="006C050A">
        <w:rPr>
          <w:rFonts w:eastAsiaTheme="minorHAnsi"/>
          <w:bCs/>
          <w:color w:val="000000"/>
          <w:lang w:eastAsia="en-US"/>
        </w:rPr>
        <w:t>)</w:t>
      </w:r>
      <w:r>
        <w:rPr>
          <w:rFonts w:eastAsiaTheme="minorHAnsi"/>
          <w:bCs/>
          <w:color w:val="000000"/>
          <w:lang w:eastAsia="en-US"/>
        </w:rPr>
        <w:t xml:space="preserve"> </w:t>
      </w:r>
      <w:r w:rsidRPr="007A0410">
        <w:rPr>
          <w:rFonts w:eastAsiaTheme="minorHAnsi"/>
          <w:bCs/>
          <w:color w:val="000000"/>
          <w:lang w:eastAsia="en-US"/>
        </w:rPr>
        <w:t>Įgyvendinamos priemonės taip pat prisidėjo prie energijos vartojimo efektyvumo tikslų. Pažymėtina, kad ne visų priemonių atveju yra galimybė įvertinti jų prisidėjimą prie energijos efektyvumo tikslų dėl duomenų apribojimų, realus prisidėjimas prie šių tikslų yra didesnis. Vertinama, kad priemonės leido sutaupyti 927,5 GWh energijos laikotarpyje tarp 2014 ir 2022 m. Iki 2030 m. šios priemonės leis sutaupyti 3 658,6 GWh energijos. Bendrai analizuojamos priemonės leido sumažinti metinį pirminį energijos suvartojimą 341,1 GWh, galutinį suvartojimą – 216,4 GWh.</w:t>
      </w:r>
    </w:p>
    <w:p w14:paraId="46566673" w14:textId="77777777" w:rsidR="00B61199" w:rsidRDefault="00B61199" w:rsidP="006B0B82">
      <w:pPr>
        <w:jc w:val="both"/>
        <w:rPr>
          <w:rFonts w:eastAsiaTheme="minorHAnsi"/>
          <w:bCs/>
          <w:color w:val="000000"/>
          <w:lang w:eastAsia="en-US"/>
        </w:rPr>
      </w:pPr>
    </w:p>
    <w:p w14:paraId="19FF2007" w14:textId="41A0868B" w:rsidR="007A0410" w:rsidRDefault="007A0410" w:rsidP="006B0B82">
      <w:pPr>
        <w:jc w:val="both"/>
        <w:rPr>
          <w:rFonts w:eastAsiaTheme="minorHAnsi"/>
          <w:bCs/>
          <w:color w:val="000000"/>
          <w:lang w:eastAsia="en-US"/>
        </w:rPr>
      </w:pPr>
      <w:r w:rsidRPr="007A0410">
        <w:rPr>
          <w:rFonts w:eastAsiaTheme="minorHAnsi"/>
          <w:bCs/>
          <w:color w:val="000000"/>
          <w:lang w:eastAsia="en-US"/>
        </w:rPr>
        <w:t xml:space="preserve">Įvertinus projektų </w:t>
      </w:r>
      <w:r w:rsidRPr="00306392">
        <w:rPr>
          <w:rFonts w:eastAsiaTheme="minorHAnsi"/>
          <w:b/>
          <w:color w:val="000000"/>
          <w:lang w:eastAsia="en-US"/>
        </w:rPr>
        <w:t>poveikį klimato kaitai</w:t>
      </w:r>
      <w:r w:rsidRPr="007A0410">
        <w:rPr>
          <w:rFonts w:eastAsiaTheme="minorHAnsi"/>
          <w:bCs/>
          <w:color w:val="000000"/>
          <w:lang w:eastAsia="en-US"/>
        </w:rPr>
        <w:t xml:space="preserve"> nustatyta</w:t>
      </w:r>
      <w:r>
        <w:rPr>
          <w:rFonts w:eastAsiaTheme="minorHAnsi"/>
          <w:bCs/>
          <w:color w:val="000000"/>
          <w:lang w:eastAsia="en-US"/>
        </w:rPr>
        <w:t>:</w:t>
      </w:r>
    </w:p>
    <w:p w14:paraId="3F7C0542" w14:textId="45C819EF" w:rsidR="007A0410" w:rsidRPr="006C050A" w:rsidRDefault="006C050A" w:rsidP="006C050A">
      <w:pPr>
        <w:jc w:val="both"/>
        <w:rPr>
          <w:rFonts w:eastAsiaTheme="minorHAnsi"/>
          <w:bCs/>
          <w:color w:val="000000"/>
          <w:lang w:eastAsia="en-US"/>
        </w:rPr>
      </w:pPr>
      <w:r>
        <w:rPr>
          <w:rFonts w:eastAsiaTheme="minorHAnsi"/>
          <w:bCs/>
          <w:color w:val="000000"/>
          <w:lang w:eastAsia="en-US"/>
        </w:rPr>
        <w:t xml:space="preserve">1) </w:t>
      </w:r>
      <w:r w:rsidR="007A0410" w:rsidRPr="006C050A">
        <w:rPr>
          <w:rFonts w:eastAsiaTheme="minorHAnsi"/>
          <w:bCs/>
          <w:color w:val="000000"/>
          <w:lang w:eastAsia="en-US"/>
        </w:rPr>
        <w:t xml:space="preserve">įgyvendinant Veiksmų programos priemones, 10 iš jų tiesiogiai prisidėjo prie ŠESD kiekio mažinimo. </w:t>
      </w:r>
    </w:p>
    <w:p w14:paraId="76F90642" w14:textId="0A082CD1" w:rsidR="007A0410" w:rsidRPr="006C050A" w:rsidRDefault="006C050A" w:rsidP="006C050A">
      <w:pPr>
        <w:jc w:val="both"/>
        <w:rPr>
          <w:rFonts w:eastAsiaTheme="minorHAnsi"/>
          <w:bCs/>
          <w:color w:val="000000"/>
          <w:lang w:eastAsia="en-US"/>
        </w:rPr>
      </w:pPr>
      <w:r>
        <w:rPr>
          <w:rFonts w:eastAsiaTheme="minorHAnsi"/>
          <w:bCs/>
          <w:color w:val="000000"/>
          <w:lang w:eastAsia="en-US"/>
        </w:rPr>
        <w:t xml:space="preserve">2) </w:t>
      </w:r>
      <w:r w:rsidR="007A0410" w:rsidRPr="006C050A">
        <w:rPr>
          <w:rFonts w:eastAsiaTheme="minorHAnsi"/>
          <w:bCs/>
          <w:color w:val="000000"/>
          <w:lang w:eastAsia="en-US"/>
        </w:rPr>
        <w:t xml:space="preserve">Bendra PĮP produkto rodiklių ŠESD mažinimo siektinos reikšmės suma sudaro 669,4 tūkst. t CO2. Nors PĮP produkto rodiklio pasiekimui reikia sumažinti ŠESD kiekį 669 tūkst. t CO2 ekv., įvykdytų ir vykdomų projektų PSP produkto rodiklis lygus 658 tūkst. t CO2 ekv., atitinkamai, vykdomų projektų nepakanka, kad būtų pasiektas PĮP produkto rodiklis. </w:t>
      </w:r>
    </w:p>
    <w:p w14:paraId="226FE4B5" w14:textId="08B1AE50" w:rsidR="00B26BFB" w:rsidRPr="006C050A" w:rsidRDefault="006C050A" w:rsidP="006C050A">
      <w:pPr>
        <w:jc w:val="both"/>
        <w:rPr>
          <w:rFonts w:eastAsiaTheme="minorHAnsi"/>
          <w:bCs/>
          <w:color w:val="000000"/>
          <w:lang w:eastAsia="en-US"/>
        </w:rPr>
      </w:pPr>
      <w:r>
        <w:rPr>
          <w:rFonts w:eastAsiaTheme="minorHAnsi"/>
          <w:bCs/>
          <w:color w:val="000000"/>
          <w:lang w:eastAsia="en-US"/>
        </w:rPr>
        <w:t xml:space="preserve">3) </w:t>
      </w:r>
      <w:r w:rsidR="007A0410" w:rsidRPr="006C050A">
        <w:rPr>
          <w:rFonts w:eastAsiaTheme="minorHAnsi"/>
          <w:bCs/>
          <w:color w:val="000000"/>
          <w:lang w:eastAsia="en-US"/>
        </w:rPr>
        <w:t>Šiuo metu yra pasiekta 23 proc. PSP ŠESD mažinimo produkto rodiklio. Įgyvendinus visus tebevykstančius projektus metinis bendras ŠESD kiekis sumažės 3,3 proc. palyginus su 2020 m. lygiu.</w:t>
      </w:r>
    </w:p>
    <w:p w14:paraId="60B6A6A1" w14:textId="77777777" w:rsidR="006C050A" w:rsidRDefault="006C050A" w:rsidP="006B0B82">
      <w:pPr>
        <w:jc w:val="both"/>
        <w:rPr>
          <w:rFonts w:eastAsiaTheme="minorHAnsi"/>
          <w:b/>
          <w:color w:val="000000"/>
          <w:lang w:eastAsia="en-US"/>
        </w:rPr>
      </w:pPr>
    </w:p>
    <w:p w14:paraId="17AD04A0" w14:textId="4F007C8A" w:rsidR="00B26BFB" w:rsidRDefault="00B26BFB" w:rsidP="006B0B82">
      <w:pPr>
        <w:jc w:val="both"/>
        <w:rPr>
          <w:rFonts w:eastAsiaTheme="minorHAnsi"/>
          <w:b/>
          <w:color w:val="000000"/>
          <w:lang w:eastAsia="en-US"/>
        </w:rPr>
      </w:pPr>
      <w:r w:rsidRPr="00B26BFB">
        <w:rPr>
          <w:rFonts w:eastAsiaTheme="minorHAnsi"/>
          <w:b/>
          <w:color w:val="000000"/>
          <w:lang w:eastAsia="en-US"/>
        </w:rPr>
        <w:t>Vertinimo rekomendacijos</w:t>
      </w:r>
    </w:p>
    <w:p w14:paraId="5149B943" w14:textId="74AE56AA" w:rsidR="00135426" w:rsidRDefault="00B26BFB" w:rsidP="00B26BFB">
      <w:pPr>
        <w:jc w:val="both"/>
        <w:rPr>
          <w:rFonts w:eastAsiaTheme="minorHAnsi"/>
          <w:bCs/>
          <w:color w:val="000000"/>
          <w:lang w:eastAsia="en-US"/>
        </w:rPr>
      </w:pPr>
      <w:r w:rsidRPr="00135426">
        <w:rPr>
          <w:rFonts w:eastAsiaTheme="minorHAnsi"/>
          <w:bCs/>
          <w:color w:val="000000"/>
          <w:lang w:eastAsia="en-US"/>
        </w:rPr>
        <w:t>1</w:t>
      </w:r>
      <w:r w:rsidR="006C050A">
        <w:rPr>
          <w:rFonts w:eastAsiaTheme="minorHAnsi"/>
          <w:bCs/>
          <w:color w:val="000000"/>
          <w:lang w:eastAsia="en-US"/>
        </w:rPr>
        <w:t>)</w:t>
      </w:r>
      <w:r w:rsidRPr="00135426">
        <w:rPr>
          <w:rFonts w:eastAsiaTheme="minorHAnsi"/>
          <w:bCs/>
          <w:color w:val="000000"/>
          <w:lang w:eastAsia="en-US"/>
        </w:rPr>
        <w:t xml:space="preserve"> Rekomenduotina</w:t>
      </w:r>
      <w:r w:rsidRPr="00B26BFB">
        <w:rPr>
          <w:rFonts w:eastAsiaTheme="minorHAnsi"/>
          <w:bCs/>
          <w:color w:val="000000"/>
          <w:lang w:eastAsia="en-US"/>
        </w:rPr>
        <w:t xml:space="preserve"> konkretaus uždavinio priemonių lygmens rodiklius formuluoti taip, kad visos po uždaviniu patenkančios priemonės, kur tai įmanoma, turėtų bent vieną bendrą rodiklį, taip užtikrinant priemonių palyginamumą tarpusavyje. Pavyzdžiui, jei visos konkretaus uždavinio priemonės siekia ŠESD sumažinimo rodiklio, tai toks rodiklis kiekvienai priemonei turėtų būti ir skaičiuojamas atskirai</w:t>
      </w:r>
      <w:r w:rsidR="00135426">
        <w:rPr>
          <w:rFonts w:eastAsiaTheme="minorHAnsi"/>
          <w:bCs/>
          <w:color w:val="000000"/>
          <w:lang w:eastAsia="en-US"/>
        </w:rPr>
        <w:t>.</w:t>
      </w:r>
    </w:p>
    <w:p w14:paraId="36577016" w14:textId="29CEF222" w:rsidR="00B26BFB" w:rsidRPr="00B26BFB" w:rsidRDefault="00B26BFB" w:rsidP="00B26BFB">
      <w:pPr>
        <w:jc w:val="both"/>
        <w:rPr>
          <w:rFonts w:eastAsiaTheme="minorHAnsi"/>
          <w:bCs/>
          <w:color w:val="000000"/>
          <w:lang w:eastAsia="en-US"/>
        </w:rPr>
      </w:pPr>
      <w:r w:rsidRPr="00B26BFB">
        <w:rPr>
          <w:rFonts w:eastAsiaTheme="minorHAnsi"/>
          <w:bCs/>
          <w:color w:val="000000"/>
          <w:lang w:eastAsia="en-US"/>
        </w:rPr>
        <w:t>2</w:t>
      </w:r>
      <w:r w:rsidR="006C050A">
        <w:rPr>
          <w:rFonts w:eastAsiaTheme="minorHAnsi"/>
          <w:bCs/>
          <w:color w:val="000000"/>
          <w:lang w:eastAsia="en-US"/>
        </w:rPr>
        <w:t>)</w:t>
      </w:r>
      <w:r>
        <w:rPr>
          <w:rFonts w:eastAsiaTheme="minorHAnsi"/>
          <w:bCs/>
          <w:color w:val="000000"/>
          <w:lang w:eastAsia="en-US"/>
        </w:rPr>
        <w:t xml:space="preserve"> </w:t>
      </w:r>
      <w:r w:rsidRPr="00B26BFB">
        <w:rPr>
          <w:rFonts w:eastAsiaTheme="minorHAnsi"/>
          <w:bCs/>
          <w:color w:val="000000"/>
          <w:lang w:eastAsia="en-US"/>
        </w:rPr>
        <w:t>Užtikrinti takoskyrą tarp produkto ir rezultato rodiklių. 2014–2020 m. Veiksmų programoje produkto tipui kai kuriais atvejais priskiriami de facto rezultato rodikliai (pavyzdžiui, P.B.234 „Metinis ŠESD kiekio sumažėjimas“ laikomas produkto rodikliu, nors šis rodiklis matuoja rezultatą, tarp vertintų priemonių šis rodiklis buvo priskirtas 10 priemonių.</w:t>
      </w:r>
    </w:p>
    <w:p w14:paraId="5373BDEE" w14:textId="43B100B9" w:rsidR="00B26BFB" w:rsidRPr="00B26BFB" w:rsidRDefault="00B26BFB" w:rsidP="00B26BFB">
      <w:pPr>
        <w:jc w:val="both"/>
        <w:rPr>
          <w:rFonts w:eastAsiaTheme="minorHAnsi"/>
          <w:bCs/>
          <w:color w:val="000000"/>
          <w:lang w:eastAsia="en-US"/>
        </w:rPr>
      </w:pPr>
      <w:r w:rsidRPr="00B26BFB">
        <w:rPr>
          <w:rFonts w:eastAsiaTheme="minorHAnsi"/>
          <w:bCs/>
          <w:color w:val="000000"/>
          <w:lang w:eastAsia="en-US"/>
        </w:rPr>
        <w:t>3</w:t>
      </w:r>
      <w:r w:rsidR="006C050A">
        <w:rPr>
          <w:rFonts w:eastAsiaTheme="minorHAnsi"/>
          <w:bCs/>
          <w:color w:val="000000"/>
          <w:lang w:eastAsia="en-US"/>
        </w:rPr>
        <w:t>)</w:t>
      </w:r>
      <w:r>
        <w:rPr>
          <w:rFonts w:eastAsiaTheme="minorHAnsi"/>
          <w:bCs/>
          <w:color w:val="000000"/>
          <w:lang w:eastAsia="en-US"/>
        </w:rPr>
        <w:t xml:space="preserve"> </w:t>
      </w:r>
      <w:r w:rsidRPr="00B26BFB">
        <w:rPr>
          <w:rFonts w:eastAsiaTheme="minorHAnsi"/>
          <w:bCs/>
          <w:color w:val="000000"/>
          <w:lang w:eastAsia="en-US"/>
        </w:rPr>
        <w:t>Rekomenduojama formuojant priemones, kurios nukreiptos į namų ūkius, atsižvelgti į socialinį aspektą ir įgūdžių gerinimą teikiant paraiškas ar jas lydinčius dokumentus, siūloma sukurti pagalbos mechanizmą (pvz. per seniūnijas), kuris būtų nukreiptas į paraiškų pateikimo ir parengimo konsultacinę veiklą.</w:t>
      </w:r>
    </w:p>
    <w:p w14:paraId="1A4A274F" w14:textId="5382A5EB" w:rsidR="00B26BFB" w:rsidRPr="00B26BFB" w:rsidRDefault="00B26BFB" w:rsidP="00B26BFB">
      <w:pPr>
        <w:jc w:val="both"/>
        <w:rPr>
          <w:rFonts w:eastAsiaTheme="minorHAnsi"/>
          <w:bCs/>
          <w:color w:val="000000"/>
          <w:lang w:eastAsia="en-US"/>
        </w:rPr>
      </w:pPr>
      <w:r w:rsidRPr="00B26BFB">
        <w:rPr>
          <w:rFonts w:eastAsiaTheme="minorHAnsi"/>
          <w:bCs/>
          <w:color w:val="000000"/>
          <w:lang w:eastAsia="en-US"/>
        </w:rPr>
        <w:t>4</w:t>
      </w:r>
      <w:r w:rsidR="006C050A">
        <w:rPr>
          <w:rFonts w:eastAsiaTheme="minorHAnsi"/>
          <w:bCs/>
          <w:color w:val="000000"/>
          <w:lang w:eastAsia="en-US"/>
        </w:rPr>
        <w:t>)</w:t>
      </w:r>
      <w:r>
        <w:rPr>
          <w:rFonts w:eastAsiaTheme="minorHAnsi"/>
          <w:bCs/>
          <w:color w:val="000000"/>
          <w:lang w:eastAsia="en-US"/>
        </w:rPr>
        <w:t xml:space="preserve"> </w:t>
      </w:r>
      <w:r w:rsidRPr="00B26BFB">
        <w:rPr>
          <w:rFonts w:eastAsiaTheme="minorHAnsi"/>
          <w:bCs/>
          <w:color w:val="000000"/>
          <w:lang w:eastAsia="en-US"/>
        </w:rPr>
        <w:t>Šilumos tinklų ir / ar katilų keitimo CŠT priemone finansuojami projektai turi būti suderinti su savivaldybių administracijų strateginio planavimo dokumentais (pvz. taikant specialųjį projektų atrankos kriterijų), o priemonė turėtų būti finansuojama taikant finansinės inžinerijos mechanizmus, taip užtikrinant investicijų netolygumų eliminavimą</w:t>
      </w:r>
      <w:r w:rsidR="00135426">
        <w:rPr>
          <w:rFonts w:eastAsiaTheme="minorHAnsi"/>
          <w:bCs/>
          <w:color w:val="000000"/>
          <w:lang w:eastAsia="en-US"/>
        </w:rPr>
        <w:t>.</w:t>
      </w:r>
      <w:r w:rsidRPr="00B26BFB">
        <w:rPr>
          <w:rFonts w:eastAsiaTheme="minorHAnsi"/>
          <w:bCs/>
          <w:color w:val="000000"/>
          <w:lang w:eastAsia="en-US"/>
        </w:rPr>
        <w:t xml:space="preserve"> </w:t>
      </w:r>
    </w:p>
    <w:p w14:paraId="29D2BEFE" w14:textId="40A909F1" w:rsidR="00B26BFB" w:rsidRPr="00B26BFB" w:rsidRDefault="00B26BFB" w:rsidP="00B26BFB">
      <w:pPr>
        <w:jc w:val="both"/>
        <w:rPr>
          <w:rFonts w:eastAsiaTheme="minorHAnsi"/>
          <w:bCs/>
          <w:color w:val="000000"/>
          <w:lang w:eastAsia="en-US"/>
        </w:rPr>
      </w:pPr>
      <w:r w:rsidRPr="00B26BFB">
        <w:rPr>
          <w:rFonts w:eastAsiaTheme="minorHAnsi"/>
          <w:bCs/>
          <w:color w:val="000000"/>
          <w:lang w:eastAsia="en-US"/>
        </w:rPr>
        <w:t>5</w:t>
      </w:r>
      <w:r w:rsidR="006C050A">
        <w:rPr>
          <w:rFonts w:eastAsiaTheme="minorHAnsi"/>
          <w:bCs/>
          <w:color w:val="000000"/>
          <w:lang w:eastAsia="en-US"/>
        </w:rPr>
        <w:t>)</w:t>
      </w:r>
      <w:r>
        <w:rPr>
          <w:rFonts w:eastAsiaTheme="minorHAnsi"/>
          <w:bCs/>
          <w:color w:val="000000"/>
          <w:lang w:eastAsia="en-US"/>
        </w:rPr>
        <w:t xml:space="preserve"> </w:t>
      </w:r>
      <w:r w:rsidRPr="00B26BFB">
        <w:rPr>
          <w:rFonts w:eastAsiaTheme="minorHAnsi"/>
          <w:bCs/>
          <w:color w:val="000000"/>
          <w:lang w:eastAsia="en-US"/>
        </w:rPr>
        <w:t>Viešosios paskirties pastatų modernizavimo priemonėms turėtų būti numatomas ilgesnis terminas. Ilgesnis terminas gali būti užtikrinamas organizuojant kvietimų paskelbimą finansinio periodo pradžioje. Pasak projektų vykdytojų, optimalus terminas projektų vykdymui turėtų būti 28 mėnesiai – 12 mėn. projektavimo paslaugų atlikimui, rangos darbų viešųjų pirkimų paskelbimui – nuo 4 iki 6 mėn., rangos darbų atlikimui 12 mėn. (jei projektai yra kultūros paveldo zonose ar didelės kvadratūros, rangos terminui gali prireikti daugiau laiko). Optimalus paraiškų teikimo terminas – 6 mėnesiai (kuomet reikia atlikti auditus, analizę.</w:t>
      </w:r>
    </w:p>
    <w:p w14:paraId="14F5E015" w14:textId="078ADE67" w:rsidR="00B26BFB" w:rsidRPr="00B26BFB" w:rsidRDefault="00B26BFB" w:rsidP="00B26BFB">
      <w:pPr>
        <w:jc w:val="both"/>
        <w:rPr>
          <w:rFonts w:eastAsiaTheme="minorHAnsi"/>
          <w:bCs/>
          <w:color w:val="000000"/>
          <w:lang w:eastAsia="en-US"/>
        </w:rPr>
      </w:pPr>
      <w:r w:rsidRPr="00B26BFB">
        <w:rPr>
          <w:rFonts w:eastAsiaTheme="minorHAnsi"/>
          <w:bCs/>
          <w:color w:val="000000"/>
          <w:lang w:eastAsia="en-US"/>
        </w:rPr>
        <w:t>6</w:t>
      </w:r>
      <w:r w:rsidR="006C050A">
        <w:rPr>
          <w:rFonts w:eastAsiaTheme="minorHAnsi"/>
          <w:bCs/>
          <w:color w:val="000000"/>
          <w:lang w:eastAsia="en-US"/>
        </w:rPr>
        <w:t>)</w:t>
      </w:r>
      <w:r>
        <w:rPr>
          <w:rFonts w:eastAsiaTheme="minorHAnsi"/>
          <w:bCs/>
          <w:color w:val="000000"/>
          <w:lang w:eastAsia="en-US"/>
        </w:rPr>
        <w:t xml:space="preserve"> </w:t>
      </w:r>
      <w:r w:rsidRPr="00B26BFB">
        <w:rPr>
          <w:rFonts w:eastAsiaTheme="minorHAnsi"/>
          <w:bCs/>
          <w:color w:val="000000"/>
          <w:lang w:eastAsia="en-US"/>
        </w:rPr>
        <w:t>Minkštosioms priemonėms (pavyzdžiui, viešinimo priemonėms) turėtų būti nustatomi rezultato rodikliai (nacionaliniai), siekiant įvertinti jų sukuriamą ne tik produktą, bet ir rezultatą.</w:t>
      </w:r>
    </w:p>
    <w:p w14:paraId="37A235E2" w14:textId="3350E2A9" w:rsidR="00B26BFB" w:rsidRPr="00B26BFB" w:rsidRDefault="00B26BFB" w:rsidP="00B26BFB">
      <w:pPr>
        <w:jc w:val="both"/>
        <w:rPr>
          <w:rFonts w:eastAsiaTheme="minorHAnsi"/>
          <w:bCs/>
          <w:color w:val="000000"/>
          <w:lang w:eastAsia="en-US"/>
        </w:rPr>
      </w:pPr>
      <w:r w:rsidRPr="00B26BFB">
        <w:rPr>
          <w:rFonts w:eastAsiaTheme="minorHAnsi"/>
          <w:bCs/>
          <w:color w:val="000000"/>
          <w:lang w:eastAsia="en-US"/>
        </w:rPr>
        <w:lastRenderedPageBreak/>
        <w:t>7</w:t>
      </w:r>
      <w:r w:rsidR="006C050A">
        <w:rPr>
          <w:rFonts w:eastAsiaTheme="minorHAnsi"/>
          <w:bCs/>
          <w:color w:val="000000"/>
          <w:lang w:eastAsia="en-US"/>
        </w:rPr>
        <w:t>)</w:t>
      </w:r>
      <w:r>
        <w:rPr>
          <w:rFonts w:eastAsiaTheme="minorHAnsi"/>
          <w:bCs/>
          <w:color w:val="000000"/>
          <w:lang w:eastAsia="en-US"/>
        </w:rPr>
        <w:t xml:space="preserve"> </w:t>
      </w:r>
      <w:r w:rsidRPr="00B26BFB">
        <w:rPr>
          <w:rFonts w:eastAsiaTheme="minorHAnsi"/>
          <w:bCs/>
          <w:color w:val="000000"/>
          <w:lang w:eastAsia="en-US"/>
        </w:rPr>
        <w:t>Rekomenduojama derinti finansines priemones su subsidi</w:t>
      </w:r>
      <w:r w:rsidR="00135426">
        <w:rPr>
          <w:rFonts w:eastAsiaTheme="minorHAnsi"/>
          <w:bCs/>
          <w:color w:val="000000"/>
          <w:lang w:eastAsia="en-US"/>
        </w:rPr>
        <w:t>jomis</w:t>
      </w:r>
      <w:r w:rsidRPr="00B26BFB">
        <w:rPr>
          <w:rFonts w:eastAsiaTheme="minorHAnsi"/>
          <w:bCs/>
          <w:color w:val="000000"/>
          <w:lang w:eastAsia="en-US"/>
        </w:rPr>
        <w:t xml:space="preserve"> (negrąžinamoji subsidija)</w:t>
      </w:r>
      <w:r w:rsidR="00135426">
        <w:rPr>
          <w:rFonts w:eastAsiaTheme="minorHAnsi"/>
          <w:bCs/>
          <w:color w:val="000000"/>
          <w:lang w:eastAsia="en-US"/>
        </w:rPr>
        <w:t>,</w:t>
      </w:r>
      <w:r w:rsidRPr="00B26BFB">
        <w:rPr>
          <w:rFonts w:eastAsiaTheme="minorHAnsi"/>
          <w:bCs/>
          <w:color w:val="000000"/>
          <w:lang w:eastAsia="en-US"/>
        </w:rPr>
        <w:t xml:space="preserve"> finansuojant šilumos tinklų ir / ar katilų keitimo</w:t>
      </w:r>
      <w:r w:rsidR="00135426">
        <w:rPr>
          <w:rFonts w:eastAsiaTheme="minorHAnsi"/>
          <w:bCs/>
          <w:color w:val="000000"/>
          <w:lang w:eastAsia="en-US"/>
        </w:rPr>
        <w:t>,</w:t>
      </w:r>
      <w:r w:rsidRPr="00B26BFB">
        <w:rPr>
          <w:rFonts w:eastAsiaTheme="minorHAnsi"/>
          <w:bCs/>
          <w:color w:val="000000"/>
          <w:lang w:eastAsia="en-US"/>
        </w:rPr>
        <w:t xml:space="preserve"> </w:t>
      </w:r>
      <w:r w:rsidR="00135426">
        <w:rPr>
          <w:rFonts w:eastAsiaTheme="minorHAnsi"/>
          <w:bCs/>
          <w:color w:val="000000"/>
          <w:lang w:eastAsia="en-US"/>
        </w:rPr>
        <w:t>c</w:t>
      </w:r>
      <w:r w:rsidR="00135426" w:rsidRPr="00135426">
        <w:rPr>
          <w:rFonts w:eastAsiaTheme="minorHAnsi"/>
          <w:bCs/>
          <w:color w:val="000000"/>
          <w:lang w:eastAsia="en-US"/>
        </w:rPr>
        <w:t>entralizuot</w:t>
      </w:r>
      <w:r w:rsidR="00135426">
        <w:rPr>
          <w:rFonts w:eastAsiaTheme="minorHAnsi"/>
          <w:bCs/>
          <w:color w:val="000000"/>
          <w:lang w:eastAsia="en-US"/>
        </w:rPr>
        <w:t>o</w:t>
      </w:r>
      <w:r w:rsidR="00135426" w:rsidRPr="00135426">
        <w:rPr>
          <w:rFonts w:eastAsiaTheme="minorHAnsi"/>
          <w:bCs/>
          <w:color w:val="000000"/>
          <w:lang w:eastAsia="en-US"/>
        </w:rPr>
        <w:t xml:space="preserve"> šilumos tiekim</w:t>
      </w:r>
      <w:r w:rsidR="00135426">
        <w:rPr>
          <w:rFonts w:eastAsiaTheme="minorHAnsi"/>
          <w:bCs/>
          <w:color w:val="000000"/>
          <w:lang w:eastAsia="en-US"/>
        </w:rPr>
        <w:t>o</w:t>
      </w:r>
      <w:r w:rsidRPr="00B26BFB">
        <w:rPr>
          <w:rFonts w:eastAsiaTheme="minorHAnsi"/>
          <w:bCs/>
          <w:color w:val="000000"/>
          <w:lang w:eastAsia="en-US"/>
        </w:rPr>
        <w:t xml:space="preserve"> priemones.</w:t>
      </w:r>
    </w:p>
    <w:p w14:paraId="64F9F80A" w14:textId="40992A81" w:rsidR="00B26BFB" w:rsidRPr="00B26BFB" w:rsidRDefault="00B26BFB" w:rsidP="00B26BFB">
      <w:pPr>
        <w:jc w:val="both"/>
        <w:rPr>
          <w:rFonts w:eastAsiaTheme="minorHAnsi"/>
          <w:bCs/>
          <w:color w:val="000000"/>
          <w:lang w:eastAsia="en-US"/>
        </w:rPr>
      </w:pPr>
      <w:r w:rsidRPr="00B26BFB">
        <w:rPr>
          <w:rFonts w:eastAsiaTheme="minorHAnsi"/>
          <w:bCs/>
          <w:color w:val="000000"/>
          <w:lang w:eastAsia="en-US"/>
        </w:rPr>
        <w:t>8</w:t>
      </w:r>
      <w:r w:rsidR="006C050A">
        <w:rPr>
          <w:rFonts w:eastAsiaTheme="minorHAnsi"/>
          <w:bCs/>
          <w:color w:val="000000"/>
          <w:lang w:eastAsia="en-US"/>
        </w:rPr>
        <w:t>)</w:t>
      </w:r>
      <w:r>
        <w:rPr>
          <w:rFonts w:eastAsiaTheme="minorHAnsi"/>
          <w:bCs/>
          <w:color w:val="000000"/>
          <w:lang w:eastAsia="en-US"/>
        </w:rPr>
        <w:t xml:space="preserve"> Tikslingas p</w:t>
      </w:r>
      <w:r w:rsidRPr="00B26BFB">
        <w:rPr>
          <w:rFonts w:eastAsiaTheme="minorHAnsi"/>
          <w:bCs/>
          <w:color w:val="000000"/>
          <w:lang w:eastAsia="en-US"/>
        </w:rPr>
        <w:t>rojektų biudžetų indeksavimas (ypatingai priemonėse, kuriomis finansuojami rangos darbai (kietosios investicijos), pvz. renovacijos ar tinklų tiesimo / įrengimo darbai), siekiant užtikrinti projektų įgyvendinamumą didėjant infliacijai).</w:t>
      </w:r>
    </w:p>
    <w:p w14:paraId="549A0734" w14:textId="798B9E74" w:rsidR="00135426" w:rsidRPr="00135426" w:rsidRDefault="00135426" w:rsidP="00135426">
      <w:pPr>
        <w:jc w:val="both"/>
        <w:rPr>
          <w:rFonts w:eastAsiaTheme="minorHAnsi"/>
          <w:b/>
          <w:color w:val="000000"/>
          <w:lang w:eastAsia="en-US"/>
        </w:rPr>
      </w:pPr>
      <w:r>
        <w:rPr>
          <w:rFonts w:eastAsiaTheme="minorHAnsi"/>
          <w:b/>
          <w:color w:val="000000"/>
          <w:lang w:eastAsia="en-US"/>
        </w:rPr>
        <w:t>Vertinimo n</w:t>
      </w:r>
      <w:r w:rsidRPr="00135426">
        <w:rPr>
          <w:rFonts w:eastAsiaTheme="minorHAnsi"/>
          <w:b/>
          <w:color w:val="000000"/>
          <w:lang w:eastAsia="en-US"/>
        </w:rPr>
        <w:t>auda</w:t>
      </w:r>
    </w:p>
    <w:p w14:paraId="62B9EB55" w14:textId="77777777" w:rsidR="00D35893" w:rsidRDefault="00135426" w:rsidP="00135426">
      <w:pPr>
        <w:jc w:val="both"/>
        <w:rPr>
          <w:rFonts w:eastAsiaTheme="minorHAnsi"/>
          <w:bCs/>
          <w:color w:val="000000"/>
          <w:lang w:eastAsia="en-US"/>
        </w:rPr>
      </w:pPr>
      <w:r w:rsidRPr="00135426">
        <w:rPr>
          <w:rFonts w:eastAsiaTheme="minorHAnsi"/>
          <w:bCs/>
          <w:color w:val="000000"/>
          <w:lang w:eastAsia="en-US"/>
        </w:rPr>
        <w:t>Vertinimo rezultatai bus naudojami tobulinant 20</w:t>
      </w:r>
      <w:r>
        <w:rPr>
          <w:rFonts w:eastAsiaTheme="minorHAnsi"/>
          <w:bCs/>
          <w:color w:val="000000"/>
          <w:lang w:eastAsia="en-US"/>
        </w:rPr>
        <w:t>21</w:t>
      </w:r>
      <w:r w:rsidRPr="00135426">
        <w:rPr>
          <w:rFonts w:eastAsiaTheme="minorHAnsi"/>
          <w:bCs/>
          <w:color w:val="000000"/>
          <w:lang w:eastAsia="en-US"/>
        </w:rPr>
        <w:t>–202</w:t>
      </w:r>
      <w:r>
        <w:rPr>
          <w:rFonts w:eastAsiaTheme="minorHAnsi"/>
          <w:bCs/>
          <w:color w:val="000000"/>
          <w:lang w:eastAsia="en-US"/>
        </w:rPr>
        <w:t>7</w:t>
      </w:r>
      <w:r w:rsidRPr="00135426">
        <w:rPr>
          <w:rFonts w:eastAsiaTheme="minorHAnsi"/>
          <w:bCs/>
          <w:color w:val="000000"/>
          <w:lang w:eastAsia="en-US"/>
        </w:rPr>
        <w:t xml:space="preserve"> m. ES investicijų panaudojimą energetikos srityje bei planuojant investicijas ateityje. Bus išanalizuotos vertinimo išvados </w:t>
      </w:r>
      <w:r>
        <w:rPr>
          <w:rFonts w:eastAsiaTheme="minorHAnsi"/>
          <w:bCs/>
          <w:color w:val="000000"/>
          <w:lang w:eastAsia="en-US"/>
        </w:rPr>
        <w:t>bei</w:t>
      </w:r>
      <w:r w:rsidRPr="00135426">
        <w:rPr>
          <w:rFonts w:eastAsiaTheme="minorHAnsi"/>
          <w:bCs/>
          <w:color w:val="000000"/>
          <w:lang w:eastAsia="en-US"/>
        </w:rPr>
        <w:t xml:space="preserve"> rekomendacijos ir parengtas veiksmų planas rekomendacijoms įgyvendinti.</w:t>
      </w:r>
      <w:bookmarkEnd w:id="6"/>
    </w:p>
    <w:sectPr w:rsidR="00D35893" w:rsidSect="005B4C83">
      <w:footerReference w:type="default" r:id="rId9"/>
      <w:pgSz w:w="11906" w:h="16838"/>
      <w:pgMar w:top="102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DB625" w14:textId="77777777" w:rsidR="0063150E" w:rsidRDefault="0063150E" w:rsidP="00695A4C">
      <w:r>
        <w:separator/>
      </w:r>
    </w:p>
  </w:endnote>
  <w:endnote w:type="continuationSeparator" w:id="0">
    <w:p w14:paraId="64EEBBBC" w14:textId="77777777" w:rsidR="0063150E" w:rsidRDefault="0063150E" w:rsidP="00695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for KPMG Light">
    <w:altName w:val="Trebuchet MS"/>
    <w:charset w:val="BA"/>
    <w:family w:val="swiss"/>
    <w:pitch w:val="variable"/>
    <w:sig w:usb0="800002AF" w:usb1="5000204A"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EYInterstate Light">
    <w:altName w:val="Times New Roman"/>
    <w:charset w:val="BA"/>
    <w:family w:val="auto"/>
    <w:pitch w:val="variable"/>
    <w:sig w:usb0="00000001" w:usb1="5000206A" w:usb2="00000000" w:usb3="00000000" w:csb0="0000009F" w:csb1="00000000"/>
  </w:font>
  <w:font w:name="EYInterstate Regular">
    <w:altName w:val="Corbel"/>
    <w:charset w:val="00"/>
    <w:family w:val="auto"/>
    <w:pitch w:val="variable"/>
    <w:sig w:usb0="00000001" w:usb1="5000206A"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Demi Bold">
    <w:altName w:val="Times New Roman"/>
    <w:charset w:val="00"/>
    <w:family w:val="auto"/>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TXinwei">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73515"/>
      <w:docPartObj>
        <w:docPartGallery w:val="Page Numbers (Bottom of Page)"/>
        <w:docPartUnique/>
      </w:docPartObj>
    </w:sdtPr>
    <w:sdtEndPr/>
    <w:sdtContent>
      <w:p w14:paraId="15AA8263" w14:textId="77777777" w:rsidR="0063150E" w:rsidRDefault="0063150E">
        <w:pPr>
          <w:pStyle w:val="Porat"/>
          <w:jc w:val="right"/>
        </w:pPr>
        <w:r>
          <w:fldChar w:fldCharType="begin"/>
        </w:r>
        <w:r>
          <w:instrText>PAGE   \* MERGEFORMAT</w:instrText>
        </w:r>
        <w:r>
          <w:fldChar w:fldCharType="separate"/>
        </w:r>
        <w:r w:rsidR="00387D56">
          <w:rPr>
            <w:noProof/>
          </w:rPr>
          <w:t>143</w:t>
        </w:r>
        <w:r>
          <w:fldChar w:fldCharType="end"/>
        </w:r>
      </w:p>
    </w:sdtContent>
  </w:sdt>
  <w:p w14:paraId="4958D7AC" w14:textId="77777777" w:rsidR="0063150E" w:rsidRDefault="006315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35435" w14:textId="77777777" w:rsidR="0063150E" w:rsidRDefault="0063150E" w:rsidP="00695A4C">
      <w:r>
        <w:separator/>
      </w:r>
    </w:p>
  </w:footnote>
  <w:footnote w:type="continuationSeparator" w:id="0">
    <w:p w14:paraId="61422AF4" w14:textId="77777777" w:rsidR="0063150E" w:rsidRDefault="0063150E" w:rsidP="00695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0C6EE2E"/>
    <w:lvl w:ilvl="0">
      <w:start w:val="1"/>
      <w:numFmt w:val="decimal"/>
      <w:pStyle w:val="Sraassuenkleliais"/>
      <w:lvlText w:val="%1."/>
      <w:lvlJc w:val="left"/>
      <w:pPr>
        <w:tabs>
          <w:tab w:val="num" w:pos="360"/>
        </w:tabs>
        <w:ind w:left="360" w:hanging="360"/>
      </w:pPr>
      <w:rPr>
        <w:rFonts w:cs="Times New Roman"/>
      </w:rPr>
    </w:lvl>
  </w:abstractNum>
  <w:abstractNum w:abstractNumId="1" w15:restartNumberingAfterBreak="0">
    <w:nsid w:val="00EA4C78"/>
    <w:multiLevelType w:val="hybridMultilevel"/>
    <w:tmpl w:val="8FEA6620"/>
    <w:lvl w:ilvl="0" w:tplc="0427000F">
      <w:start w:val="1"/>
      <w:numFmt w:val="decimal"/>
      <w:lvlText w:val="%1."/>
      <w:lvlJc w:val="left"/>
      <w:pPr>
        <w:ind w:left="1080" w:hanging="360"/>
      </w:pPr>
    </w:lvl>
    <w:lvl w:ilvl="1" w:tplc="6CACA32A">
      <w:start w:val="1"/>
      <w:numFmt w:val="decimal"/>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3E15C5E"/>
    <w:multiLevelType w:val="hybridMultilevel"/>
    <w:tmpl w:val="A4F0F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5F5180"/>
    <w:multiLevelType w:val="hybridMultilevel"/>
    <w:tmpl w:val="C6CE506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48465DA"/>
    <w:multiLevelType w:val="hybridMultilevel"/>
    <w:tmpl w:val="2FA67336"/>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A57486E"/>
    <w:multiLevelType w:val="multilevel"/>
    <w:tmpl w:val="EE3860A0"/>
    <w:lvl w:ilvl="0">
      <w:start w:val="1"/>
      <w:numFmt w:val="decimal"/>
      <w:pStyle w:val="Sraassunumeriais"/>
      <w:lvlText w:val="%1."/>
      <w:lvlJc w:val="left"/>
      <w:pPr>
        <w:tabs>
          <w:tab w:val="num" w:pos="567"/>
        </w:tabs>
        <w:ind w:left="567" w:hanging="567"/>
      </w:pPr>
      <w:rPr>
        <w:rFonts w:hint="default"/>
      </w:rPr>
    </w:lvl>
    <w:lvl w:ilvl="1">
      <w:start w:val="1"/>
      <w:numFmt w:val="lowerLetter"/>
      <w:pStyle w:val="Sraassunumeriais2"/>
      <w:lvlText w:val="%2."/>
      <w:lvlJc w:val="left"/>
      <w:pPr>
        <w:tabs>
          <w:tab w:val="num" w:pos="1134"/>
        </w:tabs>
        <w:ind w:left="1134" w:hanging="567"/>
      </w:pPr>
      <w:rPr>
        <w:rFonts w:hint="default"/>
      </w:rPr>
    </w:lvl>
    <w:lvl w:ilvl="2">
      <w:start w:val="1"/>
      <w:numFmt w:val="lowerRoman"/>
      <w:pStyle w:val="Sraassunumeriais3"/>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15:restartNumberingAfterBreak="0">
    <w:nsid w:val="46CF26C7"/>
    <w:multiLevelType w:val="hybridMultilevel"/>
    <w:tmpl w:val="40D0FA94"/>
    <w:lvl w:ilvl="0" w:tplc="9B6AA31E">
      <w:start w:val="1"/>
      <w:numFmt w:val="bullet"/>
      <w:pStyle w:val="Bullet"/>
      <w:lvlText w:val=""/>
      <w:lvlJc w:val="left"/>
      <w:pPr>
        <w:ind w:left="360" w:hanging="360"/>
      </w:pPr>
      <w:rPr>
        <w:rFonts w:ascii="Symbol" w:hAnsi="Symbol" w:hint="default"/>
        <w:color w:val="F4F3EC" w:themeColor="background2" w:themeTint="99"/>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BE0BE6"/>
    <w:multiLevelType w:val="hybridMultilevel"/>
    <w:tmpl w:val="099E6AA0"/>
    <w:lvl w:ilvl="0" w:tplc="E8C0BF50">
      <w:start w:val="1"/>
      <w:numFmt w:val="bullet"/>
      <w:pStyle w:val="Tablebulletsub"/>
      <w:lvlText w:val=""/>
      <w:lvlJc w:val="left"/>
      <w:pPr>
        <w:ind w:left="928" w:hanging="360"/>
      </w:pPr>
      <w:rPr>
        <w:rFonts w:ascii="Wingdings" w:hAnsi="Wingdings" w:hint="default"/>
        <w:color w:val="808080" w:themeColor="background1" w:themeShade="80"/>
        <w:sz w:val="24"/>
        <w:szCs w:val="24"/>
      </w:rPr>
    </w:lvl>
    <w:lvl w:ilvl="1" w:tplc="E18435C6">
      <w:start w:val="1"/>
      <w:numFmt w:val="bullet"/>
      <w:lvlText w:val="-"/>
      <w:lvlJc w:val="left"/>
      <w:pPr>
        <w:ind w:left="2007" w:hanging="360"/>
      </w:pPr>
      <w:rPr>
        <w:rFonts w:ascii="Univers for KPMG Light" w:hAnsi="Univers for KPMG Light" w:hint="default"/>
        <w:color w:val="auto"/>
        <w:sz w:val="24"/>
        <w:szCs w:val="24"/>
      </w:rPr>
    </w:lvl>
    <w:lvl w:ilvl="2" w:tplc="04270005">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52276513"/>
    <w:multiLevelType w:val="hybridMultilevel"/>
    <w:tmpl w:val="98C09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BB0178"/>
    <w:multiLevelType w:val="hybridMultilevel"/>
    <w:tmpl w:val="14D459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6307B7"/>
    <w:multiLevelType w:val="hybridMultilevel"/>
    <w:tmpl w:val="65EC9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356EB4"/>
    <w:multiLevelType w:val="hybridMultilevel"/>
    <w:tmpl w:val="728001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43503E6"/>
    <w:multiLevelType w:val="hybridMultilevel"/>
    <w:tmpl w:val="B5A4DB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D12F8F"/>
    <w:multiLevelType w:val="hybridMultilevel"/>
    <w:tmpl w:val="24ECCA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B6D4C9B"/>
    <w:multiLevelType w:val="hybridMultilevel"/>
    <w:tmpl w:val="30548A4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65059455">
    <w:abstractNumId w:val="5"/>
  </w:num>
  <w:num w:numId="2" w16cid:durableId="1486775051">
    <w:abstractNumId w:val="0"/>
  </w:num>
  <w:num w:numId="3" w16cid:durableId="1744913131">
    <w:abstractNumId w:val="7"/>
  </w:num>
  <w:num w:numId="4" w16cid:durableId="1796019926">
    <w:abstractNumId w:val="6"/>
  </w:num>
  <w:num w:numId="5" w16cid:durableId="729307588">
    <w:abstractNumId w:val="13"/>
  </w:num>
  <w:num w:numId="6" w16cid:durableId="1905215078">
    <w:abstractNumId w:val="14"/>
  </w:num>
  <w:num w:numId="7" w16cid:durableId="575630218">
    <w:abstractNumId w:val="12"/>
  </w:num>
  <w:num w:numId="8" w16cid:durableId="160582700">
    <w:abstractNumId w:val="1"/>
  </w:num>
  <w:num w:numId="9" w16cid:durableId="415978552">
    <w:abstractNumId w:val="3"/>
  </w:num>
  <w:num w:numId="10" w16cid:durableId="1669399973">
    <w:abstractNumId w:val="4"/>
  </w:num>
  <w:num w:numId="11" w16cid:durableId="645352508">
    <w:abstractNumId w:val="8"/>
  </w:num>
  <w:num w:numId="12" w16cid:durableId="481586388">
    <w:abstractNumId w:val="9"/>
  </w:num>
  <w:num w:numId="13" w16cid:durableId="710345546">
    <w:abstractNumId w:val="11"/>
  </w:num>
  <w:num w:numId="14" w16cid:durableId="815073867">
    <w:abstractNumId w:val="2"/>
  </w:num>
  <w:num w:numId="15" w16cid:durableId="131741500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1B"/>
    <w:rsid w:val="000028CA"/>
    <w:rsid w:val="0000664D"/>
    <w:rsid w:val="00012233"/>
    <w:rsid w:val="00024698"/>
    <w:rsid w:val="00033C8E"/>
    <w:rsid w:val="00045E2D"/>
    <w:rsid w:val="00051122"/>
    <w:rsid w:val="00053CCF"/>
    <w:rsid w:val="00055A70"/>
    <w:rsid w:val="00061D7F"/>
    <w:rsid w:val="00067845"/>
    <w:rsid w:val="00075C69"/>
    <w:rsid w:val="000830E3"/>
    <w:rsid w:val="000859F0"/>
    <w:rsid w:val="00086D5F"/>
    <w:rsid w:val="00086F90"/>
    <w:rsid w:val="000A21B5"/>
    <w:rsid w:val="000B5947"/>
    <w:rsid w:val="000C59E2"/>
    <w:rsid w:val="000C6517"/>
    <w:rsid w:val="000C7A77"/>
    <w:rsid w:val="000D34BC"/>
    <w:rsid w:val="000D46E1"/>
    <w:rsid w:val="000D4F7C"/>
    <w:rsid w:val="000D65D2"/>
    <w:rsid w:val="000D660A"/>
    <w:rsid w:val="000E1468"/>
    <w:rsid w:val="0010419B"/>
    <w:rsid w:val="00104F37"/>
    <w:rsid w:val="00106A30"/>
    <w:rsid w:val="001106A4"/>
    <w:rsid w:val="001127D5"/>
    <w:rsid w:val="00114C26"/>
    <w:rsid w:val="00115C0B"/>
    <w:rsid w:val="00122E11"/>
    <w:rsid w:val="001268BE"/>
    <w:rsid w:val="00135426"/>
    <w:rsid w:val="00135B9C"/>
    <w:rsid w:val="00136451"/>
    <w:rsid w:val="0013648A"/>
    <w:rsid w:val="001441CF"/>
    <w:rsid w:val="00160F82"/>
    <w:rsid w:val="001625A0"/>
    <w:rsid w:val="00163100"/>
    <w:rsid w:val="00171740"/>
    <w:rsid w:val="00173BB2"/>
    <w:rsid w:val="0017771D"/>
    <w:rsid w:val="00190D90"/>
    <w:rsid w:val="001A6C59"/>
    <w:rsid w:val="001B2B59"/>
    <w:rsid w:val="001C3669"/>
    <w:rsid w:val="001C6E0F"/>
    <w:rsid w:val="001D5CE3"/>
    <w:rsid w:val="001F4754"/>
    <w:rsid w:val="001F551A"/>
    <w:rsid w:val="002108BA"/>
    <w:rsid w:val="00217D31"/>
    <w:rsid w:val="00226520"/>
    <w:rsid w:val="00235191"/>
    <w:rsid w:val="00236A8B"/>
    <w:rsid w:val="00242E51"/>
    <w:rsid w:val="00247347"/>
    <w:rsid w:val="00252C9C"/>
    <w:rsid w:val="00254C04"/>
    <w:rsid w:val="0026344E"/>
    <w:rsid w:val="0026455A"/>
    <w:rsid w:val="00272EAF"/>
    <w:rsid w:val="00277EA5"/>
    <w:rsid w:val="00280415"/>
    <w:rsid w:val="002904A7"/>
    <w:rsid w:val="002923DC"/>
    <w:rsid w:val="00295D73"/>
    <w:rsid w:val="002A2046"/>
    <w:rsid w:val="002A481E"/>
    <w:rsid w:val="002B09D3"/>
    <w:rsid w:val="002B42A2"/>
    <w:rsid w:val="002B6365"/>
    <w:rsid w:val="002E3065"/>
    <w:rsid w:val="002E341B"/>
    <w:rsid w:val="002E6989"/>
    <w:rsid w:val="002E7D05"/>
    <w:rsid w:val="00303162"/>
    <w:rsid w:val="00306392"/>
    <w:rsid w:val="00311695"/>
    <w:rsid w:val="00315323"/>
    <w:rsid w:val="0031776A"/>
    <w:rsid w:val="00317C4F"/>
    <w:rsid w:val="00324C06"/>
    <w:rsid w:val="003255BB"/>
    <w:rsid w:val="00326B35"/>
    <w:rsid w:val="00343CA4"/>
    <w:rsid w:val="00347F6E"/>
    <w:rsid w:val="003539BE"/>
    <w:rsid w:val="00357E9A"/>
    <w:rsid w:val="00360B63"/>
    <w:rsid w:val="00360C1E"/>
    <w:rsid w:val="00362068"/>
    <w:rsid w:val="00366A98"/>
    <w:rsid w:val="0037185C"/>
    <w:rsid w:val="003718F0"/>
    <w:rsid w:val="00381ECF"/>
    <w:rsid w:val="00387D56"/>
    <w:rsid w:val="00391442"/>
    <w:rsid w:val="003A29EC"/>
    <w:rsid w:val="003A517E"/>
    <w:rsid w:val="003A5C47"/>
    <w:rsid w:val="003A641D"/>
    <w:rsid w:val="003B19C2"/>
    <w:rsid w:val="003C0585"/>
    <w:rsid w:val="003C71C7"/>
    <w:rsid w:val="003D1343"/>
    <w:rsid w:val="003D6B9D"/>
    <w:rsid w:val="003E19A7"/>
    <w:rsid w:val="003E444B"/>
    <w:rsid w:val="003E47A4"/>
    <w:rsid w:val="0042372A"/>
    <w:rsid w:val="00424071"/>
    <w:rsid w:val="0042453E"/>
    <w:rsid w:val="004319EA"/>
    <w:rsid w:val="0043278B"/>
    <w:rsid w:val="004436A1"/>
    <w:rsid w:val="0045311D"/>
    <w:rsid w:val="00453B55"/>
    <w:rsid w:val="00456969"/>
    <w:rsid w:val="00464C24"/>
    <w:rsid w:val="00465C2E"/>
    <w:rsid w:val="0047002B"/>
    <w:rsid w:val="004704FF"/>
    <w:rsid w:val="00472235"/>
    <w:rsid w:val="0047407A"/>
    <w:rsid w:val="00476385"/>
    <w:rsid w:val="00480BE1"/>
    <w:rsid w:val="00485ADC"/>
    <w:rsid w:val="00486777"/>
    <w:rsid w:val="00494845"/>
    <w:rsid w:val="004A2E31"/>
    <w:rsid w:val="004B2B68"/>
    <w:rsid w:val="004B5D56"/>
    <w:rsid w:val="004C34AE"/>
    <w:rsid w:val="004C4C2D"/>
    <w:rsid w:val="004C50C4"/>
    <w:rsid w:val="004D4E38"/>
    <w:rsid w:val="004D55D5"/>
    <w:rsid w:val="004D6F14"/>
    <w:rsid w:val="004E202F"/>
    <w:rsid w:val="004E2CFA"/>
    <w:rsid w:val="004F039C"/>
    <w:rsid w:val="004F1AE8"/>
    <w:rsid w:val="00504634"/>
    <w:rsid w:val="00507648"/>
    <w:rsid w:val="00512DD7"/>
    <w:rsid w:val="00520B82"/>
    <w:rsid w:val="00520C54"/>
    <w:rsid w:val="005250F2"/>
    <w:rsid w:val="0052556E"/>
    <w:rsid w:val="00532038"/>
    <w:rsid w:val="00547B4C"/>
    <w:rsid w:val="00555485"/>
    <w:rsid w:val="00556B3B"/>
    <w:rsid w:val="005634BD"/>
    <w:rsid w:val="00565D69"/>
    <w:rsid w:val="00570D67"/>
    <w:rsid w:val="00575459"/>
    <w:rsid w:val="0058412D"/>
    <w:rsid w:val="00587694"/>
    <w:rsid w:val="00590B9F"/>
    <w:rsid w:val="0059493F"/>
    <w:rsid w:val="00596DFE"/>
    <w:rsid w:val="005A293C"/>
    <w:rsid w:val="005A4F91"/>
    <w:rsid w:val="005A72FC"/>
    <w:rsid w:val="005B1055"/>
    <w:rsid w:val="005B41AF"/>
    <w:rsid w:val="005B4C83"/>
    <w:rsid w:val="005C19A6"/>
    <w:rsid w:val="005D010B"/>
    <w:rsid w:val="005D49A1"/>
    <w:rsid w:val="005E0A7D"/>
    <w:rsid w:val="005E6D38"/>
    <w:rsid w:val="005F2740"/>
    <w:rsid w:val="005F36B8"/>
    <w:rsid w:val="005F614A"/>
    <w:rsid w:val="005F6564"/>
    <w:rsid w:val="0060689D"/>
    <w:rsid w:val="00615441"/>
    <w:rsid w:val="006202C3"/>
    <w:rsid w:val="006259C8"/>
    <w:rsid w:val="0063150E"/>
    <w:rsid w:val="006368F3"/>
    <w:rsid w:val="00637FE1"/>
    <w:rsid w:val="00646028"/>
    <w:rsid w:val="00646AD9"/>
    <w:rsid w:val="00651946"/>
    <w:rsid w:val="00652AB4"/>
    <w:rsid w:val="0065590F"/>
    <w:rsid w:val="00660731"/>
    <w:rsid w:val="006731F2"/>
    <w:rsid w:val="0068114B"/>
    <w:rsid w:val="00691DD6"/>
    <w:rsid w:val="006935DE"/>
    <w:rsid w:val="00693A27"/>
    <w:rsid w:val="006955D1"/>
    <w:rsid w:val="00695A4C"/>
    <w:rsid w:val="00695C47"/>
    <w:rsid w:val="00696BF8"/>
    <w:rsid w:val="0069727B"/>
    <w:rsid w:val="006A4B58"/>
    <w:rsid w:val="006A6224"/>
    <w:rsid w:val="006B0B82"/>
    <w:rsid w:val="006B69FE"/>
    <w:rsid w:val="006C050A"/>
    <w:rsid w:val="006C6DC3"/>
    <w:rsid w:val="006D7AC3"/>
    <w:rsid w:val="006E50A1"/>
    <w:rsid w:val="0070169A"/>
    <w:rsid w:val="00701FBB"/>
    <w:rsid w:val="00704D30"/>
    <w:rsid w:val="00706CA5"/>
    <w:rsid w:val="00720FE9"/>
    <w:rsid w:val="00725FFC"/>
    <w:rsid w:val="00733D0E"/>
    <w:rsid w:val="00733D77"/>
    <w:rsid w:val="0074006E"/>
    <w:rsid w:val="00744F79"/>
    <w:rsid w:val="00755C40"/>
    <w:rsid w:val="00761448"/>
    <w:rsid w:val="00791FBD"/>
    <w:rsid w:val="00793BE1"/>
    <w:rsid w:val="00795F3E"/>
    <w:rsid w:val="007967EC"/>
    <w:rsid w:val="007A0410"/>
    <w:rsid w:val="007A1121"/>
    <w:rsid w:val="007A5BD0"/>
    <w:rsid w:val="007A5C48"/>
    <w:rsid w:val="007A7D27"/>
    <w:rsid w:val="007B3F37"/>
    <w:rsid w:val="007B4835"/>
    <w:rsid w:val="007C2535"/>
    <w:rsid w:val="007C3635"/>
    <w:rsid w:val="007D2D7C"/>
    <w:rsid w:val="007E3F2D"/>
    <w:rsid w:val="007E6ADC"/>
    <w:rsid w:val="007F13BF"/>
    <w:rsid w:val="007F2BC9"/>
    <w:rsid w:val="007F56D9"/>
    <w:rsid w:val="00805976"/>
    <w:rsid w:val="00807A75"/>
    <w:rsid w:val="00811970"/>
    <w:rsid w:val="008142FC"/>
    <w:rsid w:val="008152E8"/>
    <w:rsid w:val="00822B26"/>
    <w:rsid w:val="00835199"/>
    <w:rsid w:val="008424A9"/>
    <w:rsid w:val="00845026"/>
    <w:rsid w:val="00852A42"/>
    <w:rsid w:val="008630E2"/>
    <w:rsid w:val="00866ED6"/>
    <w:rsid w:val="00874DC5"/>
    <w:rsid w:val="008825A4"/>
    <w:rsid w:val="0088640E"/>
    <w:rsid w:val="00894918"/>
    <w:rsid w:val="0089598D"/>
    <w:rsid w:val="008A7D36"/>
    <w:rsid w:val="008B33BD"/>
    <w:rsid w:val="008B4446"/>
    <w:rsid w:val="008C3338"/>
    <w:rsid w:val="008C407E"/>
    <w:rsid w:val="008D1CE5"/>
    <w:rsid w:val="00901DC8"/>
    <w:rsid w:val="00905BF1"/>
    <w:rsid w:val="00921710"/>
    <w:rsid w:val="009357A2"/>
    <w:rsid w:val="00936701"/>
    <w:rsid w:val="00944A43"/>
    <w:rsid w:val="00946323"/>
    <w:rsid w:val="00947EC2"/>
    <w:rsid w:val="00950ACC"/>
    <w:rsid w:val="00955E80"/>
    <w:rsid w:val="00960174"/>
    <w:rsid w:val="009616E4"/>
    <w:rsid w:val="00964916"/>
    <w:rsid w:val="00971684"/>
    <w:rsid w:val="0098045C"/>
    <w:rsid w:val="0098110A"/>
    <w:rsid w:val="00984DE1"/>
    <w:rsid w:val="009948A3"/>
    <w:rsid w:val="009A45DC"/>
    <w:rsid w:val="009A5ED4"/>
    <w:rsid w:val="009B3B1D"/>
    <w:rsid w:val="009C035B"/>
    <w:rsid w:val="009C5542"/>
    <w:rsid w:val="009D27CB"/>
    <w:rsid w:val="009D7C86"/>
    <w:rsid w:val="009E0982"/>
    <w:rsid w:val="009E0C38"/>
    <w:rsid w:val="009F022B"/>
    <w:rsid w:val="009F02C8"/>
    <w:rsid w:val="009F5C38"/>
    <w:rsid w:val="009F5CDD"/>
    <w:rsid w:val="00A00110"/>
    <w:rsid w:val="00A04620"/>
    <w:rsid w:val="00A14DE8"/>
    <w:rsid w:val="00A256BD"/>
    <w:rsid w:val="00A267C5"/>
    <w:rsid w:val="00A26D43"/>
    <w:rsid w:val="00A32C01"/>
    <w:rsid w:val="00A37712"/>
    <w:rsid w:val="00A44D00"/>
    <w:rsid w:val="00A5006F"/>
    <w:rsid w:val="00A56AAD"/>
    <w:rsid w:val="00A57B31"/>
    <w:rsid w:val="00A64482"/>
    <w:rsid w:val="00A777A2"/>
    <w:rsid w:val="00A80F16"/>
    <w:rsid w:val="00A84942"/>
    <w:rsid w:val="00A84E7F"/>
    <w:rsid w:val="00A9017A"/>
    <w:rsid w:val="00AA1DB4"/>
    <w:rsid w:val="00AB3E12"/>
    <w:rsid w:val="00AD0439"/>
    <w:rsid w:val="00AD2612"/>
    <w:rsid w:val="00AF70E4"/>
    <w:rsid w:val="00B004F0"/>
    <w:rsid w:val="00B02B73"/>
    <w:rsid w:val="00B120EE"/>
    <w:rsid w:val="00B15AA5"/>
    <w:rsid w:val="00B21625"/>
    <w:rsid w:val="00B2286B"/>
    <w:rsid w:val="00B26BFB"/>
    <w:rsid w:val="00B35BF9"/>
    <w:rsid w:val="00B35FC8"/>
    <w:rsid w:val="00B41451"/>
    <w:rsid w:val="00B42315"/>
    <w:rsid w:val="00B458FD"/>
    <w:rsid w:val="00B47BCC"/>
    <w:rsid w:val="00B50714"/>
    <w:rsid w:val="00B573EA"/>
    <w:rsid w:val="00B61199"/>
    <w:rsid w:val="00B63ED8"/>
    <w:rsid w:val="00B66A4C"/>
    <w:rsid w:val="00B70E7E"/>
    <w:rsid w:val="00B804A2"/>
    <w:rsid w:val="00B918A1"/>
    <w:rsid w:val="00B9439E"/>
    <w:rsid w:val="00B977B7"/>
    <w:rsid w:val="00B97A89"/>
    <w:rsid w:val="00BA01DE"/>
    <w:rsid w:val="00BA5360"/>
    <w:rsid w:val="00BA5EE4"/>
    <w:rsid w:val="00BB623C"/>
    <w:rsid w:val="00BC200E"/>
    <w:rsid w:val="00BD23EF"/>
    <w:rsid w:val="00BD3A8A"/>
    <w:rsid w:val="00BE5DC2"/>
    <w:rsid w:val="00BE7599"/>
    <w:rsid w:val="00BF05B0"/>
    <w:rsid w:val="00BF309B"/>
    <w:rsid w:val="00BF6E7F"/>
    <w:rsid w:val="00C07EB0"/>
    <w:rsid w:val="00C1341E"/>
    <w:rsid w:val="00C15C7E"/>
    <w:rsid w:val="00C17FE0"/>
    <w:rsid w:val="00C222E5"/>
    <w:rsid w:val="00C32BC3"/>
    <w:rsid w:val="00C40823"/>
    <w:rsid w:val="00C450DB"/>
    <w:rsid w:val="00C478D5"/>
    <w:rsid w:val="00C5093E"/>
    <w:rsid w:val="00C65F07"/>
    <w:rsid w:val="00C6630B"/>
    <w:rsid w:val="00C821E9"/>
    <w:rsid w:val="00C823DA"/>
    <w:rsid w:val="00C862E5"/>
    <w:rsid w:val="00C87CD0"/>
    <w:rsid w:val="00C91BE9"/>
    <w:rsid w:val="00C92095"/>
    <w:rsid w:val="00C977C7"/>
    <w:rsid w:val="00CA358D"/>
    <w:rsid w:val="00CB61DE"/>
    <w:rsid w:val="00CB7893"/>
    <w:rsid w:val="00CC3E15"/>
    <w:rsid w:val="00CC50BF"/>
    <w:rsid w:val="00CC5ADC"/>
    <w:rsid w:val="00CD0DA6"/>
    <w:rsid w:val="00CF4AD1"/>
    <w:rsid w:val="00CF581B"/>
    <w:rsid w:val="00D03799"/>
    <w:rsid w:val="00D119E3"/>
    <w:rsid w:val="00D12CD2"/>
    <w:rsid w:val="00D238BF"/>
    <w:rsid w:val="00D302C9"/>
    <w:rsid w:val="00D32173"/>
    <w:rsid w:val="00D34A81"/>
    <w:rsid w:val="00D353B2"/>
    <w:rsid w:val="00D35893"/>
    <w:rsid w:val="00D42ACC"/>
    <w:rsid w:val="00D43698"/>
    <w:rsid w:val="00D44FA2"/>
    <w:rsid w:val="00D53717"/>
    <w:rsid w:val="00D54F10"/>
    <w:rsid w:val="00D70AB5"/>
    <w:rsid w:val="00D74A8F"/>
    <w:rsid w:val="00D7785E"/>
    <w:rsid w:val="00D8044F"/>
    <w:rsid w:val="00DA3647"/>
    <w:rsid w:val="00DB28FD"/>
    <w:rsid w:val="00DC18B4"/>
    <w:rsid w:val="00DC2F4B"/>
    <w:rsid w:val="00DC5978"/>
    <w:rsid w:val="00DD06B5"/>
    <w:rsid w:val="00DD097C"/>
    <w:rsid w:val="00DD30DA"/>
    <w:rsid w:val="00DD5A24"/>
    <w:rsid w:val="00DE2E71"/>
    <w:rsid w:val="00DF48AE"/>
    <w:rsid w:val="00E031B3"/>
    <w:rsid w:val="00E12C53"/>
    <w:rsid w:val="00E20973"/>
    <w:rsid w:val="00E2351B"/>
    <w:rsid w:val="00E23A9F"/>
    <w:rsid w:val="00E25817"/>
    <w:rsid w:val="00E35ED6"/>
    <w:rsid w:val="00E4765F"/>
    <w:rsid w:val="00E4779A"/>
    <w:rsid w:val="00E50297"/>
    <w:rsid w:val="00E50ED3"/>
    <w:rsid w:val="00E54875"/>
    <w:rsid w:val="00E54D80"/>
    <w:rsid w:val="00E6001A"/>
    <w:rsid w:val="00E629E8"/>
    <w:rsid w:val="00E7057C"/>
    <w:rsid w:val="00E805D9"/>
    <w:rsid w:val="00E8345D"/>
    <w:rsid w:val="00E9131D"/>
    <w:rsid w:val="00E9288D"/>
    <w:rsid w:val="00E935D1"/>
    <w:rsid w:val="00EA1205"/>
    <w:rsid w:val="00EB3F02"/>
    <w:rsid w:val="00EB4ACE"/>
    <w:rsid w:val="00EC0253"/>
    <w:rsid w:val="00EC0582"/>
    <w:rsid w:val="00ED6B58"/>
    <w:rsid w:val="00EE30F2"/>
    <w:rsid w:val="00EE40F8"/>
    <w:rsid w:val="00EE5BD1"/>
    <w:rsid w:val="00EF58BD"/>
    <w:rsid w:val="00F20EB8"/>
    <w:rsid w:val="00F33E00"/>
    <w:rsid w:val="00F37A4F"/>
    <w:rsid w:val="00F43B52"/>
    <w:rsid w:val="00F451BE"/>
    <w:rsid w:val="00F5166F"/>
    <w:rsid w:val="00F51A42"/>
    <w:rsid w:val="00F609B6"/>
    <w:rsid w:val="00F60F8E"/>
    <w:rsid w:val="00F72A91"/>
    <w:rsid w:val="00F74A77"/>
    <w:rsid w:val="00F7775F"/>
    <w:rsid w:val="00F80A8E"/>
    <w:rsid w:val="00F80ED1"/>
    <w:rsid w:val="00F8255D"/>
    <w:rsid w:val="00F93BF5"/>
    <w:rsid w:val="00FB4B54"/>
    <w:rsid w:val="00FC25A2"/>
    <w:rsid w:val="00FC2FA6"/>
    <w:rsid w:val="00FC49D7"/>
    <w:rsid w:val="00FC4AF8"/>
    <w:rsid w:val="00FC5013"/>
    <w:rsid w:val="00FC5D92"/>
    <w:rsid w:val="00FD1F13"/>
    <w:rsid w:val="00FD3739"/>
    <w:rsid w:val="00FE06C7"/>
    <w:rsid w:val="00FE6BD0"/>
    <w:rsid w:val="00FF3E34"/>
    <w:rsid w:val="00FF5375"/>
    <w:rsid w:val="00FF66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6339"/>
  <w15:docId w15:val="{166D84B1-3988-4760-9804-E3C71BD7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qFormat="1"/>
    <w:lsdException w:name="List Number 3" w:semiHidden="1" w:uiPriority="1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59C8"/>
    <w:pPr>
      <w:spacing w:after="0" w:line="240" w:lineRule="auto"/>
    </w:pPr>
    <w:rPr>
      <w:rFonts w:ascii="Times New Roman" w:eastAsia="Times New Roman" w:hAnsi="Times New Roman" w:cs="Times New Roman"/>
      <w:sz w:val="24"/>
      <w:szCs w:val="24"/>
      <w:lang w:eastAsia="lt-LT"/>
    </w:rPr>
  </w:style>
  <w:style w:type="paragraph" w:styleId="Antrat4">
    <w:name w:val="heading 4"/>
    <w:basedOn w:val="prastasis"/>
    <w:next w:val="prastasis"/>
    <w:link w:val="Antrat4Diagrama"/>
    <w:uiPriority w:val="9"/>
    <w:semiHidden/>
    <w:unhideWhenUsed/>
    <w:qFormat/>
    <w:rsid w:val="008424A9"/>
    <w:pPr>
      <w:keepNext/>
      <w:keepLines/>
      <w:spacing w:before="200"/>
      <w:outlineLvl w:val="3"/>
    </w:pPr>
    <w:rPr>
      <w:rFonts w:asciiTheme="majorHAnsi" w:eastAsiaTheme="majorEastAsia" w:hAnsiTheme="majorHAnsi" w:cstheme="majorBidi"/>
      <w:b/>
      <w:bCs/>
      <w:i/>
      <w:iCs/>
      <w:color w:val="4F81BD" w:themeColor="accent1"/>
    </w:rPr>
  </w:style>
  <w:style w:type="paragraph" w:styleId="Antrat7">
    <w:name w:val="heading 7"/>
    <w:basedOn w:val="prastasis"/>
    <w:next w:val="prastasis"/>
    <w:link w:val="Antrat7Diagrama"/>
    <w:uiPriority w:val="9"/>
    <w:qFormat/>
    <w:rsid w:val="00695C47"/>
    <w:pPr>
      <w:suppressAutoHyphens/>
      <w:spacing w:before="240" w:after="60" w:line="276" w:lineRule="auto"/>
      <w:jc w:val="both"/>
      <w:outlineLvl w:val="6"/>
    </w:pPr>
    <w:rPr>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DiagramaCharChar">
    <w:name w:val="Char Char Diagrama Char Char"/>
    <w:basedOn w:val="prastasis"/>
    <w:rsid w:val="00CF581B"/>
    <w:pPr>
      <w:spacing w:after="160" w:line="240" w:lineRule="exact"/>
    </w:pPr>
    <w:rPr>
      <w:rFonts w:ascii="Tahoma" w:hAnsi="Tahoma"/>
      <w:sz w:val="20"/>
      <w:szCs w:val="20"/>
      <w:lang w:val="en-US" w:eastAsia="en-US"/>
    </w:rPr>
  </w:style>
  <w:style w:type="paragraph" w:styleId="Debesliotekstas">
    <w:name w:val="Balloon Text"/>
    <w:basedOn w:val="prastasis"/>
    <w:link w:val="DebesliotekstasDiagrama"/>
    <w:uiPriority w:val="99"/>
    <w:semiHidden/>
    <w:unhideWhenUsed/>
    <w:rsid w:val="00CF581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581B"/>
    <w:rPr>
      <w:rFonts w:ascii="Tahoma" w:eastAsia="Times New Roman" w:hAnsi="Tahoma" w:cs="Tahoma"/>
      <w:sz w:val="16"/>
      <w:szCs w:val="16"/>
      <w:lang w:eastAsia="lt-LT"/>
    </w:rPr>
  </w:style>
  <w:style w:type="paragraph" w:customStyle="1" w:styleId="Default">
    <w:name w:val="Default"/>
    <w:rsid w:val="00905BF1"/>
    <w:pPr>
      <w:autoSpaceDE w:val="0"/>
      <w:autoSpaceDN w:val="0"/>
      <w:adjustRightInd w:val="0"/>
      <w:spacing w:after="0" w:line="240" w:lineRule="auto"/>
    </w:pPr>
    <w:rPr>
      <w:rFonts w:ascii="Cambria" w:hAnsi="Cambria" w:cs="Cambria"/>
      <w:color w:val="000000"/>
      <w:sz w:val="24"/>
      <w:szCs w:val="24"/>
    </w:rPr>
  </w:style>
  <w:style w:type="paragraph" w:styleId="Sraopastraipa">
    <w:name w:val="List Paragraph"/>
    <w:aliases w:val="Bullet EY,List Paragraph1,Gaia List Paragraph,Table of contents numbered,List Paragraph 1,Numbering,ERP-List Paragraph,List Paragraph11,List Paragraph2,Paragraphe de liste 2,Reference list,Normal bullet 2,Numbered List,lp1,Bullet 1"/>
    <w:basedOn w:val="prastasis"/>
    <w:link w:val="SraopastraipaDiagrama"/>
    <w:uiPriority w:val="34"/>
    <w:qFormat/>
    <w:rsid w:val="000C7A77"/>
    <w:pPr>
      <w:ind w:left="720"/>
      <w:contextualSpacing/>
    </w:pPr>
  </w:style>
  <w:style w:type="paragraph" w:customStyle="1" w:styleId="CharChar4">
    <w:name w:val="Char Char4"/>
    <w:basedOn w:val="prastasis"/>
    <w:rsid w:val="00C862E5"/>
    <w:pPr>
      <w:spacing w:after="160" w:line="240" w:lineRule="exact"/>
    </w:pPr>
    <w:rPr>
      <w:rFonts w:ascii="Tahoma" w:hAnsi="Tahoma"/>
      <w:sz w:val="20"/>
      <w:szCs w:val="20"/>
      <w:lang w:val="en-US" w:eastAsia="en-US"/>
    </w:rPr>
  </w:style>
  <w:style w:type="paragraph" w:customStyle="1" w:styleId="Text">
    <w:name w:val="Text"/>
    <w:basedOn w:val="prastasis"/>
    <w:link w:val="TextChar"/>
    <w:qFormat/>
    <w:rsid w:val="00C862E5"/>
    <w:pPr>
      <w:tabs>
        <w:tab w:val="left" w:pos="9600"/>
      </w:tabs>
      <w:spacing w:after="240" w:line="276" w:lineRule="auto"/>
      <w:ind w:left="505" w:right="74"/>
      <w:jc w:val="both"/>
    </w:pPr>
    <w:rPr>
      <w:rFonts w:ascii="Cambria" w:hAnsi="Cambria"/>
      <w:noProof/>
      <w:szCs w:val="22"/>
    </w:rPr>
  </w:style>
  <w:style w:type="character" w:customStyle="1" w:styleId="TextChar">
    <w:name w:val="Text Char"/>
    <w:link w:val="Text"/>
    <w:rsid w:val="00C862E5"/>
    <w:rPr>
      <w:rFonts w:ascii="Cambria" w:eastAsia="Times New Roman" w:hAnsi="Cambria" w:cs="Times New Roman"/>
      <w:noProof/>
      <w:sz w:val="24"/>
      <w:lang w:eastAsia="lt-LT"/>
    </w:rPr>
  </w:style>
  <w:style w:type="paragraph" w:styleId="Antrats">
    <w:name w:val="header"/>
    <w:link w:val="AntratsDiagrama"/>
    <w:rsid w:val="00AA1DB4"/>
    <w:pPr>
      <w:tabs>
        <w:tab w:val="center" w:pos="4513"/>
        <w:tab w:val="right" w:pos="9026"/>
      </w:tabs>
      <w:spacing w:after="0" w:line="240" w:lineRule="auto"/>
    </w:pPr>
    <w:rPr>
      <w:b/>
      <w:sz w:val="14"/>
      <w:lang w:val="en-US"/>
    </w:rPr>
  </w:style>
  <w:style w:type="character" w:customStyle="1" w:styleId="AntratsDiagrama">
    <w:name w:val="Antraštės Diagrama"/>
    <w:basedOn w:val="Numatytasispastraiposriftas"/>
    <w:link w:val="Antrats"/>
    <w:uiPriority w:val="99"/>
    <w:rsid w:val="00AA1DB4"/>
    <w:rPr>
      <w:b/>
      <w:sz w:val="14"/>
      <w:lang w:val="en-US"/>
    </w:rPr>
  </w:style>
  <w:style w:type="paragraph" w:styleId="Pagrindinistekstas">
    <w:name w:val="Body Text"/>
    <w:basedOn w:val="prastasis"/>
    <w:link w:val="PagrindinistekstasDiagrama"/>
    <w:unhideWhenUsed/>
    <w:qFormat/>
    <w:rsid w:val="00AA1DB4"/>
    <w:pPr>
      <w:spacing w:after="240" w:line="240" w:lineRule="atLeast"/>
    </w:pPr>
    <w:rPr>
      <w:rFonts w:ascii="Georgia" w:eastAsia="MS Mincho" w:hAnsi="Georgia"/>
      <w:sz w:val="20"/>
      <w:szCs w:val="20"/>
      <w:lang w:val="en-GB"/>
    </w:rPr>
  </w:style>
  <w:style w:type="character" w:customStyle="1" w:styleId="PagrindinistekstasDiagrama">
    <w:name w:val="Pagrindinis tekstas Diagrama"/>
    <w:basedOn w:val="Numatytasispastraiposriftas"/>
    <w:link w:val="Pagrindinistekstas"/>
    <w:rsid w:val="00AA1DB4"/>
    <w:rPr>
      <w:rFonts w:ascii="Georgia" w:eastAsia="MS Mincho" w:hAnsi="Georgia" w:cs="Times New Roman"/>
      <w:sz w:val="20"/>
      <w:szCs w:val="20"/>
      <w:lang w:val="en-GB" w:eastAsia="lt-LT"/>
    </w:rPr>
  </w:style>
  <w:style w:type="paragraph" w:customStyle="1" w:styleId="Pagrindinispaprastastekstas">
    <w:name w:val="• Pagrindinis paprastas tekstas"/>
    <w:basedOn w:val="prastasis"/>
    <w:link w:val="PagrindinispaprastastekstasChar"/>
    <w:qFormat/>
    <w:rsid w:val="00B66A4C"/>
    <w:pPr>
      <w:jc w:val="both"/>
    </w:pPr>
    <w:rPr>
      <w:rFonts w:ascii="Cambria" w:hAnsi="Cambria"/>
      <w:sz w:val="20"/>
    </w:rPr>
  </w:style>
  <w:style w:type="character" w:customStyle="1" w:styleId="PagrindinispaprastastekstasChar">
    <w:name w:val="• Pagrindinis paprastas tekstas Char"/>
    <w:link w:val="Pagrindinispaprastastekstas"/>
    <w:rsid w:val="00B66A4C"/>
    <w:rPr>
      <w:rFonts w:ascii="Cambria" w:eastAsia="Times New Roman" w:hAnsi="Cambria" w:cs="Times New Roman"/>
      <w:sz w:val="20"/>
      <w:szCs w:val="24"/>
      <w:lang w:eastAsia="lt-LT"/>
    </w:rPr>
  </w:style>
  <w:style w:type="character" w:customStyle="1" w:styleId="ItalicsCharChar">
    <w:name w:val="Italics Char Char"/>
    <w:basedOn w:val="Numatytasispastraiposriftas"/>
    <w:link w:val="Italics"/>
    <w:rsid w:val="00921710"/>
    <w:rPr>
      <w:rFonts w:ascii="EYInterstate Light" w:hAnsi="EYInterstate Light"/>
      <w:bCs/>
      <w:i/>
      <w:iCs/>
      <w:sz w:val="24"/>
    </w:rPr>
  </w:style>
  <w:style w:type="paragraph" w:customStyle="1" w:styleId="Italics">
    <w:name w:val="Italics"/>
    <w:link w:val="ItalicsCharChar"/>
    <w:rsid w:val="00921710"/>
    <w:pPr>
      <w:keepNext/>
      <w:overflowPunct w:val="0"/>
      <w:spacing w:after="0" w:line="240" w:lineRule="auto"/>
      <w:textAlignment w:val="baseline"/>
    </w:pPr>
    <w:rPr>
      <w:rFonts w:ascii="EYInterstate Light" w:hAnsi="EYInterstate Light"/>
      <w:bCs/>
      <w:i/>
      <w:iCs/>
      <w:sz w:val="24"/>
    </w:rPr>
  </w:style>
  <w:style w:type="paragraph" w:customStyle="1" w:styleId="Headline1">
    <w:name w:val="Headline 1"/>
    <w:link w:val="Headline1Char"/>
    <w:rsid w:val="00921710"/>
    <w:pPr>
      <w:spacing w:after="240" w:line="240" w:lineRule="auto"/>
    </w:pPr>
    <w:rPr>
      <w:rFonts w:ascii="EYInterstate Regular" w:eastAsia="Times New Roman" w:hAnsi="EYInterstate Regular" w:cs="Arial"/>
      <w:bCs/>
      <w:color w:val="808080"/>
      <w:sz w:val="48"/>
      <w:szCs w:val="48"/>
      <w:lang w:val="en-US"/>
    </w:rPr>
  </w:style>
  <w:style w:type="character" w:customStyle="1" w:styleId="Headline1Char">
    <w:name w:val="Headline 1 Char"/>
    <w:basedOn w:val="Numatytasispastraiposriftas"/>
    <w:link w:val="Headline1"/>
    <w:rsid w:val="00921710"/>
    <w:rPr>
      <w:rFonts w:ascii="EYInterstate Regular" w:eastAsia="Times New Roman" w:hAnsi="EYInterstate Regular" w:cs="Arial"/>
      <w:bCs/>
      <w:color w:val="808080"/>
      <w:sz w:val="48"/>
      <w:szCs w:val="48"/>
      <w:lang w:val="en-US"/>
    </w:rPr>
  </w:style>
  <w:style w:type="paragraph" w:customStyle="1" w:styleId="EYNormal">
    <w:name w:val="EY Normal"/>
    <w:link w:val="EYNormalChar"/>
    <w:qFormat/>
    <w:rsid w:val="006202C3"/>
    <w:pPr>
      <w:spacing w:after="0" w:line="240" w:lineRule="auto"/>
    </w:pPr>
    <w:rPr>
      <w:rFonts w:ascii="EYInterstate Light" w:eastAsia="Times New Roman" w:hAnsi="EYInterstate Light" w:cs="Times New Roman"/>
      <w:kern w:val="12"/>
      <w:sz w:val="20"/>
      <w:szCs w:val="24"/>
      <w:lang w:val="en-US"/>
    </w:rPr>
  </w:style>
  <w:style w:type="character" w:customStyle="1" w:styleId="EYNormalChar">
    <w:name w:val="EY Normal Char"/>
    <w:basedOn w:val="Numatytasispastraiposriftas"/>
    <w:link w:val="EYNormal"/>
    <w:rsid w:val="006202C3"/>
    <w:rPr>
      <w:rFonts w:ascii="EYInterstate Light" w:eastAsia="Times New Roman" w:hAnsi="EYInterstate Light" w:cs="Times New Roman"/>
      <w:kern w:val="12"/>
      <w:sz w:val="20"/>
      <w:szCs w:val="24"/>
      <w:lang w:val="en-US"/>
    </w:rPr>
  </w:style>
  <w:style w:type="paragraph" w:styleId="Puslapioinaostekstas">
    <w:name w:val="footnote text"/>
    <w:aliases w:val="fn,FT,ft,SD Footnote Text,Footnote Text AG,• Isnasos,Footnote Text Char Char,Footnote,Fußnotentextf,stile 1,Footnote1,Footnote2,Footnote3,Footnote4,Footnote5,Footnote6,Footnote7,Footnote8,Footnote9,Footnote10,Footnote11,f"/>
    <w:basedOn w:val="prastasis"/>
    <w:link w:val="PuslapioinaostekstasDiagrama"/>
    <w:uiPriority w:val="99"/>
    <w:qFormat/>
    <w:rsid w:val="00695A4C"/>
    <w:pPr>
      <w:keepNext/>
      <w:keepLines/>
    </w:pPr>
    <w:rPr>
      <w:rFonts w:ascii="EYInterstate Regular" w:hAnsi="EYInterstate Regular"/>
      <w:sz w:val="18"/>
      <w:lang w:val="en-US" w:eastAsia="en-US"/>
    </w:rPr>
  </w:style>
  <w:style w:type="character" w:customStyle="1" w:styleId="PuslapioinaostekstasDiagrama">
    <w:name w:val="Puslapio išnašos tekstas Diagrama"/>
    <w:aliases w:val="fn Diagrama,FT Diagrama,ft Diagrama,SD Footnote Text Diagrama,Footnote Text AG Diagrama,• Isnasos Diagrama,Footnote Text Char Char Diagrama,Footnote Diagrama,Fußnotentextf Diagrama,stile 1 Diagrama,Footnote1 Diagrama"/>
    <w:basedOn w:val="Numatytasispastraiposriftas"/>
    <w:link w:val="Puslapioinaostekstas"/>
    <w:uiPriority w:val="99"/>
    <w:rsid w:val="00695A4C"/>
    <w:rPr>
      <w:rFonts w:ascii="EYInterstate Regular" w:eastAsia="Times New Roman" w:hAnsi="EYInterstate Regular" w:cs="Times New Roman"/>
      <w:sz w:val="18"/>
      <w:szCs w:val="24"/>
      <w:lang w:val="en-US"/>
    </w:rPr>
  </w:style>
  <w:style w:type="character" w:styleId="Puslapioinaosnuoroda">
    <w:name w:val="footnote reference"/>
    <w:aliases w:val="fr,Footnote Reference Number,BVI fnr,Footnote symbol,Footnote anchor,Times 10 Point,Exposant 3 Point,Footnote reference number,Voetnootverwijzing,Footnote number,Footnotemark,FR,Footnotemark1,Footnotemark2,FR1,Footnotemark3,FR2"/>
    <w:basedOn w:val="Numatytasispastraiposriftas"/>
    <w:link w:val="SUPERSChar"/>
    <w:uiPriority w:val="99"/>
    <w:qFormat/>
    <w:rsid w:val="00695A4C"/>
    <w:rPr>
      <w:rFonts w:ascii="EYInterstate Light" w:hAnsi="EYInterstate Light"/>
      <w:position w:val="6"/>
      <w:sz w:val="24"/>
      <w:szCs w:val="20"/>
      <w:vertAlign w:val="superscript"/>
    </w:rPr>
  </w:style>
  <w:style w:type="paragraph" w:customStyle="1" w:styleId="tabletextcentered">
    <w:name w:val="table text centered"/>
    <w:rsid w:val="00706CA5"/>
    <w:pPr>
      <w:spacing w:after="0" w:line="240" w:lineRule="auto"/>
      <w:jc w:val="center"/>
    </w:pPr>
    <w:rPr>
      <w:rFonts w:ascii="EYInterstate Light" w:eastAsia="Times New Roman" w:hAnsi="EYInterstate Light" w:cs="Times New Roman"/>
      <w:sz w:val="20"/>
      <w:szCs w:val="20"/>
      <w:lang w:val="en-US"/>
    </w:rPr>
  </w:style>
  <w:style w:type="paragraph" w:styleId="Sraassunumeriais">
    <w:name w:val="List Number"/>
    <w:basedOn w:val="prastasis"/>
    <w:uiPriority w:val="13"/>
    <w:unhideWhenUsed/>
    <w:qFormat/>
    <w:rsid w:val="00504634"/>
    <w:pPr>
      <w:numPr>
        <w:numId w:val="1"/>
      </w:numPr>
      <w:spacing w:after="240" w:line="240" w:lineRule="atLeast"/>
      <w:contextualSpacing/>
    </w:pPr>
    <w:rPr>
      <w:rFonts w:ascii="Georgia" w:eastAsia="MS Mincho" w:hAnsi="Georgia"/>
      <w:sz w:val="20"/>
      <w:szCs w:val="20"/>
      <w:lang w:val="en-GB" w:eastAsia="en-US"/>
    </w:rPr>
  </w:style>
  <w:style w:type="paragraph" w:styleId="Sraassunumeriais2">
    <w:name w:val="List Number 2"/>
    <w:basedOn w:val="prastasis"/>
    <w:uiPriority w:val="13"/>
    <w:unhideWhenUsed/>
    <w:qFormat/>
    <w:rsid w:val="00504634"/>
    <w:pPr>
      <w:numPr>
        <w:ilvl w:val="1"/>
        <w:numId w:val="1"/>
      </w:numPr>
      <w:spacing w:after="240" w:line="240" w:lineRule="atLeast"/>
      <w:contextualSpacing/>
    </w:pPr>
    <w:rPr>
      <w:rFonts w:ascii="Georgia" w:eastAsia="MS Mincho" w:hAnsi="Georgia"/>
      <w:sz w:val="20"/>
      <w:szCs w:val="20"/>
      <w:lang w:val="en-GB" w:eastAsia="en-US"/>
    </w:rPr>
  </w:style>
  <w:style w:type="paragraph" w:styleId="Sraassunumeriais3">
    <w:name w:val="List Number 3"/>
    <w:basedOn w:val="prastasis"/>
    <w:uiPriority w:val="13"/>
    <w:unhideWhenUsed/>
    <w:qFormat/>
    <w:rsid w:val="00504634"/>
    <w:pPr>
      <w:numPr>
        <w:ilvl w:val="2"/>
        <w:numId w:val="1"/>
      </w:numPr>
      <w:spacing w:after="240" w:line="240" w:lineRule="atLeast"/>
      <w:contextualSpacing/>
    </w:pPr>
    <w:rPr>
      <w:rFonts w:ascii="Georgia" w:eastAsia="MS Mincho" w:hAnsi="Georgia"/>
      <w:sz w:val="20"/>
      <w:szCs w:val="20"/>
      <w:lang w:val="en-GB" w:eastAsia="en-US"/>
    </w:rPr>
  </w:style>
  <w:style w:type="character" w:styleId="Hipersaitas">
    <w:name w:val="Hyperlink"/>
    <w:basedOn w:val="Numatytasispastraiposriftas"/>
    <w:uiPriority w:val="99"/>
    <w:unhideWhenUsed/>
    <w:rsid w:val="00504634"/>
    <w:rPr>
      <w:color w:val="0000FF"/>
      <w:u w:val="single"/>
    </w:rPr>
  </w:style>
  <w:style w:type="paragraph" w:styleId="Antrat">
    <w:name w:val="caption"/>
    <w:basedOn w:val="prastasis"/>
    <w:next w:val="prastasis"/>
    <w:uiPriority w:val="35"/>
    <w:unhideWhenUsed/>
    <w:qFormat/>
    <w:rsid w:val="00BE7599"/>
    <w:pPr>
      <w:spacing w:line="276" w:lineRule="auto"/>
    </w:pPr>
    <w:rPr>
      <w:rFonts w:ascii="Cambria" w:eastAsiaTheme="minorEastAsia" w:hAnsi="Cambria" w:cstheme="minorBidi"/>
      <w:b/>
      <w:bCs/>
      <w:sz w:val="22"/>
      <w:szCs w:val="18"/>
    </w:rPr>
  </w:style>
  <w:style w:type="character" w:customStyle="1" w:styleId="apple-converted-space">
    <w:name w:val="apple-converted-space"/>
    <w:basedOn w:val="Numatytasispastraiposriftas"/>
    <w:rsid w:val="00D32173"/>
  </w:style>
  <w:style w:type="paragraph" w:styleId="Pavadinimas">
    <w:name w:val="Title"/>
    <w:basedOn w:val="prastasis"/>
    <w:next w:val="prastasis"/>
    <w:link w:val="PavadinimasDiagrama"/>
    <w:uiPriority w:val="99"/>
    <w:qFormat/>
    <w:rsid w:val="007D2D7C"/>
    <w:pPr>
      <w:ind w:right="558"/>
    </w:pPr>
    <w:rPr>
      <w:rFonts w:asciiTheme="minorHAnsi" w:eastAsia="MS Gothic" w:hAnsiTheme="minorHAnsi" w:cs="Cambria"/>
      <w:bCs/>
      <w:color w:val="FFFFFF" w:themeColor="background1"/>
      <w:sz w:val="40"/>
      <w:szCs w:val="56"/>
      <w:lang w:eastAsia="en-GB"/>
    </w:rPr>
  </w:style>
  <w:style w:type="character" w:customStyle="1" w:styleId="PavadinimasDiagrama">
    <w:name w:val="Pavadinimas Diagrama"/>
    <w:basedOn w:val="Numatytasispastraiposriftas"/>
    <w:link w:val="Pavadinimas"/>
    <w:uiPriority w:val="99"/>
    <w:rsid w:val="007D2D7C"/>
    <w:rPr>
      <w:rFonts w:eastAsia="MS Gothic" w:cs="Cambria"/>
      <w:bCs/>
      <w:color w:val="FFFFFF" w:themeColor="background1"/>
      <w:sz w:val="40"/>
      <w:szCs w:val="56"/>
      <w:lang w:eastAsia="en-GB"/>
    </w:rPr>
  </w:style>
  <w:style w:type="table" w:customStyle="1" w:styleId="Civitta4">
    <w:name w:val="Civitta4"/>
    <w:basedOn w:val="prastojilentel"/>
    <w:uiPriority w:val="99"/>
    <w:rsid w:val="00A256BD"/>
    <w:pPr>
      <w:spacing w:after="0" w:line="240" w:lineRule="auto"/>
    </w:pPr>
    <w:rPr>
      <w:rFonts w:ascii="Avenir Next Demi Bold" w:eastAsia="SimSun" w:hAnsi="Avenir Next Demi Bold" w:cs="Arial"/>
      <w:lang w:eastAsia="lt-LT"/>
    </w:rPr>
    <w:tblPr>
      <w:tblStyleRow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502523"/>
    </w:tcPr>
    <w:tblStylePr w:type="firstRow">
      <w:rPr>
        <w:color w:val="FFFFFF"/>
      </w:rPr>
      <w:tblPr/>
      <w:tcPr>
        <w:shd w:val="clear" w:color="auto" w:fill="3CA1BC"/>
      </w:tcPr>
    </w:tblStylePr>
    <w:tblStylePr w:type="firstCol">
      <w:rPr>
        <w:color w:val="FFFFFF"/>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cPr>
    </w:tblStylePr>
  </w:style>
  <w:style w:type="paragraph" w:styleId="Porat">
    <w:name w:val="footer"/>
    <w:basedOn w:val="prastasis"/>
    <w:link w:val="PoratDiagrama"/>
    <w:uiPriority w:val="99"/>
    <w:unhideWhenUsed/>
    <w:rsid w:val="00A26D43"/>
    <w:pPr>
      <w:tabs>
        <w:tab w:val="center" w:pos="4819"/>
        <w:tab w:val="right" w:pos="9638"/>
      </w:tabs>
    </w:pPr>
  </w:style>
  <w:style w:type="character" w:customStyle="1" w:styleId="PoratDiagrama">
    <w:name w:val="Poraštė Diagrama"/>
    <w:basedOn w:val="Numatytasispastraiposriftas"/>
    <w:link w:val="Porat"/>
    <w:uiPriority w:val="99"/>
    <w:rsid w:val="00A26D43"/>
    <w:rPr>
      <w:rFonts w:ascii="Times New Roman" w:eastAsia="Times New Roman" w:hAnsi="Times New Roman" w:cs="Times New Roman"/>
      <w:sz w:val="24"/>
      <w:szCs w:val="24"/>
      <w:lang w:eastAsia="lt-LT"/>
    </w:rPr>
  </w:style>
  <w:style w:type="character" w:customStyle="1" w:styleId="SraopastraipaDiagrama">
    <w:name w:val="Sąrašo pastraipa Diagrama"/>
    <w:aliases w:val="Bullet EY Diagrama,List Paragraph1 Diagrama,Gaia List Paragraph Diagrama,Table of contents numbered Diagrama,List Paragraph 1 Diagrama,Numbering Diagrama,ERP-List Paragraph Diagrama,List Paragraph11 Diagrama,lp1 Diagrama"/>
    <w:link w:val="Sraopastraipa"/>
    <w:uiPriority w:val="34"/>
    <w:qFormat/>
    <w:locked/>
    <w:rsid w:val="00343CA4"/>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70169A"/>
    <w:pPr>
      <w:spacing w:before="100" w:beforeAutospacing="1" w:after="100" w:afterAutospacing="1"/>
    </w:pPr>
    <w:rPr>
      <w:rFonts w:eastAsiaTheme="minorEastAsia"/>
    </w:rPr>
  </w:style>
  <w:style w:type="paragraph" w:styleId="Sraassuenkleliais">
    <w:name w:val="List Bullet"/>
    <w:basedOn w:val="Pagrindinistekstas"/>
    <w:uiPriority w:val="99"/>
    <w:rsid w:val="00486777"/>
    <w:pPr>
      <w:numPr>
        <w:numId w:val="2"/>
      </w:numPr>
      <w:spacing w:after="120" w:line="240" w:lineRule="auto"/>
      <w:jc w:val="both"/>
    </w:pPr>
    <w:rPr>
      <w:rFonts w:eastAsia="Times New Roman"/>
      <w:szCs w:val="24"/>
      <w:lang w:eastAsia="et-EE"/>
    </w:rPr>
  </w:style>
  <w:style w:type="character" w:customStyle="1" w:styleId="hps">
    <w:name w:val="hps"/>
    <w:basedOn w:val="Numatytasispastraiposriftas"/>
    <w:rsid w:val="001106A4"/>
    <w:rPr>
      <w:rFonts w:cs="Times New Roman"/>
    </w:rPr>
  </w:style>
  <w:style w:type="paragraph" w:customStyle="1" w:styleId="Tablebulletsub">
    <w:name w:val="Table bullet sub"/>
    <w:basedOn w:val="Sraopastraipa"/>
    <w:qFormat/>
    <w:rsid w:val="00D8044F"/>
    <w:pPr>
      <w:numPr>
        <w:numId w:val="3"/>
      </w:numPr>
      <w:spacing w:before="60" w:after="60" w:line="276" w:lineRule="auto"/>
      <w:jc w:val="both"/>
    </w:pPr>
    <w:rPr>
      <w:rFonts w:ascii="Univers for KPMG Light" w:hAnsi="Univers for KPMG Light"/>
      <w:noProof/>
      <w:color w:val="000000"/>
    </w:rPr>
  </w:style>
  <w:style w:type="table" w:styleId="Lentelstinklelis">
    <w:name w:val="Table Grid"/>
    <w:aliases w:val="Standard,Table Heading Background"/>
    <w:basedOn w:val="prastojilentel"/>
    <w:uiPriority w:val="59"/>
    <w:rsid w:val="00381EC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7Diagrama">
    <w:name w:val="Antraštė 7 Diagrama"/>
    <w:basedOn w:val="Numatytasispastraiposriftas"/>
    <w:link w:val="Antrat7"/>
    <w:uiPriority w:val="9"/>
    <w:rsid w:val="00695C47"/>
    <w:rPr>
      <w:rFonts w:ascii="Times New Roman" w:eastAsia="Times New Roman" w:hAnsi="Times New Roman" w:cs="Times New Roman"/>
      <w:sz w:val="24"/>
      <w:szCs w:val="24"/>
      <w:lang w:val="en-GB" w:eastAsia="ar-SA"/>
    </w:rPr>
  </w:style>
  <w:style w:type="paragraph" w:customStyle="1" w:styleId="Bullet">
    <w:name w:val="Bullet"/>
    <w:basedOn w:val="Sraopastraipa"/>
    <w:link w:val="BulletChar"/>
    <w:qFormat/>
    <w:rsid w:val="0031776A"/>
    <w:pPr>
      <w:numPr>
        <w:numId w:val="4"/>
      </w:numPr>
      <w:spacing w:after="60"/>
      <w:contextualSpacing w:val="0"/>
      <w:jc w:val="both"/>
    </w:pPr>
    <w:rPr>
      <w:rFonts w:asciiTheme="minorHAnsi" w:eastAsia="MS Gothic" w:hAnsiTheme="minorHAnsi" w:cs="Cambria"/>
      <w:color w:val="000000" w:themeColor="text1"/>
      <w:sz w:val="22"/>
      <w:szCs w:val="22"/>
      <w:lang w:val="en-US" w:eastAsia="en-GB"/>
    </w:rPr>
  </w:style>
  <w:style w:type="character" w:customStyle="1" w:styleId="BulletChar">
    <w:name w:val="Bullet Char"/>
    <w:basedOn w:val="Numatytasispastraiposriftas"/>
    <w:link w:val="Bullet"/>
    <w:rsid w:val="0031776A"/>
    <w:rPr>
      <w:rFonts w:eastAsia="MS Gothic" w:cs="Cambria"/>
      <w:color w:val="000000" w:themeColor="text1"/>
      <w:lang w:val="en-US" w:eastAsia="en-GB"/>
    </w:rPr>
  </w:style>
  <w:style w:type="character" w:styleId="Grietas">
    <w:name w:val="Strong"/>
    <w:uiPriority w:val="22"/>
    <w:qFormat/>
    <w:rsid w:val="00947EC2"/>
    <w:rPr>
      <w:rFonts w:asciiTheme="majorHAnsi" w:hAnsiTheme="majorHAnsi"/>
      <w:b/>
      <w:bCs/>
      <w:color w:val="E36C0A" w:themeColor="accent6" w:themeShade="BF"/>
      <w:sz w:val="24"/>
    </w:rPr>
  </w:style>
  <w:style w:type="paragraph" w:customStyle="1" w:styleId="SUPERSChar">
    <w:name w:val="SUPERS Char"/>
    <w:aliases w:val="EN Footnote Reference Char"/>
    <w:basedOn w:val="prastasis"/>
    <w:link w:val="Puslapioinaosnuoroda"/>
    <w:uiPriority w:val="99"/>
    <w:rsid w:val="00936701"/>
    <w:pPr>
      <w:spacing w:after="160" w:line="240" w:lineRule="exact"/>
    </w:pPr>
    <w:rPr>
      <w:rFonts w:ascii="EYInterstate Light" w:eastAsiaTheme="minorHAnsi" w:hAnsi="EYInterstate Light" w:cstheme="minorBidi"/>
      <w:position w:val="6"/>
      <w:szCs w:val="20"/>
      <w:vertAlign w:val="superscript"/>
      <w:lang w:eastAsia="en-US"/>
    </w:rPr>
  </w:style>
  <w:style w:type="character" w:customStyle="1" w:styleId="FootnoteTextChar1">
    <w:name w:val="Footnote Text Char1"/>
    <w:aliases w:val="Footnote Char1,Footnote Text Char Char Char1,fn Char1,Fußnotentext Char Char1,Fußnotentext Char1 Char Char1,Schriftart: 9 pt Char1 Char Char1,Schriftart: 8 pt Char Char1 Char Char1,Fußnotentext Char Char Char Char1,f Char1"/>
    <w:locked/>
    <w:rsid w:val="00EA1205"/>
    <w:rPr>
      <w:rFonts w:ascii="Calibri" w:eastAsia="Times New Roman" w:hAnsi="Calibri"/>
    </w:rPr>
  </w:style>
  <w:style w:type="paragraph" w:customStyle="1" w:styleId="CharCharCharChar">
    <w:name w:val="Char Char Char Char"/>
    <w:aliases w:val="Char2"/>
    <w:basedOn w:val="prastasis"/>
    <w:next w:val="prastasis"/>
    <w:uiPriority w:val="99"/>
    <w:rsid w:val="001F4754"/>
    <w:pPr>
      <w:spacing w:after="160" w:line="240" w:lineRule="exact"/>
      <w:jc w:val="both"/>
      <w:textAlignment w:val="baseline"/>
    </w:pPr>
    <w:rPr>
      <w:rFonts w:ascii="EYInterstate Light" w:eastAsiaTheme="minorHAnsi" w:hAnsi="EYInterstate Light" w:cstheme="minorBidi"/>
      <w:position w:val="6"/>
      <w:szCs w:val="20"/>
      <w:vertAlign w:val="superscript"/>
      <w:lang w:eastAsia="en-US"/>
    </w:rPr>
  </w:style>
  <w:style w:type="paragraph" w:styleId="Betarp">
    <w:name w:val="No Spacing"/>
    <w:uiPriority w:val="1"/>
    <w:qFormat/>
    <w:rsid w:val="00311695"/>
    <w:pPr>
      <w:spacing w:after="0" w:line="240" w:lineRule="auto"/>
    </w:pPr>
    <w:rPr>
      <w:rFonts w:ascii="Times New Roman" w:eastAsia="Times New Roman" w:hAnsi="Times New Roman" w:cs="Times New Roman"/>
      <w:sz w:val="24"/>
      <w:szCs w:val="24"/>
      <w:lang w:eastAsia="lt-LT"/>
    </w:rPr>
  </w:style>
  <w:style w:type="character" w:customStyle="1" w:styleId="Antrat4Diagrama">
    <w:name w:val="Antraštė 4 Diagrama"/>
    <w:basedOn w:val="Numatytasispastraiposriftas"/>
    <w:link w:val="Antrat4"/>
    <w:uiPriority w:val="9"/>
    <w:semiHidden/>
    <w:rsid w:val="008424A9"/>
    <w:rPr>
      <w:rFonts w:asciiTheme="majorHAnsi" w:eastAsiaTheme="majorEastAsia" w:hAnsiTheme="majorHAnsi" w:cstheme="majorBidi"/>
      <w:b/>
      <w:bCs/>
      <w:i/>
      <w:iCs/>
      <w:color w:val="4F81BD" w:themeColor="accent1"/>
      <w:sz w:val="24"/>
      <w:szCs w:val="24"/>
      <w:lang w:eastAsia="lt-LT"/>
    </w:rPr>
  </w:style>
  <w:style w:type="character" w:styleId="Puslapionumeris">
    <w:name w:val="page number"/>
    <w:basedOn w:val="Numatytasispastraiposriftas"/>
    <w:uiPriority w:val="99"/>
    <w:semiHidden/>
    <w:unhideWhenUsed/>
    <w:rsid w:val="004A2E31"/>
    <w:rPr>
      <w:rFonts w:cs="Times New Roman"/>
    </w:rPr>
  </w:style>
  <w:style w:type="paragraph" w:customStyle="1" w:styleId="SCTableContent">
    <w:name w:val="SC Table Content"/>
    <w:basedOn w:val="prastasis"/>
    <w:link w:val="SCTableContentDiagrama"/>
    <w:qFormat/>
    <w:rsid w:val="00DF48AE"/>
    <w:pPr>
      <w:jc w:val="both"/>
    </w:pPr>
    <w:rPr>
      <w:rFonts w:ascii="Calibri Light" w:eastAsiaTheme="minorHAnsi" w:hAnsi="Calibri Light" w:cstheme="minorBidi"/>
      <w:color w:val="000000" w:themeColor="text1"/>
      <w:sz w:val="18"/>
      <w:szCs w:val="18"/>
      <w:lang w:val="en-US" w:eastAsia="en-US"/>
    </w:rPr>
  </w:style>
  <w:style w:type="character" w:customStyle="1" w:styleId="SCTableContentDiagrama">
    <w:name w:val="SC Table Content Diagrama"/>
    <w:basedOn w:val="Numatytasispastraiposriftas"/>
    <w:link w:val="SCTableContent"/>
    <w:rsid w:val="00DF48AE"/>
    <w:rPr>
      <w:rFonts w:ascii="Calibri Light" w:hAnsi="Calibri Light"/>
      <w:color w:val="000000" w:themeColor="tex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14E1D-8B45-4849-B00D-85FC6444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24</Pages>
  <Words>42947</Words>
  <Characters>24481</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67294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Šemetienė</dc:creator>
  <cp:lastModifiedBy>Danutė Burakienė</cp:lastModifiedBy>
  <cp:revision>11</cp:revision>
  <cp:lastPrinted>2016-12-19T09:17:00Z</cp:lastPrinted>
  <dcterms:created xsi:type="dcterms:W3CDTF">2024-10-30T07:15:00Z</dcterms:created>
  <dcterms:modified xsi:type="dcterms:W3CDTF">2024-11-06T07:47:00Z</dcterms:modified>
</cp:coreProperties>
</file>