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CCFE96" w14:textId="3FD88A6A" w:rsidR="008F5D4C" w:rsidRPr="0087692E" w:rsidRDefault="008F5D4C" w:rsidP="008F5D4C">
      <w:pPr>
        <w:ind w:firstLine="8222"/>
        <w:jc w:val="center"/>
        <w:rPr>
          <w:b/>
          <w:noProof/>
          <w:szCs w:val="24"/>
          <w:lang w:eastAsia="lt-LT"/>
        </w:rPr>
      </w:pPr>
      <w:r>
        <w:rPr>
          <w:noProof/>
          <w:szCs w:val="24"/>
          <w:lang w:eastAsia="lt-LT"/>
        </w:rPr>
        <w:tab/>
      </w:r>
      <w:r>
        <w:rPr>
          <w:noProof/>
          <w:szCs w:val="24"/>
          <w:lang w:eastAsia="lt-LT"/>
        </w:rPr>
        <w:tab/>
      </w:r>
      <w:r>
        <w:rPr>
          <w:noProof/>
          <w:szCs w:val="24"/>
          <w:lang w:eastAsia="lt-LT"/>
        </w:rPr>
        <w:tab/>
      </w:r>
      <w:r>
        <w:rPr>
          <w:noProof/>
          <w:szCs w:val="24"/>
          <w:lang w:eastAsia="lt-LT"/>
        </w:rPr>
        <w:tab/>
      </w:r>
      <w:r w:rsidR="004A6743">
        <w:rPr>
          <w:noProof/>
          <w:lang w:eastAsia="lt-LT"/>
        </w:rPr>
        <w:drawing>
          <wp:inline distT="0" distB="0" distL="0" distR="0" wp14:anchorId="7142D38E" wp14:editId="2BBAE0A1">
            <wp:extent cx="542290" cy="597535"/>
            <wp:effectExtent l="0" t="0" r="0" b="0"/>
            <wp:docPr id="1" name="Paveikslėlis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597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  <w:szCs w:val="24"/>
          <w:lang w:eastAsia="lt-LT"/>
        </w:rPr>
        <w:tab/>
      </w:r>
      <w:r>
        <w:rPr>
          <w:noProof/>
          <w:szCs w:val="24"/>
          <w:lang w:eastAsia="lt-LT"/>
        </w:rPr>
        <w:tab/>
      </w:r>
      <w:r w:rsidRPr="0087692E">
        <w:rPr>
          <w:b/>
          <w:noProof/>
          <w:szCs w:val="24"/>
          <w:lang w:eastAsia="lt-LT"/>
        </w:rPr>
        <w:tab/>
      </w:r>
    </w:p>
    <w:p w14:paraId="5F51498C" w14:textId="77777777" w:rsidR="008F5D4C" w:rsidRPr="00ED3068" w:rsidRDefault="008F5D4C" w:rsidP="008F5D4C">
      <w:pPr>
        <w:ind w:firstLine="709"/>
        <w:jc w:val="center"/>
        <w:rPr>
          <w:b/>
          <w:caps/>
          <w:szCs w:val="24"/>
        </w:rPr>
      </w:pPr>
      <w:r w:rsidRPr="00ED3068">
        <w:rPr>
          <w:b/>
          <w:caps/>
          <w:szCs w:val="24"/>
        </w:rPr>
        <w:t>LIETUVOS RESPUBLIKOS ENERGETIKOS MINISTRAS</w:t>
      </w:r>
    </w:p>
    <w:p w14:paraId="4C7F5B45" w14:textId="77777777" w:rsidR="008F5D4C" w:rsidRPr="00ED3068" w:rsidRDefault="008F5D4C" w:rsidP="008F5D4C">
      <w:pPr>
        <w:keepLines/>
        <w:suppressAutoHyphens/>
        <w:ind w:firstLine="709"/>
        <w:jc w:val="center"/>
        <w:textAlignment w:val="center"/>
        <w:rPr>
          <w:b/>
          <w:szCs w:val="24"/>
        </w:rPr>
      </w:pPr>
    </w:p>
    <w:p w14:paraId="4CDD56FC" w14:textId="77777777" w:rsidR="008F5D4C" w:rsidRPr="00ED3068" w:rsidRDefault="008F5D4C" w:rsidP="008F5D4C">
      <w:pPr>
        <w:keepLines/>
        <w:suppressAutoHyphens/>
        <w:ind w:firstLine="709"/>
        <w:jc w:val="center"/>
        <w:textAlignment w:val="center"/>
        <w:rPr>
          <w:b/>
          <w:caps/>
          <w:szCs w:val="24"/>
        </w:rPr>
      </w:pPr>
      <w:r w:rsidRPr="00ED3068">
        <w:rPr>
          <w:b/>
          <w:caps/>
          <w:szCs w:val="24"/>
        </w:rPr>
        <w:t>įsakymas</w:t>
      </w:r>
    </w:p>
    <w:p w14:paraId="625ED11E" w14:textId="77777777" w:rsidR="008F5D4C" w:rsidRPr="00ED3068" w:rsidRDefault="008F5D4C" w:rsidP="008F5D4C">
      <w:pPr>
        <w:keepLines/>
        <w:suppressAutoHyphens/>
        <w:ind w:firstLine="709"/>
        <w:jc w:val="center"/>
        <w:textAlignment w:val="center"/>
        <w:rPr>
          <w:b/>
          <w:bCs/>
          <w:caps/>
          <w:szCs w:val="24"/>
        </w:rPr>
      </w:pPr>
      <w:r w:rsidRPr="00ED3068">
        <w:rPr>
          <w:b/>
          <w:bCs/>
          <w:caps/>
          <w:szCs w:val="24"/>
        </w:rPr>
        <w:t xml:space="preserve">DĖL </w:t>
      </w:r>
      <w:r w:rsidRPr="00ED3068">
        <w:rPr>
          <w:b/>
          <w:bCs/>
          <w:caps/>
          <w:color w:val="000000"/>
          <w:szCs w:val="24"/>
        </w:rPr>
        <w:t xml:space="preserve">LIETUVOS RESPUBLIKOS ENERGETIKOS MINISTRO </w:t>
      </w:r>
      <w:r w:rsidRPr="00475536">
        <w:rPr>
          <w:b/>
          <w:szCs w:val="24"/>
          <w:lang w:eastAsia="lt-LT"/>
        </w:rPr>
        <w:t>2017 M. RUGSĖJO</w:t>
      </w:r>
      <w:r>
        <w:rPr>
          <w:b/>
          <w:szCs w:val="24"/>
          <w:lang w:eastAsia="lt-LT"/>
        </w:rPr>
        <w:t> </w:t>
      </w:r>
      <w:r w:rsidRPr="00475536">
        <w:rPr>
          <w:b/>
          <w:szCs w:val="24"/>
          <w:lang w:eastAsia="lt-LT"/>
        </w:rPr>
        <w:t>13 D. ĮSAKYMO NR. 1-241 „</w:t>
      </w:r>
      <w:r w:rsidRPr="00475536">
        <w:rPr>
          <w:b/>
          <w:bCs/>
          <w:szCs w:val="24"/>
        </w:rPr>
        <w:t>DĖL 2014–2020 METŲ EUROPOS SĄJUNGOS FONDŲ INVESTICIJŲ VEIKSMŲ PROGRAMOS 4 PRIORITETO</w:t>
      </w:r>
      <w:r w:rsidRPr="00475536">
        <w:rPr>
          <w:b/>
          <w:szCs w:val="24"/>
        </w:rPr>
        <w:t xml:space="preserve"> „</w:t>
      </w:r>
      <w:r w:rsidRPr="00475536">
        <w:rPr>
          <w:b/>
          <w:bCs/>
          <w:szCs w:val="24"/>
        </w:rPr>
        <w:t>ENERGIJOS EFEKTYVUMO IR ATSINAUJINANČIŲ IŠTEKLIŲ ENERGIJOS GAMYBOS IR NAUDOJIMO SKATINIMAS</w:t>
      </w:r>
      <w:r w:rsidRPr="00475536">
        <w:rPr>
          <w:b/>
          <w:szCs w:val="24"/>
        </w:rPr>
        <w:t>“</w:t>
      </w:r>
      <w:r w:rsidRPr="00475536">
        <w:rPr>
          <w:b/>
          <w:bCs/>
          <w:szCs w:val="24"/>
        </w:rPr>
        <w:t xml:space="preserve"> 04.3.2-LVPA-K-102</w:t>
      </w:r>
      <w:r w:rsidRPr="00475536">
        <w:rPr>
          <w:b/>
          <w:szCs w:val="24"/>
        </w:rPr>
        <w:t xml:space="preserve"> </w:t>
      </w:r>
      <w:r w:rsidRPr="00475536">
        <w:rPr>
          <w:b/>
          <w:bCs/>
          <w:szCs w:val="24"/>
        </w:rPr>
        <w:t xml:space="preserve">PRIEMONĖS </w:t>
      </w:r>
      <w:r w:rsidRPr="00475536">
        <w:rPr>
          <w:b/>
          <w:szCs w:val="24"/>
        </w:rPr>
        <w:t>„</w:t>
      </w:r>
      <w:r w:rsidRPr="00475536">
        <w:rPr>
          <w:b/>
          <w:bCs/>
          <w:szCs w:val="24"/>
        </w:rPr>
        <w:t>ŠILUMOS TIEKIMO TINKLŲ MODERNIZAVIMAS IR PLĖTRA“</w:t>
      </w:r>
      <w:r w:rsidRPr="00475536">
        <w:rPr>
          <w:b/>
          <w:szCs w:val="24"/>
        </w:rPr>
        <w:t xml:space="preserve"> </w:t>
      </w:r>
      <w:r w:rsidRPr="00475536">
        <w:rPr>
          <w:b/>
          <w:bCs/>
          <w:szCs w:val="24"/>
        </w:rPr>
        <w:t>PROJEKTŲ FINANSAVIMO SĄLYGŲ APRAŠO NR. 2 PATVIRTINIMO</w:t>
      </w:r>
      <w:r w:rsidRPr="00475536">
        <w:rPr>
          <w:b/>
          <w:szCs w:val="24"/>
          <w:lang w:eastAsia="lt-LT"/>
        </w:rPr>
        <w:t>“</w:t>
      </w:r>
      <w:r>
        <w:rPr>
          <w:b/>
          <w:szCs w:val="24"/>
          <w:lang w:eastAsia="lt-LT"/>
        </w:rPr>
        <w:t xml:space="preserve"> </w:t>
      </w:r>
      <w:r w:rsidRPr="00ED3068">
        <w:rPr>
          <w:b/>
          <w:bCs/>
          <w:caps/>
          <w:color w:val="000000"/>
          <w:szCs w:val="24"/>
        </w:rPr>
        <w:t>PAKEITIMO</w:t>
      </w:r>
    </w:p>
    <w:p w14:paraId="6A89685A" w14:textId="77777777" w:rsidR="008F5D4C" w:rsidRPr="00ED3068" w:rsidRDefault="008F5D4C" w:rsidP="008F5D4C">
      <w:pPr>
        <w:suppressAutoHyphens/>
        <w:ind w:firstLine="709"/>
        <w:jc w:val="center"/>
        <w:textAlignment w:val="center"/>
        <w:rPr>
          <w:szCs w:val="24"/>
        </w:rPr>
      </w:pPr>
    </w:p>
    <w:p w14:paraId="34753996" w14:textId="6E178C73" w:rsidR="008F5D4C" w:rsidRPr="00ED3068" w:rsidRDefault="00885439" w:rsidP="008F5D4C">
      <w:pPr>
        <w:keepLines/>
        <w:suppressAutoHyphens/>
        <w:ind w:firstLine="709"/>
        <w:jc w:val="center"/>
        <w:textAlignment w:val="center"/>
        <w:rPr>
          <w:szCs w:val="24"/>
        </w:rPr>
      </w:pPr>
      <w:r>
        <w:rPr>
          <w:szCs w:val="24"/>
        </w:rPr>
        <w:t xml:space="preserve">2018 </w:t>
      </w:r>
      <w:r w:rsidR="00013698">
        <w:rPr>
          <w:szCs w:val="24"/>
        </w:rPr>
        <w:t>m. spalio 2</w:t>
      </w:r>
      <w:r w:rsidR="008F5D4C" w:rsidRPr="00ED3068">
        <w:rPr>
          <w:szCs w:val="24"/>
        </w:rPr>
        <w:t xml:space="preserve"> d. Nr.</w:t>
      </w:r>
      <w:r w:rsidR="00013698">
        <w:rPr>
          <w:szCs w:val="24"/>
        </w:rPr>
        <w:t xml:space="preserve"> 1-264</w:t>
      </w:r>
      <w:bookmarkStart w:id="0" w:name="_GoBack"/>
      <w:bookmarkEnd w:id="0"/>
    </w:p>
    <w:p w14:paraId="102EF0C2" w14:textId="77777777" w:rsidR="008F5D4C" w:rsidRPr="00ED3068" w:rsidRDefault="008F5D4C" w:rsidP="008F5D4C">
      <w:pPr>
        <w:keepLines/>
        <w:suppressAutoHyphens/>
        <w:ind w:firstLine="709"/>
        <w:jc w:val="center"/>
        <w:textAlignment w:val="center"/>
        <w:rPr>
          <w:szCs w:val="24"/>
        </w:rPr>
      </w:pPr>
      <w:r w:rsidRPr="00ED3068">
        <w:rPr>
          <w:szCs w:val="24"/>
        </w:rPr>
        <w:t>Vilnius</w:t>
      </w:r>
    </w:p>
    <w:p w14:paraId="73D6FDF7" w14:textId="77777777" w:rsidR="008F5D4C" w:rsidRPr="00ED3068" w:rsidRDefault="008F5D4C" w:rsidP="008F5D4C">
      <w:pPr>
        <w:suppressAutoHyphens/>
        <w:ind w:firstLine="709"/>
        <w:jc w:val="both"/>
        <w:textAlignment w:val="center"/>
        <w:rPr>
          <w:szCs w:val="24"/>
        </w:rPr>
      </w:pPr>
    </w:p>
    <w:p w14:paraId="19D9F57A" w14:textId="77777777" w:rsidR="008F5D4C" w:rsidRPr="00ED3068" w:rsidRDefault="008F5D4C" w:rsidP="008F5D4C">
      <w:pPr>
        <w:suppressAutoHyphens/>
        <w:ind w:firstLine="709"/>
        <w:jc w:val="both"/>
        <w:textAlignment w:val="center"/>
        <w:rPr>
          <w:szCs w:val="24"/>
        </w:rPr>
      </w:pPr>
    </w:p>
    <w:p w14:paraId="59AB0FD4" w14:textId="153EAF2E" w:rsidR="008F5D4C" w:rsidRPr="00ED3068" w:rsidRDefault="008F5D4C" w:rsidP="008F5D4C">
      <w:pPr>
        <w:ind w:firstLine="709"/>
        <w:jc w:val="both"/>
        <w:rPr>
          <w:szCs w:val="24"/>
          <w:lang w:val="en-US" w:eastAsia="lt-LT"/>
        </w:rPr>
      </w:pPr>
      <w:r w:rsidRPr="00ED3068">
        <w:rPr>
          <w:szCs w:val="24"/>
        </w:rPr>
        <w:t xml:space="preserve">P a k e i č i u  2014–2020 metų Europos Sąjungos fondų investicijų veiksmų programos 4 prioriteto „Energijos efektyvumo ir atsinaujinančių išteklių energijos gamybos ir naudojimo skatinimas“ 04.3.2-LVPA-K-102 priemonės „Šilumos tiekimo tinklų modernizavimas ir plėtra“ projektų finansavimo sąlygų aprašą Nr. 2, patvirtintą </w:t>
      </w:r>
      <w:r w:rsidRPr="00ED3068">
        <w:rPr>
          <w:szCs w:val="24"/>
          <w:lang w:eastAsia="lt-LT"/>
        </w:rPr>
        <w:t>Lietuvos Respublikos energetikos ministro 2017 m. rugsėjo 13 d. įsakymu Nr. 1-241 „</w:t>
      </w:r>
      <w:r w:rsidRPr="00ED3068">
        <w:rPr>
          <w:bCs/>
          <w:szCs w:val="24"/>
        </w:rPr>
        <w:t>Dėl 2014–2020 metų Europos Sąjungos</w:t>
      </w:r>
      <w:r w:rsidRPr="00ED3068">
        <w:rPr>
          <w:bCs/>
          <w:caps/>
          <w:szCs w:val="24"/>
        </w:rPr>
        <w:t xml:space="preserve"> </w:t>
      </w:r>
      <w:r w:rsidRPr="00ED3068">
        <w:rPr>
          <w:bCs/>
          <w:szCs w:val="24"/>
        </w:rPr>
        <w:t>fondų investicijų veiksmų programos 4 prioriteto</w:t>
      </w:r>
      <w:r w:rsidRPr="00ED3068">
        <w:rPr>
          <w:szCs w:val="24"/>
        </w:rPr>
        <w:t xml:space="preserve"> „</w:t>
      </w:r>
      <w:r w:rsidR="002E71F9">
        <w:rPr>
          <w:bCs/>
          <w:szCs w:val="24"/>
        </w:rPr>
        <w:t>E</w:t>
      </w:r>
      <w:r w:rsidRPr="00ED3068">
        <w:rPr>
          <w:bCs/>
          <w:szCs w:val="24"/>
        </w:rPr>
        <w:t>nergijos efektyvumo ir atsinaujinančių išteklių energijos gamybos ir naudojimo skatinimas</w:t>
      </w:r>
      <w:r w:rsidRPr="00ED3068">
        <w:rPr>
          <w:szCs w:val="24"/>
        </w:rPr>
        <w:t>“</w:t>
      </w:r>
      <w:r w:rsidRPr="00ED3068">
        <w:rPr>
          <w:bCs/>
          <w:szCs w:val="24"/>
        </w:rPr>
        <w:t xml:space="preserve"> 04.3.2-LVPA-K-102</w:t>
      </w:r>
      <w:r w:rsidRPr="00ED3068">
        <w:rPr>
          <w:szCs w:val="24"/>
        </w:rPr>
        <w:t xml:space="preserve"> </w:t>
      </w:r>
      <w:r w:rsidRPr="00ED3068">
        <w:rPr>
          <w:bCs/>
          <w:szCs w:val="24"/>
        </w:rPr>
        <w:t>priemonės</w:t>
      </w:r>
      <w:r w:rsidRPr="00ED3068">
        <w:rPr>
          <w:b/>
          <w:bCs/>
          <w:szCs w:val="24"/>
        </w:rPr>
        <w:t xml:space="preserve"> </w:t>
      </w:r>
      <w:r w:rsidRPr="00ED3068">
        <w:rPr>
          <w:szCs w:val="24"/>
        </w:rPr>
        <w:t>„</w:t>
      </w:r>
      <w:r w:rsidRPr="00ED3068">
        <w:rPr>
          <w:bCs/>
          <w:szCs w:val="24"/>
        </w:rPr>
        <w:t>Šilumos tiekimo tinklų modernizavimas ir plėtra“</w:t>
      </w:r>
      <w:r w:rsidRPr="00ED3068">
        <w:rPr>
          <w:szCs w:val="24"/>
        </w:rPr>
        <w:t xml:space="preserve"> </w:t>
      </w:r>
      <w:r w:rsidRPr="00ED3068">
        <w:rPr>
          <w:bCs/>
          <w:szCs w:val="24"/>
        </w:rPr>
        <w:t>projektų finansavimo sąlygų aprašo Nr. 2 patvirtinimo</w:t>
      </w:r>
      <w:r w:rsidRPr="00ED3068">
        <w:rPr>
          <w:szCs w:val="24"/>
          <w:lang w:eastAsia="lt-LT"/>
        </w:rPr>
        <w:t>“:</w:t>
      </w:r>
    </w:p>
    <w:p w14:paraId="6671EFD7" w14:textId="20D330F5" w:rsidR="008F5D4C" w:rsidRPr="00ED3068" w:rsidRDefault="008F5D4C" w:rsidP="00BE2FD2">
      <w:pPr>
        <w:ind w:firstLine="709"/>
        <w:jc w:val="both"/>
        <w:rPr>
          <w:rFonts w:eastAsia="Calibri"/>
          <w:color w:val="000000"/>
          <w:szCs w:val="24"/>
          <w:lang w:eastAsia="lt-LT"/>
        </w:rPr>
      </w:pPr>
      <w:r>
        <w:rPr>
          <w:szCs w:val="24"/>
        </w:rPr>
        <w:t>1</w:t>
      </w:r>
      <w:r w:rsidRPr="00ED3068">
        <w:rPr>
          <w:szCs w:val="24"/>
        </w:rPr>
        <w:t xml:space="preserve">. </w:t>
      </w:r>
      <w:r w:rsidRPr="00ED3068">
        <w:rPr>
          <w:rFonts w:eastAsia="Calibri"/>
          <w:color w:val="000000"/>
          <w:szCs w:val="24"/>
          <w:lang w:eastAsia="lt-LT"/>
        </w:rPr>
        <w:t>Pakeičiu 18 punktą ir jį išdėstau taip:</w:t>
      </w:r>
    </w:p>
    <w:p w14:paraId="3C0AF32E" w14:textId="0D2E5ABB" w:rsidR="008F5D4C" w:rsidRPr="00ED3068" w:rsidRDefault="008F5D4C" w:rsidP="008F5D4C">
      <w:pPr>
        <w:shd w:val="clear" w:color="auto" w:fill="FFFFFF"/>
        <w:ind w:firstLine="709"/>
        <w:jc w:val="both"/>
        <w:rPr>
          <w:rFonts w:eastAsia="Calibri"/>
          <w:color w:val="000000"/>
          <w:szCs w:val="24"/>
          <w:lang w:eastAsia="lt-LT"/>
        </w:rPr>
      </w:pPr>
      <w:r w:rsidRPr="00ED3068">
        <w:rPr>
          <w:rFonts w:eastAsia="Calibri"/>
          <w:color w:val="000000"/>
          <w:szCs w:val="24"/>
          <w:lang w:eastAsia="lt-LT"/>
        </w:rPr>
        <w:t xml:space="preserve">„18. </w:t>
      </w:r>
      <w:r w:rsidRPr="00ED3068">
        <w:rPr>
          <w:szCs w:val="24"/>
        </w:rPr>
        <w:t xml:space="preserve">Projektas turi atitikti šį specialųjį projektų atrankos kriterijų, patvirtintą Veiksmų programos stebėsenos komiteto 2018 m. rugsėjo 20 d. </w:t>
      </w:r>
      <w:r w:rsidR="00F55D8F">
        <w:rPr>
          <w:szCs w:val="24"/>
        </w:rPr>
        <w:t>posėdžio protokoliniu sprendimu</w:t>
      </w:r>
      <w:r w:rsidRPr="00ED3068">
        <w:rPr>
          <w:szCs w:val="24"/>
        </w:rPr>
        <w:t xml:space="preserve"> Nr.</w:t>
      </w:r>
      <w:r w:rsidR="00F55D8F">
        <w:rPr>
          <w:szCs w:val="24"/>
        </w:rPr>
        <w:t> </w:t>
      </w:r>
      <w:r w:rsidRPr="00ED3068">
        <w:rPr>
          <w:szCs w:val="24"/>
        </w:rPr>
        <w:t>44</w:t>
      </w:r>
      <w:r w:rsidR="00F55D8F">
        <w:rPr>
          <w:szCs w:val="24"/>
        </w:rPr>
        <w:t> </w:t>
      </w:r>
      <w:r w:rsidRPr="00ED3068">
        <w:rPr>
          <w:szCs w:val="24"/>
        </w:rPr>
        <w:t>P</w:t>
      </w:r>
      <w:r w:rsidR="00F55D8F">
        <w:rPr>
          <w:szCs w:val="24"/>
        </w:rPr>
        <w:t> – 4 (34</w:t>
      </w:r>
      <w:r w:rsidRPr="00ED3068">
        <w:rPr>
          <w:szCs w:val="24"/>
        </w:rPr>
        <w:t xml:space="preserve">), – projektas atitinka </w:t>
      </w:r>
      <w:r w:rsidRPr="00ED3068">
        <w:rPr>
          <w:bCs/>
          <w:color w:val="000000" w:themeColor="text1"/>
          <w:szCs w:val="24"/>
        </w:rPr>
        <w:t>Nacionalinės energetinės nepriklausomybės strategijos, patvirtintos Lietuvos Respublikos Seimo 2012 m. birželio 26 d. nu</w:t>
      </w:r>
      <w:r w:rsidRPr="00ED3068">
        <w:rPr>
          <w:bCs/>
          <w:color w:val="000000" w:themeColor="text1"/>
          <w:szCs w:val="24"/>
        </w:rPr>
        <w:lastRenderedPageBreak/>
        <w:t>tarimu Nr. XI-2133 „Dėl Nacionalinės energetinės nepriklausomybės strategijos patvirtinimo“ (toliau – Nacionalinės energetinės nepriklausomybės strategija)</w:t>
      </w:r>
      <w:r w:rsidR="002E71F9">
        <w:rPr>
          <w:bCs/>
          <w:color w:val="000000" w:themeColor="text1"/>
          <w:szCs w:val="24"/>
        </w:rPr>
        <w:t>,</w:t>
      </w:r>
      <w:r w:rsidRPr="00ED3068">
        <w:rPr>
          <w:bCs/>
          <w:color w:val="0070C0"/>
          <w:szCs w:val="24"/>
        </w:rPr>
        <w:t xml:space="preserve"> </w:t>
      </w:r>
      <w:r w:rsidRPr="00ED3068">
        <w:rPr>
          <w:bCs/>
          <w:color w:val="000000" w:themeColor="text1"/>
          <w:szCs w:val="24"/>
        </w:rPr>
        <w:t>Nacionalinės šilumos ūkio plėtros 2015–2021 metų programos, patvirtintos Lietuvos Respublikos Vyriausybės 2015 m. kovo 18 d. nutarimu Nr.  284 „Dėl Nacionalinės šilumos ūkio plėtros 2015– 2021 metų programos patvirtinimo“ (toliau – Nacionalinė šilumos ūkio plėtros programa)</w:t>
      </w:r>
      <w:r w:rsidR="002E71F9">
        <w:rPr>
          <w:bCs/>
          <w:color w:val="000000" w:themeColor="text1"/>
          <w:szCs w:val="24"/>
        </w:rPr>
        <w:t>,</w:t>
      </w:r>
      <w:r w:rsidRPr="00ED3068">
        <w:rPr>
          <w:bCs/>
          <w:color w:val="000000" w:themeColor="text1"/>
          <w:szCs w:val="24"/>
        </w:rPr>
        <w:t xml:space="preserve"> ir (ar) Lietuvos Respublikos Vyriausybės programos įgyvendinimo plano, patvirtinto Lietuvos Respublikos Vyriausybės 2017 m. kovo 13 d. nutarimu Nr. 167 „Dėl Lietuvos Respublikos Vyriausybės programos įgyvendinimo plano patvirtinimo“ (toliau – Programos įgyvendinimo planas), nuostatas.</w:t>
      </w:r>
      <w:r w:rsidRPr="00ED3068">
        <w:rPr>
          <w:szCs w:val="24"/>
        </w:rPr>
        <w:t>“</w:t>
      </w:r>
    </w:p>
    <w:p w14:paraId="0B201104" w14:textId="6109F826" w:rsidR="008F5D4C" w:rsidRPr="00ED3068" w:rsidRDefault="00BE2FD2" w:rsidP="008F5D4C">
      <w:pPr>
        <w:shd w:val="clear" w:color="auto" w:fill="FFFFFF"/>
        <w:ind w:firstLine="709"/>
        <w:jc w:val="both"/>
        <w:rPr>
          <w:rFonts w:eastAsia="Calibri"/>
          <w:color w:val="000000"/>
          <w:szCs w:val="24"/>
          <w:lang w:eastAsia="lt-LT"/>
        </w:rPr>
      </w:pPr>
      <w:r>
        <w:rPr>
          <w:rFonts w:eastAsia="Calibri"/>
          <w:color w:val="000000"/>
          <w:szCs w:val="24"/>
          <w:lang w:eastAsia="lt-LT"/>
        </w:rPr>
        <w:t>2</w:t>
      </w:r>
      <w:r w:rsidR="008F5D4C" w:rsidRPr="00ED3068">
        <w:rPr>
          <w:rFonts w:eastAsia="Calibri"/>
          <w:color w:val="000000"/>
          <w:szCs w:val="24"/>
          <w:lang w:eastAsia="lt-LT"/>
        </w:rPr>
        <w:t>. Pakeičiu 19.1 papunktį ir jį išdėstau taip:</w:t>
      </w:r>
    </w:p>
    <w:p w14:paraId="035A4ADB" w14:textId="6F165F39" w:rsidR="008F5D4C" w:rsidRPr="00ED3068" w:rsidRDefault="008F5D4C" w:rsidP="008F5D4C">
      <w:pPr>
        <w:ind w:firstLine="709"/>
        <w:jc w:val="both"/>
        <w:rPr>
          <w:bCs/>
          <w:color w:val="000000" w:themeColor="text1"/>
          <w:szCs w:val="24"/>
        </w:rPr>
      </w:pPr>
      <w:r w:rsidRPr="00ED3068">
        <w:rPr>
          <w:rFonts w:eastAsia="Calibri"/>
          <w:color w:val="000000"/>
          <w:szCs w:val="24"/>
          <w:lang w:eastAsia="lt-LT"/>
        </w:rPr>
        <w:t>„</w:t>
      </w:r>
      <w:bookmarkStart w:id="1" w:name="part_e09cb21c766b4064aba9641843bdedb2"/>
      <w:bookmarkEnd w:id="1"/>
      <w:r w:rsidRPr="00ED3068">
        <w:rPr>
          <w:szCs w:val="24"/>
          <w:lang w:eastAsia="lt-LT"/>
        </w:rPr>
        <w:t xml:space="preserve">19.1.  </w:t>
      </w:r>
      <w:r w:rsidRPr="00ED3068">
        <w:rPr>
          <w:szCs w:val="24"/>
        </w:rPr>
        <w:t>Nacionalinės energetinės nepriklausomybės strategijos</w:t>
      </w:r>
      <w:r w:rsidRPr="00ED3068">
        <w:rPr>
          <w:bCs/>
          <w:color w:val="000000" w:themeColor="text1"/>
          <w:szCs w:val="24"/>
        </w:rPr>
        <w:t xml:space="preserve"> </w:t>
      </w:r>
      <w:r w:rsidRPr="00ED3068">
        <w:rPr>
          <w:color w:val="000000" w:themeColor="text1"/>
          <w:szCs w:val="24"/>
        </w:rPr>
        <w:t>52.2.4.2</w:t>
      </w:r>
      <w:r w:rsidRPr="00ED3068">
        <w:rPr>
          <w:bCs/>
          <w:color w:val="000000" w:themeColor="text1"/>
          <w:szCs w:val="24"/>
        </w:rPr>
        <w:t> papunkčio nuostatų įgyvendinimo</w:t>
      </w:r>
      <w:r w:rsidR="002E71F9">
        <w:rPr>
          <w:bCs/>
          <w:color w:val="000000" w:themeColor="text1"/>
          <w:szCs w:val="24"/>
        </w:rPr>
        <w:t>,</w:t>
      </w:r>
      <w:r w:rsidRPr="00ED3068">
        <w:rPr>
          <w:color w:val="000000" w:themeColor="text1"/>
          <w:szCs w:val="24"/>
        </w:rPr>
        <w:t xml:space="preserve"> </w:t>
      </w:r>
      <w:r w:rsidRPr="00ED3068">
        <w:rPr>
          <w:bCs/>
          <w:color w:val="000000" w:themeColor="text1"/>
          <w:szCs w:val="24"/>
        </w:rPr>
        <w:t>ir (ar);“</w:t>
      </w:r>
    </w:p>
    <w:p w14:paraId="0608A13B" w14:textId="5681BF24" w:rsidR="008F5D4C" w:rsidRPr="00ED3068" w:rsidRDefault="00BE2FD2" w:rsidP="008F5D4C">
      <w:pPr>
        <w:ind w:firstLine="709"/>
        <w:jc w:val="both"/>
        <w:rPr>
          <w:szCs w:val="24"/>
          <w:lang w:eastAsia="lt-LT"/>
        </w:rPr>
      </w:pPr>
      <w:r>
        <w:rPr>
          <w:szCs w:val="24"/>
          <w:lang w:eastAsia="lt-LT"/>
        </w:rPr>
        <w:t>3</w:t>
      </w:r>
      <w:r w:rsidR="008F5D4C" w:rsidRPr="00ED3068">
        <w:rPr>
          <w:szCs w:val="24"/>
          <w:lang w:eastAsia="lt-LT"/>
        </w:rPr>
        <w:t xml:space="preserve">. Pakeičiu 1 priedo </w:t>
      </w:r>
      <w:r w:rsidR="002E71F9">
        <w:rPr>
          <w:szCs w:val="24"/>
          <w:lang w:eastAsia="lt-LT"/>
        </w:rPr>
        <w:t xml:space="preserve">lentelės </w:t>
      </w:r>
      <w:r w:rsidR="008F5D4C" w:rsidRPr="00ED3068">
        <w:rPr>
          <w:szCs w:val="24"/>
          <w:lang w:eastAsia="lt-LT"/>
        </w:rPr>
        <w:t>2.2 papunktį ir</w:t>
      </w:r>
      <w:r w:rsidR="002E71F9">
        <w:rPr>
          <w:szCs w:val="24"/>
          <w:lang w:eastAsia="lt-LT"/>
        </w:rPr>
        <w:t xml:space="preserve"> jį</w:t>
      </w:r>
      <w:r w:rsidR="008F5D4C" w:rsidRPr="00ED3068">
        <w:rPr>
          <w:szCs w:val="24"/>
          <w:lang w:eastAsia="lt-LT"/>
        </w:rPr>
        <w:t xml:space="preserve"> išdėstau taip:</w:t>
      </w:r>
    </w:p>
    <w:p w14:paraId="141DFAA6" w14:textId="595BB798" w:rsidR="008F5D4C" w:rsidRDefault="008F5D4C" w:rsidP="008578A1">
      <w:pPr>
        <w:jc w:val="both"/>
        <w:rPr>
          <w:color w:val="000000"/>
          <w:szCs w:val="24"/>
          <w:lang w:eastAsia="lt-LT"/>
        </w:rPr>
      </w:pPr>
      <w:r w:rsidRPr="00ED3068">
        <w:rPr>
          <w:szCs w:val="24"/>
          <w:lang w:eastAsia="lt-LT"/>
        </w:rPr>
        <w:t>„</w:t>
      </w:r>
    </w:p>
    <w:tbl>
      <w:tblPr>
        <w:tblW w:w="9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42"/>
        <w:gridCol w:w="1832"/>
        <w:gridCol w:w="1701"/>
        <w:gridCol w:w="1562"/>
      </w:tblGrid>
      <w:tr w:rsidR="002E71F9" w:rsidRPr="0092209A" w14:paraId="3B55BAF5" w14:textId="77777777" w:rsidTr="00840ED0">
        <w:trPr>
          <w:trHeight w:val="20"/>
        </w:trPr>
        <w:tc>
          <w:tcPr>
            <w:tcW w:w="454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67912C" w14:textId="4A8EB326" w:rsidR="002E71F9" w:rsidRPr="00840ED0" w:rsidRDefault="002E71F9" w:rsidP="003A60B6">
            <w:pPr>
              <w:jc w:val="both"/>
              <w:rPr>
                <w:color w:val="000000"/>
                <w:szCs w:val="24"/>
                <w:lang w:eastAsia="lt-LT"/>
              </w:rPr>
            </w:pPr>
            <w:r w:rsidRPr="00840ED0">
              <w:rPr>
                <w:color w:val="000000"/>
                <w:szCs w:val="24"/>
                <w:lang w:eastAsia="lt-LT"/>
              </w:rPr>
              <w:t xml:space="preserve">2.2. </w:t>
            </w:r>
            <w:r w:rsidRPr="00BB3FD8">
              <w:rPr>
                <w:szCs w:val="24"/>
                <w:lang w:eastAsia="lt-LT"/>
              </w:rPr>
              <w:t>Projektu prisidedama prie bent vieno Europos Sąjungos Baltijos jūros regiono strategijos</w:t>
            </w:r>
            <w:r w:rsidRPr="008578A1">
              <w:rPr>
                <w:szCs w:val="24"/>
                <w:lang w:eastAsia="lt-LT"/>
              </w:rPr>
              <w:t xml:space="preserve">, </w:t>
            </w:r>
            <w:r w:rsidRPr="008578A1">
              <w:rPr>
                <w:szCs w:val="24"/>
              </w:rPr>
              <w:t>atnaujintos 2012 m. kovo 23 d. Europos Komisijos komunikatu Nr. COM(2012) 128</w:t>
            </w:r>
            <w:r w:rsidRPr="00BB3FD8">
              <w:rPr>
                <w:szCs w:val="24"/>
              </w:rPr>
              <w:t xml:space="preserve">, </w:t>
            </w:r>
            <w:r w:rsidRPr="00BB3FD8">
              <w:rPr>
                <w:szCs w:val="24"/>
                <w:lang w:eastAsia="lt-LT"/>
              </w:rPr>
              <w:t xml:space="preserve">tikslo įgyvendinimo pagal bent vieną </w:t>
            </w:r>
            <w:r w:rsidRPr="008578A1">
              <w:rPr>
                <w:szCs w:val="24"/>
              </w:rPr>
              <w:t>Europos Sąjungos Baltijos jūros regiono strategijos veiksmų plane, patvirtintame 2017 m. kovo 20 d.  Europos Komisijos sprendimu Nr.  SWD(2017)118,</w:t>
            </w:r>
            <w:r w:rsidRPr="00BB3FD8">
              <w:rPr>
                <w:szCs w:val="24"/>
              </w:rPr>
              <w:t xml:space="preserve"> </w:t>
            </w:r>
            <w:r w:rsidRPr="00BB3FD8">
              <w:rPr>
                <w:szCs w:val="24"/>
                <w:lang w:eastAsia="lt-LT"/>
              </w:rPr>
              <w:t xml:space="preserve">numatytą </w:t>
            </w:r>
            <w:r w:rsidRPr="008578A1">
              <w:rPr>
                <w:szCs w:val="24"/>
              </w:rPr>
              <w:t>politinę</w:t>
            </w:r>
            <w:r w:rsidRPr="00BB3FD8">
              <w:rPr>
                <w:szCs w:val="24"/>
                <w:lang w:eastAsia="lt-LT"/>
              </w:rPr>
              <w:t xml:space="preserve"> sritį</w:t>
            </w:r>
            <w:r>
              <w:rPr>
                <w:szCs w:val="24"/>
                <w:lang w:eastAsia="lt-LT"/>
              </w:rPr>
              <w:t>,</w:t>
            </w:r>
            <w:r w:rsidRPr="00BB3FD8">
              <w:rPr>
                <w:szCs w:val="24"/>
                <w:lang w:eastAsia="lt-LT"/>
              </w:rPr>
              <w:t xml:space="preserve"> horizontalųjį veiksmą </w:t>
            </w:r>
            <w:r w:rsidRPr="008578A1">
              <w:rPr>
                <w:szCs w:val="24"/>
              </w:rPr>
              <w:t xml:space="preserve">ar įgyvendinimo pavyzdį. Dokumentai skelbiami Europos Komisijos svetainėje </w:t>
            </w:r>
            <w:hyperlink r:id="rId5" w:anchor="1" w:history="1">
              <w:r w:rsidRPr="008578A1">
                <w:rPr>
                  <w:rStyle w:val="Hipersaitas"/>
                  <w:color w:val="auto"/>
                  <w:szCs w:val="24"/>
                  <w:u w:val="none"/>
                </w:rPr>
                <w:t>http://ec.europa.eu/regional_policy/lt/policy/cooperation/macro-regional-strategies/baltic-sea/library/#1</w:t>
              </w:r>
            </w:hyperlink>
            <w:r w:rsidRPr="00840ED0">
              <w:rPr>
                <w:rStyle w:val="Hipersaitas"/>
                <w:color w:val="auto"/>
                <w:szCs w:val="24"/>
                <w:u w:val="none"/>
              </w:rPr>
              <w:t>.</w:t>
            </w:r>
            <w:r w:rsidRPr="00840ED0">
              <w:rPr>
                <w:color w:val="000000"/>
                <w:szCs w:val="24"/>
                <w:lang w:eastAsia="lt-LT"/>
              </w:rPr>
              <w:t> </w:t>
            </w:r>
          </w:p>
        </w:tc>
        <w:tc>
          <w:tcPr>
            <w:tcW w:w="183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38F743" w14:textId="77777777" w:rsidR="002E71F9" w:rsidRPr="00840ED0" w:rsidRDefault="002E71F9" w:rsidP="00840ED0">
            <w:pPr>
              <w:rPr>
                <w:color w:val="000000"/>
                <w:szCs w:val="24"/>
                <w:lang w:eastAsia="lt-LT"/>
              </w:rPr>
            </w:pPr>
            <w:r w:rsidRPr="00840ED0">
              <w:rPr>
                <w:i/>
                <w:iCs/>
                <w:color w:val="000000"/>
                <w:szCs w:val="24"/>
                <w:lang w:eastAsia="lt-LT"/>
              </w:rPr>
              <w:t>Netaikoma.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729A9C" w14:textId="77777777" w:rsidR="002E71F9" w:rsidRPr="00840ED0" w:rsidRDefault="002E71F9" w:rsidP="00840ED0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840ED0">
              <w:rPr>
                <w:color w:val="000000"/>
                <w:szCs w:val="24"/>
                <w:lang w:eastAsia="lt-LT"/>
              </w:rPr>
              <w:t> </w:t>
            </w:r>
          </w:p>
        </w:tc>
        <w:tc>
          <w:tcPr>
            <w:tcW w:w="15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A23847" w14:textId="77777777" w:rsidR="002E71F9" w:rsidRPr="00840ED0" w:rsidRDefault="002E71F9" w:rsidP="00840ED0">
            <w:pPr>
              <w:rPr>
                <w:color w:val="000000"/>
                <w:szCs w:val="24"/>
                <w:lang w:eastAsia="lt-LT"/>
              </w:rPr>
            </w:pPr>
            <w:r w:rsidRPr="00840ED0">
              <w:rPr>
                <w:color w:val="000000"/>
                <w:szCs w:val="24"/>
                <w:lang w:eastAsia="lt-LT"/>
              </w:rPr>
              <w:t> </w:t>
            </w:r>
          </w:p>
        </w:tc>
      </w:tr>
    </w:tbl>
    <w:p w14:paraId="62F22790" w14:textId="77777777" w:rsidR="002E71F9" w:rsidRDefault="002E71F9" w:rsidP="008F5D4C">
      <w:pPr>
        <w:ind w:firstLine="709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ab/>
      </w:r>
      <w:r>
        <w:rPr>
          <w:color w:val="000000"/>
          <w:szCs w:val="24"/>
          <w:lang w:eastAsia="lt-LT"/>
        </w:rPr>
        <w:tab/>
      </w:r>
      <w:r>
        <w:rPr>
          <w:color w:val="000000"/>
          <w:szCs w:val="24"/>
          <w:lang w:eastAsia="lt-LT"/>
        </w:rPr>
        <w:tab/>
      </w:r>
      <w:r>
        <w:rPr>
          <w:color w:val="000000"/>
          <w:szCs w:val="24"/>
          <w:lang w:eastAsia="lt-LT"/>
        </w:rPr>
        <w:tab/>
      </w:r>
      <w:r>
        <w:rPr>
          <w:color w:val="000000"/>
          <w:szCs w:val="24"/>
          <w:lang w:eastAsia="lt-LT"/>
        </w:rPr>
        <w:tab/>
      </w:r>
      <w:r>
        <w:rPr>
          <w:color w:val="000000"/>
          <w:szCs w:val="24"/>
          <w:lang w:eastAsia="lt-LT"/>
        </w:rPr>
        <w:tab/>
      </w:r>
      <w:r>
        <w:rPr>
          <w:color w:val="000000"/>
          <w:szCs w:val="24"/>
          <w:lang w:eastAsia="lt-LT"/>
        </w:rPr>
        <w:tab/>
        <w:t>“</w:t>
      </w:r>
    </w:p>
    <w:p w14:paraId="54A42694" w14:textId="77777777" w:rsidR="008F5D4C" w:rsidRPr="00ED3068" w:rsidRDefault="008F5D4C" w:rsidP="008F5D4C">
      <w:pPr>
        <w:ind w:firstLine="709"/>
        <w:jc w:val="both"/>
        <w:rPr>
          <w:szCs w:val="24"/>
        </w:rPr>
      </w:pPr>
    </w:p>
    <w:p w14:paraId="3868E351" w14:textId="2C8E49A3" w:rsidR="008F5D4C" w:rsidRPr="00ED3068" w:rsidRDefault="008F5D4C" w:rsidP="008578A1">
      <w:pPr>
        <w:tabs>
          <w:tab w:val="left" w:pos="7371"/>
        </w:tabs>
        <w:jc w:val="both"/>
        <w:rPr>
          <w:szCs w:val="24"/>
        </w:rPr>
      </w:pPr>
      <w:r w:rsidRPr="00ED3068">
        <w:rPr>
          <w:rFonts w:eastAsia="Calibri"/>
          <w:szCs w:val="24"/>
          <w:lang w:eastAsia="lt-LT"/>
        </w:rPr>
        <w:t>Energetikos ministras</w:t>
      </w:r>
      <w:r w:rsidRPr="00ED3068">
        <w:rPr>
          <w:rFonts w:eastAsia="Calibri"/>
          <w:szCs w:val="24"/>
          <w:lang w:eastAsia="lt-LT"/>
        </w:rPr>
        <w:tab/>
      </w:r>
      <w:r w:rsidR="004A6743" w:rsidRPr="004A6743">
        <w:rPr>
          <w:rFonts w:eastAsia="Calibri"/>
          <w:szCs w:val="24"/>
          <w:lang w:eastAsia="lt-LT"/>
        </w:rPr>
        <w:t>Žygimantas Vaičiūnas</w:t>
      </w:r>
      <w:r w:rsidRPr="00ED3068">
        <w:rPr>
          <w:rFonts w:eastAsia="Calibri"/>
          <w:szCs w:val="24"/>
          <w:lang w:eastAsia="lt-LT"/>
        </w:rPr>
        <w:tab/>
      </w:r>
      <w:r w:rsidRPr="00ED3068">
        <w:rPr>
          <w:rFonts w:eastAsia="Calibri"/>
          <w:szCs w:val="24"/>
          <w:lang w:eastAsia="lt-LT"/>
        </w:rPr>
        <w:tab/>
      </w:r>
    </w:p>
    <w:p w14:paraId="2AE57551" w14:textId="77777777" w:rsidR="00380A7D" w:rsidRDefault="00380A7D"/>
    <w:sectPr w:rsidR="00380A7D">
      <w:pgSz w:w="11907" w:h="16840" w:code="9"/>
      <w:pgMar w:top="1134" w:right="567" w:bottom="1134" w:left="1701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D4C"/>
    <w:rsid w:val="00013698"/>
    <w:rsid w:val="00020EC2"/>
    <w:rsid w:val="002E71F9"/>
    <w:rsid w:val="00380A7D"/>
    <w:rsid w:val="003878B3"/>
    <w:rsid w:val="003A60B6"/>
    <w:rsid w:val="003C2DDF"/>
    <w:rsid w:val="00406A2D"/>
    <w:rsid w:val="004A6743"/>
    <w:rsid w:val="0062235C"/>
    <w:rsid w:val="008578A1"/>
    <w:rsid w:val="00885439"/>
    <w:rsid w:val="008F5D4C"/>
    <w:rsid w:val="00914299"/>
    <w:rsid w:val="009219A2"/>
    <w:rsid w:val="00A76933"/>
    <w:rsid w:val="00BE2FD2"/>
    <w:rsid w:val="00C16859"/>
    <w:rsid w:val="00CC7F84"/>
    <w:rsid w:val="00F55D8F"/>
    <w:rsid w:val="00FA4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474C4"/>
  <w15:chartTrackingRefBased/>
  <w15:docId w15:val="{6A4995A2-E105-45CA-960D-2462F76C0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F5D4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8F5D4C"/>
    <w:rPr>
      <w:color w:val="0563C1" w:themeColor="hyperlink"/>
      <w:u w:val="single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8F5D4C"/>
    <w:rPr>
      <w:rFonts w:ascii="Calibri" w:eastAsiaTheme="minorHAnsi" w:hAnsi="Calibri" w:cs="Consolas"/>
      <w:sz w:val="22"/>
      <w:szCs w:val="21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8F5D4C"/>
    <w:rPr>
      <w:rFonts w:ascii="Calibri" w:hAnsi="Calibri" w:cs="Consolas"/>
      <w:szCs w:val="21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2E71F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2E71F9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2E71F9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2E71F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2E71F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E71F9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E71F9"/>
    <w:rPr>
      <w:rFonts w:ascii="Segoe UI" w:eastAsia="Times New Roman" w:hAnsi="Segoe UI" w:cs="Segoe UI"/>
      <w:sz w:val="18"/>
      <w:szCs w:val="18"/>
    </w:rPr>
  </w:style>
  <w:style w:type="paragraph" w:styleId="Pataisymai">
    <w:name w:val="Revision"/>
    <w:hidden/>
    <w:uiPriority w:val="99"/>
    <w:semiHidden/>
    <w:rsid w:val="008578A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ec.europa.eu/regional_policy/lt/policy/cooperation/macro-regional-strategies/baltic-sea/library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2129</Words>
  <Characters>1214</Characters>
  <Application>Microsoft Office Word</Application>
  <DocSecurity>4</DocSecurity>
  <Lines>10</Lines>
  <Paragraphs>6</Paragraphs>
  <ScaleCrop>false</ScaleCrop>
  <Company/>
  <LinksUpToDate>false</LinksUpToDate>
  <CharactersWithSpaces>3337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Ineta Blakunovaite</dc:creator>
  <cp:keywords/>
  <dc:description/>
  <cp:lastModifiedBy>Ineta Blakunovaite</cp:lastModifiedBy>
  <cp:revision>2</cp:revision>
  <dcterms:created xsi:type="dcterms:W3CDTF">2018-10-02T06:38:00Z</dcterms:created>
  <dcterms:modified xsi:type="dcterms:W3CDTF">2018-10-02T06:38:00Z</dcterms:modified>
</cp:coreProperties>
</file>