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4ED" w:rsidRDefault="00DA52AD">
      <w:pPr>
        <w:ind w:left="4820"/>
      </w:pPr>
      <w:r>
        <w:t>PATVIRTINTA</w:t>
      </w:r>
    </w:p>
    <w:p w:rsidR="001F04ED" w:rsidRDefault="00DA52AD">
      <w:pPr>
        <w:ind w:left="4820"/>
      </w:pPr>
      <w:r>
        <w:t>Lietuvos Respublikos švietimo ir mokslo ministro</w:t>
      </w:r>
    </w:p>
    <w:p w:rsidR="001F04ED" w:rsidRDefault="0047775C">
      <w:pPr>
        <w:ind w:left="4820"/>
      </w:pPr>
      <w:r>
        <w:t>2018</w:t>
      </w:r>
      <w:r w:rsidR="00DA52AD">
        <w:t xml:space="preserve"> m. </w:t>
      </w:r>
      <w:r>
        <w:rPr>
          <w:szCs w:val="24"/>
        </w:rPr>
        <w:t xml:space="preserve">            </w:t>
      </w:r>
      <w:r w:rsidR="00DA52AD">
        <w:rPr>
          <w:szCs w:val="24"/>
        </w:rPr>
        <w:t xml:space="preserve"> </w:t>
      </w:r>
      <w:r>
        <w:rPr>
          <w:szCs w:val="24"/>
        </w:rPr>
        <w:t xml:space="preserve">      </w:t>
      </w:r>
      <w:r w:rsidR="00DA52AD">
        <w:t>d. įsakymu Nr. V-</w:t>
      </w:r>
    </w:p>
    <w:p w:rsidR="001F04ED" w:rsidRDefault="001F04ED">
      <w:pPr>
        <w:ind w:left="4820"/>
      </w:pPr>
    </w:p>
    <w:p w:rsidR="001F04ED" w:rsidRDefault="001F04ED">
      <w:pPr>
        <w:jc w:val="center"/>
        <w:rPr>
          <w:b/>
        </w:rPr>
      </w:pPr>
    </w:p>
    <w:p w:rsidR="001F04ED" w:rsidRDefault="00DA52AD">
      <w:pPr>
        <w:jc w:val="center"/>
        <w:rPr>
          <w:b/>
          <w:szCs w:val="24"/>
        </w:rPr>
      </w:pPr>
      <w:r>
        <w:rPr>
          <w:b/>
          <w:kern w:val="16"/>
        </w:rPr>
        <w:t>2014–2020 METŲ EUROPOS SĄJUNGOS FONDŲ INVESTICIJŲ VEIKSMŲ PROGRAMOS</w:t>
      </w:r>
      <w:r>
        <w:rPr>
          <w:b/>
        </w:rPr>
        <w:t xml:space="preserve"> 1 PRIORITETO „MOKSLINIŲ TYRIMŲ, EKSPERIMENTINĖS PLĖTROS IR INOVACIJŲ SKATINIMAS“ 01.2.2-CPVA-K-703 PRIEMONĖS „KOMPETENCIJOS CENTRŲ IR INOVACIJŲ IR TECHNOLOGIJŲ PERDAVIMO CENTRŲ VEIKLOS SKATINIMAS“ PROJEKTŲ </w:t>
      </w:r>
      <w:r w:rsidR="0047775C">
        <w:rPr>
          <w:b/>
        </w:rPr>
        <w:t>FINANSAVIMO SĄLYGŲ APRAŠAS NR. 3</w:t>
      </w:r>
    </w:p>
    <w:p w:rsidR="001F04ED" w:rsidRDefault="001F04ED">
      <w:pPr>
        <w:jc w:val="both"/>
        <w:rPr>
          <w:i/>
          <w:szCs w:val="24"/>
        </w:rPr>
      </w:pPr>
    </w:p>
    <w:p w:rsidR="001F04ED" w:rsidRDefault="00DA52AD">
      <w:pPr>
        <w:jc w:val="center"/>
        <w:rPr>
          <w:b/>
          <w:szCs w:val="24"/>
        </w:rPr>
      </w:pPr>
      <w:r>
        <w:rPr>
          <w:b/>
          <w:szCs w:val="24"/>
        </w:rPr>
        <w:t>I SKYRIUS</w:t>
      </w:r>
    </w:p>
    <w:p w:rsidR="001F04ED" w:rsidRDefault="00DA52AD">
      <w:pPr>
        <w:jc w:val="center"/>
        <w:rPr>
          <w:b/>
          <w:szCs w:val="24"/>
        </w:rPr>
      </w:pPr>
      <w:r>
        <w:rPr>
          <w:b/>
          <w:szCs w:val="24"/>
        </w:rPr>
        <w:t>BENDROSIOS NUOSTATOS</w:t>
      </w:r>
    </w:p>
    <w:p w:rsidR="001F04ED" w:rsidRDefault="001F04ED"/>
    <w:p w:rsidR="001F04ED" w:rsidRDefault="00DA52AD">
      <w:pPr>
        <w:ind w:firstLine="709"/>
        <w:jc w:val="both"/>
        <w:rPr>
          <w:b/>
        </w:rPr>
      </w:pPr>
      <w:r>
        <w:t>1. 2014–2020 metų Europos Sąjungos fondų investicijų veiksmų programos 1 prioriteto „Mokslinių tyrimų, eksperimentinės plėtros ir inovacijų</w:t>
      </w:r>
      <w:r w:rsidR="0047775C">
        <w:t xml:space="preserve"> skatinimas“ 01.2.2-CPVA-K-703 </w:t>
      </w:r>
      <w:r>
        <w:t xml:space="preserve">priemonės „Kompetencijos centrų ir inovacijų ir technologijų perdavimo centrų veiklos skatinimas“ projektų </w:t>
      </w:r>
      <w:r w:rsidR="0047775C">
        <w:t>finansavimo sąlygų aprašas Nr. 3</w:t>
      </w:r>
      <w: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1 prioriteto „Mokslinių tyrimų, eksperimentinės plėtros ir inovacijų skatinimas“ 01.2.2-CPVA-K-703  priemonės „Kompetencijos centrų ir inovacijų ir technologijų perdavimo centrų veiklos skatinimas“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rsidR="001F04ED" w:rsidRDefault="00DA52AD">
      <w:pPr>
        <w:ind w:firstLine="709"/>
        <w:jc w:val="both"/>
      </w:pPr>
      <w:r>
        <w:t>2. Aprašas yra parengtas atsižvelgiant į:</w:t>
      </w:r>
    </w:p>
    <w:p w:rsidR="001F04ED" w:rsidRDefault="00DA52AD">
      <w:pPr>
        <w:ind w:firstLine="709"/>
        <w:jc w:val="both"/>
      </w:pPr>
      <w:r>
        <w:t>2.1. 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rsidR="001F04ED" w:rsidRDefault="00DA52AD">
      <w:pPr>
        <w:ind w:firstLine="709"/>
        <w:jc w:val="both"/>
      </w:pPr>
      <w:r>
        <w:t>2.2. Projektų administravimo ir finansavimo taisykles, patvirtintas Lietuvos Respublikos finansų ministro 2014 m. spalio 8 d. įsakymu Nr. 1K-316 „Dėl Projektų administravimo ir finansavimo taisyklių patvirtinimo“ (toliau – Projektų taisyklės);</w:t>
      </w:r>
    </w:p>
    <w:p w:rsidR="001F04ED" w:rsidRDefault="00DA52AD">
      <w:pPr>
        <w:ind w:firstLine="709"/>
        <w:jc w:val="both"/>
      </w:pPr>
      <w:r>
        <w:t>2.3. 2014 m. birželio 17 d. Komisijos reglamentą (ES) Nr. 651/2014, kuriuo tam tikrų kategorijų pagalba skelbiama suderinama su vidaus rinka taikant Sutarties 107 ir 108 straipsnius (OL 2014 L 187, p. 1-78) (toliau – Reglamentas Nr. 651/2014);</w:t>
      </w:r>
    </w:p>
    <w:p w:rsidR="001F04ED" w:rsidRDefault="00DA52AD">
      <w:pPr>
        <w:ind w:firstLine="709"/>
        <w:jc w:val="both"/>
      </w:pPr>
      <w:r>
        <w:t>2.4. 2014 m. birželio 27 d. Europos Komisijos komunikatas Nr. 2014/C 198/01 „Valstybės pagalbos moksliniams tyrimams, technologinei plėtrai ir inovacijoms sistema“ (toliau – Komunikatas);</w:t>
      </w:r>
    </w:p>
    <w:p w:rsidR="001F04ED" w:rsidRDefault="00DA52AD">
      <w:pPr>
        <w:ind w:firstLine="709"/>
        <w:jc w:val="both"/>
      </w:pPr>
      <w:r>
        <w:t xml:space="preserve">2.5.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lastRenderedPageBreak/>
        <w:t>programos stebėsenos rodiklių skaičiavimo aprašo patvirtinimo“ (toliau – Veiksmų programos stebėsenos rodiklių skaičiavimo aprašas);</w:t>
      </w:r>
    </w:p>
    <w:p w:rsidR="001F04ED" w:rsidRDefault="00DA52AD">
      <w:pPr>
        <w:ind w:firstLine="709"/>
        <w:jc w:val="both"/>
      </w:pPr>
      <w:r>
        <w:rPr>
          <w:lang w:eastAsia="lt-LT"/>
        </w:rPr>
        <w:t xml:space="preserve">2.6. Rekomendacijas dėl projektų išlaidų atitikties Europos Sąjungos struktūrinių fondų reikalavimams, </w:t>
      </w:r>
      <w:r>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lang w:eastAsia="lt-LT"/>
        </w:rPr>
        <w:t xml:space="preserve"> paskelbtas </w:t>
      </w:r>
      <w:r>
        <w:t xml:space="preserve">ES struktūrinių fondų </w:t>
      </w:r>
      <w:r>
        <w:rPr>
          <w:lang w:eastAsia="lt-LT"/>
        </w:rPr>
        <w:t xml:space="preserve">svetainėje </w:t>
      </w:r>
      <w:r>
        <w:rPr>
          <w:color w:val="000000"/>
          <w:lang w:eastAsia="lt-LT"/>
        </w:rPr>
        <w:t xml:space="preserve">www.esinvesticijos.lt (toliau – </w:t>
      </w:r>
      <w:r>
        <w:rPr>
          <w:lang w:eastAsia="lt-LT"/>
        </w:rPr>
        <w:t>Rekomendacijos dėl projektų išlaidų atitikties Europos Sąjungos struktūrinių fondų reikalavimams);</w:t>
      </w:r>
    </w:p>
    <w:p w:rsidR="001F04ED" w:rsidRDefault="00DA52AD">
      <w:pPr>
        <w:ind w:firstLine="709"/>
        <w:jc w:val="both"/>
      </w:pPr>
      <w:r>
        <w:t>2.7. Lietuvos Respublikos mokslo ir studijų įstatymą;</w:t>
      </w:r>
    </w:p>
    <w:p w:rsidR="001F04ED" w:rsidRDefault="00DA52AD">
      <w:pPr>
        <w:ind w:firstLine="709"/>
        <w:jc w:val="both"/>
      </w:pPr>
      <w:r>
        <w:t>2.8. Lietuvos Respublikos patentų įstatymą.</w:t>
      </w:r>
    </w:p>
    <w:p w:rsidR="001F04ED" w:rsidRDefault="00DA52AD">
      <w:pPr>
        <w:ind w:firstLine="709"/>
        <w:jc w:val="both"/>
      </w:pPr>
      <w: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1F04ED" w:rsidRDefault="00DA52AD">
      <w:pPr>
        <w:ind w:firstLine="709"/>
        <w:jc w:val="both"/>
        <w:rPr>
          <w:rFonts w:eastAsia="Calibri"/>
          <w:szCs w:val="24"/>
        </w:rPr>
      </w:pPr>
      <w:r>
        <w:rPr>
          <w:rFonts w:eastAsia="Calibri"/>
          <w:szCs w:val="24"/>
        </w:rPr>
        <w:t>4. Apraše vartojamos kitos sąvokos:</w:t>
      </w:r>
    </w:p>
    <w:p w:rsidR="001F04ED" w:rsidRDefault="00DA52AD">
      <w:pPr>
        <w:ind w:firstLine="709"/>
        <w:jc w:val="both"/>
        <w:rPr>
          <w:rFonts w:eastAsia="Calibri"/>
          <w:szCs w:val="24"/>
        </w:rPr>
      </w:pPr>
      <w:r>
        <w:rPr>
          <w:rFonts w:eastAsia="Calibri"/>
          <w:szCs w:val="24"/>
        </w:rPr>
        <w:t xml:space="preserve">4.1. </w:t>
      </w:r>
      <w:r>
        <w:rPr>
          <w:rFonts w:eastAsia="Calibri"/>
          <w:b/>
          <w:szCs w:val="24"/>
        </w:rPr>
        <w:t>Autorių teisių objektai</w:t>
      </w:r>
      <w:r>
        <w:rPr>
          <w:rFonts w:eastAsia="Calibri"/>
          <w:szCs w:val="24"/>
        </w:rPr>
        <w:t xml:space="preserve"> – suprantami taip, kaip apibrėžta Lietuvos Respublikos autorių teisių ir gretutinių teisių įstatyme;</w:t>
      </w:r>
    </w:p>
    <w:p w:rsidR="001F04ED" w:rsidRDefault="00DA52AD">
      <w:pPr>
        <w:overflowPunct w:val="0"/>
        <w:ind w:firstLine="709"/>
        <w:jc w:val="both"/>
        <w:textAlignment w:val="baseline"/>
      </w:pPr>
      <w:r>
        <w:t xml:space="preserve">4.2. </w:t>
      </w:r>
      <w:r>
        <w:rPr>
          <w:b/>
        </w:rPr>
        <w:t>Didelė įmonė</w:t>
      </w:r>
      <w:r>
        <w:t xml:space="preserve"> – šiame Apraše suprantama kaip juridinis asmuo, neatitinkantis labai mažos įmonės, mažos įmonės arba vidutinės įmonės apibrėžimo, pateikto Lietuvos Respublikos smulkiojo ir vidutinio verslo plėtros įstatyme (toliau – Smulkiojo ir vidutinio verslo plėtros įstatymas);</w:t>
      </w:r>
    </w:p>
    <w:p w:rsidR="001F04ED" w:rsidRDefault="00DA52AD">
      <w:pPr>
        <w:ind w:firstLine="709"/>
        <w:jc w:val="both"/>
        <w:rPr>
          <w:rFonts w:eastAsia="Calibri"/>
          <w:szCs w:val="24"/>
        </w:rPr>
      </w:pPr>
      <w:r>
        <w:rPr>
          <w:rFonts w:eastAsia="Calibri"/>
          <w:szCs w:val="24"/>
        </w:rPr>
        <w:t xml:space="preserve">4.3. </w:t>
      </w:r>
      <w:r>
        <w:rPr>
          <w:rFonts w:eastAsia="Calibri"/>
          <w:b/>
          <w:szCs w:val="24"/>
        </w:rPr>
        <w:t>Eksperimentinė plėtra</w:t>
      </w:r>
      <w:r>
        <w:rPr>
          <w:rFonts w:eastAsia="Calibri"/>
          <w:szCs w:val="24"/>
        </w:rPr>
        <w:t xml:space="preserve"> – atitinka bandomosios taikomosios veiklos sąvoką, kuri apibrėžta Reglamento (ES) Nr. 651/2014 2 straipsnio 86 punkte;</w:t>
      </w:r>
    </w:p>
    <w:p w:rsidR="001F04ED" w:rsidRDefault="00DA52AD">
      <w:pPr>
        <w:ind w:firstLine="709"/>
        <w:jc w:val="both"/>
        <w:rPr>
          <w:rFonts w:eastAsia="Calibri"/>
          <w:szCs w:val="24"/>
        </w:rPr>
      </w:pPr>
      <w:r>
        <w:rPr>
          <w:rFonts w:eastAsia="Calibri"/>
          <w:szCs w:val="24"/>
        </w:rPr>
        <w:t xml:space="preserve">4.4. </w:t>
      </w:r>
      <w:r>
        <w:rPr>
          <w:rFonts w:eastAsia="Calibri"/>
          <w:b/>
          <w:szCs w:val="24"/>
        </w:rPr>
        <w:t>Įmonė</w:t>
      </w:r>
      <w:r>
        <w:rPr>
          <w:rFonts w:eastAsia="Calibri"/>
          <w:szCs w:val="24"/>
        </w:rPr>
        <w:t xml:space="preserve"> (šiame Apraše taip pat ir verslo įmonė) – suprantama taip, kaip apibrėžta Smulkiojo ir vidutinio verslo plėtros įstatyme;</w:t>
      </w:r>
    </w:p>
    <w:p w:rsidR="001F04ED" w:rsidRDefault="00DA52AD">
      <w:pPr>
        <w:ind w:firstLine="709"/>
        <w:jc w:val="both"/>
        <w:rPr>
          <w:rFonts w:eastAsia="Calibri"/>
          <w:szCs w:val="24"/>
        </w:rPr>
      </w:pPr>
      <w:r>
        <w:rPr>
          <w:rFonts w:eastAsia="Calibri"/>
          <w:szCs w:val="24"/>
        </w:rPr>
        <w:t>4.5.</w:t>
      </w:r>
      <w:r>
        <w:rPr>
          <w:rFonts w:eastAsia="Calibri"/>
          <w:b/>
          <w:szCs w:val="24"/>
        </w:rPr>
        <w:t xml:space="preserve"> Kompetencijos centras</w:t>
      </w:r>
      <w:r>
        <w:rPr>
          <w:rFonts w:eastAsia="Calibri"/>
          <w:szCs w:val="24"/>
        </w:rPr>
        <w:t xml:space="preserve"> – mokslo ir studijų institucijos ar universitetų ligoninės atitinkamos (-ų) mokslinių tyrimų ir eksperimentinės plėtros (toliau – MTEP) srities (-čių) aukšto tarptautinio lygio intelektinis potencialas, pasižymintis išskirtiniais šios (-ių) srities (-čių) MTEP veiklos, </w:t>
      </w:r>
      <w:r>
        <w:rPr>
          <w:rFonts w:eastAsia="Calibri"/>
          <w:color w:val="000000"/>
          <w:szCs w:val="24"/>
        </w:rPr>
        <w:t xml:space="preserve">tarptautinio ir (arba) tarpdisciplinio ir (arba) tarpsektorinio </w:t>
      </w:r>
      <w:r>
        <w:rPr>
          <w:rFonts w:eastAsia="Calibri"/>
          <w:szCs w:val="24"/>
        </w:rPr>
        <w:t>bendradarbiavimo, MTEP veiklos komercinimo rezultatais ir apimtimis, įsitraukęs į MTEP rezultatų sukūrimo (nuo idėjos iki prototipo) ir jo realizavimo rinkoje procesus;</w:t>
      </w:r>
    </w:p>
    <w:p w:rsidR="001F04ED" w:rsidRDefault="00DA52AD">
      <w:pPr>
        <w:overflowPunct w:val="0"/>
        <w:ind w:firstLine="709"/>
        <w:jc w:val="both"/>
        <w:textAlignment w:val="baseline"/>
      </w:pPr>
      <w:r>
        <w:t xml:space="preserve">4.6. </w:t>
      </w:r>
      <w:r>
        <w:rPr>
          <w:b/>
        </w:rPr>
        <w:t>Labai maža įmonė</w:t>
      </w:r>
      <w:r>
        <w:t xml:space="preserve"> – suprantama taip, kaip apibrėžta Smulkiojo ir vidutinio verslo plėtros įstatyme;</w:t>
      </w:r>
    </w:p>
    <w:p w:rsidR="001F04ED" w:rsidRDefault="00DA52AD">
      <w:pPr>
        <w:overflowPunct w:val="0"/>
        <w:ind w:firstLine="709"/>
        <w:jc w:val="both"/>
        <w:textAlignment w:val="baseline"/>
      </w:pPr>
      <w:r>
        <w:t xml:space="preserve">4.7. </w:t>
      </w:r>
      <w:r>
        <w:rPr>
          <w:b/>
        </w:rPr>
        <w:t>Maža įmonė</w:t>
      </w:r>
      <w:r>
        <w:t xml:space="preserve"> – suprantama taip, kaip apibrėžta Smulkiojo ir vidutinio verslo plėtros įstatyme;</w:t>
      </w:r>
    </w:p>
    <w:p w:rsidR="001F04ED" w:rsidRDefault="00DA52AD">
      <w:pPr>
        <w:ind w:firstLine="709"/>
        <w:jc w:val="both"/>
        <w:rPr>
          <w:rFonts w:eastAsia="Calibri"/>
          <w:szCs w:val="24"/>
        </w:rPr>
      </w:pPr>
      <w:r>
        <w:rPr>
          <w:rFonts w:eastAsia="Calibri"/>
          <w:szCs w:val="24"/>
        </w:rPr>
        <w:t xml:space="preserve">4.8. </w:t>
      </w:r>
      <w:r>
        <w:rPr>
          <w:rFonts w:eastAsia="Calibri"/>
          <w:b/>
          <w:szCs w:val="24"/>
        </w:rPr>
        <w:t>Moksliniai tyrimai</w:t>
      </w:r>
      <w:r>
        <w:rPr>
          <w:rFonts w:eastAsia="Calibri"/>
          <w:szCs w:val="24"/>
        </w:rPr>
        <w:t xml:space="preserve"> – atitinka pramoninių tyrimų sąvoką, kuri apibrėžta Reglamento (ES) Nr. 651/2014 85 punkte;</w:t>
      </w:r>
    </w:p>
    <w:p w:rsidR="001F04ED" w:rsidRDefault="00DA52AD">
      <w:pPr>
        <w:ind w:firstLine="709"/>
        <w:jc w:val="both"/>
        <w:rPr>
          <w:rFonts w:eastAsia="Calibri"/>
          <w:szCs w:val="24"/>
        </w:rPr>
      </w:pPr>
      <w:r>
        <w:rPr>
          <w:rFonts w:eastAsia="Calibri"/>
          <w:szCs w:val="24"/>
        </w:rPr>
        <w:t xml:space="preserve">4.9. </w:t>
      </w:r>
      <w:r>
        <w:rPr>
          <w:rFonts w:eastAsia="Calibri"/>
          <w:b/>
          <w:szCs w:val="24"/>
        </w:rPr>
        <w:t>Mokslinių tyrimų infrastruktūra</w:t>
      </w:r>
      <w:r>
        <w:rPr>
          <w:rFonts w:eastAsia="Calibri"/>
          <w:szCs w:val="24"/>
        </w:rPr>
        <w:t xml:space="preserve"> – suprantama taip, kaip apibrėžta Reglamento (ES) Nr. 651/2014 2 straipsnio 91 punkte;</w:t>
      </w:r>
    </w:p>
    <w:p w:rsidR="001F04ED" w:rsidRDefault="00DA52AD">
      <w:pPr>
        <w:ind w:firstLine="709"/>
        <w:jc w:val="both"/>
        <w:rPr>
          <w:rFonts w:eastAsia="Calibri"/>
          <w:szCs w:val="24"/>
        </w:rPr>
      </w:pPr>
      <w:r>
        <w:rPr>
          <w:rFonts w:eastAsia="Calibri"/>
          <w:szCs w:val="24"/>
        </w:rPr>
        <w:t xml:space="preserve">4.10. </w:t>
      </w:r>
      <w:r>
        <w:rPr>
          <w:rFonts w:eastAsia="Calibri"/>
          <w:b/>
          <w:szCs w:val="24"/>
        </w:rPr>
        <w:t>Mokslo ir studijų institucija</w:t>
      </w:r>
      <w:r>
        <w:rPr>
          <w:rFonts w:eastAsia="Calibri"/>
          <w:szCs w:val="24"/>
        </w:rPr>
        <w:t xml:space="preserve"> – suprantama taip, kaip apibrėžta Lietuvos Respublikos mokslo ir studijų įstatyme;</w:t>
      </w:r>
    </w:p>
    <w:p w:rsidR="001F04ED" w:rsidRDefault="00DA52AD">
      <w:pPr>
        <w:ind w:firstLine="709"/>
        <w:jc w:val="both"/>
        <w:rPr>
          <w:rFonts w:eastAsia="Calibri"/>
          <w:szCs w:val="24"/>
        </w:rPr>
      </w:pPr>
      <w:r>
        <w:rPr>
          <w:rFonts w:eastAsia="Calibri"/>
          <w:szCs w:val="24"/>
        </w:rPr>
        <w:t xml:space="preserve">4.11. </w:t>
      </w:r>
      <w:r>
        <w:rPr>
          <w:rFonts w:eastAsia="Calibri"/>
          <w:b/>
          <w:szCs w:val="24"/>
        </w:rPr>
        <w:t>MTEP projekta</w:t>
      </w:r>
      <w:r>
        <w:rPr>
          <w:rFonts w:eastAsia="Calibri"/>
          <w:szCs w:val="24"/>
        </w:rPr>
        <w:t>s – MTEP veiklų, kuriomis siekiama išbandyti MTEP grįstą, komercinį potencialą turinčią idėją ir sukurti tolesnėms investicijoms parengtą ar kitokį rezultatą, kuris gali būti pritaikytas diegti rinkoje, visuma;</w:t>
      </w:r>
    </w:p>
    <w:p w:rsidR="001F04ED" w:rsidRDefault="00DA52AD">
      <w:pPr>
        <w:ind w:firstLine="709"/>
        <w:jc w:val="both"/>
        <w:rPr>
          <w:rFonts w:eastAsia="Calibri"/>
          <w:szCs w:val="24"/>
        </w:rPr>
      </w:pPr>
      <w:r>
        <w:rPr>
          <w:rFonts w:eastAsia="Calibri"/>
          <w:szCs w:val="24"/>
        </w:rPr>
        <w:t xml:space="preserve">4.12. </w:t>
      </w:r>
      <w:r>
        <w:rPr>
          <w:rFonts w:eastAsia="Calibri"/>
          <w:b/>
          <w:szCs w:val="24"/>
        </w:rPr>
        <w:t xml:space="preserve">Nauja žinioms imli (arba atžalinė) įmonė (angl. </w:t>
      </w:r>
      <w:r>
        <w:rPr>
          <w:rFonts w:eastAsia="Calibri"/>
          <w:b/>
          <w:i/>
          <w:szCs w:val="24"/>
        </w:rPr>
        <w:t>spin off</w:t>
      </w:r>
      <w:r>
        <w:rPr>
          <w:rFonts w:eastAsia="Calibri"/>
          <w:b/>
          <w:szCs w:val="24"/>
        </w:rPr>
        <w:t>)</w:t>
      </w:r>
      <w:r>
        <w:rPr>
          <w:rFonts w:eastAsia="Calibri"/>
          <w:szCs w:val="24"/>
        </w:rPr>
        <w:t xml:space="preserve"> – projekto įgyvendinimo metu arba investicijų tęstinumo laikotarpiu sukurta įmonė, kurios steigėjas arba vienas iš steigėjų yra mokslo ir studijų institucija ar universiteto ligoninė ir kurios tikslas – komercinti mokslo ir studijų institucijoje (-ose) ar universiteto ligoninėje (-ėse) arba įmonėje (-ėse) sukurtus MTEP rezultatus;</w:t>
      </w:r>
    </w:p>
    <w:p w:rsidR="001F04ED" w:rsidRDefault="00DA52AD">
      <w:pPr>
        <w:ind w:firstLine="709"/>
        <w:jc w:val="both"/>
        <w:rPr>
          <w:rFonts w:eastAsia="Calibri"/>
          <w:szCs w:val="24"/>
        </w:rPr>
      </w:pPr>
      <w:r>
        <w:rPr>
          <w:rFonts w:eastAsia="Calibri"/>
          <w:szCs w:val="24"/>
        </w:rPr>
        <w:lastRenderedPageBreak/>
        <w:t xml:space="preserve">4.13. </w:t>
      </w:r>
      <w:r>
        <w:rPr>
          <w:rFonts w:eastAsia="Calibri"/>
          <w:b/>
          <w:szCs w:val="24"/>
        </w:rPr>
        <w:t xml:space="preserve">Patentų paraiška </w:t>
      </w:r>
      <w:r>
        <w:rPr>
          <w:rFonts w:eastAsia="Calibri"/>
          <w:szCs w:val="24"/>
        </w:rPr>
        <w:t>– patentų biuro nustatyta tvarka patentų biurui mokslo ir studijų institucijos ar universitetų ligoninės pateikta paraiška (prašymas) išduoti tarptautinį patentą;</w:t>
      </w:r>
    </w:p>
    <w:p w:rsidR="001F04ED" w:rsidRDefault="00DA52AD">
      <w:pPr>
        <w:ind w:firstLine="709"/>
        <w:jc w:val="both"/>
        <w:rPr>
          <w:rFonts w:eastAsia="Calibri"/>
          <w:szCs w:val="24"/>
        </w:rPr>
      </w:pPr>
      <w:r>
        <w:rPr>
          <w:rFonts w:eastAsia="Calibri"/>
          <w:szCs w:val="24"/>
        </w:rPr>
        <w:t xml:space="preserve">4.14. </w:t>
      </w:r>
      <w:r>
        <w:rPr>
          <w:rFonts w:eastAsia="Calibri"/>
          <w:b/>
          <w:szCs w:val="24"/>
        </w:rPr>
        <w:t>Pramoninės nuosavybės objektas</w:t>
      </w:r>
      <w:r>
        <w:rPr>
          <w:rFonts w:eastAsia="Calibri"/>
          <w:szCs w:val="24"/>
        </w:rPr>
        <w:t xml:space="preserve"> – suprantamas taip, kaip apibrėžta Lietuvos Respublikos mokesčių už pramoninės nuosavybės objektų registravimą įstatyme;</w:t>
      </w:r>
    </w:p>
    <w:p w:rsidR="001F04ED" w:rsidRDefault="00DA52AD">
      <w:pPr>
        <w:ind w:firstLine="709"/>
        <w:jc w:val="both"/>
        <w:rPr>
          <w:rFonts w:eastAsia="Calibri"/>
          <w:szCs w:val="24"/>
        </w:rPr>
      </w:pPr>
      <w:r>
        <w:rPr>
          <w:rFonts w:eastAsia="Calibri"/>
          <w:szCs w:val="24"/>
        </w:rPr>
        <w:t xml:space="preserve">4.15. </w:t>
      </w:r>
      <w:r>
        <w:rPr>
          <w:rFonts w:eastAsia="Calibri"/>
          <w:b/>
          <w:szCs w:val="24"/>
        </w:rPr>
        <w:t>Produktas</w:t>
      </w:r>
      <w:r>
        <w:rPr>
          <w:rFonts w:eastAsia="Calibri"/>
          <w:szCs w:val="24"/>
        </w:rPr>
        <w:t xml:space="preserve"> – moksliniais tyrimais ir praktine patirtimi sukauptu pažinimu pagrįsta technologija, medžiaga, įrenginys, veislė, gyvūnų linija, procesas, sistema, paslauga, metodas, meno objektas arba kultūros ir visuomenės problemų sprendinys;</w:t>
      </w:r>
    </w:p>
    <w:p w:rsidR="001F04ED" w:rsidRDefault="00DA52AD">
      <w:pPr>
        <w:ind w:firstLine="709"/>
        <w:jc w:val="both"/>
        <w:rPr>
          <w:rFonts w:eastAsia="Calibri"/>
          <w:szCs w:val="24"/>
        </w:rPr>
      </w:pPr>
      <w:r>
        <w:rPr>
          <w:rFonts w:eastAsia="Calibri"/>
          <w:szCs w:val="24"/>
        </w:rPr>
        <w:t xml:space="preserve">4.16. </w:t>
      </w:r>
      <w:r>
        <w:rPr>
          <w:rFonts w:eastAsia="Calibri"/>
          <w:b/>
          <w:szCs w:val="24"/>
        </w:rPr>
        <w:t>Sunkumus patirianti įmonė</w:t>
      </w:r>
      <w:r>
        <w:rPr>
          <w:rFonts w:eastAsia="Calibri"/>
          <w:szCs w:val="24"/>
        </w:rPr>
        <w:t xml:space="preserve"> – suprantama taip, kaip apibrėžta Reglamento (ES) Nr. 651/2014  2 straipsnio 18 punkte;</w:t>
      </w:r>
    </w:p>
    <w:p w:rsidR="001F04ED" w:rsidRDefault="00DA52AD">
      <w:pPr>
        <w:ind w:firstLine="709"/>
        <w:jc w:val="both"/>
        <w:rPr>
          <w:rFonts w:eastAsia="Calibri"/>
          <w:szCs w:val="24"/>
        </w:rPr>
      </w:pPr>
      <w:r>
        <w:rPr>
          <w:rFonts w:eastAsia="Calibri"/>
          <w:szCs w:val="24"/>
        </w:rPr>
        <w:t xml:space="preserve">4.17. </w:t>
      </w:r>
      <w:r>
        <w:rPr>
          <w:rFonts w:eastAsia="Calibri"/>
          <w:b/>
          <w:szCs w:val="24"/>
        </w:rPr>
        <w:t>Tarptautinis patentas</w:t>
      </w:r>
      <w:r>
        <w:rPr>
          <w:rFonts w:eastAsia="Calibri"/>
          <w:szCs w:val="24"/>
        </w:rPr>
        <w:t xml:space="preserve"> – pagal Patentinės kooperacijos sutartį, pasirašytą Vašingtone 1970 m. birželio 19 d., peržiūrėtą 1979 m. rugsėjo 28 d. ir 1984 m. vasario 3 d., patento paraiška paduodama Pasaulinės intelektinės nuosavybės organizacijos Tarptautiniam biurui. Praėjus tarptautinę ir nacionalinę išradimo patentavimo procedūras, pasirinktose valstybėse išduodami nacionaliniai patentai ir teisės į išradimą ginamos pagal tų valstybių nacionalinius patentų įstatymus;</w:t>
      </w:r>
    </w:p>
    <w:p w:rsidR="001F04ED" w:rsidRDefault="00DA52AD">
      <w:pPr>
        <w:ind w:firstLine="709"/>
        <w:jc w:val="both"/>
        <w:rPr>
          <w:rFonts w:eastAsia="Calibri"/>
          <w:szCs w:val="24"/>
        </w:rPr>
      </w:pPr>
      <w:r>
        <w:rPr>
          <w:rFonts w:eastAsia="Calibri"/>
          <w:szCs w:val="24"/>
        </w:rPr>
        <w:t xml:space="preserve">4.18. </w:t>
      </w:r>
      <w:r>
        <w:rPr>
          <w:rFonts w:eastAsia="Calibri"/>
          <w:b/>
          <w:szCs w:val="24"/>
        </w:rPr>
        <w:t>Technologija</w:t>
      </w:r>
      <w:r>
        <w:rPr>
          <w:rFonts w:eastAsia="Calibri"/>
          <w:szCs w:val="24"/>
        </w:rPr>
        <w:t xml:space="preserve"> – suprantama taip, kaip apibrėžta Rekomenduojamos mokslinių tyrimų ir eksperimentinės plėtros etapų klasifikacijos apraše, patvirtintame Lietuvos Respublikos Vyriausybės 2012 m. birželio 6 d. nutarimu Nr. 650 „</w:t>
      </w:r>
      <w:r>
        <w:rPr>
          <w:rFonts w:eastAsia="Calibri"/>
          <w:bCs/>
          <w:szCs w:val="24"/>
        </w:rPr>
        <w:t>Dėl Rekomenduojamos mokslinių tyrimų ir eksperimentinės plėtros etapų klasifikacijos aprašo patvirtinimo</w:t>
      </w:r>
      <w:r>
        <w:rPr>
          <w:rFonts w:eastAsia="Calibri"/>
          <w:szCs w:val="24"/>
        </w:rPr>
        <w:t>“;</w:t>
      </w:r>
    </w:p>
    <w:p w:rsidR="001F04ED" w:rsidRDefault="00DA52AD">
      <w:pPr>
        <w:ind w:firstLine="709"/>
        <w:jc w:val="both"/>
        <w:rPr>
          <w:rFonts w:eastAsia="Calibri"/>
          <w:szCs w:val="24"/>
        </w:rPr>
      </w:pPr>
      <w:r>
        <w:rPr>
          <w:rFonts w:eastAsia="Calibri"/>
          <w:szCs w:val="24"/>
        </w:rPr>
        <w:t xml:space="preserve">4.19. </w:t>
      </w:r>
      <w:r>
        <w:rPr>
          <w:rFonts w:eastAsia="Calibri"/>
          <w:b/>
          <w:szCs w:val="24"/>
        </w:rPr>
        <w:t>Universitetų ligoninės</w:t>
      </w:r>
      <w:r>
        <w:rPr>
          <w:rFonts w:eastAsia="Calibri"/>
          <w:szCs w:val="24"/>
        </w:rPr>
        <w:t xml:space="preserve"> – suprantama taip, kaip apibrėžta Lietuvos Respublikos sveikatos priežiūros įstaigų įstatyme ir veikiančios pagal Reglamento (ES) Nr. 651/2014 2 straipsnio 83 punkto nuostatas;</w:t>
      </w:r>
    </w:p>
    <w:p w:rsidR="001F04ED" w:rsidRDefault="00DA52AD">
      <w:pPr>
        <w:ind w:firstLine="709"/>
        <w:jc w:val="both"/>
        <w:rPr>
          <w:rFonts w:eastAsia="Calibri"/>
          <w:szCs w:val="24"/>
        </w:rPr>
      </w:pPr>
      <w:r>
        <w:rPr>
          <w:rFonts w:eastAsia="Calibri"/>
          <w:szCs w:val="24"/>
        </w:rPr>
        <w:t xml:space="preserve">4.20. </w:t>
      </w:r>
      <w:r>
        <w:rPr>
          <w:rFonts w:eastAsia="Calibri"/>
          <w:b/>
          <w:szCs w:val="24"/>
        </w:rPr>
        <w:t>Valstybės pagalbos gavėjas</w:t>
      </w:r>
      <w:r>
        <w:rPr>
          <w:rFonts w:eastAsia="Calibri"/>
          <w:szCs w:val="24"/>
        </w:rPr>
        <w:t xml:space="preserve"> – ūkio subjektas, kuriam suteikta valstybės pagalba;</w:t>
      </w:r>
    </w:p>
    <w:p w:rsidR="001F04ED" w:rsidRDefault="00DA52AD">
      <w:pPr>
        <w:ind w:firstLine="709"/>
        <w:jc w:val="both"/>
        <w:rPr>
          <w:rFonts w:eastAsia="Calibri"/>
          <w:szCs w:val="24"/>
        </w:rPr>
      </w:pPr>
      <w:r>
        <w:rPr>
          <w:rFonts w:eastAsia="Calibri"/>
          <w:szCs w:val="24"/>
        </w:rPr>
        <w:t xml:space="preserve">4.21. </w:t>
      </w:r>
      <w:r>
        <w:rPr>
          <w:rFonts w:eastAsia="Calibri"/>
          <w:b/>
          <w:szCs w:val="24"/>
        </w:rPr>
        <w:t>Veiksmingas bendradarbiavimas</w:t>
      </w:r>
      <w:r>
        <w:rPr>
          <w:rFonts w:eastAsia="Calibri"/>
          <w:szCs w:val="24"/>
        </w:rPr>
        <w:t xml:space="preserve"> – suprantama taip, kaip apibrėžta Reglamento (ES) Nr. 651/2014 2 straipsnio 90 punkte;</w:t>
      </w:r>
    </w:p>
    <w:p w:rsidR="001F04ED" w:rsidRDefault="00DA52AD">
      <w:pPr>
        <w:overflowPunct w:val="0"/>
        <w:ind w:firstLine="709"/>
        <w:jc w:val="both"/>
        <w:textAlignment w:val="baseline"/>
      </w:pPr>
      <w:r>
        <w:t xml:space="preserve">4.22. </w:t>
      </w:r>
      <w:r>
        <w:rPr>
          <w:b/>
        </w:rPr>
        <w:t>Vidutinė įmonė</w:t>
      </w:r>
      <w:r>
        <w:t xml:space="preserve"> – suprantama taip, kaip apibrėžta Smulkiojo ir vidutinio verslo plėtros įstatyme. </w:t>
      </w:r>
    </w:p>
    <w:p w:rsidR="001F04ED" w:rsidRDefault="00DA52AD">
      <w:pPr>
        <w:ind w:firstLine="709"/>
        <w:jc w:val="both"/>
      </w:pPr>
      <w:r>
        <w:t>5. Priemonės įgyvendinimą administruoja Lietuvos Respublikos švietimo ir mokslo ministerija (toliau – Ministerija) ir viešoji įstaiga Centrinė projektų valdymo agentūra (toliau – įgyvendinančioji institucija).</w:t>
      </w:r>
    </w:p>
    <w:p w:rsidR="001F04ED" w:rsidRDefault="00DA52AD">
      <w:pPr>
        <w:ind w:firstLine="709"/>
        <w:jc w:val="both"/>
      </w:pPr>
      <w:r>
        <w:t>6. Pagal Priemonę teikiamo finansavimo forma – negrąžinamoji subsidija.</w:t>
      </w:r>
    </w:p>
    <w:p w:rsidR="001F04ED" w:rsidRDefault="00DA52AD">
      <w:pPr>
        <w:ind w:firstLine="709"/>
        <w:jc w:val="both"/>
      </w:pPr>
      <w:r>
        <w:t>7. Projektų atranka pagal Priemonę bus atliekama projektų konkurso vienu etapu būdu.</w:t>
      </w:r>
    </w:p>
    <w:p w:rsidR="001F04ED" w:rsidRDefault="00DA52AD">
      <w:pPr>
        <w:ind w:firstLine="709"/>
        <w:jc w:val="both"/>
        <w:rPr>
          <w:rFonts w:eastAsia="Calibri"/>
        </w:rPr>
      </w:pPr>
      <w:r>
        <w:t xml:space="preserve">8. Pagal Aprašą projektams įgyvendinti numatoma skirti iki </w:t>
      </w:r>
      <w:r w:rsidR="0047775C" w:rsidRPr="0047775C">
        <w:rPr>
          <w:rFonts w:eastAsia="Calibri"/>
          <w:szCs w:val="24"/>
        </w:rPr>
        <w:t>13 079 763,70 Eur (trylikos milijonų septyniasdešimt devynių tūkstančių septynių šimtų šešiasdešimt trijų eurų septyniasdešimties centų)</w:t>
      </w:r>
      <w:r>
        <w:t xml:space="preserve"> Europos regioninės plėtros fondo lėšų. </w:t>
      </w:r>
      <w:r>
        <w:rPr>
          <w:rFonts w:eastAsia="Calibri"/>
        </w:rPr>
        <w:t>Pagal Aprašą numatoma skelbti vieną kvietimą teikti paraiškas.</w:t>
      </w:r>
    </w:p>
    <w:p w:rsidR="001F04ED" w:rsidRDefault="00DA52AD">
      <w:pPr>
        <w:ind w:firstLine="709"/>
        <w:jc w:val="both"/>
      </w:pPr>
      <w:r>
        <w:rPr>
          <w:color w:val="000000"/>
        </w:rPr>
        <w:t xml:space="preserve">9. </w:t>
      </w:r>
      <w:r>
        <w:t xml:space="preserve">Priimdama sprendimą dėl projektų finansavimo Ministerija turi teisę Aprašo 8 punkte nurodytą sumą padidinti, neviršydama Priemonių įgyvendinimo plane nurodytos Priemonei skirtos lėšų sumos ir nepažeisdama teisėtų pareiškėjų lūkesčių. </w:t>
      </w:r>
    </w:p>
    <w:p w:rsidR="001F04ED" w:rsidRDefault="00DA52AD">
      <w:pPr>
        <w:ind w:firstLine="709"/>
        <w:jc w:val="both"/>
      </w:pPr>
      <w:r>
        <w:t xml:space="preserve">10. Priemonės tikslas – skatinti mokslo ir studijų institucijas vykdyti MTEP veiklas, </w:t>
      </w:r>
      <w:r w:rsidR="0047775C">
        <w:t>turinčias komercinį potencialą.</w:t>
      </w:r>
    </w:p>
    <w:p w:rsidR="001F04ED" w:rsidRDefault="00DA52AD">
      <w:pPr>
        <w:ind w:firstLine="709"/>
        <w:jc w:val="both"/>
      </w:pPr>
      <w:r>
        <w:t>11. Pagal Aprašą remiama ši veikla – kompetencijos centrų veiklos skatinimas, siekiant išbandyti MTEP grįstas, komercinį potencialą turinčias idėjas, sukurti tolesnėms investicijoms parengtą ar kitokį rezultatą, kuris gali būti pritaikytas diegti rinkoje.</w:t>
      </w:r>
    </w:p>
    <w:p w:rsidR="001F04ED" w:rsidRDefault="00DA52AD">
      <w:pPr>
        <w:ind w:firstLine="709"/>
        <w:jc w:val="both"/>
      </w:pPr>
      <w:r>
        <w:t>12. Pagal Apraše nurodytą remiamą veiklą pirmąjį kvietimą teikti p</w:t>
      </w:r>
      <w:r w:rsidR="0047775C">
        <w:t>araiškas numatoma paskelbti 2018 m. ketvirtąjį</w:t>
      </w:r>
      <w:r>
        <w:t xml:space="preserve"> ketvirtį.</w:t>
      </w:r>
    </w:p>
    <w:p w:rsidR="001F04ED" w:rsidRDefault="001F04ED">
      <w:pPr>
        <w:ind w:firstLine="709"/>
        <w:jc w:val="both"/>
      </w:pPr>
    </w:p>
    <w:p w:rsidR="001F04ED" w:rsidRDefault="00DA52AD">
      <w:pPr>
        <w:jc w:val="center"/>
        <w:rPr>
          <w:b/>
          <w:szCs w:val="24"/>
        </w:rPr>
      </w:pPr>
      <w:r>
        <w:rPr>
          <w:b/>
          <w:szCs w:val="24"/>
        </w:rPr>
        <w:t>II SKYRIUS</w:t>
      </w:r>
    </w:p>
    <w:p w:rsidR="001F04ED" w:rsidRDefault="00DA52AD">
      <w:pPr>
        <w:jc w:val="center"/>
        <w:rPr>
          <w:b/>
          <w:szCs w:val="24"/>
        </w:rPr>
      </w:pPr>
      <w:r>
        <w:rPr>
          <w:b/>
          <w:szCs w:val="24"/>
        </w:rPr>
        <w:t>REIKALAVIMAI PAREIŠKĖJAMS IR PARTNERIAMS</w:t>
      </w:r>
    </w:p>
    <w:p w:rsidR="001F04ED" w:rsidRDefault="001F04ED"/>
    <w:p w:rsidR="001F04ED" w:rsidRDefault="00DA52AD">
      <w:pPr>
        <w:ind w:firstLine="709"/>
        <w:jc w:val="both"/>
      </w:pPr>
      <w:r>
        <w:t>13. Pagal Aprašą galimi pareiškėjai yra mokslo ir studijų institucijos ir universitetų ligoninės, galimi partneriai yra viešieji juridiniai asmenys, veikiantys mokslo ir (ar) studijų srityje, ir privatieji juridiniai asmenys.</w:t>
      </w:r>
    </w:p>
    <w:p w:rsidR="001F04ED" w:rsidRDefault="00DA52AD">
      <w:pPr>
        <w:ind w:firstLine="709"/>
        <w:jc w:val="both"/>
      </w:pPr>
      <w:r>
        <w:lastRenderedPageBreak/>
        <w:t>14. Kai paraiška teikiama kartu su partneriu (-iais), iki projekto sutarties pasirašymo projekto vykdytojas su partneriu (-iais) turi sudaryti sutartį, kurioje nustato tarpusavio teises ir pareigas įgyvendinant projektą.</w:t>
      </w:r>
    </w:p>
    <w:p w:rsidR="001F04ED" w:rsidRDefault="00DA52AD">
      <w:pPr>
        <w:ind w:firstLine="709"/>
        <w:jc w:val="both"/>
        <w:rPr>
          <w:lang w:val="en-US" w:eastAsia="lt-LT"/>
        </w:rPr>
      </w:pPr>
      <w:r>
        <w:t xml:space="preserve">15. </w:t>
      </w:r>
      <w:r>
        <w:rPr>
          <w:lang w:eastAsia="lt-LT"/>
        </w:rPr>
        <w:t>Valstybės pagalba neteikiama:</w:t>
      </w:r>
    </w:p>
    <w:p w:rsidR="001F04ED" w:rsidRDefault="0047775C">
      <w:pPr>
        <w:ind w:firstLine="709"/>
        <w:jc w:val="both"/>
        <w:textAlignment w:val="baseline"/>
        <w:rPr>
          <w:lang w:val="en-US" w:eastAsia="lt-LT"/>
        </w:rPr>
      </w:pPr>
      <w:r>
        <w:rPr>
          <w:lang w:eastAsia="lt-LT"/>
        </w:rPr>
        <w:t>15.1.</w:t>
      </w:r>
      <w:r w:rsidR="00DA52AD">
        <w:rPr>
          <w:lang w:eastAsia="lt-LT"/>
        </w:rPr>
        <w:t xml:space="preserve"> sunkumus patiriantiems ūkio subjektams;</w:t>
      </w:r>
    </w:p>
    <w:p w:rsidR="001F04ED" w:rsidRDefault="0047775C">
      <w:pPr>
        <w:ind w:firstLine="709"/>
        <w:jc w:val="both"/>
        <w:textAlignment w:val="baseline"/>
        <w:rPr>
          <w:lang w:eastAsia="lt-LT"/>
        </w:rPr>
      </w:pPr>
      <w:r>
        <w:rPr>
          <w:lang w:eastAsia="lt-LT"/>
        </w:rPr>
        <w:t>15.2.</w:t>
      </w:r>
      <w:r w:rsidR="00DA52AD">
        <w:rPr>
          <w:lang w:eastAsia="lt-LT"/>
        </w:rPr>
        <w:t xml:space="preserve">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rsidR="001F04ED" w:rsidRDefault="00DA52AD">
      <w:pPr>
        <w:ind w:firstLine="709"/>
        <w:jc w:val="both"/>
        <w:textAlignment w:val="baseline"/>
        <w:rPr>
          <w:lang w:eastAsia="lt-LT"/>
        </w:rPr>
      </w:pPr>
      <w:r>
        <w:rPr>
          <w:lang w:eastAsia="lt-LT"/>
        </w:rPr>
        <w:t xml:space="preserve">16. Pareiškėjas (projekto vykdytojas) ir partneris (-iai) vienas kito atžvilgiu turi būti savarankiškos įmonės, kaip jos suprantamos </w:t>
      </w:r>
      <w:r>
        <w:t>Reglamente Nr. 651/2014</w:t>
      </w:r>
      <w:r>
        <w:rPr>
          <w:lang w:eastAsia="lt-LT"/>
        </w:rPr>
        <w:t>, jeigu pretenduoja į projekto finansuojamos dalies padidinimą už veiksmingą bendradarbiavimą, kaip nustatyta Aprašo 45 punkte.</w:t>
      </w:r>
    </w:p>
    <w:p w:rsidR="001F04ED" w:rsidRDefault="00DA52AD">
      <w:pPr>
        <w:ind w:firstLine="709"/>
        <w:jc w:val="both"/>
        <w:textAlignment w:val="baseline"/>
      </w:pPr>
      <w:r>
        <w:rPr>
          <w:lang w:eastAsia="lt-LT"/>
        </w:rPr>
        <w:t>17. Kai paraiška teikiama kartu su partneriu (-iais), prie paraiškos turi būti pridedama galiojančios sutarties (partnerystės) kopija. Sutartis turi būti pasirašyta pareiškėjo ir visų projekto partnerių.</w:t>
      </w:r>
    </w:p>
    <w:p w:rsidR="001F04ED" w:rsidRDefault="001F04ED"/>
    <w:p w:rsidR="001F04ED" w:rsidRDefault="00DA52AD">
      <w:pPr>
        <w:jc w:val="center"/>
        <w:rPr>
          <w:b/>
          <w:szCs w:val="24"/>
        </w:rPr>
      </w:pPr>
      <w:r>
        <w:rPr>
          <w:b/>
          <w:szCs w:val="24"/>
        </w:rPr>
        <w:t>III SKYRIUS</w:t>
      </w:r>
    </w:p>
    <w:p w:rsidR="001F04ED" w:rsidRDefault="00DA52AD">
      <w:pPr>
        <w:ind w:firstLine="62"/>
        <w:jc w:val="center"/>
        <w:rPr>
          <w:b/>
          <w:szCs w:val="24"/>
        </w:rPr>
      </w:pPr>
      <w:r>
        <w:rPr>
          <w:b/>
          <w:szCs w:val="24"/>
        </w:rPr>
        <w:t>PROJEKTAMS TAIKOMI REIKALAVIMAI</w:t>
      </w:r>
    </w:p>
    <w:p w:rsidR="001F04ED" w:rsidRDefault="001F04ED"/>
    <w:p w:rsidR="001F04ED" w:rsidRDefault="00DA52AD">
      <w:pPr>
        <w:ind w:firstLine="709"/>
        <w:jc w:val="both"/>
      </w:pPr>
      <w:r>
        <w:t>18. Projektas turi atitikti Projektų taisyklių 10 skirsnyje nustatytus bendruosius reikalavimus.</w:t>
      </w:r>
    </w:p>
    <w:p w:rsidR="001F04ED" w:rsidRDefault="00DA52AD">
      <w:pPr>
        <w:ind w:firstLine="709"/>
        <w:jc w:val="both"/>
      </w:pPr>
      <w:r>
        <w:t>19. Projektas turi atitikti šiuos specialiuosius projektų atrankos kriterijus, patvirtintus Veiksmų pr</w:t>
      </w:r>
      <w:r w:rsidR="00466641">
        <w:t>ogramos stebėsenos komiteto</w:t>
      </w:r>
      <w:r w:rsidRPr="00466641">
        <w:t xml:space="preserve"> 2016 m. spalio 13 d. posėdžio nutarimu Nr. 44P-18.1(20)</w:t>
      </w:r>
      <w:r w:rsidR="00466641" w:rsidRPr="00466641">
        <w:t xml:space="preserve"> ir 2018 m.</w:t>
      </w:r>
      <w:r w:rsidR="00BB1D15">
        <w:t xml:space="preserve"> rugsėjo 20 d. posėdžio protokoliniu sprendimu</w:t>
      </w:r>
      <w:r w:rsidR="00466641" w:rsidRPr="00466641">
        <w:t xml:space="preserve"> Nr. </w:t>
      </w:r>
      <w:r w:rsidR="00BB1D15" w:rsidRPr="00BB1D15">
        <w:t>44P-4 (34)</w:t>
      </w:r>
      <w:r w:rsidRPr="00466641">
        <w:t>:</w:t>
      </w:r>
    </w:p>
    <w:p w:rsidR="001F04ED" w:rsidRDefault="00DA52AD">
      <w:pPr>
        <w:ind w:firstLine="709"/>
        <w:jc w:val="both"/>
      </w:pPr>
      <w:r>
        <w:t xml:space="preserve">19.1. projektas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 bent vieno šioje programoje nustatyto prioriteto veiksmų planą, kurie patvirtinti: 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patvirtinimo“;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 (toliau kartu – veiksmų </w:t>
      </w:r>
      <w:r>
        <w:lastRenderedPageBreak/>
        <w:t xml:space="preserve">planai) (vertinama, ar pareiškėjo </w:t>
      </w:r>
      <w:r w:rsidR="00EC1EDA" w:rsidRPr="00EC1EDA">
        <w:t>ir partnerio (-</w:t>
      </w:r>
      <w:r w:rsidR="00EC1EDA">
        <w:t>ių) projekte suplanuota vykdyti</w:t>
      </w:r>
      <w:r>
        <w:t xml:space="preserve"> MTEP veikla prisideda prie Sumanios specializacijos programos krypčių ir jų prioritetų įgyvendinimo, plėtojant MTEP sritis, kurios atitinka bent vieną prioriteto veiksmų plane nustatytą teminį specifiškumą);</w:t>
      </w:r>
    </w:p>
    <w:p w:rsidR="001F04ED" w:rsidRDefault="00DA52AD">
      <w:pPr>
        <w:ind w:firstLine="709"/>
        <w:jc w:val="both"/>
      </w:pPr>
      <w:r>
        <w:t>19.2. pareiškėjas turi turėti veikiančią teisių, atsirandančių iš intelektinės veiklos rezultatų, valdymo tvarką (vertinama, ar pareiškėjas (mokslo ir studijų institucija) yra įgyvendinęs Rekomendacijų Lietuvos mokslo ir studijų institucijoms dėl teisių, atsirandančių iš intelektinės veiklos rezultatų, patvirtintų Lietuvos Respublikos švietimo ir mokslo ministro 2009 m. gruodžio 1 d. įsakymu Nr. ISAK-2462 „</w:t>
      </w:r>
      <w:r>
        <w:rPr>
          <w:bCs/>
        </w:rPr>
        <w:t>Dėl Rekomendacijų Lietuvos mokslo ir studijų institucijoms dėl teisių, atsirandančių iš intelektinės veiklos rezultatų, tvirtinimo</w:t>
      </w:r>
      <w:r>
        <w:t xml:space="preserve">“, (toliau – Rekomendacijos) 10, 12, 16 ir 17 punktuose nustatytus reikalavimus ir pateikęs tai patvirtinančius dokumentus arba nuorodas į viešai paskelbtus dokumentus; vertinama, ar pareiškėjas (universiteto ligoninė) yra nustatęs vidines taisykles, vadovaudamasis Rekomendacijų 10, 12, 16 ir 17 punktuose nustatytais reikalavimais, ir pateikęs tai patvirtinančius dokumentus arba nuorodas </w:t>
      </w:r>
      <w:r w:rsidR="00EC1EDA">
        <w:t>į viešai paskelbtus dokumentus).</w:t>
      </w:r>
    </w:p>
    <w:p w:rsidR="001F04ED" w:rsidRDefault="00DA52AD">
      <w:pPr>
        <w:ind w:firstLine="709"/>
        <w:jc w:val="both"/>
      </w:pPr>
      <w:r>
        <w:t>20. Projektu turi būti prisidedama prie Europos Sąjungos Baltijos jūros regiono strategijos, patvirtintos 2009 m. spalio 30 d. Europos Vadovų Tarybos išvadomis Nr. 15265/09 ir atnaujintos Europos Komisijos (toliau – EK) 2012 m. kovo 23 d. komun</w:t>
      </w:r>
      <w:r w:rsidR="00273DB2">
        <w:t>ikatu Nr. COM(2012)128</w:t>
      </w:r>
      <w:r>
        <w:t xml:space="preserve">, kuri skelbiama EK svetainėje adresu http://ec.europa.eu/regional_policy/lt/policy/cooperation/macro-regional-strategies/baltic-sea/library/#1 (toliau – ES BJRS), tikslo – didinti regiono klestėjimą, įgyvendinimo pagal ES BJRS veiksmų plane, patvirtintame EK </w:t>
      </w:r>
      <w:r w:rsidR="00273DB2">
        <w:t>2017 m. kovo 20 d.</w:t>
      </w:r>
      <w:r>
        <w:t xml:space="preserve"> sprendimu Nr. </w:t>
      </w:r>
      <w:r w:rsidR="00273DB2" w:rsidRPr="00273DB2">
        <w:t>SWD(2017)118</w:t>
      </w:r>
      <w:r>
        <w:t>, kuris skelbiamas EK svetainėje adresu http://ec.europa.eu/regional_policy/lt/policy/cooperation/macro-regional-strategies/baltic-sea/library/#1, numatytą politinę sritį „Inovacijos“.</w:t>
      </w:r>
    </w:p>
    <w:p w:rsidR="001F04ED" w:rsidRDefault="00DA52AD">
      <w:pPr>
        <w:ind w:firstLine="709"/>
        <w:jc w:val="both"/>
      </w:pPr>
      <w:r>
        <w:t xml:space="preserve">21.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ši Aprašą privaloma surinkti minimali balų suma yra </w:t>
      </w:r>
      <w:r w:rsidRPr="000256CC">
        <w:t>41</w:t>
      </w:r>
      <w:r>
        <w:t xml:space="preserve">. Jeigu projektai surenka vienodą balų skaičių, tuomet projektai išdėstomi Projektų taisyklių 151 punkte nustatyta tvarka. </w:t>
      </w:r>
    </w:p>
    <w:p w:rsidR="001F04ED" w:rsidRDefault="00DA52AD">
      <w:pPr>
        <w:ind w:firstLine="709"/>
        <w:jc w:val="both"/>
      </w:pPr>
      <w:r>
        <w:t xml:space="preserve">22. Jei projekto naudos ir kokybės vertinimo metu projektui suteikiama mažiau kaip </w:t>
      </w:r>
      <w:r w:rsidRPr="000256CC">
        <w:t>41</w:t>
      </w:r>
      <w:r>
        <w:t xml:space="preserve"> balas, paraiška atmetama.</w:t>
      </w:r>
    </w:p>
    <w:p w:rsidR="001F04ED" w:rsidRDefault="00DA52AD">
      <w:pPr>
        <w:ind w:firstLine="709"/>
        <w:jc w:val="both"/>
      </w:pPr>
      <w:r>
        <w:t>23. Pagal Aprašą nefinansuojami didelės apimties projektai.</w:t>
      </w:r>
    </w:p>
    <w:p w:rsidR="001F04ED" w:rsidRDefault="00DA52AD">
      <w:pPr>
        <w:ind w:firstLine="709"/>
        <w:jc w:val="both"/>
      </w:pPr>
      <w:r>
        <w:t>24. Teikiamų pagal Aprašą projektų veiklų įgyvendinimo trukmė turi būti ne ilgesnė kaip 36 mėnesiai nuo projekto sutarties pasirašymo dienos.</w:t>
      </w:r>
    </w:p>
    <w:p w:rsidR="001F04ED" w:rsidRDefault="00DA52AD">
      <w:pPr>
        <w:ind w:firstLine="709"/>
        <w:jc w:val="both"/>
      </w:pPr>
      <w:r>
        <w:t>25. Tam tikrais atvejais dėl objektyvių priežasčių, kurių projekto vykdytojas negalėjo numatyti paraiškos pateikimo ir vertinimo metu, projekto veiklų įgyvendinimo laikotarpis gali būti pratęstas Projektų taisyklių nustatyta tvarka, bet ne ilgiau kaip 6 mėnesius, ir nepažeidžiant Projektų taisyklių 213.1 ir 213.5 papunkčiuose nustatytų terminų.</w:t>
      </w:r>
      <w:r w:rsidR="0056457C">
        <w:t xml:space="preserve"> </w:t>
      </w:r>
      <w:r w:rsidR="0056457C" w:rsidRPr="0056457C">
        <w:t>Prireikus pratęsti projekto veiklų įgyvendinimo laikotarpį ilgiau, nei nurodyta šiame punkte, projekto sutarties keitimas turi būti derinamas su ministerija.</w:t>
      </w:r>
    </w:p>
    <w:p w:rsidR="001F04ED" w:rsidRDefault="00DA52AD">
      <w:pPr>
        <w:ind w:firstLine="709"/>
        <w:jc w:val="both"/>
        <w:rPr>
          <w:i/>
        </w:rPr>
      </w:pPr>
      <w:r>
        <w:t>26. Projektas gali būti pradėtas įgyvendinti ne anksčiau nei po paraiškos registravimo įgyvendinančiojoje institucijoje dienos, tačiau projekto išlaidos nuo paraiškos registravimo dienos iki projekto sutarties pasirašymo yra patiriamos pareiškėjo ir partnerio (-ių) rizika. Jeigu projektas, kuriam prašoma finansavimo pradedamas įgyvendinti iki paraiškos registravimo įgyvendinančioje institucijoje dienos, visas projektas tampa netinkamas ir jam finansavimas neskiriamas.</w:t>
      </w:r>
    </w:p>
    <w:p w:rsidR="001F04ED" w:rsidRDefault="00DA52AD">
      <w:pPr>
        <w:ind w:firstLine="709"/>
        <w:jc w:val="both"/>
      </w:pPr>
      <w:r>
        <w:t xml:space="preserve">27. Projekto veiklos turi būti vykdomos Lietuvos Respublikoje arba ne Lietuvos Respublikoje (tik ES valstybėse narėse) jei jas vykdant sukurti produktai, rezultatai ir nauda (ar jų dalis, proporcinga Lietuvos Respublikos finansiniam įnašui) atitenka Lietuvos Respublikai. Jeigu projektų veiklos vykdomos ne Lietuvoje, tokių veiklų išlaidos neturi viršyti 10 procentų projekto tinkamų finansuoti išlaidų sumos. Projektų veiklų vykdymo vieta yra laikoma vieta, kurioje projekto veiklą vykdo projektą vykdantis personalas, kaip jis apibrėžtas </w:t>
      </w:r>
      <w:r>
        <w:rPr>
          <w:lang w:eastAsia="lt-LT"/>
        </w:rPr>
        <w:t>Rekomendacijų dėl projektų išlaidų atitikties Europos Sąjungos struktūrinių fondų reikalavimams.</w:t>
      </w:r>
    </w:p>
    <w:p w:rsidR="001F04ED" w:rsidRDefault="00DA52AD">
      <w:pPr>
        <w:ind w:firstLine="709"/>
        <w:jc w:val="both"/>
      </w:pPr>
      <w:r>
        <w:t xml:space="preserve">28. Pareiškėjas paraiškos priede, parengtame pagal Aprašo 3 priedą, nurodo, kuriai iš sumanios specializacijos krypčių ir šių krypčių prioritetų, nurodytų Sumanios specializacijos </w:t>
      </w:r>
      <w:r>
        <w:lastRenderedPageBreak/>
        <w:t>programoje, priskiriamas projektas, taip pat nurodo, kurį prioriteto teminį specifiškumą atitinka projektas. Galutinį priskyrimą arba nepriskyrimą konkrečiai sumanios specializacijos krypčiai ir jos prioritetui nustato įgyvendinančioji institucija vertinimo metu. Tuo atveju, jeigu įgyvendinančioji institucija nustato, kad projektas priskiriamas kitai sumanios specializacijos krypčiai ir (ar) šios krypties prioritetui nei pareiškėjas nurodė paraiškoje, pareiškėjui pasiūloma patikslinti paraiškoje nurodytą informaciją, kuriai iš sumanios specializacijos krypčių ir šių krypčių prioritetų priskiriamas projektas. Pareiškėjui nesutikus patikslinti šios informacijos paraiška atmetama.</w:t>
      </w:r>
    </w:p>
    <w:p w:rsidR="001F04ED" w:rsidRDefault="00DA52AD">
      <w:pPr>
        <w:ind w:firstLine="709"/>
        <w:jc w:val="both"/>
      </w:pPr>
      <w:r>
        <w:t>29. Projektu turi būti siekiama tokių išvardintų stebėsenos rodiklių, iš kurių nurodytas Aprašo 29.3 papunktyje yra privalomas, nurodytas Aprašo 29.4 papunktyje yra pasirenkamas, o Aprašo 29.1 papunktyje ir 29.2 papunktyje yra privalomas ir pasirenkamas priklausomai nuo pareiškėjo, jei pareiškėjas – mokslo ir studijų institucija, – siekiama Aprašo 29.1 papunktyje nurodyto rodiklio, jei pareiškėjas – universitetų ligoninė, siekiama Aprašo 29.2 papunktyje nurodyto rodiklio:</w:t>
      </w:r>
    </w:p>
    <w:p w:rsidR="001F04ED" w:rsidRDefault="00DA52AD">
      <w:pPr>
        <w:ind w:firstLine="709"/>
        <w:jc w:val="both"/>
      </w:pPr>
      <w:r>
        <w:t xml:space="preserve">29.1. produkto rodiklis „Investicijas gavusių mokslo ir studijų institucijų pateiktos patentų paraiškos“ (P.S.305). Minimali siektina reikšmė – 1 paraiška (taikoma mokslo ir studijų institucijoms); </w:t>
      </w:r>
    </w:p>
    <w:p w:rsidR="001F04ED" w:rsidRDefault="00DA52AD">
      <w:pPr>
        <w:tabs>
          <w:tab w:val="left" w:pos="4678"/>
        </w:tabs>
        <w:ind w:firstLine="709"/>
        <w:jc w:val="both"/>
      </w:pPr>
      <w:r>
        <w:t xml:space="preserve">29.2. produkto rodiklis „Investicijas gavusių universitetų ligoninių pateiktos patentų paraiškos“ (P.N.741). Minimali siektina reikšmė – 1 paraiška (taikoma universitetų ligoninėms); </w:t>
      </w:r>
    </w:p>
    <w:p w:rsidR="001F04ED" w:rsidRDefault="00DA52AD">
      <w:pPr>
        <w:ind w:firstLine="709"/>
        <w:jc w:val="both"/>
      </w:pPr>
      <w:r>
        <w:t>29.3. produkto rodiklis „Įgyvendinti MTEP projektai“ (P.S.396). Minimali siektina reikšmė – 1 MTEP projektas;</w:t>
      </w:r>
    </w:p>
    <w:p w:rsidR="00DA52AD" w:rsidRDefault="00DA52AD">
      <w:pPr>
        <w:ind w:firstLine="709"/>
        <w:jc w:val="both"/>
      </w:pPr>
      <w:r w:rsidRPr="00DA52AD">
        <w:t xml:space="preserve">29.4. </w:t>
      </w:r>
      <w:r w:rsidRPr="00ED1255">
        <w:t>produkto</w:t>
      </w:r>
      <w:r w:rsidRPr="00DA52AD">
        <w:t xml:space="preserve"> rodiklis „Tyrėjų, dirbančių pagerintoje tyrimų infrastruktūros bazėje, skaičius“ (P.B.225). Minimali siektina reikšmė – 1 tyrėjas.</w:t>
      </w:r>
    </w:p>
    <w:p w:rsidR="001F04ED" w:rsidRDefault="00DA52AD">
      <w:pPr>
        <w:ind w:firstLine="709"/>
        <w:jc w:val="both"/>
      </w:pPr>
      <w:r>
        <w:t xml:space="preserve">30. Aprašo 29.2 papunktyje nurodyto priemonės įgyvendinimo stebėsenos rodiklio skaičiavimui taikomas Nacionalinis stebėsenos rodiklių skaičiavimo aprašas. Aprašo 29.1, 29.3 ir 29.4 papunkčiuose nurodytų priemonės įgyvendinimo stebėsenos rodiklių skaičiavimui taikomas Veiksmų programos stebėsenos rodiklių skaičiavimo aprašas. Visų priemonės įgyvendinimo stebėsenos rodiklių skaičiavimo aprašai skelbiami ES struktūrinių fondų svetainėje </w:t>
      </w:r>
      <w:r>
        <w:rPr>
          <w:color w:val="000000"/>
        </w:rPr>
        <w:t>www.esinvesticijos.lt.</w:t>
      </w:r>
    </w:p>
    <w:p w:rsidR="001F04ED" w:rsidRDefault="00DA52AD">
      <w:pPr>
        <w:ind w:firstLine="709"/>
        <w:jc w:val="both"/>
      </w:pPr>
      <w:r>
        <w:t>31. Jeigu, atsižvelgiant į vykdomo projekto pobūdį, projektu nėra įmanoma siekti Aprašo 29.1 arba 29.2 papunktyje nurodyto Priemonės įgyvendinimo stebėsenos produkto rodiklio, projektu turi būti siekiama bent vieno iš šių rezultatų, kurių pasiekimas įrodomas registracijos pažymėjimais ar kitais patvirtinančiais aktais:</w:t>
      </w:r>
    </w:p>
    <w:p w:rsidR="001F04ED" w:rsidRDefault="00DA52AD">
      <w:pPr>
        <w:ind w:firstLine="709"/>
        <w:jc w:val="both"/>
      </w:pPr>
      <w:r>
        <w:t>31.1. Europos specializuotuose centruose įvertinta augalų veislė (pateikiami Reports on Technical Examination of the DUS Testing);</w:t>
      </w:r>
    </w:p>
    <w:p w:rsidR="001F04ED" w:rsidRDefault="00DA52AD">
      <w:pPr>
        <w:ind w:firstLine="709"/>
        <w:jc w:val="both"/>
      </w:pPr>
      <w:r>
        <w:t>31.2. pagal tarptautiniu mastu pripažintą tvarką įregistruota gyvūnų veislė;</w:t>
      </w:r>
    </w:p>
    <w:p w:rsidR="001F04ED" w:rsidRDefault="00DA52AD">
      <w:pPr>
        <w:ind w:firstLine="709"/>
        <w:jc w:val="both"/>
      </w:pPr>
      <w:r>
        <w:t>31.3. nauja technologija, kuri arba turi įdiegimo aktą, arba yra išbandyta gamyboje;</w:t>
      </w:r>
    </w:p>
    <w:p w:rsidR="001F04ED" w:rsidRDefault="00DA52AD">
      <w:pPr>
        <w:ind w:firstLine="709"/>
        <w:jc w:val="both"/>
      </w:pPr>
      <w:r>
        <w:t>31.4. veislė ir mikroorganizmų kamienas, įregistruotas ne Lietuvoje;</w:t>
      </w:r>
    </w:p>
    <w:p w:rsidR="001F04ED" w:rsidRDefault="00DA52AD">
      <w:pPr>
        <w:ind w:firstLine="709"/>
        <w:jc w:val="both"/>
      </w:pPr>
      <w:r>
        <w:t>31.5. prekės ir dizaino ženklai;</w:t>
      </w:r>
    </w:p>
    <w:p w:rsidR="001F04ED" w:rsidRDefault="00DA52AD">
      <w:pPr>
        <w:ind w:firstLine="709"/>
        <w:jc w:val="both"/>
      </w:pPr>
      <w:r>
        <w:t>31.6. mokslinių tyrimų metu gautas atviras naujas skaitmeninis išteklius, duomenų bazė ar atviro kodo programinė įrangą, tinkama panaudoti MTEP;</w:t>
      </w:r>
    </w:p>
    <w:p w:rsidR="001F04ED" w:rsidRDefault="00DA52AD">
      <w:pPr>
        <w:ind w:firstLine="709"/>
        <w:jc w:val="both"/>
      </w:pPr>
      <w:r>
        <w:t>31.7. kitas MTEP veiklos produktas (moksliniais tyrimais ir praktine patirtimi sukauptu pažinimu pagrįstas procesas, sistema, paslauga, metodas, meno objektas arba kultūros ir visuomenės problemų sprendinys).</w:t>
      </w:r>
    </w:p>
    <w:p w:rsidR="001F04ED" w:rsidRDefault="00DA52AD">
      <w:pPr>
        <w:ind w:firstLine="709"/>
        <w:jc w:val="both"/>
      </w:pPr>
      <w:r>
        <w:t>32. Projekto parengtumui taikomas šis reikalavimas, kurio neįvykdžius paraiška atmetama neprašant papildomų dokumentų – iki paraiškos pateikimo pareiškėjas turi turėti veikiančią teisių, atsirandančių iš intelektinės veiklos rezultatų, valdymo tvarką, atitinkančią Rekomendacijų 10, 12, 16 ir 17 punktuose nustatytus reikalavimus ir tai patvirtinančius dokumentus.</w:t>
      </w:r>
    </w:p>
    <w:p w:rsidR="001F04ED" w:rsidRDefault="00DA52AD">
      <w:pPr>
        <w:ind w:firstLine="709"/>
        <w:jc w:val="both"/>
      </w:pPr>
      <w:r>
        <w:t>33.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1F04ED" w:rsidRDefault="00DA52AD">
      <w:pPr>
        <w:ind w:firstLine="709"/>
        <w:jc w:val="both"/>
      </w:pPr>
      <w:r>
        <w:t xml:space="preserve">34. Neturi būti numatyti projekto veiksmai, kurie turėtų neigiamą poveikį darnaus vystymosi principo įgyvendinimui. </w:t>
      </w:r>
    </w:p>
    <w:p w:rsidR="001F04ED" w:rsidRDefault="00DA52AD">
      <w:pPr>
        <w:overflowPunct w:val="0"/>
        <w:ind w:left="1276" w:hanging="567"/>
        <w:jc w:val="both"/>
        <w:textAlignment w:val="baseline"/>
      </w:pPr>
      <w:r>
        <w:lastRenderedPageBreak/>
        <w:t>35. Valstybės pagalbos nuostatų taikymas:</w:t>
      </w:r>
    </w:p>
    <w:p w:rsidR="001F04ED" w:rsidRDefault="00DA52AD">
      <w:pPr>
        <w:overflowPunct w:val="0"/>
        <w:ind w:firstLine="709"/>
        <w:jc w:val="both"/>
        <w:textAlignment w:val="baseline"/>
        <w:rPr>
          <w:szCs w:val="24"/>
        </w:rPr>
      </w:pPr>
      <w:r>
        <w:rPr>
          <w:szCs w:val="24"/>
        </w:rPr>
        <w:t>35.1. Mokslo ir studijų institucija ar universiteto ligoninė pagal šį Aprašą nelaikoma valstybės pagalbos gavėja, jei atitinka visas šias sąlygas:</w:t>
      </w:r>
    </w:p>
    <w:p w:rsidR="001F04ED" w:rsidRDefault="00DA52AD">
      <w:pPr>
        <w:overflowPunct w:val="0"/>
        <w:ind w:firstLine="709"/>
        <w:jc w:val="both"/>
        <w:textAlignment w:val="baseline"/>
        <w:rPr>
          <w:szCs w:val="24"/>
        </w:rPr>
      </w:pPr>
      <w:r>
        <w:rPr>
          <w:szCs w:val="24"/>
        </w:rPr>
        <w:t>35.1.1. projekte dalyvauja vykdydama neekonominę veiklą, kaip ji apibrėžiama Europos Komisijos pranešime „Komisijos pranešimas dėl Sutarties dėl Europos Sąjungos veikimo 107 straipsnio 1 dalyje vartojamos valstybės pagalbos sąvokos“ (OL 2016 C 262, p. 1</w:t>
      </w:r>
      <w:r>
        <w:rPr>
          <w:b/>
          <w:bCs/>
          <w:szCs w:val="24"/>
        </w:rPr>
        <w:t>–</w:t>
      </w:r>
      <w:r>
        <w:rPr>
          <w:szCs w:val="24"/>
        </w:rPr>
        <w:t xml:space="preserve">50) (angl. </w:t>
      </w:r>
      <w:r>
        <w:rPr>
          <w:i/>
          <w:szCs w:val="24"/>
        </w:rPr>
        <w:t>Commission Notice on the notion of State aid pursuant to Article 107(1) TFEU</w:t>
      </w:r>
      <w:r>
        <w:rPr>
          <w:szCs w:val="24"/>
        </w:rPr>
        <w:t>), kaip numatyta Bendrojo bendrosios išimties reglamento 49 punkte ir kaip ji apibrėžiama Komunikato 19 dalyje, ir veiklos pelną reinvestuoja į MTEP veiklą;</w:t>
      </w:r>
    </w:p>
    <w:p w:rsidR="001F04ED" w:rsidRDefault="00DA52AD">
      <w:pPr>
        <w:overflowPunct w:val="0"/>
        <w:ind w:firstLine="709"/>
        <w:jc w:val="both"/>
        <w:textAlignment w:val="baseline"/>
        <w:rPr>
          <w:szCs w:val="24"/>
        </w:rPr>
      </w:pPr>
      <w:r>
        <w:rPr>
          <w:szCs w:val="24"/>
        </w:rPr>
        <w:t>35.1.2. projekte vykdo ir nepriklausomus MTEP, kurie suprantami vadovaujantis Europos Komisijos 2015 m. vasario 25 d. raštu dėl Europos Komisijos galutinio sprendimo C(2012) 9855 dėl Lietuvos valstybės pagalbos bylos Nr. SA.34335 (2012/N) išaiškinimo, kuriame pabrėžiama, kad „nepriklausomais moksliniai tyrimai gali būti laikomi tik tada, jei jie netenkina specifinių konkrečios įmonės poreikių“.</w:t>
      </w:r>
    </w:p>
    <w:p w:rsidR="001F04ED" w:rsidRDefault="00DA52AD">
      <w:pPr>
        <w:overflowPunct w:val="0"/>
        <w:ind w:firstLine="709"/>
        <w:jc w:val="both"/>
        <w:textAlignment w:val="baseline"/>
      </w:pPr>
      <w:r>
        <w:rPr>
          <w:szCs w:val="24"/>
        </w:rPr>
        <w:t xml:space="preserve">35.2. Kai projekto pareiškėjas vykdo projektą kartu su partneriu arba pareiškėjas ir (arba) partneris yra pasirašęs ketinimų protokolą, sutartį ar kitos formos įpareigojantį dokumentą su įmone dėl MTEP veiklos rezultato, kurį planuojama sukurti projekto įgyvendinimo metu, panaudojimo, arba pareiškėjas ir (arba) partneris ketina įsteigti naują žinioms imlią (atžalinę) įmonę (angl. </w:t>
      </w:r>
      <w:r>
        <w:rPr>
          <w:i/>
          <w:szCs w:val="24"/>
        </w:rPr>
        <w:t>spin-off</w:t>
      </w:r>
      <w:r>
        <w:rPr>
          <w:szCs w:val="24"/>
        </w:rPr>
        <w:t>), kurioje bus komerciškai panaudoti projekto metu sukurti MTEP veiklos rezultatai, pagal Aprašą gali būti teikiama valstybės pagalba, kaip ji apibrėžta Sutarties dėl Europos Sąjungos veikimo (OL 2010 C 83, p. 47) 107 straipsnyje. Finansavimas, skiriamas kaip valstybės pagalba projektams, yra investicinė pagalba, teikiama pagal Reglamento (ES) Nr. 651/2014 25 ir 26 straipsnius, atsižvelgiant į I skyriaus nuostatas bei 1 straipsnio 2</w:t>
      </w:r>
      <w:r>
        <w:rPr>
          <w:b/>
          <w:bCs/>
          <w:szCs w:val="24"/>
        </w:rPr>
        <w:t>–</w:t>
      </w:r>
      <w:r>
        <w:rPr>
          <w:szCs w:val="24"/>
        </w:rPr>
        <w:t>5 dalyse nustatytus apribojimus. Aprašas nustato valstybės pagalbos mokslinių tyrimų plėtrai ir infrastruktūrai teikimo sąlygas, kurios atitinka Reglamento (ES) Nr. 651/2014 nuostatas ir yra suderinamos su vidaus rinka. Projektų valstybės pagalbos atitikties Reglamento (ES) Nr. 651/2014 25 ir 26 straipsnio nuostatoms vertinimą atlieka įgyvendinančioji institucija pagal Aprašo 4 priede nurodytus vertinimo kriterijus.</w:t>
      </w:r>
      <w:r>
        <w:t xml:space="preserve"> </w:t>
      </w:r>
    </w:p>
    <w:p w:rsidR="001F04ED" w:rsidRDefault="00DA52AD">
      <w:pPr>
        <w:ind w:firstLine="709"/>
        <w:jc w:val="both"/>
      </w:pPr>
      <w:r>
        <w:t>36. Jei pagal Aprašą teikiama valstybės pagalba, laikoma, kad ji turi skatinamąjį poveikį, ir atitinka Reglamento Nr. 651/2014 6 straipsnio 2 dalies nuostatas.</w:t>
      </w:r>
    </w:p>
    <w:p w:rsidR="001F04ED" w:rsidRDefault="00DA52AD">
      <w:pPr>
        <w:ind w:firstLine="709"/>
        <w:jc w:val="both"/>
      </w:pPr>
      <w:r>
        <w:t>37. Duomenys apie suteiktą valstybės pagalbą teikiami Suteiktos valstybės pagalbos ir nereikšmingos (</w:t>
      </w:r>
      <w:r>
        <w:rPr>
          <w:i/>
        </w:rPr>
        <w:t>de minimis</w:t>
      </w:r>
      <w:r>
        <w:t>) pagalbos registrui Suteiktos valstybės pagalbos ir nereikšmingos (</w:t>
      </w:r>
      <w:r>
        <w:rPr>
          <w:i/>
        </w:rPr>
        <w:t>de minimis</w:t>
      </w:r>
      <w:r>
        <w:t>) pagalbos registro nuostatuose, patvirtintuose Lietuvos Respublikos Vyriausybės 2005 m. sausio 19 d. nutarimu Nr. 35 „</w:t>
      </w:r>
      <w:r>
        <w:rPr>
          <w:bCs/>
        </w:rPr>
        <w:t>Dėl Suteiktos valstybės pagalbos ir nereikšmingos (</w:t>
      </w:r>
      <w:r>
        <w:rPr>
          <w:bCs/>
          <w:i/>
          <w:iCs/>
        </w:rPr>
        <w:t>de minimis</w:t>
      </w:r>
      <w:r>
        <w:rPr>
          <w:bCs/>
        </w:rPr>
        <w:t>) pagalbos registro nuostatų patvirtinimo</w:t>
      </w:r>
      <w:r>
        <w:t>“, nustatyta tvarka.</w:t>
      </w:r>
    </w:p>
    <w:p w:rsidR="001F04ED" w:rsidRDefault="001F04ED">
      <w:pPr>
        <w:rPr>
          <w:lang w:eastAsia="lt-LT"/>
        </w:rPr>
      </w:pPr>
    </w:p>
    <w:p w:rsidR="001F04ED" w:rsidRDefault="00DA52AD">
      <w:pPr>
        <w:keepNext/>
        <w:jc w:val="center"/>
        <w:rPr>
          <w:b/>
          <w:szCs w:val="24"/>
          <w:lang w:eastAsia="lt-LT"/>
        </w:rPr>
      </w:pPr>
      <w:r>
        <w:rPr>
          <w:b/>
          <w:szCs w:val="24"/>
          <w:lang w:eastAsia="lt-LT"/>
        </w:rPr>
        <w:t>IV SKYRIUS</w:t>
      </w:r>
    </w:p>
    <w:p w:rsidR="001F04ED" w:rsidRDefault="00DA52AD">
      <w:pPr>
        <w:keepNext/>
        <w:ind w:firstLine="62"/>
        <w:jc w:val="center"/>
        <w:rPr>
          <w:b/>
          <w:szCs w:val="24"/>
          <w:lang w:eastAsia="lt-LT"/>
        </w:rPr>
      </w:pPr>
      <w:r>
        <w:rPr>
          <w:b/>
          <w:szCs w:val="24"/>
          <w:lang w:eastAsia="lt-LT"/>
        </w:rPr>
        <w:t>TINKAMŲ FINANSUOTI PROJEKTO IŠLAIDŲ IR FINANSAVIMO REIKALAVIMAI</w:t>
      </w:r>
    </w:p>
    <w:p w:rsidR="001F04ED" w:rsidRDefault="001F04ED">
      <w:pPr>
        <w:keepNext/>
        <w:rPr>
          <w:lang w:eastAsia="lt-LT"/>
        </w:rPr>
      </w:pPr>
    </w:p>
    <w:p w:rsidR="001F04ED" w:rsidRDefault="00DA52AD">
      <w:pPr>
        <w:ind w:firstLine="709"/>
        <w:jc w:val="both"/>
        <w:rPr>
          <w:lang w:eastAsia="lt-LT"/>
        </w:rPr>
      </w:pPr>
      <w:r>
        <w:rPr>
          <w:lang w:eastAsia="lt-LT"/>
        </w:rPr>
        <w:t xml:space="preserve">38. Projekto išlaidos turi atitikti Projektų taisyklių VI skyriuje ir Rekomendacijose dėl projektų išlaidų atitikties Europos Sąjungos struktūrinių fondų reikalavimams išdėstytus projekto išlaidoms taikomus reikalavimus bei </w:t>
      </w:r>
      <w:r>
        <w:t>Reglamento Nr. 651/2014 25 ir 26 straipsniuose nustatytus reikalavimus.</w:t>
      </w:r>
      <w:r>
        <w:rPr>
          <w:lang w:eastAsia="lt-LT"/>
        </w:rPr>
        <w:t xml:space="preserve"> </w:t>
      </w:r>
      <w:r>
        <w:t>Pagal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rsidR="001F04ED" w:rsidRDefault="00DA52AD">
      <w:pPr>
        <w:ind w:firstLine="709"/>
        <w:jc w:val="both"/>
        <w:rPr>
          <w:lang w:eastAsia="lt-LT"/>
        </w:rPr>
      </w:pPr>
      <w:r>
        <w:rPr>
          <w:lang w:eastAsia="lt-LT"/>
        </w:rPr>
        <w:t>39. Didžiausia galima projektui skirti finansavimo lėšų suma yra 1 000 000,00 Eur (vienas milijonas eurų).</w:t>
      </w:r>
    </w:p>
    <w:p w:rsidR="001F04ED" w:rsidRDefault="00DA52AD">
      <w:pPr>
        <w:ind w:firstLine="709"/>
        <w:jc w:val="both"/>
        <w:rPr>
          <w:lang w:eastAsia="lt-LT"/>
        </w:rPr>
      </w:pPr>
      <w:r>
        <w:rPr>
          <w:lang w:eastAsia="lt-LT"/>
        </w:rPr>
        <w:t>40. Mažiausia projektui galima sk</w:t>
      </w:r>
      <w:r w:rsidR="00ED1255">
        <w:rPr>
          <w:lang w:eastAsia="lt-LT"/>
        </w:rPr>
        <w:t xml:space="preserve">irti finansavimo lėšų suma yra </w:t>
      </w:r>
      <w:r w:rsidR="00ED1255" w:rsidRPr="00ED1255">
        <w:rPr>
          <w:lang w:eastAsia="lt-LT"/>
        </w:rPr>
        <w:t>300 000</w:t>
      </w:r>
      <w:r w:rsidR="00ED1255">
        <w:rPr>
          <w:lang w:eastAsia="lt-LT"/>
        </w:rPr>
        <w:t>,00 Eur (trys šimtai</w:t>
      </w:r>
      <w:r>
        <w:rPr>
          <w:lang w:eastAsia="lt-LT"/>
        </w:rPr>
        <w:t xml:space="preserve"> tūkstančių eurų).</w:t>
      </w:r>
    </w:p>
    <w:p w:rsidR="001F04ED" w:rsidRDefault="00DA52AD">
      <w:pPr>
        <w:overflowPunct w:val="0"/>
        <w:ind w:firstLine="709"/>
        <w:jc w:val="both"/>
        <w:textAlignment w:val="baseline"/>
        <w:rPr>
          <w:lang w:eastAsia="lt-LT"/>
        </w:rPr>
      </w:pPr>
      <w:r>
        <w:t xml:space="preserve">41. Didžiausia galima projekto finansuojamoji dalis sudaro 100 proc. visų tinkamų finansuoti projekto išlaidų, kai yra tenkinamos Aprašo 35.1 papunktyje nurodytos sąlygos. Pareiškėjas ir (arba) partneris savo iniciatyva ir savo ir (arba) kitų šaltinių lėšomis gali prisidėti prie projekto </w:t>
      </w:r>
      <w:r>
        <w:lastRenderedPageBreak/>
        <w:t>įgyvendinimo. Kai projektas atitinka valstybės pagalbos reikalavimus, didžiausia galima projekto finansuojamoji dalis nustatyta Aprašo 45 punkte.</w:t>
      </w:r>
    </w:p>
    <w:p w:rsidR="001F04ED" w:rsidRDefault="00DA52AD">
      <w:pPr>
        <w:ind w:firstLine="709"/>
        <w:jc w:val="both"/>
        <w:rPr>
          <w:lang w:eastAsia="lt-LT"/>
        </w:rPr>
      </w:pPr>
      <w:r>
        <w:rPr>
          <w:lang w:eastAsia="lt-LT"/>
        </w:rPr>
        <w:t>42. Negali būti finansuojamos to paties turto įsigijimo ir finansinės nuomos (lizingo) išlaidos ir nusidėvėjimo sąnaudos, t. y. tas pats ilgalaikis turtas arba įsigyjamas (įskaitant ir finansinę nuomą (lizingą), kaip numatyta 48 punkte, arba finansuojamas to paties ilgalaikio turto nusidėvėjimo sąnaudos, taikant Reglamento Nr. 651/2014 25 ir 26 straipsnius.</w:t>
      </w:r>
    </w:p>
    <w:p w:rsidR="001F04ED" w:rsidRDefault="00DA52AD">
      <w:pPr>
        <w:ind w:firstLine="709"/>
        <w:jc w:val="both"/>
        <w:rPr>
          <w:lang w:eastAsia="lt-LT"/>
        </w:rPr>
      </w:pPr>
      <w:r>
        <w:rPr>
          <w:lang w:eastAsia="lt-LT"/>
        </w:rPr>
        <w:t>43. Pareiškėjas, norėdamas įsigyti turtą finansinės nuomos (lizingo) būdu, turi raštiškai pagrįsti, kodėl finansinė nuoma (lizingas) yra ekonomiškiausias būdas pasinaudoti turtu.</w:t>
      </w:r>
    </w:p>
    <w:p w:rsidR="001F04ED" w:rsidRDefault="00DA52AD">
      <w:pPr>
        <w:ind w:firstLine="709"/>
        <w:jc w:val="both"/>
        <w:rPr>
          <w:lang w:eastAsia="lt-LT"/>
        </w:rPr>
      </w:pPr>
      <w:r>
        <w:rPr>
          <w:rFonts w:eastAsia="Calibri"/>
          <w:szCs w:val="24"/>
        </w:rPr>
        <w:t>44. Projekto biudžetas sudaromas vadovaujantis Rekomendacijomis dėl projektų išlaidų atitikties Europos Sąjungos struktūrinių fondų reikalavimams. Jeigu projektas įgyvendinamas su partneriais, pareiškėjas turi patirti ne mažiau kaip 50 proc. tinkamų finansuoti išlaidų.</w:t>
      </w:r>
      <w:r>
        <w:t xml:space="preserve"> </w:t>
      </w:r>
    </w:p>
    <w:p w:rsidR="001F04ED" w:rsidRDefault="00DA52AD">
      <w:pPr>
        <w:ind w:firstLine="709"/>
        <w:jc w:val="both"/>
        <w:rPr>
          <w:rFonts w:eastAsia="Calibri"/>
          <w:szCs w:val="24"/>
        </w:rPr>
      </w:pPr>
      <w:r>
        <w:rPr>
          <w:rFonts w:eastAsia="Calibri"/>
          <w:szCs w:val="24"/>
        </w:rPr>
        <w:t xml:space="preserve">45. Jeigu projektui taikoma valstybės pagalba ir projektas yra vykdomas kartu su partneriu privačiuoju juridiniu asmeniu arba pareiškėjas ir (arba) partneris yra pasirašęs ketinimų protokolą, sutartį ar kitos formos įpareigojantį dokumentą su įmone dėl MTEP veiklos rezultato, kurį planuojama sukurti projekto įgyvendinimo metu, panaudojimo, arba pareiškėjas ir (arba) partneris ketina įsteigti naują žinioms imlią (atžalinę) įmonę (angl. </w:t>
      </w:r>
      <w:r>
        <w:rPr>
          <w:rFonts w:eastAsia="Calibri"/>
          <w:i/>
          <w:szCs w:val="24"/>
        </w:rPr>
        <w:t>spin-off</w:t>
      </w:r>
      <w:r>
        <w:rPr>
          <w:rFonts w:eastAsia="Calibri"/>
          <w:szCs w:val="24"/>
        </w:rPr>
        <w:t>), kurioje bus komerciškai panaudoti projekto metu sukurti MTEP veiklos rezultatai, didžiausia galima projekto finansuojamoji dalis moksliniams tyrimams ir eksperimentinei plėtrai nurodyta Aprašo 1 lentelėje. Mokslinių tyrimų infrastruktūrai (įrangai, kuri nurodyta Aprašo 48 punkto 4 išlaidų kategorijos 1 punkte) didžiausia galima projekto finansuojamoji dalis sudaro 50 proc. tinkamų finansuoti išlaidų.</w:t>
      </w:r>
    </w:p>
    <w:p w:rsidR="001F04ED" w:rsidRDefault="001F04ED">
      <w:pPr>
        <w:ind w:firstLine="1276"/>
        <w:jc w:val="both"/>
        <w:rPr>
          <w:rFonts w:eastAsia="Calibri"/>
          <w:szCs w:val="24"/>
        </w:rPr>
      </w:pPr>
    </w:p>
    <w:p w:rsidR="001F04ED" w:rsidRDefault="00DA52AD">
      <w:pPr>
        <w:ind w:firstLine="851"/>
        <w:jc w:val="both"/>
        <w:rPr>
          <w:rFonts w:eastAsia="Calibri"/>
          <w:szCs w:val="24"/>
        </w:rPr>
      </w:pPr>
      <w:r>
        <w:rPr>
          <w:szCs w:val="24"/>
          <w:lang w:eastAsia="lt-LT"/>
        </w:rPr>
        <w:t xml:space="preserve">1 lentelė. Projekto finansuojamoji dalis.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21"/>
        <w:gridCol w:w="993"/>
        <w:gridCol w:w="1134"/>
        <w:gridCol w:w="1275"/>
        <w:gridCol w:w="1418"/>
        <w:gridCol w:w="992"/>
        <w:gridCol w:w="1134"/>
        <w:gridCol w:w="851"/>
      </w:tblGrid>
      <w:tr w:rsidR="001F04ED">
        <w:trPr>
          <w:trHeight w:val="412"/>
        </w:trPr>
        <w:tc>
          <w:tcPr>
            <w:tcW w:w="67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1F04ED" w:rsidRDefault="00DA52AD">
            <w:pPr>
              <w:tabs>
                <w:tab w:val="left" w:pos="318"/>
              </w:tabs>
              <w:rPr>
                <w:rFonts w:eastAsia="Calibri"/>
                <w:i/>
                <w:szCs w:val="24"/>
                <w:lang w:eastAsia="lt-LT"/>
              </w:rPr>
            </w:pPr>
            <w:r>
              <w:rPr>
                <w:rFonts w:eastAsia="Calibri"/>
                <w:i/>
                <w:szCs w:val="24"/>
                <w:lang w:eastAsia="lt-LT"/>
              </w:rPr>
              <w:t>Eil.Nr.</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E7E6E6"/>
          </w:tcPr>
          <w:p w:rsidR="001F04ED" w:rsidRDefault="001F04ED">
            <w:pPr>
              <w:tabs>
                <w:tab w:val="left" w:pos="426"/>
              </w:tabs>
              <w:jc w:val="both"/>
              <w:rPr>
                <w:rFonts w:eastAsia="Calibri"/>
                <w:i/>
                <w:szCs w:val="24"/>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rsidR="001F04ED" w:rsidRDefault="001F04ED">
            <w:pPr>
              <w:tabs>
                <w:tab w:val="left" w:pos="426"/>
              </w:tabs>
              <w:jc w:val="both"/>
              <w:rPr>
                <w:rFonts w:eastAsia="Calibri"/>
                <w:i/>
                <w:szCs w:val="24"/>
                <w:lang w:eastAsia="lt-LT"/>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jc w:val="center"/>
              <w:rPr>
                <w:rFonts w:eastAsia="Calibri"/>
                <w:i/>
                <w:szCs w:val="24"/>
                <w:lang w:eastAsia="lt-LT"/>
              </w:rPr>
            </w:pPr>
            <w:r>
              <w:rPr>
                <w:rFonts w:eastAsia="Calibri"/>
                <w:i/>
                <w:szCs w:val="24"/>
                <w:lang w:eastAsia="lt-LT"/>
              </w:rPr>
              <w:t>Galimas bazinės finansuojamosios dalies padidinimas, bet ne daugiau nei iki 80 procentų tinkamų finansuoti išlaidų</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rsidR="001F04ED" w:rsidRDefault="00DA52AD">
            <w:pPr>
              <w:tabs>
                <w:tab w:val="left" w:pos="426"/>
              </w:tabs>
              <w:jc w:val="center"/>
              <w:rPr>
                <w:rFonts w:eastAsia="Calibri"/>
                <w:i/>
                <w:szCs w:val="24"/>
                <w:lang w:eastAsia="lt-LT"/>
              </w:rPr>
            </w:pPr>
            <w:r>
              <w:rPr>
                <w:rFonts w:eastAsia="Calibri"/>
                <w:i/>
                <w:szCs w:val="24"/>
                <w:lang w:eastAsia="lt-LT"/>
              </w:rPr>
              <w:t xml:space="preserve">Didžiausia galima finansuojamoji dalis atsižvelgiant į valstybės pagalbos gavėjo statusą </w:t>
            </w:r>
          </w:p>
        </w:tc>
      </w:tr>
      <w:tr w:rsidR="001F04ED">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04ED" w:rsidRDefault="001F04ED">
            <w:pPr>
              <w:rPr>
                <w:rFonts w:eastAsia="Calibri"/>
                <w:i/>
                <w:szCs w:val="24"/>
                <w:lang w:eastAsia="lt-LT"/>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F04ED" w:rsidRDefault="001F04ED">
            <w:pPr>
              <w:rPr>
                <w:rFonts w:eastAsia="Calibri"/>
                <w:i/>
                <w:szCs w:val="24"/>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1F04ED" w:rsidRDefault="00DA52AD">
            <w:pPr>
              <w:rPr>
                <w:rFonts w:eastAsia="Calibri"/>
                <w:i/>
                <w:szCs w:val="24"/>
                <w:lang w:eastAsia="lt-LT"/>
              </w:rPr>
            </w:pPr>
            <w:r>
              <w:rPr>
                <w:rFonts w:eastAsia="Calibri"/>
                <w:i/>
                <w:szCs w:val="24"/>
                <w:lang w:eastAsia="lt-LT"/>
              </w:rPr>
              <w:t>Bazinė finan-suoja-moji dalis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jc w:val="both"/>
              <w:rPr>
                <w:rFonts w:eastAsia="Calibri"/>
                <w:i/>
                <w:szCs w:val="24"/>
                <w:lang w:eastAsia="lt-LT"/>
              </w:rPr>
            </w:pPr>
            <w:r>
              <w:rPr>
                <w:rFonts w:eastAsia="Calibri"/>
                <w:i/>
                <w:szCs w:val="24"/>
                <w:lang w:eastAsia="lt-LT"/>
              </w:rPr>
              <w:t xml:space="preserve">Padidi-nama viduti-nėms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rPr>
                <w:rFonts w:eastAsia="Calibri"/>
                <w:i/>
                <w:szCs w:val="24"/>
                <w:lang w:eastAsia="lt-LT"/>
              </w:rPr>
            </w:pPr>
            <w:r>
              <w:rPr>
                <w:rFonts w:eastAsia="Calibri"/>
                <w:i/>
                <w:szCs w:val="24"/>
                <w:lang w:eastAsia="lt-LT"/>
              </w:rPr>
              <w:t xml:space="preserve">Padidina-ma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rPr>
                <w:rFonts w:eastAsia="Calibri"/>
                <w:i/>
                <w:szCs w:val="24"/>
                <w:lang w:eastAsia="lt-LT"/>
              </w:rPr>
            </w:pPr>
            <w:r>
              <w:rPr>
                <w:rFonts w:eastAsia="Calibri"/>
                <w:i/>
                <w:szCs w:val="24"/>
                <w:lang w:eastAsia="lt-LT"/>
              </w:rPr>
              <w:t xml:space="preserve">Padidinama už veiksmin-gą bendradar-biavimą, jei tenkinamos Reglamento Nr. 651/2014 25 straipsnio 6 punkto b papunktyje nurodytos sąlygos </w:t>
            </w:r>
          </w:p>
        </w:tc>
        <w:tc>
          <w:tcPr>
            <w:tcW w:w="992"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rPr>
                <w:rFonts w:eastAsia="Calibri"/>
                <w:i/>
                <w:szCs w:val="24"/>
                <w:lang w:eastAsia="lt-LT"/>
              </w:rPr>
            </w:pPr>
            <w:r>
              <w:rPr>
                <w:rFonts w:eastAsia="Calibri"/>
                <w:i/>
                <w:szCs w:val="24"/>
                <w:lang w:eastAsia="lt-LT"/>
              </w:rPr>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rPr>
                <w:rFonts w:eastAsia="Calibri"/>
                <w:i/>
                <w:szCs w:val="24"/>
                <w:lang w:eastAsia="lt-LT"/>
              </w:rPr>
            </w:pPr>
            <w:r>
              <w:rPr>
                <w:rFonts w:eastAsia="Calibri"/>
                <w:i/>
                <w:szCs w:val="24"/>
                <w:lang w:eastAsia="lt-LT"/>
              </w:rPr>
              <w:t xml:space="preserve">Vidutinė įmonė </w:t>
            </w:r>
          </w:p>
        </w:tc>
        <w:tc>
          <w:tcPr>
            <w:tcW w:w="851"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rPr>
                <w:rFonts w:eastAsia="Calibri"/>
                <w:i/>
                <w:szCs w:val="24"/>
                <w:lang w:eastAsia="lt-LT"/>
              </w:rPr>
            </w:pPr>
            <w:r>
              <w:rPr>
                <w:rFonts w:eastAsia="Calibri"/>
                <w:i/>
                <w:szCs w:val="24"/>
                <w:lang w:eastAsia="lt-LT"/>
              </w:rPr>
              <w:t xml:space="preserve">Labai maža ir maža įmonė </w:t>
            </w:r>
          </w:p>
        </w:tc>
      </w:tr>
      <w:tr w:rsidR="001F04ED">
        <w:tc>
          <w:tcPr>
            <w:tcW w:w="675"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jc w:val="both"/>
              <w:rPr>
                <w:rFonts w:eastAsia="Calibri"/>
                <w:i/>
                <w:szCs w:val="24"/>
                <w:lang w:eastAsia="lt-LT"/>
              </w:rPr>
            </w:pPr>
            <w:r>
              <w:rPr>
                <w:rFonts w:eastAsia="Calibri"/>
                <w:i/>
                <w:szCs w:val="24"/>
                <w:lang w:eastAsia="lt-LT"/>
              </w:rPr>
              <w:t>1.</w:t>
            </w:r>
          </w:p>
        </w:tc>
        <w:tc>
          <w:tcPr>
            <w:tcW w:w="1021"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jc w:val="both"/>
              <w:rPr>
                <w:rFonts w:eastAsia="Calibri"/>
                <w:i/>
                <w:szCs w:val="24"/>
                <w:lang w:eastAsia="lt-LT"/>
              </w:rPr>
            </w:pPr>
            <w:r>
              <w:rPr>
                <w:rFonts w:eastAsia="Calibri"/>
                <w:i/>
                <w:szCs w:val="24"/>
                <w:lang w:eastAsia="lt-LT"/>
              </w:rPr>
              <w:t>Moksli-niai tyrimai</w:t>
            </w:r>
          </w:p>
        </w:tc>
        <w:tc>
          <w:tcPr>
            <w:tcW w:w="993"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50 proc.</w:t>
            </w:r>
          </w:p>
        </w:tc>
        <w:tc>
          <w:tcPr>
            <w:tcW w:w="1134" w:type="dxa"/>
            <w:tcBorders>
              <w:top w:val="single" w:sz="4" w:space="0" w:color="auto"/>
              <w:left w:val="single" w:sz="4" w:space="0" w:color="auto"/>
              <w:bottom w:val="single" w:sz="4" w:space="0" w:color="auto"/>
              <w:right w:val="single" w:sz="4" w:space="0" w:color="auto"/>
            </w:tcBorders>
            <w:hideMark/>
          </w:tcPr>
          <w:p w:rsidR="001F04ED" w:rsidRDefault="00DA52AD">
            <w:pPr>
              <w:rPr>
                <w:rFonts w:eastAsia="Calibri"/>
                <w:szCs w:val="24"/>
                <w:lang w:eastAsia="lt-LT"/>
              </w:rPr>
            </w:pPr>
            <w:r>
              <w:rPr>
                <w:rFonts w:eastAsia="Calibri"/>
                <w:szCs w:val="24"/>
                <w:lang w:eastAsia="lt-LT"/>
              </w:rPr>
              <w:t xml:space="preserve">+10 procenti-nių punktų </w:t>
            </w:r>
          </w:p>
        </w:tc>
        <w:tc>
          <w:tcPr>
            <w:tcW w:w="1275" w:type="dxa"/>
            <w:tcBorders>
              <w:top w:val="single" w:sz="4" w:space="0" w:color="auto"/>
              <w:left w:val="single" w:sz="4" w:space="0" w:color="auto"/>
              <w:bottom w:val="single" w:sz="4" w:space="0" w:color="auto"/>
              <w:right w:val="single" w:sz="4" w:space="0" w:color="auto"/>
            </w:tcBorders>
            <w:hideMark/>
          </w:tcPr>
          <w:p w:rsidR="001F04ED" w:rsidRDefault="00DA52AD">
            <w:pPr>
              <w:rPr>
                <w:rFonts w:eastAsia="Calibri"/>
                <w:szCs w:val="24"/>
                <w:lang w:eastAsia="lt-LT"/>
              </w:rPr>
            </w:pPr>
            <w:r>
              <w:rPr>
                <w:rFonts w:eastAsia="Calibri"/>
                <w:szCs w:val="24"/>
                <w:lang w:eastAsia="lt-LT"/>
              </w:rPr>
              <w:t>+20 procenti-nių punktų</w:t>
            </w:r>
          </w:p>
        </w:tc>
        <w:tc>
          <w:tcPr>
            <w:tcW w:w="1418" w:type="dxa"/>
            <w:tcBorders>
              <w:top w:val="single" w:sz="4" w:space="0" w:color="auto"/>
              <w:left w:val="single" w:sz="4" w:space="0" w:color="auto"/>
              <w:bottom w:val="single" w:sz="4" w:space="0" w:color="auto"/>
              <w:right w:val="single" w:sz="4" w:space="0" w:color="auto"/>
            </w:tcBorders>
            <w:hideMark/>
          </w:tcPr>
          <w:p w:rsidR="001F04ED" w:rsidRDefault="00DA52AD">
            <w:pPr>
              <w:rPr>
                <w:rFonts w:eastAsia="Calibri"/>
                <w:szCs w:val="24"/>
                <w:lang w:eastAsia="lt-LT"/>
              </w:rPr>
            </w:pPr>
            <w:r>
              <w:rPr>
                <w:rFonts w:eastAsia="Calibri"/>
                <w:szCs w:val="24"/>
                <w:lang w:eastAsia="lt-LT"/>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65 proc.</w:t>
            </w:r>
          </w:p>
        </w:tc>
        <w:tc>
          <w:tcPr>
            <w:tcW w:w="1134"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75 proc.</w:t>
            </w:r>
          </w:p>
        </w:tc>
        <w:tc>
          <w:tcPr>
            <w:tcW w:w="851"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80 proc.</w:t>
            </w:r>
          </w:p>
        </w:tc>
      </w:tr>
      <w:tr w:rsidR="001F04ED">
        <w:tc>
          <w:tcPr>
            <w:tcW w:w="675"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jc w:val="both"/>
              <w:rPr>
                <w:rFonts w:eastAsia="Calibri"/>
                <w:i/>
                <w:szCs w:val="24"/>
                <w:lang w:eastAsia="lt-LT"/>
              </w:rPr>
            </w:pPr>
            <w:r>
              <w:rPr>
                <w:rFonts w:eastAsia="Calibri"/>
                <w:i/>
                <w:szCs w:val="24"/>
                <w:lang w:eastAsia="lt-LT"/>
              </w:rPr>
              <w:t>2.</w:t>
            </w:r>
          </w:p>
        </w:tc>
        <w:tc>
          <w:tcPr>
            <w:tcW w:w="1021" w:type="dxa"/>
            <w:tcBorders>
              <w:top w:val="single" w:sz="4" w:space="0" w:color="auto"/>
              <w:left w:val="single" w:sz="4" w:space="0" w:color="auto"/>
              <w:bottom w:val="single" w:sz="4" w:space="0" w:color="auto"/>
              <w:right w:val="single" w:sz="4" w:space="0" w:color="auto"/>
            </w:tcBorders>
            <w:shd w:val="clear" w:color="auto" w:fill="E7E6E6"/>
            <w:hideMark/>
          </w:tcPr>
          <w:p w:rsidR="001F04ED" w:rsidRDefault="00DA52AD">
            <w:pPr>
              <w:tabs>
                <w:tab w:val="left" w:pos="426"/>
              </w:tabs>
              <w:jc w:val="both"/>
              <w:rPr>
                <w:rFonts w:eastAsia="Calibri"/>
                <w:i/>
                <w:szCs w:val="24"/>
                <w:lang w:eastAsia="lt-LT"/>
              </w:rPr>
            </w:pPr>
            <w:r>
              <w:rPr>
                <w:rFonts w:eastAsia="Calibri"/>
                <w:i/>
                <w:szCs w:val="24"/>
                <w:lang w:eastAsia="lt-LT"/>
              </w:rPr>
              <w:t xml:space="preserve">Ekspe-rimenti-nė plėtra </w:t>
            </w:r>
          </w:p>
        </w:tc>
        <w:tc>
          <w:tcPr>
            <w:tcW w:w="993"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25 proc.</w:t>
            </w:r>
          </w:p>
        </w:tc>
        <w:tc>
          <w:tcPr>
            <w:tcW w:w="1134"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 xml:space="preserve">+10 procenti-nių punktų </w:t>
            </w:r>
          </w:p>
        </w:tc>
        <w:tc>
          <w:tcPr>
            <w:tcW w:w="1275"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 xml:space="preserve">+20 procenti-nių punktų </w:t>
            </w:r>
          </w:p>
        </w:tc>
        <w:tc>
          <w:tcPr>
            <w:tcW w:w="1418"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40 proc.</w:t>
            </w:r>
          </w:p>
        </w:tc>
        <w:tc>
          <w:tcPr>
            <w:tcW w:w="1134"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50 proc.</w:t>
            </w:r>
          </w:p>
        </w:tc>
        <w:tc>
          <w:tcPr>
            <w:tcW w:w="851" w:type="dxa"/>
            <w:tcBorders>
              <w:top w:val="single" w:sz="4" w:space="0" w:color="auto"/>
              <w:left w:val="single" w:sz="4" w:space="0" w:color="auto"/>
              <w:bottom w:val="single" w:sz="4" w:space="0" w:color="auto"/>
              <w:right w:val="single" w:sz="4" w:space="0" w:color="auto"/>
            </w:tcBorders>
            <w:hideMark/>
          </w:tcPr>
          <w:p w:rsidR="001F04ED" w:rsidRDefault="00DA52AD">
            <w:pPr>
              <w:tabs>
                <w:tab w:val="left" w:pos="426"/>
              </w:tabs>
              <w:jc w:val="both"/>
              <w:rPr>
                <w:rFonts w:eastAsia="Calibri"/>
                <w:szCs w:val="24"/>
                <w:lang w:eastAsia="lt-LT"/>
              </w:rPr>
            </w:pPr>
            <w:r>
              <w:rPr>
                <w:rFonts w:eastAsia="Calibri"/>
                <w:szCs w:val="24"/>
                <w:lang w:eastAsia="lt-LT"/>
              </w:rPr>
              <w:t>60 proc.</w:t>
            </w:r>
          </w:p>
        </w:tc>
      </w:tr>
    </w:tbl>
    <w:p w:rsidR="001F04ED" w:rsidRDefault="001F04ED">
      <w:pPr>
        <w:jc w:val="both"/>
        <w:rPr>
          <w:lang w:eastAsia="lt-LT"/>
        </w:rPr>
      </w:pPr>
    </w:p>
    <w:p w:rsidR="001F04ED" w:rsidRDefault="00DA52AD">
      <w:pPr>
        <w:ind w:firstLine="709"/>
        <w:jc w:val="both"/>
        <w:rPr>
          <w:lang w:eastAsia="lt-LT"/>
        </w:rPr>
      </w:pPr>
      <w:r>
        <w:rPr>
          <w:lang w:eastAsia="lt-LT"/>
        </w:rPr>
        <w:t>46. Projekto finansuojamoji dalis kiekvienam valstybės pagalbos gavėjui (įskaitant partnerį) nustatoma atskirai.</w:t>
      </w:r>
    </w:p>
    <w:p w:rsidR="001F04ED" w:rsidRDefault="00DA52AD">
      <w:pPr>
        <w:ind w:firstLine="709"/>
        <w:jc w:val="both"/>
        <w:rPr>
          <w:lang w:eastAsia="lt-LT"/>
        </w:rPr>
      </w:pPr>
      <w:r>
        <w:rPr>
          <w:lang w:eastAsia="lt-LT"/>
        </w:rPr>
        <w:lastRenderedPageBreak/>
        <w:t xml:space="preserve">47. Projekto tinkamų finansuoti išlaidų dalis, kurios nepadengia projektui skiriamo finansavimo lėšos, turi būti finansuojama iš projekto vykdytojo ir (ar) partnerio (-ių) lėšų. </w:t>
      </w:r>
    </w:p>
    <w:p w:rsidR="001F04ED" w:rsidRDefault="00DA52AD">
      <w:pPr>
        <w:ind w:firstLine="709"/>
        <w:jc w:val="both"/>
        <w:rPr>
          <w:rFonts w:eastAsia="Calibri"/>
          <w:szCs w:val="24"/>
        </w:rPr>
      </w:pPr>
      <w:r>
        <w:rPr>
          <w:rFonts w:eastAsia="Calibri"/>
          <w:szCs w:val="24"/>
        </w:rPr>
        <w:t>48. Pagal Aprašą tinkamų arba netinkamų finansuoti išlaidų kategorijos nurodytos Aprašo 2 lentelėje.</w:t>
      </w:r>
    </w:p>
    <w:p w:rsidR="001F04ED" w:rsidRDefault="001F04ED">
      <w:pPr>
        <w:ind w:firstLine="1276"/>
        <w:jc w:val="both"/>
        <w:rPr>
          <w:rFonts w:eastAsia="Calibri"/>
          <w:szCs w:val="24"/>
        </w:rPr>
      </w:pPr>
    </w:p>
    <w:p w:rsidR="001F04ED" w:rsidRDefault="00DA52AD">
      <w:pPr>
        <w:ind w:firstLine="709"/>
        <w:jc w:val="both"/>
        <w:rPr>
          <w:rFonts w:eastAsia="Calibri"/>
          <w:szCs w:val="24"/>
        </w:rPr>
      </w:pPr>
      <w:r>
        <w:rPr>
          <w:rFonts w:eastAsia="Calibri"/>
          <w:szCs w:val="24"/>
        </w:rPr>
        <w:t>2 lentelė. Tinkamų arba netinkamų finansuoti išlaidų kategorijos.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1843"/>
        <w:gridCol w:w="6237"/>
      </w:tblGrid>
      <w:tr w:rsidR="001F04ED">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ind w:left="-57" w:right="-57"/>
              <w:jc w:val="center"/>
              <w:rPr>
                <w:b/>
                <w:bCs/>
                <w:szCs w:val="24"/>
                <w:lang w:eastAsia="lt-LT"/>
              </w:rPr>
            </w:pPr>
            <w:r>
              <w:rPr>
                <w:b/>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ind w:left="-57" w:right="-57"/>
              <w:jc w:val="center"/>
              <w:rPr>
                <w:b/>
                <w:bCs/>
                <w:szCs w:val="24"/>
                <w:lang w:eastAsia="lt-LT"/>
              </w:rPr>
            </w:pPr>
            <w:r>
              <w:rPr>
                <w:b/>
                <w:bCs/>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ind w:left="-57" w:right="-57"/>
              <w:jc w:val="center"/>
              <w:rPr>
                <w:b/>
                <w:szCs w:val="24"/>
                <w:lang w:eastAsia="lt-LT"/>
              </w:rPr>
            </w:pPr>
            <w:r>
              <w:rPr>
                <w:b/>
                <w:szCs w:val="24"/>
                <w:lang w:eastAsia="lt-LT"/>
              </w:rPr>
              <w:t>Reikalavimai ir paaiškinimai</w:t>
            </w:r>
          </w:p>
        </w:tc>
      </w:tr>
      <w:tr w:rsidR="001F04ED">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1F04ED" w:rsidRDefault="00DA52AD">
            <w:pPr>
              <w:rPr>
                <w:szCs w:val="24"/>
                <w:lang w:eastAsia="lt-LT"/>
              </w:rPr>
            </w:pPr>
            <w:r>
              <w:rPr>
                <w:szCs w:val="24"/>
                <w:lang w:eastAsia="lt-LT"/>
              </w:rPr>
              <w:t>Netinkamos finansuoti išlaidos.</w:t>
            </w:r>
          </w:p>
        </w:tc>
      </w:tr>
      <w:tr w:rsidR="001F04ED">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1F04ED" w:rsidRDefault="00DA52AD">
            <w:pPr>
              <w:rPr>
                <w:bCs/>
                <w:szCs w:val="24"/>
                <w:lang w:eastAsia="lt-LT"/>
              </w:rPr>
            </w:pPr>
            <w:r>
              <w:rPr>
                <w:bCs/>
                <w:szCs w:val="24"/>
                <w:lang w:eastAsia="lt-LT"/>
              </w:rPr>
              <w:t xml:space="preserve">Netinkamos finansuoti išlaidos. </w:t>
            </w:r>
          </w:p>
        </w:tc>
      </w:tr>
      <w:tr w:rsidR="001F04ED">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ind w:right="-57"/>
              <w:rPr>
                <w:b/>
                <w:bCs/>
                <w:szCs w:val="24"/>
                <w:lang w:eastAsia="lt-LT"/>
              </w:rPr>
            </w:pPr>
            <w:r>
              <w:rPr>
                <w:b/>
                <w:bCs/>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F04ED" w:rsidRDefault="00DA52AD">
            <w:pPr>
              <w:rPr>
                <w:b/>
                <w:bCs/>
                <w:szCs w:val="24"/>
                <w:lang w:eastAsia="lt-LT"/>
              </w:rPr>
            </w:pPr>
            <w:r>
              <w:rPr>
                <w:szCs w:val="24"/>
                <w:lang w:eastAsia="lt-LT"/>
              </w:rPr>
              <w:t>Netinkamos finansuoti išlaidos.</w:t>
            </w:r>
          </w:p>
        </w:tc>
      </w:tr>
      <w:tr w:rsidR="001F04ED">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1F04ED" w:rsidRDefault="00DA52AD">
            <w:pPr>
              <w:rPr>
                <w:szCs w:val="24"/>
                <w:lang w:eastAsia="lt-LT"/>
              </w:rPr>
            </w:pPr>
            <w:r>
              <w:rPr>
                <w:szCs w:val="24"/>
                <w:lang w:eastAsia="lt-LT"/>
              </w:rPr>
              <w:t>Tinkamos finansuoti išlaidos:</w:t>
            </w:r>
          </w:p>
          <w:p w:rsidR="001F04ED" w:rsidRDefault="00DA52AD" w:rsidP="00D03200">
            <w:pPr>
              <w:tabs>
                <w:tab w:val="left" w:pos="334"/>
              </w:tabs>
              <w:jc w:val="both"/>
              <w:rPr>
                <w:szCs w:val="24"/>
                <w:lang w:eastAsia="lt-LT"/>
              </w:rPr>
            </w:pPr>
            <w:r>
              <w:rPr>
                <w:szCs w:val="24"/>
                <w:lang w:eastAsia="lt-LT"/>
              </w:rPr>
              <w:t>1.</w:t>
            </w:r>
            <w:r>
              <w:rPr>
                <w:szCs w:val="24"/>
                <w:lang w:eastAsia="lt-LT"/>
              </w:rPr>
              <w:tab/>
              <w:t>MTEP veiklų vykdymui būtinos įrangos įsigijimo išlaidos, jei planuojama įsigyti įranga nėra viešai prieinama atviros prieigos centruose arba viešai prieinamos įrangos pajėgumų nepakanka veiksmingai vykdyti projekto veiklas arba įrangos panaudojimo galimybės kitaip apribotos. Šios išlaidos negali sudaryti daugiau nei 20 procentų tinkamų finansuoti išlaidų. Įrangos išlaidas gali patirti tik Pareiškėjas.</w:t>
            </w:r>
          </w:p>
          <w:p w:rsidR="001F04ED" w:rsidRDefault="00DA52AD" w:rsidP="00D03200">
            <w:pPr>
              <w:tabs>
                <w:tab w:val="left" w:pos="289"/>
              </w:tabs>
              <w:jc w:val="both"/>
              <w:rPr>
                <w:szCs w:val="24"/>
                <w:lang w:eastAsia="lt-LT"/>
              </w:rPr>
            </w:pPr>
            <w:r>
              <w:rPr>
                <w:szCs w:val="24"/>
                <w:lang w:eastAsia="lt-LT"/>
              </w:rPr>
              <w:t>2.</w:t>
            </w:r>
            <w:r>
              <w:rPr>
                <w:szCs w:val="24"/>
                <w:lang w:eastAsia="lt-LT"/>
              </w:rPr>
              <w:tab/>
              <w:t>MTEP veiklų vykdymui būtinų pramoninės nuosavybės teisių objektų įsigijimo ir (arba) registravimo išlaidos. Šios išlaidos kartu su išlaidų kategorijos Nr. 5 „Projekto vykdymas“ 4 punkte nurodytomis MTEP, konsultavimo ir lygiaverčių paslaugų išlaidomis negali sudaryti daugiau nei 25 procentus tinkamų finansuoti išlaidų.</w:t>
            </w:r>
          </w:p>
        </w:tc>
      </w:tr>
      <w:tr w:rsidR="001F04ED">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1F04ED" w:rsidRDefault="00DA52AD" w:rsidP="00D03200">
            <w:pPr>
              <w:tabs>
                <w:tab w:val="left" w:pos="346"/>
                <w:tab w:val="left" w:pos="630"/>
              </w:tabs>
              <w:jc w:val="both"/>
              <w:rPr>
                <w:color w:val="000000"/>
                <w:szCs w:val="24"/>
                <w:lang w:eastAsia="lt-LT"/>
              </w:rPr>
            </w:pPr>
            <w:r>
              <w:rPr>
                <w:color w:val="000000"/>
                <w:szCs w:val="24"/>
                <w:lang w:eastAsia="lt-LT"/>
              </w:rPr>
              <w:t>Tinkamos finansuoti šios MTEP veiklų vykdymui būtinos ir MTEP veikloms proporcingai (</w:t>
            </w:r>
            <w:r>
              <w:rPr>
                <w:i/>
                <w:color w:val="000000"/>
                <w:szCs w:val="24"/>
                <w:lang w:eastAsia="lt-LT"/>
              </w:rPr>
              <w:t>pro rata</w:t>
            </w:r>
            <w:r>
              <w:rPr>
                <w:color w:val="000000"/>
                <w:szCs w:val="24"/>
                <w:lang w:eastAsia="lt-LT"/>
              </w:rPr>
              <w:t xml:space="preserve"> principu) priskiriamos išlaidos projekto įgyvendinimo laikotarpiu:</w:t>
            </w:r>
          </w:p>
          <w:p w:rsidR="001F04ED" w:rsidRDefault="00DA52AD" w:rsidP="00D03200">
            <w:pPr>
              <w:tabs>
                <w:tab w:val="left" w:pos="346"/>
                <w:tab w:val="left" w:pos="630"/>
              </w:tabs>
              <w:jc w:val="both"/>
              <w:rPr>
                <w:color w:val="000000"/>
                <w:szCs w:val="24"/>
                <w:lang w:eastAsia="lt-LT"/>
              </w:rPr>
            </w:pPr>
            <w:r>
              <w:rPr>
                <w:color w:val="000000"/>
                <w:szCs w:val="24"/>
                <w:lang w:eastAsia="lt-LT"/>
              </w:rPr>
              <w:t>1.</w:t>
            </w:r>
            <w:r>
              <w:rPr>
                <w:color w:val="000000"/>
                <w:szCs w:val="24"/>
                <w:lang w:eastAsia="lt-LT"/>
              </w:rPr>
              <w:tab/>
              <w:t>projektą vykdančio MTEP personalo darbo užmokestis ir išlaidos su darbo santykiais susijusiems darbdavio įsipareigojimams, apskaičiuotiems teisės aktų nustatyta tvarka, ir komandiruočių, kelionių išlaidos;</w:t>
            </w:r>
          </w:p>
          <w:p w:rsidR="001F04ED" w:rsidRDefault="00DA52AD" w:rsidP="00D03200">
            <w:pPr>
              <w:tabs>
                <w:tab w:val="left" w:pos="346"/>
                <w:tab w:val="left" w:pos="630"/>
              </w:tabs>
              <w:jc w:val="both"/>
              <w:rPr>
                <w:color w:val="000000"/>
                <w:szCs w:val="24"/>
                <w:lang w:eastAsia="lt-LT"/>
              </w:rPr>
            </w:pPr>
            <w:r>
              <w:rPr>
                <w:color w:val="000000"/>
                <w:szCs w:val="24"/>
                <w:lang w:eastAsia="lt-LT"/>
              </w:rPr>
              <w:t>Projektą vykdančio personalo komandiruočių išlaidos (komandiruočių ir kelionių išlaidos negali sudaryti daugiau nei 10 procentų tinkamų finansuoti išlaidų), apskaičiuotos teisės aktų nustatyta tvarka. Projekto veikloms vykdyti (vykdančio personalo komandiruotės) reikalingos transporto Lietuvoje ir kelionėms žemės transportu iš Lietuvos į kitą šalį (ir atgal) išlaidos apmokamos taikant Kuro ir viešojo transporto išlaidų fiksuotuosius įkainius. Įkainiai nustatomi vadovaujantis  Lietuvos Respublikos finansų ministerijos 2015 m. balandžio 24 d. Kuro ir viešojo transporto išlaidų fiksuotųjų įkainių nustatymo tyrimo ataskaita. Ataskaita skelbiama ES struktūrinių fondų svetainėje http://www.esinvesticijos.lt/lt/dokumentai/kuro-ir-viesojo-transporto-islaidu-fiksuotuju-ikainiu-nustatymo-tyrimo-ataskaita.</w:t>
            </w:r>
          </w:p>
          <w:p w:rsidR="001F04ED" w:rsidRDefault="00DA52AD" w:rsidP="00D03200">
            <w:pPr>
              <w:tabs>
                <w:tab w:val="left" w:pos="346"/>
                <w:tab w:val="left" w:pos="630"/>
              </w:tabs>
              <w:jc w:val="both"/>
              <w:rPr>
                <w:color w:val="000000"/>
                <w:szCs w:val="24"/>
                <w:lang w:eastAsia="lt-LT"/>
              </w:rPr>
            </w:pPr>
            <w:r>
              <w:rPr>
                <w:color w:val="000000"/>
                <w:szCs w:val="24"/>
                <w:lang w:eastAsia="lt-LT"/>
              </w:rPr>
              <w:lastRenderedPageBreak/>
              <w:t>2.</w:t>
            </w:r>
            <w:r>
              <w:rPr>
                <w:color w:val="000000"/>
                <w:szCs w:val="24"/>
                <w:lang w:eastAsia="lt-LT"/>
              </w:rPr>
              <w:tab/>
              <w:t xml:space="preserve">tiesiogiai su projekto įgyvendinimu susijusio ilgalaikio turto (įrangos, prietaisų, įrankių, įrenginių, mašinų, įrengimų) nuomos išlaidos; </w:t>
            </w:r>
          </w:p>
          <w:p w:rsidR="001F04ED" w:rsidRDefault="00DA52AD" w:rsidP="00D03200">
            <w:pPr>
              <w:tabs>
                <w:tab w:val="left" w:pos="346"/>
                <w:tab w:val="left" w:pos="630"/>
              </w:tabs>
              <w:jc w:val="both"/>
              <w:rPr>
                <w:color w:val="000000"/>
                <w:szCs w:val="24"/>
                <w:lang w:eastAsia="lt-LT"/>
              </w:rPr>
            </w:pPr>
            <w:r>
              <w:rPr>
                <w:color w:val="000000"/>
                <w:szCs w:val="24"/>
                <w:lang w:eastAsia="lt-LT"/>
              </w:rPr>
              <w:t>3.</w:t>
            </w:r>
            <w:r>
              <w:rPr>
                <w:color w:val="000000"/>
                <w:szCs w:val="24"/>
                <w:lang w:eastAsia="lt-LT"/>
              </w:rPr>
              <w:tab/>
              <w:t>tiesiogiai su projekto įgyvendinimu susijusio trumpalaikio turto (medžiagų, mažaverčio inventoriaus ir panašių produktų) pirkimo ir (arba) nuomos išlaidos;</w:t>
            </w:r>
          </w:p>
          <w:p w:rsidR="001F04ED" w:rsidRDefault="00DA52AD" w:rsidP="00D03200">
            <w:pPr>
              <w:tabs>
                <w:tab w:val="left" w:pos="346"/>
                <w:tab w:val="left" w:pos="630"/>
              </w:tabs>
              <w:jc w:val="both"/>
              <w:rPr>
                <w:color w:val="000000"/>
                <w:szCs w:val="24"/>
                <w:lang w:eastAsia="lt-LT"/>
              </w:rPr>
            </w:pPr>
            <w:r>
              <w:rPr>
                <w:color w:val="000000"/>
                <w:szCs w:val="24"/>
                <w:lang w:eastAsia="lt-LT"/>
              </w:rPr>
              <w:t>4.</w:t>
            </w:r>
            <w:r>
              <w:rPr>
                <w:color w:val="000000"/>
                <w:szCs w:val="24"/>
                <w:lang w:eastAsia="lt-LT"/>
              </w:rPr>
              <w:tab/>
              <w:t>MTEP, konsultavimo ir lygiaverčių paslaugų, naudojamų vien tik projekto veiklai, išlaidos, susijusios su MTEP grįstų, komercinį potencialą turinčių idėjų išbandymu, tolesnėms investicijoms parengto ar kitokio rezultato, kuris gali būti pritaikytas diegti rinkoje, sukūrimu, tikslinių rinkų analize ir patentų registravimu;</w:t>
            </w:r>
          </w:p>
          <w:p w:rsidR="001F04ED" w:rsidRDefault="00DA52AD" w:rsidP="00D03200">
            <w:pPr>
              <w:tabs>
                <w:tab w:val="left" w:pos="346"/>
                <w:tab w:val="left" w:pos="630"/>
              </w:tabs>
              <w:jc w:val="both"/>
              <w:rPr>
                <w:color w:val="000000"/>
                <w:szCs w:val="24"/>
                <w:lang w:eastAsia="lt-LT"/>
              </w:rPr>
            </w:pPr>
            <w:r>
              <w:rPr>
                <w:color w:val="000000"/>
                <w:szCs w:val="24"/>
                <w:lang w:eastAsia="lt-LT"/>
              </w:rPr>
              <w:t>5.</w:t>
            </w:r>
            <w:r>
              <w:rPr>
                <w:color w:val="000000"/>
                <w:szCs w:val="24"/>
                <w:lang w:eastAsia="lt-LT"/>
              </w:rPr>
              <w:tab/>
              <w:t>projekto MTEP veikloms naudojamo ilgalaikio materialaus turto (įrangos, prietaisų, įrankių, įrenginių, mašinų ir įrengimų pastatų ir (ar) patalpų) nusidėvėjimo sąnaudos, jeigu šiam turtui įsigyti nebuvo naudojamos viešosios (įskaitant ir kitų valstybių) lėšos. Projekto metu įsigytos įrangos nusidėvėjimo išlaidos nėra tinkamos finansuoti.</w:t>
            </w:r>
          </w:p>
          <w:p w:rsidR="001F04ED" w:rsidRDefault="001F04ED">
            <w:pPr>
              <w:tabs>
                <w:tab w:val="left" w:pos="346"/>
                <w:tab w:val="left" w:pos="630"/>
              </w:tabs>
              <w:rPr>
                <w:color w:val="000000"/>
                <w:szCs w:val="24"/>
                <w:lang w:eastAsia="lt-LT"/>
              </w:rPr>
            </w:pPr>
          </w:p>
          <w:p w:rsidR="001F04ED" w:rsidRDefault="00DA52AD" w:rsidP="00D03200">
            <w:pPr>
              <w:tabs>
                <w:tab w:val="left" w:pos="346"/>
                <w:tab w:val="left" w:pos="630"/>
              </w:tabs>
              <w:jc w:val="both"/>
              <w:rPr>
                <w:color w:val="000000"/>
                <w:szCs w:val="24"/>
                <w:lang w:eastAsia="lt-LT"/>
              </w:rPr>
            </w:pPr>
            <w:r>
              <w:rPr>
                <w:color w:val="000000"/>
                <w:szCs w:val="24"/>
                <w:lang w:eastAsia="lt-LT"/>
              </w:rPr>
              <w:t>Projektą vykdančio MTEP personalo darbo užmokesčio išlaidoms taikomi fiksuotieji įkainiai, kurie nustatomi vadovaujantis Lietuvos mokslo tarybos pirmininko 2011 m. gruodžio 13 d. įsakymu Nr. V-213 „Dėl 2007–2013 m. Žmogiškųjų išteklių plėtros veiksmų programos 3 prioriteto „Tyrėjų gebėjimų stiprinimas“ įgyvendinimo priemonės VP1-3.1-ŠMM-07-K „Parama mokslininkų ir kitų tyrėjų mokslinei veiklai (visuotinė dotacija)“ projektų mokslinio tyrimo vykdymo ataskaitos formos ir darbo užmokesčio fiksuotųjų įkainių dydžių mokslinių tyrimų projektuose apskaičiavimo metodikos patvirtinimo“ patvirtinta Darbo užmokesčio fiksuotųjų įkainių dydžių mokslinių tyrimų projektuose nustatymo tyrimo ataskaita (taikomi fiksuoti įkainiai, nustatyti Darbo užmokesčio fiksuotųjų įkainių dydžių mokslinių tyrimų projektuose nustatymo tyrimo ataskaitos 3 lentelėje „Aukšto (tarptautinio) lygio mokslinis tyrimas“). Ataskaita skelbiama ES struktūrinių fondų svetainėje http://www.esinvesticijos.lt/lt/dokumentai/supaprastinto-islaidu-apmokejimo-tyrimai.</w:t>
            </w:r>
          </w:p>
        </w:tc>
      </w:tr>
      <w:tr w:rsidR="001F04ED">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1F04ED" w:rsidRDefault="00DA52AD">
            <w:pPr>
              <w:rPr>
                <w:i/>
                <w:szCs w:val="24"/>
                <w:lang w:eastAsia="lt-LT"/>
              </w:rPr>
            </w:pPr>
            <w:r>
              <w:rPr>
                <w:szCs w:val="24"/>
                <w:lang w:eastAsia="lt-LT"/>
              </w:rPr>
              <w:t>Netinkamos finansuoti išlaidos.</w:t>
            </w:r>
          </w:p>
        </w:tc>
      </w:tr>
      <w:tr w:rsidR="001F04ED">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04ED" w:rsidRDefault="00DA52AD">
            <w:pPr>
              <w:rPr>
                <w:b/>
                <w:bCs/>
                <w:szCs w:val="24"/>
                <w:lang w:eastAsia="lt-LT"/>
              </w:rPr>
            </w:pPr>
            <w:r>
              <w:rPr>
                <w:b/>
                <w:bCs/>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F04ED" w:rsidRDefault="00DA52AD">
            <w:pPr>
              <w:rPr>
                <w:szCs w:val="24"/>
                <w:lang w:eastAsia="lt-LT"/>
              </w:rPr>
            </w:pPr>
            <w:r>
              <w:rPr>
                <w:szCs w:val="24"/>
                <w:lang w:eastAsia="lt-LT"/>
              </w:rPr>
              <w:t>Netiesioginėms projekto išlaidoms apmokėti taikoma fiksuotoji projekto išlaidų norma apskaičiuojama pagal Projektų taisyklių 10 priedą.</w:t>
            </w:r>
          </w:p>
        </w:tc>
      </w:tr>
    </w:tbl>
    <w:p w:rsidR="001F04ED" w:rsidRDefault="001F04ED"/>
    <w:p w:rsidR="001F04ED" w:rsidRDefault="00DA52AD">
      <w:pPr>
        <w:ind w:firstLine="709"/>
        <w:jc w:val="both"/>
        <w:rPr>
          <w:szCs w:val="24"/>
          <w:lang w:eastAsia="lt-LT"/>
        </w:rPr>
      </w:pPr>
      <w:r>
        <w:rPr>
          <w:lang w:eastAsia="lt-LT"/>
        </w:rPr>
        <w:t>49. Pagal Aprašą kryžminis finansavimas netaikomas.</w:t>
      </w:r>
    </w:p>
    <w:p w:rsidR="001F04ED" w:rsidRDefault="00DA52AD">
      <w:pPr>
        <w:ind w:firstLine="709"/>
        <w:jc w:val="both"/>
        <w:rPr>
          <w:lang w:eastAsia="lt-LT"/>
        </w:rPr>
      </w:pPr>
      <w:r>
        <w:rPr>
          <w:lang w:eastAsia="lt-LT"/>
        </w:rPr>
        <w:t>50. Išlaidos, apmokamos taikant Aprašo 48 punkte nurodytas fiksuotuosius įkainius ir fiksuotąsias normas, turi atitikti Projektų taisyklių 35 skirsnį.</w:t>
      </w:r>
    </w:p>
    <w:p w:rsidR="001F04ED" w:rsidRDefault="00DA52AD">
      <w:pPr>
        <w:ind w:firstLine="709"/>
        <w:jc w:val="both"/>
        <w:rPr>
          <w:lang w:eastAsia="lt-LT"/>
        </w:rPr>
      </w:pPr>
      <w:r>
        <w:rPr>
          <w:lang w:eastAsia="lt-LT"/>
        </w:rPr>
        <w:lastRenderedPageBreak/>
        <w:t xml:space="preserve">51. </w:t>
      </w:r>
      <w:r>
        <w:t>Projekto išlaidoms, kurios pagal Aprašą galėtų būti valstybės pagalba, be Projektų taisyklių VI skyriuje išdėstytų reikalavimų, taip pat taikomos Reglamento Nr. 651/2014 25 ir 26 straipsnių nuostatos.</w:t>
      </w:r>
    </w:p>
    <w:p w:rsidR="001F04ED" w:rsidRDefault="00DA52AD">
      <w:pPr>
        <w:ind w:firstLine="709"/>
        <w:jc w:val="both"/>
        <w:rPr>
          <w:lang w:eastAsia="lt-LT"/>
        </w:rPr>
      </w:pPr>
      <w:r>
        <w:rPr>
          <w:lang w:eastAsia="lt-LT"/>
        </w:rPr>
        <w:t>52. Paraiškos parengimo išlaidos yra netinkamos finansuoti.</w:t>
      </w:r>
    </w:p>
    <w:p w:rsidR="001F04ED" w:rsidRDefault="00DA52AD">
      <w:pPr>
        <w:ind w:firstLine="709"/>
        <w:jc w:val="both"/>
        <w:rPr>
          <w:lang w:eastAsia="lt-LT"/>
        </w:rPr>
      </w:pPr>
      <w:r>
        <w:rPr>
          <w:lang w:eastAsia="lt-LT"/>
        </w:rPr>
        <w:t>53. Pajamoms iš projekto veiklų, gautoms projekto įgyvendinimo metu ir po projekto finansavimo pabaigos, taikomi reikalavimai nustatyti Projektų taisyklių 36 skirsnyje (išskyrus projektus, kuriems teikiama valstybės pagalba).</w:t>
      </w:r>
    </w:p>
    <w:p w:rsidR="001F04ED" w:rsidRDefault="00D03200">
      <w:pPr>
        <w:ind w:firstLine="709"/>
        <w:jc w:val="both"/>
        <w:rPr>
          <w:lang w:eastAsia="lt-LT"/>
        </w:rPr>
      </w:pPr>
      <w:r>
        <w:rPr>
          <w:lang w:eastAsia="lt-LT"/>
        </w:rPr>
        <w:t xml:space="preserve">54. </w:t>
      </w:r>
      <w:r w:rsidR="00DA52AD">
        <w:rPr>
          <w:lang w:eastAsia="lt-LT"/>
        </w:rPr>
        <w:t>Valstybės pagalba, kurios tinkamas finansuoti išlaidas galima nustatyti ir kuriai pagal Reglamentą Nr. 651/2014 taikoma išimtis, gali būti sumuojama su:</w:t>
      </w:r>
    </w:p>
    <w:p w:rsidR="001F04ED" w:rsidRDefault="00DA52AD">
      <w:pPr>
        <w:ind w:firstLine="709"/>
        <w:jc w:val="both"/>
        <w:rPr>
          <w:lang w:eastAsia="lt-LT"/>
        </w:rPr>
      </w:pPr>
      <w:r>
        <w:rPr>
          <w:lang w:eastAsia="lt-LT"/>
        </w:rPr>
        <w:t>54.1. bet kokia kita valstybės pagalba, jei tos priemonės yra susijusios su skirtingomis tinkamomis finansuoti išlaidomis, kurias galima nustatyti;</w:t>
      </w:r>
    </w:p>
    <w:p w:rsidR="001F04ED" w:rsidRDefault="00DA52AD">
      <w:pPr>
        <w:ind w:firstLine="709"/>
        <w:jc w:val="both"/>
        <w:rPr>
          <w:lang w:eastAsia="lt-LT"/>
        </w:rPr>
      </w:pPr>
      <w:r>
        <w:rPr>
          <w:lang w:eastAsia="lt-LT"/>
        </w:rPr>
        <w:t>54.2. bet kokia kita valstybės pagalba, susijusia su tomis pačiomis tinkamomis finansuoti išlaidomis, kurios iš dalies arba visiškai sutampa, tik jeigu taip susumavus neviršijamas didžiausias pagalbos intensyvumas ar pagalbos suma pagal Reglamentą Nr. 651/2014 taikoma tai pagalbai.</w:t>
      </w:r>
    </w:p>
    <w:p w:rsidR="001F04ED" w:rsidRDefault="00DA52AD">
      <w:pPr>
        <w:ind w:firstLine="709"/>
        <w:jc w:val="both"/>
        <w:rPr>
          <w:lang w:eastAsia="lt-LT"/>
        </w:rPr>
      </w:pPr>
      <w:r>
        <w:rPr>
          <w:lang w:eastAsia="lt-LT"/>
        </w:rPr>
        <w:t xml:space="preserve">55. Valstybės pagalba, kuriai pagal Reglamentą Nr. 651/2014 taikoma išimtis, nesumuojama su jokia </w:t>
      </w:r>
      <w:r>
        <w:rPr>
          <w:i/>
          <w:lang w:eastAsia="lt-LT"/>
        </w:rPr>
        <w:t>de minimis</w:t>
      </w:r>
      <w:r>
        <w:rPr>
          <w:lang w:eastAsia="lt-LT"/>
        </w:rPr>
        <w:t xml:space="preserve"> pagalba, susijusia su tomis pačiomis tinkamomis finansuoti išlaidomis.</w:t>
      </w:r>
    </w:p>
    <w:p w:rsidR="001F04ED" w:rsidRDefault="001F04ED">
      <w:pPr>
        <w:rPr>
          <w:lang w:eastAsia="lt-LT"/>
        </w:rPr>
      </w:pPr>
    </w:p>
    <w:p w:rsidR="001F04ED" w:rsidRDefault="00DA52AD">
      <w:pPr>
        <w:jc w:val="center"/>
        <w:rPr>
          <w:b/>
          <w:szCs w:val="24"/>
          <w:lang w:eastAsia="lt-LT"/>
        </w:rPr>
      </w:pPr>
      <w:r>
        <w:rPr>
          <w:b/>
          <w:szCs w:val="24"/>
          <w:lang w:eastAsia="lt-LT"/>
        </w:rPr>
        <w:t>V SKYRIUS</w:t>
      </w:r>
    </w:p>
    <w:p w:rsidR="001F04ED" w:rsidRDefault="00DA52AD">
      <w:pPr>
        <w:ind w:firstLine="62"/>
        <w:jc w:val="center"/>
        <w:rPr>
          <w:b/>
          <w:szCs w:val="24"/>
          <w:lang w:eastAsia="lt-LT"/>
        </w:rPr>
      </w:pPr>
      <w:r>
        <w:rPr>
          <w:b/>
          <w:szCs w:val="24"/>
          <w:lang w:eastAsia="lt-LT"/>
        </w:rPr>
        <w:t>PARAIŠKŲ RENGIMAS, PAREIŠKĖJŲ INFORMAVIMAS, KONSULTAVIMAS, PARAIŠKŲ TEIKIMAS IR VERTINIMAS</w:t>
      </w:r>
    </w:p>
    <w:p w:rsidR="001F04ED" w:rsidRDefault="001F04ED">
      <w:pPr>
        <w:rPr>
          <w:lang w:eastAsia="lt-LT"/>
        </w:rPr>
      </w:pPr>
    </w:p>
    <w:p w:rsidR="001F04ED" w:rsidRDefault="00DA52AD">
      <w:pPr>
        <w:ind w:firstLine="709"/>
        <w:jc w:val="both"/>
        <w:rPr>
          <w:lang w:eastAsia="lt-LT"/>
        </w:rPr>
      </w:pPr>
      <w:r>
        <w:rPr>
          <w:lang w:eastAsia="lt-LT"/>
        </w:rPr>
        <w:t>56. 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rsidR="001F04ED" w:rsidRDefault="00DA52AD">
      <w:pPr>
        <w:ind w:firstLine="709"/>
        <w:jc w:val="both"/>
        <w:rPr>
          <w:lang w:eastAsia="lt-LT"/>
        </w:rPr>
      </w:pPr>
      <w:r>
        <w:rPr>
          <w:lang w:eastAsia="lt-LT"/>
        </w:rPr>
        <w:t>57. Pareiškėjas pildo paraišką ir kartu su Aprašo 60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p>
    <w:p w:rsidR="001F04ED" w:rsidRDefault="00DA52AD">
      <w:pPr>
        <w:ind w:firstLine="709"/>
        <w:jc w:val="both"/>
        <w:rPr>
          <w:i/>
          <w:lang w:eastAsia="lt-LT"/>
        </w:rPr>
      </w:pPr>
      <w:r>
        <w:rPr>
          <w:lang w:eastAsia="lt-LT"/>
        </w:rPr>
        <w:t xml:space="preserve">58. Jei paraiškos gali būti teikiamos per DMS, pareiškėjas prie DMS jungiasi naudodamasis Valstybės informacinių išteklių sąveikumo platforma ir užsiregistravęs tampa DMS naudotoju. </w:t>
      </w:r>
    </w:p>
    <w:p w:rsidR="001F04ED" w:rsidRDefault="00DA52AD">
      <w:pPr>
        <w:ind w:firstLine="709"/>
        <w:jc w:val="both"/>
        <w:rPr>
          <w:lang w:eastAsia="lt-LT"/>
        </w:rPr>
      </w:pPr>
      <w:r>
        <w:rPr>
          <w:lang w:eastAsia="lt-LT"/>
        </w:rPr>
        <w:t>59.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Pr>
          <w:i/>
          <w:lang w:eastAsia="lt-LT"/>
        </w:rPr>
        <w:t xml:space="preserve"> </w:t>
      </w:r>
      <w:r>
        <w:rPr>
          <w:lang w:eastAsia="lt-LT"/>
        </w:rPr>
        <w:t>paskelbia Projektų taisyklių 82 punkte nustatyta tvarka.</w:t>
      </w:r>
    </w:p>
    <w:p w:rsidR="001F04ED" w:rsidRDefault="00DA52AD">
      <w:pPr>
        <w:ind w:firstLine="709"/>
        <w:jc w:val="both"/>
        <w:rPr>
          <w:lang w:eastAsia="lt-LT"/>
        </w:rPr>
      </w:pPr>
      <w:r>
        <w:rPr>
          <w:lang w:eastAsia="lt-LT"/>
        </w:rPr>
        <w:t>60. Kartu su paraiška pareiškėjas turi pateikti šiuos priedus (Aprašo 60.2–60.3 papunkčiuose nurodytų paraiškos priedų formos skelbiamos ES struktūrinių fondų svetainės www.esinvesticijos.lt skiltyje „Dokumentai“, ieškant dokumento tipo „</w:t>
      </w:r>
      <w:r>
        <w:rPr>
          <w:rFonts w:cs="Arial"/>
        </w:rPr>
        <w:t>paraiškų priedų formos“</w:t>
      </w:r>
      <w:r>
        <w:rPr>
          <w:lang w:eastAsia="lt-LT"/>
        </w:rPr>
        <w:t xml:space="preserve">): </w:t>
      </w:r>
    </w:p>
    <w:p w:rsidR="001F04ED" w:rsidRDefault="00DA52AD">
      <w:pPr>
        <w:ind w:firstLine="709"/>
        <w:jc w:val="both"/>
        <w:rPr>
          <w:lang w:eastAsia="lt-LT"/>
        </w:rPr>
      </w:pPr>
      <w:r>
        <w:rPr>
          <w:lang w:eastAsia="lt-LT"/>
        </w:rPr>
        <w:t>60.1. Partnerio (-ių) deklaraciją (-as), jei projektą numatyta įgyvendinti kartu su partneriais (Partnerio deklaracijos forma integruota į pildomą paraiškos formą);</w:t>
      </w:r>
    </w:p>
    <w:p w:rsidR="001F04ED" w:rsidRDefault="00DA52AD">
      <w:pPr>
        <w:ind w:firstLine="709"/>
        <w:jc w:val="both"/>
        <w:rPr>
          <w:lang w:eastAsia="lt-LT"/>
        </w:rPr>
      </w:pPr>
      <w:r>
        <w:rPr>
          <w:lang w:eastAsia="lt-LT"/>
        </w:rPr>
        <w:t xml:space="preserve">60.2. Klausimyną apie pirkimo ir (arba) importo pridėtinės vertės mokesčio tinkamumą finansuoti iš Europos Sąjungos struktūrinių fondų ir (arba) Lietuvos Respublikos biudžeto lėšų, jei </w:t>
      </w:r>
      <w:r>
        <w:t>pareiškėjas prašo PVM išlaidas pripažinti tinkamomis finansuoti, t. y. įtraukia šias išlaidas į projekto biudžetą</w:t>
      </w:r>
      <w:r>
        <w:rPr>
          <w:lang w:eastAsia="lt-LT"/>
        </w:rPr>
        <w:t>;</w:t>
      </w:r>
    </w:p>
    <w:p w:rsidR="001F04ED" w:rsidRDefault="00DA52AD">
      <w:pPr>
        <w:ind w:firstLine="709"/>
        <w:jc w:val="both"/>
        <w:rPr>
          <w:lang w:eastAsia="lt-LT"/>
        </w:rPr>
      </w:pPr>
      <w:r>
        <w:rPr>
          <w:lang w:eastAsia="lt-LT"/>
        </w:rPr>
        <w:t>60.3. projekto biudžeto paskirstymą pagal pareiškėją ir partnerį (-ius), jeigu projektas įgyvendinamas su parneriu (-iais);</w:t>
      </w:r>
    </w:p>
    <w:p w:rsidR="001F04ED" w:rsidRDefault="00DA52AD">
      <w:pPr>
        <w:ind w:firstLine="709"/>
        <w:jc w:val="both"/>
        <w:rPr>
          <w:lang w:eastAsia="lt-LT"/>
        </w:rPr>
      </w:pPr>
      <w:r>
        <w:rPr>
          <w:lang w:eastAsia="lt-LT"/>
        </w:rPr>
        <w:t xml:space="preserve">60.4. informaciją apie projektui taikomus aplinkosauginius reikalavimus. </w:t>
      </w:r>
      <w:r>
        <w:rPr>
          <w:lang w:eastAsia="en-GB"/>
        </w:rPr>
        <w:t>Šis paraiškos priedas pildomas ir teikiamas kartu su paraiška visais atvejais, kai projekte planuojama ūkinė veikla</w:t>
      </w:r>
      <w:r>
        <w:rPr>
          <w:b/>
        </w:rPr>
        <w:t xml:space="preserve"> </w:t>
      </w:r>
      <w:r>
        <w:rPr>
          <w:lang w:eastAsia="en-GB"/>
        </w:rPr>
        <w:t>gali turėti poveikį aplinkai ir ji patenka į Planuojamos ūkinės veiklos poveikio aplinkai vertinimo įstatymo taikymo sritį, ir (arba) projekto planuojama ūkinė veikla yra susijusi su „Natura 2000“ teritorijomis</w:t>
      </w:r>
      <w:r>
        <w:rPr>
          <w:lang w:eastAsia="lt-LT"/>
        </w:rPr>
        <w:t>;</w:t>
      </w:r>
    </w:p>
    <w:p w:rsidR="001F04ED" w:rsidRDefault="00DA52AD">
      <w:pPr>
        <w:ind w:firstLine="709"/>
        <w:jc w:val="both"/>
        <w:rPr>
          <w:lang w:eastAsia="lt-LT"/>
        </w:rPr>
      </w:pPr>
      <w:r>
        <w:rPr>
          <w:lang w:eastAsia="lt-LT"/>
        </w:rPr>
        <w:lastRenderedPageBreak/>
        <w:t xml:space="preserve">60.5. planuojamos ūkinės veiklos poveikio aplinkai vertinimo ataskaitą ir atsakingos institucijos sprendimą, jei vadovaujantis Planuojamos ūkinės veiklos poveikio aplinkai vertinimo įstatymu, privaloma atlikti poveikio aplinkai vertinimą, ar atrankos išvadą; </w:t>
      </w:r>
    </w:p>
    <w:p w:rsidR="001F04ED" w:rsidRDefault="00DA52AD">
      <w:pPr>
        <w:ind w:firstLine="709"/>
        <w:jc w:val="both"/>
        <w:rPr>
          <w:lang w:eastAsia="lt-LT"/>
        </w:rPr>
      </w:pPr>
      <w:r>
        <w:rPr>
          <w:lang w:eastAsia="lt-LT"/>
        </w:rPr>
        <w:t>60.6. atsakingos institucijos Planų ar programų įgyvendinimo poveikio įsteigtoms ar potencialioms „Natura 2000“ teritorijoms reikšmingumo išvadą, jei planuojama veikla susijusi su įsteigtomis ar potencialiomis „Natura 2000“ teritorijomis ar artima tokių teritorijų aplinka;</w:t>
      </w:r>
    </w:p>
    <w:p w:rsidR="001F04ED" w:rsidRDefault="00DA52AD">
      <w:pPr>
        <w:ind w:firstLine="709"/>
        <w:jc w:val="both"/>
      </w:pPr>
      <w:r>
        <w:rPr>
          <w:lang w:eastAsia="lt-LT"/>
        </w:rPr>
        <w:t>60</w:t>
      </w:r>
      <w:r>
        <w:t>.7. informaciją, reikalingą projekto atitikčiai projektų atrankos kriterijams įvertinti (Aprašo 3 priedas);</w:t>
      </w:r>
    </w:p>
    <w:p w:rsidR="001F04ED" w:rsidRDefault="00DA52AD">
      <w:pPr>
        <w:ind w:firstLine="709"/>
        <w:jc w:val="both"/>
      </w:pPr>
      <w:r>
        <w:t>60.8. dokumentus, pagrindžiančius projekto biudžeto pagrįstumą (komerciniai pasiūlymai, nuorodos į rinkoje esančias kainas ir kt.);</w:t>
      </w:r>
    </w:p>
    <w:p w:rsidR="001F04ED" w:rsidRDefault="00DA52AD">
      <w:pPr>
        <w:ind w:firstLine="709"/>
        <w:jc w:val="both"/>
      </w:pPr>
      <w:r>
        <w:t>60.9. finansavimo šaltinius (pareiškėjo įnašą ir netinkamų išlaidų padengimą) pagrindžiančius dokumentus, jei pareiškėjas ir (arba) partneris savo ir (arba) kitų šaltinių lėšomis prisideda prie projekto įgyvendinimo;</w:t>
      </w:r>
    </w:p>
    <w:p w:rsidR="001F04ED" w:rsidRDefault="00DA52AD">
      <w:pPr>
        <w:ind w:firstLine="709"/>
        <w:jc w:val="both"/>
      </w:pPr>
      <w:r>
        <w:t>60.10. dokumentus arba nuorodas į viešai paskelbtus dokumentus, pagrindžiančius, kad pareiškėjas turi veikiančią teisių, atsirandančių iš intelektinės veiklos rezultatų, valdymo tvarką, t. y. yra įgyvendinęs Rekomendacijų 10, 12, 16 ir 17 punktuose nustatytus reikalavimus;</w:t>
      </w:r>
    </w:p>
    <w:p w:rsidR="001F04ED" w:rsidRDefault="00DA52AD">
      <w:pPr>
        <w:ind w:firstLine="709"/>
        <w:jc w:val="both"/>
      </w:pPr>
      <w:r>
        <w:t>60.1</w:t>
      </w:r>
      <w:r w:rsidR="00DC2376">
        <w:t>1</w:t>
      </w:r>
      <w:r>
        <w:t>. informaciją anglų kalba: paraiškos bendrąją informaciją (projekto poreikis, projekto santrauka, projekto vykdytojo pajėgumas įgyvendinti projektą ir projekto valdymo aprašymas, partnerių pasirinkimo pagrįstumas, ir Aprašo 3 priede nurodytą informaciją);</w:t>
      </w:r>
    </w:p>
    <w:p w:rsidR="001F04ED" w:rsidRDefault="00DA52AD">
      <w:pPr>
        <w:ind w:firstLine="709"/>
        <w:jc w:val="both"/>
      </w:pPr>
      <w:r>
        <w:t>60.1</w:t>
      </w:r>
      <w:r w:rsidR="00DC2376">
        <w:t>2</w:t>
      </w:r>
      <w:r>
        <w:t>. pareiškėjo (partnerio)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(taikoma tais atvejais, jeigu pagal PFSA teikiama valstybės pagalba);</w:t>
      </w:r>
    </w:p>
    <w:p w:rsidR="001F04ED" w:rsidRDefault="00DA52AD">
      <w:pPr>
        <w:ind w:firstLine="709"/>
        <w:jc w:val="both"/>
      </w:pPr>
      <w:r>
        <w:t>60.1</w:t>
      </w:r>
      <w:r w:rsidR="00DC2376">
        <w:t>3</w:t>
      </w:r>
      <w:r>
        <w:t>. pareiškėjo ir partnerio (-ių) Lietuvos Respublikos juridinių asmenų registrui pateiktus paskutinių  metinių finansinių ataskaitų rinkinius ir tarpinę einamųjų metų finansinę atskaitomybę;</w:t>
      </w:r>
    </w:p>
    <w:p w:rsidR="001F04ED" w:rsidRDefault="00DA52AD">
      <w:pPr>
        <w:ind w:firstLine="709"/>
        <w:jc w:val="both"/>
      </w:pPr>
      <w:r>
        <w:t>60.1</w:t>
      </w:r>
      <w:r w:rsidR="00DC2376">
        <w:t>4</w:t>
      </w:r>
      <w:r>
        <w:t xml:space="preserve">. veiklos planą, kuriame aprašytas žinių perdavimo sistemos procesas (modelis) nuo komercinį potencialą turinčių idėjų išgryninimo iki prototipo (bandomosios proceso, sistemos, paslaugos, žmogaus, kultūros ar visuomenės sprendimo versijos) bei jo realizavimo. Veiklos plane turėtų būti atskleista informacija dėl žinių perdavimo veiklos pelno paskirstymo tarp veikloje dalyvaujančių subjektų. Veiklos planas gali būti </w:t>
      </w:r>
      <w:r>
        <w:rPr>
          <w:bCs/>
          <w:lang w:eastAsia="lt-LT"/>
        </w:rPr>
        <w:t xml:space="preserve">ekonomiškai pagrįstos, potencialius vartotojus nustatančios, projekto pareiškėjui gautiną naudą analizuojančios, pelningumo prognozes pagrindžiančios, ilgalaikių perspektyvų viziją apimančios, rizikas įvertinančios projekto rezultatų komercinimo strategijos, rinkos analizės ar kito aukščiau nustatytus segmentus apimančio dokumento, leidžiančio įvertinti, kaip sukurtas projekto rezultatas atitinka rinkos poreikius (numatyta Aprašo 3 priedo 9 punkto 1 dalyje), </w:t>
      </w:r>
      <w:r>
        <w:t xml:space="preserve">sudėtinė </w:t>
      </w:r>
      <w:r>
        <w:rPr>
          <w:bCs/>
          <w:lang w:eastAsia="lt-LT"/>
        </w:rPr>
        <w:t>dalis.</w:t>
      </w:r>
    </w:p>
    <w:p w:rsidR="001F04ED" w:rsidRDefault="00DA52AD">
      <w:pPr>
        <w:ind w:firstLine="709"/>
        <w:jc w:val="both"/>
      </w:pPr>
      <w:r>
        <w:rPr>
          <w:rFonts w:eastAsia="Calibri"/>
          <w:szCs w:val="24"/>
        </w:rPr>
        <w:t>60.1</w:t>
      </w:r>
      <w:r w:rsidR="00DC2376">
        <w:rPr>
          <w:rFonts w:eastAsia="Calibri"/>
          <w:szCs w:val="24"/>
        </w:rPr>
        <w:t>5</w:t>
      </w:r>
      <w:r>
        <w:rPr>
          <w:rFonts w:eastAsia="Calibri"/>
          <w:szCs w:val="24"/>
        </w:rPr>
        <w:t>. informaciją apie projekto planuojamas gauti pajamas, jei tinkamos finansuoti išlaidos siekia 1 000 000 Eur (vieną milijoną eurų) ir daugiau (netaikoma kai projektui teikiama valstybės pagalba).</w:t>
      </w:r>
      <w:r>
        <w:t xml:space="preserve"> </w:t>
      </w:r>
    </w:p>
    <w:p w:rsidR="001F04ED" w:rsidRDefault="00DA52AD">
      <w:pPr>
        <w:ind w:firstLine="709"/>
        <w:jc w:val="both"/>
        <w:rPr>
          <w:lang w:eastAsia="lt-LT"/>
        </w:rPr>
      </w:pPr>
      <w:r>
        <w:rPr>
          <w:lang w:eastAsia="lt-LT"/>
        </w:rPr>
        <w:t xml:space="preserve">61. Jei priedai teikiami ne kartu su paraiška, jie turi būti pateikti iki paraiškai teikti nustatyto termino paskutinės dienos. </w:t>
      </w:r>
    </w:p>
    <w:p w:rsidR="001F04ED" w:rsidRDefault="00DA52AD">
      <w:pPr>
        <w:ind w:firstLine="709"/>
        <w:jc w:val="both"/>
        <w:rPr>
          <w:lang w:eastAsia="lt-LT"/>
        </w:rPr>
      </w:pPr>
      <w:r>
        <w:rPr>
          <w:lang w:eastAsia="lt-LT"/>
        </w:rPr>
        <w:t xml:space="preserve">62. Paraiškų pateikimo paskutinė diena nustatoma kvietime teikti paraiškas, kuris skelbiamas ES struktūrinių fondų svetainėje </w:t>
      </w:r>
      <w:r>
        <w:rPr>
          <w:color w:val="000000"/>
          <w:lang w:eastAsia="lt-LT"/>
        </w:rPr>
        <w:t>www.esinvesticijos.lt.</w:t>
      </w:r>
    </w:p>
    <w:p w:rsidR="001F04ED" w:rsidRDefault="00DA52AD">
      <w:pPr>
        <w:ind w:firstLine="709"/>
        <w:jc w:val="both"/>
        <w:rPr>
          <w:color w:val="000000"/>
          <w:lang w:eastAsia="lt-LT"/>
        </w:rPr>
      </w:pPr>
      <w:r>
        <w:rPr>
          <w:lang w:eastAsia="lt-LT"/>
        </w:rPr>
        <w:t xml:space="preserve">63.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r>
        <w:rPr>
          <w:color w:val="000000"/>
          <w:lang w:eastAsia="lt-LT"/>
        </w:rPr>
        <w:t>www.esinvesticijos.lt.</w:t>
      </w:r>
    </w:p>
    <w:p w:rsidR="001F04ED" w:rsidRDefault="00DA52AD">
      <w:pPr>
        <w:ind w:firstLine="709"/>
        <w:jc w:val="both"/>
        <w:rPr>
          <w:lang w:eastAsia="lt-LT"/>
        </w:rPr>
      </w:pPr>
      <w:r>
        <w:rPr>
          <w:lang w:eastAsia="lt-LT"/>
        </w:rPr>
        <w:t>64.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rsidR="001F04ED" w:rsidRDefault="00DA52AD">
      <w:pPr>
        <w:ind w:firstLine="709"/>
        <w:jc w:val="both"/>
        <w:rPr>
          <w:lang w:eastAsia="lt-LT"/>
        </w:rPr>
      </w:pPr>
      <w:r>
        <w:rPr>
          <w:lang w:eastAsia="lt-LT"/>
        </w:rPr>
        <w:lastRenderedPageBreak/>
        <w:t xml:space="preserve">65. Paraiškos vertinimo metu įgyvendinančioji institucija gali paprašyti pareiškėjo pateikti trūkstamą informaciją ir (arba) dokumentus. Pareiškėjas privalo pateikti šią informaciją ir (arba) dokumentus per įgyvendinančiosios </w:t>
      </w:r>
      <w:r w:rsidR="00D03200">
        <w:rPr>
          <w:lang w:eastAsia="lt-LT"/>
        </w:rPr>
        <w:t>institucijos nustatytą terminą.</w:t>
      </w:r>
    </w:p>
    <w:p w:rsidR="001F04ED" w:rsidRDefault="00DA52AD">
      <w:pPr>
        <w:ind w:firstLine="709"/>
        <w:jc w:val="both"/>
        <w:rPr>
          <w:lang w:eastAsia="lt-LT"/>
        </w:rPr>
      </w:pPr>
      <w:r>
        <w:rPr>
          <w:lang w:eastAsia="lt-LT"/>
        </w:rPr>
        <w:t>66. Paraiškos vertinamos ne ilgiau kaip 90 dienų nuo kvietimo teikti paraiškas skelbime nurodytos paskutinės paraiškų pateikimo dienos.</w:t>
      </w:r>
    </w:p>
    <w:p w:rsidR="001F04ED" w:rsidRDefault="00DA52AD">
      <w:pPr>
        <w:ind w:firstLine="709"/>
        <w:jc w:val="both"/>
        <w:rPr>
          <w:lang w:eastAsia="lt-LT"/>
        </w:rPr>
      </w:pPr>
      <w:r>
        <w:rPr>
          <w:lang w:eastAsia="lt-LT"/>
        </w:rPr>
        <w:t>67.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o jeigu nėra įdiegtos D</w:t>
      </w:r>
      <w:r w:rsidR="00D03200">
        <w:rPr>
          <w:lang w:eastAsia="lt-LT"/>
        </w:rPr>
        <w:t>MS funkcinės galimybės – raštu.</w:t>
      </w:r>
    </w:p>
    <w:p w:rsidR="001F04ED" w:rsidRDefault="00DA52AD">
      <w:pPr>
        <w:ind w:firstLine="709"/>
        <w:jc w:val="both"/>
        <w:rPr>
          <w:lang w:eastAsia="lt-LT"/>
        </w:rPr>
      </w:pPr>
      <w:r>
        <w:rPr>
          <w:lang w:eastAsia="lt-LT"/>
        </w:rPr>
        <w:t>68. Paraiška atmetama dėl priežasčių, nustatytų Apra</w:t>
      </w:r>
      <w:bookmarkStart w:id="0" w:name="_GoBack"/>
      <w:bookmarkEnd w:id="0"/>
      <w:r>
        <w:rPr>
          <w:lang w:eastAsia="lt-LT"/>
        </w:rPr>
        <w:t xml:space="preserve">še ir (arba) Projektų taisyklių 14–16 skirsniuose, juose nustatyta tvarka. Apie paraiškos atmetimą pareiškėjas informuojamas per DMS, </w:t>
      </w:r>
      <w:r>
        <w:rPr>
          <w:shd w:val="clear" w:color="auto" w:fill="FFFFFF"/>
        </w:rPr>
        <w:t>o jeigu nėra į</w:t>
      </w:r>
      <w:r>
        <w:rPr>
          <w:lang w:eastAsia="lt-LT"/>
        </w:rPr>
        <w:t>diegtos DMS funkcinės galimybės – raštu per 3 darbo dienas nuo sprendimo dėl paraiškos atmetimo priėmimo dienos.</w:t>
      </w:r>
    </w:p>
    <w:p w:rsidR="001F04ED" w:rsidRDefault="00DA52AD">
      <w:pPr>
        <w:ind w:firstLine="709"/>
        <w:jc w:val="both"/>
        <w:rPr>
          <w:lang w:eastAsia="lt-LT"/>
        </w:rPr>
      </w:pPr>
      <w:r>
        <w:rPr>
          <w:lang w:eastAsia="lt-LT"/>
        </w:rPr>
        <w:t xml:space="preserve">69.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1F04ED" w:rsidRDefault="00DA52AD">
      <w:pPr>
        <w:ind w:firstLine="709"/>
        <w:jc w:val="both"/>
        <w:rPr>
          <w:lang w:eastAsia="lt-LT"/>
        </w:rPr>
      </w:pPr>
      <w:r>
        <w:rPr>
          <w:lang w:eastAsia="lt-LT"/>
        </w:rPr>
        <w:t>70. 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rsidR="001F04ED" w:rsidRDefault="00DA52AD">
      <w:pPr>
        <w:ind w:firstLine="709"/>
        <w:jc w:val="both"/>
        <w:rPr>
          <w:lang w:eastAsia="lt-LT"/>
        </w:rPr>
      </w:pPr>
      <w:r>
        <w:rPr>
          <w:lang w:eastAsia="lt-LT"/>
        </w:rPr>
        <w:t>71. Įgyvendinančiajai institucijai baigus paraiškų vertinimą, sprendimą dėl projekto finansavimo arba nefinansavimo priima Ministerija Projektų taisyklių 17 skirsnyje nustatyta tvarka.</w:t>
      </w:r>
    </w:p>
    <w:p w:rsidR="001F04ED" w:rsidRDefault="00DA52AD">
      <w:pPr>
        <w:ind w:firstLine="709"/>
        <w:jc w:val="both"/>
        <w:rPr>
          <w:lang w:eastAsia="lt-LT"/>
        </w:rPr>
      </w:pPr>
      <w:r>
        <w:rPr>
          <w:lang w:eastAsia="lt-LT"/>
        </w:rPr>
        <w:t>72. Ministerijai priėmus sprendimą finansuoti projektą, įgyvendinančioji institucija per 3 darbo dienas nuo šio sprendimo gavimo dienos per DMS, o jeigu nėra įdiegtos DMS funkcinės galimybės – raštu, pateikia šį sprendimą pareiškėjams.</w:t>
      </w:r>
    </w:p>
    <w:p w:rsidR="001F04ED" w:rsidRDefault="00DA52AD">
      <w:pPr>
        <w:ind w:firstLine="709"/>
        <w:jc w:val="both"/>
        <w:rPr>
          <w:lang w:eastAsia="lt-LT"/>
        </w:rPr>
      </w:pPr>
      <w:r>
        <w:rPr>
          <w:lang w:eastAsia="lt-LT"/>
        </w:rPr>
        <w:t xml:space="preserve">73. Pagal Aprašą finansuojamiems projektams įgyvendinti bus sudaromos dvišalės projektų sutartys tarp pareiškėjų ir įgyvendinančiosios institucijos. </w:t>
      </w:r>
    </w:p>
    <w:p w:rsidR="001F04ED" w:rsidRDefault="00DA52AD">
      <w:pPr>
        <w:ind w:firstLine="709"/>
        <w:jc w:val="both"/>
        <w:rPr>
          <w:i/>
          <w:lang w:eastAsia="lt-LT"/>
        </w:rPr>
      </w:pPr>
      <w:r>
        <w:rPr>
          <w:lang w:eastAsia="lt-LT"/>
        </w:rPr>
        <w:t>74. Ministerijai priėmus sprendimą dėl projekto finansavimo, įgyvendinančioji institucija Projektų taisyklių 18 skirsnyje nustatyta tvarka pagal Projektų taisyklių 4 priede nustatytą formą</w:t>
      </w:r>
      <w:r>
        <w:rPr>
          <w:i/>
          <w:lang w:eastAsia="lt-LT"/>
        </w:rPr>
        <w:t xml:space="preserve"> </w:t>
      </w:r>
      <w:r>
        <w:rPr>
          <w:lang w:eastAsia="lt-LT"/>
        </w:rPr>
        <w:t>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1F04ED" w:rsidRDefault="00DA52AD">
      <w:pPr>
        <w:ind w:firstLine="709"/>
        <w:jc w:val="both"/>
        <w:rPr>
          <w:lang w:eastAsia="lt-LT"/>
        </w:rPr>
      </w:pPr>
      <w:r>
        <w:rPr>
          <w:lang w:eastAsia="lt-LT"/>
        </w:rPr>
        <w:t xml:space="preserve">75. Projekto sutarties originalas gali būti rengiamas ir teikiamas, vienu iš žemiau nurodytų būdų, priklausomai nuo to, kokią šio dokumento formą pasirenka projekto vykdytojas:  </w:t>
      </w:r>
    </w:p>
    <w:p w:rsidR="001F04ED" w:rsidRDefault="00DA52AD">
      <w:pPr>
        <w:ind w:firstLine="709"/>
        <w:jc w:val="both"/>
        <w:rPr>
          <w:lang w:eastAsia="lt-LT"/>
        </w:rPr>
      </w:pPr>
      <w:r>
        <w:rPr>
          <w:lang w:eastAsia="lt-LT"/>
        </w:rPr>
        <w:t>75.1. kaip pasirašytas popierinis dokumentas;</w:t>
      </w:r>
    </w:p>
    <w:p w:rsidR="001F04ED" w:rsidRDefault="00DA52AD">
      <w:pPr>
        <w:ind w:firstLine="709"/>
        <w:jc w:val="both"/>
        <w:rPr>
          <w:lang w:eastAsia="lt-LT"/>
        </w:rPr>
      </w:pPr>
      <w:r>
        <w:rPr>
          <w:lang w:eastAsia="lt-LT"/>
        </w:rPr>
        <w:t>75.2. kaip elektroninis dokumentas, pasirašytas elektroniniu parašu.</w:t>
      </w:r>
    </w:p>
    <w:p w:rsidR="001F04ED" w:rsidRDefault="001F04ED">
      <w:pPr>
        <w:rPr>
          <w:lang w:eastAsia="lt-LT"/>
        </w:rPr>
      </w:pPr>
    </w:p>
    <w:p w:rsidR="001F04ED" w:rsidRDefault="00DA52AD">
      <w:pPr>
        <w:jc w:val="center"/>
        <w:rPr>
          <w:b/>
          <w:szCs w:val="24"/>
          <w:lang w:eastAsia="lt-LT"/>
        </w:rPr>
      </w:pPr>
      <w:r>
        <w:rPr>
          <w:b/>
          <w:szCs w:val="24"/>
          <w:lang w:eastAsia="lt-LT"/>
        </w:rPr>
        <w:t>VI SKYRIUS</w:t>
      </w:r>
    </w:p>
    <w:p w:rsidR="001F04ED" w:rsidRDefault="00DA52AD">
      <w:pPr>
        <w:ind w:firstLine="62"/>
        <w:jc w:val="center"/>
        <w:rPr>
          <w:b/>
          <w:szCs w:val="24"/>
          <w:lang w:eastAsia="lt-LT"/>
        </w:rPr>
      </w:pPr>
      <w:r>
        <w:rPr>
          <w:b/>
          <w:szCs w:val="24"/>
          <w:lang w:eastAsia="lt-LT"/>
        </w:rPr>
        <w:t>PROJEKTŲ ĮGYVENDINIMO REIKALAVIMAI</w:t>
      </w:r>
    </w:p>
    <w:p w:rsidR="001F04ED" w:rsidRDefault="001F04ED">
      <w:pPr>
        <w:rPr>
          <w:lang w:eastAsia="lt-LT"/>
        </w:rPr>
      </w:pPr>
    </w:p>
    <w:p w:rsidR="001F04ED" w:rsidRDefault="00DA52AD">
      <w:pPr>
        <w:ind w:firstLine="709"/>
        <w:jc w:val="both"/>
        <w:rPr>
          <w:iCs/>
        </w:rPr>
      </w:pPr>
      <w:r>
        <w:rPr>
          <w:lang w:eastAsia="lt-LT"/>
        </w:rPr>
        <w:t xml:space="preserve">76. Projektas įgyvendinamas pagal projekto sutartyje, Apraše ir Projektų taisyklėse nustatytus reikalavimus. </w:t>
      </w:r>
    </w:p>
    <w:p w:rsidR="001F04ED" w:rsidRDefault="00DA52AD">
      <w:pPr>
        <w:ind w:firstLine="709"/>
        <w:jc w:val="both"/>
        <w:rPr>
          <w:iCs/>
        </w:rPr>
      </w:pPr>
      <w:r>
        <w:rPr>
          <w:iCs/>
        </w:rPr>
        <w:t>77. Jei projekto veikla nepradėta įgyvendinti per 6 mėnesius nuo projekto sutarties pasirašymo dienos, Įgyvendinančioji institucija, suderinusi su Ministerija, turi teisę vienašališkai nutraukti projekto sutartį.</w:t>
      </w:r>
    </w:p>
    <w:p w:rsidR="001F04ED" w:rsidRDefault="00DA52AD">
      <w:pPr>
        <w:ind w:firstLine="709"/>
        <w:jc w:val="both"/>
        <w:rPr>
          <w:iCs/>
        </w:rPr>
      </w:pPr>
      <w:r>
        <w:rPr>
          <w:iCs/>
        </w:rPr>
        <w:t xml:space="preserve">78. 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 Projektui </w:t>
      </w:r>
      <w:r>
        <w:rPr>
          <w:iCs/>
        </w:rPr>
        <w:lastRenderedPageBreak/>
        <w:t>gali būti neskirtas papilomas finansavimas Aprašo 82 punkte nustatyta tvarka ir (arba) gali būti neleista panaudoti sutaupytas lėšas Aprašo 83 punkte nustatyta tvarka, jeigu nėra pasiekiamas projekto sutartyje nustatytas privalomas finansinis projekto lėšų įsisavinimo spartos rodiklis.</w:t>
      </w:r>
    </w:p>
    <w:p w:rsidR="001F04ED" w:rsidRDefault="00DA52AD">
      <w:pPr>
        <w:ind w:firstLine="709"/>
        <w:jc w:val="both"/>
        <w:rPr>
          <w:szCs w:val="24"/>
        </w:rPr>
      </w:pPr>
      <w:r>
        <w:rPr>
          <w:rFonts w:eastAsia="Calibri"/>
          <w:szCs w:val="24"/>
        </w:rPr>
        <w:t>79. Ne vėliau negu praėjus 2 metams po projekto sutarties pasirašymo, projekto vykdytojas Įgyvendinančiai institucijai privalo pateikti ataskaitą dėl projekto įgyvendinimo metu pasiektų ir (arba) siekiamų rezultatų pažangos – vykdomų MTEP projektų tematikų, tikslų, siekiamų rezultatų, sukurtų produktų, technologijų ar kt. prototipų, pateiktų patentų paraiškų, įkurtų naujų žinioms imlių (atžalinių) įmonių, su įmonėmis pasirašytų bendradarbiavimo sutarčių ir pan. (toliau – Tarpinė ataskaita). Konkretus ataskaitos pateikimo terminas nustatomas projekto sutartyje.</w:t>
      </w:r>
      <w:r>
        <w:t xml:space="preserve"> </w:t>
      </w:r>
    </w:p>
    <w:p w:rsidR="001F04ED" w:rsidRDefault="00DA52AD">
      <w:pPr>
        <w:ind w:firstLine="709"/>
        <w:jc w:val="both"/>
        <w:rPr>
          <w:szCs w:val="24"/>
        </w:rPr>
      </w:pPr>
      <w:r>
        <w:rPr>
          <w:szCs w:val="24"/>
        </w:rPr>
        <w:t>80. Tarpinės ataskaitos vertinimo metu nustatoma, ar projekto veiklos vykdomos projekto sutartyje numatyta apimtimi, MTEP projektų eiga ir rezultatai per atsiskaitymo laikotarpį yra pakankami, komerciškai vertingi, ir ar jau pasiekti arba yra realu pasiekti Aprašo 29.1 ir 29.2 papunkčiuose nustatytus projekto stebėsenos rodiklius arba bent vieną iš Aprašo 31 punkte nustatytų rezultatų. Taip pat vertinami kiti MTEP veiklos, komercinimo, žinių ir technologijų perdavimo rezultatai, gauti įgyvendinant projektą.</w:t>
      </w:r>
    </w:p>
    <w:p w:rsidR="001F04ED" w:rsidRDefault="00DA52AD">
      <w:pPr>
        <w:ind w:firstLine="709"/>
        <w:jc w:val="both"/>
        <w:rPr>
          <w:szCs w:val="24"/>
        </w:rPr>
      </w:pPr>
      <w:r>
        <w:rPr>
          <w:szCs w:val="24"/>
        </w:rPr>
        <w:t>81. Atsižvelgdama į Tarpinės ataskaitos vertinimo rezultatus, įgyvendinančioji institucija, priima sprendimą:</w:t>
      </w:r>
    </w:p>
    <w:p w:rsidR="001F04ED" w:rsidRDefault="00DA52AD">
      <w:pPr>
        <w:ind w:firstLine="709"/>
        <w:jc w:val="both"/>
        <w:rPr>
          <w:szCs w:val="24"/>
        </w:rPr>
      </w:pPr>
      <w:r>
        <w:rPr>
          <w:szCs w:val="24"/>
        </w:rPr>
        <w:t>81.1. tęsti projekto finansavimą. Atsižvelgus į vertinimo rezultatus, gali būti sumažintos projektui įgyvendinti skirtos lėšos. Projekto vykdytojui gali būti pateiktos rekomendacijos dėl tolesnės projekto įgyvendinimo eigos;</w:t>
      </w:r>
    </w:p>
    <w:p w:rsidR="001F04ED" w:rsidRDefault="00DA52AD">
      <w:pPr>
        <w:ind w:firstLine="709"/>
        <w:jc w:val="both"/>
        <w:rPr>
          <w:szCs w:val="24"/>
        </w:rPr>
      </w:pPr>
      <w:r>
        <w:rPr>
          <w:szCs w:val="24"/>
        </w:rPr>
        <w:t>81.2. nutraukti projekto finansavimą, nesusigrąžinant sumokėtų projekto finansavimo lėšų. Tokiu atveju laikoma, kad projekto vykdytojas pasiekė Aprašo 29.3 papunktyje nurodytą rodiklį.</w:t>
      </w:r>
    </w:p>
    <w:p w:rsidR="001F04ED" w:rsidRDefault="00DA52AD">
      <w:pPr>
        <w:ind w:firstLine="709"/>
        <w:jc w:val="both"/>
        <w:rPr>
          <w:iCs/>
          <w:szCs w:val="24"/>
        </w:rPr>
      </w:pPr>
      <w:r>
        <w:rPr>
          <w:iCs/>
        </w:rPr>
        <w:t>82. Projektui gali būti skiriamas papildomas finansavimas Projektų taisyklių 196.4 papunktyje nurodytu atveju. Svarstant galimybę skirti projektui papildomą finansavimą įvertinama, kaip projekto vykdytojas vykdo projekto sutartyje nustatytus įsipareigojimus:</w:t>
      </w:r>
    </w:p>
    <w:p w:rsidR="001F04ED" w:rsidRDefault="00DA52AD">
      <w:pPr>
        <w:ind w:firstLine="709"/>
        <w:jc w:val="both"/>
        <w:rPr>
          <w:iCs/>
        </w:rPr>
      </w:pPr>
      <w:r>
        <w:rPr>
          <w:iCs/>
        </w:rPr>
        <w:t xml:space="preserve">82.1. ar projekto įgyvendinimas vykdomas pagal projekto sutartyje nustatytą projekto veiklų įgyvendinimo grafiką; </w:t>
      </w:r>
    </w:p>
    <w:p w:rsidR="001F04ED" w:rsidRDefault="00DA52AD">
      <w:pPr>
        <w:ind w:firstLine="709"/>
        <w:jc w:val="both"/>
        <w:rPr>
          <w:iCs/>
        </w:rPr>
      </w:pPr>
      <w:r>
        <w:rPr>
          <w:iCs/>
        </w:rPr>
        <w:t>82.2. ar pasiektas projekto sutartyje nustatytas finansinės projekto lėšų įsisavinimo spartos rodiklis;</w:t>
      </w:r>
    </w:p>
    <w:p w:rsidR="001F04ED" w:rsidRDefault="00DA52AD">
      <w:pPr>
        <w:ind w:firstLine="709"/>
        <w:jc w:val="both"/>
        <w:rPr>
          <w:iCs/>
        </w:rPr>
      </w:pPr>
      <w:r>
        <w:rPr>
          <w:iCs/>
        </w:rPr>
        <w:t>82.3. ar pasiekti stebėsenos rodikliai projekto sutartyje nustatytais terminais.</w:t>
      </w:r>
    </w:p>
    <w:p w:rsidR="001F04ED" w:rsidRDefault="00DA52AD">
      <w:pPr>
        <w:ind w:firstLine="709"/>
        <w:jc w:val="both"/>
        <w:rPr>
          <w:iCs/>
        </w:rPr>
      </w:pPr>
      <w:r>
        <w:rPr>
          <w:iCs/>
        </w:rPr>
        <w:t>83. Projektui gali būti leista panaudoti sutaupytas lėšas Projektų taisyklių 20 skirsnyje nustatyta tvarka. Svarstant tokią galimybę yra įvertinama, kaip projekto vykdytojas vykdo projekto sutartyje nustatytus įsipareigojimus:</w:t>
      </w:r>
    </w:p>
    <w:p w:rsidR="001F04ED" w:rsidRDefault="00DA52AD">
      <w:pPr>
        <w:ind w:firstLine="709"/>
        <w:jc w:val="both"/>
        <w:rPr>
          <w:iCs/>
        </w:rPr>
      </w:pPr>
      <w:r>
        <w:rPr>
          <w:iCs/>
        </w:rPr>
        <w:t xml:space="preserve">83.1. ar projekto įgyvendinimas vykdomas pagal projekto sutartyje nustatytą projekto veiklų įgyvendinimo grafiką; </w:t>
      </w:r>
    </w:p>
    <w:p w:rsidR="001F04ED" w:rsidRDefault="00DA52AD">
      <w:pPr>
        <w:ind w:firstLine="709"/>
        <w:jc w:val="both"/>
        <w:rPr>
          <w:iCs/>
        </w:rPr>
      </w:pPr>
      <w:r>
        <w:rPr>
          <w:iCs/>
        </w:rPr>
        <w:t>83.2. ar pasiektas projekto sutartyje nustatytas finansinės projekto lėšų įsisavinimo spartos rodiklis;</w:t>
      </w:r>
    </w:p>
    <w:p w:rsidR="001F04ED" w:rsidRDefault="00DA52AD">
      <w:pPr>
        <w:ind w:firstLine="709"/>
        <w:jc w:val="both"/>
        <w:rPr>
          <w:iCs/>
        </w:rPr>
      </w:pPr>
      <w:r>
        <w:rPr>
          <w:iCs/>
        </w:rPr>
        <w:t>83.3. ar pasiekti stebėsenos rodikliai projekto sutartyje nustatytais terminais.</w:t>
      </w:r>
    </w:p>
    <w:p w:rsidR="001F04ED" w:rsidRDefault="00DA52AD">
      <w:pPr>
        <w:ind w:firstLine="709"/>
        <w:jc w:val="both"/>
      </w:pPr>
      <w:r>
        <w:rPr>
          <w:iCs/>
        </w:rPr>
        <w:t xml:space="preserve">84. Jeigu projekto įgyvendinimo metu mokslo ir studijų institucija ar universiteto ligoninė vykdo </w:t>
      </w:r>
      <w:r>
        <w:t>ž</w:t>
      </w:r>
      <w:r>
        <w:rPr>
          <w:color w:val="000000"/>
        </w:rPr>
        <w:t>inių perdavimo veiklą, visas šios veiklos pelnas turi būti reinvestuojamas į pagrindinę mokslo ir studijų institucijos</w:t>
      </w:r>
      <w:r>
        <w:t xml:space="preserve"> veiklą, arba į mokslinių tyrimų infrastruktūrą.</w:t>
      </w:r>
    </w:p>
    <w:p w:rsidR="001F04ED" w:rsidRDefault="00DA52AD">
      <w:pPr>
        <w:ind w:firstLine="709"/>
        <w:jc w:val="both"/>
      </w:pPr>
      <w:r>
        <w:t>85. Projekto įgyvendinimo metu pareiškėjas turi pateikti dokumentus, įrodančius tinkamą pareiškėjo ir partnerio ekonominės ir neekonominės veiklos rūšių, jų išlaidų, finansavimo ir pajamų atskyrimą (metines finansines ataskaitas).</w:t>
      </w:r>
    </w:p>
    <w:p w:rsidR="001F04ED" w:rsidRDefault="00DA52AD">
      <w:pPr>
        <w:ind w:firstLine="709"/>
        <w:jc w:val="both"/>
      </w:pPr>
      <w:r>
        <w:t>86. Pareiškėjas ir partneris turi užtikrinti, kad projekto įgyvendinimo metu ir naudojant projekto metu sukurtus rezultatus nebus teikiama netiesioginė valstybės pagalba kitiems juridiniams asmenims.</w:t>
      </w:r>
    </w:p>
    <w:p w:rsidR="001F04ED" w:rsidRDefault="00DA52AD">
      <w:pPr>
        <w:ind w:firstLine="709"/>
        <w:jc w:val="both"/>
      </w:pPr>
      <w:r>
        <w:t xml:space="preserve">87. Laikoma, kad netiesioginė valstybės pagalba per mokslo ir studijų instituciją ar universiteto ligoninę kitiems juridiniams asmenims neperduodama, jeigu tenkinama viena iš šių sąlygų: </w:t>
      </w:r>
    </w:p>
    <w:p w:rsidR="001F04ED" w:rsidRDefault="00DA52AD">
      <w:pPr>
        <w:ind w:firstLine="709"/>
        <w:jc w:val="both"/>
      </w:pPr>
      <w:r>
        <w:t xml:space="preserve">87.1. visos intelektinės nuosavybės teisės į MTEP ir naujovių diegimo rezultatus, susijusius su mokslo ir studijų institucijos arba universiteto ligoninės veikla projekte, yra visiškai suteikiamos </w:t>
      </w:r>
      <w:r>
        <w:lastRenderedPageBreak/>
        <w:t xml:space="preserve">mokslo ir studijų institucijai arba universiteto ligoninei, t. y. mokslo ir studijų institucija arba universiteto ligoninė gauna visą šių teisių teikiamą ekonominę naudą ir pasilieka teisę jomis visomis naudotis, ypač nuosavybės teise ir licencijos teise; šios sąlygos taip pat gali būti įvykdytos, jeigu mokslo ir studijų institucija arba universiteto ligoninė nusprendžia toliau sudaryti sutartis dėl šių teisių, įskaitant jų licencijavimą bendradarbiavimo partneriui (rezultatai, kuriems netaikomos intelektinės nuosavybės teisės, gali būti plačiai skleidžiami); </w:t>
      </w:r>
    </w:p>
    <w:p w:rsidR="001F04ED" w:rsidRDefault="00DA52AD">
      <w:pPr>
        <w:ind w:firstLine="709"/>
        <w:jc w:val="both"/>
      </w:pPr>
      <w:r>
        <w:t>87.2. kai mokslo ir studijų institucija arba universiteto ligoninė gauna juridinio asmens kompensaciją, lygią intelektinės nuosavybės teisių, kurios yra susijusios su mokslo ir studijų institucijos arba universiteto ligoninės veikla įgyvendinant projektą ir kurios perduodamos juridiniams asmenims, rinkos kaina,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arba universiteto ligoninė, kaip pardavėja, derėsis, kad gautų didžiausią naudą sutarties sudarymo metu. Bet kuris juridinio asmens įnašas dengiant mokslo ir studijų institucijos arba universiteto ligoninės sąnaudas yra atimamas iš tokios kompensacijos.</w:t>
      </w:r>
    </w:p>
    <w:p w:rsidR="001F04ED" w:rsidRDefault="00DA52AD">
      <w:pPr>
        <w:ind w:firstLine="709"/>
        <w:jc w:val="both"/>
        <w:rPr>
          <w:iCs/>
        </w:rPr>
      </w:pPr>
      <w:r>
        <w:rPr>
          <w:iCs/>
        </w:rPr>
        <w:t xml:space="preserve">88. Vadovaujantis Mokslinių tyrimų ir eksperimentinės (socialinės, kultūrinės) plėtros ir inovacijų raidos (sumanios specializacijos) krypčių plėtros ir jų prioritetų įgyvendinimo stebėsenos ir poveikio vertinimo tvarkos aprašu, patvirtintu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tvarkos aprašo patvirtinimo“, Projekto vykdytojas ir partneris (-iai) Sumanios specializacijos programos įgyvendinimo laikotarpiu ir dvejus metus po Sumanios specializacijos programos įgyvendinimo pabaigos įsipareigoja teikti sumanios specializacijos įgyvendinimo stebėsenai ir vertinimui atlikti reikalingą informaciją stebėseną ir poveikio vertinimą atliekančiai institucijai (-oms), įgaliotai (-oms) Ministerijos. </w:t>
      </w:r>
    </w:p>
    <w:p w:rsidR="001F04ED" w:rsidRDefault="00DA52AD">
      <w:pPr>
        <w:ind w:firstLine="709"/>
        <w:jc w:val="both"/>
        <w:rPr>
          <w:iCs/>
        </w:rPr>
      </w:pPr>
      <w:r>
        <w:rPr>
          <w:iCs/>
        </w:rPr>
        <w:t xml:space="preserve">89. </w:t>
      </w:r>
      <w:r>
        <w:rPr>
          <w:lang w:eastAsia="lt-LT"/>
        </w:rPr>
        <w:t xml:space="preserve">Penkis metus po projekto finansavimo pabaigos </w:t>
      </w:r>
      <w:r>
        <w:t>arba, jei projektams teikiama valstybės pagalba, per valstybės pagalbos taisyklėse nustatytą laikotarpį turi būti užtikrintas investicijų tęstinumas Projektų taisyklių 27 skirsnyje nustatyta tvarka.</w:t>
      </w:r>
    </w:p>
    <w:p w:rsidR="001F04ED" w:rsidRDefault="001F04ED">
      <w:pPr>
        <w:rPr>
          <w:lang w:eastAsia="lt-LT"/>
        </w:rPr>
      </w:pPr>
    </w:p>
    <w:p w:rsidR="001F04ED" w:rsidRDefault="00DA52AD">
      <w:pPr>
        <w:jc w:val="center"/>
        <w:rPr>
          <w:b/>
          <w:szCs w:val="24"/>
          <w:lang w:eastAsia="lt-LT"/>
        </w:rPr>
      </w:pPr>
      <w:r>
        <w:rPr>
          <w:b/>
          <w:szCs w:val="24"/>
          <w:lang w:eastAsia="lt-LT"/>
        </w:rPr>
        <w:t>VII SKYRIUS</w:t>
      </w:r>
    </w:p>
    <w:p w:rsidR="001F04ED" w:rsidRDefault="00DA52AD">
      <w:pPr>
        <w:ind w:firstLine="62"/>
        <w:jc w:val="center"/>
        <w:rPr>
          <w:b/>
          <w:szCs w:val="24"/>
          <w:lang w:eastAsia="lt-LT"/>
        </w:rPr>
      </w:pPr>
      <w:r>
        <w:rPr>
          <w:b/>
          <w:szCs w:val="24"/>
          <w:lang w:eastAsia="lt-LT"/>
        </w:rPr>
        <w:t>APRAŠO KEITIMO TVARKA</w:t>
      </w:r>
    </w:p>
    <w:p w:rsidR="001F04ED" w:rsidRDefault="001F04ED">
      <w:pPr>
        <w:rPr>
          <w:lang w:eastAsia="lt-LT"/>
        </w:rPr>
      </w:pPr>
    </w:p>
    <w:p w:rsidR="001F04ED" w:rsidRDefault="00DA52AD">
      <w:pPr>
        <w:ind w:firstLine="709"/>
        <w:jc w:val="both"/>
        <w:rPr>
          <w:lang w:eastAsia="lt-LT"/>
        </w:rPr>
      </w:pPr>
      <w:r>
        <w:rPr>
          <w:lang w:eastAsia="lt-LT"/>
        </w:rPr>
        <w:t xml:space="preserve">90. Aprašo keitimo tvarka nustatyta Projektų taisyklių 11 skirsnyje. </w:t>
      </w:r>
    </w:p>
    <w:p w:rsidR="001F04ED" w:rsidRPr="00513D60" w:rsidRDefault="00DA52AD" w:rsidP="00513D60">
      <w:pPr>
        <w:ind w:firstLine="709"/>
        <w:jc w:val="both"/>
        <w:rPr>
          <w:sz w:val="20"/>
        </w:rPr>
      </w:pPr>
      <w:r>
        <w:rPr>
          <w:lang w:eastAsia="lt-LT"/>
        </w:rPr>
        <w:t>91. Jei Aprašas keičiamas jau atrinkus projektus, šie pakeitimai, nepažeidžiant lygiateisiškumo principo, taikomi ir įgyvendinamiems projektams Projektų taisyklių 91 punkte nustatytais atvejais.</w:t>
      </w:r>
    </w:p>
    <w:sectPr w:rsidR="001F04ED" w:rsidRPr="00513D60" w:rsidSect="00513D60">
      <w:headerReference w:type="first" r:id="rId10"/>
      <w:pgSz w:w="11907" w:h="16840" w:code="9"/>
      <w:pgMar w:top="1138" w:right="562" w:bottom="1238" w:left="1699" w:header="288" w:footer="720" w:gutter="0"/>
      <w:pgNumType w:start="1"/>
      <w:cols w:space="282"/>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7EF" w:rsidRDefault="003D27EF">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3D27EF" w:rsidRDefault="003D27EF">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BA"/>
    <w:family w:val="swiss"/>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7EF" w:rsidRDefault="003D27EF">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3D27EF" w:rsidRDefault="003D27EF">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AD" w:rsidRDefault="00DA52AD">
    <w:pPr>
      <w:pStyle w:val="Antrats"/>
      <w:jc w:val="center"/>
    </w:pPr>
  </w:p>
  <w:p w:rsidR="00DA52AD" w:rsidRDefault="00DA52A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256CC"/>
    <w:rsid w:val="001F04ED"/>
    <w:rsid w:val="00273DB2"/>
    <w:rsid w:val="003116B9"/>
    <w:rsid w:val="003D27EF"/>
    <w:rsid w:val="00466641"/>
    <w:rsid w:val="0047775C"/>
    <w:rsid w:val="00513D60"/>
    <w:rsid w:val="0056457C"/>
    <w:rsid w:val="005B05C5"/>
    <w:rsid w:val="005C19BD"/>
    <w:rsid w:val="007B0DD2"/>
    <w:rsid w:val="00A047A2"/>
    <w:rsid w:val="00BB1D15"/>
    <w:rsid w:val="00D03200"/>
    <w:rsid w:val="00DA52AD"/>
    <w:rsid w:val="00DC2376"/>
    <w:rsid w:val="00EC1EDA"/>
    <w:rsid w:val="00ED1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520F72-08E6-4C69-B109-CF1D7954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basedOn w:val="prastasis"/>
    <w:pPr>
      <w:ind w:left="720"/>
      <w:contextualSpacing/>
    </w:pPr>
  </w:style>
  <w:style w:type="paragraph" w:styleId="Porat">
    <w:name w:val="footer"/>
    <w:basedOn w:val="prastasis"/>
    <w:link w:val="PoratDiagrama"/>
    <w:unhideWhenUsed/>
    <w:rsid w:val="0047775C"/>
    <w:pPr>
      <w:tabs>
        <w:tab w:val="center" w:pos="4819"/>
        <w:tab w:val="right" w:pos="9638"/>
      </w:tabs>
    </w:pPr>
  </w:style>
  <w:style w:type="character" w:customStyle="1" w:styleId="PoratDiagrama">
    <w:name w:val="Poraštė Diagrama"/>
    <w:basedOn w:val="Numatytasispastraiposriftas"/>
    <w:link w:val="Porat"/>
    <w:rsid w:val="0047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92917507">
      <w:bodyDiv w:val="1"/>
      <w:marLeft w:val="0"/>
      <w:marRight w:val="0"/>
      <w:marTop w:val="0"/>
      <w:marBottom w:val="0"/>
      <w:divBdr>
        <w:top w:val="none" w:sz="0" w:space="0" w:color="auto"/>
        <w:left w:val="none" w:sz="0" w:space="0" w:color="auto"/>
        <w:bottom w:val="none" w:sz="0" w:space="0" w:color="auto"/>
        <w:right w:val="none" w:sz="0" w:space="0" w:color="auto"/>
      </w:divBdr>
    </w:div>
    <w:div w:id="1228809143">
      <w:bodyDiv w:val="1"/>
      <w:marLeft w:val="0"/>
      <w:marRight w:val="0"/>
      <w:marTop w:val="0"/>
      <w:marBottom w:val="0"/>
      <w:divBdr>
        <w:top w:val="none" w:sz="0" w:space="0" w:color="auto"/>
        <w:left w:val="none" w:sz="0" w:space="0" w:color="auto"/>
        <w:bottom w:val="none" w:sz="0" w:space="0" w:color="auto"/>
        <w:right w:val="none" w:sz="0" w:space="0" w:color="auto"/>
      </w:divBdr>
    </w:div>
    <w:div w:id="1588733031">
      <w:bodyDiv w:val="1"/>
      <w:marLeft w:val="0"/>
      <w:marRight w:val="0"/>
      <w:marTop w:val="0"/>
      <w:marBottom w:val="0"/>
      <w:divBdr>
        <w:top w:val="none" w:sz="0" w:space="0" w:color="auto"/>
        <w:left w:val="none" w:sz="0" w:space="0" w:color="auto"/>
        <w:bottom w:val="none" w:sz="0" w:space="0" w:color="auto"/>
        <w:right w:val="none" w:sz="0" w:space="0" w:color="auto"/>
      </w:divBdr>
    </w:div>
    <w:div w:id="1846482035">
      <w:bodyDiv w:val="1"/>
      <w:marLeft w:val="0"/>
      <w:marRight w:val="0"/>
      <w:marTop w:val="0"/>
      <w:marBottom w:val="0"/>
      <w:divBdr>
        <w:top w:val="none" w:sz="0" w:space="0" w:color="auto"/>
        <w:left w:val="none" w:sz="0" w:space="0" w:color="auto"/>
        <w:bottom w:val="none" w:sz="0" w:space="0" w:color="auto"/>
        <w:right w:val="none" w:sz="0" w:space="0" w:color="auto"/>
      </w:divBdr>
    </w:div>
    <w:div w:id="1859662953">
      <w:bodyDiv w:val="1"/>
      <w:marLeft w:val="0"/>
      <w:marRight w:val="0"/>
      <w:marTop w:val="0"/>
      <w:marBottom w:val="0"/>
      <w:divBdr>
        <w:top w:val="none" w:sz="0" w:space="0" w:color="auto"/>
        <w:left w:val="none" w:sz="0" w:space="0" w:color="auto"/>
        <w:bottom w:val="none" w:sz="0" w:space="0" w:color="auto"/>
        <w:right w:val="none" w:sz="0" w:space="0" w:color="auto"/>
      </w:divBdr>
    </w:div>
    <w:div w:id="213636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7f69ef15-2f8f-4d5b-9de8-f3c24753b112</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ADB97A0-AEA7-485D-8669-21D0FF52B2A4}">
  <ds:schemaRefs>
    <ds:schemaRef ds:uri="http://schemas.microsoft.com/sharepoint/v3/contenttype/forms"/>
  </ds:schemaRefs>
</ds:datastoreItem>
</file>

<file path=customXml/itemProps2.xml><?xml version="1.0" encoding="utf-8"?>
<ds:datastoreItem xmlns:ds="http://schemas.openxmlformats.org/officeDocument/2006/customXml" ds:itemID="{05861A66-816D-46E1-BAAB-E507A845A9FC}">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06AE1D22-B08A-4A7E-9F6A-3298B73A9A9A}">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14FE2A0B-8FFA-4FD1-8591-716FDE75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35381</Words>
  <Characters>20168</Characters>
  <Application>Microsoft Office Word</Application>
  <DocSecurity>0</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703 PFSA Nr. 2 patvirtinimo.docx</vt:lpstr>
      <vt:lpstr/>
    </vt:vector>
  </TitlesOfParts>
  <Company>VKS</Company>
  <LinksUpToDate>false</LinksUpToDate>
  <CharactersWithSpaces>55439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703 PFSA Nr. 2 patvirtinimo.docx</dc:title>
  <dc:creator>Gaidamavičienė Agnė</dc:creator>
  <cp:lastModifiedBy>Gaidamavičienė Agnė</cp:lastModifiedBy>
  <cp:revision>12</cp:revision>
  <cp:lastPrinted>2010-02-18T07:54:00Z</cp:lastPrinted>
  <dcterms:created xsi:type="dcterms:W3CDTF">2018-10-02T07:08:00Z</dcterms:created>
  <dcterms:modified xsi:type="dcterms:W3CDTF">2018-10-15T08:44:00Z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