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42DF" w14:textId="77777777" w:rsidR="00655494" w:rsidRPr="00655494" w:rsidRDefault="00655494" w:rsidP="00E03060">
      <w:pPr>
        <w:spacing w:after="0" w:line="240" w:lineRule="auto"/>
        <w:ind w:left="7797" w:right="-881"/>
        <w:rPr>
          <w:rFonts w:ascii="Times New Roman" w:eastAsia="Calibri" w:hAnsi="Times New Roman" w:cs="Times New Roman"/>
          <w:sz w:val="24"/>
          <w:szCs w:val="24"/>
        </w:rPr>
      </w:pPr>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Pr="00655494">
        <w:rPr>
          <w:rFonts w:ascii="Times New Roman" w:eastAsia="Calibri" w:hAnsi="Times New Roman" w:cs="Times New Roman"/>
          <w:sz w:val="24"/>
          <w:szCs w:val="24"/>
        </w:rPr>
        <w:t>1 prioriteto „Mokslinių tyrimų, eksperimentinės plėtros ir inovacijų skatinimas“</w:t>
      </w:r>
      <w:r w:rsidR="00AC1F8D">
        <w:rPr>
          <w:rFonts w:ascii="Times New Roman" w:eastAsia="Calibri" w:hAnsi="Times New Roman" w:cs="Times New Roman"/>
          <w:sz w:val="24"/>
          <w:szCs w:val="24"/>
        </w:rPr>
        <w:t xml:space="preserve"> priemonės 01.2.2-CPVA-K-703 „Kompetencijos centrų ir inovacijų ir technologijų perdavimo centrų veiklos skatinimas</w:t>
      </w:r>
      <w:r w:rsidRPr="00655494">
        <w:rPr>
          <w:rFonts w:ascii="Times New Roman" w:eastAsia="Calibri" w:hAnsi="Times New Roman" w:cs="Times New Roman"/>
          <w:sz w:val="24"/>
          <w:szCs w:val="24"/>
        </w:rPr>
        <w:t xml:space="preserve">“ projektų finansavimo sąlygų aprašo Nr. </w:t>
      </w:r>
      <w:r w:rsidR="003D0D09">
        <w:rPr>
          <w:rFonts w:ascii="Times New Roman" w:eastAsia="Calibri" w:hAnsi="Times New Roman" w:cs="Times New Roman"/>
          <w:sz w:val="24"/>
          <w:szCs w:val="24"/>
        </w:rPr>
        <w:t>3</w:t>
      </w:r>
    </w:p>
    <w:p w14:paraId="464C4E23" w14:textId="77777777" w:rsidR="00655494" w:rsidRPr="00655494" w:rsidRDefault="00655494" w:rsidP="00E03060">
      <w:pPr>
        <w:spacing w:after="0" w:line="240" w:lineRule="auto"/>
        <w:ind w:left="7371" w:firstLine="405"/>
        <w:rPr>
          <w:rFonts w:ascii="Times New Roman" w:eastAsia="Calibri" w:hAnsi="Times New Roman" w:cs="Times New Roman"/>
          <w:b/>
          <w:bCs/>
          <w:sz w:val="24"/>
        </w:rPr>
      </w:pPr>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14:paraId="6E9AA459" w14:textId="77777777" w:rsidTr="000265C2">
        <w:trPr>
          <w:trHeight w:val="20"/>
        </w:trPr>
        <w:tc>
          <w:tcPr>
            <w:tcW w:w="14940" w:type="dxa"/>
            <w:tcBorders>
              <w:top w:val="nil"/>
              <w:left w:val="nil"/>
              <w:right w:val="nil"/>
            </w:tcBorders>
          </w:tcPr>
          <w:p w14:paraId="785E687B" w14:textId="77777777" w:rsidR="00655494" w:rsidRPr="00655494" w:rsidRDefault="00655494" w:rsidP="00655494">
            <w:pPr>
              <w:spacing w:after="0" w:line="276" w:lineRule="auto"/>
              <w:jc w:val="center"/>
              <w:rPr>
                <w:rFonts w:ascii="Times New Roman" w:eastAsia="Calibri" w:hAnsi="Times New Roman" w:cs="Times New Roman"/>
                <w:b/>
                <w:bCs/>
                <w:caps/>
                <w:sz w:val="24"/>
                <w:szCs w:val="24"/>
              </w:rPr>
            </w:pPr>
          </w:p>
          <w:p w14:paraId="58DB39BB" w14:textId="77777777"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14:paraId="6D42AF4B" w14:textId="77777777"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14:paraId="736DBB3E" w14:textId="77777777" w:rsidTr="000265C2">
              <w:tc>
                <w:tcPr>
                  <w:tcW w:w="3856" w:type="dxa"/>
                  <w:shd w:val="clear" w:color="auto" w:fill="auto"/>
                </w:tcPr>
                <w:p w14:paraId="324BD3D2"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14:paraId="2209F7A2" w14:textId="77777777"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35C70622" w14:textId="77777777" w:rsidTr="000265C2">
              <w:tc>
                <w:tcPr>
                  <w:tcW w:w="3856" w:type="dxa"/>
                  <w:shd w:val="clear" w:color="auto" w:fill="auto"/>
                </w:tcPr>
                <w:p w14:paraId="53B53EF8"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14:paraId="6B3D9D43"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3B8A2105" w14:textId="77777777" w:rsidTr="000265C2">
              <w:tc>
                <w:tcPr>
                  <w:tcW w:w="3856" w:type="dxa"/>
                  <w:shd w:val="clear" w:color="auto" w:fill="auto"/>
                </w:tcPr>
                <w:p w14:paraId="2F430452"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14:paraId="39097995"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07D9852D" w14:textId="77777777" w:rsidTr="000265C2">
              <w:tc>
                <w:tcPr>
                  <w:tcW w:w="14771" w:type="dxa"/>
                  <w:gridSpan w:val="2"/>
                  <w:shd w:val="clear" w:color="auto" w:fill="auto"/>
                </w:tcPr>
                <w:p w14:paraId="3D219921"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14:paraId="4CFC586F"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su partneriu (-</w:t>
                  </w:r>
                  <w:proofErr w:type="spellStart"/>
                  <w:r w:rsidRPr="00655494">
                    <w:rPr>
                      <w:rFonts w:ascii="Times New Roman" w:eastAsia="Calibri" w:hAnsi="Times New Roman" w:cs="Times New Roman"/>
                      <w:b/>
                      <w:bCs/>
                      <w:sz w:val="24"/>
                      <w:szCs w:val="24"/>
                      <w:lang w:eastAsia="lt-LT"/>
                    </w:rPr>
                    <w:t>iais</w:t>
                  </w:r>
                  <w:proofErr w:type="spellEnd"/>
                  <w:r w:rsidRPr="00655494">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 be partnerio (-</w:t>
                  </w:r>
                  <w:proofErr w:type="spellStart"/>
                  <w:r w:rsidRPr="00655494">
                    <w:rPr>
                      <w:rFonts w:ascii="Times New Roman" w:eastAsia="Calibri" w:hAnsi="Times New Roman" w:cs="Times New Roman"/>
                      <w:b/>
                      <w:bCs/>
                      <w:sz w:val="24"/>
                      <w:szCs w:val="24"/>
                      <w:lang w:eastAsia="lt-LT"/>
                    </w:rPr>
                    <w:t>ių</w:t>
                  </w:r>
                  <w:proofErr w:type="spellEnd"/>
                  <w:r w:rsidRPr="00655494">
                    <w:rPr>
                      <w:rFonts w:ascii="Times New Roman" w:eastAsia="Calibri" w:hAnsi="Times New Roman" w:cs="Times New Roman"/>
                      <w:b/>
                      <w:bCs/>
                      <w:sz w:val="24"/>
                      <w:szCs w:val="24"/>
                      <w:lang w:eastAsia="lt-LT"/>
                    </w:rPr>
                    <w:t>)</w:t>
                  </w:r>
                </w:p>
              </w:tc>
            </w:tr>
            <w:tr w:rsidR="00655494" w:rsidRPr="00655494" w14:paraId="2434ABA7" w14:textId="77777777" w:rsidTr="000265C2">
              <w:tc>
                <w:tcPr>
                  <w:tcW w:w="14771" w:type="dxa"/>
                  <w:gridSpan w:val="2"/>
                  <w:shd w:val="clear" w:color="auto" w:fill="auto"/>
                </w:tcPr>
                <w:p w14:paraId="3ED6C393"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p>
                <w:p w14:paraId="5019A908"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w:t>
                  </w:r>
                  <w:r w:rsidR="00164AE7">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PATIKSLINTA</w:t>
                  </w:r>
                </w:p>
                <w:p w14:paraId="03766E74"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14:paraId="717803BF"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14:paraId="13A9E37D" w14:textId="77777777" w:rsidR="00655494" w:rsidRDefault="00655494" w:rsidP="00655494">
            <w:pPr>
              <w:spacing w:after="0" w:line="276" w:lineRule="auto"/>
              <w:ind w:right="373"/>
              <w:rPr>
                <w:rFonts w:ascii="Times New Roman" w:eastAsia="Calibri" w:hAnsi="Times New Roman" w:cs="Times New Roman"/>
                <w:b/>
                <w:sz w:val="24"/>
                <w:szCs w:val="24"/>
              </w:rPr>
            </w:pPr>
          </w:p>
          <w:p w14:paraId="7788E043" w14:textId="77777777" w:rsidR="006C7CA2" w:rsidRPr="00655494"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14:paraId="7E6AAFB2" w14:textId="77777777" w:rsidTr="000265C2">
              <w:trPr>
                <w:trHeight w:val="285"/>
              </w:trPr>
              <w:tc>
                <w:tcPr>
                  <w:tcW w:w="3006" w:type="dxa"/>
                  <w:vMerge w:val="restart"/>
                  <w:shd w:val="clear" w:color="auto" w:fill="auto"/>
                </w:tcPr>
                <w:p w14:paraId="591070D6"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14:paraId="66C59D61" w14:textId="77777777"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14:paraId="463371B2" w14:textId="77777777"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14:paraId="3E9DA33D"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14:paraId="408C3261"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14:paraId="5D757732"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655494" w:rsidRPr="00655494" w14:paraId="71DD85DE" w14:textId="77777777" w:rsidTr="000265C2">
              <w:trPr>
                <w:trHeight w:val="285"/>
              </w:trPr>
              <w:tc>
                <w:tcPr>
                  <w:tcW w:w="3006" w:type="dxa"/>
                  <w:vMerge/>
                  <w:shd w:val="clear" w:color="auto" w:fill="auto"/>
                </w:tcPr>
                <w:p w14:paraId="5DE34D80" w14:textId="77777777"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14:paraId="742121DB" w14:textId="77777777"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14:paraId="361CC027" w14:textId="77777777"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14:paraId="080459BC"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14:paraId="29F3324D"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14:paraId="2D9CA249" w14:textId="77777777" w:rsidTr="000265C2">
              <w:tc>
                <w:tcPr>
                  <w:tcW w:w="3006" w:type="dxa"/>
                  <w:shd w:val="clear" w:color="auto" w:fill="auto"/>
                </w:tcPr>
                <w:p w14:paraId="5A6583F1" w14:textId="77777777" w:rsidR="00655494" w:rsidRPr="00655494" w:rsidRDefault="00655494" w:rsidP="00D05767">
                  <w:pPr>
                    <w:spacing w:after="0" w:line="240" w:lineRule="auto"/>
                    <w:jc w:val="both"/>
                    <w:rPr>
                      <w:rFonts w:ascii="Times New Roman" w:eastAsia="Calibri" w:hAnsi="Times New Roman" w:cs="Times New Roman"/>
                      <w:b/>
                      <w:bCs/>
                      <w:caps/>
                      <w:sz w:val="24"/>
                      <w:szCs w:val="24"/>
                    </w:rPr>
                  </w:pPr>
                  <w:r w:rsidRPr="00655494">
                    <w:rPr>
                      <w:rFonts w:ascii="Times New Roman" w:eastAsia="Times New Roman" w:hAnsi="Times New Roman" w:cs="Times New Roman"/>
                      <w:b/>
                      <w:bCs/>
                      <w:sz w:val="24"/>
                      <w:szCs w:val="24"/>
                      <w:lang w:eastAsia="lt-LT"/>
                    </w:rPr>
                    <w:t xml:space="preserve">1. </w:t>
                  </w:r>
                  <w:r w:rsidR="003D0D09" w:rsidRPr="003D0D09">
                    <w:rPr>
                      <w:rFonts w:ascii="Times New Roman" w:eastAsia="Times New Roman" w:hAnsi="Times New Roman" w:cs="Times New Roman"/>
                      <w:b/>
                      <w:bCs/>
                      <w:sz w:val="24"/>
                      <w:szCs w:val="24"/>
                      <w:lang w:eastAsia="lt-LT"/>
                    </w:rPr>
                    <w:t xml:space="preserve">Pareiškėjo ir partnerių projekto veiklas vykdysiančių mokslininkų grupės patirtį, vykdant MTEP veiklą, dalyvaujant tarptautinėse MTEP programose, bendradarbiaujant su </w:t>
                  </w:r>
                  <w:r w:rsidR="003D0D09" w:rsidRPr="003D0D09">
                    <w:rPr>
                      <w:rFonts w:ascii="Times New Roman" w:eastAsia="Times New Roman" w:hAnsi="Times New Roman" w:cs="Times New Roman"/>
                      <w:b/>
                      <w:bCs/>
                      <w:sz w:val="24"/>
                      <w:szCs w:val="24"/>
                      <w:lang w:eastAsia="lt-LT"/>
                    </w:rPr>
                    <w:lastRenderedPageBreak/>
                    <w:t>verslu atspindintys rezultatai, atitinkantys Sumanios specializacijos programos prioritetą, kuriame planuojamas įgyvendinti projektas</w:t>
                  </w:r>
                  <w:r w:rsidR="003D0D09">
                    <w:rPr>
                      <w:rFonts w:ascii="Times New Roman" w:eastAsia="Times New Roman" w:hAnsi="Times New Roman" w:cs="Times New Roman"/>
                      <w:b/>
                      <w:bCs/>
                      <w:sz w:val="24"/>
                      <w:szCs w:val="24"/>
                      <w:lang w:eastAsia="lt-LT"/>
                    </w:rPr>
                    <w:t>.</w:t>
                  </w:r>
                </w:p>
              </w:tc>
              <w:tc>
                <w:tcPr>
                  <w:tcW w:w="6271" w:type="dxa"/>
                  <w:shd w:val="clear" w:color="auto" w:fill="auto"/>
                </w:tcPr>
                <w:p w14:paraId="03839CC8" w14:textId="77777777" w:rsidR="008014C3" w:rsidRDefault="008014C3" w:rsidP="00E03060">
                  <w:pPr>
                    <w:spacing w:after="0" w:line="240" w:lineRule="auto"/>
                    <w:jc w:val="both"/>
                    <w:rPr>
                      <w:rFonts w:ascii="Times New Roman" w:eastAsia="Times New Roman" w:hAnsi="Times New Roman" w:cs="Times New Roman"/>
                      <w:color w:val="000000"/>
                      <w:sz w:val="24"/>
                      <w:szCs w:val="24"/>
                    </w:rPr>
                  </w:pPr>
                  <w:r w:rsidRPr="001A5C13">
                    <w:rPr>
                      <w:rFonts w:ascii="Times New Roman" w:eastAsia="Times New Roman" w:hAnsi="Times New Roman" w:cs="Times New Roman"/>
                      <w:sz w:val="24"/>
                      <w:szCs w:val="24"/>
                    </w:rPr>
                    <w:lastRenderedPageBreak/>
                    <w:t xml:space="preserve">Vertinami pareiškėjo </w:t>
                  </w:r>
                  <w:r w:rsidR="002E15EC">
                    <w:rPr>
                      <w:rFonts w:ascii="Times New Roman" w:eastAsia="Times New Roman" w:hAnsi="Times New Roman" w:cs="Times New Roman"/>
                      <w:sz w:val="24"/>
                      <w:szCs w:val="24"/>
                    </w:rPr>
                    <w:t xml:space="preserve">ir partnerio </w:t>
                  </w:r>
                  <w:r w:rsidR="007D1DA9">
                    <w:rPr>
                      <w:rFonts w:ascii="Times New Roman" w:eastAsia="Times New Roman" w:hAnsi="Times New Roman" w:cs="Times New Roman"/>
                      <w:sz w:val="24"/>
                      <w:szCs w:val="24"/>
                    </w:rPr>
                    <w:t xml:space="preserve">(tuo atveju, jeigu partneris yra mokslo ir studijų institucija arba universiteto ligoninė) </w:t>
                  </w:r>
                  <w:r w:rsidR="003D0D09">
                    <w:rPr>
                      <w:rFonts w:ascii="Times New Roman" w:eastAsia="Times New Roman" w:hAnsi="Times New Roman" w:cs="Times New Roman"/>
                      <w:sz w:val="24"/>
                      <w:szCs w:val="24"/>
                    </w:rPr>
                    <w:t xml:space="preserve">autorių, kurie vykdys projekto veiklas, </w:t>
                  </w:r>
                  <w:r w:rsidRPr="001A5C13">
                    <w:rPr>
                      <w:rFonts w:ascii="Times New Roman" w:eastAsia="Times New Roman" w:hAnsi="Times New Roman" w:cs="Times New Roman"/>
                      <w:color w:val="000000"/>
                      <w:sz w:val="24"/>
                      <w:szCs w:val="24"/>
                    </w:rPr>
                    <w:t xml:space="preserve">mokslo darbų vertinimo rezultatai MTEP srityse, </w:t>
                  </w:r>
                  <w:r w:rsidRPr="001A5C13">
                    <w:rPr>
                      <w:rFonts w:ascii="Times New Roman" w:eastAsia="Times New Roman" w:hAnsi="Times New Roman" w:cs="Times New Roman"/>
                      <w:sz w:val="24"/>
                      <w:szCs w:val="24"/>
                      <w:lang w:eastAsia="lt-LT"/>
                    </w:rPr>
                    <w:t xml:space="preserve">atitinkančiose </w:t>
                  </w:r>
                  <w:r w:rsidR="00973A93">
                    <w:rPr>
                      <w:rFonts w:ascii="Times New Roman" w:eastAsia="Times New Roman" w:hAnsi="Times New Roman" w:cs="Times New Roman"/>
                      <w:sz w:val="24"/>
                      <w:szCs w:val="24"/>
                      <w:lang w:eastAsia="lt-LT"/>
                    </w:rPr>
                    <w:t>Sumanios specializacijos programos prioritetą, kuriam priskiriamas projektas</w:t>
                  </w:r>
                  <w:r w:rsidRPr="001A5C13">
                    <w:rPr>
                      <w:rFonts w:ascii="Times New Roman" w:eastAsia="Times New Roman" w:hAnsi="Times New Roman" w:cs="Times New Roman"/>
                      <w:color w:val="000000"/>
                      <w:sz w:val="24"/>
                      <w:szCs w:val="24"/>
                    </w:rPr>
                    <w:t xml:space="preserve">, vadovaujantis paskutiniais </w:t>
                  </w:r>
                  <w:r w:rsidR="007D1DA9">
                    <w:rPr>
                      <w:rFonts w:ascii="Times New Roman" w:eastAsia="Times New Roman" w:hAnsi="Times New Roman" w:cs="Times New Roman"/>
                      <w:sz w:val="24"/>
                      <w:szCs w:val="24"/>
                    </w:rPr>
                    <w:t>turimais</w:t>
                  </w:r>
                  <w:r w:rsidRPr="001A5C13">
                    <w:rPr>
                      <w:rFonts w:ascii="Times New Roman" w:eastAsia="Times New Roman" w:hAnsi="Times New Roman" w:cs="Times New Roman"/>
                      <w:sz w:val="24"/>
                      <w:szCs w:val="24"/>
                    </w:rPr>
                    <w:t xml:space="preserve"> </w:t>
                  </w:r>
                  <w:r w:rsidRPr="001A5C13">
                    <w:rPr>
                      <w:rFonts w:ascii="Times New Roman" w:eastAsia="Times New Roman" w:hAnsi="Times New Roman" w:cs="Times New Roman"/>
                      <w:color w:val="000000"/>
                      <w:sz w:val="24"/>
                      <w:szCs w:val="24"/>
                    </w:rPr>
                    <w:t>Lietuvos mokslo tarybos duomenimis, gautais atliekant mokslo ir studijų institucijų mokslo (meno) darbų</w:t>
                  </w:r>
                  <w:r w:rsidR="00383C66">
                    <w:rPr>
                      <w:rFonts w:ascii="Times New Roman" w:eastAsia="Times New Roman" w:hAnsi="Times New Roman" w:cs="Times New Roman"/>
                      <w:color w:val="000000"/>
                      <w:sz w:val="24"/>
                      <w:szCs w:val="24"/>
                    </w:rPr>
                    <w:t xml:space="preserve"> ir universitetų ligoninių </w:t>
                  </w:r>
                  <w:r w:rsidR="00383C66">
                    <w:rPr>
                      <w:rFonts w:ascii="Times New Roman" w:eastAsia="Times New Roman" w:hAnsi="Times New Roman" w:cs="Times New Roman"/>
                      <w:color w:val="000000"/>
                      <w:sz w:val="24"/>
                      <w:szCs w:val="24"/>
                    </w:rPr>
                    <w:lastRenderedPageBreak/>
                    <w:t>mokslinės veiklos</w:t>
                  </w:r>
                  <w:r w:rsidRPr="001A5C13">
                    <w:rPr>
                      <w:rFonts w:ascii="Times New Roman" w:eastAsia="Times New Roman" w:hAnsi="Times New Roman" w:cs="Times New Roman"/>
                      <w:color w:val="000000"/>
                      <w:sz w:val="24"/>
                      <w:szCs w:val="24"/>
                    </w:rPr>
                    <w:t xml:space="preserve"> vertinimą</w:t>
                  </w:r>
                  <w:r w:rsidR="00383C66">
                    <w:rPr>
                      <w:rFonts w:ascii="Times New Roman" w:eastAsia="Times New Roman" w:hAnsi="Times New Roman" w:cs="Times New Roman"/>
                      <w:color w:val="000000"/>
                      <w:sz w:val="24"/>
                      <w:szCs w:val="24"/>
                    </w:rPr>
                    <w:t xml:space="preserve"> (toliau – Vertinimas)</w:t>
                  </w:r>
                  <w:r w:rsidRPr="001A5C13">
                    <w:rPr>
                      <w:rFonts w:ascii="Times New Roman" w:eastAsia="Times New Roman" w:hAnsi="Times New Roman" w:cs="Times New Roman"/>
                      <w:color w:val="000000"/>
                      <w:sz w:val="24"/>
                      <w:szCs w:val="24"/>
                    </w:rPr>
                    <w:t>, vadovaujantis</w:t>
                  </w:r>
                  <w:r w:rsidRPr="001A5C13">
                    <w:rPr>
                      <w:rFonts w:ascii="Times New Roman" w:eastAsia="Times New Roman" w:hAnsi="Times New Roman" w:cs="Times New Roman"/>
                      <w:sz w:val="24"/>
                      <w:szCs w:val="24"/>
                    </w:rPr>
                    <w:t xml:space="preserve"> </w:t>
                  </w:r>
                  <w:r w:rsidRPr="001A5C13">
                    <w:rPr>
                      <w:rFonts w:ascii="Times New Roman" w:eastAsia="Times New Roman" w:hAnsi="Times New Roman" w:cs="Times New Roman"/>
                      <w:color w:val="000000"/>
                      <w:sz w:val="24"/>
                      <w:szCs w:val="24"/>
                    </w:rPr>
                    <w:t xml:space="preserve">Mokslo ir studijų institucijų mokslo (meno) darbų vertinimo metodika, patvirtinta </w:t>
                  </w:r>
                  <w:r w:rsidRPr="001A5C13">
                    <w:rPr>
                      <w:rFonts w:ascii="Times New Roman" w:eastAsia="Times New Roman" w:hAnsi="Times New Roman" w:cs="Times New Roman"/>
                      <w:sz w:val="24"/>
                      <w:szCs w:val="24"/>
                    </w:rPr>
                    <w:t xml:space="preserve">Lietuvos Respublikos švietimo ir mokslo ministro </w:t>
                  </w:r>
                  <w:r w:rsidRPr="001A5C13">
                    <w:rPr>
                      <w:rFonts w:ascii="Times New Roman" w:eastAsia="Times New Roman" w:hAnsi="Times New Roman" w:cs="Times New Roman"/>
                      <w:color w:val="000000"/>
                      <w:sz w:val="24"/>
                      <w:szCs w:val="24"/>
                    </w:rPr>
                    <w:t>2010 m. liepos 10 d. įsakymu Nr. V-1128</w:t>
                  </w:r>
                  <w:r w:rsidR="00191964">
                    <w:rPr>
                      <w:rFonts w:ascii="Times New Roman" w:eastAsia="Times New Roman" w:hAnsi="Times New Roman" w:cs="Times New Roman"/>
                      <w:color w:val="000000"/>
                      <w:sz w:val="24"/>
                      <w:szCs w:val="24"/>
                    </w:rPr>
                    <w:t xml:space="preserve"> </w:t>
                  </w:r>
                  <w:r w:rsidR="00191964" w:rsidRPr="00191964">
                    <w:rPr>
                      <w:rFonts w:ascii="Times New Roman" w:eastAsia="Times New Roman" w:hAnsi="Times New Roman" w:cs="Times New Roman"/>
                      <w:color w:val="000000"/>
                      <w:sz w:val="24"/>
                      <w:szCs w:val="24"/>
                    </w:rPr>
                    <w:t>„</w:t>
                  </w:r>
                  <w:r w:rsidR="00191964">
                    <w:rPr>
                      <w:rFonts w:ascii="Times New Roman" w:eastAsia="Times New Roman" w:hAnsi="Times New Roman" w:cs="Times New Roman"/>
                      <w:bCs/>
                      <w:color w:val="000000"/>
                      <w:sz w:val="24"/>
                      <w:szCs w:val="24"/>
                    </w:rPr>
                    <w:t>Dėl M</w:t>
                  </w:r>
                  <w:r w:rsidR="00191964" w:rsidRPr="00191964">
                    <w:rPr>
                      <w:rFonts w:ascii="Times New Roman" w:eastAsia="Times New Roman" w:hAnsi="Times New Roman" w:cs="Times New Roman"/>
                      <w:bCs/>
                      <w:color w:val="000000"/>
                      <w:sz w:val="24"/>
                      <w:szCs w:val="24"/>
                    </w:rPr>
                    <w:t>okslo ir studijų institucijų mokslo (meno) darbų vertinimo metodikos</w:t>
                  </w:r>
                  <w:r w:rsidR="00191964" w:rsidRPr="00191964">
                    <w:rPr>
                      <w:rFonts w:ascii="Times New Roman" w:eastAsia="Times New Roman" w:hAnsi="Times New Roman" w:cs="Times New Roman"/>
                      <w:color w:val="000000"/>
                      <w:sz w:val="24"/>
                      <w:szCs w:val="24"/>
                    </w:rPr>
                    <w:t>“</w:t>
                  </w:r>
                  <w:r w:rsidR="00191964">
                    <w:rPr>
                      <w:rFonts w:ascii="Times New Roman" w:eastAsia="Times New Roman" w:hAnsi="Times New Roman" w:cs="Times New Roman"/>
                      <w:color w:val="000000"/>
                      <w:sz w:val="24"/>
                      <w:szCs w:val="24"/>
                    </w:rPr>
                    <w:t xml:space="preserve"> </w:t>
                  </w:r>
                  <w:r w:rsidR="00383C66">
                    <w:rPr>
                      <w:rFonts w:ascii="Times New Roman" w:eastAsia="Times New Roman" w:hAnsi="Times New Roman" w:cs="Times New Roman"/>
                      <w:color w:val="000000"/>
                      <w:sz w:val="24"/>
                      <w:szCs w:val="24"/>
                    </w:rPr>
                    <w:t xml:space="preserve">(toliau – Vertinimo metodika) </w:t>
                  </w:r>
                  <w:r w:rsidRPr="001A5C13">
                    <w:rPr>
                      <w:rFonts w:ascii="Times New Roman" w:eastAsia="Times New Roman" w:hAnsi="Times New Roman" w:cs="Times New Roman"/>
                      <w:color w:val="000000"/>
                      <w:sz w:val="24"/>
                      <w:szCs w:val="24"/>
                    </w:rPr>
                    <w:t>ir Lietuvos mokslo ir studijų institucijų mokslo (meno) darbų ekspertinio vertinimo reglamentu, patvirtintu Lietuvos mokslo tarybos pirmininko 2011 m. lapkričio 28 d. įsakymu Nr. V-200</w:t>
                  </w:r>
                  <w:r w:rsidR="007C1463">
                    <w:rPr>
                      <w:rFonts w:ascii="Times New Roman" w:eastAsia="Times New Roman" w:hAnsi="Times New Roman" w:cs="Times New Roman"/>
                      <w:color w:val="000000"/>
                      <w:sz w:val="24"/>
                      <w:szCs w:val="24"/>
                    </w:rPr>
                    <w:t xml:space="preserve"> </w:t>
                  </w:r>
                  <w:r w:rsidR="007C1463" w:rsidRPr="007C1463">
                    <w:rPr>
                      <w:rFonts w:ascii="Times New Roman" w:eastAsia="Times New Roman" w:hAnsi="Times New Roman" w:cs="Times New Roman"/>
                      <w:color w:val="000000"/>
                      <w:sz w:val="24"/>
                      <w:szCs w:val="24"/>
                    </w:rPr>
                    <w:t>„</w:t>
                  </w:r>
                  <w:r w:rsidR="007C1463">
                    <w:rPr>
                      <w:rFonts w:ascii="Times New Roman" w:eastAsia="Times New Roman" w:hAnsi="Times New Roman" w:cs="Times New Roman"/>
                      <w:bCs/>
                      <w:color w:val="000000"/>
                      <w:sz w:val="24"/>
                      <w:szCs w:val="24"/>
                    </w:rPr>
                    <w:t>Dėl L</w:t>
                  </w:r>
                  <w:r w:rsidR="007C1463" w:rsidRPr="007C1463">
                    <w:rPr>
                      <w:rFonts w:ascii="Times New Roman" w:eastAsia="Times New Roman" w:hAnsi="Times New Roman" w:cs="Times New Roman"/>
                      <w:bCs/>
                      <w:color w:val="000000"/>
                      <w:sz w:val="24"/>
                      <w:szCs w:val="24"/>
                    </w:rPr>
                    <w:t>ietuvos mokslo ir studijų institucijų mokslo (meno) darbų ekspertinio vertinimo reglamento patvirtinimo</w:t>
                  </w:r>
                  <w:r w:rsidR="007C1463" w:rsidRPr="007C1463">
                    <w:rPr>
                      <w:rFonts w:ascii="Times New Roman" w:eastAsia="Times New Roman" w:hAnsi="Times New Roman" w:cs="Times New Roman"/>
                      <w:color w:val="000000"/>
                      <w:sz w:val="24"/>
                      <w:szCs w:val="24"/>
                    </w:rPr>
                    <w:t>“</w:t>
                  </w:r>
                  <w:r w:rsidR="007C1463">
                    <w:rPr>
                      <w:rFonts w:ascii="Times New Roman" w:eastAsia="Times New Roman" w:hAnsi="Times New Roman" w:cs="Times New Roman"/>
                      <w:color w:val="0000FF"/>
                      <w:sz w:val="24"/>
                      <w:szCs w:val="24"/>
                    </w:rPr>
                    <w:t xml:space="preserve"> </w:t>
                  </w:r>
                  <w:r w:rsidR="00383C66">
                    <w:rPr>
                      <w:rFonts w:ascii="Times New Roman" w:eastAsia="Times New Roman" w:hAnsi="Times New Roman" w:cs="Times New Roman"/>
                      <w:color w:val="000000"/>
                      <w:sz w:val="24"/>
                      <w:szCs w:val="24"/>
                    </w:rPr>
                    <w:t>(toliau – Vertinimo reglamentas)</w:t>
                  </w:r>
                  <w:r w:rsidRPr="001A5C13">
                    <w:rPr>
                      <w:rFonts w:ascii="Times New Roman" w:eastAsia="Times New Roman" w:hAnsi="Times New Roman" w:cs="Times New Roman"/>
                      <w:color w:val="000000"/>
                      <w:sz w:val="24"/>
                      <w:szCs w:val="24"/>
                    </w:rPr>
                    <w:t xml:space="preserve">. </w:t>
                  </w:r>
                  <w:r w:rsidR="00383C66">
                    <w:rPr>
                      <w:rFonts w:ascii="Times New Roman" w:eastAsia="Times New Roman" w:hAnsi="Times New Roman" w:cs="Times New Roman"/>
                      <w:color w:val="000000"/>
                      <w:sz w:val="24"/>
                      <w:szCs w:val="24"/>
                    </w:rPr>
                    <w:t>Universitet</w:t>
                  </w:r>
                  <w:r w:rsidR="003D0D09">
                    <w:rPr>
                      <w:rFonts w:ascii="Times New Roman" w:eastAsia="Times New Roman" w:hAnsi="Times New Roman" w:cs="Times New Roman"/>
                      <w:color w:val="000000"/>
                      <w:sz w:val="24"/>
                      <w:szCs w:val="24"/>
                    </w:rPr>
                    <w:t>ų ligoninių mokslinė veikla</w:t>
                  </w:r>
                  <w:r w:rsidR="00383C66">
                    <w:rPr>
                      <w:rFonts w:ascii="Times New Roman" w:eastAsia="Times New Roman" w:hAnsi="Times New Roman" w:cs="Times New Roman"/>
                      <w:color w:val="000000"/>
                      <w:sz w:val="24"/>
                      <w:szCs w:val="24"/>
                    </w:rPr>
                    <w:t xml:space="preserve"> vertinama laikantis tų pačių principų, kaip vertinant mokslo ir studijų institucijas, pagal Vertinimo metodiką bei </w:t>
                  </w:r>
                  <w:r w:rsidR="00E50EF7">
                    <w:rPr>
                      <w:rFonts w:ascii="Times New Roman" w:eastAsia="Times New Roman" w:hAnsi="Times New Roman" w:cs="Times New Roman"/>
                      <w:color w:val="000000"/>
                      <w:sz w:val="24"/>
                      <w:szCs w:val="24"/>
                    </w:rPr>
                    <w:t>V</w:t>
                  </w:r>
                  <w:r w:rsidR="00383C66">
                    <w:rPr>
                      <w:rFonts w:ascii="Times New Roman" w:eastAsia="Times New Roman" w:hAnsi="Times New Roman" w:cs="Times New Roman"/>
                      <w:color w:val="000000"/>
                      <w:sz w:val="24"/>
                      <w:szCs w:val="24"/>
                    </w:rPr>
                    <w:t xml:space="preserve">ertinimo </w:t>
                  </w:r>
                  <w:r w:rsidR="00E50EF7">
                    <w:rPr>
                      <w:rFonts w:ascii="Times New Roman" w:eastAsia="Times New Roman" w:hAnsi="Times New Roman" w:cs="Times New Roman"/>
                      <w:color w:val="000000"/>
                      <w:sz w:val="24"/>
                      <w:szCs w:val="24"/>
                    </w:rPr>
                    <w:t>r</w:t>
                  </w:r>
                  <w:r w:rsidR="00383C66">
                    <w:rPr>
                      <w:rFonts w:ascii="Times New Roman" w:eastAsia="Times New Roman" w:hAnsi="Times New Roman" w:cs="Times New Roman"/>
                      <w:color w:val="000000"/>
                      <w:sz w:val="24"/>
                      <w:szCs w:val="24"/>
                    </w:rPr>
                    <w:t>eglamentą.</w:t>
                  </w:r>
                </w:p>
                <w:p w14:paraId="6B224B2B" w14:textId="77777777" w:rsidR="00901FB7" w:rsidRDefault="00901FB7" w:rsidP="00E03060">
                  <w:pPr>
                    <w:spacing w:after="0" w:line="240" w:lineRule="auto"/>
                    <w:jc w:val="both"/>
                    <w:rPr>
                      <w:rFonts w:ascii="Times New Roman" w:eastAsia="Times New Roman" w:hAnsi="Times New Roman" w:cs="Times New Roman"/>
                      <w:color w:val="000000"/>
                      <w:sz w:val="24"/>
                      <w:szCs w:val="24"/>
                    </w:rPr>
                  </w:pPr>
                </w:p>
                <w:p w14:paraId="1DAA9866" w14:textId="77777777" w:rsidR="00383C66" w:rsidRDefault="003D0D09" w:rsidP="00E0306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Įgyvendinančioji agentūra, vadovaudamasi viešai prieinama Lietuvos mokslo tarybos prieiga, kurioje pateikiami vertinimo rezultatai </w:t>
                  </w:r>
                  <w:r w:rsidRPr="003D0D09">
                    <w:rPr>
                      <w:rFonts w:ascii="Times New Roman" w:eastAsia="Times New Roman" w:hAnsi="Times New Roman" w:cs="Times New Roman"/>
                      <w:color w:val="000000"/>
                      <w:sz w:val="24"/>
                      <w:szCs w:val="24"/>
                    </w:rPr>
                    <w:t>(</w:t>
                  </w:r>
                  <w:hyperlink r:id="rId6" w:history="1">
                    <w:r w:rsidRPr="00C4447D">
                      <w:rPr>
                        <w:rStyle w:val="Hipersaitas"/>
                        <w:rFonts w:ascii="Times New Roman" w:eastAsia="Times New Roman" w:hAnsi="Times New Roman" w:cs="Times New Roman"/>
                        <w:sz w:val="24"/>
                        <w:szCs w:val="24"/>
                      </w:rPr>
                      <w:t>https://mokslas.lmt.lt/institucijos/</w:t>
                    </w:r>
                  </w:hyperlink>
                  <w:r w:rsidRPr="003D0D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D0D09">
                    <w:rPr>
                      <w:rFonts w:ascii="Times New Roman" w:eastAsia="Times New Roman" w:hAnsi="Times New Roman" w:cs="Times New Roman"/>
                      <w:color w:val="000000"/>
                      <w:sz w:val="24"/>
                      <w:szCs w:val="24"/>
                    </w:rPr>
                    <w:t>patikrina, ar</w:t>
                  </w:r>
                  <w:r w:rsidR="007D1DA9">
                    <w:rPr>
                      <w:rFonts w:ascii="Times New Roman" w:eastAsia="Times New Roman" w:hAnsi="Times New Roman" w:cs="Times New Roman"/>
                      <w:color w:val="000000"/>
                      <w:sz w:val="24"/>
                      <w:szCs w:val="24"/>
                    </w:rPr>
                    <w:t xml:space="preserve"> pareiškėjo ir</w:t>
                  </w:r>
                  <w:r w:rsidR="00383C66" w:rsidRPr="00383C66">
                    <w:rPr>
                      <w:rFonts w:ascii="Times New Roman" w:eastAsia="Times New Roman" w:hAnsi="Times New Roman" w:cs="Times New Roman"/>
                      <w:color w:val="000000"/>
                      <w:sz w:val="24"/>
                      <w:szCs w:val="24"/>
                    </w:rPr>
                    <w:t xml:space="preserve"> partnerio </w:t>
                  </w:r>
                  <w:r w:rsidR="007D1DA9">
                    <w:rPr>
                      <w:rFonts w:ascii="Times New Roman" w:eastAsia="Times New Roman" w:hAnsi="Times New Roman" w:cs="Times New Roman"/>
                      <w:color w:val="000000"/>
                      <w:sz w:val="24"/>
                      <w:szCs w:val="24"/>
                    </w:rPr>
                    <w:t xml:space="preserve">(tuo atveju, jeigu parneris yra mokslo ir studijų institucija arba universitetų ligoninė) </w:t>
                  </w:r>
                  <w:r w:rsidR="00383C66" w:rsidRPr="00383C66">
                    <w:rPr>
                      <w:rFonts w:ascii="Times New Roman" w:eastAsia="Times New Roman" w:hAnsi="Times New Roman" w:cs="Times New Roman"/>
                      <w:color w:val="000000"/>
                      <w:sz w:val="24"/>
                      <w:szCs w:val="24"/>
                    </w:rPr>
                    <w:t>autorių</w:t>
                  </w:r>
                  <w:r w:rsidR="001055FC">
                    <w:rPr>
                      <w:rFonts w:ascii="Times New Roman" w:eastAsia="Times New Roman" w:hAnsi="Times New Roman" w:cs="Times New Roman"/>
                      <w:color w:val="000000"/>
                      <w:sz w:val="24"/>
                      <w:szCs w:val="24"/>
                    </w:rPr>
                    <w:t>, kurie vykdys projekto veiklas,</w:t>
                  </w:r>
                  <w:r w:rsidR="00383C66" w:rsidRPr="00383C66">
                    <w:rPr>
                      <w:rFonts w:ascii="Times New Roman" w:eastAsia="Times New Roman" w:hAnsi="Times New Roman" w:cs="Times New Roman"/>
                      <w:color w:val="000000"/>
                      <w:sz w:val="24"/>
                      <w:szCs w:val="24"/>
                    </w:rPr>
                    <w:t xml:space="preserve"> deklaruoti mokslo (meno) darbai ir</w:t>
                  </w:r>
                  <w:r w:rsidR="00E50EF7">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E50EF7">
                    <w:rPr>
                      <w:rFonts w:ascii="Times New Roman" w:eastAsia="Times New Roman" w:hAnsi="Times New Roman" w:cs="Times New Roman"/>
                      <w:color w:val="000000"/>
                      <w:sz w:val="24"/>
                      <w:szCs w:val="24"/>
                    </w:rPr>
                    <w:t xml:space="preserve"> </w:t>
                  </w:r>
                  <w:r w:rsidR="001055FC">
                    <w:rPr>
                      <w:rFonts w:ascii="Times New Roman" w:eastAsia="Times New Roman" w:hAnsi="Times New Roman" w:cs="Times New Roman"/>
                      <w:color w:val="000000"/>
                      <w:sz w:val="24"/>
                      <w:szCs w:val="24"/>
                    </w:rPr>
                    <w:t>ar mokslinė veikla,</w:t>
                  </w:r>
                  <w:r w:rsidR="00383C66" w:rsidRPr="00383C66">
                    <w:rPr>
                      <w:rFonts w:ascii="Times New Roman" w:eastAsia="Times New Roman" w:hAnsi="Times New Roman" w:cs="Times New Roman"/>
                      <w:color w:val="000000"/>
                      <w:sz w:val="24"/>
                      <w:szCs w:val="24"/>
                    </w:rPr>
                    <w:t xml:space="preserve"> Lietuvos mokslo tarybos buvo pripažinti ir įvertinti kaip I lygmens mokslo (meno) ir</w:t>
                  </w:r>
                  <w:r w:rsidR="00E50EF7">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E50EF7">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ar mokslinės veiklos darbai (Vertinimo metodikos 7.2 p</w:t>
                  </w:r>
                  <w:r w:rsidR="00E50EF7">
                    <w:rPr>
                      <w:rFonts w:ascii="Times New Roman" w:eastAsia="Times New Roman" w:hAnsi="Times New Roman" w:cs="Times New Roman"/>
                      <w:color w:val="000000"/>
                      <w:sz w:val="24"/>
                      <w:szCs w:val="24"/>
                    </w:rPr>
                    <w:t>apunktis</w:t>
                  </w:r>
                  <w:r w:rsidR="001055FC">
                    <w:rPr>
                      <w:rFonts w:ascii="Times New Roman" w:eastAsia="Times New Roman" w:hAnsi="Times New Roman" w:cs="Times New Roman"/>
                      <w:color w:val="000000"/>
                      <w:sz w:val="24"/>
                      <w:szCs w:val="24"/>
                    </w:rPr>
                    <w:t>). Ekspertinio vertinimo metu</w:t>
                  </w:r>
                  <w:r w:rsidR="00383C66" w:rsidRPr="00383C66">
                    <w:rPr>
                      <w:rFonts w:ascii="Times New Roman" w:eastAsia="Times New Roman" w:hAnsi="Times New Roman" w:cs="Times New Roman"/>
                      <w:color w:val="000000"/>
                      <w:sz w:val="24"/>
                      <w:szCs w:val="24"/>
                    </w:rPr>
                    <w:t xml:space="preserve"> nustatoma, ar pareiškėjo ir</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ar partnerio deklaruoti mokslo (meno) darbai ir</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 xml:space="preserve">ar mokslinė veikla atitinka </w:t>
                  </w:r>
                  <w:r w:rsidR="000F6EAB">
                    <w:rPr>
                      <w:rFonts w:ascii="Times New Roman" w:eastAsia="Times New Roman" w:hAnsi="Times New Roman" w:cs="Times New Roman"/>
                      <w:color w:val="000000"/>
                      <w:sz w:val="24"/>
                      <w:szCs w:val="24"/>
                    </w:rPr>
                    <w:t>Sumanios specializacijos programos prioritetą</w:t>
                  </w:r>
                  <w:r w:rsidR="00383C66" w:rsidRPr="00383C66">
                    <w:rPr>
                      <w:rFonts w:ascii="Times New Roman" w:eastAsia="Times New Roman" w:hAnsi="Times New Roman" w:cs="Times New Roman"/>
                      <w:color w:val="000000"/>
                      <w:sz w:val="24"/>
                      <w:szCs w:val="24"/>
                    </w:rPr>
                    <w:t>, kurį planuojama plėtoti įgyvendinant projektą, ar jie buvo pateikti pareiškėjo ir</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ar partnerio institucijų autorių kaip I lygmens darbai. Jei į deklaruotų mokslo (meno) darbų ir</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 xml:space="preserve">ar mokslinės veiklos sąrašą (toliau – Sąrašas) buvo įtraukti darbai, nesusiję su </w:t>
                  </w:r>
                  <w:r w:rsidR="000F6EAB">
                    <w:rPr>
                      <w:rFonts w:ascii="Times New Roman" w:eastAsia="Times New Roman" w:hAnsi="Times New Roman" w:cs="Times New Roman"/>
                      <w:color w:val="000000"/>
                      <w:sz w:val="24"/>
                      <w:szCs w:val="24"/>
                    </w:rPr>
                    <w:t>Sumanios spec</w:t>
                  </w:r>
                  <w:r w:rsidR="001055FC">
                    <w:rPr>
                      <w:rFonts w:ascii="Times New Roman" w:eastAsia="Times New Roman" w:hAnsi="Times New Roman" w:cs="Times New Roman"/>
                      <w:color w:val="000000"/>
                      <w:sz w:val="24"/>
                      <w:szCs w:val="24"/>
                    </w:rPr>
                    <w:t>ializacijos programos prioritetu</w:t>
                  </w:r>
                  <w:r w:rsidR="00383C66" w:rsidRPr="00383C66">
                    <w:rPr>
                      <w:rFonts w:ascii="Times New Roman" w:eastAsia="Times New Roman" w:hAnsi="Times New Roman" w:cs="Times New Roman"/>
                      <w:color w:val="000000"/>
                      <w:sz w:val="24"/>
                      <w:szCs w:val="24"/>
                    </w:rPr>
                    <w:t xml:space="preserve">, kuriame planuojamas įgyvendinti projektas, Įgyvendinančioji institucija Sąrašą </w:t>
                  </w:r>
                  <w:r w:rsidR="00383C66" w:rsidRPr="00383C66">
                    <w:rPr>
                      <w:rFonts w:ascii="Times New Roman" w:eastAsia="Times New Roman" w:hAnsi="Times New Roman" w:cs="Times New Roman"/>
                      <w:color w:val="000000"/>
                      <w:sz w:val="24"/>
                      <w:szCs w:val="24"/>
                    </w:rPr>
                    <w:lastRenderedPageBreak/>
                    <w:t>pakoreguoja. Pareiškėjo ir</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136E88">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ar partnerio institucijų autorių darbų vertinimas balais sumuojamas. Didesnis balų skaičius suteikiamas tiems projektams, kurių balų suma, gauta už deklaruotus I lygmens mokslo (meno) ir</w:t>
                  </w:r>
                  <w:r w:rsidR="00F23FD3">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w:t>
                  </w:r>
                  <w:r w:rsidR="00F23FD3">
                    <w:rPr>
                      <w:rFonts w:ascii="Times New Roman" w:eastAsia="Times New Roman" w:hAnsi="Times New Roman" w:cs="Times New Roman"/>
                      <w:color w:val="000000"/>
                      <w:sz w:val="24"/>
                      <w:szCs w:val="24"/>
                    </w:rPr>
                    <w:t xml:space="preserve"> </w:t>
                  </w:r>
                  <w:r w:rsidR="00383C66" w:rsidRPr="00383C66">
                    <w:rPr>
                      <w:rFonts w:ascii="Times New Roman" w:eastAsia="Times New Roman" w:hAnsi="Times New Roman" w:cs="Times New Roman"/>
                      <w:color w:val="000000"/>
                      <w:sz w:val="24"/>
                      <w:szCs w:val="24"/>
                    </w:rPr>
                    <w:t>ar mokslinės veiklos darbus, atitinkančius</w:t>
                  </w:r>
                  <w:r w:rsidR="000F6EAB">
                    <w:rPr>
                      <w:rFonts w:ascii="Times New Roman" w:eastAsia="Times New Roman" w:hAnsi="Times New Roman" w:cs="Times New Roman"/>
                      <w:color w:val="000000"/>
                      <w:sz w:val="24"/>
                      <w:szCs w:val="24"/>
                    </w:rPr>
                    <w:t xml:space="preserve"> </w:t>
                  </w:r>
                  <w:r w:rsidR="000F6EAB" w:rsidRPr="000F6EAB">
                    <w:rPr>
                      <w:rFonts w:ascii="Times New Roman" w:eastAsia="Times New Roman" w:hAnsi="Times New Roman" w:cs="Times New Roman"/>
                      <w:color w:val="000000"/>
                      <w:sz w:val="24"/>
                      <w:szCs w:val="24"/>
                    </w:rPr>
                    <w:t>Sumanios specializacijos programos prioritet</w:t>
                  </w:r>
                  <w:r w:rsidR="000F6EAB">
                    <w:rPr>
                      <w:rFonts w:ascii="Times New Roman" w:eastAsia="Times New Roman" w:hAnsi="Times New Roman" w:cs="Times New Roman"/>
                      <w:color w:val="000000"/>
                      <w:sz w:val="24"/>
                      <w:szCs w:val="24"/>
                    </w:rPr>
                    <w:t>ą</w:t>
                  </w:r>
                  <w:r w:rsidR="00383C66" w:rsidRPr="00383C66">
                    <w:rPr>
                      <w:rFonts w:ascii="Times New Roman" w:eastAsia="Times New Roman" w:hAnsi="Times New Roman" w:cs="Times New Roman"/>
                      <w:color w:val="000000"/>
                      <w:sz w:val="24"/>
                      <w:szCs w:val="24"/>
                    </w:rPr>
                    <w:t>, buvo didesnė.</w:t>
                  </w:r>
                </w:p>
                <w:p w14:paraId="34A54A8F" w14:textId="77777777" w:rsidR="00901FB7" w:rsidRDefault="00901FB7" w:rsidP="00E03060">
                  <w:pPr>
                    <w:spacing w:after="0" w:line="240" w:lineRule="auto"/>
                    <w:jc w:val="both"/>
                    <w:rPr>
                      <w:rFonts w:ascii="Times New Roman" w:eastAsia="Times New Roman" w:hAnsi="Times New Roman" w:cs="Times New Roman"/>
                      <w:color w:val="000000"/>
                      <w:sz w:val="24"/>
                      <w:szCs w:val="24"/>
                    </w:rPr>
                  </w:pPr>
                </w:p>
                <w:p w14:paraId="442A310E" w14:textId="77777777" w:rsidR="008014C3" w:rsidRDefault="008014C3" w:rsidP="00E03060">
                  <w:pPr>
                    <w:spacing w:after="0" w:line="240" w:lineRule="auto"/>
                    <w:jc w:val="both"/>
                    <w:rPr>
                      <w:rFonts w:ascii="Times New Roman" w:eastAsia="Times New Roman" w:hAnsi="Times New Roman" w:cs="Times New Roman"/>
                      <w:bCs/>
                      <w:sz w:val="24"/>
                      <w:szCs w:val="24"/>
                      <w:lang w:eastAsia="lt-LT"/>
                    </w:rPr>
                  </w:pPr>
                  <w:r w:rsidRPr="008014C3">
                    <w:rPr>
                      <w:rFonts w:ascii="Times New Roman" w:eastAsia="Times New Roman" w:hAnsi="Times New Roman" w:cs="Times New Roman"/>
                      <w:bCs/>
                      <w:sz w:val="24"/>
                      <w:szCs w:val="24"/>
                      <w:lang w:eastAsia="lt-LT"/>
                    </w:rPr>
                    <w:t xml:space="preserve">Pagal šį vertinimo aspektą </w:t>
                  </w:r>
                  <w:r w:rsidR="003D5AE0">
                    <w:rPr>
                      <w:rFonts w:ascii="Times New Roman" w:eastAsia="Times New Roman" w:hAnsi="Times New Roman" w:cs="Times New Roman"/>
                      <w:bCs/>
                      <w:sz w:val="24"/>
                      <w:szCs w:val="24"/>
                      <w:lang w:eastAsia="lt-LT"/>
                    </w:rPr>
                    <w:t>p</w:t>
                  </w:r>
                  <w:r w:rsidRPr="008014C3">
                    <w:rPr>
                      <w:rFonts w:ascii="Times New Roman" w:eastAsia="Times New Roman" w:hAnsi="Times New Roman" w:cs="Times New Roman"/>
                      <w:bCs/>
                      <w:sz w:val="24"/>
                      <w:szCs w:val="24"/>
                      <w:lang w:eastAsia="lt-LT"/>
                    </w:rPr>
                    <w:t xml:space="preserve">rojektui gali būti skiriama </w:t>
                  </w:r>
                  <w:r w:rsidR="003C69E8" w:rsidRPr="00160C93">
                    <w:rPr>
                      <w:rFonts w:ascii="Times New Roman" w:eastAsia="Times New Roman" w:hAnsi="Times New Roman" w:cs="Times New Roman"/>
                      <w:bCs/>
                      <w:sz w:val="24"/>
                      <w:szCs w:val="24"/>
                      <w:lang w:eastAsia="lt-LT"/>
                    </w:rPr>
                    <w:t>15</w:t>
                  </w:r>
                  <w:r w:rsidRPr="008014C3">
                    <w:rPr>
                      <w:rFonts w:ascii="Times New Roman" w:eastAsia="Times New Roman" w:hAnsi="Times New Roman" w:cs="Times New Roman"/>
                      <w:bCs/>
                      <w:sz w:val="24"/>
                      <w:szCs w:val="24"/>
                      <w:lang w:eastAsia="lt-LT"/>
                    </w:rPr>
                    <w:t xml:space="preserve"> balų. </w:t>
                  </w:r>
                  <w:r w:rsidRPr="008014C3">
                    <w:rPr>
                      <w:rFonts w:ascii="Times New Roman" w:eastAsia="Calibri" w:hAnsi="Times New Roman" w:cs="Times New Roman"/>
                      <w:sz w:val="24"/>
                      <w:szCs w:val="24"/>
                      <w:lang w:eastAsia="lt-LT"/>
                    </w:rPr>
                    <w:t xml:space="preserve">Projektai </w:t>
                  </w:r>
                  <w:proofErr w:type="spellStart"/>
                  <w:r w:rsidRPr="008014C3">
                    <w:rPr>
                      <w:rFonts w:ascii="Times New Roman" w:eastAsia="Calibri" w:hAnsi="Times New Roman" w:cs="Times New Roman"/>
                      <w:sz w:val="24"/>
                      <w:szCs w:val="24"/>
                      <w:lang w:eastAsia="lt-LT"/>
                    </w:rPr>
                    <w:t>suranguojami</w:t>
                  </w:r>
                  <w:proofErr w:type="spellEnd"/>
                  <w:r w:rsidRPr="008014C3">
                    <w:rPr>
                      <w:rFonts w:ascii="Times New Roman" w:eastAsia="Calibri" w:hAnsi="Times New Roman" w:cs="Times New Roman"/>
                      <w:sz w:val="24"/>
                      <w:szCs w:val="24"/>
                      <w:lang w:eastAsia="lt-LT"/>
                    </w:rPr>
                    <w:t xml:space="preserve"> nuo didžiausio iki mažiausio pagal </w:t>
                  </w:r>
                  <w:r w:rsidRPr="008014C3">
                    <w:rPr>
                      <w:rFonts w:ascii="Times New Roman" w:eastAsia="Times New Roman" w:hAnsi="Times New Roman" w:cs="Times New Roman"/>
                      <w:bCs/>
                      <w:sz w:val="24"/>
                      <w:szCs w:val="24"/>
                      <w:lang w:eastAsia="lt-LT"/>
                    </w:rPr>
                    <w:t>Lietuvos mokslo tarybos organizuoto ekspertinio vertinimo suminį įvertį</w:t>
                  </w:r>
                  <w:r w:rsidRPr="008014C3">
                    <w:rPr>
                      <w:rFonts w:ascii="Times New Roman" w:eastAsia="Calibri" w:hAnsi="Times New Roman" w:cs="Times New Roman"/>
                      <w:sz w:val="24"/>
                      <w:szCs w:val="24"/>
                      <w:lang w:eastAsia="lt-LT"/>
                    </w:rPr>
                    <w:t xml:space="preserve">. 20 procentų </w:t>
                  </w:r>
                  <w:r w:rsidRPr="006A32AD">
                    <w:rPr>
                      <w:rFonts w:ascii="Times New Roman" w:eastAsia="Calibri" w:hAnsi="Times New Roman" w:cs="Times New Roman"/>
                      <w:sz w:val="24"/>
                      <w:szCs w:val="24"/>
                      <w:lang w:eastAsia="lt-LT"/>
                    </w:rPr>
                    <w:t>projektų (apvalinama iki sveiko skaičiaus, gavus rezultatą su skaičiumi „5“ po kablelio, apvalinama iki didesnio sveiko skaičiaus),</w:t>
                  </w:r>
                  <w:r w:rsidRPr="008014C3">
                    <w:rPr>
                      <w:rFonts w:ascii="Times New Roman" w:eastAsia="Calibri" w:hAnsi="Times New Roman" w:cs="Times New Roman"/>
                      <w:sz w:val="24"/>
                      <w:szCs w:val="24"/>
                      <w:lang w:eastAsia="lt-LT"/>
                    </w:rPr>
                    <w:t xml:space="preserve"> kuriuose yra didžiausias Lietuvos mokslo tarybos organizuoto ekspertinio vertinimo suminis įvertis, vertinami </w:t>
                  </w:r>
                  <w:r w:rsidR="003C69E8">
                    <w:rPr>
                      <w:rFonts w:ascii="Times New Roman" w:eastAsia="Calibri" w:hAnsi="Times New Roman" w:cs="Times New Roman"/>
                      <w:sz w:val="24"/>
                      <w:szCs w:val="24"/>
                      <w:lang w:eastAsia="lt-LT"/>
                    </w:rPr>
                    <w:t>15</w:t>
                  </w:r>
                  <w:r w:rsidRPr="008014C3">
                    <w:rPr>
                      <w:rFonts w:ascii="Times New Roman" w:eastAsia="Calibri" w:hAnsi="Times New Roman" w:cs="Times New Roman"/>
                      <w:sz w:val="24"/>
                      <w:szCs w:val="24"/>
                      <w:lang w:eastAsia="lt-LT"/>
                    </w:rPr>
                    <w:t xml:space="preserve"> balų. Į kiekvieną kitą 20 procentų intervalą patenkantys mažesnį </w:t>
                  </w:r>
                  <w:r w:rsidRPr="008014C3">
                    <w:rPr>
                      <w:rFonts w:ascii="Times New Roman" w:eastAsia="Calibri" w:hAnsi="Times New Roman" w:cs="Times New Roman"/>
                      <w:bCs/>
                      <w:sz w:val="24"/>
                      <w:szCs w:val="24"/>
                      <w:lang w:eastAsia="lt-LT"/>
                    </w:rPr>
                    <w:t>Lietuvos mokslo tarybos organizuoto ekspertinio vertinimo suminį įvertį</w:t>
                  </w:r>
                  <w:r w:rsidRPr="008014C3">
                    <w:rPr>
                      <w:rFonts w:ascii="Times New Roman" w:eastAsia="Calibri" w:hAnsi="Times New Roman" w:cs="Times New Roman"/>
                      <w:sz w:val="24"/>
                      <w:szCs w:val="24"/>
                      <w:lang w:eastAsia="lt-LT"/>
                    </w:rPr>
                    <w:t xml:space="preserve"> turintys projektai vertinami suteikiant 3 balais mažesnį įvertinimą.</w:t>
                  </w:r>
                </w:p>
                <w:p w14:paraId="21A8CF83" w14:textId="77777777" w:rsidR="000F6EAB" w:rsidRDefault="000F6EAB" w:rsidP="001410BF">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642D9DDE" w14:textId="77777777" w:rsidR="008014C3" w:rsidRPr="009857E6" w:rsidRDefault="00383C66" w:rsidP="001410BF">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Taip pat v</w:t>
                  </w:r>
                  <w:r w:rsidR="008014C3" w:rsidRPr="008014C3">
                    <w:rPr>
                      <w:rFonts w:ascii="Times New Roman" w:eastAsia="Times New Roman" w:hAnsi="Times New Roman" w:cs="Times New Roman"/>
                      <w:bCs/>
                      <w:sz w:val="24"/>
                      <w:szCs w:val="24"/>
                      <w:lang w:eastAsia="lt-LT"/>
                    </w:rPr>
                    <w:t>ertinama ši pareiškėjo</w:t>
                  </w:r>
                  <w:r w:rsidR="007D1DA9">
                    <w:rPr>
                      <w:rFonts w:ascii="Times New Roman" w:eastAsia="Times New Roman" w:hAnsi="Times New Roman" w:cs="Times New Roman"/>
                      <w:bCs/>
                      <w:sz w:val="24"/>
                      <w:szCs w:val="24"/>
                      <w:lang w:eastAsia="lt-LT"/>
                    </w:rPr>
                    <w:t xml:space="preserve"> ir</w:t>
                  </w:r>
                  <w:r>
                    <w:rPr>
                      <w:rFonts w:ascii="Times New Roman" w:eastAsia="Times New Roman" w:hAnsi="Times New Roman" w:cs="Times New Roman"/>
                      <w:bCs/>
                      <w:sz w:val="24"/>
                      <w:szCs w:val="24"/>
                      <w:lang w:eastAsia="lt-LT"/>
                    </w:rPr>
                    <w:t xml:space="preserve"> partnerio</w:t>
                  </w:r>
                  <w:r w:rsidR="008014C3" w:rsidRPr="008014C3">
                    <w:rPr>
                      <w:rFonts w:ascii="Times New Roman" w:eastAsia="Times New Roman" w:hAnsi="Times New Roman" w:cs="Times New Roman"/>
                      <w:bCs/>
                      <w:sz w:val="24"/>
                      <w:szCs w:val="24"/>
                      <w:lang w:eastAsia="lt-LT"/>
                    </w:rPr>
                    <w:t xml:space="preserve"> </w:t>
                  </w:r>
                  <w:r w:rsidR="001055FC">
                    <w:rPr>
                      <w:rFonts w:ascii="Times New Roman" w:eastAsia="Times New Roman" w:hAnsi="Times New Roman" w:cs="Times New Roman"/>
                      <w:bCs/>
                      <w:sz w:val="24"/>
                      <w:szCs w:val="24"/>
                      <w:lang w:eastAsia="lt-LT"/>
                    </w:rPr>
                    <w:t>projektą veiklas vykdysiančių mokslininkų grupių 2016-2017 metų</w:t>
                  </w:r>
                  <w:r w:rsidR="008014C3" w:rsidRPr="008014C3">
                    <w:rPr>
                      <w:rFonts w:ascii="Times New Roman" w:eastAsia="Times New Roman" w:hAnsi="Times New Roman" w:cs="Times New Roman"/>
                      <w:bCs/>
                      <w:sz w:val="24"/>
                      <w:szCs w:val="24"/>
                      <w:lang w:eastAsia="lt-LT"/>
                    </w:rPr>
                    <w:t xml:space="preserve"> veikla MTEP srityse, atitinkančiose </w:t>
                  </w:r>
                  <w:r w:rsidR="000F6EAB" w:rsidRPr="000F6EAB">
                    <w:rPr>
                      <w:rFonts w:ascii="Times New Roman" w:eastAsia="Times New Roman" w:hAnsi="Times New Roman" w:cs="Times New Roman"/>
                      <w:bCs/>
                      <w:sz w:val="24"/>
                      <w:szCs w:val="24"/>
                      <w:lang w:eastAsia="lt-LT"/>
                    </w:rPr>
                    <w:t>Sumanios specializacijos programos prioritetą, kuriam priskiriamas projektas</w:t>
                  </w:r>
                  <w:r w:rsidR="008014C3" w:rsidRPr="008014C3">
                    <w:rPr>
                      <w:rFonts w:ascii="Times New Roman" w:eastAsia="Times New Roman" w:hAnsi="Times New Roman" w:cs="Times New Roman"/>
                      <w:bCs/>
                      <w:sz w:val="24"/>
                      <w:szCs w:val="24"/>
                      <w:lang w:eastAsia="lt-LT"/>
                    </w:rPr>
                    <w:t xml:space="preserve">. Pagal šį vertinimo aspektą </w:t>
                  </w:r>
                  <w:r w:rsidR="00EC72F2">
                    <w:rPr>
                      <w:rFonts w:ascii="Times New Roman" w:eastAsia="Times New Roman" w:hAnsi="Times New Roman" w:cs="Times New Roman"/>
                      <w:bCs/>
                      <w:sz w:val="24"/>
                      <w:szCs w:val="24"/>
                      <w:lang w:eastAsia="lt-LT"/>
                    </w:rPr>
                    <w:t>p</w:t>
                  </w:r>
                  <w:r w:rsidR="008014C3" w:rsidRPr="008014C3">
                    <w:rPr>
                      <w:rFonts w:ascii="Times New Roman" w:eastAsia="Times New Roman" w:hAnsi="Times New Roman" w:cs="Times New Roman"/>
                      <w:bCs/>
                      <w:sz w:val="24"/>
                      <w:szCs w:val="24"/>
                      <w:lang w:eastAsia="lt-LT"/>
                    </w:rPr>
                    <w:t xml:space="preserve">rojektui gali būti skiriama </w:t>
                  </w:r>
                  <w:r w:rsidR="004D6160" w:rsidRPr="00160C93">
                    <w:rPr>
                      <w:rFonts w:ascii="Times New Roman" w:eastAsia="Times New Roman" w:hAnsi="Times New Roman" w:cs="Times New Roman"/>
                      <w:bCs/>
                      <w:sz w:val="24"/>
                      <w:szCs w:val="24"/>
                      <w:lang w:eastAsia="lt-LT"/>
                    </w:rPr>
                    <w:t>40</w:t>
                  </w:r>
                  <w:r w:rsidR="008014C3" w:rsidRPr="008014C3">
                    <w:rPr>
                      <w:rFonts w:ascii="Times New Roman" w:eastAsia="Times New Roman" w:hAnsi="Times New Roman" w:cs="Times New Roman"/>
                      <w:bCs/>
                      <w:sz w:val="24"/>
                      <w:szCs w:val="24"/>
                      <w:lang w:eastAsia="lt-LT"/>
                    </w:rPr>
                    <w:t xml:space="preserve"> balų. </w:t>
                  </w:r>
                  <w:r w:rsidR="008014C3" w:rsidRPr="009857E6">
                    <w:rPr>
                      <w:rFonts w:ascii="Times New Roman" w:eastAsia="Times New Roman" w:hAnsi="Times New Roman" w:cs="Times New Roman"/>
                      <w:bCs/>
                      <w:sz w:val="24"/>
                      <w:szCs w:val="24"/>
                      <w:lang w:eastAsia="lt-LT"/>
                    </w:rPr>
                    <w:t>Balai sumuojami:</w:t>
                  </w:r>
                </w:p>
                <w:p w14:paraId="450E4037" w14:textId="77777777" w:rsidR="008014C3" w:rsidRPr="006A32AD" w:rsidRDefault="008014C3" w:rsidP="006A32AD">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857E6">
                    <w:rPr>
                      <w:rFonts w:ascii="Times New Roman" w:eastAsia="Times New Roman" w:hAnsi="Times New Roman" w:cs="Times New Roman"/>
                      <w:bCs/>
                      <w:sz w:val="24"/>
                      <w:szCs w:val="24"/>
                      <w:lang w:eastAsia="lt-LT"/>
                    </w:rPr>
                    <w:t>1. Pateiktos patentinės paraiškos Europos patentų biurui (EPO), JAV patentų ir prekių ženklų biurui (USPTO)</w:t>
                  </w:r>
                  <w:r w:rsidRPr="006A32AD">
                    <w:rPr>
                      <w:rFonts w:ascii="Times New Roman" w:eastAsia="Times New Roman" w:hAnsi="Times New Roman" w:cs="Times New Roman"/>
                      <w:bCs/>
                      <w:sz w:val="24"/>
                      <w:szCs w:val="24"/>
                      <w:lang w:eastAsia="lt-LT"/>
                    </w:rPr>
                    <w:t xml:space="preserve"> ar Japonijos patentų biurui (JPO) pagal registracijos pažymėjimą.</w:t>
                  </w:r>
                </w:p>
                <w:p w14:paraId="4EC24D67" w14:textId="77777777" w:rsidR="008014C3" w:rsidRPr="00E4140C" w:rsidRDefault="008014C3" w:rsidP="00E03060">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E4140C">
                    <w:rPr>
                      <w:rFonts w:ascii="Times New Roman" w:eastAsia="Times New Roman" w:hAnsi="Times New Roman" w:cs="Times New Roman"/>
                      <w:bCs/>
                      <w:sz w:val="24"/>
                      <w:szCs w:val="24"/>
                      <w:lang w:eastAsia="lt-LT"/>
                    </w:rPr>
                    <w:t xml:space="preserve">Vertinimo skalė: </w:t>
                  </w:r>
                </w:p>
                <w:p w14:paraId="0F2056F1" w14:textId="77777777" w:rsidR="008014C3" w:rsidRPr="00E4140C" w:rsidRDefault="008014C3" w:rsidP="008014C3">
                  <w:pPr>
                    <w:widowControl w:val="0"/>
                    <w:adjustRightInd w:val="0"/>
                    <w:spacing w:after="0" w:line="240" w:lineRule="auto"/>
                    <w:ind w:left="360"/>
                    <w:jc w:val="both"/>
                    <w:textAlignment w:val="baseline"/>
                    <w:rPr>
                      <w:rFonts w:ascii="Times New Roman" w:eastAsia="Times New Roman" w:hAnsi="Times New Roman" w:cs="Times New Roman"/>
                      <w:bCs/>
                      <w:sz w:val="24"/>
                      <w:szCs w:val="24"/>
                      <w:lang w:eastAsia="lt-LT"/>
                    </w:rPr>
                  </w:pPr>
                  <w:r w:rsidRPr="00E4140C">
                    <w:rPr>
                      <w:rFonts w:ascii="Times New Roman" w:eastAsia="Times New Roman" w:hAnsi="Times New Roman" w:cs="Times New Roman"/>
                      <w:bCs/>
                      <w:sz w:val="24"/>
                      <w:szCs w:val="24"/>
                      <w:lang w:eastAsia="lt-LT"/>
                    </w:rPr>
                    <w:t xml:space="preserve">1 paraiška – </w:t>
                  </w:r>
                  <w:r w:rsidR="00FD27FC">
                    <w:rPr>
                      <w:rFonts w:ascii="Times New Roman" w:eastAsia="Times New Roman" w:hAnsi="Times New Roman" w:cs="Times New Roman"/>
                      <w:bCs/>
                      <w:sz w:val="24"/>
                      <w:szCs w:val="24"/>
                      <w:lang w:eastAsia="lt-LT"/>
                    </w:rPr>
                    <w:t>5</w:t>
                  </w:r>
                  <w:r w:rsidRPr="00E4140C">
                    <w:rPr>
                      <w:rFonts w:ascii="Times New Roman" w:eastAsia="Times New Roman" w:hAnsi="Times New Roman" w:cs="Times New Roman"/>
                      <w:bCs/>
                      <w:sz w:val="24"/>
                      <w:szCs w:val="24"/>
                      <w:lang w:eastAsia="lt-LT"/>
                    </w:rPr>
                    <w:t xml:space="preserve"> balai, 2 paraiškos – </w:t>
                  </w:r>
                  <w:r w:rsidR="00FD27FC">
                    <w:rPr>
                      <w:rFonts w:ascii="Times New Roman" w:eastAsia="Times New Roman" w:hAnsi="Times New Roman" w:cs="Times New Roman"/>
                      <w:bCs/>
                      <w:sz w:val="24"/>
                      <w:szCs w:val="24"/>
                      <w:lang w:eastAsia="lt-LT"/>
                    </w:rPr>
                    <w:t>10</w:t>
                  </w:r>
                  <w:r w:rsidRPr="00E4140C">
                    <w:rPr>
                      <w:rFonts w:ascii="Times New Roman" w:eastAsia="Times New Roman" w:hAnsi="Times New Roman" w:cs="Times New Roman"/>
                      <w:bCs/>
                      <w:sz w:val="24"/>
                      <w:szCs w:val="24"/>
                      <w:lang w:eastAsia="lt-LT"/>
                    </w:rPr>
                    <w:t xml:space="preserve"> bal</w:t>
                  </w:r>
                  <w:r w:rsidR="00FD27FC">
                    <w:rPr>
                      <w:rFonts w:ascii="Times New Roman" w:eastAsia="Times New Roman" w:hAnsi="Times New Roman" w:cs="Times New Roman"/>
                      <w:bCs/>
                      <w:sz w:val="24"/>
                      <w:szCs w:val="24"/>
                      <w:lang w:eastAsia="lt-LT"/>
                    </w:rPr>
                    <w:t>ų</w:t>
                  </w:r>
                  <w:r w:rsidR="005909D1">
                    <w:rPr>
                      <w:rFonts w:ascii="Times New Roman" w:eastAsia="Times New Roman" w:hAnsi="Times New Roman" w:cs="Times New Roman"/>
                      <w:bCs/>
                      <w:sz w:val="24"/>
                      <w:szCs w:val="24"/>
                      <w:lang w:eastAsia="lt-LT"/>
                    </w:rPr>
                    <w:t>,</w:t>
                  </w:r>
                  <w:r w:rsidRPr="00E4140C">
                    <w:rPr>
                      <w:rFonts w:ascii="Times New Roman" w:eastAsia="Times New Roman" w:hAnsi="Times New Roman" w:cs="Times New Roman"/>
                      <w:bCs/>
                      <w:sz w:val="24"/>
                      <w:szCs w:val="24"/>
                      <w:lang w:eastAsia="lt-LT"/>
                    </w:rPr>
                    <w:t xml:space="preserve"> 3 ir daugiau paraiškos – </w:t>
                  </w:r>
                  <w:r w:rsidRPr="00160C93">
                    <w:rPr>
                      <w:rFonts w:ascii="Times New Roman" w:eastAsia="Times New Roman" w:hAnsi="Times New Roman" w:cs="Times New Roman"/>
                      <w:bCs/>
                      <w:sz w:val="24"/>
                      <w:szCs w:val="24"/>
                      <w:lang w:eastAsia="lt-LT"/>
                    </w:rPr>
                    <w:t>1</w:t>
                  </w:r>
                  <w:r w:rsidR="00C14DC1" w:rsidRPr="00160C93">
                    <w:rPr>
                      <w:rFonts w:ascii="Times New Roman" w:eastAsia="Times New Roman" w:hAnsi="Times New Roman" w:cs="Times New Roman"/>
                      <w:bCs/>
                      <w:sz w:val="24"/>
                      <w:szCs w:val="24"/>
                      <w:lang w:eastAsia="lt-LT"/>
                    </w:rPr>
                    <w:t>5</w:t>
                  </w:r>
                  <w:r w:rsidRPr="00E4140C">
                    <w:rPr>
                      <w:rFonts w:ascii="Times New Roman" w:eastAsia="Times New Roman" w:hAnsi="Times New Roman" w:cs="Times New Roman"/>
                      <w:bCs/>
                      <w:sz w:val="24"/>
                      <w:szCs w:val="24"/>
                      <w:lang w:eastAsia="lt-LT"/>
                    </w:rPr>
                    <w:t xml:space="preserve"> balų</w:t>
                  </w:r>
                  <w:r w:rsidR="005909D1">
                    <w:rPr>
                      <w:rFonts w:ascii="Times New Roman" w:eastAsia="Times New Roman" w:hAnsi="Times New Roman" w:cs="Times New Roman"/>
                      <w:bCs/>
                      <w:sz w:val="24"/>
                      <w:szCs w:val="24"/>
                      <w:lang w:eastAsia="lt-LT"/>
                    </w:rPr>
                    <w:t>;</w:t>
                  </w:r>
                  <w:r w:rsidRPr="00E4140C" w:rsidDel="00A37A04">
                    <w:rPr>
                      <w:rFonts w:ascii="Times New Roman" w:eastAsia="Times New Roman" w:hAnsi="Times New Roman" w:cs="Times New Roman"/>
                      <w:bCs/>
                      <w:sz w:val="24"/>
                      <w:szCs w:val="24"/>
                      <w:lang w:eastAsia="lt-LT"/>
                    </w:rPr>
                    <w:t xml:space="preserve"> </w:t>
                  </w:r>
                </w:p>
                <w:p w14:paraId="66B40BF4" w14:textId="77777777" w:rsidR="00792A3F" w:rsidRDefault="008014C3" w:rsidP="006A32AD">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E4140C">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w:t>
                  </w:r>
                  <w:r w:rsidR="0011529F">
                    <w:rPr>
                      <w:rFonts w:ascii="Times New Roman" w:eastAsia="Times New Roman" w:hAnsi="Times New Roman" w:cs="Times New Roman"/>
                      <w:bCs/>
                      <w:sz w:val="24"/>
                      <w:szCs w:val="24"/>
                      <w:lang w:eastAsia="lt-LT"/>
                    </w:rPr>
                    <w:t xml:space="preserve"> Sukurtų ir </w:t>
                  </w:r>
                  <w:r w:rsidRPr="00E4140C">
                    <w:rPr>
                      <w:rFonts w:ascii="Times New Roman" w:eastAsia="Times New Roman" w:hAnsi="Times New Roman" w:cs="Times New Roman"/>
                      <w:bCs/>
                      <w:sz w:val="24"/>
                      <w:szCs w:val="24"/>
                      <w:lang w:eastAsia="lt-LT"/>
                    </w:rPr>
                    <w:t xml:space="preserve">rinkai pateiktų produktų skaičius. </w:t>
                  </w:r>
                </w:p>
                <w:p w14:paraId="243B7685" w14:textId="77777777" w:rsidR="008014C3" w:rsidRDefault="008014C3" w:rsidP="006A32AD">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E4140C">
                    <w:rPr>
                      <w:rFonts w:ascii="Times New Roman" w:eastAsia="Times New Roman" w:hAnsi="Times New Roman" w:cs="Times New Roman"/>
                      <w:bCs/>
                      <w:sz w:val="24"/>
                      <w:szCs w:val="24"/>
                      <w:lang w:eastAsia="lt-LT"/>
                    </w:rPr>
                    <w:t xml:space="preserve">Vertinimo skalė: </w:t>
                  </w:r>
                </w:p>
                <w:p w14:paraId="183E8EDB" w14:textId="77777777" w:rsidR="008014C3" w:rsidRPr="00E4140C" w:rsidRDefault="008014C3" w:rsidP="008014C3">
                  <w:pPr>
                    <w:widowControl w:val="0"/>
                    <w:adjustRightInd w:val="0"/>
                    <w:spacing w:after="0" w:line="240" w:lineRule="auto"/>
                    <w:ind w:left="360"/>
                    <w:jc w:val="both"/>
                    <w:textAlignment w:val="baseline"/>
                    <w:rPr>
                      <w:rFonts w:ascii="Times New Roman" w:eastAsia="Times New Roman" w:hAnsi="Times New Roman" w:cs="Times New Roman"/>
                      <w:bCs/>
                      <w:sz w:val="24"/>
                      <w:szCs w:val="24"/>
                      <w:lang w:eastAsia="lt-LT"/>
                    </w:rPr>
                  </w:pPr>
                  <w:r w:rsidRPr="00E4140C">
                    <w:rPr>
                      <w:rFonts w:ascii="Times New Roman" w:eastAsia="Times New Roman" w:hAnsi="Times New Roman" w:cs="Times New Roman"/>
                      <w:bCs/>
                      <w:sz w:val="24"/>
                      <w:szCs w:val="24"/>
                      <w:lang w:eastAsia="lt-LT"/>
                    </w:rPr>
                    <w:t>1 produktas</w:t>
                  </w:r>
                  <w:r w:rsidR="00792A3F">
                    <w:rPr>
                      <w:rFonts w:ascii="Times New Roman" w:eastAsia="Times New Roman" w:hAnsi="Times New Roman" w:cs="Times New Roman"/>
                      <w:bCs/>
                      <w:sz w:val="24"/>
                      <w:szCs w:val="24"/>
                      <w:lang w:eastAsia="lt-LT"/>
                    </w:rPr>
                    <w:t xml:space="preserve"> </w:t>
                  </w:r>
                  <w:r w:rsidRPr="00E4140C">
                    <w:rPr>
                      <w:rFonts w:ascii="Times New Roman" w:eastAsia="Times New Roman" w:hAnsi="Times New Roman" w:cs="Times New Roman"/>
                      <w:bCs/>
                      <w:sz w:val="24"/>
                      <w:szCs w:val="24"/>
                      <w:lang w:eastAsia="lt-LT"/>
                    </w:rPr>
                    <w:t xml:space="preserve">– </w:t>
                  </w:r>
                  <w:r w:rsidR="005F6895">
                    <w:rPr>
                      <w:rFonts w:ascii="Times New Roman" w:eastAsia="Times New Roman" w:hAnsi="Times New Roman" w:cs="Times New Roman"/>
                      <w:bCs/>
                      <w:sz w:val="24"/>
                      <w:szCs w:val="24"/>
                      <w:lang w:eastAsia="lt-LT"/>
                    </w:rPr>
                    <w:t>4</w:t>
                  </w:r>
                  <w:r w:rsidRPr="00E4140C">
                    <w:rPr>
                      <w:rFonts w:ascii="Times New Roman" w:eastAsia="Times New Roman" w:hAnsi="Times New Roman" w:cs="Times New Roman"/>
                      <w:bCs/>
                      <w:sz w:val="24"/>
                      <w:szCs w:val="24"/>
                      <w:lang w:eastAsia="lt-LT"/>
                    </w:rPr>
                    <w:t xml:space="preserve"> bala</w:t>
                  </w:r>
                  <w:r w:rsidR="005F6895">
                    <w:rPr>
                      <w:rFonts w:ascii="Times New Roman" w:eastAsia="Times New Roman" w:hAnsi="Times New Roman" w:cs="Times New Roman"/>
                      <w:bCs/>
                      <w:sz w:val="24"/>
                      <w:szCs w:val="24"/>
                      <w:lang w:eastAsia="lt-LT"/>
                    </w:rPr>
                    <w:t>i</w:t>
                  </w:r>
                  <w:r w:rsidRPr="00E4140C">
                    <w:rPr>
                      <w:rFonts w:ascii="Times New Roman" w:eastAsia="Times New Roman" w:hAnsi="Times New Roman" w:cs="Times New Roman"/>
                      <w:bCs/>
                      <w:sz w:val="24"/>
                      <w:szCs w:val="24"/>
                      <w:lang w:eastAsia="lt-LT"/>
                    </w:rPr>
                    <w:t>, 2 produktai</w:t>
                  </w:r>
                  <w:r w:rsidR="00792A3F">
                    <w:rPr>
                      <w:rFonts w:ascii="Times New Roman" w:eastAsia="Times New Roman" w:hAnsi="Times New Roman" w:cs="Times New Roman"/>
                      <w:bCs/>
                      <w:sz w:val="24"/>
                      <w:szCs w:val="24"/>
                      <w:lang w:eastAsia="lt-LT"/>
                    </w:rPr>
                    <w:t xml:space="preserve"> </w:t>
                  </w:r>
                  <w:r w:rsidRPr="00E4140C">
                    <w:rPr>
                      <w:rFonts w:ascii="Times New Roman" w:eastAsia="Times New Roman" w:hAnsi="Times New Roman" w:cs="Times New Roman"/>
                      <w:bCs/>
                      <w:sz w:val="24"/>
                      <w:szCs w:val="24"/>
                      <w:lang w:eastAsia="lt-LT"/>
                    </w:rPr>
                    <w:t xml:space="preserve">– </w:t>
                  </w:r>
                  <w:r w:rsidR="00FD27FC">
                    <w:rPr>
                      <w:rFonts w:ascii="Times New Roman" w:eastAsia="Times New Roman" w:hAnsi="Times New Roman" w:cs="Times New Roman"/>
                      <w:bCs/>
                      <w:sz w:val="24"/>
                      <w:szCs w:val="24"/>
                      <w:lang w:eastAsia="lt-LT"/>
                    </w:rPr>
                    <w:t>6</w:t>
                  </w:r>
                  <w:r w:rsidRPr="00E4140C">
                    <w:rPr>
                      <w:rFonts w:ascii="Times New Roman" w:eastAsia="Times New Roman" w:hAnsi="Times New Roman" w:cs="Times New Roman"/>
                      <w:bCs/>
                      <w:sz w:val="24"/>
                      <w:szCs w:val="24"/>
                      <w:lang w:eastAsia="lt-LT"/>
                    </w:rPr>
                    <w:t xml:space="preserve"> balai</w:t>
                  </w:r>
                  <w:r w:rsidR="005909D1">
                    <w:rPr>
                      <w:rFonts w:ascii="Times New Roman" w:eastAsia="Times New Roman" w:hAnsi="Times New Roman" w:cs="Times New Roman"/>
                      <w:bCs/>
                      <w:sz w:val="24"/>
                      <w:szCs w:val="24"/>
                      <w:lang w:eastAsia="lt-LT"/>
                    </w:rPr>
                    <w:t>,</w:t>
                  </w:r>
                  <w:r w:rsidRPr="00E4140C">
                    <w:rPr>
                      <w:rFonts w:ascii="Times New Roman" w:eastAsia="Times New Roman" w:hAnsi="Times New Roman" w:cs="Times New Roman"/>
                      <w:bCs/>
                      <w:sz w:val="24"/>
                      <w:szCs w:val="24"/>
                      <w:lang w:eastAsia="lt-LT"/>
                    </w:rPr>
                    <w:t xml:space="preserve"> 3 produktai – </w:t>
                  </w:r>
                  <w:r w:rsidR="00FD27FC">
                    <w:rPr>
                      <w:rFonts w:ascii="Times New Roman" w:eastAsia="Times New Roman" w:hAnsi="Times New Roman" w:cs="Times New Roman"/>
                      <w:bCs/>
                      <w:sz w:val="24"/>
                      <w:szCs w:val="24"/>
                      <w:lang w:eastAsia="lt-LT"/>
                    </w:rPr>
                    <w:t>8</w:t>
                  </w:r>
                  <w:r w:rsidRPr="00E4140C">
                    <w:rPr>
                      <w:rFonts w:ascii="Times New Roman" w:eastAsia="Times New Roman" w:hAnsi="Times New Roman" w:cs="Times New Roman"/>
                      <w:bCs/>
                      <w:sz w:val="24"/>
                      <w:szCs w:val="24"/>
                      <w:lang w:eastAsia="lt-LT"/>
                    </w:rPr>
                    <w:t xml:space="preserve"> </w:t>
                  </w:r>
                  <w:r w:rsidRPr="00E4140C">
                    <w:rPr>
                      <w:rFonts w:ascii="Times New Roman" w:eastAsia="Times New Roman" w:hAnsi="Times New Roman" w:cs="Times New Roman"/>
                      <w:bCs/>
                      <w:sz w:val="24"/>
                      <w:szCs w:val="24"/>
                      <w:lang w:eastAsia="lt-LT"/>
                    </w:rPr>
                    <w:lastRenderedPageBreak/>
                    <w:t>balai</w:t>
                  </w:r>
                  <w:r w:rsidR="005909D1">
                    <w:rPr>
                      <w:rFonts w:ascii="Times New Roman" w:eastAsia="Times New Roman" w:hAnsi="Times New Roman" w:cs="Times New Roman"/>
                      <w:bCs/>
                      <w:sz w:val="24"/>
                      <w:szCs w:val="24"/>
                      <w:lang w:eastAsia="lt-LT"/>
                    </w:rPr>
                    <w:t>,</w:t>
                  </w:r>
                  <w:r w:rsidRPr="00E4140C">
                    <w:rPr>
                      <w:rFonts w:ascii="Times New Roman" w:eastAsia="Times New Roman" w:hAnsi="Times New Roman" w:cs="Times New Roman"/>
                      <w:bCs/>
                      <w:sz w:val="24"/>
                      <w:szCs w:val="24"/>
                      <w:lang w:eastAsia="lt-LT"/>
                    </w:rPr>
                    <w:t xml:space="preserve"> 4 produktai</w:t>
                  </w:r>
                  <w:r w:rsidR="00792A3F">
                    <w:rPr>
                      <w:rFonts w:ascii="Times New Roman" w:eastAsia="Times New Roman" w:hAnsi="Times New Roman" w:cs="Times New Roman"/>
                      <w:bCs/>
                      <w:sz w:val="24"/>
                      <w:szCs w:val="24"/>
                      <w:lang w:eastAsia="lt-LT"/>
                    </w:rPr>
                    <w:t xml:space="preserve"> </w:t>
                  </w:r>
                  <w:r w:rsidRPr="00E4140C">
                    <w:rPr>
                      <w:rFonts w:ascii="Times New Roman" w:eastAsia="Times New Roman" w:hAnsi="Times New Roman" w:cs="Times New Roman"/>
                      <w:bCs/>
                      <w:sz w:val="24"/>
                      <w:szCs w:val="24"/>
                      <w:lang w:eastAsia="lt-LT"/>
                    </w:rPr>
                    <w:t xml:space="preserve">– </w:t>
                  </w:r>
                  <w:r w:rsidR="00FD27FC">
                    <w:rPr>
                      <w:rFonts w:ascii="Times New Roman" w:eastAsia="Times New Roman" w:hAnsi="Times New Roman" w:cs="Times New Roman"/>
                      <w:bCs/>
                      <w:sz w:val="24"/>
                      <w:szCs w:val="24"/>
                      <w:lang w:eastAsia="lt-LT"/>
                    </w:rPr>
                    <w:t>9</w:t>
                  </w:r>
                  <w:r w:rsidRPr="00E4140C">
                    <w:rPr>
                      <w:rFonts w:ascii="Times New Roman" w:eastAsia="Times New Roman" w:hAnsi="Times New Roman" w:cs="Times New Roman"/>
                      <w:bCs/>
                      <w:sz w:val="24"/>
                      <w:szCs w:val="24"/>
                      <w:lang w:eastAsia="lt-LT"/>
                    </w:rPr>
                    <w:t xml:space="preserve"> balai</w:t>
                  </w:r>
                  <w:r w:rsidR="005909D1">
                    <w:rPr>
                      <w:rFonts w:ascii="Times New Roman" w:eastAsia="Times New Roman" w:hAnsi="Times New Roman" w:cs="Times New Roman"/>
                      <w:bCs/>
                      <w:sz w:val="24"/>
                      <w:szCs w:val="24"/>
                      <w:lang w:eastAsia="lt-LT"/>
                    </w:rPr>
                    <w:t>,</w:t>
                  </w:r>
                  <w:r w:rsidRPr="00E4140C">
                    <w:rPr>
                      <w:rFonts w:ascii="Times New Roman" w:eastAsia="Times New Roman" w:hAnsi="Times New Roman" w:cs="Times New Roman"/>
                      <w:bCs/>
                      <w:sz w:val="24"/>
                      <w:szCs w:val="24"/>
                      <w:lang w:eastAsia="lt-LT"/>
                    </w:rPr>
                    <w:t xml:space="preserve"> 5 ir daugiau produktų – </w:t>
                  </w:r>
                  <w:r w:rsidR="00FD27FC" w:rsidRPr="00160C93">
                    <w:rPr>
                      <w:rFonts w:ascii="Times New Roman" w:eastAsia="Times New Roman" w:hAnsi="Times New Roman" w:cs="Times New Roman"/>
                      <w:bCs/>
                      <w:sz w:val="24"/>
                      <w:szCs w:val="24"/>
                      <w:lang w:eastAsia="lt-LT"/>
                    </w:rPr>
                    <w:t>10</w:t>
                  </w:r>
                  <w:r w:rsidRPr="00E4140C">
                    <w:rPr>
                      <w:rFonts w:ascii="Times New Roman" w:eastAsia="Times New Roman" w:hAnsi="Times New Roman" w:cs="Times New Roman"/>
                      <w:bCs/>
                      <w:sz w:val="24"/>
                      <w:szCs w:val="24"/>
                      <w:lang w:eastAsia="lt-LT"/>
                    </w:rPr>
                    <w:t xml:space="preserve"> bal</w:t>
                  </w:r>
                  <w:r w:rsidR="00FD27FC">
                    <w:rPr>
                      <w:rFonts w:ascii="Times New Roman" w:eastAsia="Times New Roman" w:hAnsi="Times New Roman" w:cs="Times New Roman"/>
                      <w:bCs/>
                      <w:sz w:val="24"/>
                      <w:szCs w:val="24"/>
                      <w:lang w:eastAsia="lt-LT"/>
                    </w:rPr>
                    <w:t>ų</w:t>
                  </w:r>
                  <w:r w:rsidRPr="00E4140C">
                    <w:rPr>
                      <w:rFonts w:ascii="Times New Roman" w:eastAsia="Times New Roman" w:hAnsi="Times New Roman" w:cs="Times New Roman"/>
                      <w:bCs/>
                      <w:sz w:val="24"/>
                      <w:szCs w:val="24"/>
                      <w:lang w:eastAsia="lt-LT"/>
                    </w:rPr>
                    <w:t>;</w:t>
                  </w:r>
                </w:p>
                <w:p w14:paraId="32FB266D" w14:textId="77777777" w:rsidR="0011529F" w:rsidRDefault="007F50FC" w:rsidP="008014C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8014C3" w:rsidRPr="009E73C5">
                    <w:rPr>
                      <w:rFonts w:ascii="Times New Roman" w:eastAsia="Times New Roman" w:hAnsi="Times New Roman" w:cs="Times New Roman"/>
                      <w:bCs/>
                      <w:sz w:val="24"/>
                      <w:szCs w:val="24"/>
                      <w:lang w:eastAsia="lt-LT"/>
                    </w:rPr>
                    <w:t xml:space="preserve">. </w:t>
                  </w:r>
                  <w:r w:rsidR="008014C3">
                    <w:rPr>
                      <w:rFonts w:ascii="Times New Roman" w:eastAsia="Times New Roman" w:hAnsi="Times New Roman" w:cs="Times New Roman"/>
                      <w:bCs/>
                      <w:sz w:val="24"/>
                      <w:szCs w:val="24"/>
                      <w:lang w:eastAsia="lt-LT"/>
                    </w:rPr>
                    <w:t>B</w:t>
                  </w:r>
                  <w:r w:rsidR="008014C3" w:rsidRPr="009E73C5">
                    <w:rPr>
                      <w:rFonts w:ascii="Times New Roman" w:eastAsia="Times New Roman" w:hAnsi="Times New Roman" w:cs="Times New Roman"/>
                      <w:bCs/>
                      <w:sz w:val="24"/>
                      <w:szCs w:val="24"/>
                      <w:lang w:eastAsia="lt-LT"/>
                    </w:rPr>
                    <w:t>endros veiklos su verslo įmonėmis</w:t>
                  </w:r>
                  <w:r w:rsidR="0011529F">
                    <w:rPr>
                      <w:rFonts w:ascii="Times New Roman" w:eastAsia="Times New Roman" w:hAnsi="Times New Roman" w:cs="Times New Roman"/>
                      <w:bCs/>
                      <w:sz w:val="24"/>
                      <w:szCs w:val="24"/>
                      <w:lang w:eastAsia="lt-LT"/>
                    </w:rPr>
                    <w:t>:</w:t>
                  </w:r>
                </w:p>
                <w:p w14:paraId="38E08543" w14:textId="77777777" w:rsidR="00160C93" w:rsidRDefault="0011529F" w:rsidP="008014C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008014C3" w:rsidRPr="009E73C5">
                    <w:rPr>
                      <w:rFonts w:ascii="Times New Roman" w:eastAsia="Times New Roman" w:hAnsi="Times New Roman" w:cs="Times New Roman"/>
                      <w:bCs/>
                      <w:sz w:val="24"/>
                      <w:szCs w:val="24"/>
                      <w:lang w:eastAsia="lt-LT"/>
                    </w:rPr>
                    <w:t xml:space="preserve"> </w:t>
                  </w:r>
                  <w:r w:rsidR="00F25F7A" w:rsidRPr="00F25F7A">
                    <w:rPr>
                      <w:rFonts w:ascii="Times New Roman" w:eastAsia="Times New Roman" w:hAnsi="Times New Roman" w:cs="Times New Roman"/>
                      <w:bCs/>
                      <w:sz w:val="24"/>
                      <w:szCs w:val="24"/>
                      <w:lang w:eastAsia="lt-LT"/>
                    </w:rPr>
                    <w:t xml:space="preserve">sutarčių tarptautinio bendradarbiavimo srityje (dalyvaujant kartu programose Horizontas 2020, </w:t>
                  </w:r>
                  <w:proofErr w:type="spellStart"/>
                  <w:r w:rsidR="00F25F7A" w:rsidRPr="00F25F7A">
                    <w:rPr>
                      <w:rFonts w:ascii="Times New Roman" w:eastAsia="Times New Roman" w:hAnsi="Times New Roman" w:cs="Times New Roman"/>
                      <w:bCs/>
                      <w:sz w:val="24"/>
                      <w:szCs w:val="24"/>
                      <w:lang w:eastAsia="lt-LT"/>
                    </w:rPr>
                    <w:t>Eureka</w:t>
                  </w:r>
                  <w:proofErr w:type="spellEnd"/>
                  <w:r w:rsidR="00F25F7A" w:rsidRPr="00F25F7A">
                    <w:rPr>
                      <w:rFonts w:ascii="Times New Roman" w:eastAsia="Times New Roman" w:hAnsi="Times New Roman" w:cs="Times New Roman"/>
                      <w:bCs/>
                      <w:sz w:val="24"/>
                      <w:szCs w:val="24"/>
                      <w:lang w:eastAsia="lt-LT"/>
                    </w:rPr>
                    <w:t xml:space="preserve">, </w:t>
                  </w:r>
                  <w:proofErr w:type="spellStart"/>
                  <w:r w:rsidR="00F25F7A" w:rsidRPr="00F25F7A">
                    <w:rPr>
                      <w:rFonts w:ascii="Times New Roman" w:eastAsia="Times New Roman" w:hAnsi="Times New Roman" w:cs="Times New Roman"/>
                      <w:bCs/>
                      <w:sz w:val="24"/>
                      <w:szCs w:val="24"/>
                      <w:lang w:eastAsia="lt-LT"/>
                    </w:rPr>
                    <w:t>Eurostars</w:t>
                  </w:r>
                  <w:proofErr w:type="spellEnd"/>
                  <w:r w:rsidR="00F25F7A" w:rsidRPr="00F25F7A">
                    <w:rPr>
                      <w:rFonts w:ascii="Times New Roman" w:eastAsia="Times New Roman" w:hAnsi="Times New Roman" w:cs="Times New Roman"/>
                      <w:bCs/>
                      <w:sz w:val="24"/>
                      <w:szCs w:val="24"/>
                      <w:lang w:eastAsia="lt-LT"/>
                    </w:rPr>
                    <w:t>, atitinkamos NATO, Europos kosmoso agentūros programos ir pan.) skaičius</w:t>
                  </w:r>
                  <w:r w:rsidR="00160C93">
                    <w:rPr>
                      <w:rFonts w:ascii="Times New Roman" w:eastAsia="Times New Roman" w:hAnsi="Times New Roman" w:cs="Times New Roman"/>
                      <w:bCs/>
                      <w:sz w:val="24"/>
                      <w:szCs w:val="24"/>
                      <w:lang w:eastAsia="lt-LT"/>
                    </w:rPr>
                    <w:t>.</w:t>
                  </w:r>
                </w:p>
                <w:p w14:paraId="67FDE648" w14:textId="68623C69" w:rsidR="0011529F" w:rsidRDefault="006D02FB" w:rsidP="008014C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6D02FB">
                    <w:rPr>
                      <w:rFonts w:ascii="Times New Roman" w:eastAsia="Times New Roman" w:hAnsi="Times New Roman" w:cs="Times New Roman"/>
                      <w:bCs/>
                      <w:sz w:val="24"/>
                      <w:szCs w:val="24"/>
                      <w:lang w:eastAsia="lt-LT"/>
                    </w:rPr>
                    <w:t>Vertinimo skalė:</w:t>
                  </w:r>
                  <w:r w:rsidR="00160C93">
                    <w:rPr>
                      <w:rFonts w:ascii="Times New Roman" w:eastAsia="Times New Roman" w:hAnsi="Times New Roman" w:cs="Times New Roman"/>
                      <w:bCs/>
                      <w:sz w:val="24"/>
                      <w:szCs w:val="24"/>
                      <w:lang w:eastAsia="lt-LT"/>
                    </w:rPr>
                    <w:t xml:space="preserve"> 1 sutartis – 1 balas; 2 sutartys – 2 balai; 3 sutartys – 3 balai; 4 sutartys – 4 balai; </w:t>
                  </w:r>
                  <w:r w:rsidRPr="006D02FB">
                    <w:rPr>
                      <w:rFonts w:ascii="Times New Roman" w:eastAsia="Times New Roman" w:hAnsi="Times New Roman" w:cs="Times New Roman"/>
                      <w:bCs/>
                      <w:sz w:val="24"/>
                      <w:szCs w:val="24"/>
                      <w:lang w:eastAsia="lt-LT"/>
                    </w:rPr>
                    <w:t xml:space="preserve">5 ir daugiau sutarčių – </w:t>
                  </w:r>
                  <w:r w:rsidRPr="00160C93">
                    <w:rPr>
                      <w:rFonts w:ascii="Times New Roman" w:eastAsia="Times New Roman" w:hAnsi="Times New Roman" w:cs="Times New Roman"/>
                      <w:bCs/>
                      <w:sz w:val="24"/>
                      <w:szCs w:val="24"/>
                      <w:lang w:eastAsia="lt-LT"/>
                    </w:rPr>
                    <w:t>5</w:t>
                  </w:r>
                  <w:r w:rsidRPr="006D02FB">
                    <w:rPr>
                      <w:rFonts w:ascii="Times New Roman" w:eastAsia="Times New Roman" w:hAnsi="Times New Roman" w:cs="Times New Roman"/>
                      <w:bCs/>
                      <w:sz w:val="24"/>
                      <w:szCs w:val="24"/>
                      <w:lang w:eastAsia="lt-LT"/>
                    </w:rPr>
                    <w:t xml:space="preserve"> balai</w:t>
                  </w:r>
                  <w:r w:rsidR="00F25F7A" w:rsidRPr="00F25F7A">
                    <w:rPr>
                      <w:rFonts w:ascii="Times New Roman" w:eastAsia="Times New Roman" w:hAnsi="Times New Roman" w:cs="Times New Roman"/>
                      <w:bCs/>
                      <w:sz w:val="24"/>
                      <w:szCs w:val="24"/>
                      <w:lang w:eastAsia="lt-LT"/>
                    </w:rPr>
                    <w:t>;</w:t>
                  </w:r>
                </w:p>
                <w:p w14:paraId="12784B53" w14:textId="13851C59" w:rsidR="00F25F7A" w:rsidRDefault="00F25F7A" w:rsidP="008014C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 </w:t>
                  </w:r>
                  <w:r w:rsidRPr="00F25F7A">
                    <w:rPr>
                      <w:rFonts w:ascii="Times New Roman" w:eastAsia="Times New Roman" w:hAnsi="Times New Roman" w:cs="Times New Roman"/>
                      <w:bCs/>
                      <w:sz w:val="24"/>
                      <w:szCs w:val="24"/>
                      <w:lang w:eastAsia="lt-LT"/>
                    </w:rPr>
                    <w:t>sutarčių dėl jungtinių / bendrų veiklų MTEP srityje vykdymo, sutarčių dėl intelektinės veiklos rezultatų (patentai, prekės ženklai, dizainas ir pramoninės nuosavybės apaugos objektai), licencijavimo sutarčių, kt. sutarčių įrodančių pareiškėjo bendradarbiavimą MTEP srityje su verslu</w:t>
                  </w:r>
                  <w:r>
                    <w:rPr>
                      <w:rFonts w:ascii="Times New Roman" w:eastAsia="Times New Roman" w:hAnsi="Times New Roman" w:cs="Times New Roman"/>
                      <w:bCs/>
                      <w:sz w:val="24"/>
                      <w:szCs w:val="24"/>
                      <w:lang w:eastAsia="lt-LT"/>
                    </w:rPr>
                    <w:t>,</w:t>
                  </w:r>
                  <w:r w:rsidRPr="00F25F7A">
                    <w:rPr>
                      <w:rFonts w:ascii="Times New Roman" w:eastAsia="Times New Roman" w:hAnsi="Times New Roman" w:cs="Times New Roman"/>
                      <w:bCs/>
                      <w:sz w:val="24"/>
                      <w:szCs w:val="24"/>
                      <w:lang w:eastAsia="lt-LT"/>
                    </w:rPr>
                    <w:t xml:space="preserve"> skaičius ir jų finansinė vertė</w:t>
                  </w:r>
                  <w:r w:rsidR="008014C3" w:rsidRPr="009E73C5">
                    <w:rPr>
                      <w:rFonts w:ascii="Times New Roman" w:eastAsia="Times New Roman" w:hAnsi="Times New Roman" w:cs="Times New Roman"/>
                      <w:bCs/>
                      <w:sz w:val="24"/>
                      <w:szCs w:val="24"/>
                      <w:lang w:eastAsia="lt-LT"/>
                    </w:rPr>
                    <w:t>.</w:t>
                  </w:r>
                  <w:r w:rsidR="006D02FB">
                    <w:rPr>
                      <w:rFonts w:ascii="Times New Roman" w:eastAsia="Times New Roman" w:hAnsi="Times New Roman" w:cs="Times New Roman"/>
                      <w:bCs/>
                      <w:sz w:val="24"/>
                      <w:szCs w:val="24"/>
                      <w:lang w:eastAsia="lt-LT"/>
                    </w:rPr>
                    <w:t xml:space="preserve"> Vertinimo skalė: </w:t>
                  </w:r>
                  <w:r w:rsidR="00160C93">
                    <w:rPr>
                      <w:rFonts w:ascii="Times New Roman" w:eastAsia="Times New Roman" w:hAnsi="Times New Roman" w:cs="Times New Roman"/>
                      <w:bCs/>
                      <w:sz w:val="24"/>
                      <w:szCs w:val="24"/>
                      <w:lang w:eastAsia="lt-LT"/>
                    </w:rPr>
                    <w:t>1 sutartis</w:t>
                  </w:r>
                  <w:r w:rsidR="006D02FB" w:rsidRPr="006D02FB">
                    <w:rPr>
                      <w:rFonts w:ascii="Times New Roman" w:eastAsia="Times New Roman" w:hAnsi="Times New Roman" w:cs="Times New Roman"/>
                      <w:bCs/>
                      <w:sz w:val="24"/>
                      <w:szCs w:val="24"/>
                      <w:lang w:eastAsia="lt-LT"/>
                    </w:rPr>
                    <w:t xml:space="preserve"> – 1 balas</w:t>
                  </w:r>
                  <w:r w:rsidR="00160C93" w:rsidRPr="00160C93">
                    <w:rPr>
                      <w:rFonts w:ascii="Times New Roman" w:eastAsia="Times New Roman" w:hAnsi="Times New Roman" w:cs="Times New Roman"/>
                      <w:bCs/>
                      <w:sz w:val="24"/>
                      <w:szCs w:val="24"/>
                      <w:lang w:eastAsia="lt-LT"/>
                    </w:rPr>
                    <w:t>; 2 sutartys – 2 balai; 3 sutartys – 3 balai; 4 sutartys – 4 balai;</w:t>
                  </w:r>
                  <w:r w:rsidR="006D02FB" w:rsidRPr="006D02FB">
                    <w:rPr>
                      <w:rFonts w:ascii="Times New Roman" w:eastAsia="Times New Roman" w:hAnsi="Times New Roman" w:cs="Times New Roman"/>
                      <w:bCs/>
                      <w:sz w:val="24"/>
                      <w:szCs w:val="24"/>
                      <w:lang w:eastAsia="lt-LT"/>
                    </w:rPr>
                    <w:t xml:space="preserve"> 5 ir daugiau sutarčių – </w:t>
                  </w:r>
                  <w:r w:rsidR="006D02FB" w:rsidRPr="00160C93">
                    <w:rPr>
                      <w:rFonts w:ascii="Times New Roman" w:eastAsia="Times New Roman" w:hAnsi="Times New Roman" w:cs="Times New Roman"/>
                      <w:bCs/>
                      <w:sz w:val="24"/>
                      <w:szCs w:val="24"/>
                      <w:lang w:eastAsia="lt-LT"/>
                    </w:rPr>
                    <w:t>5</w:t>
                  </w:r>
                  <w:r w:rsidR="006D02FB" w:rsidRPr="006D02FB">
                    <w:rPr>
                      <w:rFonts w:ascii="Times New Roman" w:eastAsia="Times New Roman" w:hAnsi="Times New Roman" w:cs="Times New Roman"/>
                      <w:bCs/>
                      <w:sz w:val="24"/>
                      <w:szCs w:val="24"/>
                      <w:lang w:eastAsia="lt-LT"/>
                    </w:rPr>
                    <w:t xml:space="preserve"> balai</w:t>
                  </w:r>
                  <w:r w:rsidR="006D02FB">
                    <w:rPr>
                      <w:rFonts w:ascii="Times New Roman" w:eastAsia="Times New Roman" w:hAnsi="Times New Roman" w:cs="Times New Roman"/>
                      <w:bCs/>
                      <w:sz w:val="24"/>
                      <w:szCs w:val="24"/>
                      <w:lang w:eastAsia="lt-LT"/>
                    </w:rPr>
                    <w:t xml:space="preserve">; </w:t>
                  </w:r>
                  <w:r w:rsidR="00F75826">
                    <w:rPr>
                      <w:rFonts w:ascii="Times New Roman" w:eastAsia="Times New Roman" w:hAnsi="Times New Roman" w:cs="Times New Roman"/>
                      <w:bCs/>
                      <w:sz w:val="24"/>
                      <w:szCs w:val="24"/>
                      <w:lang w:eastAsia="lt-LT"/>
                    </w:rPr>
                    <w:t>sutartys</w:t>
                  </w:r>
                  <w:r w:rsidR="006D02FB">
                    <w:rPr>
                      <w:rFonts w:ascii="Times New Roman" w:eastAsia="Times New Roman" w:hAnsi="Times New Roman" w:cs="Times New Roman"/>
                      <w:bCs/>
                      <w:sz w:val="24"/>
                      <w:szCs w:val="24"/>
                      <w:lang w:eastAsia="lt-LT"/>
                    </w:rPr>
                    <w:t>,</w:t>
                  </w:r>
                  <w:r w:rsidR="006D02FB" w:rsidRPr="006D02FB">
                    <w:rPr>
                      <w:rFonts w:ascii="Times New Roman" w:eastAsia="Times New Roman" w:hAnsi="Times New Roman" w:cs="Times New Roman"/>
                      <w:bCs/>
                      <w:sz w:val="24"/>
                      <w:szCs w:val="24"/>
                      <w:lang w:eastAsia="lt-LT"/>
                    </w:rPr>
                    <w:t xml:space="preserve"> kurių suminė finansinė</w:t>
                  </w:r>
                  <w:r w:rsidR="00D53ECE">
                    <w:rPr>
                      <w:rFonts w:ascii="Times New Roman" w:eastAsia="Times New Roman" w:hAnsi="Times New Roman" w:cs="Times New Roman"/>
                      <w:bCs/>
                      <w:sz w:val="24"/>
                      <w:szCs w:val="24"/>
                      <w:lang w:eastAsia="lt-LT"/>
                    </w:rPr>
                    <w:t xml:space="preserve"> vertė</w:t>
                  </w:r>
                  <w:r w:rsidR="006D02FB" w:rsidRPr="006D02FB">
                    <w:rPr>
                      <w:rFonts w:ascii="Times New Roman" w:eastAsia="Times New Roman" w:hAnsi="Times New Roman" w:cs="Times New Roman"/>
                      <w:bCs/>
                      <w:sz w:val="24"/>
                      <w:szCs w:val="24"/>
                      <w:lang w:eastAsia="lt-LT"/>
                    </w:rPr>
                    <w:t xml:space="preserve"> yra nuo 10 000,00 </w:t>
                  </w:r>
                  <w:proofErr w:type="spellStart"/>
                  <w:r w:rsidR="006D02FB" w:rsidRPr="006D02FB">
                    <w:rPr>
                      <w:rFonts w:ascii="Times New Roman" w:eastAsia="Times New Roman" w:hAnsi="Times New Roman" w:cs="Times New Roman"/>
                      <w:bCs/>
                      <w:sz w:val="24"/>
                      <w:szCs w:val="24"/>
                      <w:lang w:eastAsia="lt-LT"/>
                    </w:rPr>
                    <w:t>Eur</w:t>
                  </w:r>
                  <w:proofErr w:type="spellEnd"/>
                  <w:r w:rsidR="006D02FB" w:rsidRPr="006D02FB">
                    <w:rPr>
                      <w:rFonts w:ascii="Times New Roman" w:eastAsia="Times New Roman" w:hAnsi="Times New Roman" w:cs="Times New Roman"/>
                      <w:bCs/>
                      <w:sz w:val="24"/>
                      <w:szCs w:val="24"/>
                      <w:lang w:eastAsia="lt-LT"/>
                    </w:rPr>
                    <w:t xml:space="preserve"> iki 100 000,00 </w:t>
                  </w:r>
                  <w:proofErr w:type="spellStart"/>
                  <w:r w:rsidR="006D02FB" w:rsidRPr="006D02FB">
                    <w:rPr>
                      <w:rFonts w:ascii="Times New Roman" w:eastAsia="Times New Roman" w:hAnsi="Times New Roman" w:cs="Times New Roman"/>
                      <w:bCs/>
                      <w:sz w:val="24"/>
                      <w:szCs w:val="24"/>
                      <w:lang w:eastAsia="lt-LT"/>
                    </w:rPr>
                    <w:t>Eur</w:t>
                  </w:r>
                  <w:proofErr w:type="spellEnd"/>
                  <w:r w:rsidR="00F75826">
                    <w:rPr>
                      <w:rFonts w:ascii="Times New Roman" w:eastAsia="Times New Roman" w:hAnsi="Times New Roman" w:cs="Times New Roman"/>
                      <w:bCs/>
                      <w:sz w:val="24"/>
                      <w:szCs w:val="24"/>
                      <w:lang w:eastAsia="lt-LT"/>
                    </w:rPr>
                    <w:t>, – 1 balas, sutartys</w:t>
                  </w:r>
                  <w:r w:rsidR="00160C93">
                    <w:rPr>
                      <w:rFonts w:ascii="Times New Roman" w:eastAsia="Times New Roman" w:hAnsi="Times New Roman" w:cs="Times New Roman"/>
                      <w:bCs/>
                      <w:sz w:val="24"/>
                      <w:szCs w:val="24"/>
                      <w:lang w:eastAsia="lt-LT"/>
                    </w:rPr>
                    <w:t>,</w:t>
                  </w:r>
                  <w:r w:rsidR="006D02FB" w:rsidRPr="006D02FB">
                    <w:rPr>
                      <w:rFonts w:ascii="Times New Roman" w:eastAsia="Times New Roman" w:hAnsi="Times New Roman" w:cs="Times New Roman"/>
                      <w:bCs/>
                      <w:sz w:val="24"/>
                      <w:szCs w:val="24"/>
                      <w:lang w:eastAsia="lt-LT"/>
                    </w:rPr>
                    <w:t xml:space="preserve"> kurių suminė finansinė </w:t>
                  </w:r>
                  <w:r w:rsidR="00D53ECE">
                    <w:rPr>
                      <w:rFonts w:ascii="Times New Roman" w:eastAsia="Times New Roman" w:hAnsi="Times New Roman" w:cs="Times New Roman"/>
                      <w:bCs/>
                      <w:sz w:val="24"/>
                      <w:szCs w:val="24"/>
                      <w:lang w:eastAsia="lt-LT"/>
                    </w:rPr>
                    <w:t xml:space="preserve">vertė </w:t>
                  </w:r>
                  <w:r w:rsidR="006D02FB" w:rsidRPr="006D02FB">
                    <w:rPr>
                      <w:rFonts w:ascii="Times New Roman" w:eastAsia="Times New Roman" w:hAnsi="Times New Roman" w:cs="Times New Roman"/>
                      <w:bCs/>
                      <w:sz w:val="24"/>
                      <w:szCs w:val="24"/>
                      <w:lang w:eastAsia="lt-LT"/>
                    </w:rPr>
                    <w:t>yra nuo 100 0</w:t>
                  </w:r>
                  <w:r w:rsidR="00160C93">
                    <w:rPr>
                      <w:rFonts w:ascii="Times New Roman" w:eastAsia="Times New Roman" w:hAnsi="Times New Roman" w:cs="Times New Roman"/>
                      <w:bCs/>
                      <w:sz w:val="24"/>
                      <w:szCs w:val="24"/>
                      <w:lang w:eastAsia="lt-LT"/>
                    </w:rPr>
                    <w:t xml:space="preserve">01,00 </w:t>
                  </w:r>
                  <w:proofErr w:type="spellStart"/>
                  <w:r w:rsidR="00160C93">
                    <w:rPr>
                      <w:rFonts w:ascii="Times New Roman" w:eastAsia="Times New Roman" w:hAnsi="Times New Roman" w:cs="Times New Roman"/>
                      <w:bCs/>
                      <w:sz w:val="24"/>
                      <w:szCs w:val="24"/>
                      <w:lang w:eastAsia="lt-LT"/>
                    </w:rPr>
                    <w:t>Eur</w:t>
                  </w:r>
                  <w:proofErr w:type="spellEnd"/>
                  <w:r w:rsidR="00160C93">
                    <w:rPr>
                      <w:rFonts w:ascii="Times New Roman" w:eastAsia="Times New Roman" w:hAnsi="Times New Roman" w:cs="Times New Roman"/>
                      <w:bCs/>
                      <w:sz w:val="24"/>
                      <w:szCs w:val="24"/>
                      <w:lang w:eastAsia="lt-LT"/>
                    </w:rPr>
                    <w:t xml:space="preserve"> iki 500 000,00 </w:t>
                  </w:r>
                  <w:proofErr w:type="spellStart"/>
                  <w:r w:rsidR="00160C93">
                    <w:rPr>
                      <w:rFonts w:ascii="Times New Roman" w:eastAsia="Times New Roman" w:hAnsi="Times New Roman" w:cs="Times New Roman"/>
                      <w:bCs/>
                      <w:sz w:val="24"/>
                      <w:szCs w:val="24"/>
                      <w:lang w:eastAsia="lt-LT"/>
                    </w:rPr>
                    <w:t>Eur</w:t>
                  </w:r>
                  <w:proofErr w:type="spellEnd"/>
                  <w:r w:rsidR="00F75826">
                    <w:rPr>
                      <w:rFonts w:ascii="Times New Roman" w:eastAsia="Times New Roman" w:hAnsi="Times New Roman" w:cs="Times New Roman"/>
                      <w:bCs/>
                      <w:sz w:val="24"/>
                      <w:szCs w:val="24"/>
                      <w:lang w:eastAsia="lt-LT"/>
                    </w:rPr>
                    <w:t>,</w:t>
                  </w:r>
                  <w:r w:rsidR="00160C93">
                    <w:rPr>
                      <w:rFonts w:ascii="Times New Roman" w:eastAsia="Times New Roman" w:hAnsi="Times New Roman" w:cs="Times New Roman"/>
                      <w:bCs/>
                      <w:sz w:val="24"/>
                      <w:szCs w:val="24"/>
                      <w:lang w:eastAsia="lt-LT"/>
                    </w:rPr>
                    <w:t xml:space="preserve"> – 3</w:t>
                  </w:r>
                  <w:r w:rsidR="00F75826">
                    <w:rPr>
                      <w:rFonts w:ascii="Times New Roman" w:eastAsia="Times New Roman" w:hAnsi="Times New Roman" w:cs="Times New Roman"/>
                      <w:bCs/>
                      <w:sz w:val="24"/>
                      <w:szCs w:val="24"/>
                      <w:lang w:eastAsia="lt-LT"/>
                    </w:rPr>
                    <w:t xml:space="preserve"> balai, sutartys</w:t>
                  </w:r>
                  <w:r w:rsidR="00160C93">
                    <w:rPr>
                      <w:rFonts w:ascii="Times New Roman" w:eastAsia="Times New Roman" w:hAnsi="Times New Roman" w:cs="Times New Roman"/>
                      <w:bCs/>
                      <w:sz w:val="24"/>
                      <w:szCs w:val="24"/>
                      <w:lang w:eastAsia="lt-LT"/>
                    </w:rPr>
                    <w:t>,</w:t>
                  </w:r>
                  <w:r w:rsidR="006D02FB" w:rsidRPr="006D02FB">
                    <w:rPr>
                      <w:rFonts w:ascii="Times New Roman" w:eastAsia="Times New Roman" w:hAnsi="Times New Roman" w:cs="Times New Roman"/>
                      <w:bCs/>
                      <w:sz w:val="24"/>
                      <w:szCs w:val="24"/>
                      <w:lang w:eastAsia="lt-LT"/>
                    </w:rPr>
                    <w:t xml:space="preserve"> kurių suminė finansinė </w:t>
                  </w:r>
                  <w:r w:rsidR="00D53ECE">
                    <w:rPr>
                      <w:rFonts w:ascii="Times New Roman" w:eastAsia="Times New Roman" w:hAnsi="Times New Roman" w:cs="Times New Roman"/>
                      <w:bCs/>
                      <w:sz w:val="24"/>
                      <w:szCs w:val="24"/>
                      <w:lang w:eastAsia="lt-LT"/>
                    </w:rPr>
                    <w:t xml:space="preserve">vertė </w:t>
                  </w:r>
                  <w:r w:rsidR="006D02FB" w:rsidRPr="006D02FB">
                    <w:rPr>
                      <w:rFonts w:ascii="Times New Roman" w:eastAsia="Times New Roman" w:hAnsi="Times New Roman" w:cs="Times New Roman"/>
                      <w:bCs/>
                      <w:sz w:val="24"/>
                      <w:szCs w:val="24"/>
                      <w:lang w:eastAsia="lt-LT"/>
                    </w:rPr>
                    <w:t>yra</w:t>
                  </w:r>
                  <w:r w:rsidR="00D53ECE">
                    <w:rPr>
                      <w:rFonts w:ascii="Times New Roman" w:eastAsia="Times New Roman" w:hAnsi="Times New Roman" w:cs="Times New Roman"/>
                      <w:bCs/>
                      <w:sz w:val="24"/>
                      <w:szCs w:val="24"/>
                      <w:lang w:eastAsia="lt-LT"/>
                    </w:rPr>
                    <w:t xml:space="preserve"> didesnė nei 500 001,00 </w:t>
                  </w:r>
                  <w:proofErr w:type="spellStart"/>
                  <w:r w:rsidR="00D53ECE">
                    <w:rPr>
                      <w:rFonts w:ascii="Times New Roman" w:eastAsia="Times New Roman" w:hAnsi="Times New Roman" w:cs="Times New Roman"/>
                      <w:bCs/>
                      <w:sz w:val="24"/>
                      <w:szCs w:val="24"/>
                      <w:lang w:eastAsia="lt-LT"/>
                    </w:rPr>
                    <w:t>Eur</w:t>
                  </w:r>
                  <w:proofErr w:type="spellEnd"/>
                  <w:r w:rsidR="00F75826">
                    <w:rPr>
                      <w:rFonts w:ascii="Times New Roman" w:eastAsia="Times New Roman" w:hAnsi="Times New Roman" w:cs="Times New Roman"/>
                      <w:bCs/>
                      <w:sz w:val="24"/>
                      <w:szCs w:val="24"/>
                      <w:lang w:eastAsia="lt-LT"/>
                    </w:rPr>
                    <w:t>,</w:t>
                  </w:r>
                  <w:r w:rsidR="00D53ECE">
                    <w:rPr>
                      <w:rFonts w:ascii="Times New Roman" w:eastAsia="Times New Roman" w:hAnsi="Times New Roman" w:cs="Times New Roman"/>
                      <w:bCs/>
                      <w:sz w:val="24"/>
                      <w:szCs w:val="24"/>
                      <w:lang w:eastAsia="lt-LT"/>
                    </w:rPr>
                    <w:t xml:space="preserve"> – </w:t>
                  </w:r>
                  <w:r w:rsidR="00D53ECE" w:rsidRPr="00160C93">
                    <w:rPr>
                      <w:rFonts w:ascii="Times New Roman" w:eastAsia="Times New Roman" w:hAnsi="Times New Roman" w:cs="Times New Roman"/>
                      <w:bCs/>
                      <w:sz w:val="24"/>
                      <w:szCs w:val="24"/>
                      <w:lang w:eastAsia="lt-LT"/>
                    </w:rPr>
                    <w:t>5</w:t>
                  </w:r>
                  <w:r w:rsidR="00D53ECE">
                    <w:rPr>
                      <w:rFonts w:ascii="Times New Roman" w:eastAsia="Times New Roman" w:hAnsi="Times New Roman" w:cs="Times New Roman"/>
                      <w:bCs/>
                      <w:sz w:val="24"/>
                      <w:szCs w:val="24"/>
                      <w:lang w:eastAsia="lt-LT"/>
                    </w:rPr>
                    <w:t xml:space="preserve"> balai</w:t>
                  </w:r>
                  <w:r w:rsidR="006D02FB" w:rsidRPr="006D02FB">
                    <w:rPr>
                      <w:rFonts w:ascii="Times New Roman" w:eastAsia="Times New Roman" w:hAnsi="Times New Roman" w:cs="Times New Roman"/>
                      <w:bCs/>
                      <w:sz w:val="24"/>
                      <w:szCs w:val="24"/>
                      <w:lang w:eastAsia="lt-LT"/>
                    </w:rPr>
                    <w:t>.</w:t>
                  </w:r>
                </w:p>
                <w:p w14:paraId="2BEE6999" w14:textId="77777777" w:rsidR="006D02FB" w:rsidRDefault="006D02FB" w:rsidP="008014C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7455E021" w14:textId="77777777" w:rsidR="00183643" w:rsidRPr="00655494" w:rsidRDefault="002C6DC5" w:rsidP="006D02FB">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Vertinamo</w:t>
                  </w:r>
                  <w:r w:rsidR="00E227C0">
                    <w:rPr>
                      <w:rFonts w:ascii="Times New Roman" w:eastAsia="Times New Roman" w:hAnsi="Times New Roman" w:cs="Times New Roman"/>
                      <w:bCs/>
                      <w:sz w:val="24"/>
                      <w:szCs w:val="24"/>
                      <w:lang w:eastAsia="lt-LT"/>
                    </w:rPr>
                    <w:t xml:space="preserve">s </w:t>
                  </w:r>
                  <w:r w:rsidR="00F25F7A">
                    <w:rPr>
                      <w:rFonts w:ascii="Times New Roman" w:eastAsia="Times New Roman" w:hAnsi="Times New Roman" w:cs="Times New Roman"/>
                      <w:bCs/>
                      <w:sz w:val="24"/>
                      <w:szCs w:val="24"/>
                      <w:lang w:eastAsia="lt-LT"/>
                    </w:rPr>
                    <w:t xml:space="preserve">pateiktos </w:t>
                  </w:r>
                  <w:r w:rsidR="00E227C0">
                    <w:rPr>
                      <w:rFonts w:ascii="Times New Roman" w:eastAsia="Times New Roman" w:hAnsi="Times New Roman" w:cs="Times New Roman"/>
                      <w:bCs/>
                      <w:sz w:val="24"/>
                      <w:szCs w:val="24"/>
                      <w:lang w:eastAsia="lt-LT"/>
                    </w:rPr>
                    <w:t>sutartys</w:t>
                  </w:r>
                  <w:r w:rsidR="00F25F7A">
                    <w:rPr>
                      <w:rFonts w:ascii="Times New Roman" w:eastAsia="Times New Roman" w:hAnsi="Times New Roman" w:cs="Times New Roman"/>
                      <w:bCs/>
                      <w:sz w:val="24"/>
                      <w:szCs w:val="24"/>
                      <w:lang w:eastAsia="lt-LT"/>
                    </w:rPr>
                    <w:t xml:space="preserve"> (jų kopijos)</w:t>
                  </w:r>
                  <w:r w:rsidR="00E227C0">
                    <w:rPr>
                      <w:rFonts w:ascii="Times New Roman" w:eastAsia="Times New Roman" w:hAnsi="Times New Roman" w:cs="Times New Roman"/>
                      <w:bCs/>
                      <w:sz w:val="24"/>
                      <w:szCs w:val="24"/>
                      <w:lang w:eastAsia="lt-LT"/>
                    </w:rPr>
                    <w:t xml:space="preserve">, pasirašytos per paskutinius 2 metus </w:t>
                  </w:r>
                  <w:r w:rsidR="00E227C0" w:rsidRPr="00E227C0">
                    <w:rPr>
                      <w:rFonts w:ascii="Times New Roman" w:eastAsia="Times New Roman" w:hAnsi="Times New Roman" w:cs="Times New Roman"/>
                      <w:bCs/>
                      <w:sz w:val="24"/>
                      <w:szCs w:val="24"/>
                      <w:lang w:eastAsia="lt-LT"/>
                    </w:rPr>
                    <w:t xml:space="preserve">(skaičiuojant nuo paraiškos </w:t>
                  </w:r>
                  <w:r w:rsidR="00F25F7A">
                    <w:rPr>
                      <w:rFonts w:ascii="Times New Roman" w:eastAsia="Times New Roman" w:hAnsi="Times New Roman" w:cs="Times New Roman"/>
                      <w:bCs/>
                      <w:sz w:val="24"/>
                      <w:szCs w:val="24"/>
                      <w:lang w:eastAsia="lt-LT"/>
                    </w:rPr>
                    <w:t>pateikimo</w:t>
                  </w:r>
                  <w:r w:rsidR="00E227C0" w:rsidRPr="00E227C0">
                    <w:rPr>
                      <w:rFonts w:ascii="Times New Roman" w:eastAsia="Times New Roman" w:hAnsi="Times New Roman" w:cs="Times New Roman"/>
                      <w:bCs/>
                      <w:sz w:val="24"/>
                      <w:szCs w:val="24"/>
                      <w:lang w:eastAsia="lt-LT"/>
                    </w:rPr>
                    <w:t xml:space="preserve"> datos)</w:t>
                  </w:r>
                  <w:r w:rsidR="00E227C0">
                    <w:rPr>
                      <w:rFonts w:ascii="Times New Roman" w:eastAsia="Times New Roman" w:hAnsi="Times New Roman" w:cs="Times New Roman"/>
                      <w:bCs/>
                      <w:sz w:val="24"/>
                      <w:szCs w:val="24"/>
                      <w:lang w:eastAsia="lt-LT"/>
                    </w:rPr>
                    <w:t xml:space="preserve">, ir </w:t>
                  </w:r>
                  <w:r>
                    <w:rPr>
                      <w:rFonts w:ascii="Times New Roman" w:eastAsia="Times New Roman" w:hAnsi="Times New Roman" w:cs="Times New Roman"/>
                      <w:bCs/>
                      <w:sz w:val="24"/>
                      <w:szCs w:val="24"/>
                      <w:lang w:eastAsia="lt-LT"/>
                    </w:rPr>
                    <w:t xml:space="preserve">sutartys, kurių vykdymo laikotarpis patenka į </w:t>
                  </w:r>
                  <w:r w:rsidR="00E227C0">
                    <w:rPr>
                      <w:rFonts w:ascii="Times New Roman" w:eastAsia="Times New Roman" w:hAnsi="Times New Roman" w:cs="Times New Roman"/>
                      <w:bCs/>
                      <w:sz w:val="24"/>
                      <w:szCs w:val="24"/>
                      <w:lang w:eastAsia="lt-LT"/>
                    </w:rPr>
                    <w:t xml:space="preserve">paskutinių </w:t>
                  </w:r>
                  <w:r w:rsidRPr="002C6DC5">
                    <w:rPr>
                      <w:rFonts w:ascii="Times New Roman" w:eastAsia="Times New Roman" w:hAnsi="Times New Roman" w:cs="Times New Roman"/>
                      <w:bCs/>
                      <w:sz w:val="24"/>
                      <w:szCs w:val="24"/>
                      <w:lang w:eastAsia="lt-LT"/>
                    </w:rPr>
                    <w:t xml:space="preserve">2 metų (skaičiuojant nuo paraiškos </w:t>
                  </w:r>
                  <w:r w:rsidR="00F25F7A">
                    <w:rPr>
                      <w:rFonts w:ascii="Times New Roman" w:eastAsia="Times New Roman" w:hAnsi="Times New Roman" w:cs="Times New Roman"/>
                      <w:bCs/>
                      <w:sz w:val="24"/>
                      <w:szCs w:val="24"/>
                      <w:lang w:eastAsia="lt-LT"/>
                    </w:rPr>
                    <w:t>pateikimo</w:t>
                  </w:r>
                  <w:r w:rsidRPr="002C6DC5">
                    <w:rPr>
                      <w:rFonts w:ascii="Times New Roman" w:eastAsia="Times New Roman" w:hAnsi="Times New Roman" w:cs="Times New Roman"/>
                      <w:bCs/>
                      <w:sz w:val="24"/>
                      <w:szCs w:val="24"/>
                      <w:lang w:eastAsia="lt-LT"/>
                    </w:rPr>
                    <w:t xml:space="preserve"> datos)</w:t>
                  </w:r>
                  <w:r w:rsidR="00E227C0">
                    <w:rPr>
                      <w:rFonts w:ascii="Times New Roman" w:eastAsia="Times New Roman" w:hAnsi="Times New Roman" w:cs="Times New Roman"/>
                      <w:bCs/>
                      <w:sz w:val="24"/>
                      <w:szCs w:val="24"/>
                      <w:lang w:eastAsia="lt-LT"/>
                    </w:rPr>
                    <w:t xml:space="preserve"> laikotarpį.</w:t>
                  </w:r>
                </w:p>
              </w:tc>
              <w:tc>
                <w:tcPr>
                  <w:tcW w:w="1984" w:type="dxa"/>
                  <w:shd w:val="clear" w:color="auto" w:fill="auto"/>
                </w:tcPr>
                <w:p w14:paraId="1D84521E" w14:textId="77777777" w:rsidR="00655494" w:rsidRPr="00655494" w:rsidRDefault="009E73C5"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5</w:t>
                  </w:r>
                  <w:r w:rsidR="00C60F01">
                    <w:rPr>
                      <w:rFonts w:ascii="Times New Roman" w:eastAsia="Calibri" w:hAnsi="Times New Roman" w:cs="Times New Roman"/>
                      <w:bCs/>
                      <w:sz w:val="24"/>
                      <w:szCs w:val="24"/>
                      <w:lang w:val="en-US"/>
                    </w:rPr>
                    <w:t>5</w:t>
                  </w:r>
                </w:p>
              </w:tc>
              <w:tc>
                <w:tcPr>
                  <w:tcW w:w="1701" w:type="dxa"/>
                  <w:shd w:val="clear" w:color="auto" w:fill="auto"/>
                </w:tcPr>
                <w:p w14:paraId="784F13C0" w14:textId="77777777"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0CB59833" w14:textId="77777777"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14:paraId="5C046CE1" w14:textId="77777777" w:rsidTr="000265C2">
              <w:tc>
                <w:tcPr>
                  <w:tcW w:w="3006" w:type="dxa"/>
                  <w:shd w:val="clear" w:color="auto" w:fill="auto"/>
                </w:tcPr>
                <w:p w14:paraId="6D0AA87A" w14:textId="5BA14FF9" w:rsidR="00D05767" w:rsidRPr="00655494" w:rsidRDefault="00655494" w:rsidP="002D1B6C">
                  <w:pPr>
                    <w:spacing w:after="0" w:line="240" w:lineRule="auto"/>
                    <w:jc w:val="both"/>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lastRenderedPageBreak/>
                    <w:t xml:space="preserve">2. </w:t>
                  </w:r>
                  <w:r w:rsidR="009E73C5">
                    <w:rPr>
                      <w:rFonts w:ascii="Times New Roman" w:eastAsia="Calibri" w:hAnsi="Times New Roman" w:cs="Times New Roman"/>
                      <w:b/>
                      <w:bCs/>
                      <w:caps/>
                      <w:sz w:val="24"/>
                      <w:szCs w:val="24"/>
                    </w:rPr>
                    <w:t>P</w:t>
                  </w:r>
                  <w:r w:rsidR="009E73C5" w:rsidRPr="009E73C5">
                    <w:rPr>
                      <w:rFonts w:ascii="Times New Roman" w:eastAsia="Calibri" w:hAnsi="Times New Roman" w:cs="Times New Roman"/>
                      <w:b/>
                      <w:bCs/>
                      <w:sz w:val="24"/>
                      <w:szCs w:val="24"/>
                    </w:rPr>
                    <w:t>areiškėjų ir (arba) par</w:t>
                  </w:r>
                  <w:r w:rsidR="009E73C5">
                    <w:rPr>
                      <w:rFonts w:ascii="Times New Roman" w:eastAsia="Calibri" w:hAnsi="Times New Roman" w:cs="Times New Roman"/>
                      <w:b/>
                      <w:bCs/>
                      <w:sz w:val="24"/>
                      <w:szCs w:val="24"/>
                    </w:rPr>
                    <w:t xml:space="preserve">tnerių galimybės </w:t>
                  </w:r>
                  <w:proofErr w:type="spellStart"/>
                  <w:r w:rsidR="00CF3904">
                    <w:rPr>
                      <w:rFonts w:ascii="Times New Roman" w:eastAsia="Times New Roman" w:hAnsi="Times New Roman" w:cs="Times New Roman"/>
                      <w:b/>
                      <w:sz w:val="24"/>
                      <w:szCs w:val="24"/>
                    </w:rPr>
                    <w:t>komercinti</w:t>
                  </w:r>
                  <w:proofErr w:type="spellEnd"/>
                  <w:r w:rsidR="002D1B6C" w:rsidRPr="009E73C5">
                    <w:rPr>
                      <w:rFonts w:ascii="Times New Roman" w:eastAsia="Times New Roman" w:hAnsi="Times New Roman" w:cs="Times New Roman"/>
                      <w:sz w:val="24"/>
                      <w:szCs w:val="24"/>
                    </w:rPr>
                    <w:t xml:space="preserve"> </w:t>
                  </w:r>
                  <w:r w:rsidR="009E73C5">
                    <w:rPr>
                      <w:rFonts w:ascii="Times New Roman" w:eastAsia="Calibri" w:hAnsi="Times New Roman" w:cs="Times New Roman"/>
                      <w:b/>
                      <w:bCs/>
                      <w:sz w:val="24"/>
                      <w:szCs w:val="24"/>
                    </w:rPr>
                    <w:t>MTEP</w:t>
                  </w:r>
                  <w:r w:rsidR="009E73C5" w:rsidRPr="009E73C5">
                    <w:rPr>
                      <w:rFonts w:ascii="Times New Roman" w:eastAsia="Calibri" w:hAnsi="Times New Roman" w:cs="Times New Roman"/>
                      <w:b/>
                      <w:bCs/>
                      <w:sz w:val="24"/>
                      <w:szCs w:val="24"/>
                    </w:rPr>
                    <w:t xml:space="preserve"> veiklos rezultatus</w:t>
                  </w:r>
                  <w:r w:rsidR="009E73C5" w:rsidRPr="00FD27FC">
                    <w:rPr>
                      <w:rFonts w:ascii="Times New Roman" w:eastAsia="Calibri" w:hAnsi="Times New Roman" w:cs="Times New Roman"/>
                      <w:b/>
                      <w:bCs/>
                      <w:sz w:val="24"/>
                      <w:szCs w:val="24"/>
                    </w:rPr>
                    <w:t>.</w:t>
                  </w:r>
                </w:p>
              </w:tc>
              <w:tc>
                <w:tcPr>
                  <w:tcW w:w="6271" w:type="dxa"/>
                  <w:shd w:val="clear" w:color="auto" w:fill="auto"/>
                </w:tcPr>
                <w:p w14:paraId="4CEE47FB" w14:textId="77777777" w:rsidR="009E73C5" w:rsidRPr="009E73C5" w:rsidRDefault="009E73C5" w:rsidP="009E73C5">
                  <w:pPr>
                    <w:widowControl w:val="0"/>
                    <w:adjustRightInd w:val="0"/>
                    <w:spacing w:after="0" w:line="240" w:lineRule="auto"/>
                    <w:jc w:val="both"/>
                    <w:textAlignment w:val="baseline"/>
                    <w:rPr>
                      <w:rFonts w:ascii="Times New Roman" w:eastAsia="Times New Roman" w:hAnsi="Times New Roman" w:cs="Times New Roman"/>
                      <w:sz w:val="24"/>
                      <w:szCs w:val="24"/>
                    </w:rPr>
                  </w:pPr>
                  <w:r w:rsidRPr="009E73C5">
                    <w:rPr>
                      <w:rFonts w:ascii="Times New Roman" w:eastAsia="Times New Roman" w:hAnsi="Times New Roman" w:cs="Times New Roman"/>
                      <w:sz w:val="24"/>
                      <w:szCs w:val="24"/>
                    </w:rPr>
                    <w:t xml:space="preserve">Vertinama ar pareiškėjas ir (arba) partneris planuoja komerciškai panaudoti MTEP veiklos rezultatus, </w:t>
                  </w:r>
                  <w:r w:rsidRPr="009E73C5">
                    <w:rPr>
                      <w:rFonts w:ascii="Times New Roman" w:eastAsia="Times New Roman" w:hAnsi="Times New Roman" w:cs="Times New Roman"/>
                      <w:bCs/>
                      <w:sz w:val="24"/>
                      <w:szCs w:val="24"/>
                      <w:lang w:eastAsia="lt-LT"/>
                    </w:rPr>
                    <w:t>kurie gali būti sukurti</w:t>
                  </w:r>
                  <w:r w:rsidRPr="009E73C5">
                    <w:rPr>
                      <w:rFonts w:ascii="Times New Roman" w:eastAsia="Times New Roman" w:hAnsi="Times New Roman" w:cs="Times New Roman"/>
                      <w:b/>
                      <w:bCs/>
                      <w:sz w:val="24"/>
                      <w:szCs w:val="24"/>
                      <w:lang w:eastAsia="lt-LT"/>
                    </w:rPr>
                    <w:t xml:space="preserve"> </w:t>
                  </w:r>
                  <w:r w:rsidRPr="009E73C5">
                    <w:rPr>
                      <w:rFonts w:ascii="Times New Roman" w:eastAsia="Times New Roman" w:hAnsi="Times New Roman" w:cs="Times New Roman"/>
                      <w:sz w:val="24"/>
                      <w:szCs w:val="24"/>
                    </w:rPr>
                    <w:t>įgyvendinant projektą, t. y.:</w:t>
                  </w:r>
                </w:p>
                <w:p w14:paraId="6C4C452B" w14:textId="77777777" w:rsidR="009201EE" w:rsidRDefault="009E73C5" w:rsidP="009E73C5">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9E73C5">
                    <w:rPr>
                      <w:rFonts w:ascii="Times New Roman" w:eastAsia="Times New Roman" w:hAnsi="Times New Roman" w:cs="Times New Roman"/>
                      <w:sz w:val="24"/>
                      <w:szCs w:val="24"/>
                    </w:rPr>
                    <w:t xml:space="preserve">1. ketina pateikti patentinę paraišką </w:t>
                  </w:r>
                  <w:r w:rsidRPr="009E73C5">
                    <w:rPr>
                      <w:rFonts w:ascii="Times New Roman" w:eastAsia="Times New Roman" w:hAnsi="Times New Roman" w:cs="Times New Roman"/>
                      <w:color w:val="000000"/>
                      <w:sz w:val="24"/>
                      <w:szCs w:val="24"/>
                    </w:rPr>
                    <w:t xml:space="preserve">Europos patentų biurui </w:t>
                  </w:r>
                  <w:r w:rsidRPr="009857E6">
                    <w:rPr>
                      <w:rFonts w:ascii="Times New Roman" w:eastAsia="Times New Roman" w:hAnsi="Times New Roman" w:cs="Times New Roman"/>
                      <w:color w:val="000000"/>
                      <w:sz w:val="24"/>
                      <w:szCs w:val="24"/>
                    </w:rPr>
                    <w:t>(</w:t>
                  </w:r>
                  <w:r w:rsidRPr="00E03060">
                    <w:rPr>
                      <w:rFonts w:ascii="Times New Roman" w:eastAsia="Times New Roman" w:hAnsi="Times New Roman" w:cs="Times New Roman"/>
                      <w:iCs/>
                      <w:color w:val="000000"/>
                      <w:sz w:val="24"/>
                      <w:szCs w:val="24"/>
                    </w:rPr>
                    <w:t>EPO</w:t>
                  </w:r>
                  <w:r w:rsidRPr="009857E6">
                    <w:rPr>
                      <w:rFonts w:ascii="Times New Roman" w:eastAsia="Times New Roman" w:hAnsi="Times New Roman" w:cs="Times New Roman"/>
                      <w:color w:val="000000"/>
                      <w:sz w:val="24"/>
                      <w:szCs w:val="24"/>
                    </w:rPr>
                    <w:t>),</w:t>
                  </w:r>
                  <w:r w:rsidRPr="009E73C5">
                    <w:rPr>
                      <w:rFonts w:ascii="Times New Roman" w:eastAsia="Times New Roman" w:hAnsi="Times New Roman" w:cs="Times New Roman"/>
                      <w:color w:val="000000"/>
                      <w:sz w:val="24"/>
                      <w:szCs w:val="24"/>
                    </w:rPr>
                    <w:t xml:space="preserve"> JAV patentų ir prekių ženklų biurui </w:t>
                  </w:r>
                  <w:r w:rsidRPr="009857E6">
                    <w:rPr>
                      <w:rFonts w:ascii="Times New Roman" w:eastAsia="Times New Roman" w:hAnsi="Times New Roman" w:cs="Times New Roman"/>
                      <w:color w:val="000000"/>
                      <w:sz w:val="24"/>
                      <w:szCs w:val="24"/>
                    </w:rPr>
                    <w:t>(</w:t>
                  </w:r>
                  <w:r w:rsidRPr="00E03060">
                    <w:rPr>
                      <w:rFonts w:ascii="Times New Roman" w:eastAsia="Times New Roman" w:hAnsi="Times New Roman" w:cs="Times New Roman"/>
                      <w:iCs/>
                      <w:color w:val="000000"/>
                      <w:sz w:val="24"/>
                      <w:szCs w:val="24"/>
                    </w:rPr>
                    <w:t>USPTO</w:t>
                  </w:r>
                  <w:r w:rsidRPr="009857E6">
                    <w:rPr>
                      <w:rFonts w:ascii="Times New Roman" w:eastAsia="Times New Roman" w:hAnsi="Times New Roman" w:cs="Times New Roman"/>
                      <w:color w:val="000000"/>
                      <w:sz w:val="24"/>
                      <w:szCs w:val="24"/>
                    </w:rPr>
                    <w:t>)</w:t>
                  </w:r>
                  <w:r w:rsidRPr="009E73C5">
                    <w:rPr>
                      <w:rFonts w:ascii="Times New Roman" w:eastAsia="Times New Roman" w:hAnsi="Times New Roman" w:cs="Times New Roman"/>
                      <w:color w:val="000000"/>
                      <w:sz w:val="24"/>
                      <w:szCs w:val="24"/>
                    </w:rPr>
                    <w:t xml:space="preserve"> ar Japonijos patentų biurui </w:t>
                  </w:r>
                  <w:r w:rsidRPr="009857E6">
                    <w:rPr>
                      <w:rFonts w:ascii="Times New Roman" w:eastAsia="Times New Roman" w:hAnsi="Times New Roman" w:cs="Times New Roman"/>
                      <w:color w:val="000000"/>
                      <w:sz w:val="24"/>
                      <w:szCs w:val="24"/>
                    </w:rPr>
                    <w:t>(</w:t>
                  </w:r>
                  <w:r w:rsidRPr="00E03060">
                    <w:rPr>
                      <w:rFonts w:ascii="Times New Roman" w:eastAsia="Times New Roman" w:hAnsi="Times New Roman" w:cs="Times New Roman"/>
                      <w:iCs/>
                      <w:color w:val="000000"/>
                      <w:sz w:val="24"/>
                      <w:szCs w:val="24"/>
                    </w:rPr>
                    <w:t>JPO</w:t>
                  </w:r>
                  <w:r w:rsidRPr="009857E6">
                    <w:rPr>
                      <w:rFonts w:ascii="Times New Roman" w:eastAsia="Times New Roman" w:hAnsi="Times New Roman" w:cs="Times New Roman"/>
                      <w:color w:val="000000"/>
                      <w:sz w:val="24"/>
                      <w:szCs w:val="24"/>
                    </w:rPr>
                    <w:t>)</w:t>
                  </w:r>
                  <w:r w:rsidR="00F81731">
                    <w:rPr>
                      <w:rFonts w:ascii="Times New Roman" w:eastAsia="Times New Roman" w:hAnsi="Times New Roman" w:cs="Times New Roman"/>
                      <w:color w:val="000000"/>
                      <w:sz w:val="24"/>
                      <w:szCs w:val="24"/>
                    </w:rPr>
                    <w:t xml:space="preserve"> ir </w:t>
                  </w:r>
                  <w:r w:rsidR="00F81731" w:rsidRPr="000E03BF">
                    <w:rPr>
                      <w:rFonts w:ascii="Times New Roman" w:eastAsia="Times New Roman" w:hAnsi="Times New Roman" w:cs="Times New Roman"/>
                      <w:color w:val="000000"/>
                      <w:sz w:val="24"/>
                      <w:szCs w:val="24"/>
                    </w:rPr>
                    <w:t>(</w:t>
                  </w:r>
                  <w:r w:rsidR="007B143D" w:rsidRPr="000E03BF">
                    <w:rPr>
                      <w:rFonts w:ascii="Times New Roman" w:eastAsia="Times New Roman" w:hAnsi="Times New Roman" w:cs="Times New Roman"/>
                      <w:color w:val="000000"/>
                      <w:sz w:val="24"/>
                      <w:szCs w:val="24"/>
                    </w:rPr>
                    <w:t>arba</w:t>
                  </w:r>
                  <w:r w:rsidR="00F81731" w:rsidRPr="000E03BF">
                    <w:rPr>
                      <w:rFonts w:ascii="Times New Roman" w:eastAsia="Times New Roman" w:hAnsi="Times New Roman" w:cs="Times New Roman"/>
                      <w:color w:val="000000"/>
                      <w:sz w:val="24"/>
                      <w:szCs w:val="24"/>
                    </w:rPr>
                    <w:t>)</w:t>
                  </w:r>
                  <w:r w:rsidR="007B143D">
                    <w:rPr>
                      <w:rFonts w:ascii="Times New Roman" w:eastAsia="Times New Roman" w:hAnsi="Times New Roman" w:cs="Times New Roman"/>
                      <w:color w:val="000000"/>
                      <w:sz w:val="24"/>
                      <w:szCs w:val="24"/>
                    </w:rPr>
                    <w:t xml:space="preserve"> siekia kitų Aprašo 31 punkte nurodytų MTEP veiklos produktų,</w:t>
                  </w:r>
                  <w:r w:rsidR="007B143D">
                    <w:t xml:space="preserve"> </w:t>
                  </w:r>
                  <w:r w:rsidR="007B143D" w:rsidRPr="007B143D">
                    <w:rPr>
                      <w:rFonts w:ascii="Times New Roman" w:eastAsia="Times New Roman" w:hAnsi="Times New Roman" w:cs="Times New Roman"/>
                      <w:color w:val="000000"/>
                      <w:sz w:val="24"/>
                      <w:szCs w:val="24"/>
                    </w:rPr>
                    <w:t xml:space="preserve">kurių pasiekimas </w:t>
                  </w:r>
                  <w:r w:rsidR="007B143D" w:rsidRPr="007B143D">
                    <w:rPr>
                      <w:rFonts w:ascii="Times New Roman" w:eastAsia="Times New Roman" w:hAnsi="Times New Roman" w:cs="Times New Roman"/>
                      <w:color w:val="000000"/>
                      <w:sz w:val="24"/>
                      <w:szCs w:val="24"/>
                    </w:rPr>
                    <w:lastRenderedPageBreak/>
                    <w:t>įrodomas registracijos pažymėjimais ar kitais patvirtinančiais aktais</w:t>
                  </w:r>
                  <w:r w:rsidR="000E03BF">
                    <w:rPr>
                      <w:rFonts w:ascii="Times New Roman" w:eastAsia="Times New Roman" w:hAnsi="Times New Roman" w:cs="Times New Roman"/>
                      <w:color w:val="000000"/>
                      <w:sz w:val="24"/>
                      <w:szCs w:val="24"/>
                    </w:rPr>
                    <w:t xml:space="preserve"> (toliau – MTEP veiklos produktas)</w:t>
                  </w:r>
                  <w:r w:rsidRPr="009E73C5">
                    <w:rPr>
                      <w:rFonts w:ascii="Times New Roman" w:eastAsia="Times New Roman" w:hAnsi="Times New Roman" w:cs="Times New Roman"/>
                      <w:color w:val="000000"/>
                      <w:sz w:val="24"/>
                      <w:szCs w:val="24"/>
                    </w:rPr>
                    <w:t xml:space="preserve"> </w:t>
                  </w:r>
                  <w:r w:rsidRPr="009E73C5">
                    <w:rPr>
                      <w:rFonts w:ascii="Times New Roman" w:eastAsia="Times New Roman" w:hAnsi="Times New Roman" w:cs="Times New Roman"/>
                      <w:bCs/>
                      <w:sz w:val="24"/>
                      <w:szCs w:val="24"/>
                      <w:lang w:eastAsia="lt-LT"/>
                    </w:rPr>
                    <w:t xml:space="preserve">Vertinama pagal pareiškėjo pateiktą ekonomiškai pagrįstą, potencialius vartotojus nustatančią, projekto pareiškėjui </w:t>
                  </w:r>
                  <w:r w:rsidR="00B707A4">
                    <w:rPr>
                      <w:rFonts w:ascii="Times New Roman" w:eastAsia="Times New Roman" w:hAnsi="Times New Roman" w:cs="Times New Roman"/>
                      <w:bCs/>
                      <w:sz w:val="24"/>
                      <w:szCs w:val="24"/>
                      <w:lang w:eastAsia="lt-LT"/>
                    </w:rPr>
                    <w:t xml:space="preserve">ir partneriui </w:t>
                  </w:r>
                  <w:r w:rsidRPr="009E73C5">
                    <w:rPr>
                      <w:rFonts w:ascii="Times New Roman" w:eastAsia="Times New Roman" w:hAnsi="Times New Roman" w:cs="Times New Roman"/>
                      <w:bCs/>
                      <w:sz w:val="24"/>
                      <w:szCs w:val="24"/>
                      <w:lang w:eastAsia="lt-LT"/>
                    </w:rPr>
                    <w:t xml:space="preserve">gautiną naudą analizuojančią, pelningumo prognozes pagrindžiančią, ilgalaikių perspektyvų viziją apimančią, rizikas įvertinančią projekto rezultatų </w:t>
                  </w:r>
                  <w:proofErr w:type="spellStart"/>
                  <w:r w:rsidRPr="009E73C5">
                    <w:rPr>
                      <w:rFonts w:ascii="Times New Roman" w:eastAsia="Times New Roman" w:hAnsi="Times New Roman" w:cs="Times New Roman"/>
                      <w:bCs/>
                      <w:sz w:val="24"/>
                      <w:szCs w:val="24"/>
                      <w:lang w:eastAsia="lt-LT"/>
                    </w:rPr>
                    <w:t>komercinimo</w:t>
                  </w:r>
                  <w:proofErr w:type="spellEnd"/>
                  <w:r w:rsidRPr="009E73C5">
                    <w:rPr>
                      <w:rFonts w:ascii="Times New Roman" w:eastAsia="Times New Roman" w:hAnsi="Times New Roman" w:cs="Times New Roman"/>
                      <w:bCs/>
                      <w:sz w:val="24"/>
                      <w:szCs w:val="24"/>
                      <w:lang w:eastAsia="lt-LT"/>
                    </w:rPr>
                    <w:t xml:space="preserve"> strategij</w:t>
                  </w:r>
                  <w:r w:rsidR="00B00334">
                    <w:rPr>
                      <w:rFonts w:ascii="Times New Roman" w:eastAsia="Times New Roman" w:hAnsi="Times New Roman" w:cs="Times New Roman"/>
                      <w:bCs/>
                      <w:sz w:val="24"/>
                      <w:szCs w:val="24"/>
                      <w:lang w:eastAsia="lt-LT"/>
                    </w:rPr>
                    <w:t>ą</w:t>
                  </w:r>
                  <w:r w:rsidRPr="009E73C5">
                    <w:rPr>
                      <w:rFonts w:ascii="Times New Roman" w:eastAsia="Times New Roman" w:hAnsi="Times New Roman" w:cs="Times New Roman"/>
                      <w:bCs/>
                      <w:sz w:val="24"/>
                      <w:szCs w:val="24"/>
                      <w:lang w:eastAsia="lt-LT"/>
                    </w:rPr>
                    <w:t xml:space="preserve">, rinkos analizę ar kitą aukščiau nustatytus segmentus apimantį dokumentą, leidžiantį įvertinti, kaip sukurtas projekto rezultatas atitinka rinkos poreikius (potenciali </w:t>
                  </w:r>
                  <w:proofErr w:type="spellStart"/>
                  <w:r w:rsidRPr="009E73C5">
                    <w:rPr>
                      <w:rFonts w:ascii="Times New Roman" w:eastAsia="Times New Roman" w:hAnsi="Times New Roman" w:cs="Times New Roman"/>
                      <w:bCs/>
                      <w:sz w:val="24"/>
                      <w:szCs w:val="24"/>
                      <w:lang w:eastAsia="lt-LT"/>
                    </w:rPr>
                    <w:t>nišinė</w:t>
                  </w:r>
                  <w:proofErr w:type="spellEnd"/>
                  <w:r w:rsidRPr="009E73C5">
                    <w:rPr>
                      <w:rFonts w:ascii="Times New Roman" w:eastAsia="Times New Roman" w:hAnsi="Times New Roman" w:cs="Times New Roman"/>
                      <w:bCs/>
                      <w:sz w:val="24"/>
                      <w:szCs w:val="24"/>
                      <w:lang w:eastAsia="lt-LT"/>
                    </w:rPr>
                    <w:t xml:space="preserve"> rinka, konkurencingumas joje)</w:t>
                  </w:r>
                  <w:r w:rsidR="009201EE">
                    <w:rPr>
                      <w:rFonts w:ascii="Times New Roman" w:eastAsia="Times New Roman" w:hAnsi="Times New Roman" w:cs="Times New Roman"/>
                      <w:color w:val="000000"/>
                      <w:sz w:val="24"/>
                      <w:szCs w:val="24"/>
                    </w:rPr>
                    <w:t>.</w:t>
                  </w:r>
                </w:p>
                <w:p w14:paraId="45066C6B" w14:textId="77777777" w:rsidR="009201EE" w:rsidRDefault="009201EE" w:rsidP="009E73C5">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Vertinimo skalės:</w:t>
                  </w:r>
                </w:p>
                <w:p w14:paraId="227A30FF" w14:textId="77777777" w:rsidR="00F81731" w:rsidRPr="000E03BF" w:rsidRDefault="009201EE" w:rsidP="00F81731">
                  <w:pPr>
                    <w:pStyle w:val="Sraopastraipa"/>
                    <w:widowControl w:val="0"/>
                    <w:numPr>
                      <w:ilvl w:val="0"/>
                      <w:numId w:val="10"/>
                    </w:numPr>
                    <w:adjustRightInd w:val="0"/>
                    <w:spacing w:after="0" w:line="240" w:lineRule="auto"/>
                    <w:jc w:val="both"/>
                    <w:textAlignment w:val="baseline"/>
                    <w:rPr>
                      <w:rFonts w:ascii="Times New Roman" w:eastAsia="Times New Roman" w:hAnsi="Times New Roman" w:cs="Times New Roman"/>
                      <w:sz w:val="24"/>
                      <w:szCs w:val="24"/>
                    </w:rPr>
                  </w:pPr>
                  <w:r w:rsidRPr="000B5E53">
                    <w:rPr>
                      <w:rFonts w:ascii="Times New Roman" w:eastAsia="Times New Roman" w:hAnsi="Times New Roman" w:cs="Times New Roman"/>
                      <w:color w:val="000000"/>
                      <w:sz w:val="24"/>
                      <w:szCs w:val="24"/>
                    </w:rPr>
                    <w:t xml:space="preserve">1 paraiška </w:t>
                  </w:r>
                  <w:r w:rsidRPr="009857E6">
                    <w:rPr>
                      <w:rFonts w:ascii="Times New Roman" w:eastAsia="Times New Roman" w:hAnsi="Times New Roman" w:cs="Times New Roman"/>
                      <w:color w:val="000000"/>
                      <w:sz w:val="24"/>
                      <w:szCs w:val="24"/>
                    </w:rPr>
                    <w:t>Europos patentų biurui (</w:t>
                  </w:r>
                  <w:r w:rsidRPr="00E03060">
                    <w:rPr>
                      <w:rFonts w:ascii="Times New Roman" w:eastAsia="Times New Roman" w:hAnsi="Times New Roman" w:cs="Times New Roman"/>
                      <w:iCs/>
                      <w:color w:val="000000"/>
                      <w:sz w:val="24"/>
                      <w:szCs w:val="24"/>
                    </w:rPr>
                    <w:t>EPO</w:t>
                  </w:r>
                  <w:r w:rsidRPr="009857E6">
                    <w:rPr>
                      <w:rFonts w:ascii="Times New Roman" w:eastAsia="Times New Roman" w:hAnsi="Times New Roman" w:cs="Times New Roman"/>
                      <w:color w:val="000000"/>
                      <w:sz w:val="24"/>
                      <w:szCs w:val="24"/>
                    </w:rPr>
                    <w:t>)</w:t>
                  </w:r>
                  <w:r w:rsidR="000B5E53" w:rsidRPr="006E0837">
                    <w:rPr>
                      <w:rFonts w:ascii="Times New Roman" w:eastAsia="Times New Roman" w:hAnsi="Times New Roman" w:cs="Times New Roman"/>
                      <w:color w:val="000000"/>
                      <w:sz w:val="24"/>
                      <w:szCs w:val="24"/>
                    </w:rPr>
                    <w:t>, arba JAV patentų ir prekių ženklų biurui (</w:t>
                  </w:r>
                  <w:r w:rsidR="000B5E53" w:rsidRPr="00E03060">
                    <w:rPr>
                      <w:rFonts w:ascii="Times New Roman" w:eastAsia="Times New Roman" w:hAnsi="Times New Roman" w:cs="Times New Roman"/>
                      <w:iCs/>
                      <w:color w:val="000000"/>
                      <w:sz w:val="24"/>
                      <w:szCs w:val="24"/>
                    </w:rPr>
                    <w:t>USPTO</w:t>
                  </w:r>
                  <w:r w:rsidR="000B5E53" w:rsidRPr="009857E6">
                    <w:rPr>
                      <w:rFonts w:ascii="Times New Roman" w:eastAsia="Times New Roman" w:hAnsi="Times New Roman" w:cs="Times New Roman"/>
                      <w:color w:val="000000"/>
                      <w:sz w:val="24"/>
                      <w:szCs w:val="24"/>
                    </w:rPr>
                    <w:t>), arba Japonijos patentų biurui (</w:t>
                  </w:r>
                  <w:r w:rsidR="000B5E53" w:rsidRPr="00E03060">
                    <w:rPr>
                      <w:rFonts w:ascii="Times New Roman" w:eastAsia="Times New Roman" w:hAnsi="Times New Roman" w:cs="Times New Roman"/>
                      <w:iCs/>
                      <w:color w:val="000000"/>
                      <w:sz w:val="24"/>
                      <w:szCs w:val="24"/>
                    </w:rPr>
                    <w:t>JPO</w:t>
                  </w:r>
                  <w:r w:rsidR="000B5E53" w:rsidRPr="009857E6">
                    <w:rPr>
                      <w:rFonts w:ascii="Times New Roman" w:eastAsia="Times New Roman" w:hAnsi="Times New Roman" w:cs="Times New Roman"/>
                      <w:color w:val="000000"/>
                      <w:sz w:val="24"/>
                      <w:szCs w:val="24"/>
                    </w:rPr>
                    <w:t>)</w:t>
                  </w:r>
                  <w:r w:rsidRPr="006E0837">
                    <w:rPr>
                      <w:rFonts w:ascii="Times New Roman" w:eastAsia="Times New Roman" w:hAnsi="Times New Roman" w:cs="Times New Roman"/>
                      <w:color w:val="000000"/>
                      <w:sz w:val="24"/>
                      <w:szCs w:val="24"/>
                    </w:rPr>
                    <w:t xml:space="preserve"> </w:t>
                  </w:r>
                  <w:r w:rsidR="002C003F" w:rsidRPr="006E0837">
                    <w:rPr>
                      <w:rFonts w:ascii="Times New Roman" w:eastAsia="Times New Roman" w:hAnsi="Times New Roman" w:cs="Times New Roman"/>
                      <w:color w:val="000000"/>
                      <w:sz w:val="24"/>
                      <w:szCs w:val="24"/>
                    </w:rPr>
                    <w:t xml:space="preserve">– </w:t>
                  </w:r>
                  <w:r w:rsidR="00D53ECE">
                    <w:rPr>
                      <w:rFonts w:ascii="Times New Roman" w:eastAsia="Times New Roman" w:hAnsi="Times New Roman" w:cs="Times New Roman"/>
                      <w:color w:val="000000"/>
                      <w:sz w:val="24"/>
                      <w:szCs w:val="24"/>
                    </w:rPr>
                    <w:t>10</w:t>
                  </w:r>
                  <w:r w:rsidR="002C003F" w:rsidRPr="006E0837">
                    <w:rPr>
                      <w:rFonts w:ascii="Times New Roman" w:eastAsia="Times New Roman" w:hAnsi="Times New Roman" w:cs="Times New Roman"/>
                      <w:color w:val="000000"/>
                      <w:sz w:val="24"/>
                      <w:szCs w:val="24"/>
                    </w:rPr>
                    <w:t xml:space="preserve"> </w:t>
                  </w:r>
                  <w:r w:rsidR="00D53ECE">
                    <w:rPr>
                      <w:rFonts w:ascii="Times New Roman" w:eastAsia="Times New Roman" w:hAnsi="Times New Roman" w:cs="Times New Roman"/>
                      <w:color w:val="000000"/>
                      <w:sz w:val="24"/>
                      <w:szCs w:val="24"/>
                    </w:rPr>
                    <w:t>balų</w:t>
                  </w:r>
                  <w:r w:rsidRPr="006E0837">
                    <w:rPr>
                      <w:rFonts w:ascii="Times New Roman" w:eastAsia="Times New Roman" w:hAnsi="Times New Roman" w:cs="Times New Roman"/>
                      <w:color w:val="000000"/>
                      <w:sz w:val="24"/>
                      <w:szCs w:val="24"/>
                    </w:rPr>
                    <w:t xml:space="preserve">, </w:t>
                  </w:r>
                  <w:r w:rsidR="002C003F" w:rsidRPr="006E0837">
                    <w:rPr>
                      <w:rFonts w:ascii="Times New Roman" w:eastAsia="Times New Roman" w:hAnsi="Times New Roman" w:cs="Times New Roman"/>
                      <w:color w:val="000000"/>
                      <w:sz w:val="24"/>
                      <w:szCs w:val="24"/>
                    </w:rPr>
                    <w:t xml:space="preserve">2 paraiškos </w:t>
                  </w:r>
                  <w:r w:rsidR="000B5E53" w:rsidRPr="006E0837">
                    <w:rPr>
                      <w:rFonts w:ascii="Times New Roman" w:eastAsia="Times New Roman" w:hAnsi="Times New Roman" w:cs="Times New Roman"/>
                      <w:color w:val="000000"/>
                      <w:sz w:val="24"/>
                      <w:szCs w:val="24"/>
                    </w:rPr>
                    <w:t xml:space="preserve">– </w:t>
                  </w:r>
                  <w:r w:rsidR="00D53ECE">
                    <w:rPr>
                      <w:rFonts w:ascii="Times New Roman" w:eastAsia="Times New Roman" w:hAnsi="Times New Roman" w:cs="Times New Roman"/>
                      <w:color w:val="000000"/>
                      <w:sz w:val="24"/>
                      <w:szCs w:val="24"/>
                    </w:rPr>
                    <w:t>15 balų</w:t>
                  </w:r>
                  <w:r w:rsidR="002C003F" w:rsidRPr="006E0837">
                    <w:rPr>
                      <w:rFonts w:ascii="Times New Roman" w:eastAsia="Times New Roman" w:hAnsi="Times New Roman" w:cs="Times New Roman"/>
                      <w:color w:val="000000"/>
                      <w:sz w:val="24"/>
                      <w:szCs w:val="24"/>
                    </w:rPr>
                    <w:t xml:space="preserve">, 3 ir daugiau paraiškų – </w:t>
                  </w:r>
                  <w:r w:rsidR="00D53ECE" w:rsidRPr="00160C93">
                    <w:rPr>
                      <w:rFonts w:ascii="Times New Roman" w:eastAsia="Times New Roman" w:hAnsi="Times New Roman" w:cs="Times New Roman"/>
                      <w:color w:val="000000"/>
                      <w:sz w:val="24"/>
                      <w:szCs w:val="24"/>
                    </w:rPr>
                    <w:t>20</w:t>
                  </w:r>
                  <w:r w:rsidR="002C003F" w:rsidRPr="006E0837">
                    <w:rPr>
                      <w:rFonts w:ascii="Times New Roman" w:eastAsia="Times New Roman" w:hAnsi="Times New Roman" w:cs="Times New Roman"/>
                      <w:color w:val="000000"/>
                      <w:sz w:val="24"/>
                      <w:szCs w:val="24"/>
                    </w:rPr>
                    <w:t xml:space="preserve"> bal</w:t>
                  </w:r>
                  <w:r w:rsidR="00AF6C9C" w:rsidRPr="006E0837">
                    <w:rPr>
                      <w:rFonts w:ascii="Times New Roman" w:eastAsia="Times New Roman" w:hAnsi="Times New Roman" w:cs="Times New Roman"/>
                      <w:color w:val="000000"/>
                      <w:sz w:val="24"/>
                      <w:szCs w:val="24"/>
                    </w:rPr>
                    <w:t>ų</w:t>
                  </w:r>
                  <w:r w:rsidR="00F81731">
                    <w:rPr>
                      <w:rFonts w:ascii="Times New Roman" w:eastAsia="Times New Roman" w:hAnsi="Times New Roman" w:cs="Times New Roman"/>
                      <w:color w:val="000000"/>
                      <w:sz w:val="24"/>
                      <w:szCs w:val="24"/>
                    </w:rPr>
                    <w:t>;</w:t>
                  </w:r>
                </w:p>
                <w:p w14:paraId="44B65E3C" w14:textId="77777777" w:rsidR="009201EE" w:rsidRPr="000B5E53" w:rsidRDefault="00F81731" w:rsidP="00F81731">
                  <w:pPr>
                    <w:pStyle w:val="Sraopastraipa"/>
                    <w:widowControl w:val="0"/>
                    <w:numPr>
                      <w:ilvl w:val="0"/>
                      <w:numId w:val="10"/>
                    </w:numPr>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MTEP veiklos produktas –</w:t>
                  </w:r>
                  <w:r w:rsidR="00D53ECE">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rPr>
                    <w:t xml:space="preserve"> balų; 2 MTEP veiklos produktai –</w:t>
                  </w:r>
                  <w:r w:rsidR="00D53ECE">
                    <w:rPr>
                      <w:rFonts w:ascii="Times New Roman" w:eastAsia="Times New Roman" w:hAnsi="Times New Roman" w:cs="Times New Roman"/>
                      <w:color w:val="000000"/>
                      <w:sz w:val="24"/>
                      <w:szCs w:val="24"/>
                    </w:rPr>
                    <w:t xml:space="preserve"> 10</w:t>
                  </w:r>
                  <w:r>
                    <w:rPr>
                      <w:rFonts w:ascii="Times New Roman" w:eastAsia="Times New Roman" w:hAnsi="Times New Roman" w:cs="Times New Roman"/>
                      <w:color w:val="000000"/>
                      <w:sz w:val="24"/>
                      <w:szCs w:val="24"/>
                    </w:rPr>
                    <w:t xml:space="preserve"> </w:t>
                  </w:r>
                  <w:r w:rsidR="00ED4327">
                    <w:rPr>
                      <w:rFonts w:ascii="Times New Roman" w:eastAsia="Times New Roman" w:hAnsi="Times New Roman" w:cs="Times New Roman"/>
                      <w:color w:val="000000"/>
                      <w:sz w:val="24"/>
                      <w:szCs w:val="24"/>
                    </w:rPr>
                    <w:t>balai</w:t>
                  </w:r>
                  <w:r>
                    <w:rPr>
                      <w:rFonts w:ascii="Times New Roman" w:eastAsia="Times New Roman" w:hAnsi="Times New Roman" w:cs="Times New Roman"/>
                      <w:color w:val="000000"/>
                      <w:sz w:val="24"/>
                      <w:szCs w:val="24"/>
                    </w:rPr>
                    <w:t>; 3 ir daugiau MTEP veiklos produktų –</w:t>
                  </w:r>
                  <w:r w:rsidR="00ED4327">
                    <w:rPr>
                      <w:rFonts w:ascii="Times New Roman" w:eastAsia="Times New Roman" w:hAnsi="Times New Roman" w:cs="Times New Roman"/>
                      <w:color w:val="000000"/>
                      <w:sz w:val="24"/>
                      <w:szCs w:val="24"/>
                    </w:rPr>
                    <w:t xml:space="preserve"> </w:t>
                  </w:r>
                  <w:r w:rsidR="00D53ECE" w:rsidRPr="00160C93">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balų.</w:t>
                  </w:r>
                </w:p>
                <w:p w14:paraId="2349F519" w14:textId="77777777" w:rsidR="00165001" w:rsidRDefault="00165001" w:rsidP="004173A1">
                  <w:pPr>
                    <w:widowControl w:val="0"/>
                    <w:adjustRightInd w:val="0"/>
                    <w:spacing w:after="0" w:line="240" w:lineRule="auto"/>
                    <w:jc w:val="both"/>
                    <w:textAlignment w:val="baseline"/>
                    <w:rPr>
                      <w:rFonts w:ascii="Times New Roman" w:eastAsia="Times New Roman" w:hAnsi="Times New Roman" w:cs="Times New Roman"/>
                      <w:sz w:val="24"/>
                      <w:szCs w:val="24"/>
                    </w:rPr>
                  </w:pPr>
                </w:p>
                <w:p w14:paraId="674C76A1" w14:textId="5C2CC81C" w:rsidR="006C7CA2" w:rsidRDefault="009E73C5" w:rsidP="004173A1">
                  <w:pPr>
                    <w:widowControl w:val="0"/>
                    <w:adjustRightInd w:val="0"/>
                    <w:spacing w:after="0" w:line="240" w:lineRule="auto"/>
                    <w:jc w:val="both"/>
                    <w:textAlignment w:val="baseline"/>
                    <w:rPr>
                      <w:rFonts w:ascii="Times New Roman" w:eastAsia="Times New Roman" w:hAnsi="Times New Roman" w:cs="Times New Roman"/>
                      <w:sz w:val="24"/>
                      <w:szCs w:val="24"/>
                    </w:rPr>
                  </w:pPr>
                  <w:r w:rsidRPr="009E73C5">
                    <w:rPr>
                      <w:rFonts w:ascii="Times New Roman" w:eastAsia="Times New Roman" w:hAnsi="Times New Roman" w:cs="Times New Roman"/>
                      <w:sz w:val="24"/>
                      <w:szCs w:val="24"/>
                    </w:rPr>
                    <w:t>2. ir (arba) y</w:t>
                  </w:r>
                  <w:r w:rsidR="00775DEE">
                    <w:rPr>
                      <w:rFonts w:ascii="Times New Roman" w:eastAsia="Times New Roman" w:hAnsi="Times New Roman" w:cs="Times New Roman"/>
                      <w:sz w:val="24"/>
                      <w:szCs w:val="24"/>
                    </w:rPr>
                    <w:t>ra pasirašęs sutartį</w:t>
                  </w:r>
                  <w:r w:rsidRPr="009E73C5">
                    <w:rPr>
                      <w:rFonts w:ascii="Times New Roman" w:eastAsia="Times New Roman" w:hAnsi="Times New Roman" w:cs="Times New Roman"/>
                      <w:sz w:val="24"/>
                      <w:szCs w:val="24"/>
                    </w:rPr>
                    <w:t xml:space="preserve"> su ūkio subjektu dėl MTEP veiklos rezultato, kurį planuojama sukurti projekto įgyvendinimo metu, panaudojimo.</w:t>
                  </w:r>
                  <w:r w:rsidR="002C003F">
                    <w:rPr>
                      <w:rFonts w:ascii="Times New Roman" w:eastAsia="Times New Roman" w:hAnsi="Times New Roman" w:cs="Times New Roman"/>
                      <w:sz w:val="24"/>
                      <w:szCs w:val="24"/>
                    </w:rPr>
                    <w:t xml:space="preserve"> </w:t>
                  </w:r>
                  <w:r w:rsidR="00383DDF">
                    <w:rPr>
                      <w:rFonts w:ascii="Times New Roman" w:eastAsia="Times New Roman" w:hAnsi="Times New Roman" w:cs="Times New Roman"/>
                      <w:sz w:val="24"/>
                      <w:szCs w:val="24"/>
                    </w:rPr>
                    <w:t>U</w:t>
                  </w:r>
                  <w:r w:rsidR="00775DEE">
                    <w:rPr>
                      <w:rFonts w:ascii="Times New Roman" w:eastAsia="Times New Roman" w:hAnsi="Times New Roman" w:cs="Times New Roman"/>
                      <w:sz w:val="24"/>
                      <w:szCs w:val="24"/>
                    </w:rPr>
                    <w:t>ž 1 sutartį</w:t>
                  </w:r>
                  <w:r w:rsidR="00C879A8" w:rsidRPr="001A5C13">
                    <w:rPr>
                      <w:rFonts w:ascii="Times New Roman" w:eastAsia="Times New Roman" w:hAnsi="Times New Roman" w:cs="Times New Roman"/>
                      <w:sz w:val="24"/>
                      <w:szCs w:val="24"/>
                    </w:rPr>
                    <w:t xml:space="preserve"> </w:t>
                  </w:r>
                  <w:r w:rsidR="006A32AD" w:rsidRPr="001A5C13">
                    <w:rPr>
                      <w:rFonts w:ascii="Times New Roman" w:eastAsia="Times New Roman" w:hAnsi="Times New Roman" w:cs="Times New Roman"/>
                      <w:sz w:val="24"/>
                      <w:szCs w:val="24"/>
                    </w:rPr>
                    <w:t>skiriam</w:t>
                  </w:r>
                  <w:r w:rsidR="00D53ECE">
                    <w:rPr>
                      <w:rFonts w:ascii="Times New Roman" w:eastAsia="Times New Roman" w:hAnsi="Times New Roman" w:cs="Times New Roman"/>
                      <w:sz w:val="24"/>
                      <w:szCs w:val="24"/>
                    </w:rPr>
                    <w:t>i 5 balai</w:t>
                  </w:r>
                  <w:r w:rsidR="006A32AD" w:rsidRPr="001A5C13">
                    <w:rPr>
                      <w:rFonts w:ascii="Times New Roman" w:eastAsia="Times New Roman" w:hAnsi="Times New Roman" w:cs="Times New Roman"/>
                      <w:sz w:val="24"/>
                      <w:szCs w:val="24"/>
                    </w:rPr>
                    <w:t xml:space="preserve">, už 2 ir daugiau – </w:t>
                  </w:r>
                  <w:r w:rsidR="00D53ECE" w:rsidRPr="00160C93">
                    <w:rPr>
                      <w:rFonts w:ascii="Times New Roman" w:eastAsia="Times New Roman" w:hAnsi="Times New Roman" w:cs="Times New Roman"/>
                      <w:sz w:val="24"/>
                      <w:szCs w:val="24"/>
                    </w:rPr>
                    <w:t>10</w:t>
                  </w:r>
                  <w:r w:rsidR="00775DEE">
                    <w:rPr>
                      <w:rFonts w:ascii="Times New Roman" w:eastAsia="Times New Roman" w:hAnsi="Times New Roman" w:cs="Times New Roman"/>
                      <w:sz w:val="24"/>
                      <w:szCs w:val="24"/>
                    </w:rPr>
                    <w:t xml:space="preserve"> balų</w:t>
                  </w:r>
                  <w:r w:rsidR="006A32AD" w:rsidRPr="001A5C13">
                    <w:rPr>
                      <w:rFonts w:ascii="Times New Roman" w:eastAsia="Times New Roman" w:hAnsi="Times New Roman" w:cs="Times New Roman"/>
                      <w:sz w:val="24"/>
                      <w:szCs w:val="24"/>
                    </w:rPr>
                    <w:t>.</w:t>
                  </w:r>
                </w:p>
                <w:p w14:paraId="7B6FE151" w14:textId="77777777" w:rsidR="00383DDF" w:rsidRDefault="00383DDF" w:rsidP="00792A3F">
                  <w:pPr>
                    <w:widowControl w:val="0"/>
                    <w:adjustRightInd w:val="0"/>
                    <w:spacing w:after="0" w:line="240" w:lineRule="auto"/>
                    <w:jc w:val="both"/>
                    <w:textAlignment w:val="baseline"/>
                    <w:rPr>
                      <w:rFonts w:ascii="Times New Roman" w:eastAsia="Times New Roman" w:hAnsi="Times New Roman" w:cs="Times New Roman"/>
                      <w:sz w:val="24"/>
                      <w:szCs w:val="24"/>
                    </w:rPr>
                  </w:pPr>
                  <w:bookmarkStart w:id="0" w:name="_GoBack"/>
                  <w:bookmarkEnd w:id="0"/>
                </w:p>
                <w:p w14:paraId="0E23D0AC" w14:textId="77777777" w:rsidR="00183643" w:rsidRDefault="00183643" w:rsidP="00792A3F">
                  <w:pPr>
                    <w:widowControl w:val="0"/>
                    <w:adjustRightInd w:val="0"/>
                    <w:spacing w:after="0" w:line="240" w:lineRule="auto"/>
                    <w:jc w:val="both"/>
                    <w:textAlignment w:val="baseline"/>
                    <w:rPr>
                      <w:rFonts w:ascii="Times New Roman" w:eastAsia="Times New Roman" w:hAnsi="Times New Roman" w:cs="Times New Roman"/>
                      <w:sz w:val="24"/>
                      <w:szCs w:val="24"/>
                    </w:rPr>
                  </w:pPr>
                  <w:r w:rsidRPr="00183643">
                    <w:rPr>
                      <w:rFonts w:ascii="Times New Roman" w:eastAsia="Times New Roman" w:hAnsi="Times New Roman" w:cs="Times New Roman"/>
                      <w:sz w:val="24"/>
                      <w:szCs w:val="24"/>
                    </w:rPr>
                    <w:t>Didesnis balų skaičius suteikiamas tiems pareiškėjams, kurių balai yra aukštesni pagal nurodytus kriterijus (vertinamas patentinių paraiškų ar (arba) kitų pasiektų MTEP veiklos produktų skaičius ir sutartys su ūkio subjektais), balai sumuojami.</w:t>
                  </w:r>
                </w:p>
                <w:p w14:paraId="0F090DDC" w14:textId="77777777" w:rsidR="00183643" w:rsidRDefault="00183643" w:rsidP="00792A3F">
                  <w:pPr>
                    <w:widowControl w:val="0"/>
                    <w:adjustRightInd w:val="0"/>
                    <w:spacing w:after="0" w:line="240" w:lineRule="auto"/>
                    <w:jc w:val="both"/>
                    <w:textAlignment w:val="baseline"/>
                    <w:rPr>
                      <w:rFonts w:ascii="Times New Roman" w:eastAsia="Times New Roman" w:hAnsi="Times New Roman" w:cs="Times New Roman"/>
                      <w:sz w:val="24"/>
                      <w:szCs w:val="24"/>
                    </w:rPr>
                  </w:pPr>
                </w:p>
                <w:p w14:paraId="69656D50" w14:textId="77777777" w:rsidR="00383DDF" w:rsidRPr="00AC1F8D" w:rsidRDefault="00383DDF" w:rsidP="00B47E0C">
                  <w:pPr>
                    <w:widowControl w:val="0"/>
                    <w:adjustRightInd w:val="0"/>
                    <w:spacing w:after="0" w:line="240" w:lineRule="auto"/>
                    <w:jc w:val="both"/>
                    <w:textAlignment w:val="baseline"/>
                    <w:rPr>
                      <w:rFonts w:ascii="Times New Roman" w:eastAsia="Times New Roman" w:hAnsi="Times New Roman" w:cs="Times New Roman"/>
                      <w:sz w:val="24"/>
                      <w:szCs w:val="24"/>
                    </w:rPr>
                  </w:pPr>
                  <w:r w:rsidRPr="00383DDF">
                    <w:rPr>
                      <w:rFonts w:ascii="Times New Roman" w:eastAsia="Times New Roman" w:hAnsi="Times New Roman" w:cs="Times New Roman"/>
                      <w:sz w:val="24"/>
                      <w:szCs w:val="24"/>
                    </w:rPr>
                    <w:t xml:space="preserve">Įgyvendinančioji institucija vertindama šį aspektą įvertina atitikimą </w:t>
                  </w:r>
                  <w:r w:rsidR="00B47E0C" w:rsidRPr="00B47E0C">
                    <w:rPr>
                      <w:rFonts w:ascii="Times New Roman" w:hAnsi="Times New Roman" w:cs="Times New Roman"/>
                      <w:sz w:val="24"/>
                      <w:szCs w:val="24"/>
                    </w:rPr>
                    <w:t xml:space="preserve">2014 m. birželio 17 d. Komisijos reglamento (ES) Nr. 651/2014, kuriuo tam tikrų kategorijų pagalba skelbiama suderinama su vidaus rinka taikant Sutarties 107 ir 108 </w:t>
                  </w:r>
                  <w:r w:rsidR="00B47E0C" w:rsidRPr="00B47E0C">
                    <w:rPr>
                      <w:rFonts w:ascii="Times New Roman" w:hAnsi="Times New Roman" w:cs="Times New Roman"/>
                      <w:sz w:val="24"/>
                      <w:szCs w:val="24"/>
                    </w:rPr>
                    <w:lastRenderedPageBreak/>
                    <w:t>straipsnius (OL 2014 L 187, p. 1</w:t>
                  </w:r>
                  <w:r w:rsidR="0056606A">
                    <w:rPr>
                      <w:rFonts w:ascii="Times New Roman" w:hAnsi="Times New Roman" w:cs="Times New Roman"/>
                      <w:sz w:val="24"/>
                      <w:szCs w:val="24"/>
                    </w:rPr>
                    <w:t>-78</w:t>
                  </w:r>
                  <w:r w:rsidR="00B47E0C" w:rsidRPr="00B47E0C">
                    <w:rPr>
                      <w:rFonts w:ascii="Times New Roman" w:hAnsi="Times New Roman" w:cs="Times New Roman"/>
                      <w:sz w:val="24"/>
                      <w:szCs w:val="24"/>
                    </w:rPr>
                    <w:t>)</w:t>
                  </w:r>
                  <w:r w:rsidR="00B47E0C" w:rsidRPr="00B47E0C">
                    <w:rPr>
                      <w:rFonts w:ascii="Times New Roman" w:eastAsia="Times New Roman" w:hAnsi="Times New Roman" w:cs="Times New Roman"/>
                      <w:sz w:val="24"/>
                      <w:szCs w:val="24"/>
                    </w:rPr>
                    <w:t xml:space="preserve"> ir </w:t>
                  </w:r>
                  <w:r w:rsidR="00B47E0C" w:rsidRPr="00B47E0C">
                    <w:rPr>
                      <w:rFonts w:ascii="Times New Roman" w:hAnsi="Times New Roman" w:cs="Times New Roman"/>
                      <w:sz w:val="24"/>
                      <w:szCs w:val="24"/>
                    </w:rPr>
                    <w:t>2014 m. birželio 27 d. Europos Komisijos komunikato Nr. 2014/C 198/01 „Valstybės pagalbos moksliniams tyrimams, technologinei plėtrai ir inovacijoms sistema“</w:t>
                  </w:r>
                  <w:r w:rsidR="00B47E0C">
                    <w:rPr>
                      <w:rFonts w:ascii="Times New Roman" w:eastAsia="Times New Roman" w:hAnsi="Times New Roman" w:cs="Times New Roman"/>
                      <w:sz w:val="24"/>
                      <w:szCs w:val="24"/>
                    </w:rPr>
                    <w:t xml:space="preserve"> </w:t>
                  </w:r>
                  <w:r w:rsidRPr="00383DDF">
                    <w:rPr>
                      <w:rFonts w:ascii="Times New Roman" w:eastAsia="Times New Roman" w:hAnsi="Times New Roman" w:cs="Times New Roman"/>
                      <w:sz w:val="24"/>
                      <w:szCs w:val="24"/>
                    </w:rPr>
                    <w:t>nuostatoms.</w:t>
                  </w:r>
                </w:p>
              </w:tc>
              <w:tc>
                <w:tcPr>
                  <w:tcW w:w="1984" w:type="dxa"/>
                  <w:shd w:val="clear" w:color="auto" w:fill="auto"/>
                </w:tcPr>
                <w:p w14:paraId="731F7F55" w14:textId="77777777" w:rsidR="00655494" w:rsidRPr="00655494" w:rsidRDefault="009E73C5" w:rsidP="00655494">
                  <w:pPr>
                    <w:spacing w:after="0" w:line="240" w:lineRule="auto"/>
                    <w:jc w:val="center"/>
                    <w:rPr>
                      <w:rFonts w:ascii="Times New Roman" w:eastAsia="Calibri" w:hAnsi="Times New Roman" w:cs="Times New Roman"/>
                      <w:bCs/>
                      <w:sz w:val="24"/>
                      <w:szCs w:val="24"/>
                      <w:lang w:val="en-US"/>
                    </w:rPr>
                  </w:pPr>
                  <w:r w:rsidRPr="006A32AD">
                    <w:rPr>
                      <w:rFonts w:ascii="Times New Roman" w:eastAsia="Calibri" w:hAnsi="Times New Roman" w:cs="Times New Roman"/>
                      <w:bCs/>
                      <w:sz w:val="24"/>
                      <w:szCs w:val="24"/>
                      <w:lang w:val="en-US"/>
                    </w:rPr>
                    <w:lastRenderedPageBreak/>
                    <w:t>45</w:t>
                  </w:r>
                </w:p>
              </w:tc>
              <w:tc>
                <w:tcPr>
                  <w:tcW w:w="1701" w:type="dxa"/>
                  <w:shd w:val="clear" w:color="auto" w:fill="auto"/>
                </w:tcPr>
                <w:p w14:paraId="1A64E7F4" w14:textId="77777777"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2C2329B9" w14:textId="77777777"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14:paraId="564DD6ED" w14:textId="77777777" w:rsidTr="000265C2">
              <w:tc>
                <w:tcPr>
                  <w:tcW w:w="9277" w:type="dxa"/>
                  <w:gridSpan w:val="2"/>
                  <w:shd w:val="clear" w:color="auto" w:fill="auto"/>
                </w:tcPr>
                <w:p w14:paraId="30D1E94D" w14:textId="77777777" w:rsidR="00655494" w:rsidRPr="00655494" w:rsidRDefault="0065549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lastRenderedPageBreak/>
                    <w:t>Suma</w:t>
                  </w:r>
                  <w:r w:rsidRPr="00655494">
                    <w:rPr>
                      <w:rFonts w:ascii="Times New Roman" w:eastAsia="Calibri" w:hAnsi="Times New Roman" w:cs="Times New Roman"/>
                      <w:b/>
                      <w:bCs/>
                      <w:caps/>
                      <w:sz w:val="24"/>
                      <w:szCs w:val="24"/>
                    </w:rPr>
                    <w:t>:</w:t>
                  </w:r>
                </w:p>
              </w:tc>
              <w:tc>
                <w:tcPr>
                  <w:tcW w:w="1984" w:type="dxa"/>
                  <w:shd w:val="clear" w:color="auto" w:fill="auto"/>
                </w:tcPr>
                <w:p w14:paraId="7FF00895"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highlight w:val="yellow"/>
                    </w:rPr>
                  </w:pPr>
                  <w:r w:rsidRPr="00655494">
                    <w:rPr>
                      <w:rFonts w:ascii="Times New Roman" w:eastAsia="Calibri" w:hAnsi="Times New Roman" w:cs="Times New Roman"/>
                      <w:b/>
                      <w:bCs/>
                      <w:caps/>
                      <w:sz w:val="24"/>
                      <w:szCs w:val="24"/>
                    </w:rPr>
                    <w:t>100</w:t>
                  </w:r>
                </w:p>
              </w:tc>
              <w:tc>
                <w:tcPr>
                  <w:tcW w:w="1701" w:type="dxa"/>
                  <w:shd w:val="clear" w:color="auto" w:fill="auto"/>
                </w:tcPr>
                <w:p w14:paraId="368645A0" w14:textId="77777777" w:rsidR="00655494" w:rsidRPr="00655494" w:rsidRDefault="00655494" w:rsidP="00655494">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14:paraId="5829CA97"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14:paraId="612FFA52" w14:textId="77777777" w:rsidTr="000265C2">
              <w:tc>
                <w:tcPr>
                  <w:tcW w:w="9277" w:type="dxa"/>
                  <w:gridSpan w:val="2"/>
                  <w:shd w:val="clear" w:color="auto" w:fill="auto"/>
                </w:tcPr>
                <w:p w14:paraId="033B144C" w14:textId="77777777" w:rsidR="00655494" w:rsidRPr="00655494" w:rsidRDefault="0065549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14:paraId="0C86650E" w14:textId="77777777" w:rsidR="00655494" w:rsidRPr="00655494" w:rsidRDefault="000B5E53" w:rsidP="00655494">
                  <w:pPr>
                    <w:spacing w:after="0" w:line="240" w:lineRule="auto"/>
                    <w:jc w:val="center"/>
                    <w:rPr>
                      <w:rFonts w:ascii="Times New Roman" w:eastAsia="Calibri" w:hAnsi="Times New Roman" w:cs="Times New Roman"/>
                      <w:b/>
                      <w:bCs/>
                      <w:caps/>
                      <w:sz w:val="24"/>
                      <w:szCs w:val="24"/>
                      <w:highlight w:val="yellow"/>
                    </w:rPr>
                  </w:pPr>
                  <w:r>
                    <w:rPr>
                      <w:rFonts w:ascii="Times New Roman" w:eastAsia="Calibri" w:hAnsi="Times New Roman" w:cs="Times New Roman"/>
                      <w:b/>
                      <w:bCs/>
                      <w:caps/>
                      <w:sz w:val="24"/>
                      <w:szCs w:val="24"/>
                    </w:rPr>
                    <w:t>4</w:t>
                  </w:r>
                  <w:r w:rsidR="0078569C" w:rsidRPr="0078569C">
                    <w:rPr>
                      <w:rFonts w:ascii="Times New Roman" w:eastAsia="Calibri" w:hAnsi="Times New Roman" w:cs="Times New Roman"/>
                      <w:b/>
                      <w:bCs/>
                      <w:caps/>
                      <w:sz w:val="24"/>
                      <w:szCs w:val="24"/>
                    </w:rPr>
                    <w:t>1</w:t>
                  </w:r>
                </w:p>
              </w:tc>
              <w:tc>
                <w:tcPr>
                  <w:tcW w:w="1701" w:type="dxa"/>
                  <w:shd w:val="clear" w:color="auto" w:fill="auto"/>
                </w:tcPr>
                <w:p w14:paraId="1ADF7B78" w14:textId="77777777"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14:paraId="0A90699A"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bl>
          <w:p w14:paraId="08A2F4EC" w14:textId="77777777"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14:paraId="3D9FE763" w14:textId="77777777" w:rsidR="00DF1786" w:rsidRPr="00655494" w:rsidRDefault="00DF1786" w:rsidP="00655494">
      <w:pPr>
        <w:tabs>
          <w:tab w:val="left" w:pos="9639"/>
        </w:tabs>
        <w:spacing w:after="200" w:line="240" w:lineRule="auto"/>
        <w:ind w:left="426"/>
        <w:jc w:val="both"/>
        <w:rPr>
          <w:rFonts w:ascii="Times New Roman" w:eastAsia="Calibri" w:hAnsi="Times New Roman" w:cs="Times New Roman"/>
        </w:rPr>
      </w:pPr>
    </w:p>
    <w:p w14:paraId="3A7CA0F3" w14:textId="77777777" w:rsidR="00655494" w:rsidRPr="00655494" w:rsidRDefault="00655494" w:rsidP="00E03060">
      <w:pPr>
        <w:tabs>
          <w:tab w:val="left" w:pos="9639"/>
        </w:tabs>
        <w:spacing w:after="200" w:line="240" w:lineRule="auto"/>
        <w:jc w:val="both"/>
        <w:rPr>
          <w:rFonts w:ascii="Times New Roman" w:eastAsia="Calibri" w:hAnsi="Times New Roman" w:cs="Times New Roman"/>
        </w:rPr>
      </w:pPr>
      <w:r w:rsidRPr="00655494">
        <w:rPr>
          <w:rFonts w:ascii="Times New Roman" w:eastAsia="Calibri" w:hAnsi="Times New Roman" w:cs="Times New Roman"/>
        </w:rPr>
        <w:t xml:space="preserve">____________________________________         </w:t>
      </w:r>
      <w:r w:rsidR="00DF1786">
        <w:rPr>
          <w:rFonts w:ascii="Times New Roman" w:eastAsia="Calibri" w:hAnsi="Times New Roman" w:cs="Times New Roman"/>
        </w:rPr>
        <w:t xml:space="preserve">          </w:t>
      </w:r>
      <w:r w:rsidRPr="00655494">
        <w:rPr>
          <w:rFonts w:ascii="Times New Roman" w:eastAsia="Calibri" w:hAnsi="Times New Roman" w:cs="Times New Roman"/>
        </w:rPr>
        <w:t>______________________</w:t>
      </w:r>
      <w:r w:rsidRPr="00655494">
        <w:rPr>
          <w:rFonts w:ascii="Times New Roman" w:eastAsia="Calibri" w:hAnsi="Times New Roman" w:cs="Times New Roman"/>
        </w:rPr>
        <w:tab/>
        <w:t xml:space="preserve"> </w:t>
      </w:r>
      <w:r w:rsidR="00DF1786">
        <w:rPr>
          <w:rFonts w:ascii="Times New Roman" w:eastAsia="Calibri" w:hAnsi="Times New Roman" w:cs="Times New Roman"/>
        </w:rPr>
        <w:t xml:space="preserve">  </w:t>
      </w:r>
      <w:r w:rsidRPr="00655494">
        <w:rPr>
          <w:rFonts w:ascii="Times New Roman" w:eastAsia="Calibri" w:hAnsi="Times New Roman" w:cs="Times New Roman"/>
        </w:rPr>
        <w:t>___________________________</w:t>
      </w:r>
    </w:p>
    <w:p w14:paraId="5A3757E7" w14:textId="77777777" w:rsidR="00655494" w:rsidRPr="00E03060" w:rsidRDefault="00655494" w:rsidP="00E03060">
      <w:pPr>
        <w:tabs>
          <w:tab w:val="center" w:pos="10800"/>
        </w:tabs>
        <w:spacing w:after="0" w:line="240" w:lineRule="auto"/>
        <w:ind w:left="426" w:hanging="426"/>
        <w:jc w:val="both"/>
        <w:rPr>
          <w:rFonts w:ascii="Times New Roman" w:eastAsia="Calibri" w:hAnsi="Times New Roman" w:cs="Times New Roman"/>
          <w:sz w:val="18"/>
          <w:szCs w:val="18"/>
        </w:rPr>
      </w:pPr>
      <w:r w:rsidRPr="00E03060">
        <w:rPr>
          <w:rFonts w:ascii="Times New Roman" w:eastAsia="Calibri" w:hAnsi="Times New Roman" w:cs="Times New Roman"/>
          <w:sz w:val="18"/>
          <w:szCs w:val="18"/>
        </w:rPr>
        <w:t xml:space="preserve">(paraiškos vertinimą atlikusios institucijos atsakingo </w:t>
      </w:r>
    </w:p>
    <w:p w14:paraId="183419A7" w14:textId="77777777" w:rsidR="00A9102F" w:rsidRPr="00E03060" w:rsidRDefault="00655494" w:rsidP="00655494">
      <w:pPr>
        <w:rPr>
          <w:sz w:val="18"/>
          <w:szCs w:val="18"/>
        </w:rPr>
      </w:pPr>
      <w:r w:rsidRPr="00E03060">
        <w:rPr>
          <w:rFonts w:ascii="Times New Roman" w:eastAsia="Calibri" w:hAnsi="Times New Roman" w:cs="Times New Roman"/>
          <w:sz w:val="18"/>
          <w:szCs w:val="18"/>
        </w:rPr>
        <w:t xml:space="preserve">asmens pareigų pavadinimas)                                                                          </w:t>
      </w:r>
      <w:r w:rsidR="00DF1786">
        <w:rPr>
          <w:rFonts w:ascii="Times New Roman" w:eastAsia="Calibri" w:hAnsi="Times New Roman" w:cs="Times New Roman"/>
          <w:sz w:val="18"/>
          <w:szCs w:val="18"/>
        </w:rPr>
        <w:t xml:space="preserve">      </w:t>
      </w:r>
      <w:r w:rsidRPr="00E03060">
        <w:rPr>
          <w:rFonts w:ascii="Times New Roman" w:eastAsia="Calibri" w:hAnsi="Times New Roman" w:cs="Times New Roman"/>
          <w:sz w:val="18"/>
          <w:szCs w:val="18"/>
        </w:rPr>
        <w:t xml:space="preserve">   </w:t>
      </w:r>
      <w:r w:rsidR="00DF1786">
        <w:rPr>
          <w:rFonts w:ascii="Times New Roman" w:eastAsia="Calibri" w:hAnsi="Times New Roman" w:cs="Times New Roman"/>
          <w:sz w:val="18"/>
          <w:szCs w:val="18"/>
        </w:rPr>
        <w:t xml:space="preserve"> </w:t>
      </w:r>
      <w:r w:rsidRPr="00E03060">
        <w:rPr>
          <w:rFonts w:ascii="Times New Roman" w:eastAsia="Calibri" w:hAnsi="Times New Roman" w:cs="Times New Roman"/>
          <w:sz w:val="18"/>
          <w:szCs w:val="18"/>
        </w:rPr>
        <w:t xml:space="preserve"> (data) </w:t>
      </w:r>
      <w:r w:rsidRPr="00E03060">
        <w:rPr>
          <w:rFonts w:ascii="Times New Roman" w:eastAsia="Calibri" w:hAnsi="Times New Roman" w:cs="Times New Roman"/>
          <w:sz w:val="18"/>
          <w:szCs w:val="18"/>
        </w:rPr>
        <w:tab/>
        <w:t xml:space="preserve">                    </w:t>
      </w:r>
      <w:r w:rsidR="00DF1786" w:rsidRPr="00E03060">
        <w:rPr>
          <w:rFonts w:ascii="Times New Roman" w:eastAsia="Calibri" w:hAnsi="Times New Roman" w:cs="Times New Roman"/>
          <w:sz w:val="18"/>
          <w:szCs w:val="18"/>
        </w:rPr>
        <w:t xml:space="preserve">       </w:t>
      </w:r>
      <w:r w:rsidRPr="00E03060">
        <w:rPr>
          <w:rFonts w:ascii="Times New Roman" w:eastAsia="Calibri" w:hAnsi="Times New Roman" w:cs="Times New Roman"/>
          <w:sz w:val="18"/>
          <w:szCs w:val="18"/>
        </w:rPr>
        <w:t xml:space="preserve"> </w:t>
      </w:r>
      <w:r w:rsidR="00DF1786" w:rsidRPr="00E03060">
        <w:rPr>
          <w:rFonts w:ascii="Times New Roman" w:eastAsia="Calibri" w:hAnsi="Times New Roman" w:cs="Times New Roman"/>
          <w:sz w:val="18"/>
          <w:szCs w:val="18"/>
        </w:rPr>
        <w:t xml:space="preserve"> </w:t>
      </w:r>
      <w:r w:rsidR="00DF1786">
        <w:rPr>
          <w:rFonts w:ascii="Times New Roman" w:eastAsia="Calibri" w:hAnsi="Times New Roman" w:cs="Times New Roman"/>
          <w:sz w:val="18"/>
          <w:szCs w:val="18"/>
        </w:rPr>
        <w:t xml:space="preserve">                                 </w:t>
      </w:r>
      <w:r w:rsidR="00DF1786" w:rsidRPr="00E03060">
        <w:rPr>
          <w:rFonts w:ascii="Times New Roman" w:eastAsia="Calibri" w:hAnsi="Times New Roman" w:cs="Times New Roman"/>
          <w:sz w:val="18"/>
          <w:szCs w:val="18"/>
        </w:rPr>
        <w:t xml:space="preserve">  </w:t>
      </w:r>
      <w:r w:rsidRPr="00E03060">
        <w:rPr>
          <w:rFonts w:ascii="Times New Roman" w:eastAsia="Calibri" w:hAnsi="Times New Roman" w:cs="Times New Roman"/>
          <w:sz w:val="18"/>
          <w:szCs w:val="18"/>
        </w:rPr>
        <w:t>(vardas ir pavardė, parašas, jei pildoma popierinė versija)</w:t>
      </w:r>
    </w:p>
    <w:sectPr w:rsidR="00A9102F" w:rsidRPr="00E03060" w:rsidSect="0065549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6FF6"/>
    <w:multiLevelType w:val="hybridMultilevel"/>
    <w:tmpl w:val="FBE8A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510EBC"/>
    <w:multiLevelType w:val="hybridMultilevel"/>
    <w:tmpl w:val="016CF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715518"/>
    <w:multiLevelType w:val="hybridMultilevel"/>
    <w:tmpl w:val="761CB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813BF"/>
    <w:multiLevelType w:val="hybridMultilevel"/>
    <w:tmpl w:val="837C9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334E9D"/>
    <w:multiLevelType w:val="hybridMultilevel"/>
    <w:tmpl w:val="3FF06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E90839"/>
    <w:multiLevelType w:val="hybridMultilevel"/>
    <w:tmpl w:val="52F605B8"/>
    <w:lvl w:ilvl="0" w:tplc="223EEDFA">
      <w:start w:val="1"/>
      <w:numFmt w:val="decimal"/>
      <w:lvlText w:val="%1)"/>
      <w:lvlJc w:val="left"/>
      <w:pPr>
        <w:ind w:left="711" w:hanging="360"/>
      </w:pPr>
      <w:rPr>
        <w:rFonts w:hint="default"/>
        <w:color w:val="000000"/>
      </w:rPr>
    </w:lvl>
    <w:lvl w:ilvl="1" w:tplc="04270019" w:tentative="1">
      <w:start w:val="1"/>
      <w:numFmt w:val="lowerLetter"/>
      <w:lvlText w:val="%2."/>
      <w:lvlJc w:val="left"/>
      <w:pPr>
        <w:ind w:left="1431" w:hanging="360"/>
      </w:pPr>
    </w:lvl>
    <w:lvl w:ilvl="2" w:tplc="0427001B" w:tentative="1">
      <w:start w:val="1"/>
      <w:numFmt w:val="lowerRoman"/>
      <w:lvlText w:val="%3."/>
      <w:lvlJc w:val="right"/>
      <w:pPr>
        <w:ind w:left="2151" w:hanging="180"/>
      </w:pPr>
    </w:lvl>
    <w:lvl w:ilvl="3" w:tplc="0427000F" w:tentative="1">
      <w:start w:val="1"/>
      <w:numFmt w:val="decimal"/>
      <w:lvlText w:val="%4."/>
      <w:lvlJc w:val="left"/>
      <w:pPr>
        <w:ind w:left="2871" w:hanging="360"/>
      </w:pPr>
    </w:lvl>
    <w:lvl w:ilvl="4" w:tplc="04270019" w:tentative="1">
      <w:start w:val="1"/>
      <w:numFmt w:val="lowerLetter"/>
      <w:lvlText w:val="%5."/>
      <w:lvlJc w:val="left"/>
      <w:pPr>
        <w:ind w:left="3591" w:hanging="360"/>
      </w:pPr>
    </w:lvl>
    <w:lvl w:ilvl="5" w:tplc="0427001B" w:tentative="1">
      <w:start w:val="1"/>
      <w:numFmt w:val="lowerRoman"/>
      <w:lvlText w:val="%6."/>
      <w:lvlJc w:val="right"/>
      <w:pPr>
        <w:ind w:left="4311" w:hanging="180"/>
      </w:pPr>
    </w:lvl>
    <w:lvl w:ilvl="6" w:tplc="0427000F" w:tentative="1">
      <w:start w:val="1"/>
      <w:numFmt w:val="decimal"/>
      <w:lvlText w:val="%7."/>
      <w:lvlJc w:val="left"/>
      <w:pPr>
        <w:ind w:left="5031" w:hanging="360"/>
      </w:pPr>
    </w:lvl>
    <w:lvl w:ilvl="7" w:tplc="04270019" w:tentative="1">
      <w:start w:val="1"/>
      <w:numFmt w:val="lowerLetter"/>
      <w:lvlText w:val="%8."/>
      <w:lvlJc w:val="left"/>
      <w:pPr>
        <w:ind w:left="5751" w:hanging="360"/>
      </w:pPr>
    </w:lvl>
    <w:lvl w:ilvl="8" w:tplc="0427001B" w:tentative="1">
      <w:start w:val="1"/>
      <w:numFmt w:val="lowerRoman"/>
      <w:lvlText w:val="%9."/>
      <w:lvlJc w:val="right"/>
      <w:pPr>
        <w:ind w:left="6471" w:hanging="180"/>
      </w:pPr>
    </w:lvl>
  </w:abstractNum>
  <w:abstractNum w:abstractNumId="7" w15:restartNumberingAfterBreak="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E33486"/>
    <w:multiLevelType w:val="hybridMultilevel"/>
    <w:tmpl w:val="596E6BD0"/>
    <w:lvl w:ilvl="0" w:tplc="04270001">
      <w:start w:val="1"/>
      <w:numFmt w:val="bullet"/>
      <w:lvlText w:val=""/>
      <w:lvlJc w:val="left"/>
      <w:pPr>
        <w:ind w:left="1071" w:hanging="360"/>
      </w:pPr>
      <w:rPr>
        <w:rFonts w:ascii="Symbol" w:hAnsi="Symbol" w:hint="default"/>
      </w:rPr>
    </w:lvl>
    <w:lvl w:ilvl="1" w:tplc="04270003" w:tentative="1">
      <w:start w:val="1"/>
      <w:numFmt w:val="bullet"/>
      <w:lvlText w:val="o"/>
      <w:lvlJc w:val="left"/>
      <w:pPr>
        <w:ind w:left="1791" w:hanging="360"/>
      </w:pPr>
      <w:rPr>
        <w:rFonts w:ascii="Courier New" w:hAnsi="Courier New" w:cs="Courier New" w:hint="default"/>
      </w:rPr>
    </w:lvl>
    <w:lvl w:ilvl="2" w:tplc="04270005" w:tentative="1">
      <w:start w:val="1"/>
      <w:numFmt w:val="bullet"/>
      <w:lvlText w:val=""/>
      <w:lvlJc w:val="left"/>
      <w:pPr>
        <w:ind w:left="2511" w:hanging="360"/>
      </w:pPr>
      <w:rPr>
        <w:rFonts w:ascii="Wingdings" w:hAnsi="Wingdings" w:hint="default"/>
      </w:rPr>
    </w:lvl>
    <w:lvl w:ilvl="3" w:tplc="04270001" w:tentative="1">
      <w:start w:val="1"/>
      <w:numFmt w:val="bullet"/>
      <w:lvlText w:val=""/>
      <w:lvlJc w:val="left"/>
      <w:pPr>
        <w:ind w:left="3231" w:hanging="360"/>
      </w:pPr>
      <w:rPr>
        <w:rFonts w:ascii="Symbol" w:hAnsi="Symbol" w:hint="default"/>
      </w:rPr>
    </w:lvl>
    <w:lvl w:ilvl="4" w:tplc="04270003" w:tentative="1">
      <w:start w:val="1"/>
      <w:numFmt w:val="bullet"/>
      <w:lvlText w:val="o"/>
      <w:lvlJc w:val="left"/>
      <w:pPr>
        <w:ind w:left="3951" w:hanging="360"/>
      </w:pPr>
      <w:rPr>
        <w:rFonts w:ascii="Courier New" w:hAnsi="Courier New" w:cs="Courier New" w:hint="default"/>
      </w:rPr>
    </w:lvl>
    <w:lvl w:ilvl="5" w:tplc="04270005" w:tentative="1">
      <w:start w:val="1"/>
      <w:numFmt w:val="bullet"/>
      <w:lvlText w:val=""/>
      <w:lvlJc w:val="left"/>
      <w:pPr>
        <w:ind w:left="4671" w:hanging="360"/>
      </w:pPr>
      <w:rPr>
        <w:rFonts w:ascii="Wingdings" w:hAnsi="Wingdings" w:hint="default"/>
      </w:rPr>
    </w:lvl>
    <w:lvl w:ilvl="6" w:tplc="04270001" w:tentative="1">
      <w:start w:val="1"/>
      <w:numFmt w:val="bullet"/>
      <w:lvlText w:val=""/>
      <w:lvlJc w:val="left"/>
      <w:pPr>
        <w:ind w:left="5391" w:hanging="360"/>
      </w:pPr>
      <w:rPr>
        <w:rFonts w:ascii="Symbol" w:hAnsi="Symbol" w:hint="default"/>
      </w:rPr>
    </w:lvl>
    <w:lvl w:ilvl="7" w:tplc="04270003" w:tentative="1">
      <w:start w:val="1"/>
      <w:numFmt w:val="bullet"/>
      <w:lvlText w:val="o"/>
      <w:lvlJc w:val="left"/>
      <w:pPr>
        <w:ind w:left="6111" w:hanging="360"/>
      </w:pPr>
      <w:rPr>
        <w:rFonts w:ascii="Courier New" w:hAnsi="Courier New" w:cs="Courier New" w:hint="default"/>
      </w:rPr>
    </w:lvl>
    <w:lvl w:ilvl="8" w:tplc="04270005" w:tentative="1">
      <w:start w:val="1"/>
      <w:numFmt w:val="bullet"/>
      <w:lvlText w:val=""/>
      <w:lvlJc w:val="left"/>
      <w:pPr>
        <w:ind w:left="6831" w:hanging="360"/>
      </w:pPr>
      <w:rPr>
        <w:rFonts w:ascii="Wingdings" w:hAnsi="Wingdings" w:hint="default"/>
      </w:rPr>
    </w:lvl>
  </w:abstractNum>
  <w:abstractNum w:abstractNumId="9"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0"/>
  </w:num>
  <w:num w:numId="6">
    <w:abstractNumId w:val="5"/>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041796"/>
    <w:rsid w:val="00041E87"/>
    <w:rsid w:val="00045D53"/>
    <w:rsid w:val="00066C29"/>
    <w:rsid w:val="000B5E53"/>
    <w:rsid w:val="000E03BF"/>
    <w:rsid w:val="000F6EAB"/>
    <w:rsid w:val="001055FC"/>
    <w:rsid w:val="0011529F"/>
    <w:rsid w:val="00136E88"/>
    <w:rsid w:val="001410BF"/>
    <w:rsid w:val="00160C93"/>
    <w:rsid w:val="00164AE7"/>
    <w:rsid w:val="00165001"/>
    <w:rsid w:val="00183643"/>
    <w:rsid w:val="00191964"/>
    <w:rsid w:val="001A5C13"/>
    <w:rsid w:val="001A71EA"/>
    <w:rsid w:val="001C7D8A"/>
    <w:rsid w:val="0020305D"/>
    <w:rsid w:val="002041AF"/>
    <w:rsid w:val="0023656C"/>
    <w:rsid w:val="00243FB0"/>
    <w:rsid w:val="00244D10"/>
    <w:rsid w:val="00275886"/>
    <w:rsid w:val="002B7A6F"/>
    <w:rsid w:val="002C003F"/>
    <w:rsid w:val="002C6DC5"/>
    <w:rsid w:val="002D1B6C"/>
    <w:rsid w:val="002E15EC"/>
    <w:rsid w:val="003132BA"/>
    <w:rsid w:val="003167A3"/>
    <w:rsid w:val="00331727"/>
    <w:rsid w:val="00352CC3"/>
    <w:rsid w:val="00352FE4"/>
    <w:rsid w:val="00365F0D"/>
    <w:rsid w:val="00383C66"/>
    <w:rsid w:val="00383DDF"/>
    <w:rsid w:val="00385ADC"/>
    <w:rsid w:val="003B782C"/>
    <w:rsid w:val="003C63FD"/>
    <w:rsid w:val="003C69E8"/>
    <w:rsid w:val="003D0D09"/>
    <w:rsid w:val="003D5AE0"/>
    <w:rsid w:val="003E61C7"/>
    <w:rsid w:val="00403719"/>
    <w:rsid w:val="004173A1"/>
    <w:rsid w:val="004322B2"/>
    <w:rsid w:val="004708E0"/>
    <w:rsid w:val="00484138"/>
    <w:rsid w:val="004971E8"/>
    <w:rsid w:val="004A6B74"/>
    <w:rsid w:val="004D6160"/>
    <w:rsid w:val="004D6B4D"/>
    <w:rsid w:val="004E1BA5"/>
    <w:rsid w:val="004F686F"/>
    <w:rsid w:val="00503233"/>
    <w:rsid w:val="0054697B"/>
    <w:rsid w:val="00556949"/>
    <w:rsid w:val="0056606A"/>
    <w:rsid w:val="005909D1"/>
    <w:rsid w:val="0059693C"/>
    <w:rsid w:val="005B1DD4"/>
    <w:rsid w:val="005B36D6"/>
    <w:rsid w:val="005C3D84"/>
    <w:rsid w:val="005F6895"/>
    <w:rsid w:val="00605A8E"/>
    <w:rsid w:val="00655494"/>
    <w:rsid w:val="00684CFE"/>
    <w:rsid w:val="00690493"/>
    <w:rsid w:val="006A32AD"/>
    <w:rsid w:val="006C7CA2"/>
    <w:rsid w:val="006D02FB"/>
    <w:rsid w:val="006E0837"/>
    <w:rsid w:val="006E0AD9"/>
    <w:rsid w:val="006E3E19"/>
    <w:rsid w:val="00726872"/>
    <w:rsid w:val="00736174"/>
    <w:rsid w:val="00767218"/>
    <w:rsid w:val="00775DEE"/>
    <w:rsid w:val="0078569C"/>
    <w:rsid w:val="00792A3F"/>
    <w:rsid w:val="007B143D"/>
    <w:rsid w:val="007C1463"/>
    <w:rsid w:val="007D1DA9"/>
    <w:rsid w:val="007F50FC"/>
    <w:rsid w:val="008014C3"/>
    <w:rsid w:val="008324F9"/>
    <w:rsid w:val="00841AA9"/>
    <w:rsid w:val="0086054A"/>
    <w:rsid w:val="008B371B"/>
    <w:rsid w:val="00901FB7"/>
    <w:rsid w:val="009201EE"/>
    <w:rsid w:val="00973A93"/>
    <w:rsid w:val="009857E6"/>
    <w:rsid w:val="009E73C5"/>
    <w:rsid w:val="009F5788"/>
    <w:rsid w:val="00A53558"/>
    <w:rsid w:val="00A74EC3"/>
    <w:rsid w:val="00A9102F"/>
    <w:rsid w:val="00AC1F8D"/>
    <w:rsid w:val="00AF6C9C"/>
    <w:rsid w:val="00B00334"/>
    <w:rsid w:val="00B37AEB"/>
    <w:rsid w:val="00B47E0C"/>
    <w:rsid w:val="00B50B80"/>
    <w:rsid w:val="00B65DB8"/>
    <w:rsid w:val="00B707A4"/>
    <w:rsid w:val="00BB1CBE"/>
    <w:rsid w:val="00BF00DB"/>
    <w:rsid w:val="00C14DC1"/>
    <w:rsid w:val="00C242A6"/>
    <w:rsid w:val="00C30E56"/>
    <w:rsid w:val="00C50A0B"/>
    <w:rsid w:val="00C60F01"/>
    <w:rsid w:val="00C65B89"/>
    <w:rsid w:val="00C839B5"/>
    <w:rsid w:val="00C879A8"/>
    <w:rsid w:val="00CF3904"/>
    <w:rsid w:val="00D05767"/>
    <w:rsid w:val="00D110AD"/>
    <w:rsid w:val="00D1659E"/>
    <w:rsid w:val="00D53ECE"/>
    <w:rsid w:val="00D91FC7"/>
    <w:rsid w:val="00DF1786"/>
    <w:rsid w:val="00E03060"/>
    <w:rsid w:val="00E22025"/>
    <w:rsid w:val="00E227C0"/>
    <w:rsid w:val="00E50EF7"/>
    <w:rsid w:val="00E751E9"/>
    <w:rsid w:val="00EC72F2"/>
    <w:rsid w:val="00ED4327"/>
    <w:rsid w:val="00EE356E"/>
    <w:rsid w:val="00EF5FCC"/>
    <w:rsid w:val="00F02E4D"/>
    <w:rsid w:val="00F23FD3"/>
    <w:rsid w:val="00F25F7A"/>
    <w:rsid w:val="00F27F90"/>
    <w:rsid w:val="00F4079F"/>
    <w:rsid w:val="00F67492"/>
    <w:rsid w:val="00F75826"/>
    <w:rsid w:val="00F81731"/>
    <w:rsid w:val="00F96302"/>
    <w:rsid w:val="00FA7AA7"/>
    <w:rsid w:val="00FB2B70"/>
    <w:rsid w:val="00FC1B3D"/>
    <w:rsid w:val="00FC1B4B"/>
    <w:rsid w:val="00FD27FC"/>
    <w:rsid w:val="00FF4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0C57"/>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 w:type="character" w:styleId="Hipersaitas">
    <w:name w:val="Hyperlink"/>
    <w:basedOn w:val="Numatytasispastraiposriftas"/>
    <w:uiPriority w:val="99"/>
    <w:unhideWhenUsed/>
    <w:rsid w:val="00041796"/>
    <w:rPr>
      <w:color w:val="0563C1" w:themeColor="hyperlink"/>
      <w:u w:val="single"/>
    </w:rPr>
  </w:style>
  <w:style w:type="paragraph" w:styleId="Pataisymai">
    <w:name w:val="Revision"/>
    <w:hidden/>
    <w:uiPriority w:val="99"/>
    <w:semiHidden/>
    <w:rsid w:val="00D16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kslas.lmt.lt/institucij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1516-F84A-4FB0-AEE9-4012E3BB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6267</Words>
  <Characters>3573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8</cp:revision>
  <cp:lastPrinted>2018-05-16T13:02:00Z</cp:lastPrinted>
  <dcterms:created xsi:type="dcterms:W3CDTF">2018-10-02T07:59:00Z</dcterms:created>
  <dcterms:modified xsi:type="dcterms:W3CDTF">2018-10-15T08:26:00Z</dcterms:modified>
</cp:coreProperties>
</file>