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69" w:rsidRPr="009448F5" w:rsidRDefault="00D800E1" w:rsidP="00776B3B">
      <w:pPr>
        <w:spacing w:after="0" w:line="240" w:lineRule="auto"/>
        <w:jc w:val="center"/>
        <w:rPr>
          <w:rFonts w:ascii="Times New Roman" w:hAnsi="Times New Roman" w:cs="Times New Roman"/>
          <w:b/>
          <w:sz w:val="24"/>
          <w:szCs w:val="24"/>
        </w:rPr>
      </w:pPr>
      <w:r w:rsidRPr="009448F5">
        <w:rPr>
          <w:rFonts w:ascii="Times New Roman" w:hAnsi="Times New Roman" w:cs="Times New Roman"/>
          <w:b/>
          <w:sz w:val="24"/>
          <w:szCs w:val="24"/>
        </w:rPr>
        <w:t xml:space="preserve">2014–2020 metų Europos Sąjungos fondų investicijų veiksmų programos </w:t>
      </w:r>
      <w:r w:rsidR="00F96B46" w:rsidRPr="009448F5">
        <w:rPr>
          <w:rFonts w:ascii="Times New Roman" w:hAnsi="Times New Roman" w:cs="Times New Roman"/>
          <w:b/>
          <w:sz w:val="24"/>
          <w:szCs w:val="24"/>
        </w:rPr>
        <w:t>1</w:t>
      </w:r>
      <w:r w:rsidRPr="009448F5">
        <w:rPr>
          <w:rFonts w:ascii="Times New Roman" w:hAnsi="Times New Roman" w:cs="Times New Roman"/>
          <w:b/>
          <w:sz w:val="24"/>
          <w:szCs w:val="24"/>
        </w:rPr>
        <w:t xml:space="preserve"> prioriteto „</w:t>
      </w:r>
      <w:r w:rsidR="00F96B46" w:rsidRPr="009448F5">
        <w:rPr>
          <w:rFonts w:ascii="Times New Roman" w:hAnsi="Times New Roman" w:cs="Times New Roman"/>
          <w:b/>
          <w:sz w:val="24"/>
          <w:szCs w:val="24"/>
        </w:rPr>
        <w:t xml:space="preserve">Mokslinių tyrimų, eksperimentinės plėtros ir inovacijų skatinimas“ priemonės Nr. J05-LVPA-K „Intelektas. Bendri mokslo–verslo projektai“ </w:t>
      </w:r>
      <w:r w:rsidRPr="009448F5">
        <w:rPr>
          <w:rFonts w:ascii="Times New Roman" w:hAnsi="Times New Roman" w:cs="Times New Roman"/>
          <w:b/>
          <w:sz w:val="24"/>
          <w:szCs w:val="24"/>
        </w:rPr>
        <w:t>projektų finansavimo są</w:t>
      </w:r>
      <w:r w:rsidR="00F93045" w:rsidRPr="009448F5">
        <w:rPr>
          <w:rFonts w:ascii="Times New Roman" w:hAnsi="Times New Roman" w:cs="Times New Roman"/>
          <w:b/>
          <w:sz w:val="24"/>
          <w:szCs w:val="24"/>
        </w:rPr>
        <w:t>lygų aprašo Nr. 1</w:t>
      </w:r>
      <w:r w:rsidR="005A6808" w:rsidRPr="009448F5">
        <w:rPr>
          <w:rFonts w:ascii="Times New Roman" w:hAnsi="Times New Roman" w:cs="Times New Roman"/>
          <w:b/>
          <w:sz w:val="24"/>
          <w:szCs w:val="24"/>
        </w:rPr>
        <w:t xml:space="preserve"> (toliau – Aprašas)</w:t>
      </w:r>
      <w:r w:rsidR="00F93045" w:rsidRPr="009448F5">
        <w:rPr>
          <w:rFonts w:ascii="Times New Roman" w:hAnsi="Times New Roman" w:cs="Times New Roman"/>
          <w:b/>
          <w:sz w:val="24"/>
          <w:szCs w:val="24"/>
        </w:rPr>
        <w:t xml:space="preserve"> projekto pastabų derinimo lentelė</w:t>
      </w:r>
    </w:p>
    <w:p w:rsidR="00F93045" w:rsidRPr="009448F5" w:rsidRDefault="00F93045" w:rsidP="00776B3B">
      <w:pPr>
        <w:spacing w:after="0" w:line="240" w:lineRule="auto"/>
        <w:jc w:val="both"/>
        <w:rPr>
          <w:rFonts w:ascii="Times New Roman" w:hAnsi="Times New Roman" w:cs="Times New Roman"/>
          <w:b/>
          <w:sz w:val="24"/>
          <w:szCs w:val="24"/>
        </w:rPr>
      </w:pPr>
    </w:p>
    <w:tbl>
      <w:tblPr>
        <w:tblStyle w:val="TableGrid"/>
        <w:tblpPr w:leftFromText="180" w:rightFromText="180" w:vertAnchor="text" w:horzAnchor="margin" w:tblpY="94"/>
        <w:tblW w:w="0" w:type="auto"/>
        <w:tblLook w:val="04A0" w:firstRow="1" w:lastRow="0" w:firstColumn="1" w:lastColumn="0" w:noHBand="0" w:noVBand="1"/>
      </w:tblPr>
      <w:tblGrid>
        <w:gridCol w:w="665"/>
        <w:gridCol w:w="1790"/>
        <w:gridCol w:w="6432"/>
        <w:gridCol w:w="1583"/>
        <w:gridCol w:w="4883"/>
      </w:tblGrid>
      <w:tr w:rsidR="00DB0F69" w:rsidRPr="009448F5" w:rsidTr="00E974B2">
        <w:trPr>
          <w:trHeight w:val="550"/>
        </w:trPr>
        <w:tc>
          <w:tcPr>
            <w:tcW w:w="665" w:type="dxa"/>
          </w:tcPr>
          <w:p w:rsidR="00DB0F69" w:rsidRPr="009448F5" w:rsidRDefault="00DB0F69" w:rsidP="00776B3B">
            <w:pPr>
              <w:rPr>
                <w:rFonts w:ascii="Times New Roman" w:hAnsi="Times New Roman" w:cs="Times New Roman"/>
                <w:sz w:val="24"/>
                <w:szCs w:val="24"/>
              </w:rPr>
            </w:pPr>
            <w:r w:rsidRPr="009448F5">
              <w:rPr>
                <w:rFonts w:ascii="Times New Roman" w:hAnsi="Times New Roman" w:cs="Times New Roman"/>
                <w:sz w:val="24"/>
                <w:szCs w:val="24"/>
              </w:rPr>
              <w:t>Eil. Nr.</w:t>
            </w:r>
          </w:p>
        </w:tc>
        <w:tc>
          <w:tcPr>
            <w:tcW w:w="1790" w:type="dxa"/>
          </w:tcPr>
          <w:p w:rsidR="00DB0F69" w:rsidRPr="009448F5" w:rsidRDefault="00DB0F69" w:rsidP="00776B3B">
            <w:pPr>
              <w:rPr>
                <w:rFonts w:ascii="Times New Roman" w:hAnsi="Times New Roman" w:cs="Times New Roman"/>
                <w:sz w:val="24"/>
                <w:szCs w:val="24"/>
              </w:rPr>
            </w:pPr>
            <w:r w:rsidRPr="009448F5">
              <w:rPr>
                <w:rFonts w:ascii="Times New Roman" w:hAnsi="Times New Roman" w:cs="Times New Roman"/>
                <w:sz w:val="24"/>
                <w:szCs w:val="24"/>
              </w:rPr>
              <w:t>Juridinis arba fizinis asmuo</w:t>
            </w:r>
          </w:p>
        </w:tc>
        <w:tc>
          <w:tcPr>
            <w:tcW w:w="6432" w:type="dxa"/>
          </w:tcPr>
          <w:p w:rsidR="00DB0F69" w:rsidRPr="009448F5" w:rsidRDefault="00DB0F69" w:rsidP="00776B3B">
            <w:pPr>
              <w:rPr>
                <w:rFonts w:ascii="Times New Roman" w:hAnsi="Times New Roman" w:cs="Times New Roman"/>
                <w:sz w:val="24"/>
                <w:szCs w:val="24"/>
              </w:rPr>
            </w:pPr>
            <w:r w:rsidRPr="009448F5">
              <w:rPr>
                <w:rFonts w:ascii="Times New Roman" w:hAnsi="Times New Roman" w:cs="Times New Roman"/>
                <w:sz w:val="24"/>
                <w:szCs w:val="24"/>
              </w:rPr>
              <w:t xml:space="preserve">Pastabos </w:t>
            </w:r>
          </w:p>
        </w:tc>
        <w:tc>
          <w:tcPr>
            <w:tcW w:w="1583" w:type="dxa"/>
          </w:tcPr>
          <w:p w:rsidR="00DB0F69" w:rsidRPr="009448F5" w:rsidRDefault="00DB0F69" w:rsidP="00776B3B">
            <w:pPr>
              <w:rPr>
                <w:rFonts w:ascii="Times New Roman" w:hAnsi="Times New Roman" w:cs="Times New Roman"/>
                <w:sz w:val="24"/>
                <w:szCs w:val="24"/>
              </w:rPr>
            </w:pPr>
            <w:r w:rsidRPr="009448F5">
              <w:rPr>
                <w:rFonts w:ascii="Times New Roman" w:hAnsi="Times New Roman" w:cs="Times New Roman"/>
                <w:sz w:val="24"/>
                <w:szCs w:val="24"/>
              </w:rPr>
              <w:t>ŪM pozicija</w:t>
            </w:r>
          </w:p>
        </w:tc>
        <w:tc>
          <w:tcPr>
            <w:tcW w:w="4883" w:type="dxa"/>
          </w:tcPr>
          <w:p w:rsidR="00DB0F69" w:rsidRPr="009448F5" w:rsidRDefault="00DB0F69" w:rsidP="00776B3B">
            <w:pPr>
              <w:rPr>
                <w:rFonts w:ascii="Times New Roman" w:hAnsi="Times New Roman" w:cs="Times New Roman"/>
                <w:sz w:val="24"/>
                <w:szCs w:val="24"/>
              </w:rPr>
            </w:pPr>
            <w:r w:rsidRPr="009448F5">
              <w:rPr>
                <w:rFonts w:ascii="Times New Roman" w:hAnsi="Times New Roman" w:cs="Times New Roman"/>
                <w:sz w:val="24"/>
                <w:szCs w:val="24"/>
              </w:rPr>
              <w:t>ŪM argumentai</w:t>
            </w:r>
          </w:p>
        </w:tc>
      </w:tr>
      <w:tr w:rsidR="00FC00E8" w:rsidRPr="009448F5" w:rsidTr="00E974B2">
        <w:trPr>
          <w:trHeight w:val="269"/>
        </w:trPr>
        <w:tc>
          <w:tcPr>
            <w:tcW w:w="665" w:type="dxa"/>
            <w:vMerge w:val="restart"/>
          </w:tcPr>
          <w:p w:rsidR="00FC00E8" w:rsidRPr="009448F5" w:rsidRDefault="00FC00E8" w:rsidP="00776B3B">
            <w:pPr>
              <w:pStyle w:val="ListParagraph"/>
              <w:numPr>
                <w:ilvl w:val="0"/>
                <w:numId w:val="3"/>
              </w:numPr>
              <w:ind w:left="284" w:hanging="284"/>
              <w:rPr>
                <w:rFonts w:ascii="Times New Roman" w:hAnsi="Times New Roman" w:cs="Times New Roman"/>
                <w:sz w:val="24"/>
                <w:szCs w:val="24"/>
              </w:rPr>
            </w:pPr>
          </w:p>
        </w:tc>
        <w:tc>
          <w:tcPr>
            <w:tcW w:w="1790" w:type="dxa"/>
            <w:vMerge w:val="restart"/>
          </w:tcPr>
          <w:p w:rsidR="00FC00E8" w:rsidRPr="009448F5" w:rsidRDefault="00BA55D0" w:rsidP="00776B3B">
            <w:pPr>
              <w:rPr>
                <w:rFonts w:ascii="Times New Roman" w:hAnsi="Times New Roman" w:cs="Times New Roman"/>
                <w:sz w:val="24"/>
                <w:szCs w:val="24"/>
              </w:rPr>
            </w:pPr>
            <w:r w:rsidRPr="009448F5">
              <w:rPr>
                <w:rFonts w:ascii="Times New Roman" w:hAnsi="Times New Roman" w:cs="Times New Roman"/>
                <w:sz w:val="24"/>
                <w:szCs w:val="24"/>
              </w:rPr>
              <w:t>Vilniaus Gedimino technikos universitetas</w:t>
            </w:r>
          </w:p>
        </w:tc>
        <w:tc>
          <w:tcPr>
            <w:tcW w:w="6432" w:type="dxa"/>
          </w:tcPr>
          <w:p w:rsidR="00FC00E8" w:rsidRPr="009448F5" w:rsidRDefault="00FC00E8" w:rsidP="00776B3B">
            <w:pPr>
              <w:tabs>
                <w:tab w:val="left" w:pos="0"/>
                <w:tab w:val="left" w:pos="867"/>
              </w:tabs>
              <w:jc w:val="both"/>
              <w:rPr>
                <w:rFonts w:ascii="Times New Roman" w:hAnsi="Times New Roman" w:cs="Times New Roman"/>
                <w:i/>
                <w:sz w:val="24"/>
                <w:szCs w:val="24"/>
              </w:rPr>
            </w:pPr>
            <w:r w:rsidRPr="009448F5">
              <w:rPr>
                <w:rFonts w:ascii="Times New Roman" w:hAnsi="Times New Roman" w:cs="Times New Roman"/>
                <w:sz w:val="24"/>
                <w:szCs w:val="24"/>
              </w:rPr>
              <w:t xml:space="preserve">1) </w:t>
            </w:r>
            <w:r w:rsidR="00BA55D0" w:rsidRPr="009448F5">
              <w:rPr>
                <w:rFonts w:ascii="Times New Roman" w:hAnsi="Times New Roman" w:cs="Times New Roman"/>
                <w:sz w:val="24"/>
                <w:szCs w:val="24"/>
              </w:rPr>
              <w:t>Apraše prie vartojamų sąvokų siūlytume apibrėžti „produkto“ ir „MTEP“ sąvokas, kad būtų vienareikšmis šių sąvokų traktavimas.</w:t>
            </w:r>
          </w:p>
        </w:tc>
        <w:tc>
          <w:tcPr>
            <w:tcW w:w="1583" w:type="dxa"/>
          </w:tcPr>
          <w:p w:rsidR="00FC00E8" w:rsidRPr="009448F5" w:rsidRDefault="00EC3D9D" w:rsidP="00776B3B">
            <w:pPr>
              <w:rPr>
                <w:rFonts w:ascii="Times New Roman" w:hAnsi="Times New Roman" w:cs="Times New Roman"/>
                <w:sz w:val="24"/>
                <w:szCs w:val="24"/>
              </w:rPr>
            </w:pPr>
            <w:r w:rsidRPr="009448F5">
              <w:rPr>
                <w:rFonts w:ascii="Times New Roman" w:hAnsi="Times New Roman" w:cs="Times New Roman"/>
                <w:sz w:val="24"/>
                <w:szCs w:val="24"/>
              </w:rPr>
              <w:t>A</w:t>
            </w:r>
            <w:r w:rsidR="00944D40" w:rsidRPr="009448F5">
              <w:rPr>
                <w:rFonts w:ascii="Times New Roman" w:hAnsi="Times New Roman" w:cs="Times New Roman"/>
                <w:sz w:val="24"/>
                <w:szCs w:val="24"/>
              </w:rPr>
              <w:t xml:space="preserve">tsakyta. </w:t>
            </w:r>
          </w:p>
        </w:tc>
        <w:tc>
          <w:tcPr>
            <w:tcW w:w="4883" w:type="dxa"/>
          </w:tcPr>
          <w:p w:rsidR="00944D40" w:rsidRPr="009448F5" w:rsidRDefault="00944D40"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Trumpinys MTEP reiškia taikomieji (pramoniniai) moksliniai tyrimai ir eksperimentinė plėtra (bandomoji taikomoji veikla). Šios sąvokos yra apibrėžtos Aprašo projekto 4.2 ir 4.8 papunkčiuose. </w:t>
            </w:r>
          </w:p>
          <w:p w:rsidR="001A7520" w:rsidRPr="009448F5" w:rsidRDefault="00944D40" w:rsidP="00944D40">
            <w:pPr>
              <w:jc w:val="both"/>
              <w:rPr>
                <w:rFonts w:ascii="Times New Roman" w:hAnsi="Times New Roman" w:cs="Times New Roman"/>
                <w:sz w:val="20"/>
                <w:szCs w:val="20"/>
              </w:rPr>
            </w:pPr>
            <w:r w:rsidRPr="009448F5">
              <w:rPr>
                <w:rFonts w:ascii="Times New Roman" w:hAnsi="Times New Roman" w:cs="Times New Roman"/>
                <w:sz w:val="24"/>
                <w:szCs w:val="24"/>
              </w:rPr>
              <w:t>Sąvoka „Produktas“ bus apibrėžta Nacionalinių stebėsenos rodiklių skaičiavimo apraše, patvirtintame Lietuvos Respublikos ūkio ministro 2014 m. gruodžio 19 d. įsakymu Nr. 4-933 (šiuo metu įsakymas keičiamas papildant jį  su vadovaujančiąja institucija suderintų naujų priemonių informacija, pakeitimas bus patvirtintas artimiausiu metu).</w:t>
            </w:r>
          </w:p>
        </w:tc>
      </w:tr>
      <w:tr w:rsidR="00FC00E8" w:rsidRPr="009448F5" w:rsidTr="00E17F09">
        <w:trPr>
          <w:trHeight w:val="2501"/>
        </w:trPr>
        <w:tc>
          <w:tcPr>
            <w:tcW w:w="665" w:type="dxa"/>
            <w:vMerge/>
          </w:tcPr>
          <w:p w:rsidR="00FC00E8" w:rsidRPr="009448F5" w:rsidRDefault="00FC00E8" w:rsidP="00776B3B">
            <w:pPr>
              <w:rPr>
                <w:rFonts w:ascii="Times New Roman" w:hAnsi="Times New Roman" w:cs="Times New Roman"/>
                <w:sz w:val="24"/>
                <w:szCs w:val="24"/>
              </w:rPr>
            </w:pPr>
          </w:p>
        </w:tc>
        <w:tc>
          <w:tcPr>
            <w:tcW w:w="1790" w:type="dxa"/>
            <w:vMerge/>
          </w:tcPr>
          <w:p w:rsidR="00FC00E8" w:rsidRPr="009448F5" w:rsidRDefault="00FC00E8" w:rsidP="00776B3B">
            <w:pPr>
              <w:rPr>
                <w:rFonts w:ascii="Times New Roman" w:hAnsi="Times New Roman" w:cs="Times New Roman"/>
                <w:sz w:val="24"/>
                <w:szCs w:val="24"/>
              </w:rPr>
            </w:pPr>
          </w:p>
        </w:tc>
        <w:tc>
          <w:tcPr>
            <w:tcW w:w="6432" w:type="dxa"/>
          </w:tcPr>
          <w:p w:rsidR="00FC00E8" w:rsidRPr="009448F5" w:rsidRDefault="00FC00E8" w:rsidP="00776B3B">
            <w:pPr>
              <w:tabs>
                <w:tab w:val="left" w:pos="716"/>
              </w:tabs>
              <w:jc w:val="both"/>
              <w:rPr>
                <w:rFonts w:ascii="Times New Roman" w:hAnsi="Times New Roman" w:cs="Times New Roman"/>
                <w:i/>
                <w:sz w:val="24"/>
                <w:szCs w:val="24"/>
              </w:rPr>
            </w:pPr>
            <w:r w:rsidRPr="009448F5">
              <w:rPr>
                <w:rFonts w:ascii="Times New Roman" w:hAnsi="Times New Roman" w:cs="Times New Roman"/>
                <w:sz w:val="24"/>
                <w:szCs w:val="24"/>
              </w:rPr>
              <w:t xml:space="preserve">2) </w:t>
            </w:r>
            <w:r w:rsidR="00BA55D0" w:rsidRPr="009448F5">
              <w:rPr>
                <w:rFonts w:ascii="Times New Roman" w:hAnsi="Times New Roman" w:cs="Times New Roman"/>
                <w:sz w:val="24"/>
                <w:szCs w:val="24"/>
              </w:rPr>
              <w:t>Siūlome pakoreguoti naudos ir kokybės vertinimo lentelės 4 kriterijų numatant, kad bus vertinama ne tik pareiškėjo, bet visų projekto vykdytojų (pareiškėjo ir partnerių) patirtis. Reikalavimas, kad patirties turėtų pareiškėjas riboja galimybes jaunoms, smulkioms įmonėms dalyvauti (gauti balų ir atitinkamai finansavimą) konkurse, kas iš dalies prieštarauja aprašo 9 punkte numatytam tikslui – „paskatinti naujų inovacinių įmonių steigimąsi investuojant į MTEP ir inovacijų infrastruktūros kūrimą ir plėtrą“.</w:t>
            </w:r>
          </w:p>
        </w:tc>
        <w:tc>
          <w:tcPr>
            <w:tcW w:w="1583" w:type="dxa"/>
          </w:tcPr>
          <w:p w:rsidR="00FC00E8" w:rsidRPr="009448F5" w:rsidRDefault="001E6C64" w:rsidP="00776B3B">
            <w:pPr>
              <w:rPr>
                <w:rFonts w:ascii="Times New Roman" w:hAnsi="Times New Roman" w:cs="Times New Roman"/>
                <w:sz w:val="24"/>
                <w:szCs w:val="24"/>
              </w:rPr>
            </w:pPr>
            <w:r w:rsidRPr="009448F5">
              <w:rPr>
                <w:rFonts w:ascii="Times New Roman" w:hAnsi="Times New Roman" w:cs="Times New Roman"/>
                <w:sz w:val="24"/>
                <w:szCs w:val="24"/>
              </w:rPr>
              <w:t>Neatsižvelgta.</w:t>
            </w:r>
          </w:p>
        </w:tc>
        <w:tc>
          <w:tcPr>
            <w:tcW w:w="4883" w:type="dxa"/>
          </w:tcPr>
          <w:p w:rsidR="00FC00E8" w:rsidRPr="009448F5" w:rsidRDefault="001E6C64" w:rsidP="00776B3B">
            <w:pPr>
              <w:jc w:val="both"/>
              <w:rPr>
                <w:rFonts w:ascii="Times New Roman" w:hAnsi="Times New Roman" w:cs="Times New Roman"/>
                <w:bCs/>
                <w:sz w:val="24"/>
                <w:szCs w:val="24"/>
              </w:rPr>
            </w:pPr>
            <w:r w:rsidRPr="009448F5">
              <w:rPr>
                <w:rFonts w:ascii="Times New Roman" w:hAnsi="Times New Roman" w:cs="Times New Roman"/>
                <w:sz w:val="24"/>
                <w:szCs w:val="24"/>
              </w:rPr>
              <w:t>Pažymime, kad tai specialusis projektų atrankos kriterijus, kurio formuluotė ir vertinimo aspektai patvirtinti 2014–2020 metų Europos Sąjungos fondų investicijų veiksmų programos Stebėsenos komiteto (toliau – Stebėsenos komitetas) 2015 m. liepos 9 d. posėdžio nutarimu Nr. 44(P)-6.1(8). Patvirtinto kriterijaus ir jo vertinimo aspektų keitimai be Stebėsenos komiteto pritarimo negalimi.</w:t>
            </w:r>
          </w:p>
        </w:tc>
      </w:tr>
      <w:tr w:rsidR="00FC00E8" w:rsidRPr="009448F5" w:rsidTr="00E974B2">
        <w:trPr>
          <w:trHeight w:val="624"/>
        </w:trPr>
        <w:tc>
          <w:tcPr>
            <w:tcW w:w="665" w:type="dxa"/>
            <w:vMerge/>
          </w:tcPr>
          <w:p w:rsidR="00FC00E8" w:rsidRPr="009448F5" w:rsidRDefault="00FC00E8" w:rsidP="00776B3B">
            <w:pPr>
              <w:rPr>
                <w:rFonts w:ascii="Times New Roman" w:hAnsi="Times New Roman" w:cs="Times New Roman"/>
                <w:sz w:val="24"/>
                <w:szCs w:val="24"/>
              </w:rPr>
            </w:pPr>
          </w:p>
        </w:tc>
        <w:tc>
          <w:tcPr>
            <w:tcW w:w="1790" w:type="dxa"/>
            <w:vMerge/>
          </w:tcPr>
          <w:p w:rsidR="00FC00E8" w:rsidRPr="009448F5" w:rsidRDefault="00FC00E8" w:rsidP="00776B3B">
            <w:pPr>
              <w:rPr>
                <w:rFonts w:ascii="Times New Roman" w:hAnsi="Times New Roman" w:cs="Times New Roman"/>
                <w:sz w:val="24"/>
                <w:szCs w:val="24"/>
              </w:rPr>
            </w:pPr>
          </w:p>
        </w:tc>
        <w:tc>
          <w:tcPr>
            <w:tcW w:w="6432" w:type="dxa"/>
          </w:tcPr>
          <w:p w:rsidR="00FC00E8" w:rsidRPr="009448F5" w:rsidRDefault="00FC00E8"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3) </w:t>
            </w:r>
            <w:r w:rsidR="00BA55D0" w:rsidRPr="009448F5">
              <w:rPr>
                <w:rFonts w:ascii="Times New Roman" w:hAnsi="Times New Roman" w:cs="Times New Roman"/>
                <w:sz w:val="24"/>
                <w:szCs w:val="24"/>
              </w:rPr>
              <w:t>Siūlome atsisakyti naudos ir kokybės vertinimo 6 ir 7 kriterijų, nes jie suteikia pranašumą kelių sričių projektams prieš kitus.</w:t>
            </w:r>
          </w:p>
        </w:tc>
        <w:tc>
          <w:tcPr>
            <w:tcW w:w="1583" w:type="dxa"/>
          </w:tcPr>
          <w:p w:rsidR="00FC00E8" w:rsidRPr="009448F5" w:rsidRDefault="001E6C64" w:rsidP="00776B3B">
            <w:pPr>
              <w:rPr>
                <w:rFonts w:ascii="Times New Roman" w:hAnsi="Times New Roman" w:cs="Times New Roman"/>
                <w:sz w:val="24"/>
                <w:szCs w:val="24"/>
              </w:rPr>
            </w:pPr>
            <w:r w:rsidRPr="009448F5">
              <w:rPr>
                <w:rFonts w:ascii="Times New Roman" w:hAnsi="Times New Roman" w:cs="Times New Roman"/>
                <w:sz w:val="24"/>
                <w:szCs w:val="24"/>
              </w:rPr>
              <w:t xml:space="preserve">Neatsižvelgta. </w:t>
            </w:r>
          </w:p>
        </w:tc>
        <w:tc>
          <w:tcPr>
            <w:tcW w:w="4883" w:type="dxa"/>
          </w:tcPr>
          <w:p w:rsidR="00FC00E8" w:rsidRPr="009448F5" w:rsidRDefault="001E6C64"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Šie specialieji projektų atrankos kriterijai nustatyti, atsižvelgiant į tai, kad 2014–2020 metų nacionalinės pažangos programos horizontaliojo prioriteto „Sveikata visiems“ tarpinstituciniame plane, patvirtintame Lietuvos Respublikos Vyriausybės 2014 m. kovo 26 d. nutarimu Nr. 293, ir 2014–2020 metų </w:t>
            </w:r>
            <w:r w:rsidRPr="009448F5">
              <w:rPr>
                <w:rFonts w:ascii="Times New Roman" w:hAnsi="Times New Roman" w:cs="Times New Roman"/>
                <w:sz w:val="24"/>
                <w:szCs w:val="24"/>
              </w:rPr>
              <w:lastRenderedPageBreak/>
              <w:t xml:space="preserve">nacionalinės pažangos programos horizontaliojo prioriteto „Kultūra“ tarpinstituciniame plane, patvirtintame Lietuvos Respublikos Vyriausybės 2014 m. kovo 19 d. nutarimu Nr. 269, yra numatytos </w:t>
            </w:r>
            <w:r w:rsidR="005A6808" w:rsidRPr="009448F5">
              <w:rPr>
                <w:rFonts w:ascii="Times New Roman" w:hAnsi="Times New Roman" w:cs="Times New Roman"/>
                <w:sz w:val="24"/>
                <w:szCs w:val="24"/>
              </w:rPr>
              <w:t xml:space="preserve">priemonės, prie kurių įgyvendinimo turi prisidėti priemonė „Intelektas. Bendri mokslo–verslo projektai“ ir už kurių įgyvendinimą atsakinga Ūkio ministerija. </w:t>
            </w:r>
          </w:p>
        </w:tc>
      </w:tr>
      <w:tr w:rsidR="00FC00E8" w:rsidRPr="009448F5" w:rsidTr="00E974B2">
        <w:trPr>
          <w:trHeight w:val="562"/>
        </w:trPr>
        <w:tc>
          <w:tcPr>
            <w:tcW w:w="665" w:type="dxa"/>
            <w:vMerge/>
          </w:tcPr>
          <w:p w:rsidR="00FC00E8" w:rsidRPr="009448F5" w:rsidRDefault="00FC00E8" w:rsidP="00776B3B">
            <w:pPr>
              <w:rPr>
                <w:rFonts w:ascii="Times New Roman" w:hAnsi="Times New Roman" w:cs="Times New Roman"/>
                <w:sz w:val="24"/>
                <w:szCs w:val="24"/>
              </w:rPr>
            </w:pPr>
          </w:p>
        </w:tc>
        <w:tc>
          <w:tcPr>
            <w:tcW w:w="1790" w:type="dxa"/>
            <w:vMerge/>
          </w:tcPr>
          <w:p w:rsidR="00FC00E8" w:rsidRPr="009448F5" w:rsidRDefault="00FC00E8" w:rsidP="00776B3B">
            <w:pPr>
              <w:rPr>
                <w:rFonts w:ascii="Times New Roman" w:hAnsi="Times New Roman" w:cs="Times New Roman"/>
                <w:sz w:val="24"/>
                <w:szCs w:val="24"/>
              </w:rPr>
            </w:pPr>
          </w:p>
        </w:tc>
        <w:tc>
          <w:tcPr>
            <w:tcW w:w="6432" w:type="dxa"/>
          </w:tcPr>
          <w:p w:rsidR="00FC00E8" w:rsidRPr="009448F5" w:rsidRDefault="00FC00E8" w:rsidP="00776B3B">
            <w:pPr>
              <w:pStyle w:val="ListParagraph"/>
              <w:tabs>
                <w:tab w:val="left" w:pos="716"/>
              </w:tabs>
              <w:ind w:left="0"/>
              <w:jc w:val="both"/>
              <w:rPr>
                <w:rFonts w:ascii="Times New Roman" w:hAnsi="Times New Roman" w:cs="Times New Roman"/>
                <w:i/>
                <w:sz w:val="24"/>
                <w:szCs w:val="24"/>
              </w:rPr>
            </w:pPr>
            <w:r w:rsidRPr="009448F5">
              <w:rPr>
                <w:rFonts w:ascii="Times New Roman" w:hAnsi="Times New Roman" w:cs="Times New Roman"/>
                <w:sz w:val="24"/>
                <w:szCs w:val="24"/>
              </w:rPr>
              <w:t xml:space="preserve">4) </w:t>
            </w:r>
            <w:r w:rsidR="00BA55D0" w:rsidRPr="009448F5">
              <w:rPr>
                <w:rFonts w:ascii="Times New Roman" w:hAnsi="Times New Roman" w:cs="Times New Roman"/>
                <w:sz w:val="24"/>
                <w:szCs w:val="24"/>
              </w:rPr>
              <w:t>Prieš tvirtinant PFSA reikėtų pateikti viešajam aptarimui verslo plano formą (arba reikalavimus verslo plano turiniui).</w:t>
            </w:r>
          </w:p>
        </w:tc>
        <w:tc>
          <w:tcPr>
            <w:tcW w:w="1583" w:type="dxa"/>
          </w:tcPr>
          <w:p w:rsidR="00FC00E8" w:rsidRPr="009448F5" w:rsidRDefault="005A6808" w:rsidP="00776B3B">
            <w:pPr>
              <w:rPr>
                <w:rFonts w:ascii="Times New Roman" w:hAnsi="Times New Roman" w:cs="Times New Roman"/>
                <w:sz w:val="24"/>
                <w:szCs w:val="24"/>
              </w:rPr>
            </w:pPr>
            <w:r w:rsidRPr="009448F5">
              <w:rPr>
                <w:rFonts w:ascii="Times New Roman" w:hAnsi="Times New Roman" w:cs="Times New Roman"/>
                <w:sz w:val="24"/>
                <w:szCs w:val="24"/>
              </w:rPr>
              <w:t xml:space="preserve">Atsižvelgta. </w:t>
            </w:r>
          </w:p>
        </w:tc>
        <w:tc>
          <w:tcPr>
            <w:tcW w:w="4883" w:type="dxa"/>
          </w:tcPr>
          <w:p w:rsidR="00FC00E8" w:rsidRPr="009448F5" w:rsidRDefault="005A6808"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Informuojame, kad Ūkio ministerijos interneto svetainėje adresu </w:t>
            </w:r>
            <w:hyperlink r:id="rId9" w:history="1">
              <w:r w:rsidRPr="009448F5">
                <w:rPr>
                  <w:rStyle w:val="Hyperlink"/>
                  <w:rFonts w:ascii="Times New Roman" w:hAnsi="Times New Roman" w:cs="Times New Roman"/>
                  <w:color w:val="auto"/>
                  <w:sz w:val="24"/>
                  <w:szCs w:val="24"/>
                </w:rPr>
                <w:t>http://www.ukmin.lt/web/lt/intelektas_lt1</w:t>
              </w:r>
            </w:hyperlink>
            <w:r w:rsidRPr="009448F5">
              <w:rPr>
                <w:rFonts w:ascii="Times New Roman" w:hAnsi="Times New Roman" w:cs="Times New Roman"/>
                <w:sz w:val="24"/>
                <w:szCs w:val="24"/>
              </w:rPr>
              <w:t xml:space="preserve"> yra patalpintas Verslo plano finansavimui gauti pagal Lietuvos 2014–2020 m. Europos Sąjungos fondų investicijų veiksmų programos 1 prioriteto „Mokslinių tyrimų, eksperimentinės plėtros ir inovacijų skatinimas“ </w:t>
            </w:r>
            <w:r w:rsidR="003E5D82" w:rsidRPr="009448F5">
              <w:rPr>
                <w:rFonts w:ascii="Times New Roman" w:hAnsi="Times New Roman" w:cs="Times New Roman"/>
                <w:sz w:val="24"/>
                <w:szCs w:val="24"/>
              </w:rPr>
              <w:t>Lietuvos Respublikos ūkio ministerijos administruojamas priemones turinio reikalavimų aprašo projektas (tai – Aprašo projekte minima</w:t>
            </w:r>
            <w:r w:rsidRPr="009448F5">
              <w:rPr>
                <w:rFonts w:ascii="Times New Roman" w:hAnsi="Times New Roman" w:cs="Times New Roman"/>
                <w:sz w:val="24"/>
                <w:szCs w:val="24"/>
              </w:rPr>
              <w:t xml:space="preserve"> MT</w:t>
            </w:r>
            <w:r w:rsidR="003E5D82" w:rsidRPr="009448F5">
              <w:rPr>
                <w:rFonts w:ascii="Times New Roman" w:hAnsi="Times New Roman" w:cs="Times New Roman"/>
                <w:sz w:val="24"/>
                <w:szCs w:val="24"/>
              </w:rPr>
              <w:t>EP verslo plano forma)</w:t>
            </w:r>
            <w:r w:rsidRPr="009448F5">
              <w:rPr>
                <w:rFonts w:ascii="Times New Roman" w:hAnsi="Times New Roman" w:cs="Times New Roman"/>
                <w:sz w:val="24"/>
                <w:szCs w:val="24"/>
              </w:rPr>
              <w:t xml:space="preserve">.  </w:t>
            </w:r>
          </w:p>
        </w:tc>
      </w:tr>
      <w:tr w:rsidR="00FC00E8" w:rsidRPr="009448F5" w:rsidTr="00E974B2">
        <w:trPr>
          <w:trHeight w:val="174"/>
        </w:trPr>
        <w:tc>
          <w:tcPr>
            <w:tcW w:w="665" w:type="dxa"/>
            <w:vMerge/>
          </w:tcPr>
          <w:p w:rsidR="00FC00E8" w:rsidRPr="009448F5" w:rsidRDefault="00FC00E8" w:rsidP="00776B3B">
            <w:pPr>
              <w:rPr>
                <w:rFonts w:ascii="Times New Roman" w:hAnsi="Times New Roman" w:cs="Times New Roman"/>
                <w:sz w:val="24"/>
                <w:szCs w:val="24"/>
              </w:rPr>
            </w:pPr>
          </w:p>
        </w:tc>
        <w:tc>
          <w:tcPr>
            <w:tcW w:w="1790" w:type="dxa"/>
            <w:vMerge/>
          </w:tcPr>
          <w:p w:rsidR="00FC00E8" w:rsidRPr="009448F5" w:rsidRDefault="00FC00E8" w:rsidP="00776B3B">
            <w:pPr>
              <w:rPr>
                <w:rFonts w:ascii="Times New Roman" w:hAnsi="Times New Roman" w:cs="Times New Roman"/>
                <w:sz w:val="24"/>
                <w:szCs w:val="24"/>
              </w:rPr>
            </w:pPr>
          </w:p>
        </w:tc>
        <w:tc>
          <w:tcPr>
            <w:tcW w:w="6432" w:type="dxa"/>
          </w:tcPr>
          <w:p w:rsidR="00FC00E8" w:rsidRPr="009448F5" w:rsidRDefault="00FC00E8"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5) </w:t>
            </w:r>
            <w:r w:rsidR="00BA55D0" w:rsidRPr="009448F5">
              <w:rPr>
                <w:rFonts w:ascii="Times New Roman" w:hAnsi="Times New Roman" w:cs="Times New Roman"/>
                <w:sz w:val="24"/>
                <w:szCs w:val="24"/>
              </w:rPr>
              <w:t>Aprašo 45 punktas prieštarauja 39.2 punkte pateiktai lentelei.</w:t>
            </w:r>
          </w:p>
        </w:tc>
        <w:tc>
          <w:tcPr>
            <w:tcW w:w="1583" w:type="dxa"/>
          </w:tcPr>
          <w:p w:rsidR="00FC00E8" w:rsidRPr="009448F5" w:rsidRDefault="003E5D82" w:rsidP="00776B3B">
            <w:pPr>
              <w:rPr>
                <w:rFonts w:ascii="Times New Roman" w:hAnsi="Times New Roman" w:cs="Times New Roman"/>
                <w:sz w:val="24"/>
                <w:szCs w:val="24"/>
              </w:rPr>
            </w:pPr>
            <w:r w:rsidRPr="009448F5">
              <w:rPr>
                <w:rFonts w:ascii="Times New Roman" w:hAnsi="Times New Roman" w:cs="Times New Roman"/>
                <w:sz w:val="24"/>
                <w:szCs w:val="24"/>
              </w:rPr>
              <w:t xml:space="preserve">Atsižvelgta. </w:t>
            </w:r>
          </w:p>
        </w:tc>
        <w:tc>
          <w:tcPr>
            <w:tcW w:w="4883" w:type="dxa"/>
          </w:tcPr>
          <w:p w:rsidR="00024A0F" w:rsidRPr="009448F5" w:rsidRDefault="003E5D82" w:rsidP="00776B3B">
            <w:pPr>
              <w:jc w:val="both"/>
              <w:rPr>
                <w:rFonts w:ascii="Times New Roman" w:hAnsi="Times New Roman" w:cs="Times New Roman"/>
                <w:sz w:val="24"/>
                <w:szCs w:val="24"/>
              </w:rPr>
            </w:pPr>
            <w:r w:rsidRPr="009448F5">
              <w:rPr>
                <w:rFonts w:ascii="Times New Roman" w:hAnsi="Times New Roman" w:cs="Times New Roman"/>
                <w:sz w:val="24"/>
                <w:szCs w:val="24"/>
              </w:rPr>
              <w:t>Į pateiktą pastabą atsižvelgta, Aprašo nuostatos pakoreguotos.</w:t>
            </w:r>
          </w:p>
        </w:tc>
      </w:tr>
      <w:tr w:rsidR="003E5D82" w:rsidRPr="009448F5" w:rsidTr="00E974B2">
        <w:trPr>
          <w:trHeight w:val="93"/>
        </w:trPr>
        <w:tc>
          <w:tcPr>
            <w:tcW w:w="665" w:type="dxa"/>
            <w:vMerge/>
          </w:tcPr>
          <w:p w:rsidR="003E5D82" w:rsidRPr="009448F5" w:rsidRDefault="003E5D82" w:rsidP="00776B3B">
            <w:pPr>
              <w:rPr>
                <w:rFonts w:ascii="Times New Roman" w:hAnsi="Times New Roman" w:cs="Times New Roman"/>
                <w:sz w:val="24"/>
                <w:szCs w:val="24"/>
              </w:rPr>
            </w:pPr>
          </w:p>
        </w:tc>
        <w:tc>
          <w:tcPr>
            <w:tcW w:w="1790" w:type="dxa"/>
            <w:vMerge/>
          </w:tcPr>
          <w:p w:rsidR="003E5D82" w:rsidRPr="009448F5" w:rsidRDefault="003E5D82" w:rsidP="00776B3B">
            <w:pPr>
              <w:rPr>
                <w:rFonts w:ascii="Times New Roman" w:hAnsi="Times New Roman" w:cs="Times New Roman"/>
                <w:sz w:val="24"/>
                <w:szCs w:val="24"/>
              </w:rPr>
            </w:pPr>
          </w:p>
        </w:tc>
        <w:tc>
          <w:tcPr>
            <w:tcW w:w="6432" w:type="dxa"/>
          </w:tcPr>
          <w:p w:rsidR="003E5D82" w:rsidRPr="009448F5" w:rsidRDefault="003E5D82" w:rsidP="00776B3B">
            <w:pPr>
              <w:pStyle w:val="ListParagraph"/>
              <w:tabs>
                <w:tab w:val="left" w:pos="716"/>
              </w:tabs>
              <w:ind w:left="0"/>
              <w:jc w:val="both"/>
              <w:rPr>
                <w:rFonts w:ascii="Times New Roman" w:hAnsi="Times New Roman" w:cs="Times New Roman"/>
                <w:i/>
                <w:sz w:val="24"/>
                <w:szCs w:val="24"/>
              </w:rPr>
            </w:pPr>
            <w:r w:rsidRPr="009448F5">
              <w:rPr>
                <w:rFonts w:ascii="Times New Roman" w:hAnsi="Times New Roman" w:cs="Times New Roman"/>
                <w:sz w:val="24"/>
                <w:szCs w:val="24"/>
              </w:rPr>
              <w:t>6) Aprašo 46.2 punkte pateiktoje lentelėje, paskutinėje eilutėje ko gero yra klaida – paskutinėje pastraipoje vietoje 4 išlaidų kategorijos, ko gero turėtų būti 5.</w:t>
            </w:r>
          </w:p>
        </w:tc>
        <w:tc>
          <w:tcPr>
            <w:tcW w:w="1583" w:type="dxa"/>
          </w:tcPr>
          <w:p w:rsidR="003E5D82" w:rsidRPr="009448F5" w:rsidRDefault="003E5D82" w:rsidP="00776B3B">
            <w:pPr>
              <w:rPr>
                <w:rFonts w:ascii="Times New Roman" w:hAnsi="Times New Roman" w:cs="Times New Roman"/>
                <w:sz w:val="24"/>
                <w:szCs w:val="24"/>
              </w:rPr>
            </w:pPr>
            <w:r w:rsidRPr="009448F5">
              <w:rPr>
                <w:rFonts w:ascii="Times New Roman" w:hAnsi="Times New Roman" w:cs="Times New Roman"/>
                <w:sz w:val="24"/>
                <w:szCs w:val="24"/>
              </w:rPr>
              <w:t xml:space="preserve">Atsižvelgta. </w:t>
            </w:r>
          </w:p>
        </w:tc>
        <w:tc>
          <w:tcPr>
            <w:tcW w:w="4883" w:type="dxa"/>
          </w:tcPr>
          <w:p w:rsidR="003E5D82" w:rsidRPr="009448F5" w:rsidRDefault="003E5D82" w:rsidP="00776B3B">
            <w:pPr>
              <w:jc w:val="both"/>
              <w:rPr>
                <w:rFonts w:ascii="Times New Roman" w:hAnsi="Times New Roman" w:cs="Times New Roman"/>
                <w:sz w:val="24"/>
                <w:szCs w:val="24"/>
              </w:rPr>
            </w:pPr>
            <w:r w:rsidRPr="009448F5">
              <w:rPr>
                <w:rFonts w:ascii="Times New Roman" w:hAnsi="Times New Roman" w:cs="Times New Roman"/>
                <w:sz w:val="24"/>
                <w:szCs w:val="24"/>
              </w:rPr>
              <w:t>Į pateiktą pastabą atsižvelgta, Aprašo nuostatos pakoreguotos.</w:t>
            </w:r>
          </w:p>
        </w:tc>
      </w:tr>
      <w:tr w:rsidR="003E5D82" w:rsidRPr="009448F5" w:rsidTr="00E974B2">
        <w:trPr>
          <w:trHeight w:val="554"/>
        </w:trPr>
        <w:tc>
          <w:tcPr>
            <w:tcW w:w="665" w:type="dxa"/>
            <w:vMerge w:val="restart"/>
          </w:tcPr>
          <w:p w:rsidR="003E5D82" w:rsidRPr="009448F5" w:rsidRDefault="003E5D82" w:rsidP="00776B3B">
            <w:pPr>
              <w:rPr>
                <w:rFonts w:ascii="Times New Roman" w:hAnsi="Times New Roman" w:cs="Times New Roman"/>
                <w:sz w:val="24"/>
                <w:szCs w:val="24"/>
              </w:rPr>
            </w:pPr>
            <w:r w:rsidRPr="009448F5">
              <w:rPr>
                <w:rFonts w:ascii="Times New Roman" w:hAnsi="Times New Roman" w:cs="Times New Roman"/>
                <w:sz w:val="24"/>
                <w:szCs w:val="24"/>
              </w:rPr>
              <w:t xml:space="preserve">2. </w:t>
            </w:r>
          </w:p>
        </w:tc>
        <w:tc>
          <w:tcPr>
            <w:tcW w:w="1790" w:type="dxa"/>
            <w:vMerge w:val="restart"/>
          </w:tcPr>
          <w:p w:rsidR="003E5D82" w:rsidRPr="009448F5" w:rsidRDefault="003E5D82" w:rsidP="00776B3B">
            <w:pPr>
              <w:rPr>
                <w:rFonts w:ascii="Times New Roman" w:hAnsi="Times New Roman" w:cs="Times New Roman"/>
                <w:sz w:val="24"/>
                <w:szCs w:val="24"/>
              </w:rPr>
            </w:pPr>
            <w:r w:rsidRPr="009448F5">
              <w:rPr>
                <w:rFonts w:ascii="Times New Roman" w:hAnsi="Times New Roman" w:cs="Times New Roman"/>
                <w:sz w:val="24"/>
                <w:szCs w:val="24"/>
              </w:rPr>
              <w:t xml:space="preserve">Įmonių grupė „KG Group“, Lietuvos sveikatos mokslų universiteto Gyvulininkystės technologijos fakulteto </w:t>
            </w:r>
            <w:r w:rsidRPr="009448F5">
              <w:rPr>
                <w:rFonts w:ascii="Times New Roman" w:hAnsi="Times New Roman" w:cs="Times New Roman"/>
                <w:sz w:val="24"/>
                <w:szCs w:val="24"/>
              </w:rPr>
              <w:lastRenderedPageBreak/>
              <w:t>Gyvūnų auginimo technologijų institutas</w:t>
            </w:r>
          </w:p>
        </w:tc>
        <w:tc>
          <w:tcPr>
            <w:tcW w:w="6432" w:type="dxa"/>
          </w:tcPr>
          <w:p w:rsidR="003E5D82" w:rsidRPr="009448F5" w:rsidRDefault="003E5D82"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lastRenderedPageBreak/>
              <w:t xml:space="preserve">1) </w:t>
            </w:r>
            <w:r w:rsidRPr="009448F5">
              <w:rPr>
                <w:rFonts w:ascii="Times New Roman" w:hAnsi="Times New Roman" w:cs="Times New Roman"/>
                <w:b/>
                <w:sz w:val="24"/>
                <w:szCs w:val="24"/>
              </w:rPr>
              <w:t>Reiktų labai aiškaus išaiškinimo, kokios sritys galėtų būti tinkamos (arba netinkamos) finansuoti per šią priemonę</w:t>
            </w:r>
            <w:r w:rsidRPr="009448F5">
              <w:rPr>
                <w:rFonts w:ascii="Times New Roman" w:hAnsi="Times New Roman" w:cs="Times New Roman"/>
                <w:sz w:val="24"/>
                <w:szCs w:val="24"/>
              </w:rPr>
              <w:t xml:space="preserve">. </w:t>
            </w:r>
            <w:r w:rsidRPr="009448F5">
              <w:rPr>
                <w:rFonts w:ascii="Times New Roman" w:hAnsi="Times New Roman" w:cs="Times New Roman"/>
                <w:sz w:val="24"/>
                <w:szCs w:val="24"/>
              </w:rPr>
              <w:br/>
              <w:t xml:space="preserve">Pavyzdžiui: Maisto produktų kokybė tiesiogiai priklauso nuo gyvūninių žaliavų, kaip paukščių, kiaulių ir kitų gyvūnų mėsos kokybės. Ją  galima gerinti gyvūnų selekcijos ir  mitybos būdais. Pvz., naudojant gyvūnų mityboje  įvairius aliejus bei riebalus, atsižvelgiant į riebalų rūgščių sudėtį, galima gyvūnų mėsoje optimaliai subalansuoti omega-6 ir omega-3 riebalų rūgščių santykį, padidinti polinesočių riebalų kiekį. Moksliniais tyrimais </w:t>
            </w:r>
            <w:r w:rsidRPr="009448F5">
              <w:rPr>
                <w:rFonts w:ascii="Times New Roman" w:hAnsi="Times New Roman" w:cs="Times New Roman"/>
                <w:sz w:val="24"/>
                <w:szCs w:val="24"/>
              </w:rPr>
              <w:lastRenderedPageBreak/>
              <w:t>nustatyta, kad polinesočiosios riebalų rūgštys yra naudingos sergant įvairiomis galvos smegenų ligomis: Alzheimerio liga, dėmesio trūkumo hiperaktyvumo sutrikimu, autizmu, šizofrenija, pasireiškiant priešiškumui, nerimui, esant ribinio tipo asmenybės sutrikimui bei bipoliniam sutrikimui. Šios riebalų rūgštys gyvūnų mityboje yra taip pat svarbios, nes jos gali sąlygoti gyvūnų sveikatingumą, leukotrienų susidarymą bei uždegiminių reakcijų organizme slopinimą.  Taigi mėsos kokybė tiesiogiai sąlygoja galutinių maisto produktų kokybę. Tačiau gerinat gyvūninių žaliavų kokybę, pirmiausia reikia išauginti gyvūnus ir tik po to tirti mėsos maistinę vertę. Tokio pobūdžio tyrimai jau yra priskiriami pirminei žemės ūkio gamybai ir nėra finansuojami. Tokie sprendimai ženkliai stabdo gyvūninių žaliavų kokybės gerinimo mokslinius tyrimus ir reikia keisti tyrimų vertinimo kriterijus Tokio pobūdžio tyrimai  negali būti priskirti pirminei žemės ūkio gamybai.</w:t>
            </w:r>
            <w:r w:rsidRPr="009448F5">
              <w:rPr>
                <w:rFonts w:ascii="Times New Roman" w:hAnsi="Times New Roman" w:cs="Times New Roman"/>
                <w:sz w:val="24"/>
                <w:szCs w:val="24"/>
              </w:rPr>
              <w:br/>
              <w:t>Mes turime numatę keletą bendradarbiavimo krypčių su mokslo įstaigomis:</w:t>
            </w:r>
            <w:r w:rsidRPr="009448F5">
              <w:rPr>
                <w:rFonts w:ascii="Times New Roman" w:hAnsi="Times New Roman" w:cs="Times New Roman"/>
                <w:sz w:val="24"/>
                <w:szCs w:val="24"/>
              </w:rPr>
              <w:br/>
              <w:t xml:space="preserve">a) Vietinių pašarinių žaliavų maistingumo vertės gerinimas; </w:t>
            </w:r>
            <w:r w:rsidRPr="009448F5">
              <w:rPr>
                <w:rFonts w:ascii="Times New Roman" w:hAnsi="Times New Roman" w:cs="Times New Roman"/>
                <w:sz w:val="24"/>
                <w:szCs w:val="24"/>
              </w:rPr>
              <w:br/>
              <w:t xml:space="preserve">b) Mėsos maistinės vertės gerinimas, mūsų nuomone, jei būtų atsižvelgta į aukščiau aprašytą pavyzdį, tai šie bendri verslo ir mokslo projektai turėtų būti tinkami finansavimui pagal šią priemonę. </w:t>
            </w:r>
          </w:p>
        </w:tc>
        <w:tc>
          <w:tcPr>
            <w:tcW w:w="1583" w:type="dxa"/>
          </w:tcPr>
          <w:p w:rsidR="003E5D82" w:rsidRPr="009448F5" w:rsidRDefault="00944D40"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Atsakyta.</w:t>
            </w:r>
          </w:p>
        </w:tc>
        <w:tc>
          <w:tcPr>
            <w:tcW w:w="4883" w:type="dxa"/>
          </w:tcPr>
          <w:p w:rsidR="00473F76" w:rsidRPr="009448F5" w:rsidRDefault="00473F76" w:rsidP="00473F76">
            <w:pPr>
              <w:jc w:val="both"/>
              <w:rPr>
                <w:rFonts w:ascii="Times New Roman" w:hAnsi="Times New Roman" w:cs="Times New Roman"/>
                <w:sz w:val="24"/>
                <w:szCs w:val="24"/>
              </w:rPr>
            </w:pPr>
            <w:r w:rsidRPr="009448F5">
              <w:rPr>
                <w:rFonts w:ascii="Times New Roman" w:hAnsi="Times New Roman" w:cs="Times New Roman"/>
                <w:sz w:val="24"/>
                <w:szCs w:val="24"/>
              </w:rPr>
              <w:t xml:space="preserve">Pagal Aprašą teikiamas finansavimas yra valstybės pagalba, kuri teikiama vadovaujantis 2014 m. birželio 17 d. Komisijos reglamentu (ES) Nr. 651/2014, kuriuo tam tikrų kategorijų pagalba skelbiama suderinama su vidaus rinka taikant Sutarties 107 ir 108 straipsnius (toliau – Bendrasis bendrosios išimties reglamentas).  Bendrojo bendrosios išimties reglamento 1 straipsnyje yra išvardinta kokiai pagalbai šis </w:t>
            </w:r>
            <w:r w:rsidRPr="009448F5">
              <w:rPr>
                <w:rFonts w:ascii="Times New Roman" w:hAnsi="Times New Roman" w:cs="Times New Roman"/>
                <w:sz w:val="24"/>
                <w:szCs w:val="24"/>
              </w:rPr>
              <w:lastRenderedPageBreak/>
              <w:t xml:space="preserve">reglamentas netaikomas. Viena iš tokių pagalbos rūšių (1 straipsnio 3 punkto b) dalis) – pagalba, suteikta pirminės žemės ūkio produktų gamybos sektoriuje, išskyrus &lt;...&gt; pagalbą moksliniams tyrimams ir technologinę plėtrą. </w:t>
            </w:r>
          </w:p>
          <w:p w:rsidR="003D4AFF" w:rsidRPr="009448F5" w:rsidRDefault="00473F76" w:rsidP="003D4AFF">
            <w:pPr>
              <w:jc w:val="both"/>
              <w:rPr>
                <w:rFonts w:ascii="Times New Roman" w:hAnsi="Times New Roman" w:cs="Times New Roman"/>
                <w:sz w:val="24"/>
                <w:szCs w:val="24"/>
              </w:rPr>
            </w:pPr>
            <w:r w:rsidRPr="009448F5">
              <w:rPr>
                <w:rFonts w:ascii="Times New Roman" w:hAnsi="Times New Roman" w:cs="Times New Roman"/>
                <w:sz w:val="24"/>
                <w:szCs w:val="24"/>
              </w:rPr>
              <w:t>Aprašo 10.2 papunktyje nurodytai veiklai – įmonių pradinėms investicijoms, kuriomis kuriama naujos ar plečiama esamos įmonės MTEP ir inovacijų infrastruktūra bei kuri nėra prieinama viešai arba klasteriuose</w:t>
            </w:r>
            <w:r w:rsidR="003D4AFF" w:rsidRPr="009448F5">
              <w:rPr>
                <w:rFonts w:ascii="Times New Roman" w:hAnsi="Times New Roman" w:cs="Times New Roman"/>
                <w:sz w:val="24"/>
                <w:szCs w:val="24"/>
              </w:rPr>
              <w:t xml:space="preserve"> </w:t>
            </w:r>
            <w:r w:rsidRPr="009448F5">
              <w:rPr>
                <w:rFonts w:ascii="Times New Roman" w:hAnsi="Times New Roman" w:cs="Times New Roman"/>
                <w:sz w:val="24"/>
                <w:szCs w:val="24"/>
              </w:rPr>
              <w:t xml:space="preserve"> –</w:t>
            </w:r>
            <w:r w:rsidR="003D4AFF" w:rsidRPr="009448F5">
              <w:rPr>
                <w:rFonts w:ascii="Times New Roman" w:hAnsi="Times New Roman" w:cs="Times New Roman"/>
                <w:sz w:val="24"/>
                <w:szCs w:val="24"/>
              </w:rPr>
              <w:t xml:space="preserve">  gali būti teikiama regioninė investicinė pagalba (minėto reglamento 14 straipsnis) ir Aprašo 10.1 papunktyje nurodytai veiklai – MTEP –</w:t>
            </w:r>
            <w:r w:rsidRPr="009448F5">
              <w:rPr>
                <w:rFonts w:ascii="Times New Roman" w:hAnsi="Times New Roman" w:cs="Times New Roman"/>
                <w:sz w:val="24"/>
                <w:szCs w:val="24"/>
              </w:rPr>
              <w:t xml:space="preserve"> pagalba mokslinių tyrimų ir technologinės plėtros projektams (minėto reglamento 25 straipsnis)</w:t>
            </w:r>
            <w:r w:rsidR="003D4AFF" w:rsidRPr="009448F5">
              <w:rPr>
                <w:rFonts w:ascii="Times New Roman" w:hAnsi="Times New Roman" w:cs="Times New Roman"/>
                <w:sz w:val="24"/>
                <w:szCs w:val="24"/>
              </w:rPr>
              <w:t>. Taigi, vadovaujantis aukščiau paminėtu Bendrojo bendrosios išimties reglamento 1 straipsniu, pirminės žemės ūkio produktų gamybos sektoriuje vykdomi MTEP galėtų gauti finansavimą pagal Aprašą, tačiau infrastruktūrai, reikalingai MTEP veiklai  pirminės žemės ūkio produktų gamybos sektoriuje  vykdyti, finansavimas negalėtų būti skiriamas.</w:t>
            </w:r>
          </w:p>
        </w:tc>
      </w:tr>
      <w:tr w:rsidR="003E5D82" w:rsidRPr="009448F5" w:rsidTr="00E974B2">
        <w:trPr>
          <w:trHeight w:val="375"/>
        </w:trPr>
        <w:tc>
          <w:tcPr>
            <w:tcW w:w="665" w:type="dxa"/>
            <w:vMerge/>
          </w:tcPr>
          <w:p w:rsidR="003E5D82" w:rsidRPr="009448F5" w:rsidRDefault="003E5D82" w:rsidP="00776B3B">
            <w:pPr>
              <w:rPr>
                <w:rFonts w:ascii="Times New Roman" w:hAnsi="Times New Roman" w:cs="Times New Roman"/>
                <w:sz w:val="24"/>
                <w:szCs w:val="24"/>
              </w:rPr>
            </w:pPr>
          </w:p>
        </w:tc>
        <w:tc>
          <w:tcPr>
            <w:tcW w:w="1790" w:type="dxa"/>
            <w:vMerge/>
          </w:tcPr>
          <w:p w:rsidR="003E5D82" w:rsidRPr="009448F5" w:rsidRDefault="003E5D82" w:rsidP="00776B3B">
            <w:pPr>
              <w:rPr>
                <w:rFonts w:ascii="Times New Roman" w:hAnsi="Times New Roman" w:cs="Times New Roman"/>
                <w:sz w:val="24"/>
                <w:szCs w:val="24"/>
              </w:rPr>
            </w:pPr>
          </w:p>
        </w:tc>
        <w:tc>
          <w:tcPr>
            <w:tcW w:w="6432" w:type="dxa"/>
          </w:tcPr>
          <w:p w:rsidR="003E5D82" w:rsidRPr="009448F5" w:rsidRDefault="003E5D82"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2) Jei būtų numatyta, kad su mokslo institucijomis bendradarbiauti gali naujai įsteigtos įmonės, tai tikrai praplėstų galimų pareiškėjų bei projektų ratą. Mūsų siūlymas būtų leisti gauti finansavimą projektą parengusioms naujai įsteigtoms įmonėms.</w:t>
            </w:r>
          </w:p>
        </w:tc>
        <w:tc>
          <w:tcPr>
            <w:tcW w:w="1583" w:type="dxa"/>
          </w:tcPr>
          <w:p w:rsidR="003E5D82" w:rsidRPr="009448F5" w:rsidRDefault="009802DE" w:rsidP="003D4AFF">
            <w:pPr>
              <w:rPr>
                <w:rFonts w:ascii="Times New Roman" w:hAnsi="Times New Roman" w:cs="Times New Roman"/>
                <w:sz w:val="24"/>
                <w:szCs w:val="24"/>
              </w:rPr>
            </w:pPr>
            <w:r w:rsidRPr="009448F5">
              <w:rPr>
                <w:rFonts w:ascii="Times New Roman" w:hAnsi="Times New Roman" w:cs="Times New Roman"/>
                <w:sz w:val="24"/>
                <w:szCs w:val="24"/>
              </w:rPr>
              <w:t>Atsakyta</w:t>
            </w:r>
            <w:r w:rsidR="00CA3249" w:rsidRPr="009448F5">
              <w:rPr>
                <w:rFonts w:ascii="Times New Roman" w:hAnsi="Times New Roman" w:cs="Times New Roman"/>
                <w:sz w:val="24"/>
                <w:szCs w:val="24"/>
              </w:rPr>
              <w:t>.</w:t>
            </w:r>
          </w:p>
        </w:tc>
        <w:tc>
          <w:tcPr>
            <w:tcW w:w="4883" w:type="dxa"/>
          </w:tcPr>
          <w:p w:rsidR="003E5D82" w:rsidRPr="009448F5" w:rsidRDefault="00CA324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Atkreipiame dėmesį, kad pagal Aprašą tinkami pareiškėjai yra visi privatieji juridiniai asmenys, įskaitant ir naujai įsteigtas įmones, kurios vykdydamos projektą gali bendradarbiauti su mokslo institucijomis – mokslo ir studijų institucija gali būti tiek projekto partneriu, tiek toks bendradarbiavimas gali vykti ir platesne apimtimi nei projekto veiklos neįforminant oficialios partnerystės. </w:t>
            </w:r>
          </w:p>
        </w:tc>
      </w:tr>
      <w:tr w:rsidR="003E5D82" w:rsidRPr="009448F5" w:rsidTr="00E974B2">
        <w:trPr>
          <w:trHeight w:val="440"/>
        </w:trPr>
        <w:tc>
          <w:tcPr>
            <w:tcW w:w="665" w:type="dxa"/>
            <w:vMerge/>
          </w:tcPr>
          <w:p w:rsidR="003E5D82" w:rsidRPr="009448F5" w:rsidRDefault="003E5D82" w:rsidP="00776B3B">
            <w:pPr>
              <w:rPr>
                <w:rFonts w:ascii="Times New Roman" w:hAnsi="Times New Roman" w:cs="Times New Roman"/>
                <w:sz w:val="24"/>
                <w:szCs w:val="24"/>
              </w:rPr>
            </w:pPr>
          </w:p>
        </w:tc>
        <w:tc>
          <w:tcPr>
            <w:tcW w:w="1790" w:type="dxa"/>
            <w:vMerge/>
          </w:tcPr>
          <w:p w:rsidR="003E5D82" w:rsidRPr="009448F5" w:rsidRDefault="003E5D82" w:rsidP="00776B3B">
            <w:pPr>
              <w:rPr>
                <w:rFonts w:ascii="Times New Roman" w:hAnsi="Times New Roman" w:cs="Times New Roman"/>
                <w:sz w:val="24"/>
                <w:szCs w:val="24"/>
              </w:rPr>
            </w:pPr>
          </w:p>
        </w:tc>
        <w:tc>
          <w:tcPr>
            <w:tcW w:w="6432" w:type="dxa"/>
          </w:tcPr>
          <w:p w:rsidR="003E5D82" w:rsidRPr="009448F5" w:rsidRDefault="003E5D82"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3) </w:t>
            </w:r>
            <w:r w:rsidRPr="009448F5">
              <w:rPr>
                <w:rFonts w:ascii="Times New Roman" w:hAnsi="Times New Roman" w:cs="Times New Roman"/>
                <w:b/>
                <w:sz w:val="24"/>
                <w:szCs w:val="24"/>
              </w:rPr>
              <w:t>Reiktų numatyti finansavimo galimybę perkant paslaugas</w:t>
            </w:r>
            <w:r w:rsidRPr="009448F5">
              <w:rPr>
                <w:rFonts w:ascii="Times New Roman" w:hAnsi="Times New Roman" w:cs="Times New Roman"/>
                <w:sz w:val="24"/>
                <w:szCs w:val="24"/>
              </w:rPr>
              <w:t xml:space="preserve"> –  pavyzdžiui, projektams vykdyti bus reikalingi tyrimai, ir </w:t>
            </w:r>
            <w:r w:rsidRPr="009448F5">
              <w:rPr>
                <w:rFonts w:ascii="Times New Roman" w:hAnsi="Times New Roman" w:cs="Times New Roman"/>
                <w:sz w:val="24"/>
                <w:szCs w:val="24"/>
              </w:rPr>
              <w:lastRenderedPageBreak/>
              <w:t>tuomet yra dvi alternatyvos – arba pirkti laboratorinę įrangą, arba pirkti laboratorinių tyrimų paslaugas. Mūsų nuomone, matant kokios laboratorinės įrangos yra nupirktos ankstesniuose projektuose (pvz., vykdant „Nemuno slėnio“ projektą), reiktų orientuotis į jau sudėtų investicijų išnaudojimą. Jei būtų finansuojami tokių laboratorinių tyrimų paslaugų pirkimai, būtų gaunama dvejopa nauda – ir labiau išnaudojamos jau įdėtos investicijos, ir būtų skatinamas verslo ir mokslo bendradarbiavimas vystant naujas idėjas, pasinaudojant esama įranga.</w:t>
            </w:r>
          </w:p>
        </w:tc>
        <w:tc>
          <w:tcPr>
            <w:tcW w:w="1583" w:type="dxa"/>
          </w:tcPr>
          <w:p w:rsidR="003E5D82" w:rsidRPr="009448F5" w:rsidRDefault="006D2B75"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Atsakyta</w:t>
            </w:r>
            <w:r w:rsidR="00CA3249" w:rsidRPr="009448F5">
              <w:rPr>
                <w:rFonts w:ascii="Times New Roman" w:hAnsi="Times New Roman" w:cs="Times New Roman"/>
                <w:sz w:val="24"/>
                <w:szCs w:val="24"/>
              </w:rPr>
              <w:t xml:space="preserve">. </w:t>
            </w:r>
          </w:p>
        </w:tc>
        <w:tc>
          <w:tcPr>
            <w:tcW w:w="4883" w:type="dxa"/>
          </w:tcPr>
          <w:p w:rsidR="006D2B75" w:rsidRPr="009448F5" w:rsidRDefault="006D2B75"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Pažymėtina, kad Aprašo 10.2 papunktyje nurodyta remiama veikla yra įmonių pradinės </w:t>
            </w:r>
            <w:r w:rsidRPr="009448F5">
              <w:rPr>
                <w:rFonts w:ascii="Times New Roman" w:hAnsi="Times New Roman" w:cs="Times New Roman"/>
                <w:sz w:val="24"/>
                <w:szCs w:val="24"/>
              </w:rPr>
              <w:lastRenderedPageBreak/>
              <w:t>investicijos, kuriomis kuriama naujos ar plečiama esamos įmonės MTEP ir inovacijų infrastruktūra bei kuri nėra prieinama viešai arba klasteriuose. Tai reiškia, kad jeigu viešai (pvz., slėniuose) yra prieinama reikalinga infrastruktūra, tai tokiai infrastruktūrai sukurti ir (ar) išplėsti pagal Aprašą finansavimas negali būti skiriamas.</w:t>
            </w:r>
          </w:p>
          <w:p w:rsidR="001001A1" w:rsidRPr="009448F5" w:rsidRDefault="006D2B75"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Informuojame, kad </w:t>
            </w:r>
            <w:r w:rsidR="00CA3249" w:rsidRPr="009448F5">
              <w:rPr>
                <w:rFonts w:ascii="Times New Roman" w:hAnsi="Times New Roman" w:cs="Times New Roman"/>
                <w:sz w:val="24"/>
                <w:szCs w:val="24"/>
              </w:rPr>
              <w:t xml:space="preserve">Aprašo 46.2 </w:t>
            </w:r>
            <w:r w:rsidR="002F7C84" w:rsidRPr="009448F5">
              <w:rPr>
                <w:rFonts w:ascii="Times New Roman" w:hAnsi="Times New Roman" w:cs="Times New Roman"/>
                <w:sz w:val="24"/>
                <w:szCs w:val="24"/>
              </w:rPr>
              <w:t>papunktyje</w:t>
            </w:r>
            <w:r w:rsidR="001001A1" w:rsidRPr="009448F5">
              <w:rPr>
                <w:rFonts w:ascii="Times New Roman" w:hAnsi="Times New Roman" w:cs="Times New Roman"/>
                <w:sz w:val="24"/>
                <w:szCs w:val="24"/>
              </w:rPr>
              <w:t xml:space="preserve"> prie 4 išlaidų kategorijos kaip tinkamos finansuoti išlaidos yra numatytos MTEP pa</w:t>
            </w:r>
            <w:r w:rsidR="002F7C84" w:rsidRPr="009448F5">
              <w:rPr>
                <w:rFonts w:ascii="Times New Roman" w:hAnsi="Times New Roman" w:cs="Times New Roman"/>
                <w:sz w:val="24"/>
                <w:szCs w:val="24"/>
              </w:rPr>
              <w:t>slaugų įsigijimo išlaidos – „</w:t>
            </w:r>
            <w:r w:rsidR="002F7C84" w:rsidRPr="009448F5">
              <w:rPr>
                <w:rFonts w:ascii="Times New Roman" w:hAnsi="Times New Roman" w:cs="Times New Roman"/>
                <w:i/>
                <w:sz w:val="24"/>
                <w:szCs w:val="24"/>
              </w:rPr>
              <w:t>MTEP paslaugų</w:t>
            </w:r>
            <w:r w:rsidR="002F7C84" w:rsidRPr="009448F5">
              <w:rPr>
                <w:rFonts w:ascii="Times New Roman" w:hAnsi="Times New Roman" w:cs="Times New Roman"/>
                <w:sz w:val="24"/>
                <w:szCs w:val="24"/>
              </w:rPr>
              <w:t xml:space="preserve">, techninių žinių ir išradimų patentų arba teisių pagal licencijos sutartį </w:t>
            </w:r>
            <w:r w:rsidR="002F7C84" w:rsidRPr="009448F5">
              <w:rPr>
                <w:rFonts w:ascii="Times New Roman" w:hAnsi="Times New Roman" w:cs="Times New Roman"/>
                <w:i/>
                <w:sz w:val="24"/>
                <w:szCs w:val="24"/>
              </w:rPr>
              <w:t>įsigijimo išlaidos</w:t>
            </w:r>
            <w:r w:rsidR="002F7C84" w:rsidRPr="009448F5">
              <w:rPr>
                <w:rFonts w:ascii="Times New Roman" w:hAnsi="Times New Roman" w:cs="Times New Roman"/>
                <w:sz w:val="24"/>
                <w:szCs w:val="24"/>
              </w:rPr>
              <w:t xml:space="preserve"> &lt;...&gt;“. Dėl aiškumo potencialiems pareiškėjams šios išlaidos bus išskirtos atskiru punktu prie 5 išlaidų kategorijos „Projekto vykdymas“. </w:t>
            </w:r>
          </w:p>
          <w:p w:rsidR="003E5D82" w:rsidRPr="009448F5" w:rsidRDefault="003D4AFF" w:rsidP="00A94189">
            <w:pPr>
              <w:jc w:val="both"/>
              <w:rPr>
                <w:rFonts w:ascii="Times New Roman" w:hAnsi="Times New Roman" w:cs="Times New Roman"/>
                <w:sz w:val="24"/>
                <w:szCs w:val="24"/>
              </w:rPr>
            </w:pPr>
            <w:r w:rsidRPr="009448F5">
              <w:rPr>
                <w:rFonts w:ascii="Times New Roman" w:hAnsi="Times New Roman" w:cs="Times New Roman"/>
                <w:sz w:val="24"/>
                <w:szCs w:val="24"/>
              </w:rPr>
              <w:t xml:space="preserve">Tačiau atkreiptinas dėmesys, kad Bendrojo bendrosios išimties reglamento 25 straipsnio 3 dalyje nustatyta, </w:t>
            </w:r>
            <w:r w:rsidR="006D2B75" w:rsidRPr="009448F5">
              <w:rPr>
                <w:rFonts w:ascii="Times New Roman" w:hAnsi="Times New Roman" w:cs="Times New Roman"/>
                <w:sz w:val="24"/>
                <w:szCs w:val="24"/>
              </w:rPr>
              <w:t>jog</w:t>
            </w:r>
            <w:r w:rsidRPr="009448F5">
              <w:rPr>
                <w:rFonts w:ascii="Times New Roman" w:hAnsi="Times New Roman" w:cs="Times New Roman"/>
                <w:sz w:val="24"/>
                <w:szCs w:val="24"/>
              </w:rPr>
              <w:t xml:space="preserve"> tinkamos finansuoti yra tik pagal sutartis vykdomų mokslinių tyrimų, įsigytų iš išorės šaltinių įprastomis rinkos sąlygomis, įsigijimo išlaidos. </w:t>
            </w:r>
            <w:r w:rsidR="006D2B75" w:rsidRPr="009448F5">
              <w:rPr>
                <w:rFonts w:ascii="Times New Roman" w:hAnsi="Times New Roman" w:cs="Times New Roman"/>
                <w:sz w:val="24"/>
                <w:szCs w:val="24"/>
              </w:rPr>
              <w:t>Taigi, įsigyjant MTEP paslaugą, pvz., iš mokslo ir studijų institucijos, tokia paslauga turi atitikti rinkos kainą. Taip pat atkreiptinas dėmesys,</w:t>
            </w:r>
            <w:r w:rsidR="00E92B5C" w:rsidRPr="009448F5">
              <w:rPr>
                <w:rFonts w:ascii="Times New Roman" w:hAnsi="Times New Roman" w:cs="Times New Roman"/>
                <w:sz w:val="24"/>
                <w:szCs w:val="24"/>
              </w:rPr>
              <w:t xml:space="preserve"> kad Projektų administravimo ir finansavimo taisyklėse,</w:t>
            </w:r>
            <w:r w:rsidR="006D2B75" w:rsidRPr="009448F5">
              <w:rPr>
                <w:rFonts w:ascii="Times New Roman" w:hAnsi="Times New Roman" w:cs="Times New Roman"/>
                <w:sz w:val="24"/>
                <w:szCs w:val="24"/>
              </w:rPr>
              <w:t xml:space="preserve"> </w:t>
            </w:r>
            <w:r w:rsidR="00E92B5C" w:rsidRPr="009448F5">
              <w:rPr>
                <w:rFonts w:ascii="Times New Roman" w:hAnsi="Times New Roman" w:cs="Times New Roman"/>
                <w:sz w:val="24"/>
                <w:szCs w:val="24"/>
              </w:rPr>
              <w:t xml:space="preserve">patvirtintose Lietuvos Respublikos finansų ministro 2014 m. spalio 8 d. įsakymu Nr. 1K-316, nurodyta, kad „netinkamomis finansuoti išlaidomis laikomos išlaidos, patirtos iš projekto vykdytojo ar partnerio įsigyjant prekes, paslaugas (įskaitant trumpalaikio ir ilgalaikio turto, taip pat nekilnojamojo turto nuomą) ar darbus“. Taigi, jeigu, kaip </w:t>
            </w:r>
            <w:r w:rsidR="00E92B5C" w:rsidRPr="009448F5">
              <w:rPr>
                <w:rFonts w:ascii="Times New Roman" w:hAnsi="Times New Roman" w:cs="Times New Roman"/>
                <w:sz w:val="24"/>
                <w:szCs w:val="24"/>
              </w:rPr>
              <w:lastRenderedPageBreak/>
              <w:t xml:space="preserve">pateikiamas pavyzdys aukščiau, MTEP paslauga įsigyjama iš mokslo ir studijų institucijos, kuri yra projekto partneris, tai tokios paslaugos įsigijimo išlaidos būtų netinkamos finansuoti išlaidos. </w:t>
            </w:r>
          </w:p>
        </w:tc>
      </w:tr>
      <w:tr w:rsidR="00B42435" w:rsidRPr="009448F5" w:rsidTr="00E974B2">
        <w:trPr>
          <w:trHeight w:val="412"/>
        </w:trPr>
        <w:tc>
          <w:tcPr>
            <w:tcW w:w="665" w:type="dxa"/>
            <w:vMerge w:val="restart"/>
          </w:tcPr>
          <w:p w:rsidR="00B42435" w:rsidRPr="009448F5" w:rsidRDefault="00B42435" w:rsidP="00B42435">
            <w:pPr>
              <w:rPr>
                <w:rFonts w:ascii="Times New Roman" w:hAnsi="Times New Roman" w:cs="Times New Roman"/>
                <w:sz w:val="24"/>
                <w:szCs w:val="24"/>
              </w:rPr>
            </w:pPr>
            <w:r w:rsidRPr="009448F5">
              <w:rPr>
                <w:rFonts w:ascii="Times New Roman" w:hAnsi="Times New Roman" w:cs="Times New Roman"/>
                <w:sz w:val="24"/>
                <w:szCs w:val="24"/>
              </w:rPr>
              <w:lastRenderedPageBreak/>
              <w:t xml:space="preserve">3. </w:t>
            </w:r>
          </w:p>
        </w:tc>
        <w:tc>
          <w:tcPr>
            <w:tcW w:w="1790" w:type="dxa"/>
            <w:vMerge w:val="restart"/>
          </w:tcPr>
          <w:p w:rsidR="00B42435" w:rsidRPr="009448F5" w:rsidRDefault="00B42435" w:rsidP="00B42435">
            <w:pPr>
              <w:rPr>
                <w:rFonts w:ascii="Times New Roman" w:hAnsi="Times New Roman" w:cs="Times New Roman"/>
                <w:sz w:val="24"/>
                <w:szCs w:val="24"/>
              </w:rPr>
            </w:pPr>
            <w:r w:rsidRPr="009448F5">
              <w:rPr>
                <w:rFonts w:ascii="Times New Roman" w:hAnsi="Times New Roman" w:cs="Times New Roman"/>
                <w:sz w:val="24"/>
                <w:szCs w:val="24"/>
              </w:rPr>
              <w:t>Asociacija „Žinių ekonomikos forumas“</w:t>
            </w:r>
          </w:p>
        </w:tc>
        <w:tc>
          <w:tcPr>
            <w:tcW w:w="6432" w:type="dxa"/>
          </w:tcPr>
          <w:p w:rsidR="00B42435" w:rsidRPr="009448F5" w:rsidRDefault="00B42435" w:rsidP="00B42435">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hAnsi="Times New Roman" w:cs="Times New Roman"/>
                <w:sz w:val="24"/>
                <w:szCs w:val="24"/>
              </w:rPr>
              <w:t>1) Pastaba Aprašo 4.5 papunkčiui „</w:t>
            </w:r>
            <w:r w:rsidRPr="009448F5">
              <w:rPr>
                <w:rFonts w:ascii="Times New Roman" w:eastAsia="Times New Roman" w:hAnsi="Times New Roman" w:cs="Times New Roman"/>
                <w:b/>
                <w:bCs/>
                <w:sz w:val="24"/>
                <w:szCs w:val="24"/>
                <w:lang w:eastAsia="lt-LT"/>
              </w:rPr>
              <w:t>Taikomųjų (pramoninių) mokslinių tyrimų ir (ar) eksperimentinės plėtros (bandomosios taikomosios veiklos) (toliau – MTEP) ir inovacijų infrastruktūra</w:t>
            </w:r>
            <w:r w:rsidRPr="009448F5">
              <w:rPr>
                <w:rFonts w:ascii="Times New Roman" w:eastAsia="Times New Roman" w:hAnsi="Times New Roman" w:cs="Times New Roman"/>
                <w:sz w:val="24"/>
                <w:szCs w:val="24"/>
                <w:lang w:eastAsia="lt-LT"/>
              </w:rPr>
              <w:t xml:space="preserve"> – MTEP vykdyti reikalinga infrastruktūra, </w:t>
            </w:r>
            <w:r w:rsidRPr="009448F5">
              <w:rPr>
                <w:rFonts w:ascii="Times New Roman" w:eastAsia="Times New Roman" w:hAnsi="Times New Roman" w:cs="Times New Roman"/>
                <w:b/>
                <w:bCs/>
                <w:sz w:val="24"/>
                <w:szCs w:val="24"/>
                <w:lang w:eastAsia="lt-LT"/>
              </w:rPr>
              <w:t>taip pat</w:t>
            </w:r>
            <w:r w:rsidRPr="009448F5">
              <w:rPr>
                <w:rFonts w:ascii="Times New Roman" w:eastAsia="Times New Roman" w:hAnsi="Times New Roman" w:cs="Times New Roman"/>
                <w:sz w:val="24"/>
                <w:szCs w:val="24"/>
                <w:lang w:eastAsia="lt-LT"/>
              </w:rPr>
              <w:t xml:space="preserve"> gerosios gamybos praktikos reikalavimus atitinkančios patalpos, kaip nurodyta gerosios gamybos praktikos vadove, bei gerosios laboratorijos praktikos reikalavimus atitinkančios patalpos.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p>
          <w:p w:rsidR="00B42435" w:rsidRPr="009448F5" w:rsidRDefault="00B42435" w:rsidP="00B42435">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Pagal šia priemonę yra tinkamos investicijos tik tiesiogiai susijusios su MTEPI. Manome, kad vien tik investicijos į gerosios gamybos praktikos reikalavimus atitinkančias patalpas nėra tinkamos, jei jos  nėra  susijusios su MTEPI infrastuktūra.</w:t>
            </w:r>
          </w:p>
          <w:p w:rsidR="00B42435" w:rsidRPr="009448F5" w:rsidRDefault="00B42435" w:rsidP="00B42435">
            <w:pPr>
              <w:pStyle w:val="ListParagraph"/>
              <w:tabs>
                <w:tab w:val="left" w:pos="716"/>
              </w:tabs>
              <w:ind w:left="0"/>
              <w:jc w:val="both"/>
              <w:rPr>
                <w:rFonts w:ascii="Times New Roman" w:hAnsi="Times New Roman" w:cs="Times New Roman"/>
                <w:sz w:val="24"/>
                <w:szCs w:val="24"/>
              </w:rPr>
            </w:pPr>
            <w:r w:rsidRPr="009448F5">
              <w:rPr>
                <w:rFonts w:ascii="Times New Roman" w:eastAsia="Times New Roman" w:hAnsi="Times New Roman" w:cs="Times New Roman"/>
                <w:b/>
                <w:bCs/>
                <w:i/>
                <w:sz w:val="24"/>
                <w:szCs w:val="24"/>
                <w:u w:val="single"/>
                <w:lang w:eastAsia="lt-LT"/>
              </w:rPr>
              <w:t>Siūlome patikslinti 4.5 punktą:</w:t>
            </w:r>
            <w:r w:rsidRPr="009448F5">
              <w:rPr>
                <w:rFonts w:ascii="Times New Roman" w:eastAsia="Times New Roman" w:hAnsi="Times New Roman" w:cs="Times New Roman"/>
                <w:i/>
                <w:sz w:val="24"/>
                <w:szCs w:val="24"/>
                <w:lang w:eastAsia="lt-LT"/>
              </w:rPr>
              <w:t xml:space="preserve"> pakeičiant „</w:t>
            </w:r>
            <w:r w:rsidRPr="009448F5">
              <w:rPr>
                <w:rFonts w:ascii="Times New Roman" w:eastAsia="Times New Roman" w:hAnsi="Times New Roman" w:cs="Times New Roman"/>
                <w:b/>
                <w:bCs/>
                <w:i/>
                <w:sz w:val="24"/>
                <w:szCs w:val="24"/>
                <w:lang w:eastAsia="lt-LT"/>
              </w:rPr>
              <w:t>taip pat</w:t>
            </w:r>
            <w:r w:rsidRPr="009448F5">
              <w:rPr>
                <w:rFonts w:ascii="Times New Roman" w:eastAsia="Times New Roman" w:hAnsi="Times New Roman" w:cs="Times New Roman"/>
                <w:bCs/>
                <w:i/>
                <w:sz w:val="24"/>
                <w:szCs w:val="24"/>
                <w:lang w:eastAsia="lt-LT"/>
              </w:rPr>
              <w:t>“</w:t>
            </w:r>
            <w:r w:rsidRPr="009448F5">
              <w:rPr>
                <w:rFonts w:ascii="Times New Roman" w:eastAsia="Times New Roman" w:hAnsi="Times New Roman" w:cs="Times New Roman"/>
                <w:i/>
                <w:sz w:val="24"/>
                <w:szCs w:val="24"/>
                <w:lang w:eastAsia="lt-LT"/>
              </w:rPr>
              <w:t xml:space="preserve"> į „</w:t>
            </w:r>
            <w:r w:rsidRPr="009448F5">
              <w:rPr>
                <w:rFonts w:ascii="Times New Roman" w:eastAsia="Times New Roman" w:hAnsi="Times New Roman" w:cs="Times New Roman"/>
                <w:b/>
                <w:i/>
                <w:sz w:val="24"/>
                <w:szCs w:val="24"/>
                <w:lang w:eastAsia="lt-LT"/>
              </w:rPr>
              <w:t>kuri gali apimti</w:t>
            </w:r>
            <w:r w:rsidRPr="009448F5">
              <w:rPr>
                <w:rFonts w:ascii="Times New Roman" w:eastAsia="Times New Roman" w:hAnsi="Times New Roman" w:cs="Times New Roman"/>
                <w:i/>
                <w:sz w:val="24"/>
                <w:szCs w:val="24"/>
                <w:lang w:eastAsia="lt-LT"/>
              </w:rPr>
              <w:t xml:space="preserve">“.  </w:t>
            </w:r>
          </w:p>
        </w:tc>
        <w:tc>
          <w:tcPr>
            <w:tcW w:w="1583" w:type="dxa"/>
          </w:tcPr>
          <w:p w:rsidR="00B42435" w:rsidRPr="009448F5" w:rsidRDefault="00B42435" w:rsidP="00B42435">
            <w:pPr>
              <w:rPr>
                <w:rFonts w:ascii="Times New Roman" w:hAnsi="Times New Roman" w:cs="Times New Roman"/>
                <w:sz w:val="24"/>
                <w:szCs w:val="24"/>
              </w:rPr>
            </w:pPr>
            <w:r w:rsidRPr="009448F5">
              <w:rPr>
                <w:rFonts w:ascii="Times New Roman" w:hAnsi="Times New Roman" w:cs="Times New Roman"/>
                <w:sz w:val="24"/>
                <w:szCs w:val="24"/>
              </w:rPr>
              <w:t xml:space="preserve">Atsižvelgta. </w:t>
            </w:r>
          </w:p>
        </w:tc>
        <w:tc>
          <w:tcPr>
            <w:tcW w:w="4883" w:type="dxa"/>
          </w:tcPr>
          <w:p w:rsidR="00B42435" w:rsidRPr="009448F5" w:rsidRDefault="0000794A" w:rsidP="00B42435">
            <w:pPr>
              <w:jc w:val="both"/>
              <w:rPr>
                <w:rFonts w:ascii="Times New Roman" w:hAnsi="Times New Roman" w:cs="Times New Roman"/>
                <w:sz w:val="24"/>
                <w:szCs w:val="24"/>
              </w:rPr>
            </w:pPr>
            <w:r w:rsidRPr="009448F5">
              <w:rPr>
                <w:rFonts w:ascii="Times New Roman" w:hAnsi="Times New Roman" w:cs="Times New Roman"/>
                <w:sz w:val="24"/>
                <w:szCs w:val="24"/>
              </w:rPr>
              <w:t>Į pateiktą pastabą atsižvelgta, Aprašo nuostatos pakoreguotos.</w:t>
            </w:r>
          </w:p>
        </w:tc>
      </w:tr>
      <w:tr w:rsidR="003E5D82" w:rsidRPr="009448F5" w:rsidTr="00B42435">
        <w:trPr>
          <w:trHeight w:val="699"/>
        </w:trPr>
        <w:tc>
          <w:tcPr>
            <w:tcW w:w="665" w:type="dxa"/>
            <w:vMerge/>
          </w:tcPr>
          <w:p w:rsidR="003E5D82" w:rsidRPr="009448F5" w:rsidRDefault="003E5D82" w:rsidP="00776B3B">
            <w:pPr>
              <w:rPr>
                <w:rFonts w:ascii="Times New Roman" w:hAnsi="Times New Roman" w:cs="Times New Roman"/>
                <w:sz w:val="24"/>
                <w:szCs w:val="24"/>
              </w:rPr>
            </w:pPr>
          </w:p>
        </w:tc>
        <w:tc>
          <w:tcPr>
            <w:tcW w:w="1790" w:type="dxa"/>
            <w:vMerge/>
          </w:tcPr>
          <w:p w:rsidR="003E5D82" w:rsidRPr="009448F5" w:rsidRDefault="003E5D82" w:rsidP="00776B3B">
            <w:pPr>
              <w:rPr>
                <w:rFonts w:ascii="Times New Roman" w:hAnsi="Times New Roman" w:cs="Times New Roman"/>
                <w:sz w:val="24"/>
                <w:szCs w:val="24"/>
              </w:rPr>
            </w:pPr>
          </w:p>
        </w:tc>
        <w:tc>
          <w:tcPr>
            <w:tcW w:w="6432" w:type="dxa"/>
          </w:tcPr>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hAnsi="Times New Roman" w:cs="Times New Roman"/>
                <w:sz w:val="24"/>
                <w:szCs w:val="24"/>
              </w:rPr>
              <w:t>2) Pastabos Aprašo 10 punktui „</w:t>
            </w:r>
            <w:r w:rsidRPr="009448F5">
              <w:rPr>
                <w:rFonts w:ascii="Times New Roman" w:eastAsia="Times New Roman" w:hAnsi="Times New Roman" w:cs="Times New Roman"/>
                <w:sz w:val="24"/>
                <w:szCs w:val="24"/>
                <w:lang w:eastAsia="lt-LT"/>
              </w:rPr>
              <w:t xml:space="preserve">10. Pagal Aprašą remiamos šios veiklos: 10.1. [...]; </w:t>
            </w:r>
          </w:p>
          <w:p w:rsidR="003E5D82" w:rsidRPr="009448F5" w:rsidRDefault="003E5D82" w:rsidP="00776B3B">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 xml:space="preserve">10.2. įmonių pradinės investicijos, kuriomis kuriama naujos ar plečiama esamos įmonės MTEP ir inovacijų infrastruktūra bei kuri nėra </w:t>
            </w:r>
            <w:r w:rsidRPr="009448F5">
              <w:rPr>
                <w:rFonts w:ascii="Times New Roman" w:eastAsia="Times New Roman" w:hAnsi="Times New Roman" w:cs="Times New Roman"/>
                <w:b/>
                <w:bCs/>
                <w:sz w:val="24"/>
                <w:szCs w:val="24"/>
                <w:lang w:eastAsia="lt-LT"/>
              </w:rPr>
              <w:t>prieinama viešai arba klasteriuose</w:t>
            </w:r>
            <w:r w:rsidRPr="009448F5">
              <w:rPr>
                <w:rFonts w:ascii="Times New Roman" w:eastAsia="Times New Roman" w:hAnsi="Times New Roman" w:cs="Times New Roman"/>
                <w:sz w:val="24"/>
                <w:szCs w:val="24"/>
                <w:lang w:eastAsia="lt-LT"/>
              </w:rPr>
              <w:t xml:space="preserve">. Viešai prieinama infrastruktūra laikoma tokia infrastruktūra, kuri įtraukta į Atviros prieigos centrų registrą, skelbiamą interneto svetainėje </w:t>
            </w:r>
            <w:hyperlink r:id="rId10" w:history="1">
              <w:r w:rsidRPr="009448F5">
                <w:rPr>
                  <w:rStyle w:val="Hyperlink"/>
                  <w:rFonts w:ascii="Times New Roman" w:eastAsia="Times New Roman" w:hAnsi="Times New Roman" w:cs="Times New Roman"/>
                  <w:color w:val="auto"/>
                  <w:sz w:val="24"/>
                  <w:szCs w:val="24"/>
                  <w:u w:val="none"/>
                  <w:lang w:eastAsia="lt-LT"/>
                </w:rPr>
                <w:t>http://www.mita.lt/lt/inovacijos/atviros-prieigos-centrai/</w:t>
              </w:r>
            </w:hyperlink>
            <w:r w:rsidRPr="009448F5">
              <w:rPr>
                <w:rFonts w:ascii="Times New Roman" w:eastAsia="Times New Roman" w:hAnsi="Times New Roman" w:cs="Times New Roman"/>
                <w:sz w:val="24"/>
                <w:szCs w:val="24"/>
                <w:lang w:eastAsia="lt-LT"/>
              </w:rPr>
              <w:t xml:space="preserve">. Klasteriuose prieinama infrastruktūra laikoma tokia infrastruktūra, kuri finansuota Ekonomikos augimo veiksmų programos VP2-1.4-ŪM-02-K priemonės „Inoklaster LT+“ </w:t>
            </w:r>
            <w:r w:rsidRPr="009448F5">
              <w:rPr>
                <w:rFonts w:ascii="Times New Roman" w:eastAsia="Times New Roman" w:hAnsi="Times New Roman" w:cs="Times New Roman"/>
                <w:sz w:val="24"/>
                <w:szCs w:val="24"/>
                <w:lang w:eastAsia="lt-LT"/>
              </w:rPr>
              <w:lastRenderedPageBreak/>
              <w:t>lėšomis“:</w:t>
            </w:r>
          </w:p>
          <w:p w:rsidR="003E5D82" w:rsidRPr="009448F5" w:rsidRDefault="003E5D82" w:rsidP="00776B3B">
            <w:pPr>
              <w:pStyle w:val="ListParagraph"/>
              <w:tabs>
                <w:tab w:val="left" w:pos="716"/>
              </w:tabs>
              <w:ind w:left="0"/>
              <w:jc w:val="both"/>
              <w:rPr>
                <w:rFonts w:ascii="Times New Roman" w:eastAsia="Times New Roman" w:hAnsi="Times New Roman" w:cs="Times New Roman"/>
                <w:sz w:val="24"/>
                <w:szCs w:val="24"/>
                <w:lang w:eastAsia="lt-LT"/>
              </w:rPr>
            </w:pPr>
          </w:p>
          <w:p w:rsidR="003E5D82" w:rsidRPr="009448F5" w:rsidRDefault="003E5D82" w:rsidP="00776B3B">
            <w:pPr>
              <w:pStyle w:val="ListParagraph"/>
              <w:tabs>
                <w:tab w:val="left" w:pos="716"/>
              </w:tabs>
              <w:ind w:left="0"/>
              <w:jc w:val="both"/>
              <w:rPr>
                <w:rFonts w:ascii="Times New Roman" w:eastAsia="Times New Roman" w:hAnsi="Times New Roman" w:cs="Times New Roman"/>
                <w:i/>
                <w:sz w:val="24"/>
                <w:szCs w:val="24"/>
                <w:lang w:eastAsia="lt-LT"/>
              </w:rPr>
            </w:pPr>
            <w:r w:rsidRPr="009448F5">
              <w:rPr>
                <w:rFonts w:ascii="Times New Roman" w:hAnsi="Times New Roman" w:cs="Times New Roman"/>
                <w:sz w:val="24"/>
                <w:szCs w:val="24"/>
              </w:rPr>
              <w:t xml:space="preserve">2.1) </w:t>
            </w:r>
            <w:r w:rsidRPr="009448F5">
              <w:rPr>
                <w:rFonts w:ascii="Times New Roman" w:eastAsia="Times New Roman" w:hAnsi="Times New Roman" w:cs="Times New Roman"/>
                <w:i/>
                <w:sz w:val="24"/>
                <w:szCs w:val="24"/>
                <w:lang w:eastAsia="lt-LT"/>
              </w:rPr>
              <w:t>Manome, kad tiek Atviros prieigos centrų registre įvardinta infrastuktūra, tiek klasteriuose esanti infrastuktūra, kuri yra sukurta finansuojant pagal priemonę „Inoklaster  LT+“ yra prieinama viešai, todėl netikslinga naudoti  žodžių junginį „prieinama viešai arba klasteriuose“.</w:t>
            </w:r>
          </w:p>
          <w:p w:rsidR="003E5D82" w:rsidRPr="009448F5" w:rsidRDefault="003E5D82" w:rsidP="00776B3B">
            <w:pPr>
              <w:pStyle w:val="ListParagraph"/>
              <w:tabs>
                <w:tab w:val="left" w:pos="716"/>
              </w:tabs>
              <w:ind w:left="0"/>
              <w:jc w:val="both"/>
              <w:rPr>
                <w:rFonts w:ascii="Times New Roman" w:hAnsi="Times New Roman" w:cs="Times New Roman"/>
                <w:i/>
                <w:sz w:val="24"/>
                <w:szCs w:val="24"/>
              </w:rPr>
            </w:pPr>
            <w:r w:rsidRPr="009448F5">
              <w:rPr>
                <w:rFonts w:ascii="Times New Roman" w:eastAsia="Times New Roman" w:hAnsi="Times New Roman" w:cs="Times New Roman"/>
                <w:b/>
                <w:bCs/>
                <w:i/>
                <w:sz w:val="24"/>
                <w:szCs w:val="24"/>
                <w:u w:val="single"/>
                <w:lang w:eastAsia="lt-LT"/>
              </w:rPr>
              <w:t>Siūlome patikslinti 10.2 punktą</w:t>
            </w:r>
            <w:r w:rsidRPr="009448F5">
              <w:rPr>
                <w:rFonts w:ascii="Times New Roman" w:eastAsia="Times New Roman" w:hAnsi="Times New Roman" w:cs="Times New Roman"/>
                <w:i/>
                <w:sz w:val="24"/>
                <w:szCs w:val="24"/>
                <w:lang w:eastAsia="lt-LT"/>
              </w:rPr>
              <w:t>: „10.2 įmonių pradinės investicijos, kuriomis kuriama naujos ar plečiama esamos įmonės MTEP ir inovacijų infrastruktūra bei kuri nėra prieinama viešai. Viešai prieinama infrastruktūra laikoma tokia infrastruktūra, kuri įtraukta į Atviros prieigos centrų registrą, skelbiamą interneto svetainėje http://www.mita.lt/lt/inovacijos/atviros-prieigos-centrai/ ir/arba sukurta finansuojant Ekonomikos augimo veiksmų programos VP2-1.4-ŪM-02-K priemonės „Inoklaster LT+“ lėšomis.“</w:t>
            </w:r>
          </w:p>
          <w:p w:rsidR="003E5D82" w:rsidRPr="009448F5" w:rsidRDefault="003E5D82" w:rsidP="00776B3B">
            <w:pPr>
              <w:pStyle w:val="ListParagraph"/>
              <w:tabs>
                <w:tab w:val="left" w:pos="716"/>
              </w:tabs>
              <w:ind w:left="0"/>
              <w:jc w:val="both"/>
              <w:rPr>
                <w:rFonts w:ascii="Times New Roman" w:hAnsi="Times New Roman" w:cs="Times New Roman"/>
                <w:sz w:val="24"/>
                <w:szCs w:val="24"/>
              </w:rPr>
            </w:pPr>
          </w:p>
          <w:p w:rsidR="003E5D82"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hAnsi="Times New Roman" w:cs="Times New Roman"/>
                <w:sz w:val="24"/>
                <w:szCs w:val="24"/>
              </w:rPr>
              <w:t xml:space="preserve">2.2) </w:t>
            </w:r>
            <w:r w:rsidRPr="009448F5">
              <w:rPr>
                <w:rFonts w:ascii="Times New Roman" w:eastAsia="Times New Roman" w:hAnsi="Times New Roman" w:cs="Times New Roman"/>
                <w:bCs/>
                <w:sz w:val="24"/>
                <w:szCs w:val="24"/>
                <w:lang w:eastAsia="lt-LT"/>
              </w:rPr>
              <w:t xml:space="preserve"> </w:t>
            </w:r>
            <w:r w:rsidRPr="009448F5">
              <w:rPr>
                <w:rFonts w:ascii="Times New Roman" w:eastAsia="Times New Roman" w:hAnsi="Times New Roman" w:cs="Times New Roman"/>
                <w:bCs/>
                <w:i/>
                <w:sz w:val="24"/>
                <w:szCs w:val="24"/>
                <w:lang w:eastAsia="lt-LT"/>
              </w:rPr>
              <w:t xml:space="preserve">Kadangi priemonė skirta paskatinti „ir naujų inovacinių įmonių steigimąsi“ manome, kad įmonėms bus papildomas apsunkinimas įsitikinti, ar jos pageidaujama atlikti investicija nedubliuos </w:t>
            </w:r>
            <w:r w:rsidRPr="009448F5">
              <w:rPr>
                <w:rFonts w:ascii="Times New Roman" w:eastAsia="Times New Roman" w:hAnsi="Times New Roman" w:cs="Times New Roman"/>
                <w:i/>
                <w:sz w:val="24"/>
                <w:szCs w:val="24"/>
                <w:lang w:eastAsia="lt-LT"/>
              </w:rPr>
              <w:t xml:space="preserve">Atviros prieigos centrų registre esančios infrastruktūros (lieka neaišku, kaip sužinoti specifines tokios įrangos charakteristikas ir jos atitiktį pageidaujamai plėtoti MTEP infrastruktūrai). </w:t>
            </w:r>
            <w:r w:rsidRPr="009448F5">
              <w:rPr>
                <w:rFonts w:ascii="Times New Roman" w:eastAsia="Times New Roman" w:hAnsi="Times New Roman" w:cs="Times New Roman"/>
                <w:b/>
                <w:bCs/>
                <w:i/>
                <w:sz w:val="24"/>
                <w:szCs w:val="24"/>
                <w:lang w:eastAsia="lt-LT"/>
              </w:rPr>
              <w:t xml:space="preserve"> Būtina apraše įvardinti (i) kriterijus bei (ii) mechanizmą</w:t>
            </w:r>
            <w:r w:rsidRPr="009448F5">
              <w:rPr>
                <w:rFonts w:ascii="Times New Roman" w:eastAsia="Times New Roman" w:hAnsi="Times New Roman" w:cs="Times New Roman"/>
                <w:i/>
                <w:sz w:val="24"/>
                <w:szCs w:val="24"/>
                <w:lang w:eastAsia="lt-LT"/>
              </w:rPr>
              <w:t>, kurių pagalba bus pateikiami įrodymai dėl to ar reikalinga infrastruktūra nėra registre ir sprendžiama, ar pagal priemonę „Intelektas LT“  planuojama kurti infrastuktūra nedubliuoja viešai prieinamos infrastuktūros.</w:t>
            </w:r>
          </w:p>
          <w:p w:rsidR="003E5D82"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b/>
                <w:bCs/>
                <w:i/>
                <w:sz w:val="24"/>
                <w:szCs w:val="24"/>
                <w:lang w:eastAsia="lt-LT"/>
              </w:rPr>
              <w:t>Kriterijai</w:t>
            </w:r>
            <w:r w:rsidRPr="009448F5">
              <w:rPr>
                <w:rFonts w:ascii="Times New Roman" w:eastAsia="Times New Roman" w:hAnsi="Times New Roman" w:cs="Times New Roman"/>
                <w:i/>
                <w:sz w:val="24"/>
                <w:szCs w:val="24"/>
                <w:lang w:eastAsia="lt-LT"/>
              </w:rPr>
              <w:t xml:space="preserve"> turėti koreliuoti su BBIR įvardinta sąvoka: „mokslinių tyrimų infrastruktūra – priemonės, ištekliai ir susijusios paslaugos“. Infrastuktūra yra trijų komponenčių dedamoji, pvz.: įranga, specialistai,  paslaugos.</w:t>
            </w:r>
          </w:p>
          <w:p w:rsidR="003E5D82" w:rsidRPr="009448F5" w:rsidRDefault="003E5D82" w:rsidP="00776B3B">
            <w:pPr>
              <w:pStyle w:val="ListParagraph"/>
              <w:tabs>
                <w:tab w:val="left" w:pos="716"/>
              </w:tabs>
              <w:ind w:left="0"/>
              <w:jc w:val="both"/>
              <w:rPr>
                <w:rFonts w:ascii="Times New Roman" w:hAnsi="Times New Roman" w:cs="Times New Roman"/>
                <w:sz w:val="24"/>
                <w:szCs w:val="24"/>
              </w:rPr>
            </w:pPr>
            <w:r w:rsidRPr="009448F5">
              <w:rPr>
                <w:rFonts w:ascii="Times New Roman" w:eastAsia="Times New Roman" w:hAnsi="Times New Roman" w:cs="Times New Roman"/>
                <w:b/>
                <w:bCs/>
                <w:i/>
                <w:sz w:val="24"/>
                <w:szCs w:val="24"/>
                <w:lang w:eastAsia="lt-LT"/>
              </w:rPr>
              <w:t>Mechanizmas</w:t>
            </w:r>
            <w:r w:rsidRPr="009448F5">
              <w:rPr>
                <w:rFonts w:ascii="Times New Roman" w:eastAsia="Times New Roman" w:hAnsi="Times New Roman" w:cs="Times New Roman"/>
                <w:i/>
                <w:sz w:val="24"/>
                <w:szCs w:val="24"/>
                <w:lang w:eastAsia="lt-LT"/>
              </w:rPr>
              <w:t xml:space="preserve"> turėtų užtikrinti, kad paraiškėjai turėtų galimybę per paraiškos pateikimui reikalingą pateikti terminą pasitikrinti ar planuojama kurti infrastruktūra nedubliuoja viešai </w:t>
            </w:r>
            <w:r w:rsidRPr="009448F5">
              <w:rPr>
                <w:rFonts w:ascii="Times New Roman" w:eastAsia="Times New Roman" w:hAnsi="Times New Roman" w:cs="Times New Roman"/>
                <w:i/>
                <w:sz w:val="24"/>
                <w:szCs w:val="24"/>
                <w:lang w:eastAsia="lt-LT"/>
              </w:rPr>
              <w:lastRenderedPageBreak/>
              <w:t>prieinamos (pvz., nurodant kur kreiptis ir per kiek laiko turi būti pateiktas atsakymas).</w:t>
            </w:r>
          </w:p>
        </w:tc>
        <w:tc>
          <w:tcPr>
            <w:tcW w:w="1583" w:type="dxa"/>
          </w:tcPr>
          <w:p w:rsidR="003E5D82" w:rsidRPr="009448F5" w:rsidRDefault="0000794A"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Atsižvelgta iš dalies.</w:t>
            </w:r>
          </w:p>
        </w:tc>
        <w:tc>
          <w:tcPr>
            <w:tcW w:w="4883" w:type="dxa"/>
          </w:tcPr>
          <w:p w:rsidR="003E5D82" w:rsidRPr="009448F5" w:rsidRDefault="00E92B5C" w:rsidP="00776B3B">
            <w:pPr>
              <w:jc w:val="both"/>
              <w:rPr>
                <w:rFonts w:ascii="Times New Roman" w:hAnsi="Times New Roman" w:cs="Times New Roman"/>
                <w:sz w:val="24"/>
                <w:szCs w:val="24"/>
              </w:rPr>
            </w:pPr>
            <w:r w:rsidRPr="009448F5">
              <w:rPr>
                <w:rFonts w:ascii="Times New Roman" w:hAnsi="Times New Roman" w:cs="Times New Roman"/>
                <w:sz w:val="24"/>
                <w:szCs w:val="24"/>
              </w:rPr>
              <w:t>Dėl 2.1): atkreiptinas dėmesys, kad tokia remiamos veiklos formuluotė yra nurodyta su vadovaujančiąja institucija suderintame priemonės „Intelektas. Bendri mokslo–verslo projektai“ įgyvendinimo plane</w:t>
            </w:r>
            <w:r w:rsidR="0000794A" w:rsidRPr="009448F5">
              <w:rPr>
                <w:rFonts w:ascii="Times New Roman" w:hAnsi="Times New Roman" w:cs="Times New Roman"/>
                <w:sz w:val="24"/>
                <w:szCs w:val="24"/>
              </w:rPr>
              <w:t>, kuriuo artimiausiu metu bus papildytas Lietuvos Respublikos ūkio ministro 2014 m. gruodžio   19 d. įsakymas Nr. 4-933</w:t>
            </w:r>
            <w:r w:rsidRPr="009448F5">
              <w:rPr>
                <w:rFonts w:ascii="Times New Roman" w:hAnsi="Times New Roman" w:cs="Times New Roman"/>
                <w:sz w:val="24"/>
                <w:szCs w:val="24"/>
              </w:rPr>
              <w:t xml:space="preserve">. Manome, kad tokia remiamos veiklos formuluotė, t. y. pažymėjimas, kad finansavimas  gali būti teikiamas tik tokiai infrastruktūrai sukurti ir (ar) </w:t>
            </w:r>
            <w:r w:rsidRPr="009448F5">
              <w:rPr>
                <w:rFonts w:ascii="Times New Roman" w:hAnsi="Times New Roman" w:cs="Times New Roman"/>
                <w:sz w:val="24"/>
                <w:szCs w:val="24"/>
              </w:rPr>
              <w:lastRenderedPageBreak/>
              <w:t>išplėsti, kuri nėra prieinama klasteriuose, suteikia daugiau aiškumo potencialiems pareiškėjams.</w:t>
            </w:r>
          </w:p>
          <w:p w:rsidR="0000794A" w:rsidRPr="009448F5" w:rsidRDefault="00E92B5C" w:rsidP="0000794A">
            <w:pPr>
              <w:jc w:val="both"/>
              <w:rPr>
                <w:rFonts w:ascii="Times New Roman" w:hAnsi="Times New Roman" w:cs="Times New Roman"/>
                <w:sz w:val="24"/>
                <w:szCs w:val="24"/>
              </w:rPr>
            </w:pPr>
            <w:r w:rsidRPr="009448F5">
              <w:rPr>
                <w:rFonts w:ascii="Times New Roman" w:hAnsi="Times New Roman" w:cs="Times New Roman"/>
                <w:sz w:val="24"/>
                <w:szCs w:val="24"/>
              </w:rPr>
              <w:t xml:space="preserve">Dėl 2.2): </w:t>
            </w:r>
            <w:r w:rsidR="0000794A" w:rsidRPr="009448F5">
              <w:rPr>
                <w:rFonts w:ascii="Times New Roman" w:hAnsi="Times New Roman" w:cs="Times New Roman"/>
                <w:sz w:val="24"/>
                <w:szCs w:val="24"/>
              </w:rPr>
              <w:t xml:space="preserve">sutinkame, kad pareiškėjams turi būti nustatyta kuo mažesnė administracinė našta, todėl </w:t>
            </w:r>
            <w:r w:rsidRPr="009448F5">
              <w:rPr>
                <w:rFonts w:ascii="Times New Roman" w:hAnsi="Times New Roman" w:cs="Times New Roman"/>
                <w:sz w:val="24"/>
                <w:szCs w:val="24"/>
              </w:rPr>
              <w:t xml:space="preserve">šiuo metu svarstomos Jūsų minimų </w:t>
            </w:r>
            <w:r w:rsidR="0000794A" w:rsidRPr="009448F5">
              <w:rPr>
                <w:rFonts w:ascii="Times New Roman" w:hAnsi="Times New Roman" w:cs="Times New Roman"/>
                <w:sz w:val="24"/>
                <w:szCs w:val="24"/>
              </w:rPr>
              <w:t>kriterijų ir mechanizmų nustatymo (aprašymo) galimybės.</w:t>
            </w:r>
          </w:p>
          <w:p w:rsidR="00B42435" w:rsidRPr="009448F5" w:rsidRDefault="00B42435" w:rsidP="00776B3B">
            <w:pPr>
              <w:jc w:val="both"/>
              <w:rPr>
                <w:rFonts w:ascii="Times New Roman" w:hAnsi="Times New Roman" w:cs="Times New Roman"/>
                <w:sz w:val="24"/>
                <w:szCs w:val="24"/>
              </w:rPr>
            </w:pPr>
          </w:p>
        </w:tc>
      </w:tr>
      <w:tr w:rsidR="0000794A" w:rsidRPr="009448F5" w:rsidTr="00E974B2">
        <w:trPr>
          <w:trHeight w:val="494"/>
        </w:trPr>
        <w:tc>
          <w:tcPr>
            <w:tcW w:w="665" w:type="dxa"/>
            <w:vMerge/>
          </w:tcPr>
          <w:p w:rsidR="0000794A" w:rsidRPr="009448F5" w:rsidRDefault="0000794A" w:rsidP="0000794A">
            <w:pPr>
              <w:rPr>
                <w:rFonts w:ascii="Times New Roman" w:hAnsi="Times New Roman" w:cs="Times New Roman"/>
                <w:sz w:val="24"/>
                <w:szCs w:val="24"/>
              </w:rPr>
            </w:pPr>
          </w:p>
        </w:tc>
        <w:tc>
          <w:tcPr>
            <w:tcW w:w="1790" w:type="dxa"/>
            <w:vMerge/>
          </w:tcPr>
          <w:p w:rsidR="0000794A" w:rsidRPr="009448F5" w:rsidRDefault="0000794A" w:rsidP="0000794A">
            <w:pPr>
              <w:rPr>
                <w:rFonts w:ascii="Times New Roman" w:hAnsi="Times New Roman" w:cs="Times New Roman"/>
                <w:sz w:val="24"/>
                <w:szCs w:val="24"/>
              </w:rPr>
            </w:pPr>
          </w:p>
        </w:tc>
        <w:tc>
          <w:tcPr>
            <w:tcW w:w="6432" w:type="dxa"/>
          </w:tcPr>
          <w:p w:rsidR="0000794A" w:rsidRPr="009448F5" w:rsidRDefault="0000794A" w:rsidP="0000794A">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hAnsi="Times New Roman" w:cs="Times New Roman"/>
                <w:sz w:val="24"/>
                <w:szCs w:val="24"/>
              </w:rPr>
              <w:t>3) Pastaba Aprašo 12 punktui „</w:t>
            </w:r>
            <w:r w:rsidRPr="009448F5">
              <w:rPr>
                <w:rFonts w:ascii="Times New Roman" w:eastAsia="Times New Roman" w:hAnsi="Times New Roman" w:cs="Times New Roman"/>
                <w:sz w:val="24"/>
                <w:szCs w:val="24"/>
                <w:lang w:eastAsia="lt-LT"/>
              </w:rPr>
              <w:t>[...] dėl finansavimo konkuruoja tik tai pačiai sumanios specializacijos krypčiai priskiriami projektai“:</w:t>
            </w:r>
          </w:p>
          <w:p w:rsidR="0000794A" w:rsidRPr="009448F5" w:rsidRDefault="0000794A" w:rsidP="0000794A">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Siekiant (i) nekurti nepagrįstų lūkesčių pareiškėjams, (ii) nepažeisti teisėtų pareiškėjų lūkesčių, bei (iii) efektyviai investuoti lėšas konkrečiu momentu, </w:t>
            </w:r>
            <w:r w:rsidRPr="009448F5">
              <w:rPr>
                <w:rFonts w:ascii="Times New Roman" w:eastAsia="Times New Roman" w:hAnsi="Times New Roman" w:cs="Times New Roman"/>
                <w:b/>
                <w:i/>
                <w:sz w:val="24"/>
                <w:szCs w:val="24"/>
                <w:lang w:eastAsia="lt-LT"/>
              </w:rPr>
              <w:t>s</w:t>
            </w:r>
            <w:r w:rsidRPr="009448F5">
              <w:rPr>
                <w:rFonts w:ascii="Times New Roman" w:eastAsia="Times New Roman" w:hAnsi="Times New Roman" w:cs="Times New Roman"/>
                <w:b/>
                <w:bCs/>
                <w:i/>
                <w:sz w:val="24"/>
                <w:szCs w:val="24"/>
                <w:lang w:eastAsia="lt-LT"/>
              </w:rPr>
              <w:t>iūlome apraše įvardinti šias nuostatas</w:t>
            </w:r>
            <w:r w:rsidRPr="009448F5">
              <w:rPr>
                <w:rFonts w:ascii="Times New Roman" w:eastAsia="Times New Roman" w:hAnsi="Times New Roman" w:cs="Times New Roman"/>
                <w:i/>
                <w:sz w:val="24"/>
                <w:szCs w:val="24"/>
                <w:lang w:eastAsia="lt-LT"/>
              </w:rPr>
              <w:t>:</w:t>
            </w:r>
          </w:p>
          <w:p w:rsidR="0000794A" w:rsidRPr="009448F5" w:rsidRDefault="0000794A" w:rsidP="0000794A">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iCs/>
                <w:sz w:val="24"/>
                <w:szCs w:val="24"/>
                <w:lang w:eastAsia="lt-LT"/>
              </w:rPr>
              <w:t>- kvietimuose teikti paraiškas bus įvardinta konkreti suma, kurią planuojama investuoti į konkrečią sumanios specializacijos kryptį.</w:t>
            </w:r>
            <w:r w:rsidRPr="009448F5">
              <w:rPr>
                <w:rFonts w:ascii="Times New Roman" w:eastAsia="Times New Roman" w:hAnsi="Times New Roman" w:cs="Times New Roman"/>
                <w:i/>
                <w:iCs/>
                <w:sz w:val="24"/>
                <w:szCs w:val="24"/>
                <w:lang w:eastAsia="lt-LT"/>
              </w:rPr>
              <w:br/>
              <w:t>- nesant konkurencijos konkrečioje sumanios specializacijos kryptyje, lėšų likutis LR ūkio ministro spendimu gali būti perkeltas į kitas kryptis, kuriose konkurencija ir finansavimo poreikis yra didžiausi.</w:t>
            </w:r>
          </w:p>
        </w:tc>
        <w:tc>
          <w:tcPr>
            <w:tcW w:w="1583" w:type="dxa"/>
          </w:tcPr>
          <w:p w:rsidR="0000794A" w:rsidRPr="009448F5" w:rsidRDefault="0000794A" w:rsidP="0000794A">
            <w:pPr>
              <w:rPr>
                <w:rFonts w:ascii="Times New Roman" w:hAnsi="Times New Roman" w:cs="Times New Roman"/>
                <w:sz w:val="24"/>
                <w:szCs w:val="24"/>
              </w:rPr>
            </w:pPr>
            <w:r w:rsidRPr="009448F5">
              <w:rPr>
                <w:rFonts w:ascii="Times New Roman" w:hAnsi="Times New Roman" w:cs="Times New Roman"/>
                <w:sz w:val="24"/>
                <w:szCs w:val="24"/>
              </w:rPr>
              <w:t xml:space="preserve">Atsižvelgta. </w:t>
            </w:r>
          </w:p>
        </w:tc>
        <w:tc>
          <w:tcPr>
            <w:tcW w:w="4883" w:type="dxa"/>
          </w:tcPr>
          <w:p w:rsidR="0000794A" w:rsidRPr="009448F5" w:rsidRDefault="0000794A" w:rsidP="0000794A">
            <w:pPr>
              <w:jc w:val="both"/>
              <w:rPr>
                <w:rFonts w:ascii="Times New Roman" w:hAnsi="Times New Roman" w:cs="Times New Roman"/>
                <w:sz w:val="24"/>
                <w:szCs w:val="24"/>
              </w:rPr>
            </w:pPr>
            <w:r w:rsidRPr="009448F5">
              <w:rPr>
                <w:rFonts w:ascii="Times New Roman" w:hAnsi="Times New Roman" w:cs="Times New Roman"/>
                <w:sz w:val="24"/>
                <w:szCs w:val="24"/>
              </w:rPr>
              <w:t>Į pateiktą pastabą atsižvelgta, Aprašo nuostatos pakoreguotos.</w:t>
            </w:r>
          </w:p>
        </w:tc>
      </w:tr>
      <w:tr w:rsidR="003E5D82" w:rsidRPr="009448F5" w:rsidTr="00E974B2">
        <w:trPr>
          <w:trHeight w:val="267"/>
        </w:trPr>
        <w:tc>
          <w:tcPr>
            <w:tcW w:w="665" w:type="dxa"/>
            <w:vMerge/>
          </w:tcPr>
          <w:p w:rsidR="003E5D82" w:rsidRPr="009448F5" w:rsidRDefault="003E5D82" w:rsidP="00776B3B">
            <w:pPr>
              <w:rPr>
                <w:rFonts w:ascii="Times New Roman" w:hAnsi="Times New Roman" w:cs="Times New Roman"/>
                <w:sz w:val="24"/>
                <w:szCs w:val="24"/>
              </w:rPr>
            </w:pPr>
          </w:p>
        </w:tc>
        <w:tc>
          <w:tcPr>
            <w:tcW w:w="1790" w:type="dxa"/>
            <w:vMerge/>
          </w:tcPr>
          <w:p w:rsidR="003E5D82" w:rsidRPr="009448F5" w:rsidRDefault="003E5D82" w:rsidP="00776B3B">
            <w:pPr>
              <w:rPr>
                <w:rFonts w:ascii="Times New Roman" w:hAnsi="Times New Roman" w:cs="Times New Roman"/>
                <w:sz w:val="24"/>
                <w:szCs w:val="24"/>
              </w:rPr>
            </w:pPr>
          </w:p>
        </w:tc>
        <w:tc>
          <w:tcPr>
            <w:tcW w:w="6432" w:type="dxa"/>
          </w:tcPr>
          <w:p w:rsidR="003E5D82" w:rsidRPr="009448F5" w:rsidRDefault="003E5D82" w:rsidP="00776B3B">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hAnsi="Times New Roman" w:cs="Times New Roman"/>
                <w:sz w:val="24"/>
                <w:szCs w:val="24"/>
              </w:rPr>
              <w:t>4) Pastaba Aprašo 15 ir 16 punktams „</w:t>
            </w:r>
            <w:r w:rsidRPr="009448F5">
              <w:rPr>
                <w:rFonts w:ascii="Times New Roman" w:eastAsia="Times New Roman" w:hAnsi="Times New Roman" w:cs="Times New Roman"/>
                <w:sz w:val="24"/>
                <w:szCs w:val="24"/>
                <w:lang w:eastAsia="lt-LT"/>
              </w:rPr>
              <w:t>15. Pagal Aprašą galimi pareiškėjai yra:</w:t>
            </w:r>
          </w:p>
          <w:p w:rsidR="003E5D82" w:rsidRPr="009448F5" w:rsidRDefault="003E5D82" w:rsidP="00776B3B">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15.1. privatieji juridiniai asmenys;</w:t>
            </w:r>
          </w:p>
          <w:p w:rsidR="003E5D82" w:rsidRPr="009448F5" w:rsidRDefault="003E5D82" w:rsidP="00776B3B">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15.2. viešosios įstaigos, vykdančios MTEP veiklas (išskyrus mokslo ir studijų institucijas).</w:t>
            </w:r>
          </w:p>
          <w:p w:rsidR="003E5D82" w:rsidRPr="009448F5" w:rsidRDefault="003E5D82" w:rsidP="00776B3B">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16. Pagal Aprašą galimi partneriai Aprašo 10.1 papunktyje nurodytai veiklai yra:</w:t>
            </w:r>
          </w:p>
          <w:p w:rsidR="003E5D82" w:rsidRPr="009448F5" w:rsidRDefault="003E5D82" w:rsidP="00776B3B">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16.1. privatieji juridiniai asmenys;</w:t>
            </w:r>
          </w:p>
          <w:p w:rsidR="003E5D82" w:rsidRPr="009448F5" w:rsidRDefault="003E5D82" w:rsidP="00776B3B">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16.2. mokslo ir studijų institucijos“:</w:t>
            </w:r>
          </w:p>
          <w:p w:rsidR="003E5D82" w:rsidRPr="009448F5" w:rsidRDefault="003E5D82" w:rsidP="00776B3B">
            <w:pPr>
              <w:jc w:val="both"/>
              <w:rPr>
                <w:rFonts w:ascii="Times New Roman" w:eastAsia="Times New Roman" w:hAnsi="Times New Roman" w:cs="Times New Roman"/>
                <w:i/>
                <w:iCs/>
                <w:sz w:val="24"/>
                <w:szCs w:val="24"/>
                <w:lang w:eastAsia="lt-LT"/>
              </w:rPr>
            </w:pPr>
            <w:r w:rsidRPr="009448F5">
              <w:rPr>
                <w:rFonts w:ascii="Times New Roman" w:eastAsia="Times New Roman" w:hAnsi="Times New Roman" w:cs="Times New Roman"/>
                <w:i/>
                <w:sz w:val="24"/>
                <w:szCs w:val="24"/>
                <w:lang w:eastAsia="lt-LT"/>
              </w:rPr>
              <w:t xml:space="preserve">Manome, kad yra nevisai korektiškai (galimas diskriminavimas) įvardinti pareiškėjai ir partneriai, nes mokslo ir studijų institucijos gali būti tiek privatūs, tiek viešieji juridiniai asmenys (nevienodos teisės mokslo institucijoms pagal juridinio statuso tipą), o viešoji įstaiga yra tik viena iš viešųjų juridinių asmenų veiklos formų (nevienodos teisės viešiesiems juridiniams asmenims pagal jų veiklos įteisinimo formą). </w:t>
            </w:r>
            <w:r w:rsidRPr="009448F5">
              <w:rPr>
                <w:rFonts w:ascii="Times New Roman" w:eastAsia="Times New Roman" w:hAnsi="Times New Roman" w:cs="Times New Roman"/>
                <w:b/>
                <w:bCs/>
                <w:i/>
                <w:sz w:val="24"/>
                <w:szCs w:val="24"/>
                <w:lang w:eastAsia="lt-LT"/>
              </w:rPr>
              <w:t>Siūlome patikslinimą:</w:t>
            </w:r>
            <w:r w:rsidRPr="009448F5">
              <w:rPr>
                <w:rFonts w:ascii="Times New Roman" w:eastAsia="Times New Roman" w:hAnsi="Times New Roman" w:cs="Times New Roman"/>
                <w:i/>
                <w:sz w:val="24"/>
                <w:szCs w:val="24"/>
                <w:lang w:eastAsia="lt-LT"/>
              </w:rPr>
              <w:br/>
            </w:r>
            <w:r w:rsidRPr="009448F5">
              <w:rPr>
                <w:rFonts w:ascii="Times New Roman" w:eastAsia="Times New Roman" w:hAnsi="Times New Roman" w:cs="Times New Roman"/>
                <w:i/>
                <w:iCs/>
                <w:sz w:val="24"/>
                <w:szCs w:val="24"/>
                <w:lang w:eastAsia="lt-LT"/>
              </w:rPr>
              <w:t>15. Pagal Aprašą galimi pareiškėjai yra:</w:t>
            </w:r>
          </w:p>
          <w:p w:rsidR="004278D4" w:rsidRPr="009448F5" w:rsidRDefault="003E5D82" w:rsidP="00776B3B">
            <w:pPr>
              <w:jc w:val="both"/>
              <w:rPr>
                <w:rFonts w:ascii="Times New Roman" w:eastAsia="Times New Roman" w:hAnsi="Times New Roman" w:cs="Times New Roman"/>
                <w:i/>
                <w:iCs/>
                <w:sz w:val="24"/>
                <w:szCs w:val="24"/>
                <w:lang w:eastAsia="lt-LT"/>
              </w:rPr>
            </w:pPr>
            <w:r w:rsidRPr="009448F5">
              <w:rPr>
                <w:rFonts w:ascii="Times New Roman" w:eastAsia="Times New Roman" w:hAnsi="Times New Roman" w:cs="Times New Roman"/>
                <w:i/>
                <w:iCs/>
                <w:sz w:val="24"/>
                <w:szCs w:val="24"/>
                <w:lang w:eastAsia="lt-LT"/>
              </w:rPr>
              <w:t>15.1. privatieji juridiniai asmenys;</w:t>
            </w:r>
          </w:p>
          <w:p w:rsidR="003E5D82" w:rsidRPr="009448F5" w:rsidRDefault="003E5D82" w:rsidP="00776B3B">
            <w:pPr>
              <w:jc w:val="both"/>
              <w:rPr>
                <w:rFonts w:ascii="Times New Roman" w:eastAsia="Times New Roman" w:hAnsi="Times New Roman" w:cs="Times New Roman"/>
                <w:i/>
                <w:iCs/>
                <w:sz w:val="24"/>
                <w:szCs w:val="24"/>
                <w:lang w:eastAsia="lt-LT"/>
              </w:rPr>
            </w:pPr>
            <w:r w:rsidRPr="009448F5">
              <w:rPr>
                <w:rFonts w:ascii="Times New Roman" w:eastAsia="Times New Roman" w:hAnsi="Times New Roman" w:cs="Times New Roman"/>
                <w:i/>
                <w:iCs/>
                <w:sz w:val="24"/>
                <w:szCs w:val="24"/>
                <w:lang w:eastAsia="lt-LT"/>
              </w:rPr>
              <w:lastRenderedPageBreak/>
              <w:t>16. Pagal Aprašą galimi partneriai Aprašo 10.1 papunktyje nurodytai veiklai yra:</w:t>
            </w:r>
          </w:p>
          <w:p w:rsidR="003E5D82" w:rsidRPr="009448F5" w:rsidRDefault="003E5D82" w:rsidP="00776B3B">
            <w:pPr>
              <w:jc w:val="both"/>
              <w:rPr>
                <w:rFonts w:ascii="Times New Roman" w:eastAsia="Times New Roman" w:hAnsi="Times New Roman" w:cs="Times New Roman"/>
                <w:i/>
                <w:iCs/>
                <w:sz w:val="24"/>
                <w:szCs w:val="24"/>
                <w:lang w:eastAsia="lt-LT"/>
              </w:rPr>
            </w:pPr>
            <w:r w:rsidRPr="009448F5">
              <w:rPr>
                <w:rFonts w:ascii="Times New Roman" w:eastAsia="Times New Roman" w:hAnsi="Times New Roman" w:cs="Times New Roman"/>
                <w:i/>
                <w:iCs/>
                <w:sz w:val="24"/>
                <w:szCs w:val="24"/>
                <w:lang w:eastAsia="lt-LT"/>
              </w:rPr>
              <w:t>16.1. privatieji juridiniai asmenys;</w:t>
            </w:r>
          </w:p>
          <w:p w:rsidR="003E5D82"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iCs/>
                <w:sz w:val="24"/>
                <w:szCs w:val="24"/>
                <w:lang w:eastAsia="lt-LT"/>
              </w:rPr>
              <w:t>16.2. viešieji juridiniai asmenys, vykdantys MTEP veiklas.</w:t>
            </w:r>
          </w:p>
        </w:tc>
        <w:tc>
          <w:tcPr>
            <w:tcW w:w="1583" w:type="dxa"/>
          </w:tcPr>
          <w:p w:rsidR="003E5D82" w:rsidRPr="009448F5" w:rsidRDefault="0000794A"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Atsižvelgta iš dalies.</w:t>
            </w:r>
          </w:p>
        </w:tc>
        <w:tc>
          <w:tcPr>
            <w:tcW w:w="4883" w:type="dxa"/>
          </w:tcPr>
          <w:p w:rsidR="00A94189" w:rsidRPr="009448F5" w:rsidRDefault="0000794A" w:rsidP="00776B3B">
            <w:pPr>
              <w:jc w:val="both"/>
              <w:rPr>
                <w:rFonts w:ascii="Times New Roman" w:hAnsi="Times New Roman" w:cs="Times New Roman"/>
                <w:sz w:val="24"/>
                <w:szCs w:val="24"/>
              </w:rPr>
            </w:pPr>
            <w:r w:rsidRPr="009448F5">
              <w:rPr>
                <w:rFonts w:ascii="Times New Roman" w:hAnsi="Times New Roman" w:cs="Times New Roman"/>
                <w:sz w:val="24"/>
                <w:szCs w:val="24"/>
              </w:rPr>
              <w:t>Atkreipiame dėmesį, kad 2014 m. viešajam aptarimui paskelbus priemonės aprašymą, kuriame tinkamais pareiškėjais buvo numatyti</w:t>
            </w:r>
            <w:r w:rsidR="00A94189" w:rsidRPr="009448F5">
              <w:rPr>
                <w:rFonts w:ascii="Times New Roman" w:hAnsi="Times New Roman" w:cs="Times New Roman"/>
                <w:sz w:val="24"/>
                <w:szCs w:val="24"/>
              </w:rPr>
              <w:t xml:space="preserve"> tik privatieji juridiniai asmenys, </w:t>
            </w:r>
            <w:r w:rsidRPr="009448F5">
              <w:rPr>
                <w:rFonts w:ascii="Times New Roman" w:hAnsi="Times New Roman" w:cs="Times New Roman"/>
                <w:sz w:val="24"/>
                <w:szCs w:val="24"/>
              </w:rPr>
              <w:t xml:space="preserve">buvo gauta pastabų, jog </w:t>
            </w:r>
            <w:r w:rsidR="00A94189" w:rsidRPr="009448F5">
              <w:rPr>
                <w:rFonts w:ascii="Times New Roman" w:hAnsi="Times New Roman" w:cs="Times New Roman"/>
                <w:sz w:val="24"/>
                <w:szCs w:val="24"/>
              </w:rPr>
              <w:t xml:space="preserve">viešosios įstaigos taip pat vykdo ekonominę veiklą bei MTEP, todėl tikslinga tokias įstaigas numatyti tinkamais pareiškėjais. Į pateiktą pastabą buvo atsižvelgta ir tinkamų pareiškėjų sąrašas papildytas. Nemanome, jog tokios įstaigos turėtų būti vėl išbrauktos iš tinkamų pareiškėjų sąrašo. </w:t>
            </w:r>
          </w:p>
          <w:p w:rsidR="003E5D82" w:rsidRPr="009448F5" w:rsidRDefault="00A94189" w:rsidP="00A94189">
            <w:pPr>
              <w:jc w:val="both"/>
              <w:rPr>
                <w:rFonts w:ascii="Times New Roman" w:hAnsi="Times New Roman" w:cs="Times New Roman"/>
                <w:sz w:val="24"/>
                <w:szCs w:val="24"/>
              </w:rPr>
            </w:pPr>
            <w:r w:rsidRPr="009448F5">
              <w:rPr>
                <w:rFonts w:ascii="Times New Roman" w:hAnsi="Times New Roman" w:cs="Times New Roman"/>
                <w:sz w:val="24"/>
                <w:szCs w:val="24"/>
              </w:rPr>
              <w:t xml:space="preserve">Su Jūsų pastaba pareiškėjų (partnerių) statuso sutinkame. Tačiau atsižvelgdami į tai, kad </w:t>
            </w:r>
            <w:r w:rsidR="0000794A" w:rsidRPr="009448F5">
              <w:rPr>
                <w:rFonts w:ascii="Times New Roman" w:hAnsi="Times New Roman" w:cs="Times New Roman"/>
                <w:sz w:val="24"/>
                <w:szCs w:val="24"/>
              </w:rPr>
              <w:t xml:space="preserve">tokie pareiškėjai ir partneriai yra nurodyti </w:t>
            </w:r>
            <w:r w:rsidRPr="009448F5">
              <w:rPr>
                <w:rFonts w:ascii="Times New Roman" w:hAnsi="Times New Roman" w:cs="Times New Roman"/>
                <w:sz w:val="24"/>
                <w:szCs w:val="24"/>
              </w:rPr>
              <w:t xml:space="preserve">ir </w:t>
            </w:r>
            <w:r w:rsidR="0000794A" w:rsidRPr="009448F5">
              <w:rPr>
                <w:rFonts w:ascii="Times New Roman" w:hAnsi="Times New Roman" w:cs="Times New Roman"/>
                <w:sz w:val="24"/>
                <w:szCs w:val="24"/>
              </w:rPr>
              <w:t>su vadovaujančiąja institucija suderintame priemonės „Intelektas. Bendri mokslo–verslo projektai“ įgyvendinimo plane</w:t>
            </w:r>
            <w:r w:rsidRPr="009448F5">
              <w:rPr>
                <w:rFonts w:ascii="Times New Roman" w:hAnsi="Times New Roman" w:cs="Times New Roman"/>
                <w:sz w:val="24"/>
                <w:szCs w:val="24"/>
              </w:rPr>
              <w:t xml:space="preserve">, kurio keitimus </w:t>
            </w:r>
            <w:r w:rsidR="0000794A" w:rsidRPr="009448F5">
              <w:rPr>
                <w:rFonts w:ascii="Times New Roman" w:hAnsi="Times New Roman" w:cs="Times New Roman"/>
                <w:sz w:val="24"/>
                <w:szCs w:val="24"/>
              </w:rPr>
              <w:t xml:space="preserve">būtina </w:t>
            </w:r>
            <w:r w:rsidRPr="009448F5">
              <w:rPr>
                <w:rFonts w:ascii="Times New Roman" w:hAnsi="Times New Roman" w:cs="Times New Roman"/>
                <w:sz w:val="24"/>
                <w:szCs w:val="24"/>
              </w:rPr>
              <w:t xml:space="preserve">derinti pakartotinai (tai laikui imlus procesas), šiuo metu analizuojame, ar yra realus </w:t>
            </w:r>
            <w:r w:rsidRPr="009448F5">
              <w:rPr>
                <w:rFonts w:ascii="Times New Roman" w:hAnsi="Times New Roman" w:cs="Times New Roman"/>
                <w:sz w:val="24"/>
                <w:szCs w:val="24"/>
              </w:rPr>
              <w:lastRenderedPageBreak/>
              <w:t xml:space="preserve">tokių keitimų poreikis (pvz., ar yra kitos formos viešųjų juridinių asmenų, kurie vykdo ūkinę komercinę veiklą, bei MTEP veiklas). </w:t>
            </w:r>
          </w:p>
        </w:tc>
      </w:tr>
      <w:tr w:rsidR="003E5D82" w:rsidRPr="009448F5" w:rsidTr="00E974B2">
        <w:trPr>
          <w:trHeight w:val="274"/>
        </w:trPr>
        <w:tc>
          <w:tcPr>
            <w:tcW w:w="665" w:type="dxa"/>
            <w:vMerge/>
          </w:tcPr>
          <w:p w:rsidR="003E5D82" w:rsidRPr="009448F5" w:rsidRDefault="003E5D82" w:rsidP="00776B3B">
            <w:pPr>
              <w:rPr>
                <w:rFonts w:ascii="Times New Roman" w:hAnsi="Times New Roman" w:cs="Times New Roman"/>
                <w:sz w:val="24"/>
                <w:szCs w:val="24"/>
              </w:rPr>
            </w:pPr>
          </w:p>
        </w:tc>
        <w:tc>
          <w:tcPr>
            <w:tcW w:w="1790" w:type="dxa"/>
            <w:vMerge/>
          </w:tcPr>
          <w:p w:rsidR="003E5D82" w:rsidRPr="009448F5" w:rsidRDefault="003E5D82" w:rsidP="00776B3B">
            <w:pPr>
              <w:rPr>
                <w:rFonts w:ascii="Times New Roman" w:hAnsi="Times New Roman" w:cs="Times New Roman"/>
                <w:sz w:val="24"/>
                <w:szCs w:val="24"/>
              </w:rPr>
            </w:pPr>
          </w:p>
        </w:tc>
        <w:tc>
          <w:tcPr>
            <w:tcW w:w="6432" w:type="dxa"/>
          </w:tcPr>
          <w:p w:rsidR="003E5D82" w:rsidRPr="009448F5" w:rsidRDefault="003E5D82" w:rsidP="00776B3B">
            <w:pPr>
              <w:pStyle w:val="ListParagraph"/>
              <w:tabs>
                <w:tab w:val="left" w:pos="716"/>
              </w:tabs>
              <w:ind w:left="0"/>
              <w:jc w:val="both"/>
              <w:rPr>
                <w:rFonts w:ascii="Times New Roman" w:eastAsia="Times New Roman" w:hAnsi="Times New Roman" w:cs="Times New Roman"/>
                <w:sz w:val="24"/>
                <w:szCs w:val="24"/>
                <w:lang w:eastAsia="lt-LT"/>
              </w:rPr>
            </w:pPr>
            <w:r w:rsidRPr="009448F5">
              <w:rPr>
                <w:rFonts w:ascii="Times New Roman" w:hAnsi="Times New Roman" w:cs="Times New Roman"/>
                <w:sz w:val="24"/>
                <w:szCs w:val="24"/>
              </w:rPr>
              <w:t>5) Pastaba Aprašo 29 punktui „</w:t>
            </w:r>
            <w:r w:rsidRPr="009448F5">
              <w:rPr>
                <w:rFonts w:ascii="Times New Roman" w:eastAsia="Times New Roman" w:hAnsi="Times New Roman" w:cs="Times New Roman"/>
                <w:sz w:val="24"/>
                <w:szCs w:val="24"/>
                <w:lang w:eastAsia="lt-LT"/>
              </w:rPr>
              <w:t>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w:t>
            </w:r>
          </w:p>
          <w:p w:rsidR="003E5D82"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Vykdant MTEPI, ypač orientuojantis į pasaulinį kuriamų produktų ar paslaugų naujumą, daug MTEP veiklų vykdoma užsienyje perkant atitinkamas paslaugas, dėl to, kad Lietuvoje nėra reikiamo potencialo. Tokių išlaidų ribojimas iki 15 proc. programuoja  blogesnius kokybinius rezultatus bei galimai diskriminuoja MTEP paslaugų teikimą ES rinkoje (t. y. pareiškėjas pirkdamas MTEP paslaugas negali apriboti, kad pirks paslaugas tik iš Lietuvos subjektų). </w:t>
            </w:r>
            <w:r w:rsidRPr="009448F5">
              <w:rPr>
                <w:rFonts w:ascii="Times New Roman" w:eastAsia="Times New Roman" w:hAnsi="Times New Roman" w:cs="Times New Roman"/>
                <w:b/>
                <w:bCs/>
                <w:i/>
                <w:sz w:val="24"/>
                <w:szCs w:val="24"/>
                <w:lang w:eastAsia="lt-LT"/>
              </w:rPr>
              <w:t xml:space="preserve">Siūlome patikslintą variantą: </w:t>
            </w:r>
            <w:r w:rsidRPr="009448F5">
              <w:rPr>
                <w:rFonts w:ascii="Times New Roman" w:eastAsia="Times New Roman" w:hAnsi="Times New Roman" w:cs="Times New Roman"/>
                <w:bCs/>
                <w:i/>
                <w:sz w:val="24"/>
                <w:szCs w:val="24"/>
                <w:lang w:eastAsia="lt-LT"/>
              </w:rPr>
              <w:t>„</w:t>
            </w:r>
            <w:r w:rsidRPr="009448F5">
              <w:rPr>
                <w:rFonts w:ascii="Times New Roman" w:eastAsia="Times New Roman" w:hAnsi="Times New Roman" w:cs="Times New Roman"/>
                <w:i/>
                <w:iCs/>
                <w:sz w:val="24"/>
                <w:szCs w:val="24"/>
                <w:lang w:eastAsia="lt-LT"/>
              </w:rPr>
              <w:t xml:space="preserve">29. Projekto veiklos turi būti vykdomos Lietuvos Respublikoje arba </w:t>
            </w:r>
            <w:r w:rsidRPr="009448F5">
              <w:rPr>
                <w:rFonts w:ascii="Times New Roman" w:eastAsia="Times New Roman" w:hAnsi="Times New Roman" w:cs="Times New Roman"/>
                <w:b/>
                <w:bCs/>
                <w:i/>
                <w:iCs/>
                <w:sz w:val="24"/>
                <w:szCs w:val="24"/>
                <w:lang w:eastAsia="lt-LT"/>
              </w:rPr>
              <w:t>užsienyje</w:t>
            </w:r>
            <w:r w:rsidRPr="009448F5">
              <w:rPr>
                <w:rFonts w:ascii="Times New Roman" w:eastAsia="Times New Roman" w:hAnsi="Times New Roman" w:cs="Times New Roman"/>
                <w:i/>
                <w:iCs/>
                <w:sz w:val="24"/>
                <w:szCs w:val="24"/>
                <w:lang w:eastAsia="lt-LT"/>
              </w:rPr>
              <w:t xml:space="preserve">, jei jas vykdant sukurti produktai, </w:t>
            </w:r>
            <w:r w:rsidRPr="009448F5">
              <w:rPr>
                <w:rFonts w:ascii="Times New Roman" w:eastAsia="Times New Roman" w:hAnsi="Times New Roman" w:cs="Times New Roman"/>
                <w:b/>
                <w:bCs/>
                <w:i/>
                <w:iCs/>
                <w:sz w:val="24"/>
                <w:szCs w:val="24"/>
                <w:lang w:eastAsia="lt-LT"/>
              </w:rPr>
              <w:t>visi</w:t>
            </w:r>
            <w:r w:rsidRPr="009448F5">
              <w:rPr>
                <w:rFonts w:ascii="Times New Roman" w:eastAsia="Times New Roman" w:hAnsi="Times New Roman" w:cs="Times New Roman"/>
                <w:i/>
                <w:iCs/>
                <w:sz w:val="24"/>
                <w:szCs w:val="24"/>
                <w:lang w:eastAsia="lt-LT"/>
              </w:rPr>
              <w:t xml:space="preserve"> rezultatai ir nauda (ar jų dalis, proporcinga Lietuvos Respublikos finansiniam įnašui) atitenka Lietuvos Respublikai. </w:t>
            </w:r>
            <w:r w:rsidRPr="009448F5">
              <w:rPr>
                <w:rFonts w:ascii="Times New Roman" w:eastAsia="Times New Roman" w:hAnsi="Times New Roman" w:cs="Times New Roman"/>
                <w:b/>
                <w:bCs/>
                <w:i/>
                <w:iCs/>
                <w:sz w:val="24"/>
                <w:szCs w:val="24"/>
                <w:lang w:eastAsia="lt-LT"/>
              </w:rPr>
              <w:t>Visais atvejais</w:t>
            </w:r>
            <w:r w:rsidRPr="009448F5">
              <w:rPr>
                <w:rFonts w:ascii="Times New Roman" w:eastAsia="Times New Roman" w:hAnsi="Times New Roman" w:cs="Times New Roman"/>
                <w:i/>
                <w:iCs/>
                <w:sz w:val="24"/>
                <w:szCs w:val="24"/>
                <w:lang w:eastAsia="lt-LT"/>
              </w:rPr>
              <w:t xml:space="preserve"> projektų veiklos, kurias numatoma vykdyti  ne Lietuvos Respublikoje, </w:t>
            </w:r>
            <w:r w:rsidRPr="009448F5">
              <w:rPr>
                <w:rFonts w:ascii="Times New Roman" w:eastAsia="Times New Roman" w:hAnsi="Times New Roman" w:cs="Times New Roman"/>
                <w:b/>
                <w:bCs/>
                <w:i/>
                <w:iCs/>
                <w:sz w:val="24"/>
                <w:szCs w:val="24"/>
                <w:lang w:eastAsia="lt-LT"/>
              </w:rPr>
              <w:t>turi būti pagrįstos</w:t>
            </w:r>
            <w:r w:rsidRPr="009448F5">
              <w:rPr>
                <w:rFonts w:ascii="Times New Roman" w:eastAsia="Times New Roman" w:hAnsi="Times New Roman" w:cs="Times New Roman"/>
                <w:i/>
                <w:iCs/>
                <w:sz w:val="24"/>
                <w:szCs w:val="24"/>
                <w:lang w:eastAsia="lt-LT"/>
              </w:rPr>
              <w:t>.“</w:t>
            </w:r>
          </w:p>
        </w:tc>
        <w:tc>
          <w:tcPr>
            <w:tcW w:w="1583" w:type="dxa"/>
          </w:tcPr>
          <w:p w:rsidR="003E5D82" w:rsidRPr="009448F5" w:rsidRDefault="002F115F" w:rsidP="00776B3B">
            <w:pPr>
              <w:rPr>
                <w:rFonts w:ascii="Times New Roman" w:hAnsi="Times New Roman" w:cs="Times New Roman"/>
                <w:sz w:val="24"/>
                <w:szCs w:val="24"/>
              </w:rPr>
            </w:pPr>
            <w:r w:rsidRPr="009448F5">
              <w:rPr>
                <w:rFonts w:ascii="Times New Roman" w:hAnsi="Times New Roman" w:cs="Times New Roman"/>
                <w:sz w:val="24"/>
                <w:szCs w:val="24"/>
              </w:rPr>
              <w:t>Atsižvelgta iš dalies</w:t>
            </w:r>
            <w:r w:rsidR="004278D4" w:rsidRPr="009448F5">
              <w:rPr>
                <w:rFonts w:ascii="Times New Roman" w:hAnsi="Times New Roman" w:cs="Times New Roman"/>
                <w:sz w:val="24"/>
                <w:szCs w:val="24"/>
              </w:rPr>
              <w:t>.</w:t>
            </w:r>
          </w:p>
        </w:tc>
        <w:tc>
          <w:tcPr>
            <w:tcW w:w="4883" w:type="dxa"/>
          </w:tcPr>
          <w:p w:rsidR="003E5D82" w:rsidRPr="009448F5" w:rsidRDefault="004278D4"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Pažymime, kad Aprašo projektas parengtas pagal vadovaujančiosios institucijos parengtą rekomenduojamą projektų finansavimo sąlygų aprašo formą, kurioje, tuo atveju, jeigu dalį veiklų ketinama vykdyti ne Lietuvoje, pateikta būtent tokia reikalavimo formuluotė. </w:t>
            </w:r>
          </w:p>
          <w:p w:rsidR="004278D4" w:rsidRPr="009448F5" w:rsidRDefault="004278D4"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Atkreipiame dėmesį, kad </w:t>
            </w:r>
            <w:r w:rsidR="00FF41C5" w:rsidRPr="009448F5">
              <w:rPr>
                <w:rFonts w:ascii="Times New Roman" w:hAnsi="Times New Roman" w:cs="Times New Roman"/>
                <w:sz w:val="24"/>
                <w:szCs w:val="24"/>
              </w:rPr>
              <w:t xml:space="preserve">Aprašo projekte </w:t>
            </w:r>
            <w:r w:rsidRPr="009448F5">
              <w:rPr>
                <w:rFonts w:ascii="Times New Roman" w:hAnsi="Times New Roman" w:cs="Times New Roman"/>
                <w:sz w:val="24"/>
                <w:szCs w:val="24"/>
              </w:rPr>
              <w:t>reikalavimas</w:t>
            </w:r>
            <w:r w:rsidR="008053BE" w:rsidRPr="009448F5">
              <w:rPr>
                <w:rFonts w:ascii="Times New Roman" w:hAnsi="Times New Roman" w:cs="Times New Roman"/>
                <w:sz w:val="24"/>
                <w:szCs w:val="24"/>
              </w:rPr>
              <w:t xml:space="preserve"> dėl ne Lietuvoje</w:t>
            </w:r>
            <w:r w:rsidR="00FF41C5" w:rsidRPr="009448F5">
              <w:rPr>
                <w:rFonts w:ascii="Times New Roman" w:hAnsi="Times New Roman" w:cs="Times New Roman"/>
                <w:sz w:val="24"/>
                <w:szCs w:val="24"/>
              </w:rPr>
              <w:t>, t. y. Europos Sąjungos  šalyse</w:t>
            </w:r>
            <w:r w:rsidR="008053BE" w:rsidRPr="009448F5">
              <w:rPr>
                <w:rFonts w:ascii="Times New Roman" w:hAnsi="Times New Roman" w:cs="Times New Roman"/>
                <w:sz w:val="24"/>
                <w:szCs w:val="24"/>
              </w:rPr>
              <w:t xml:space="preserve"> patiriamų projekto išlaidų ribojimo iki 15 proc. nustatytas vadovaujantis </w:t>
            </w:r>
            <w:r w:rsidR="00FF41C5" w:rsidRPr="009448F5">
              <w:rPr>
                <w:rFonts w:ascii="Times New Roman" w:hAnsi="Times New Roman" w:cs="Times New Roman"/>
                <w:sz w:val="24"/>
                <w:szCs w:val="24"/>
              </w:rPr>
              <w:t xml:space="preserve"> Projektų administr</w:t>
            </w:r>
            <w:r w:rsidR="00A94189" w:rsidRPr="009448F5">
              <w:rPr>
                <w:rFonts w:ascii="Times New Roman" w:hAnsi="Times New Roman" w:cs="Times New Roman"/>
                <w:sz w:val="24"/>
                <w:szCs w:val="24"/>
              </w:rPr>
              <w:t xml:space="preserve">avimo ir finansavimo taisyklių </w:t>
            </w:r>
            <w:r w:rsidR="00FF41C5" w:rsidRPr="009448F5">
              <w:rPr>
                <w:rFonts w:ascii="Times New Roman" w:hAnsi="Times New Roman" w:cs="Times New Roman"/>
                <w:sz w:val="24"/>
                <w:szCs w:val="24"/>
              </w:rPr>
              <w:t xml:space="preserve">411 straipsniu. Į minėtas taisykles toks reikalavimas „perkeltas“ iš </w:t>
            </w:r>
            <w:r w:rsidR="008053BE" w:rsidRPr="009448F5">
              <w:rPr>
                <w:rFonts w:ascii="Times New Roman" w:hAnsi="Times New Roman" w:cs="Times New Roman"/>
                <w:sz w:val="24"/>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00FF41C5" w:rsidRPr="009448F5">
              <w:rPr>
                <w:rFonts w:ascii="Times New Roman" w:hAnsi="Times New Roman" w:cs="Times New Roman"/>
                <w:sz w:val="24"/>
                <w:szCs w:val="24"/>
              </w:rPr>
              <w:t>, 70 straipsnio.</w:t>
            </w:r>
          </w:p>
          <w:p w:rsidR="00FF41C5" w:rsidRPr="009448F5" w:rsidRDefault="002F115F" w:rsidP="00776B3B">
            <w:pPr>
              <w:jc w:val="both"/>
              <w:rPr>
                <w:rFonts w:ascii="Times New Roman" w:eastAsia="Times New Roman" w:hAnsi="Times New Roman" w:cs="Times New Roman"/>
                <w:sz w:val="24"/>
                <w:szCs w:val="24"/>
                <w:lang w:eastAsia="lt-LT"/>
              </w:rPr>
            </w:pPr>
            <w:r w:rsidRPr="009448F5">
              <w:rPr>
                <w:rFonts w:ascii="Times New Roman" w:hAnsi="Times New Roman" w:cs="Times New Roman"/>
                <w:sz w:val="24"/>
                <w:szCs w:val="24"/>
              </w:rPr>
              <w:t xml:space="preserve">Tačiau norėtume pažymėti, jog vadovaujančioji institucija yra pateikusi išaiškinimą, jog tam tikros paslaugos pirkimo atveju, jeigu tam tikra paslauga, laikantis nediskriminavimo, laisvės teikti paslaugas, skaidrumo ir kt. principų, nuperkama iš užsienio tiekėjų, kurie su šia </w:t>
            </w:r>
            <w:r w:rsidRPr="009448F5">
              <w:rPr>
                <w:rFonts w:ascii="Times New Roman" w:hAnsi="Times New Roman" w:cs="Times New Roman"/>
                <w:sz w:val="24"/>
                <w:szCs w:val="24"/>
              </w:rPr>
              <w:lastRenderedPageBreak/>
              <w:t xml:space="preserve">paslauga susijusias procedūras atliktų ne Lietuvos Respublikoje, išlaidos būtų priskiriamos paslaugų išlaidoms, kurių teikimo vietos projekto vykdytojas negali iš anksto numatyti, todėl joms nebūtų taikomos Projektų administravimo ir finansavimo taisyklių 411.1 papunktyje nustatytos sąlygos. Projekto veiklos vykdymo vieta yra laikoma vieta, kurioje projekto veiklą vykdo projektą vykdantis personalas, kaip jis apibrėžtas </w:t>
            </w:r>
            <w:r w:rsidR="00E87774" w:rsidRPr="009448F5">
              <w:rPr>
                <w:rFonts w:ascii="Times New Roman" w:hAnsi="Times New Roman" w:cs="Times New Roman"/>
                <w:sz w:val="24"/>
                <w:szCs w:val="24"/>
              </w:rPr>
              <w:t>F</w:t>
            </w:r>
            <w:r w:rsidRPr="009448F5">
              <w:rPr>
                <w:rFonts w:ascii="Times New Roman" w:eastAsia="Times New Roman" w:hAnsi="Times New Roman" w:cs="Times New Roman"/>
                <w:sz w:val="24"/>
                <w:szCs w:val="24"/>
                <w:lang w:eastAsia="lt-LT"/>
              </w:rPr>
              <w:t xml:space="preserve">inansų ministerijos parengtomis Rekomendacijomis dėl projektų išlaidų atitikties Europos Sąjungos struktūrinių fondų reikalavimams, kurios paskelbtos interneto svetainėje adresu </w:t>
            </w:r>
            <w:hyperlink r:id="rId11" w:history="1">
              <w:r w:rsidR="00E87774" w:rsidRPr="009448F5">
                <w:rPr>
                  <w:rStyle w:val="Hyperlink"/>
                  <w:rFonts w:ascii="Times New Roman" w:eastAsia="Times New Roman" w:hAnsi="Times New Roman" w:cs="Times New Roman"/>
                  <w:color w:val="auto"/>
                  <w:sz w:val="24"/>
                  <w:szCs w:val="24"/>
                  <w:lang w:eastAsia="lt-LT"/>
                </w:rPr>
                <w:t>http://www.esinvesticijos.lt/lt/dokumentai/2014-2020-m-rekomendacijos-del-projektu-islaidu-atitikties-europos-sajungos-strukturiniu-fondu-reikalavimams</w:t>
              </w:r>
            </w:hyperlink>
            <w:r w:rsidRPr="009448F5">
              <w:rPr>
                <w:rFonts w:ascii="Times New Roman" w:eastAsia="Times New Roman" w:hAnsi="Times New Roman" w:cs="Times New Roman"/>
                <w:sz w:val="24"/>
                <w:szCs w:val="24"/>
                <w:lang w:eastAsia="lt-LT"/>
              </w:rPr>
              <w:t>.</w:t>
            </w:r>
          </w:p>
          <w:p w:rsidR="00E87774" w:rsidRPr="009448F5" w:rsidRDefault="003E2C86" w:rsidP="00826CFE">
            <w:pPr>
              <w:jc w:val="both"/>
              <w:rPr>
                <w:rFonts w:ascii="Times New Roman" w:hAnsi="Times New Roman" w:cs="Times New Roman"/>
                <w:sz w:val="24"/>
                <w:szCs w:val="24"/>
              </w:rPr>
            </w:pPr>
            <w:r w:rsidRPr="009448F5">
              <w:rPr>
                <w:rFonts w:ascii="Times New Roman" w:eastAsia="Times New Roman" w:hAnsi="Times New Roman" w:cs="Times New Roman"/>
                <w:sz w:val="24"/>
                <w:szCs w:val="24"/>
                <w:lang w:eastAsia="lt-LT"/>
              </w:rPr>
              <w:t>Siekiant</w:t>
            </w:r>
            <w:r w:rsidR="00E87774" w:rsidRPr="009448F5">
              <w:rPr>
                <w:rFonts w:ascii="Times New Roman" w:eastAsia="Times New Roman" w:hAnsi="Times New Roman" w:cs="Times New Roman"/>
                <w:sz w:val="24"/>
                <w:szCs w:val="24"/>
                <w:lang w:eastAsia="lt-LT"/>
              </w:rPr>
              <w:t xml:space="preserve"> aiškumo potencialiems pareiškėjams</w:t>
            </w:r>
            <w:r w:rsidRPr="009448F5">
              <w:rPr>
                <w:rFonts w:ascii="Times New Roman" w:eastAsia="Times New Roman" w:hAnsi="Times New Roman" w:cs="Times New Roman"/>
                <w:sz w:val="24"/>
                <w:szCs w:val="24"/>
                <w:lang w:eastAsia="lt-LT"/>
              </w:rPr>
              <w:t>,</w:t>
            </w:r>
            <w:r w:rsidR="00E87774" w:rsidRPr="009448F5">
              <w:rPr>
                <w:rFonts w:ascii="Times New Roman" w:eastAsia="Times New Roman" w:hAnsi="Times New Roman" w:cs="Times New Roman"/>
                <w:sz w:val="24"/>
                <w:szCs w:val="24"/>
                <w:lang w:eastAsia="lt-LT"/>
              </w:rPr>
              <w:t xml:space="preserve"> </w:t>
            </w:r>
            <w:r w:rsidR="00657B7B" w:rsidRPr="009448F5">
              <w:rPr>
                <w:rFonts w:ascii="Times New Roman" w:eastAsia="Times New Roman" w:hAnsi="Times New Roman" w:cs="Times New Roman"/>
                <w:sz w:val="24"/>
                <w:szCs w:val="24"/>
                <w:lang w:eastAsia="lt-LT"/>
              </w:rPr>
              <w:t>atitinkam</w:t>
            </w:r>
            <w:r w:rsidR="00826CFE" w:rsidRPr="009448F5">
              <w:rPr>
                <w:rFonts w:ascii="Times New Roman" w:eastAsia="Times New Roman" w:hAnsi="Times New Roman" w:cs="Times New Roman"/>
                <w:sz w:val="24"/>
                <w:szCs w:val="24"/>
                <w:lang w:eastAsia="lt-LT"/>
              </w:rPr>
              <w:t>ą nuostatą</w:t>
            </w:r>
            <w:r w:rsidR="00657B7B" w:rsidRPr="009448F5">
              <w:rPr>
                <w:rFonts w:ascii="Times New Roman" w:eastAsia="Times New Roman" w:hAnsi="Times New Roman" w:cs="Times New Roman"/>
                <w:sz w:val="24"/>
                <w:szCs w:val="24"/>
                <w:lang w:eastAsia="lt-LT"/>
              </w:rPr>
              <w:t xml:space="preserve"> dėl paslaugų išlaidų, kurių teikimo vietos negalima numatyti iš anksto,</w:t>
            </w:r>
            <w:r w:rsidRPr="009448F5">
              <w:rPr>
                <w:rFonts w:ascii="Times New Roman" w:eastAsia="Times New Roman" w:hAnsi="Times New Roman" w:cs="Times New Roman"/>
                <w:sz w:val="24"/>
                <w:szCs w:val="24"/>
                <w:lang w:eastAsia="lt-LT"/>
              </w:rPr>
              <w:t xml:space="preserve"> numatoma įtvirtinti Apraše.</w:t>
            </w:r>
          </w:p>
        </w:tc>
      </w:tr>
      <w:tr w:rsidR="003E5D82" w:rsidRPr="009448F5" w:rsidTr="00E974B2">
        <w:trPr>
          <w:trHeight w:val="274"/>
        </w:trPr>
        <w:tc>
          <w:tcPr>
            <w:tcW w:w="665" w:type="dxa"/>
            <w:vMerge/>
          </w:tcPr>
          <w:p w:rsidR="003E5D82" w:rsidRPr="009448F5" w:rsidRDefault="003E5D82" w:rsidP="00776B3B">
            <w:pPr>
              <w:rPr>
                <w:rFonts w:ascii="Times New Roman" w:hAnsi="Times New Roman" w:cs="Times New Roman"/>
                <w:sz w:val="24"/>
                <w:szCs w:val="24"/>
              </w:rPr>
            </w:pPr>
          </w:p>
        </w:tc>
        <w:tc>
          <w:tcPr>
            <w:tcW w:w="1790" w:type="dxa"/>
            <w:vMerge/>
          </w:tcPr>
          <w:p w:rsidR="003E5D82" w:rsidRPr="009448F5" w:rsidRDefault="003E5D82" w:rsidP="00776B3B">
            <w:pPr>
              <w:rPr>
                <w:rFonts w:ascii="Times New Roman" w:hAnsi="Times New Roman" w:cs="Times New Roman"/>
                <w:sz w:val="24"/>
                <w:szCs w:val="24"/>
              </w:rPr>
            </w:pPr>
          </w:p>
        </w:tc>
        <w:tc>
          <w:tcPr>
            <w:tcW w:w="6432" w:type="dxa"/>
          </w:tcPr>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6) Pastaba Aprašo 30 punktui „30.1. produkto stebėsenos rodiklio „Subsidijas gaunančių įmonių skaičius“, kodas P.B. 202;</w:t>
            </w:r>
          </w:p>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30.2. produkto stebėsenos rodiklio „Privačios investicijos, atitinkančios viešąją paramą inovacijoms arba MTEP projektams“, kodas P.B. 227;</w:t>
            </w:r>
          </w:p>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30.3. produkto stebėsenos rodiklio „Įmonių, bendradarbiaujančių su tyrimų institucijomis, skaičius“, kodas P.N. 226;</w:t>
            </w:r>
          </w:p>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30.4. produkto stebėsenos rodiklio „Įmonių, gavusių investicijas, siekiant, kad jos pateiktų naujų rinkos produktų, skaičius“, kodas P.B. 228;</w:t>
            </w:r>
          </w:p>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 xml:space="preserve">30.5. produkto stebėsenos rodiklio „Įmonių, gavusių investicijas </w:t>
            </w:r>
            <w:r w:rsidRPr="009448F5">
              <w:rPr>
                <w:rFonts w:ascii="Times New Roman" w:eastAsia="Times New Roman" w:hAnsi="Times New Roman" w:cs="Times New Roman"/>
                <w:sz w:val="24"/>
                <w:szCs w:val="24"/>
                <w:lang w:eastAsia="lt-LT"/>
              </w:rPr>
              <w:lastRenderedPageBreak/>
              <w:t>siekiant, kad jos pateiktų naujų įmonės produktų, skaičius“, kodas P.B. 229;</w:t>
            </w:r>
          </w:p>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30.6. produkto stebėsenos rodiklio „Sertifikuoti produktai MTEP srityje“, kodas P.N. 816;</w:t>
            </w:r>
          </w:p>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30.7. produkto stebėsenos rodiklio „Sertifikuotos technologijos MTEP srityje“, kodas P.N. 814;</w:t>
            </w:r>
          </w:p>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30.8. produkto stebėsenos rodiklio „Sukurti gaminių, paslaugų ar procesų prototipai (koncepcijos) MTEP srityje“, kodas P.N. 815;</w:t>
            </w:r>
          </w:p>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30.9. rezultato stebėsenos rodiklio „Investicijas gavusios įmonės pajamų, gautų iš sukurtų ir rinkai pateiktų produktų, santykis su skirtomis investicijomis“, kodas R.N.818;</w:t>
            </w:r>
          </w:p>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30.10. rezultato stebėsenos rodiklio „Sukurtos tyrėjų darbo vietos MTEP srityje“, kodas R.N. 819.“:</w:t>
            </w:r>
          </w:p>
          <w:p w:rsidR="003E5D82"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Remiantis Aprašo 30 nuostata, turi būti būtinai siekiama tik 3 stebėsenos rodiklių, įvardintų 30.2, 30.5 ir 30.9 papunkčiuose, iš kurių tik 30.9 punkte nurodytas rodiklis tiesiogiai siejasi su projekto kokybės ir naudos vertinimu. 30.5 ir 30.4 rodikliai su naudos ir kokybės vertinimu siejasi netiesiogiai, nes apima tik įmonių skaičių kurios sukurs atitinkamo naujumo produktus, bet ne pačių produktų skaičių, už kurį suteikiami balai. Visi kiti rodikliai nėra privalomi.</w:t>
            </w:r>
          </w:p>
          <w:p w:rsidR="003E5D82"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Pagal Projektų taisykles, už prisiimtų rodiklių pasiekimą yra atsakingi projektų vykdytojai, o už  rodiklių nepasiekimą gresia finansinės sankcijos, todėl natūralu, kad niekas neprisiims siekti rodiklių, kurie nekuria pridėtinės vertės projektų atrankos metu.</w:t>
            </w:r>
          </w:p>
          <w:p w:rsidR="003E2C86"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Stebėsenos rodiklių bei projektų kokybės ir naudos (toliau </w:t>
            </w:r>
            <w:r w:rsidR="003E2C86" w:rsidRPr="009448F5">
              <w:rPr>
                <w:rFonts w:ascii="Times New Roman" w:eastAsia="Times New Roman" w:hAnsi="Times New Roman" w:cs="Times New Roman"/>
                <w:i/>
                <w:sz w:val="24"/>
                <w:szCs w:val="24"/>
                <w:lang w:eastAsia="lt-LT"/>
              </w:rPr>
              <w:t>– K</w:t>
            </w:r>
            <w:r w:rsidRPr="009448F5">
              <w:rPr>
                <w:rFonts w:ascii="Times New Roman" w:eastAsia="Times New Roman" w:hAnsi="Times New Roman" w:cs="Times New Roman"/>
                <w:i/>
                <w:sz w:val="24"/>
                <w:szCs w:val="24"/>
                <w:lang w:eastAsia="lt-LT"/>
              </w:rPr>
              <w:t xml:space="preserve">N) vertinimo sankirtoje lieka </w:t>
            </w:r>
            <w:r w:rsidRPr="009448F5">
              <w:rPr>
                <w:rFonts w:ascii="Times New Roman" w:eastAsia="Times New Roman" w:hAnsi="Times New Roman" w:cs="Times New Roman"/>
                <w:b/>
                <w:bCs/>
                <w:i/>
                <w:sz w:val="24"/>
                <w:szCs w:val="24"/>
                <w:lang w:eastAsia="lt-LT"/>
              </w:rPr>
              <w:t xml:space="preserve">neatsakyti klausimai, </w:t>
            </w:r>
            <w:r w:rsidRPr="009448F5">
              <w:rPr>
                <w:rFonts w:ascii="Times New Roman" w:eastAsia="Times New Roman" w:hAnsi="Times New Roman" w:cs="Times New Roman"/>
                <w:bCs/>
                <w:i/>
                <w:sz w:val="24"/>
                <w:szCs w:val="24"/>
                <w:lang w:eastAsia="lt-LT"/>
              </w:rPr>
              <w:t>kurių atsakymai gali lemti tam tikrų rodiklių atsisakymą arba jų vertinimo svarbos reikšmingumą</w:t>
            </w:r>
            <w:r w:rsidRPr="009448F5">
              <w:rPr>
                <w:rFonts w:ascii="Times New Roman" w:eastAsia="Times New Roman" w:hAnsi="Times New Roman" w:cs="Times New Roman"/>
                <w:i/>
                <w:sz w:val="24"/>
                <w:szCs w:val="24"/>
                <w:lang w:eastAsia="lt-LT"/>
              </w:rPr>
              <w:t>:</w:t>
            </w:r>
          </w:p>
          <w:p w:rsidR="003E5D82"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iCs/>
                <w:sz w:val="24"/>
                <w:szCs w:val="24"/>
                <w:lang w:eastAsia="lt-LT"/>
              </w:rPr>
              <w:t>- 30.10 rodiklis. Kodėl jis neįtakoja KN vertinimo arba kodėl jis nėra privalomas pasirinkti, pavyzdžiui, jei kuriama MTEPI infrastruktūra?;</w:t>
            </w:r>
            <w:r w:rsidRPr="009448F5">
              <w:rPr>
                <w:rFonts w:ascii="Times New Roman" w:eastAsia="Times New Roman" w:hAnsi="Times New Roman" w:cs="Times New Roman"/>
                <w:i/>
                <w:iCs/>
                <w:sz w:val="24"/>
                <w:szCs w:val="24"/>
                <w:lang w:eastAsia="lt-LT"/>
              </w:rPr>
              <w:br/>
              <w:t xml:space="preserve">- 30.8 rodiklis. Šis rodiklis apima tik </w:t>
            </w:r>
            <w:r w:rsidR="003E2C86" w:rsidRPr="009448F5">
              <w:rPr>
                <w:rFonts w:ascii="Times New Roman" w:eastAsia="Times New Roman" w:hAnsi="Times New Roman" w:cs="Times New Roman"/>
                <w:i/>
                <w:iCs/>
                <w:sz w:val="24"/>
                <w:szCs w:val="24"/>
                <w:lang w:eastAsia="lt-LT"/>
              </w:rPr>
              <w:t>„</w:t>
            </w:r>
            <w:r w:rsidRPr="009448F5">
              <w:rPr>
                <w:rFonts w:ascii="Times New Roman" w:eastAsia="Times New Roman" w:hAnsi="Times New Roman" w:cs="Times New Roman"/>
                <w:i/>
                <w:iCs/>
                <w:sz w:val="24"/>
                <w:szCs w:val="24"/>
                <w:lang w:eastAsia="lt-LT"/>
              </w:rPr>
              <w:t>prototipų</w:t>
            </w:r>
            <w:r w:rsidR="003E2C86" w:rsidRPr="009448F5">
              <w:rPr>
                <w:rFonts w:ascii="Times New Roman" w:eastAsia="Times New Roman" w:hAnsi="Times New Roman" w:cs="Times New Roman"/>
                <w:i/>
                <w:iCs/>
                <w:sz w:val="24"/>
                <w:szCs w:val="24"/>
                <w:lang w:eastAsia="lt-LT"/>
              </w:rPr>
              <w:t>“</w:t>
            </w:r>
            <w:r w:rsidRPr="009448F5">
              <w:rPr>
                <w:rFonts w:ascii="Times New Roman" w:eastAsia="Times New Roman" w:hAnsi="Times New Roman" w:cs="Times New Roman"/>
                <w:i/>
                <w:iCs/>
                <w:sz w:val="24"/>
                <w:szCs w:val="24"/>
                <w:lang w:eastAsia="lt-LT"/>
              </w:rPr>
              <w:t xml:space="preserve"> skaičių, sukurtų projekto įgyvendinimo eigoje, o balai KN vertinimo </w:t>
            </w:r>
            <w:r w:rsidRPr="009448F5">
              <w:rPr>
                <w:rFonts w:ascii="Times New Roman" w:eastAsia="Times New Roman" w:hAnsi="Times New Roman" w:cs="Times New Roman"/>
                <w:i/>
                <w:iCs/>
                <w:sz w:val="24"/>
                <w:szCs w:val="24"/>
                <w:lang w:eastAsia="lt-LT"/>
              </w:rPr>
              <w:lastRenderedPageBreak/>
              <w:t xml:space="preserve">metu suteikiami už </w:t>
            </w:r>
            <w:r w:rsidR="003E2C86" w:rsidRPr="009448F5">
              <w:rPr>
                <w:rFonts w:ascii="Times New Roman" w:eastAsia="Times New Roman" w:hAnsi="Times New Roman" w:cs="Times New Roman"/>
                <w:i/>
                <w:iCs/>
                <w:sz w:val="24"/>
                <w:szCs w:val="24"/>
                <w:lang w:eastAsia="lt-LT"/>
              </w:rPr>
              <w:t>„produktų“ skaičių, sukurtų „</w:t>
            </w:r>
            <w:r w:rsidRPr="009448F5">
              <w:rPr>
                <w:rFonts w:ascii="Times New Roman" w:eastAsia="Times New Roman" w:hAnsi="Times New Roman" w:cs="Times New Roman"/>
                <w:i/>
                <w:iCs/>
                <w:sz w:val="24"/>
                <w:szCs w:val="24"/>
                <w:lang w:eastAsia="lt-LT"/>
              </w:rPr>
              <w:t>projekto</w:t>
            </w:r>
            <w:r w:rsidR="003E2C86" w:rsidRPr="009448F5">
              <w:rPr>
                <w:rFonts w:ascii="Times New Roman" w:eastAsia="Times New Roman" w:hAnsi="Times New Roman" w:cs="Times New Roman"/>
                <w:i/>
                <w:iCs/>
                <w:sz w:val="24"/>
                <w:szCs w:val="24"/>
                <w:lang w:eastAsia="lt-LT"/>
              </w:rPr>
              <w:t xml:space="preserve"> metu arba įgyvendinus projektą“</w:t>
            </w:r>
            <w:r w:rsidRPr="009448F5">
              <w:rPr>
                <w:rFonts w:ascii="Times New Roman" w:eastAsia="Times New Roman" w:hAnsi="Times New Roman" w:cs="Times New Roman"/>
                <w:i/>
                <w:iCs/>
                <w:sz w:val="24"/>
                <w:szCs w:val="24"/>
                <w:lang w:eastAsia="lt-LT"/>
              </w:rPr>
              <w:t xml:space="preserve">. Ar </w:t>
            </w:r>
            <w:r w:rsidR="003E2C86" w:rsidRPr="009448F5">
              <w:rPr>
                <w:rFonts w:ascii="Times New Roman" w:eastAsia="Times New Roman" w:hAnsi="Times New Roman" w:cs="Times New Roman"/>
                <w:i/>
                <w:iCs/>
                <w:sz w:val="24"/>
                <w:szCs w:val="24"/>
                <w:lang w:eastAsia="lt-LT"/>
              </w:rPr>
              <w:t>„prototipas“ lygu „</w:t>
            </w:r>
            <w:r w:rsidRPr="009448F5">
              <w:rPr>
                <w:rFonts w:ascii="Times New Roman" w:eastAsia="Times New Roman" w:hAnsi="Times New Roman" w:cs="Times New Roman"/>
                <w:i/>
                <w:iCs/>
                <w:sz w:val="24"/>
                <w:szCs w:val="24"/>
                <w:lang w:eastAsia="lt-LT"/>
              </w:rPr>
              <w:t>produktas</w:t>
            </w:r>
            <w:r w:rsidR="003E2C86" w:rsidRPr="009448F5">
              <w:rPr>
                <w:rFonts w:ascii="Times New Roman" w:eastAsia="Times New Roman" w:hAnsi="Times New Roman" w:cs="Times New Roman"/>
                <w:i/>
                <w:iCs/>
                <w:sz w:val="24"/>
                <w:szCs w:val="24"/>
                <w:lang w:eastAsia="lt-LT"/>
              </w:rPr>
              <w:t>“</w:t>
            </w:r>
            <w:r w:rsidRPr="009448F5">
              <w:rPr>
                <w:rFonts w:ascii="Times New Roman" w:eastAsia="Times New Roman" w:hAnsi="Times New Roman" w:cs="Times New Roman"/>
                <w:i/>
                <w:iCs/>
                <w:sz w:val="24"/>
                <w:szCs w:val="24"/>
                <w:lang w:eastAsia="lt-LT"/>
              </w:rPr>
              <w:t>? Ar KN vertinimo metu bus imamas tik skaičius produktų, kuris sutampa su 30.8 rodikliu? Koks 30.6 rodiklio pasiekimo laikotarpis – ar jis apima tik projekto įgyvendinimo laikotarpį ar ir laikotarpį po projekto įgyvendinimo (jei taip, tai kokį laikotarpį)?</w:t>
            </w:r>
            <w:r w:rsidRPr="009448F5">
              <w:rPr>
                <w:rFonts w:ascii="Times New Roman" w:eastAsia="Times New Roman" w:hAnsi="Times New Roman" w:cs="Times New Roman"/>
                <w:i/>
                <w:iCs/>
                <w:sz w:val="24"/>
                <w:szCs w:val="24"/>
                <w:lang w:eastAsia="lt-LT"/>
              </w:rPr>
              <w:br/>
              <w:t>- 30.6 ir 30.7 rodikliai. Kodėl jie neįtakoja KN vertinimo? Sertifikavimas siejasi su papildomomis išlaidomis, kurios nėra tinkamos finansuoti projekto metu. Jei norima paskatinti įmones siekti šių rodiklių, reikia sukurti atitinkamas prielaidas, pavyzdžiui, susieti sertifikavimo faktą su rinkos naujumu arba su produkto/technologijų  validavimui reikalingomis išlaidomis (tinkamos validavimo išlaidos tik tada, jei  yra įsipareigojimas sertifikuoti);</w:t>
            </w:r>
            <w:r w:rsidRPr="009448F5">
              <w:rPr>
                <w:rFonts w:ascii="Times New Roman" w:eastAsia="Times New Roman" w:hAnsi="Times New Roman" w:cs="Times New Roman"/>
                <w:i/>
                <w:iCs/>
                <w:sz w:val="24"/>
                <w:szCs w:val="24"/>
                <w:lang w:eastAsia="lt-LT"/>
              </w:rPr>
              <w:br/>
              <w:t xml:space="preserve">- 30.4 ir 30.5 rodikliai. Šie rodikliai apima tik įmonių skaičių, o KN metu vertinamas produktų skaičius. Be to, šie rodikliai neapima atvejo KN vertinimo metu </w:t>
            </w:r>
            <w:r w:rsidR="003E2C86" w:rsidRPr="009448F5">
              <w:rPr>
                <w:rFonts w:ascii="Times New Roman" w:eastAsia="Times New Roman" w:hAnsi="Times New Roman" w:cs="Times New Roman"/>
                <w:i/>
                <w:iCs/>
                <w:sz w:val="24"/>
                <w:szCs w:val="24"/>
                <w:lang w:eastAsia="lt-LT"/>
              </w:rPr>
              <w:t>„</w:t>
            </w:r>
            <w:r w:rsidRPr="009448F5">
              <w:rPr>
                <w:rFonts w:ascii="Times New Roman" w:eastAsia="Times New Roman" w:hAnsi="Times New Roman" w:cs="Times New Roman"/>
                <w:i/>
                <w:iCs/>
                <w:sz w:val="24"/>
                <w:szCs w:val="24"/>
                <w:lang w:eastAsia="lt-LT"/>
              </w:rPr>
              <w:t>produktas naujas pasaulio mastu</w:t>
            </w:r>
            <w:r w:rsidR="003E2C86" w:rsidRPr="009448F5">
              <w:rPr>
                <w:rFonts w:ascii="Times New Roman" w:eastAsia="Times New Roman" w:hAnsi="Times New Roman" w:cs="Times New Roman"/>
                <w:i/>
                <w:iCs/>
                <w:sz w:val="24"/>
                <w:szCs w:val="24"/>
                <w:lang w:eastAsia="lt-LT"/>
              </w:rPr>
              <w:t>“</w:t>
            </w:r>
            <w:r w:rsidRPr="009448F5">
              <w:rPr>
                <w:rFonts w:ascii="Times New Roman" w:eastAsia="Times New Roman" w:hAnsi="Times New Roman" w:cs="Times New Roman"/>
                <w:i/>
                <w:iCs/>
                <w:sz w:val="24"/>
                <w:szCs w:val="24"/>
                <w:lang w:eastAsia="lt-LT"/>
              </w:rPr>
              <w:t>. Kuo rizikuoja pareiškėjas, jei sukurti produktai bus mažesnio naujumo nei buvo planuota (balus gavo už naujumą pasaulio mastu, o įgyvendinant projektą produktas tapo  naujas tik rinkos mastu)?</w:t>
            </w:r>
          </w:p>
        </w:tc>
        <w:tc>
          <w:tcPr>
            <w:tcW w:w="1583" w:type="dxa"/>
          </w:tcPr>
          <w:p w:rsidR="003E5D82" w:rsidRPr="009448F5" w:rsidRDefault="002A1C6F"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Atsižvelgta iš dalies.</w:t>
            </w:r>
          </w:p>
        </w:tc>
        <w:tc>
          <w:tcPr>
            <w:tcW w:w="4883" w:type="dxa"/>
          </w:tcPr>
          <w:p w:rsidR="003E5D82" w:rsidRPr="009448F5" w:rsidRDefault="002A1C6F" w:rsidP="002A1C6F">
            <w:pPr>
              <w:jc w:val="both"/>
              <w:rPr>
                <w:rFonts w:ascii="Times New Roman" w:hAnsi="Times New Roman" w:cs="Times New Roman"/>
                <w:sz w:val="24"/>
                <w:szCs w:val="24"/>
              </w:rPr>
            </w:pPr>
            <w:r w:rsidRPr="009448F5">
              <w:rPr>
                <w:rFonts w:ascii="Times New Roman" w:hAnsi="Times New Roman" w:cs="Times New Roman"/>
                <w:sz w:val="24"/>
                <w:szCs w:val="24"/>
              </w:rPr>
              <w:t xml:space="preserve">Atsižvelgiant į tai, kad pagal priemonę gali būti finansuojami labai skirtingi projektai kaip privalomi pasirinkti rodikliai nurodyti tik tokie rodikliai, kurių sieks visi finansuojami projektai. Kiti rodikliai, pvz., rodiklis „Sukurtos tyrėjų darbo vietos MTEP srityje“, nebūtinai galės būti pasiekiami visuose projektuose (pvz., pareiškėjas projekte numato plėsti infrastruktūrą su kuria dirbtų jau įmonėje dirbantys tyrėjai), todėl jie negali būti nurodyti kaip privalomi. </w:t>
            </w:r>
          </w:p>
          <w:p w:rsidR="00756E13" w:rsidRPr="009448F5" w:rsidRDefault="00756E13" w:rsidP="00756E13">
            <w:pPr>
              <w:jc w:val="both"/>
              <w:rPr>
                <w:rFonts w:ascii="Times New Roman" w:hAnsi="Times New Roman" w:cs="Times New Roman"/>
                <w:sz w:val="24"/>
                <w:szCs w:val="24"/>
              </w:rPr>
            </w:pPr>
            <w:r w:rsidRPr="009448F5">
              <w:rPr>
                <w:rFonts w:ascii="Times New Roman" w:hAnsi="Times New Roman" w:cs="Times New Roman"/>
                <w:sz w:val="24"/>
                <w:szCs w:val="24"/>
              </w:rPr>
              <w:t xml:space="preserve">Atsakant į Jūsų klausimą dėl balų suteikimo naudos ir kokybės vertinimo metu už „produktų skaičių“, ar bus imamas tik skaičius produktų, </w:t>
            </w:r>
            <w:r w:rsidRPr="009448F5">
              <w:rPr>
                <w:rFonts w:ascii="Times New Roman" w:hAnsi="Times New Roman" w:cs="Times New Roman"/>
                <w:sz w:val="24"/>
                <w:szCs w:val="24"/>
              </w:rPr>
              <w:lastRenderedPageBreak/>
              <w:t>kuris sutampa su rodiklio, nurodyto Aprašo 30.8 papunktyje, reikšme, informuojame, kad vertinamas produktų skaičius ir minėto rodiklio reikšmė turi sutapti.</w:t>
            </w:r>
          </w:p>
          <w:p w:rsidR="00756E13" w:rsidRPr="009448F5" w:rsidRDefault="00756E13" w:rsidP="00756E13">
            <w:pPr>
              <w:jc w:val="both"/>
              <w:rPr>
                <w:rFonts w:ascii="Times New Roman" w:hAnsi="Times New Roman" w:cs="Times New Roman"/>
                <w:sz w:val="24"/>
                <w:szCs w:val="24"/>
              </w:rPr>
            </w:pPr>
            <w:r w:rsidRPr="009448F5">
              <w:rPr>
                <w:rFonts w:ascii="Times New Roman" w:hAnsi="Times New Roman" w:cs="Times New Roman"/>
                <w:sz w:val="24"/>
                <w:szCs w:val="24"/>
              </w:rPr>
              <w:t>Rodikliai, nurodyti Aprašo</w:t>
            </w:r>
            <w:r w:rsidR="00323F5A" w:rsidRPr="009448F5">
              <w:rPr>
                <w:rFonts w:ascii="Times New Roman" w:hAnsi="Times New Roman" w:cs="Times New Roman"/>
                <w:sz w:val="24"/>
                <w:szCs w:val="24"/>
              </w:rPr>
              <w:t xml:space="preserve"> projekto</w:t>
            </w:r>
            <w:r w:rsidRPr="009448F5">
              <w:rPr>
                <w:rFonts w:ascii="Times New Roman" w:hAnsi="Times New Roman" w:cs="Times New Roman"/>
                <w:sz w:val="24"/>
                <w:szCs w:val="24"/>
              </w:rPr>
              <w:t xml:space="preserve"> 30.6 ir 30.7 papunkčiuose, </w:t>
            </w:r>
            <w:r w:rsidR="00323F5A" w:rsidRPr="009448F5">
              <w:rPr>
                <w:rFonts w:ascii="Times New Roman" w:hAnsi="Times New Roman" w:cs="Times New Roman"/>
                <w:sz w:val="24"/>
                <w:szCs w:val="24"/>
              </w:rPr>
              <w:t>išbraukiami</w:t>
            </w:r>
            <w:r w:rsidRPr="009448F5">
              <w:rPr>
                <w:rFonts w:ascii="Times New Roman" w:hAnsi="Times New Roman" w:cs="Times New Roman"/>
                <w:sz w:val="24"/>
                <w:szCs w:val="24"/>
              </w:rPr>
              <w:t>, kadangi šie rodikliai skirti priemonės veiklai –</w:t>
            </w:r>
            <w:r w:rsidR="00323F5A" w:rsidRPr="009448F5">
              <w:rPr>
                <w:rFonts w:ascii="Times New Roman" w:hAnsi="Times New Roman" w:cs="Times New Roman"/>
                <w:sz w:val="24"/>
                <w:szCs w:val="24"/>
              </w:rPr>
              <w:t xml:space="preserve"> </w:t>
            </w:r>
            <w:r w:rsidRPr="009448F5">
              <w:rPr>
                <w:rFonts w:ascii="Times New Roman" w:hAnsi="Times New Roman" w:cs="Times New Roman"/>
                <w:sz w:val="24"/>
                <w:szCs w:val="24"/>
              </w:rPr>
              <w:t>naujų produktų ir technologijų sertifikavimas, kuri</w:t>
            </w:r>
            <w:r w:rsidR="00323F5A" w:rsidRPr="009448F5">
              <w:rPr>
                <w:rFonts w:ascii="Times New Roman" w:hAnsi="Times New Roman" w:cs="Times New Roman"/>
                <w:sz w:val="24"/>
                <w:szCs w:val="24"/>
              </w:rPr>
              <w:t>os nenumatyta finansuoti pagal šį Aprašą.</w:t>
            </w:r>
            <w:r w:rsidRPr="009448F5">
              <w:rPr>
                <w:rFonts w:ascii="Times New Roman" w:hAnsi="Times New Roman" w:cs="Times New Roman"/>
                <w:sz w:val="24"/>
                <w:szCs w:val="24"/>
              </w:rPr>
              <w:t xml:space="preserve"> Pagal šią veiklą  bus rengiamas atskiras Aprašas.</w:t>
            </w:r>
          </w:p>
          <w:p w:rsidR="00323F5A" w:rsidRPr="009448F5" w:rsidRDefault="00323F5A" w:rsidP="00756E13">
            <w:pPr>
              <w:jc w:val="both"/>
              <w:rPr>
                <w:rFonts w:ascii="Times New Roman" w:hAnsi="Times New Roman" w:cs="Times New Roman"/>
                <w:sz w:val="24"/>
                <w:szCs w:val="24"/>
              </w:rPr>
            </w:pPr>
            <w:r w:rsidRPr="009448F5">
              <w:rPr>
                <w:rFonts w:ascii="Times New Roman" w:hAnsi="Times New Roman" w:cs="Times New Roman"/>
                <w:sz w:val="24"/>
                <w:szCs w:val="24"/>
              </w:rPr>
              <w:t xml:space="preserve">Rodikliai, nurodyti Aprašo projekto 30.4 ir 30.5 papunkčiuose, yra bendrieji (t. y. veiksmų programos) rodikliai, todėl jie negali būti koreguojami. </w:t>
            </w:r>
          </w:p>
          <w:p w:rsidR="00323F5A" w:rsidRPr="009448F5" w:rsidRDefault="00323F5A" w:rsidP="00756E13">
            <w:pPr>
              <w:jc w:val="both"/>
              <w:rPr>
                <w:rFonts w:ascii="Times New Roman" w:hAnsi="Times New Roman" w:cs="Times New Roman"/>
                <w:sz w:val="24"/>
                <w:szCs w:val="24"/>
              </w:rPr>
            </w:pPr>
            <w:r w:rsidRPr="009448F5">
              <w:rPr>
                <w:rFonts w:ascii="Times New Roman" w:hAnsi="Times New Roman" w:cs="Times New Roman"/>
                <w:sz w:val="24"/>
                <w:szCs w:val="24"/>
              </w:rPr>
              <w:t xml:space="preserve">Jeigu įgyvendinus projektą sukurti produktai bus mažiau nauji nei buvo įsipareigota, tuomet bus peržiūrimas naudos ir kokybės vertinimas, perskaičiuojami balai, pradėtas pažeidimo tyrimas ir susigrąžintos skirtos finansavimo lėšos, jeigu esant mažesniam sukurtų produktų naujumui projektui būtų neskirtas finansavimas. </w:t>
            </w:r>
          </w:p>
          <w:p w:rsidR="00756E13" w:rsidRPr="009448F5" w:rsidRDefault="00756E13" w:rsidP="00756E13">
            <w:pPr>
              <w:jc w:val="both"/>
              <w:rPr>
                <w:rFonts w:ascii="Times New Roman" w:hAnsi="Times New Roman" w:cs="Times New Roman"/>
                <w:sz w:val="24"/>
                <w:szCs w:val="24"/>
              </w:rPr>
            </w:pPr>
          </w:p>
        </w:tc>
      </w:tr>
      <w:tr w:rsidR="003E5D82" w:rsidRPr="009448F5" w:rsidTr="00E974B2">
        <w:trPr>
          <w:trHeight w:val="281"/>
        </w:trPr>
        <w:tc>
          <w:tcPr>
            <w:tcW w:w="665" w:type="dxa"/>
            <w:vMerge/>
          </w:tcPr>
          <w:p w:rsidR="003E5D82" w:rsidRPr="009448F5" w:rsidRDefault="003E5D82" w:rsidP="00776B3B">
            <w:pPr>
              <w:rPr>
                <w:rFonts w:ascii="Times New Roman" w:hAnsi="Times New Roman" w:cs="Times New Roman"/>
                <w:sz w:val="24"/>
                <w:szCs w:val="24"/>
              </w:rPr>
            </w:pPr>
          </w:p>
        </w:tc>
        <w:tc>
          <w:tcPr>
            <w:tcW w:w="1790" w:type="dxa"/>
            <w:vMerge/>
          </w:tcPr>
          <w:p w:rsidR="003E5D82" w:rsidRPr="009448F5" w:rsidRDefault="003E5D82" w:rsidP="00776B3B">
            <w:pPr>
              <w:rPr>
                <w:rFonts w:ascii="Times New Roman" w:hAnsi="Times New Roman" w:cs="Times New Roman"/>
                <w:sz w:val="24"/>
                <w:szCs w:val="24"/>
              </w:rPr>
            </w:pPr>
          </w:p>
        </w:tc>
        <w:tc>
          <w:tcPr>
            <w:tcW w:w="6432" w:type="dxa"/>
          </w:tcPr>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7) Pastaba Aprašo 31.1 papunkčiui „pirmajame konkurso etape kartu parengtos atitinkamos MTEP verslo plano dalys“:</w:t>
            </w:r>
          </w:p>
          <w:p w:rsidR="003E5D82"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Rekomenduojame sukonkretinti, kokia informacija verslo plane bus reikalinga pateikti pirmame vertinimo etape. </w:t>
            </w:r>
          </w:p>
          <w:p w:rsidR="003E5D82" w:rsidRPr="009448F5" w:rsidRDefault="003E5D82" w:rsidP="00776B3B">
            <w:pPr>
              <w:jc w:val="both"/>
              <w:rPr>
                <w:rFonts w:ascii="Times New Roman" w:eastAsia="Times New Roman" w:hAnsi="Times New Roman" w:cs="Times New Roman"/>
                <w:b/>
                <w:bCs/>
                <w:sz w:val="24"/>
                <w:szCs w:val="24"/>
                <w:lang w:eastAsia="lt-LT"/>
              </w:rPr>
            </w:pPr>
            <w:r w:rsidRPr="009448F5">
              <w:rPr>
                <w:rFonts w:ascii="Times New Roman" w:eastAsia="Times New Roman" w:hAnsi="Times New Roman" w:cs="Times New Roman"/>
                <w:b/>
                <w:bCs/>
                <w:i/>
                <w:sz w:val="24"/>
                <w:szCs w:val="24"/>
                <w:lang w:eastAsia="lt-LT"/>
              </w:rPr>
              <w:t xml:space="preserve">Siūlome patikslintą 31.1 punkto redakciją: </w:t>
            </w:r>
            <w:r w:rsidRPr="009448F5">
              <w:rPr>
                <w:rFonts w:ascii="Times New Roman" w:eastAsia="Times New Roman" w:hAnsi="Times New Roman" w:cs="Times New Roman"/>
                <w:bCs/>
                <w:i/>
                <w:sz w:val="24"/>
                <w:szCs w:val="24"/>
                <w:lang w:eastAsia="lt-LT"/>
              </w:rPr>
              <w:t>„</w:t>
            </w:r>
            <w:r w:rsidRPr="009448F5">
              <w:rPr>
                <w:rFonts w:ascii="Times New Roman" w:eastAsia="Times New Roman" w:hAnsi="Times New Roman" w:cs="Times New Roman"/>
                <w:i/>
                <w:iCs/>
                <w:sz w:val="24"/>
                <w:szCs w:val="24"/>
                <w:lang w:eastAsia="lt-LT"/>
              </w:rPr>
              <w:t>31.1. pirmajame konkurso etape kartu  parengtos atitinkamos MTEP verslo plano dalys, apimančios informaciją, reikalingą įvertinti atitikimą bendriesiems reikalavimams, nurodytiems Aprašo 1 priedo 1.1, 1.2 ir 1.3.1 punktuose ir Aprašo 22.2 papunktyje nurodytam specialiajam</w:t>
            </w:r>
            <w:r w:rsidR="003E2C86" w:rsidRPr="009448F5">
              <w:rPr>
                <w:rFonts w:ascii="Times New Roman" w:eastAsia="Times New Roman" w:hAnsi="Times New Roman" w:cs="Times New Roman"/>
                <w:i/>
                <w:iCs/>
                <w:sz w:val="24"/>
                <w:szCs w:val="24"/>
                <w:lang w:eastAsia="lt-LT"/>
              </w:rPr>
              <w:t xml:space="preserve"> projektų atrankos kriterijui.</w:t>
            </w:r>
            <w:r w:rsidRPr="009448F5">
              <w:rPr>
                <w:rFonts w:ascii="Times New Roman" w:eastAsia="Times New Roman" w:hAnsi="Times New Roman" w:cs="Times New Roman"/>
                <w:i/>
                <w:iCs/>
                <w:sz w:val="24"/>
                <w:szCs w:val="24"/>
                <w:lang w:eastAsia="lt-LT"/>
              </w:rPr>
              <w:t>“</w:t>
            </w:r>
          </w:p>
        </w:tc>
        <w:tc>
          <w:tcPr>
            <w:tcW w:w="1583" w:type="dxa"/>
          </w:tcPr>
          <w:p w:rsidR="003E5D82" w:rsidRPr="009448F5" w:rsidRDefault="003E2C86" w:rsidP="00776B3B">
            <w:pPr>
              <w:rPr>
                <w:rFonts w:ascii="Times New Roman" w:hAnsi="Times New Roman" w:cs="Times New Roman"/>
                <w:sz w:val="24"/>
                <w:szCs w:val="24"/>
              </w:rPr>
            </w:pPr>
            <w:r w:rsidRPr="009448F5">
              <w:rPr>
                <w:rFonts w:ascii="Times New Roman" w:hAnsi="Times New Roman" w:cs="Times New Roman"/>
                <w:sz w:val="24"/>
                <w:szCs w:val="24"/>
              </w:rPr>
              <w:t>Atsižvelgta.</w:t>
            </w:r>
          </w:p>
        </w:tc>
        <w:tc>
          <w:tcPr>
            <w:tcW w:w="4883" w:type="dxa"/>
          </w:tcPr>
          <w:p w:rsidR="003E5D82" w:rsidRPr="009448F5" w:rsidRDefault="003E2C86"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Į pateiktą pastabą atsižvelgta, Aprašo nuostatos pakoreguotos – nurodyta, kokią konkrečiai informaciją reikalinga pateikti. </w:t>
            </w:r>
          </w:p>
        </w:tc>
      </w:tr>
      <w:tr w:rsidR="003E5D82" w:rsidRPr="009448F5" w:rsidTr="00E974B2">
        <w:trPr>
          <w:trHeight w:val="267"/>
        </w:trPr>
        <w:tc>
          <w:tcPr>
            <w:tcW w:w="665" w:type="dxa"/>
            <w:vMerge/>
          </w:tcPr>
          <w:p w:rsidR="003E5D82" w:rsidRPr="009448F5" w:rsidRDefault="003E5D82" w:rsidP="00776B3B">
            <w:pPr>
              <w:rPr>
                <w:rFonts w:ascii="Times New Roman" w:hAnsi="Times New Roman" w:cs="Times New Roman"/>
                <w:sz w:val="24"/>
                <w:szCs w:val="24"/>
              </w:rPr>
            </w:pPr>
          </w:p>
        </w:tc>
        <w:tc>
          <w:tcPr>
            <w:tcW w:w="1790" w:type="dxa"/>
            <w:vMerge/>
          </w:tcPr>
          <w:p w:rsidR="003E5D82" w:rsidRPr="009448F5" w:rsidRDefault="003E5D82" w:rsidP="00776B3B">
            <w:pPr>
              <w:rPr>
                <w:rFonts w:ascii="Times New Roman" w:hAnsi="Times New Roman" w:cs="Times New Roman"/>
                <w:sz w:val="24"/>
                <w:szCs w:val="24"/>
              </w:rPr>
            </w:pPr>
          </w:p>
        </w:tc>
        <w:tc>
          <w:tcPr>
            <w:tcW w:w="6432" w:type="dxa"/>
          </w:tcPr>
          <w:p w:rsidR="003E5D82" w:rsidRPr="009448F5" w:rsidRDefault="003E5D8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iCs/>
                <w:sz w:val="24"/>
                <w:szCs w:val="24"/>
                <w:lang w:eastAsia="lt-LT"/>
              </w:rPr>
              <w:t>8) Pastaba Aprašo 43 punktui „</w:t>
            </w:r>
            <w:r w:rsidRPr="009448F5">
              <w:rPr>
                <w:rFonts w:ascii="Times New Roman" w:eastAsia="Times New Roman" w:hAnsi="Times New Roman" w:cs="Times New Roman"/>
                <w:sz w:val="24"/>
                <w:szCs w:val="24"/>
                <w:lang w:eastAsia="lt-LT"/>
              </w:rPr>
              <w:t xml:space="preserve">Jeigu projektas įgyvendinamas su Aprašo 16.2 papunktyje nurodytu partneriu, jo įnašu į projekto tinkamas finansuoti išlaidas gali būti ir nepiniginis </w:t>
            </w:r>
            <w:r w:rsidRPr="009448F5">
              <w:rPr>
                <w:rFonts w:ascii="Times New Roman" w:eastAsia="Times New Roman" w:hAnsi="Times New Roman" w:cs="Times New Roman"/>
                <w:sz w:val="24"/>
                <w:szCs w:val="24"/>
                <w:lang w:eastAsia="lt-LT"/>
              </w:rPr>
              <w:lastRenderedPageBreak/>
              <w:t>įnašas – nekilnojamasis turtas ir savanoriškas darbas“:</w:t>
            </w:r>
          </w:p>
          <w:p w:rsidR="003E5D82" w:rsidRPr="009448F5" w:rsidRDefault="003E5D8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Pagal Aprašą mokslo ir studijų institucijos galimi kaip partneriai tik įgyvendinant Aprašo 10.1 papunktyje nurodytą veiklą </w:t>
            </w:r>
            <w:r w:rsidRPr="009448F5">
              <w:rPr>
                <w:rFonts w:ascii="Times New Roman" w:eastAsia="Times New Roman" w:hAnsi="Times New Roman" w:cs="Times New Roman"/>
                <w:sz w:val="24"/>
                <w:szCs w:val="24"/>
                <w:lang w:eastAsia="lt-LT"/>
              </w:rPr>
              <w:t>–</w:t>
            </w:r>
            <w:r w:rsidRPr="009448F5">
              <w:rPr>
                <w:rFonts w:ascii="Times New Roman" w:eastAsia="Times New Roman" w:hAnsi="Times New Roman" w:cs="Times New Roman"/>
                <w:i/>
                <w:sz w:val="24"/>
                <w:szCs w:val="24"/>
                <w:lang w:eastAsia="lt-LT"/>
              </w:rPr>
              <w:t xml:space="preserve"> MTEP. Atitinkamai BBIR yra įvardintas baigtinis sąrašas išlaidų, kurios yra tinkamos. „Nekilnojamas turtas“ kaip išlaidų tipas nepatenka į tinkamas išlaidas. Be to, „nekilnojamas turtas“, kuriuo disponuoja MSI, dažnu atveju, yra neprivatus turtas, disponavimą kuriuo riboja LR teisės aktai, jau nekalbant apie finansavimo šaltinius, iš kurių buvo finansuotas to turto įsigijimas.</w:t>
            </w:r>
          </w:p>
          <w:p w:rsidR="003E5D82" w:rsidRPr="009448F5" w:rsidRDefault="003E5D82" w:rsidP="00786897">
            <w:pPr>
              <w:jc w:val="both"/>
              <w:rPr>
                <w:rFonts w:ascii="Times New Roman" w:eastAsia="Times New Roman" w:hAnsi="Times New Roman" w:cs="Times New Roman"/>
                <w:b/>
                <w:bCs/>
                <w:i/>
                <w:sz w:val="24"/>
                <w:szCs w:val="24"/>
                <w:lang w:eastAsia="lt-LT"/>
              </w:rPr>
            </w:pPr>
            <w:r w:rsidRPr="009448F5">
              <w:rPr>
                <w:rFonts w:ascii="Times New Roman" w:eastAsia="Times New Roman" w:hAnsi="Times New Roman" w:cs="Times New Roman"/>
                <w:b/>
                <w:bCs/>
                <w:i/>
                <w:sz w:val="24"/>
                <w:szCs w:val="24"/>
                <w:lang w:eastAsia="lt-LT"/>
              </w:rPr>
              <w:t xml:space="preserve">Siūlome patikslintą 43 punkto redakciją: </w:t>
            </w:r>
            <w:r w:rsidRPr="009448F5">
              <w:rPr>
                <w:rFonts w:ascii="Times New Roman" w:eastAsia="Times New Roman" w:hAnsi="Times New Roman" w:cs="Times New Roman"/>
                <w:bCs/>
                <w:i/>
                <w:sz w:val="24"/>
                <w:szCs w:val="24"/>
                <w:lang w:eastAsia="lt-LT"/>
              </w:rPr>
              <w:t>„</w:t>
            </w:r>
            <w:r w:rsidRPr="009448F5">
              <w:rPr>
                <w:rFonts w:ascii="Times New Roman" w:eastAsia="Times New Roman" w:hAnsi="Times New Roman" w:cs="Times New Roman"/>
                <w:i/>
                <w:iCs/>
                <w:sz w:val="24"/>
                <w:szCs w:val="24"/>
                <w:lang w:eastAsia="lt-LT"/>
              </w:rPr>
              <w:t xml:space="preserve">43. Jeigu projektas įgyvendinamas su partneriu </w:t>
            </w:r>
            <w:r w:rsidRPr="009448F5">
              <w:rPr>
                <w:rFonts w:ascii="Times New Roman" w:eastAsia="Times New Roman" w:hAnsi="Times New Roman" w:cs="Times New Roman"/>
                <w:sz w:val="24"/>
                <w:szCs w:val="24"/>
                <w:lang w:eastAsia="lt-LT"/>
              </w:rPr>
              <w:t>–</w:t>
            </w:r>
            <w:r w:rsidRPr="009448F5">
              <w:rPr>
                <w:rFonts w:ascii="Times New Roman" w:eastAsia="Times New Roman" w:hAnsi="Times New Roman" w:cs="Times New Roman"/>
                <w:i/>
                <w:iCs/>
                <w:sz w:val="24"/>
                <w:szCs w:val="24"/>
                <w:lang w:eastAsia="lt-LT"/>
              </w:rPr>
              <w:t xml:space="preserve"> Mokslo ir studijų institucija (viešuoju juridiniu asmeniu, įvardintu Aprašo 16.2 papunktyje), jo įnašu į projekto tinkamas finansuoti išlaidas gali būti ir nepiniginis įnašas –  savanoriškas darbas, apimantis Aprašo 46.2 papunkčio lentelės</w:t>
            </w:r>
            <w:r w:rsidR="00786897" w:rsidRPr="009448F5">
              <w:rPr>
                <w:rFonts w:ascii="Times New Roman" w:eastAsia="Times New Roman" w:hAnsi="Times New Roman" w:cs="Times New Roman"/>
                <w:i/>
                <w:iCs/>
                <w:sz w:val="24"/>
                <w:szCs w:val="24"/>
                <w:lang w:eastAsia="lt-LT"/>
              </w:rPr>
              <w:t xml:space="preserve"> </w:t>
            </w:r>
            <w:r w:rsidRPr="009448F5">
              <w:rPr>
                <w:rFonts w:ascii="Times New Roman" w:eastAsia="Times New Roman" w:hAnsi="Times New Roman" w:cs="Times New Roman"/>
                <w:i/>
                <w:iCs/>
                <w:sz w:val="24"/>
                <w:szCs w:val="24"/>
                <w:lang w:eastAsia="lt-LT"/>
              </w:rPr>
              <w:t>5 išlaidų kategorijoje „projekto vykdymas“ įvardintas išlaidas“.</w:t>
            </w:r>
          </w:p>
        </w:tc>
        <w:tc>
          <w:tcPr>
            <w:tcW w:w="1583" w:type="dxa"/>
          </w:tcPr>
          <w:p w:rsidR="003E5D82" w:rsidRPr="009448F5" w:rsidRDefault="009448F5" w:rsidP="00776B3B">
            <w:pPr>
              <w:rPr>
                <w:rFonts w:ascii="Times New Roman" w:hAnsi="Times New Roman" w:cs="Times New Roman"/>
                <w:sz w:val="24"/>
                <w:szCs w:val="24"/>
              </w:rPr>
            </w:pPr>
            <w:r>
              <w:rPr>
                <w:rFonts w:ascii="Times New Roman" w:hAnsi="Times New Roman" w:cs="Times New Roman"/>
                <w:sz w:val="24"/>
                <w:szCs w:val="24"/>
              </w:rPr>
              <w:lastRenderedPageBreak/>
              <w:t xml:space="preserve">Atsižvelgta iš dalies. </w:t>
            </w:r>
          </w:p>
        </w:tc>
        <w:tc>
          <w:tcPr>
            <w:tcW w:w="4883" w:type="dxa"/>
          </w:tcPr>
          <w:p w:rsidR="003E5D82" w:rsidRPr="009448F5" w:rsidRDefault="009448F5" w:rsidP="009448F5">
            <w:pPr>
              <w:jc w:val="both"/>
              <w:rPr>
                <w:rFonts w:ascii="Times New Roman" w:hAnsi="Times New Roman" w:cs="Times New Roman"/>
                <w:sz w:val="24"/>
                <w:szCs w:val="24"/>
              </w:rPr>
            </w:pPr>
            <w:r w:rsidRPr="009448F5">
              <w:rPr>
                <w:rFonts w:ascii="Times New Roman" w:hAnsi="Times New Roman" w:cs="Times New Roman"/>
                <w:sz w:val="24"/>
                <w:szCs w:val="24"/>
              </w:rPr>
              <w:t>Aprašo nuostatos pakoreguotos, numatant</w:t>
            </w:r>
            <w:r>
              <w:rPr>
                <w:rFonts w:ascii="Times New Roman" w:hAnsi="Times New Roman" w:cs="Times New Roman"/>
                <w:sz w:val="24"/>
                <w:szCs w:val="24"/>
              </w:rPr>
              <w:t>,</w:t>
            </w:r>
            <w:r w:rsidRPr="009448F5">
              <w:rPr>
                <w:rFonts w:ascii="Times New Roman" w:hAnsi="Times New Roman" w:cs="Times New Roman"/>
                <w:sz w:val="24"/>
                <w:szCs w:val="24"/>
              </w:rPr>
              <w:t xml:space="preserve"> kad </w:t>
            </w:r>
            <w:r>
              <w:rPr>
                <w:rFonts w:ascii="Times New Roman" w:hAnsi="Times New Roman" w:cs="Times New Roman"/>
                <w:sz w:val="24"/>
                <w:szCs w:val="24"/>
              </w:rPr>
              <w:t xml:space="preserve">kai </w:t>
            </w:r>
            <w:r w:rsidRPr="009448F5">
              <w:rPr>
                <w:rFonts w:ascii="Times New Roman" w:eastAsia="Times New Roman" w:hAnsi="Times New Roman" w:cs="Times New Roman"/>
                <w:sz w:val="24"/>
                <w:szCs w:val="24"/>
                <w:lang w:eastAsia="lt-LT"/>
              </w:rPr>
              <w:t xml:space="preserve"> </w:t>
            </w:r>
            <w:r w:rsidRPr="009448F5">
              <w:rPr>
                <w:rFonts w:ascii="Times New Roman" w:eastAsia="Times New Roman" w:hAnsi="Times New Roman" w:cs="Times New Roman"/>
                <w:sz w:val="24"/>
                <w:szCs w:val="24"/>
                <w:lang w:eastAsia="lt-LT"/>
              </w:rPr>
              <w:t>projektas įgyvendinamas su Aprašo 16.2 papunktyje nurodytu partneriu</w:t>
            </w:r>
            <w:r>
              <w:rPr>
                <w:rFonts w:ascii="Times New Roman" w:hAnsi="Times New Roman" w:cs="Times New Roman"/>
                <w:sz w:val="24"/>
                <w:szCs w:val="24"/>
              </w:rPr>
              <w:t xml:space="preserve">, jo įnašu į </w:t>
            </w:r>
            <w:r>
              <w:rPr>
                <w:rFonts w:ascii="Times New Roman" w:hAnsi="Times New Roman" w:cs="Times New Roman"/>
                <w:sz w:val="24"/>
                <w:szCs w:val="24"/>
              </w:rPr>
              <w:lastRenderedPageBreak/>
              <w:t>tinkamas finansuoti išlaidas gali būti</w:t>
            </w:r>
            <w:bookmarkStart w:id="0" w:name="_GoBack"/>
            <w:bookmarkEnd w:id="0"/>
            <w:r>
              <w:rPr>
                <w:rFonts w:ascii="Times New Roman" w:hAnsi="Times New Roman" w:cs="Times New Roman"/>
                <w:sz w:val="24"/>
                <w:szCs w:val="24"/>
              </w:rPr>
              <w:t xml:space="preserve"> </w:t>
            </w:r>
            <w:r w:rsidRPr="009448F5">
              <w:rPr>
                <w:rFonts w:ascii="Times New Roman" w:hAnsi="Times New Roman" w:cs="Times New Roman"/>
                <w:sz w:val="24"/>
                <w:szCs w:val="24"/>
              </w:rPr>
              <w:t>nekilnojamojo turto nusidėvėjimo išlaidos, atsižvelgiant į mastą ir laikotarpį, kuriuo nekilnojamasis turtas naudojamas projekte.</w:t>
            </w:r>
          </w:p>
        </w:tc>
      </w:tr>
      <w:tr w:rsidR="00E974B2" w:rsidRPr="009448F5" w:rsidTr="00E974B2">
        <w:trPr>
          <w:trHeight w:val="2827"/>
        </w:trPr>
        <w:tc>
          <w:tcPr>
            <w:tcW w:w="665" w:type="dxa"/>
            <w:vMerge/>
          </w:tcPr>
          <w:p w:rsidR="00E974B2" w:rsidRPr="009448F5" w:rsidRDefault="00E974B2" w:rsidP="00776B3B">
            <w:pPr>
              <w:rPr>
                <w:rFonts w:ascii="Times New Roman" w:hAnsi="Times New Roman" w:cs="Times New Roman"/>
                <w:sz w:val="24"/>
                <w:szCs w:val="24"/>
              </w:rPr>
            </w:pPr>
          </w:p>
        </w:tc>
        <w:tc>
          <w:tcPr>
            <w:tcW w:w="1790" w:type="dxa"/>
            <w:vMerge/>
          </w:tcPr>
          <w:p w:rsidR="00E974B2" w:rsidRPr="009448F5" w:rsidRDefault="00E974B2" w:rsidP="00776B3B">
            <w:pPr>
              <w:rPr>
                <w:rFonts w:ascii="Times New Roman" w:hAnsi="Times New Roman" w:cs="Times New Roman"/>
                <w:sz w:val="24"/>
                <w:szCs w:val="24"/>
              </w:rPr>
            </w:pPr>
          </w:p>
        </w:tc>
        <w:tc>
          <w:tcPr>
            <w:tcW w:w="6432" w:type="dxa"/>
          </w:tcPr>
          <w:p w:rsidR="00E974B2" w:rsidRPr="009448F5" w:rsidRDefault="00E974B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iCs/>
                <w:sz w:val="24"/>
                <w:szCs w:val="24"/>
                <w:lang w:eastAsia="lt-LT"/>
              </w:rPr>
              <w:t>9) Pastaba Aprašo 45 punktui „</w:t>
            </w:r>
            <w:r w:rsidRPr="009448F5">
              <w:rPr>
                <w:rFonts w:ascii="Times New Roman" w:eastAsia="Times New Roman" w:hAnsi="Times New Roman" w:cs="Times New Roman"/>
                <w:sz w:val="24"/>
                <w:szCs w:val="24"/>
                <w:lang w:eastAsia="lt-LT"/>
              </w:rPr>
              <w:t xml:space="preserve"> Pareiškėjas ir (ar) parneris arba iš nuosavų išteklių, arba iš išorės gautų lėšų, teikiamų be jokios viešosios paramos, turi teikti finansinį įnašą, kurį sudaro bent </w:t>
            </w:r>
            <w:r w:rsidRPr="009448F5">
              <w:rPr>
                <w:rFonts w:ascii="Times New Roman" w:eastAsia="Times New Roman" w:hAnsi="Times New Roman" w:cs="Times New Roman"/>
                <w:b/>
                <w:bCs/>
                <w:sz w:val="24"/>
                <w:szCs w:val="24"/>
                <w:lang w:eastAsia="lt-LT"/>
              </w:rPr>
              <w:t>25 procentai</w:t>
            </w:r>
            <w:r w:rsidRPr="009448F5">
              <w:rPr>
                <w:rFonts w:ascii="Times New Roman" w:eastAsia="Times New Roman" w:hAnsi="Times New Roman" w:cs="Times New Roman"/>
                <w:sz w:val="24"/>
                <w:szCs w:val="24"/>
                <w:lang w:eastAsia="lt-LT"/>
              </w:rPr>
              <w:t xml:space="preserve"> tinkamų finansuoti išlaidų“:</w:t>
            </w:r>
          </w:p>
          <w:p w:rsidR="00E974B2" w:rsidRPr="009448F5" w:rsidRDefault="00E974B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Pagal Aprašo 39.2 yra privalomas tik </w:t>
            </w:r>
            <w:r w:rsidRPr="009448F5">
              <w:rPr>
                <w:rFonts w:ascii="Times New Roman" w:eastAsia="Times New Roman" w:hAnsi="Times New Roman" w:cs="Times New Roman"/>
                <w:b/>
                <w:bCs/>
                <w:i/>
                <w:sz w:val="24"/>
                <w:szCs w:val="24"/>
                <w:lang w:eastAsia="lt-LT"/>
              </w:rPr>
              <w:t>20 procentų</w:t>
            </w:r>
            <w:r w:rsidRPr="009448F5">
              <w:rPr>
                <w:rFonts w:ascii="Times New Roman" w:eastAsia="Times New Roman" w:hAnsi="Times New Roman" w:cs="Times New Roman"/>
                <w:i/>
                <w:sz w:val="24"/>
                <w:szCs w:val="24"/>
                <w:lang w:eastAsia="lt-LT"/>
              </w:rPr>
              <w:t xml:space="preserve"> nuosavo indėlio dydis projekte, jei taikomuosius mokslinius tyrimus projekte vykdys pvz. 2 subjektai, priskiriami labai mažos įmonės kategorijai. </w:t>
            </w:r>
          </w:p>
          <w:p w:rsidR="00E974B2" w:rsidRPr="009448F5" w:rsidRDefault="00E974B2" w:rsidP="00776B3B">
            <w:pPr>
              <w:jc w:val="both"/>
              <w:rPr>
                <w:rFonts w:ascii="Times New Roman" w:eastAsia="Times New Roman" w:hAnsi="Times New Roman" w:cs="Times New Roman"/>
                <w:iCs/>
                <w:sz w:val="24"/>
                <w:szCs w:val="24"/>
                <w:lang w:eastAsia="lt-LT"/>
              </w:rPr>
            </w:pPr>
            <w:r w:rsidRPr="009448F5">
              <w:rPr>
                <w:rFonts w:ascii="Times New Roman" w:eastAsia="Times New Roman" w:hAnsi="Times New Roman" w:cs="Times New Roman"/>
                <w:b/>
                <w:i/>
                <w:sz w:val="24"/>
                <w:szCs w:val="24"/>
                <w:lang w:eastAsia="lt-LT"/>
              </w:rPr>
              <w:t>Rekomenduojame</w:t>
            </w:r>
            <w:r w:rsidRPr="009448F5">
              <w:rPr>
                <w:rFonts w:ascii="Times New Roman" w:eastAsia="Times New Roman" w:hAnsi="Times New Roman" w:cs="Times New Roman"/>
                <w:i/>
                <w:sz w:val="24"/>
                <w:szCs w:val="24"/>
                <w:lang w:eastAsia="lt-LT"/>
              </w:rPr>
              <w:t xml:space="preserve"> tiksliau įvardinti 45 punkto nuostatą, derinant su 39.2 punkte pateikta informacija.</w:t>
            </w:r>
          </w:p>
        </w:tc>
        <w:tc>
          <w:tcPr>
            <w:tcW w:w="1583" w:type="dxa"/>
          </w:tcPr>
          <w:p w:rsidR="00E974B2" w:rsidRPr="009448F5" w:rsidRDefault="00E974B2" w:rsidP="00776B3B">
            <w:pPr>
              <w:rPr>
                <w:rFonts w:ascii="Times New Roman" w:hAnsi="Times New Roman" w:cs="Times New Roman"/>
                <w:sz w:val="24"/>
                <w:szCs w:val="24"/>
              </w:rPr>
            </w:pPr>
            <w:r w:rsidRPr="009448F5">
              <w:rPr>
                <w:rFonts w:ascii="Times New Roman" w:hAnsi="Times New Roman" w:cs="Times New Roman"/>
                <w:sz w:val="24"/>
                <w:szCs w:val="24"/>
              </w:rPr>
              <w:t xml:space="preserve">Atsižvelgta. </w:t>
            </w:r>
          </w:p>
        </w:tc>
        <w:tc>
          <w:tcPr>
            <w:tcW w:w="4883" w:type="dxa"/>
          </w:tcPr>
          <w:p w:rsidR="00E974B2" w:rsidRPr="009448F5" w:rsidRDefault="00E974B2" w:rsidP="00776B3B">
            <w:pPr>
              <w:jc w:val="both"/>
              <w:rPr>
                <w:rFonts w:ascii="Times New Roman" w:hAnsi="Times New Roman" w:cs="Times New Roman"/>
                <w:sz w:val="24"/>
                <w:szCs w:val="24"/>
              </w:rPr>
            </w:pPr>
            <w:r w:rsidRPr="009448F5">
              <w:rPr>
                <w:rFonts w:ascii="Times New Roman" w:hAnsi="Times New Roman" w:cs="Times New Roman"/>
                <w:sz w:val="24"/>
                <w:szCs w:val="24"/>
              </w:rPr>
              <w:t>Į pateiktą pastabą atsižvelgta, Aprašo nuostatos pakoreguotos.</w:t>
            </w:r>
          </w:p>
        </w:tc>
      </w:tr>
      <w:tr w:rsidR="00E974B2" w:rsidRPr="009448F5" w:rsidTr="00E974B2">
        <w:trPr>
          <w:trHeight w:val="202"/>
        </w:trPr>
        <w:tc>
          <w:tcPr>
            <w:tcW w:w="665" w:type="dxa"/>
            <w:vMerge/>
          </w:tcPr>
          <w:p w:rsidR="00E974B2" w:rsidRPr="009448F5" w:rsidRDefault="00E974B2" w:rsidP="00776B3B">
            <w:pPr>
              <w:rPr>
                <w:rFonts w:ascii="Times New Roman" w:hAnsi="Times New Roman" w:cs="Times New Roman"/>
                <w:sz w:val="24"/>
                <w:szCs w:val="24"/>
              </w:rPr>
            </w:pPr>
          </w:p>
        </w:tc>
        <w:tc>
          <w:tcPr>
            <w:tcW w:w="1790" w:type="dxa"/>
            <w:vMerge/>
          </w:tcPr>
          <w:p w:rsidR="00E974B2" w:rsidRPr="009448F5" w:rsidRDefault="00E974B2" w:rsidP="00776B3B">
            <w:pPr>
              <w:rPr>
                <w:rFonts w:ascii="Times New Roman" w:hAnsi="Times New Roman" w:cs="Times New Roman"/>
                <w:sz w:val="24"/>
                <w:szCs w:val="24"/>
              </w:rPr>
            </w:pPr>
          </w:p>
        </w:tc>
        <w:tc>
          <w:tcPr>
            <w:tcW w:w="6432" w:type="dxa"/>
          </w:tcPr>
          <w:p w:rsidR="00E974B2" w:rsidRPr="009448F5" w:rsidRDefault="00E974B2" w:rsidP="00776B3B">
            <w:pPr>
              <w:jc w:val="both"/>
              <w:rPr>
                <w:rFonts w:ascii="Times New Roman" w:eastAsia="Times New Roman" w:hAnsi="Times New Roman" w:cs="Times New Roman"/>
                <w:bCs/>
                <w:sz w:val="24"/>
                <w:szCs w:val="24"/>
                <w:lang w:eastAsia="lt-LT"/>
              </w:rPr>
            </w:pPr>
            <w:r w:rsidRPr="009448F5">
              <w:rPr>
                <w:rFonts w:ascii="Times New Roman" w:eastAsia="Times New Roman" w:hAnsi="Times New Roman" w:cs="Times New Roman"/>
                <w:iCs/>
                <w:sz w:val="24"/>
                <w:szCs w:val="24"/>
                <w:lang w:eastAsia="lt-LT"/>
              </w:rPr>
              <w:t>10) Pastaba Aprašo 46.1 papunkčiui „</w:t>
            </w:r>
            <w:r w:rsidRPr="009448F5">
              <w:rPr>
                <w:rFonts w:ascii="Times New Roman" w:eastAsia="Times New Roman" w:hAnsi="Times New Roman" w:cs="Times New Roman"/>
                <w:sz w:val="24"/>
                <w:szCs w:val="24"/>
                <w:lang w:eastAsia="lt-LT"/>
              </w:rPr>
              <w:t>46.1 punkto, 4 kategorija:</w:t>
            </w:r>
            <w:r w:rsidRPr="009448F5">
              <w:rPr>
                <w:rFonts w:ascii="Times New Roman" w:eastAsia="Times New Roman" w:hAnsi="Times New Roman" w:cs="Times New Roman"/>
                <w:sz w:val="24"/>
                <w:szCs w:val="24"/>
                <w:lang w:eastAsia="lt-LT"/>
              </w:rPr>
              <w:br/>
              <w:t xml:space="preserve">- kompiuterinė technika ir programinė įranga (išskyrus esamos programinės įrangos atnaujinimas). Išlaidos šiam turtui negali sudaryti daugiau nei 50 proc. </w:t>
            </w:r>
            <w:r w:rsidRPr="009448F5">
              <w:rPr>
                <w:rFonts w:ascii="Times New Roman" w:eastAsia="Times New Roman" w:hAnsi="Times New Roman" w:cs="Times New Roman"/>
                <w:b/>
                <w:bCs/>
                <w:sz w:val="24"/>
                <w:szCs w:val="24"/>
                <w:lang w:eastAsia="lt-LT"/>
              </w:rPr>
              <w:t>Aprašo 39.1 papunktyje nurodytų tinkamų finansuoti išlaidų sumos“</w:t>
            </w:r>
            <w:r w:rsidRPr="009448F5">
              <w:rPr>
                <w:rFonts w:ascii="Times New Roman" w:eastAsia="Times New Roman" w:hAnsi="Times New Roman" w:cs="Times New Roman"/>
                <w:bCs/>
                <w:sz w:val="24"/>
                <w:szCs w:val="24"/>
                <w:lang w:eastAsia="lt-LT"/>
              </w:rPr>
              <w:t>:</w:t>
            </w:r>
          </w:p>
          <w:p w:rsidR="00E974B2" w:rsidRPr="009448F5" w:rsidRDefault="00E974B2" w:rsidP="00776B3B">
            <w:pPr>
              <w:jc w:val="both"/>
              <w:rPr>
                <w:rFonts w:ascii="Times New Roman" w:eastAsia="Times New Roman" w:hAnsi="Times New Roman" w:cs="Times New Roman"/>
                <w:iCs/>
                <w:sz w:val="24"/>
                <w:szCs w:val="24"/>
                <w:lang w:eastAsia="lt-LT"/>
              </w:rPr>
            </w:pPr>
            <w:r w:rsidRPr="009448F5">
              <w:rPr>
                <w:rFonts w:ascii="Times New Roman" w:eastAsia="Times New Roman" w:hAnsi="Times New Roman" w:cs="Times New Roman"/>
                <w:b/>
                <w:bCs/>
                <w:i/>
                <w:sz w:val="24"/>
                <w:szCs w:val="24"/>
                <w:lang w:eastAsia="lt-LT"/>
              </w:rPr>
              <w:t>Galimas netiksluma</w:t>
            </w:r>
            <w:r w:rsidRPr="009448F5">
              <w:rPr>
                <w:rFonts w:ascii="Times New Roman" w:eastAsia="Times New Roman" w:hAnsi="Times New Roman" w:cs="Times New Roman"/>
                <w:i/>
                <w:sz w:val="24"/>
                <w:szCs w:val="24"/>
                <w:lang w:eastAsia="lt-LT"/>
              </w:rPr>
              <w:t>s, nes Aprašo 39.1 papunktyje nurodytų tinkamų finansuoti išlaidų sumos nėra nurodytos.</w:t>
            </w:r>
          </w:p>
        </w:tc>
        <w:tc>
          <w:tcPr>
            <w:tcW w:w="1583" w:type="dxa"/>
          </w:tcPr>
          <w:p w:rsidR="00E974B2" w:rsidRPr="009448F5" w:rsidRDefault="00E974B2" w:rsidP="00776B3B">
            <w:pPr>
              <w:rPr>
                <w:rFonts w:ascii="Times New Roman" w:hAnsi="Times New Roman" w:cs="Times New Roman"/>
                <w:sz w:val="24"/>
                <w:szCs w:val="24"/>
              </w:rPr>
            </w:pPr>
            <w:r w:rsidRPr="009448F5">
              <w:rPr>
                <w:rFonts w:ascii="Times New Roman" w:hAnsi="Times New Roman" w:cs="Times New Roman"/>
                <w:sz w:val="24"/>
                <w:szCs w:val="24"/>
              </w:rPr>
              <w:t xml:space="preserve">Atsižvelgta. </w:t>
            </w:r>
          </w:p>
        </w:tc>
        <w:tc>
          <w:tcPr>
            <w:tcW w:w="4883" w:type="dxa"/>
          </w:tcPr>
          <w:p w:rsidR="00E974B2" w:rsidRPr="009448F5" w:rsidRDefault="00E974B2" w:rsidP="00776B3B">
            <w:pPr>
              <w:jc w:val="both"/>
              <w:rPr>
                <w:rFonts w:ascii="Times New Roman" w:hAnsi="Times New Roman" w:cs="Times New Roman"/>
                <w:sz w:val="24"/>
                <w:szCs w:val="24"/>
              </w:rPr>
            </w:pPr>
            <w:r w:rsidRPr="009448F5">
              <w:rPr>
                <w:rFonts w:ascii="Times New Roman" w:hAnsi="Times New Roman" w:cs="Times New Roman"/>
                <w:sz w:val="24"/>
                <w:szCs w:val="24"/>
              </w:rPr>
              <w:t>Į pateiktą pastabą atsižvelgta, Aprašo nuostatos pakoreguotos.</w:t>
            </w:r>
          </w:p>
        </w:tc>
      </w:tr>
      <w:tr w:rsidR="00E974B2" w:rsidRPr="009448F5" w:rsidTr="00E974B2">
        <w:trPr>
          <w:trHeight w:val="200"/>
        </w:trPr>
        <w:tc>
          <w:tcPr>
            <w:tcW w:w="665" w:type="dxa"/>
            <w:vMerge/>
          </w:tcPr>
          <w:p w:rsidR="00E974B2" w:rsidRPr="009448F5" w:rsidRDefault="00E974B2" w:rsidP="00776B3B">
            <w:pPr>
              <w:rPr>
                <w:rFonts w:ascii="Times New Roman" w:hAnsi="Times New Roman" w:cs="Times New Roman"/>
                <w:sz w:val="24"/>
                <w:szCs w:val="24"/>
              </w:rPr>
            </w:pPr>
          </w:p>
        </w:tc>
        <w:tc>
          <w:tcPr>
            <w:tcW w:w="1790" w:type="dxa"/>
            <w:vMerge/>
          </w:tcPr>
          <w:p w:rsidR="00E974B2" w:rsidRPr="009448F5" w:rsidRDefault="00E974B2" w:rsidP="00776B3B">
            <w:pPr>
              <w:rPr>
                <w:rFonts w:ascii="Times New Roman" w:hAnsi="Times New Roman" w:cs="Times New Roman"/>
                <w:sz w:val="24"/>
                <w:szCs w:val="24"/>
              </w:rPr>
            </w:pPr>
          </w:p>
        </w:tc>
        <w:tc>
          <w:tcPr>
            <w:tcW w:w="6432" w:type="dxa"/>
          </w:tcPr>
          <w:p w:rsidR="00E974B2" w:rsidRPr="009448F5" w:rsidRDefault="00E974B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 xml:space="preserve">11) Pastaba Aprašo 46.2 papunkčio daliai „2 išlaidų kategorija </w:t>
            </w:r>
            <w:r w:rsidRPr="009448F5">
              <w:rPr>
                <w:rFonts w:ascii="Times New Roman" w:eastAsia="Times New Roman" w:hAnsi="Times New Roman" w:cs="Times New Roman"/>
                <w:sz w:val="24"/>
                <w:szCs w:val="24"/>
                <w:lang w:eastAsia="lt-LT"/>
              </w:rPr>
              <w:lastRenderedPageBreak/>
              <w:t>„Nekilnojamas turtas“:</w:t>
            </w:r>
          </w:p>
          <w:p w:rsidR="00E974B2" w:rsidRPr="009448F5" w:rsidRDefault="00E974B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Manome, kad išlaidų kategorijoje „Nekilnojamas turtas“ įvardintos išlaidos </w:t>
            </w:r>
            <w:r w:rsidRPr="009448F5">
              <w:rPr>
                <w:rFonts w:ascii="Times New Roman" w:eastAsia="Times New Roman" w:hAnsi="Times New Roman" w:cs="Times New Roman"/>
                <w:b/>
                <w:bCs/>
                <w:i/>
                <w:sz w:val="24"/>
                <w:szCs w:val="24"/>
                <w:lang w:eastAsia="lt-LT"/>
              </w:rPr>
              <w:t>prieštarauja</w:t>
            </w:r>
            <w:r w:rsidRPr="009448F5">
              <w:rPr>
                <w:rFonts w:ascii="Times New Roman" w:eastAsia="Times New Roman" w:hAnsi="Times New Roman" w:cs="Times New Roman"/>
                <w:i/>
                <w:sz w:val="24"/>
                <w:szCs w:val="24"/>
                <w:lang w:eastAsia="lt-LT"/>
              </w:rPr>
              <w:t xml:space="preserve"> BBIR 25 straipsnio  reikalavimams. Pagal BBIR 25 straipsnį, „nekilnojamo turto“ transformavimas į tinkamas išlaidas galimas tik atitinkant nurodytas nuostatas: „išlaidos pastatams ir žemei, atsižvelgiant į mastą ir laikotarpį, kuriuo jie naudojami projektui. Tik tos su pastatais susijusios nusidėvėjimo išlaidos, kurios atitinka projekto trukmę ir yra apskaičiuotos pagal visuotinai priimtus apskaitos principus, laikomos tinkamomis finansuoti“.</w:t>
            </w:r>
          </w:p>
          <w:p w:rsidR="00E974B2" w:rsidRPr="009448F5" w:rsidRDefault="00E974B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BBIR 25 straipsnio nuostatos nenumato investicijų į ilgalaikio turto formavimą (įsigijimą ar kūrimą). Be to, šios išlaidos dubliuoja  46.2 punkto 5 išlaidų kategorijoje  „Projekto vykdymas“ numatytas išlaidas.</w:t>
            </w:r>
          </w:p>
          <w:p w:rsidR="00E974B2" w:rsidRPr="009448F5" w:rsidRDefault="00E974B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Kategorija „Nekilnojamas turtas“ pagal projektų taisykles yra investicinė kategorija, apimanti „turto“ formavimą, o ne turto nuomos išlaidas.</w:t>
            </w:r>
          </w:p>
          <w:p w:rsidR="00E974B2" w:rsidRPr="009448F5" w:rsidRDefault="00E974B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b/>
                <w:bCs/>
                <w:i/>
                <w:sz w:val="24"/>
                <w:szCs w:val="24"/>
                <w:lang w:eastAsia="lt-LT"/>
              </w:rPr>
              <w:t>Siūlome 46.2 punkto 2 išlaidų kategorijoje numatyti, kad išlaidų kategorija „Nekilnojamas turtas“ yra „Netinkamos finansuoti išlaidos“.</w:t>
            </w:r>
          </w:p>
        </w:tc>
        <w:tc>
          <w:tcPr>
            <w:tcW w:w="1583" w:type="dxa"/>
          </w:tcPr>
          <w:p w:rsidR="00E974B2" w:rsidRPr="009448F5" w:rsidRDefault="00323F5A"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 xml:space="preserve">Atsižvelgta iš </w:t>
            </w:r>
            <w:r w:rsidRPr="009448F5">
              <w:rPr>
                <w:rFonts w:ascii="Times New Roman" w:hAnsi="Times New Roman" w:cs="Times New Roman"/>
                <w:sz w:val="24"/>
                <w:szCs w:val="24"/>
              </w:rPr>
              <w:lastRenderedPageBreak/>
              <w:t xml:space="preserve">dalies. </w:t>
            </w:r>
          </w:p>
        </w:tc>
        <w:tc>
          <w:tcPr>
            <w:tcW w:w="4883" w:type="dxa"/>
          </w:tcPr>
          <w:p w:rsidR="00E974B2" w:rsidRPr="009448F5" w:rsidRDefault="00323F5A" w:rsidP="00323F5A">
            <w:pPr>
              <w:jc w:val="both"/>
              <w:rPr>
                <w:rFonts w:ascii="Times New Roman" w:hAnsi="Times New Roman" w:cs="Times New Roman"/>
                <w:sz w:val="24"/>
                <w:szCs w:val="24"/>
              </w:rPr>
            </w:pPr>
            <w:r w:rsidRPr="009448F5">
              <w:rPr>
                <w:rFonts w:ascii="Times New Roman" w:hAnsi="Times New Roman" w:cs="Times New Roman"/>
                <w:sz w:val="24"/>
                <w:szCs w:val="24"/>
              </w:rPr>
              <w:lastRenderedPageBreak/>
              <w:t xml:space="preserve">Aprašo nuostatos pakoreguotos, numatant, kad </w:t>
            </w:r>
            <w:r w:rsidRPr="009448F5">
              <w:rPr>
                <w:rFonts w:ascii="Times New Roman" w:hAnsi="Times New Roman" w:cs="Times New Roman"/>
                <w:sz w:val="24"/>
                <w:szCs w:val="24"/>
              </w:rPr>
              <w:lastRenderedPageBreak/>
              <w:t xml:space="preserve">tinkamos finansuoti tik nekilnojamojo turto nusidėvėjimo išlaidos, atsižvelgiant į mastą ir laikotarpį, kuriuo nekilnojamasis turtas naudojamas projekte. </w:t>
            </w:r>
          </w:p>
        </w:tc>
      </w:tr>
      <w:tr w:rsidR="00E974B2" w:rsidRPr="009448F5" w:rsidTr="00E974B2">
        <w:trPr>
          <w:trHeight w:val="6054"/>
        </w:trPr>
        <w:tc>
          <w:tcPr>
            <w:tcW w:w="665" w:type="dxa"/>
            <w:vMerge/>
          </w:tcPr>
          <w:p w:rsidR="00E974B2" w:rsidRPr="009448F5" w:rsidRDefault="00E974B2" w:rsidP="00776B3B">
            <w:pPr>
              <w:rPr>
                <w:rFonts w:ascii="Times New Roman" w:hAnsi="Times New Roman" w:cs="Times New Roman"/>
                <w:sz w:val="24"/>
                <w:szCs w:val="24"/>
              </w:rPr>
            </w:pPr>
          </w:p>
        </w:tc>
        <w:tc>
          <w:tcPr>
            <w:tcW w:w="1790" w:type="dxa"/>
            <w:vMerge/>
          </w:tcPr>
          <w:p w:rsidR="00E974B2" w:rsidRPr="009448F5" w:rsidRDefault="00E974B2" w:rsidP="00776B3B">
            <w:pPr>
              <w:rPr>
                <w:rFonts w:ascii="Times New Roman" w:hAnsi="Times New Roman" w:cs="Times New Roman"/>
                <w:sz w:val="24"/>
                <w:szCs w:val="24"/>
              </w:rPr>
            </w:pPr>
          </w:p>
        </w:tc>
        <w:tc>
          <w:tcPr>
            <w:tcW w:w="6432" w:type="dxa"/>
          </w:tcPr>
          <w:p w:rsidR="00E974B2" w:rsidRPr="009448F5" w:rsidRDefault="00E974B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12) Pastaba Aprašo 46.2 papunkčio daliai „4 išlaidų kategorija „Įranga, įrenginiai ir kitas turtas“:</w:t>
            </w:r>
          </w:p>
          <w:p w:rsidR="00E974B2" w:rsidRPr="009448F5" w:rsidRDefault="00E974B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Manome, kad išlaidų kategorijoje „Nekilnojamas turtas“ įvardintos išlaidos </w:t>
            </w:r>
            <w:r w:rsidRPr="009448F5">
              <w:rPr>
                <w:rFonts w:ascii="Times New Roman" w:eastAsia="Times New Roman" w:hAnsi="Times New Roman" w:cs="Times New Roman"/>
                <w:b/>
                <w:bCs/>
                <w:i/>
                <w:sz w:val="24"/>
                <w:szCs w:val="24"/>
                <w:lang w:eastAsia="lt-LT"/>
              </w:rPr>
              <w:t>prieštarauja</w:t>
            </w:r>
            <w:r w:rsidRPr="009448F5">
              <w:rPr>
                <w:rFonts w:ascii="Times New Roman" w:eastAsia="Times New Roman" w:hAnsi="Times New Roman" w:cs="Times New Roman"/>
                <w:i/>
                <w:sz w:val="24"/>
                <w:szCs w:val="24"/>
                <w:lang w:eastAsia="lt-LT"/>
              </w:rPr>
              <w:t xml:space="preserve"> BBIR 25 straipsnio  reikalavimams. Pagal BBIR 25 straipsnį, „nekilnojamo turto“ transformavimas į tinkamas išlaidas galimas tik atitinkant nurodytas nuostatas: „išlaidos pastatams ir žemei, atsižvelgiant į mastą ir laikotarpį, kuriuo jie naudojami projektui. Tik tos su pastatais susijusios nusidėvėjimo išlaidos, kurios atitinka projekto trukmę ir yra apskaičiuotos pagal visuotinai priimtus apskaitos principus, laikomos tinkamomis finansuoti“.</w:t>
            </w:r>
          </w:p>
          <w:p w:rsidR="00E974B2" w:rsidRPr="009448F5" w:rsidRDefault="00E974B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BBIR 25 straipsnio nuostatos nenumato investicijų į ilgalaikio turto formavimą (įsigijimą ar kūrimą). Be to, šios išlaidos dubliuoja  46.2 punkto 5 išlaidų kategorijoje  „Projekto vykdymas“ numatytas išlaidas.</w:t>
            </w:r>
          </w:p>
          <w:p w:rsidR="00E974B2" w:rsidRPr="009448F5" w:rsidRDefault="00E974B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b/>
                <w:bCs/>
                <w:i/>
                <w:sz w:val="24"/>
                <w:szCs w:val="24"/>
                <w:lang w:eastAsia="lt-LT"/>
              </w:rPr>
              <w:t xml:space="preserve">Siūlome </w:t>
            </w:r>
            <w:r w:rsidRPr="009448F5">
              <w:rPr>
                <w:rFonts w:ascii="Times New Roman" w:eastAsia="Times New Roman" w:hAnsi="Times New Roman" w:cs="Times New Roman"/>
                <w:bCs/>
                <w:i/>
                <w:sz w:val="24"/>
                <w:szCs w:val="24"/>
                <w:lang w:eastAsia="lt-LT"/>
              </w:rPr>
              <w:t>46.2 punkto 4 išlaidų kategorijoje numatyti, kad „Įranga, įrenginiai ir kitas turtas“ yra „Netinkamos finansuoti išlaidos“, bei papildyti 5 išlaidų kategorijos 2 punktą sekančiai: 2)  MTEP paslaugų, techninių žinių ir patentų įsigijimo išlaidos, ta apimtimi, kiek tai reikalinga per projekto įgyvendinimo laikotarpį bei kitos išlaidos, susijusios su konsultavimo ir lygiaverčių paslaugų, naudojamų vien tik projekto MTEP veiklai, įsigijimu.</w:t>
            </w:r>
          </w:p>
        </w:tc>
        <w:tc>
          <w:tcPr>
            <w:tcW w:w="1583" w:type="dxa"/>
          </w:tcPr>
          <w:p w:rsidR="00E974B2" w:rsidRPr="009448F5" w:rsidRDefault="00786897" w:rsidP="00776B3B">
            <w:pPr>
              <w:rPr>
                <w:rFonts w:ascii="Times New Roman" w:hAnsi="Times New Roman" w:cs="Times New Roman"/>
                <w:sz w:val="24"/>
                <w:szCs w:val="24"/>
              </w:rPr>
            </w:pPr>
            <w:r w:rsidRPr="009448F5">
              <w:rPr>
                <w:rFonts w:ascii="Times New Roman" w:hAnsi="Times New Roman" w:cs="Times New Roman"/>
                <w:sz w:val="24"/>
                <w:szCs w:val="24"/>
              </w:rPr>
              <w:t xml:space="preserve">Atsižvelgta iš dalies. </w:t>
            </w:r>
          </w:p>
        </w:tc>
        <w:tc>
          <w:tcPr>
            <w:tcW w:w="4883" w:type="dxa"/>
          </w:tcPr>
          <w:p w:rsidR="00434F48" w:rsidRPr="009448F5" w:rsidRDefault="00786897" w:rsidP="00434F48">
            <w:pPr>
              <w:jc w:val="both"/>
              <w:rPr>
                <w:rFonts w:ascii="Times New Roman" w:eastAsia="Times New Roman" w:hAnsi="Times New Roman" w:cs="Times New Roman"/>
                <w:sz w:val="24"/>
                <w:szCs w:val="24"/>
                <w:lang w:eastAsia="lt-LT"/>
              </w:rPr>
            </w:pPr>
            <w:r w:rsidRPr="009448F5">
              <w:rPr>
                <w:rFonts w:ascii="Times New Roman" w:hAnsi="Times New Roman" w:cs="Times New Roman"/>
                <w:sz w:val="24"/>
                <w:szCs w:val="24"/>
              </w:rPr>
              <w:t>Pagal Aprašą tinkamos finansuoti išlaidos nustatytos remiantis Bendruoju bendrosios išimties reglamentu ir F</w:t>
            </w:r>
            <w:r w:rsidRPr="009448F5">
              <w:rPr>
                <w:rFonts w:ascii="Times New Roman" w:eastAsia="Times New Roman" w:hAnsi="Times New Roman" w:cs="Times New Roman"/>
                <w:sz w:val="24"/>
                <w:szCs w:val="24"/>
                <w:lang w:eastAsia="lt-LT"/>
              </w:rPr>
              <w:t xml:space="preserve">inansų ministerijos parengtomis Rekomendacijomis dėl projektų išlaidų atitikties Europos Sąjungos struktūrinių fondų reikalavimams. Reglamento 25 straipsnio 3 punkto d) dalyje </w:t>
            </w:r>
            <w:r w:rsidR="00434F48" w:rsidRPr="009448F5">
              <w:rPr>
                <w:rFonts w:ascii="Times New Roman" w:eastAsia="Times New Roman" w:hAnsi="Times New Roman" w:cs="Times New Roman"/>
                <w:sz w:val="24"/>
                <w:szCs w:val="24"/>
                <w:lang w:eastAsia="lt-LT"/>
              </w:rPr>
              <w:t>nurodytos tinkamos finansuoti išlaidos yra „išlaidos pagal sutartis vykdomiems moksliniams tyrimams, žinioms ir patentams, perkamiems arba įsigyjamiems pagal licenciją iš išorės šaltinių įprastomis rinkos sąlygomis, taip pat konsultavimo ir lygiaverčių paslaugų, naudojamų vien projektui, išlaidos“. Pagal minėtas rekomendacijas 4 išlaidų kategorijai „Įranga, įrenginiai ir kt. turtas“ yra priskiriamos patentų, autorinių ir gretutinių teisių, licencijų, prekių ženklų išlaidos“. Atitinkamai dėl to techninių žinių ir išradimų patentų arba teisių pagal licencijos sutartį įsigijimo išlaidos priskirtos kaip tinkamos 4 išlaidų kategorijos „Įranga, įrenginiai ir kt. turtas išlaidos“ išlaidos.</w:t>
            </w:r>
          </w:p>
          <w:p w:rsidR="00E974B2" w:rsidRPr="009448F5" w:rsidRDefault="00434F48" w:rsidP="00FE25EE">
            <w:pPr>
              <w:jc w:val="both"/>
              <w:rPr>
                <w:rFonts w:ascii="Times New Roman" w:hAnsi="Times New Roman" w:cs="Times New Roman"/>
                <w:sz w:val="24"/>
                <w:szCs w:val="24"/>
              </w:rPr>
            </w:pPr>
            <w:r w:rsidRPr="009448F5">
              <w:rPr>
                <w:rFonts w:ascii="Times New Roman" w:eastAsia="Times New Roman" w:hAnsi="Times New Roman" w:cs="Times New Roman"/>
                <w:sz w:val="24"/>
                <w:szCs w:val="24"/>
                <w:lang w:eastAsia="lt-LT"/>
              </w:rPr>
              <w:t xml:space="preserve">Pagal  Rekomendacijas dėl projektų išlaidų atitikties Europos Sąjungos struktūrinių fondų reikalavimams kitos projekto veikloms įvykdyti būtinos išlaidos yra priskiriamos 5 išlaidų kategorijai „Projekto vykdymas“, todėl išlaidos, susijusios su konsultavimo ir lygiaverčių paslaugų, naudojamų vien tik projekto MTEP veiklai, įsigijimu priskirtos 5 išlaidų kategorijai „Projekto vykdymas“. </w:t>
            </w:r>
            <w:r w:rsidR="00FE25EE" w:rsidRPr="009448F5">
              <w:rPr>
                <w:rFonts w:ascii="Times New Roman" w:eastAsia="Times New Roman" w:hAnsi="Times New Roman" w:cs="Times New Roman"/>
                <w:sz w:val="24"/>
                <w:szCs w:val="24"/>
                <w:lang w:eastAsia="lt-LT"/>
              </w:rPr>
              <w:t>MTEP paslaugų įsigijimo išlaidos, atsižvelgus į pastabą, vietoj 4 išlaidų kategorijos „Įranga, įrenginiai ir kt. turtas“ priskirtos 5 išlaidų kategorijai „Projekto vykdymas“.</w:t>
            </w:r>
          </w:p>
        </w:tc>
      </w:tr>
      <w:tr w:rsidR="00E974B2" w:rsidRPr="009448F5" w:rsidTr="00E974B2">
        <w:trPr>
          <w:trHeight w:val="134"/>
        </w:trPr>
        <w:tc>
          <w:tcPr>
            <w:tcW w:w="665" w:type="dxa"/>
            <w:vMerge/>
          </w:tcPr>
          <w:p w:rsidR="00E974B2" w:rsidRPr="009448F5" w:rsidRDefault="00E974B2" w:rsidP="00776B3B">
            <w:pPr>
              <w:rPr>
                <w:rFonts w:ascii="Times New Roman" w:hAnsi="Times New Roman" w:cs="Times New Roman"/>
                <w:sz w:val="24"/>
                <w:szCs w:val="24"/>
              </w:rPr>
            </w:pPr>
          </w:p>
        </w:tc>
        <w:tc>
          <w:tcPr>
            <w:tcW w:w="1790" w:type="dxa"/>
            <w:vMerge/>
          </w:tcPr>
          <w:p w:rsidR="00E974B2" w:rsidRPr="009448F5" w:rsidRDefault="00E974B2" w:rsidP="00776B3B">
            <w:pPr>
              <w:rPr>
                <w:rFonts w:ascii="Times New Roman" w:hAnsi="Times New Roman" w:cs="Times New Roman"/>
                <w:sz w:val="24"/>
                <w:szCs w:val="24"/>
              </w:rPr>
            </w:pPr>
          </w:p>
        </w:tc>
        <w:tc>
          <w:tcPr>
            <w:tcW w:w="6432" w:type="dxa"/>
          </w:tcPr>
          <w:p w:rsidR="00E974B2" w:rsidRPr="009448F5" w:rsidRDefault="00E974B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13) Pastaba Aprašo 48 punktui „Jei regioninė investicinė pagalba suteikiama gamybos procesui iš esmės pakeisti ar esamos įmonės veiklai įvairinti, tinkamos finansuoti išlaidos turi tenkinti Bendrojo bendrosios išimties reglamento 14 straipsnio 7 dalies nuostatas. Informacija apie tai, ar pagalbos prašoma įmonės gamybos procesui iš esmės pakeisti, ar esamos įmonės veiklai įvairinti, detalizuojama MTEP verslo plane“:</w:t>
            </w:r>
          </w:p>
          <w:p w:rsidR="00E974B2" w:rsidRPr="009448F5" w:rsidRDefault="00E974B2" w:rsidP="00776B3B">
            <w:pPr>
              <w:jc w:val="both"/>
              <w:rPr>
                <w:rFonts w:ascii="Times New Roman" w:eastAsia="Times New Roman" w:hAnsi="Times New Roman" w:cs="Times New Roman"/>
                <w:b/>
                <w:bCs/>
                <w:i/>
                <w:sz w:val="24"/>
                <w:szCs w:val="24"/>
                <w:lang w:eastAsia="lt-LT"/>
              </w:rPr>
            </w:pPr>
            <w:r w:rsidRPr="009448F5">
              <w:rPr>
                <w:rFonts w:ascii="Times New Roman" w:eastAsia="Times New Roman" w:hAnsi="Times New Roman" w:cs="Times New Roman"/>
                <w:i/>
                <w:sz w:val="24"/>
                <w:szCs w:val="24"/>
                <w:lang w:eastAsia="lt-LT"/>
              </w:rPr>
              <w:t>Šiuo punkto nuostatos gali būti traktuojamos dviprasmiškai ir klaidinančiai, vertinant galimybes investuoti į gamybos procesus.</w:t>
            </w:r>
          </w:p>
          <w:p w:rsidR="00E974B2" w:rsidRPr="009448F5" w:rsidRDefault="00E974B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b/>
                <w:bCs/>
                <w:i/>
                <w:sz w:val="24"/>
                <w:szCs w:val="24"/>
                <w:lang w:eastAsia="lt-LT"/>
              </w:rPr>
              <w:t xml:space="preserve">Siūlome patikslintą  48 punkto formuluotę: </w:t>
            </w:r>
            <w:r w:rsidRPr="009448F5">
              <w:rPr>
                <w:rFonts w:ascii="Times New Roman" w:eastAsia="Times New Roman" w:hAnsi="Times New Roman" w:cs="Times New Roman"/>
                <w:bCs/>
                <w:i/>
                <w:sz w:val="24"/>
                <w:szCs w:val="24"/>
                <w:lang w:eastAsia="lt-LT"/>
              </w:rPr>
              <w:t>„</w:t>
            </w:r>
            <w:r w:rsidRPr="009448F5">
              <w:rPr>
                <w:rFonts w:ascii="Times New Roman" w:eastAsia="Times New Roman" w:hAnsi="Times New Roman" w:cs="Times New Roman"/>
                <w:i/>
                <w:iCs/>
                <w:sz w:val="24"/>
                <w:szCs w:val="24"/>
                <w:lang w:eastAsia="lt-LT"/>
              </w:rPr>
              <w:t xml:space="preserve">48. Jei regioninė investicinė pagalba </w:t>
            </w:r>
            <w:r w:rsidRPr="009448F5">
              <w:rPr>
                <w:rFonts w:ascii="Times New Roman" w:eastAsia="Times New Roman" w:hAnsi="Times New Roman" w:cs="Times New Roman"/>
                <w:b/>
                <w:bCs/>
                <w:i/>
                <w:iCs/>
                <w:sz w:val="24"/>
                <w:szCs w:val="24"/>
                <w:lang w:eastAsia="lt-LT"/>
              </w:rPr>
              <w:t>suteikiama kūrimui naujos ar plėtimui esamos įmonės MTEP ir inovacijų infrastruktūros</w:t>
            </w:r>
            <w:r w:rsidRPr="009448F5">
              <w:rPr>
                <w:rFonts w:ascii="Times New Roman" w:eastAsia="Times New Roman" w:hAnsi="Times New Roman" w:cs="Times New Roman"/>
                <w:i/>
                <w:iCs/>
                <w:sz w:val="24"/>
                <w:szCs w:val="24"/>
                <w:lang w:eastAsia="lt-LT"/>
              </w:rPr>
              <w:t>, siekiant  gamybos procesui iš esmės pakeisti ar esamos įmonės veiklai įvairinti, tinkamos finansuoti išlaidos turi tenkinti Bendrojo bendrosios išimties reglamento 14 straipsnio 7 dalies nuostatas. Informacija apie tai, ar pagalbos prašoma įmonės gamybos procesui iš  esmės pakeisti, ar esamos įmonės veiklai įvairinti, detalizuojama MTEP verslo plane.“</w:t>
            </w:r>
          </w:p>
        </w:tc>
        <w:tc>
          <w:tcPr>
            <w:tcW w:w="1583" w:type="dxa"/>
          </w:tcPr>
          <w:p w:rsidR="00E974B2" w:rsidRPr="009448F5" w:rsidRDefault="00571517" w:rsidP="00776B3B">
            <w:pPr>
              <w:rPr>
                <w:rFonts w:ascii="Times New Roman" w:hAnsi="Times New Roman" w:cs="Times New Roman"/>
                <w:sz w:val="24"/>
                <w:szCs w:val="24"/>
              </w:rPr>
            </w:pPr>
            <w:r w:rsidRPr="009448F5">
              <w:rPr>
                <w:rFonts w:ascii="Times New Roman" w:hAnsi="Times New Roman" w:cs="Times New Roman"/>
                <w:sz w:val="24"/>
                <w:szCs w:val="24"/>
              </w:rPr>
              <w:t>Atsižvelgta iš dalies.</w:t>
            </w:r>
          </w:p>
        </w:tc>
        <w:tc>
          <w:tcPr>
            <w:tcW w:w="4883" w:type="dxa"/>
          </w:tcPr>
          <w:p w:rsidR="00571517" w:rsidRPr="009448F5" w:rsidRDefault="00571517"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Pažymime, kad minėta nuostata suformuota vadovaujantis Bendrojo bendrosios išimties reglamento 14 straipsnio 7 dalimi. Tačiau siekiant aiškumo Aprašo projektas bus peržiūrėtas akcentuojant, kad regioninė pagalba teikiama investicinėms išlaidoms į materialųjį ir nematerialųjį turtą, kuris gali būti susijęs su gamybos proceso esminiu keitimu. </w:t>
            </w:r>
          </w:p>
          <w:p w:rsidR="00E974B2" w:rsidRPr="009448F5" w:rsidRDefault="00E974B2" w:rsidP="00776B3B">
            <w:pPr>
              <w:jc w:val="both"/>
              <w:rPr>
                <w:rFonts w:ascii="Times New Roman" w:hAnsi="Times New Roman" w:cs="Times New Roman"/>
                <w:sz w:val="24"/>
                <w:szCs w:val="24"/>
              </w:rPr>
            </w:pPr>
          </w:p>
        </w:tc>
      </w:tr>
      <w:tr w:rsidR="00E974B2" w:rsidRPr="009448F5" w:rsidTr="00E974B2">
        <w:trPr>
          <w:trHeight w:val="133"/>
        </w:trPr>
        <w:tc>
          <w:tcPr>
            <w:tcW w:w="665" w:type="dxa"/>
            <w:vMerge/>
          </w:tcPr>
          <w:p w:rsidR="00E974B2" w:rsidRPr="009448F5" w:rsidRDefault="00E974B2" w:rsidP="00776B3B">
            <w:pPr>
              <w:rPr>
                <w:rFonts w:ascii="Times New Roman" w:hAnsi="Times New Roman" w:cs="Times New Roman"/>
                <w:sz w:val="24"/>
                <w:szCs w:val="24"/>
              </w:rPr>
            </w:pPr>
          </w:p>
        </w:tc>
        <w:tc>
          <w:tcPr>
            <w:tcW w:w="1790" w:type="dxa"/>
            <w:vMerge/>
          </w:tcPr>
          <w:p w:rsidR="00E974B2" w:rsidRPr="009448F5" w:rsidRDefault="00E974B2" w:rsidP="00776B3B">
            <w:pPr>
              <w:rPr>
                <w:rFonts w:ascii="Times New Roman" w:hAnsi="Times New Roman" w:cs="Times New Roman"/>
                <w:sz w:val="24"/>
                <w:szCs w:val="24"/>
              </w:rPr>
            </w:pPr>
          </w:p>
        </w:tc>
        <w:tc>
          <w:tcPr>
            <w:tcW w:w="6432" w:type="dxa"/>
          </w:tcPr>
          <w:p w:rsidR="00E974B2" w:rsidRPr="009448F5" w:rsidRDefault="00E974B2"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14) Pastaba Aprašo 67.6 papunkčiui „MTEP projekto verslo planą“, 62 punktas ir kt.“:</w:t>
            </w:r>
          </w:p>
          <w:p w:rsidR="00E974B2" w:rsidRPr="009448F5" w:rsidRDefault="00E974B2"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„Projekto planas“ – nevartotina sąvoka. Kitur  Aprašo tekste naudojama sąvoka „MTEPI verslo planas“, kuri irgi yra dviprasmiška, todėl </w:t>
            </w:r>
            <w:r w:rsidRPr="009448F5">
              <w:rPr>
                <w:rFonts w:ascii="Times New Roman" w:eastAsia="Times New Roman" w:hAnsi="Times New Roman" w:cs="Times New Roman"/>
                <w:b/>
                <w:bCs/>
                <w:i/>
                <w:sz w:val="24"/>
                <w:szCs w:val="24"/>
                <w:lang w:eastAsia="lt-LT"/>
              </w:rPr>
              <w:t>siūlome Apraše pateikti sąvokos „MTEP verslo planas“ detalizavimą.</w:t>
            </w:r>
          </w:p>
        </w:tc>
        <w:tc>
          <w:tcPr>
            <w:tcW w:w="1583" w:type="dxa"/>
          </w:tcPr>
          <w:p w:rsidR="00E974B2" w:rsidRPr="009448F5" w:rsidRDefault="00E974B2" w:rsidP="00776B3B">
            <w:pPr>
              <w:rPr>
                <w:rFonts w:ascii="Times New Roman" w:hAnsi="Times New Roman" w:cs="Times New Roman"/>
                <w:sz w:val="24"/>
                <w:szCs w:val="24"/>
              </w:rPr>
            </w:pPr>
            <w:r w:rsidRPr="009448F5">
              <w:rPr>
                <w:rFonts w:ascii="Times New Roman" w:hAnsi="Times New Roman" w:cs="Times New Roman"/>
                <w:sz w:val="24"/>
                <w:szCs w:val="24"/>
              </w:rPr>
              <w:t>Atsižvelgta.</w:t>
            </w:r>
          </w:p>
        </w:tc>
        <w:tc>
          <w:tcPr>
            <w:tcW w:w="4883" w:type="dxa"/>
          </w:tcPr>
          <w:p w:rsidR="00E974B2" w:rsidRPr="009448F5" w:rsidRDefault="00E974B2"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Į pateiktą pastabą atsižvelgta, Aprašo nuostatos pakoreguotos. </w:t>
            </w:r>
          </w:p>
        </w:tc>
      </w:tr>
      <w:tr w:rsidR="00E17F09" w:rsidRPr="009448F5" w:rsidTr="00E974B2">
        <w:trPr>
          <w:trHeight w:val="446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 xml:space="preserve">15) Pastaba Aprašo 67.13 papunkčiui „ jei turtas pareiškėjui priklauso ne nuosavybės teise, turi būti pateikta šio turto valdymo sutarties kopija arba turto valdymo ketinimo protokolas kartu su turto valdymo sutarties projektu (turi būti pateikti teisę (arba dėl ketinimo įgyti teisę) į tiesiogiai su projektu susijusį nekilnojamąjį turtą (disponavimą, valdymą, naudojimą) patvirtinančių dokumentų nuorašai. Turto valdymo sutartis turi būti sudaryta ne trumpiau kaip </w:t>
            </w:r>
            <w:r w:rsidRPr="009448F5">
              <w:rPr>
                <w:rFonts w:ascii="Times New Roman" w:eastAsia="Times New Roman" w:hAnsi="Times New Roman" w:cs="Times New Roman"/>
                <w:b/>
                <w:bCs/>
                <w:sz w:val="24"/>
                <w:szCs w:val="24"/>
                <w:lang w:eastAsia="lt-LT"/>
              </w:rPr>
              <w:t>trejiems metams</w:t>
            </w:r>
            <w:r w:rsidRPr="009448F5">
              <w:rPr>
                <w:rFonts w:ascii="Times New Roman" w:eastAsia="Times New Roman" w:hAnsi="Times New Roman" w:cs="Times New Roman"/>
                <w:sz w:val="24"/>
                <w:szCs w:val="24"/>
                <w:lang w:eastAsia="lt-LT"/>
              </w:rPr>
              <w:t xml:space="preserve"> nuo projekto įgyvendinimo pabaigos ir įregistruota Lietuvos Respublikos nekilnojamojo turto registre arba turto valdymo sutarties projekte turi būti numatyta, kad sutartis turi būti sudaryta ne trumpiau kaip t</w:t>
            </w:r>
            <w:r w:rsidRPr="009448F5">
              <w:rPr>
                <w:rFonts w:ascii="Times New Roman" w:eastAsia="Times New Roman" w:hAnsi="Times New Roman" w:cs="Times New Roman"/>
                <w:b/>
                <w:bCs/>
                <w:sz w:val="24"/>
                <w:szCs w:val="24"/>
                <w:lang w:eastAsia="lt-LT"/>
              </w:rPr>
              <w:t>rejiems metams</w:t>
            </w:r>
            <w:r w:rsidRPr="009448F5">
              <w:rPr>
                <w:rFonts w:ascii="Times New Roman" w:eastAsia="Times New Roman" w:hAnsi="Times New Roman" w:cs="Times New Roman"/>
                <w:sz w:val="24"/>
                <w:szCs w:val="24"/>
                <w:lang w:eastAsia="lt-LT"/>
              </w:rPr>
              <w:t xml:space="preserve"> nuo projekto įgyvendinimo pabaigos ir įregistruota Lietuvos Respublikos nekilnojamojo turto registre“:</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Pagal BBIR didelėms įmonėms yra privalomas 5 metų projekto veiklų tęstinumo užtikrinimo laikotarpis. Manome, kad ir 67.13 punkte turi būti numatyta ši nuostata.</w:t>
            </w:r>
          </w:p>
        </w:tc>
        <w:tc>
          <w:tcPr>
            <w:tcW w:w="1583" w:type="dxa"/>
          </w:tcPr>
          <w:p w:rsidR="00E17F09" w:rsidRPr="009448F5" w:rsidRDefault="00E17F09" w:rsidP="00776B3B">
            <w:pPr>
              <w:rPr>
                <w:rFonts w:ascii="Times New Roman" w:hAnsi="Times New Roman" w:cs="Times New Roman"/>
                <w:sz w:val="24"/>
                <w:szCs w:val="24"/>
              </w:rPr>
            </w:pPr>
            <w:r w:rsidRPr="009448F5">
              <w:rPr>
                <w:rFonts w:ascii="Times New Roman" w:hAnsi="Times New Roman" w:cs="Times New Roman"/>
                <w:sz w:val="24"/>
                <w:szCs w:val="24"/>
              </w:rPr>
              <w:t>Atsižvelgta.</w:t>
            </w:r>
          </w:p>
        </w:tc>
        <w:tc>
          <w:tcPr>
            <w:tcW w:w="4883"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Į pateiktą pastabą atsižvelgta, Aprašo nuostatos pakoreguotos. </w:t>
            </w:r>
          </w:p>
        </w:tc>
      </w:tr>
      <w:tr w:rsidR="00E17F09" w:rsidRPr="009448F5" w:rsidTr="00E974B2">
        <w:trPr>
          <w:trHeight w:val="160"/>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 xml:space="preserve">16) Pastaba dėl Aprašo 7 punkto „Projektų atranka pagal Priemonę bus atliekama projektų konkurso </w:t>
            </w:r>
            <w:r w:rsidRPr="009448F5">
              <w:rPr>
                <w:rFonts w:ascii="Times New Roman" w:eastAsia="Times New Roman" w:hAnsi="Times New Roman" w:cs="Times New Roman"/>
                <w:b/>
                <w:bCs/>
                <w:sz w:val="24"/>
                <w:szCs w:val="24"/>
                <w:lang w:eastAsia="lt-LT"/>
              </w:rPr>
              <w:t xml:space="preserve">dviem etapais būdu“, </w:t>
            </w:r>
            <w:r w:rsidRPr="009448F5">
              <w:rPr>
                <w:rFonts w:ascii="Times New Roman" w:eastAsia="Times New Roman" w:hAnsi="Times New Roman" w:cs="Times New Roman"/>
                <w:sz w:val="24"/>
                <w:szCs w:val="24"/>
                <w:lang w:eastAsia="lt-LT"/>
              </w:rPr>
              <w:t>63 punkto „ &lt; ....&gt; K</w:t>
            </w:r>
            <w:r w:rsidRPr="009448F5">
              <w:rPr>
                <w:rFonts w:ascii="Times New Roman" w:eastAsia="Times New Roman" w:hAnsi="Times New Roman" w:cs="Times New Roman"/>
                <w:b/>
                <w:bCs/>
                <w:sz w:val="24"/>
                <w:szCs w:val="24"/>
                <w:lang w:eastAsia="lt-LT"/>
              </w:rPr>
              <w:t>iekvieno etapo</w:t>
            </w:r>
            <w:r w:rsidRPr="009448F5">
              <w:rPr>
                <w:rFonts w:ascii="Times New Roman" w:eastAsia="Times New Roman" w:hAnsi="Times New Roman" w:cs="Times New Roman"/>
                <w:sz w:val="24"/>
                <w:szCs w:val="24"/>
                <w:lang w:eastAsia="lt-LT"/>
              </w:rPr>
              <w:t xml:space="preserve"> paraiškų pateikimo terminas </w:t>
            </w:r>
            <w:r w:rsidRPr="009448F5">
              <w:rPr>
                <w:rFonts w:ascii="Times New Roman" w:eastAsia="Times New Roman" w:hAnsi="Times New Roman" w:cs="Times New Roman"/>
                <w:b/>
                <w:bCs/>
                <w:sz w:val="24"/>
                <w:szCs w:val="24"/>
                <w:lang w:eastAsia="lt-LT"/>
              </w:rPr>
              <w:t>negali būti trumpesnis kaip 30 dienų</w:t>
            </w:r>
            <w:r w:rsidRPr="009448F5">
              <w:rPr>
                <w:rFonts w:ascii="Times New Roman" w:eastAsia="Times New Roman" w:hAnsi="Times New Roman" w:cs="Times New Roman"/>
                <w:sz w:val="24"/>
                <w:szCs w:val="24"/>
                <w:lang w:eastAsia="lt-LT"/>
              </w:rPr>
              <w:t xml:space="preserve"> nuo kvietimo teikti paraiškas paskelbimo (pirmajam konkurso etapui) dienos ir nuo siūlymo atrinktiems pareiškėjams dalyvauti antrajame konkurso etape pateikimo dienos“ ir 71 punkto „</w:t>
            </w:r>
            <w:r w:rsidRPr="009448F5">
              <w:rPr>
                <w:rFonts w:ascii="Times New Roman" w:eastAsia="Times New Roman" w:hAnsi="Times New Roman" w:cs="Times New Roman"/>
                <w:b/>
                <w:bCs/>
                <w:sz w:val="24"/>
                <w:szCs w:val="24"/>
                <w:lang w:eastAsia="lt-LT"/>
              </w:rPr>
              <w:t>Kiekvieno konkurso etapo</w:t>
            </w:r>
            <w:r w:rsidRPr="009448F5">
              <w:rPr>
                <w:rFonts w:ascii="Times New Roman" w:eastAsia="Times New Roman" w:hAnsi="Times New Roman" w:cs="Times New Roman"/>
                <w:sz w:val="24"/>
                <w:szCs w:val="24"/>
                <w:lang w:eastAsia="lt-LT"/>
              </w:rPr>
              <w:t xml:space="preserve"> metu paraiškos vertinamos ne ilgiau kaip </w:t>
            </w:r>
            <w:r w:rsidRPr="009448F5">
              <w:rPr>
                <w:rFonts w:ascii="Times New Roman" w:eastAsia="Times New Roman" w:hAnsi="Times New Roman" w:cs="Times New Roman"/>
                <w:b/>
                <w:bCs/>
                <w:sz w:val="24"/>
                <w:szCs w:val="24"/>
                <w:lang w:eastAsia="lt-LT"/>
              </w:rPr>
              <w:t xml:space="preserve">60 dienų </w:t>
            </w:r>
            <w:r w:rsidRPr="009448F5">
              <w:rPr>
                <w:rFonts w:ascii="Times New Roman" w:eastAsia="Times New Roman" w:hAnsi="Times New Roman" w:cs="Times New Roman"/>
                <w:sz w:val="24"/>
                <w:szCs w:val="24"/>
                <w:lang w:eastAsia="lt-LT"/>
              </w:rPr>
              <w:t>nuo kvietimo teikti paraiškas skelbime nurodytos paraiškų pateikimo paskutinės dienos“:</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Mūsų nuomone, 2 etapų konkursas ženkliai ilgina sprendimų priėmimo laikotarpį, kas gali neigiamai paveikti siekiant didesnio investavimo efektyvumo, ypač kai investuojama į MTEP, kur investavimo laikas (data) gali turėti lemiamos įtakos.</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Jei bus pasirinktas 2 etapų terminas, siūlome numatyti skirtingus etapų terminus:</w:t>
            </w:r>
          </w:p>
          <w:p w:rsidR="00E17F09" w:rsidRPr="009448F5" w:rsidRDefault="00E17F09"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i/>
                <w:sz w:val="24"/>
                <w:szCs w:val="24"/>
                <w:lang w:eastAsia="lt-LT"/>
              </w:rPr>
              <w:t xml:space="preserve">- 1 etape: 30 dienų pateikimo terminas ir 30 dienų vertinimo </w:t>
            </w:r>
            <w:r w:rsidRPr="009448F5">
              <w:rPr>
                <w:rFonts w:ascii="Times New Roman" w:eastAsia="Times New Roman" w:hAnsi="Times New Roman" w:cs="Times New Roman"/>
                <w:i/>
                <w:sz w:val="24"/>
                <w:szCs w:val="24"/>
                <w:lang w:eastAsia="lt-LT"/>
              </w:rPr>
              <w:lastRenderedPageBreak/>
              <w:t>terminas;</w:t>
            </w:r>
            <w:r w:rsidRPr="009448F5">
              <w:rPr>
                <w:rFonts w:ascii="Times New Roman" w:eastAsia="Times New Roman" w:hAnsi="Times New Roman" w:cs="Times New Roman"/>
                <w:i/>
                <w:sz w:val="24"/>
                <w:szCs w:val="24"/>
                <w:lang w:eastAsia="lt-LT"/>
              </w:rPr>
              <w:br/>
              <w:t xml:space="preserve">- 2 etape:  60 dienų pateikimo terminas ir 60 dienų vertinimo terminas. </w:t>
            </w:r>
            <w:r w:rsidRPr="009448F5">
              <w:rPr>
                <w:rFonts w:ascii="Times New Roman" w:eastAsia="Times New Roman" w:hAnsi="Times New Roman" w:cs="Times New Roman"/>
                <w:i/>
                <w:sz w:val="24"/>
                <w:szCs w:val="24"/>
                <w:lang w:eastAsia="lt-LT"/>
              </w:rPr>
              <w:br/>
            </w:r>
            <w:r w:rsidRPr="009448F5">
              <w:rPr>
                <w:rFonts w:ascii="Times New Roman" w:eastAsia="Times New Roman" w:hAnsi="Times New Roman" w:cs="Times New Roman"/>
                <w:b/>
                <w:bCs/>
                <w:i/>
                <w:sz w:val="24"/>
                <w:szCs w:val="24"/>
                <w:lang w:eastAsia="lt-LT"/>
              </w:rPr>
              <w:t>Siūlome apsvarstyti galimyb</w:t>
            </w:r>
            <w:r w:rsidRPr="009448F5">
              <w:rPr>
                <w:rFonts w:ascii="Times New Roman" w:eastAsia="Times New Roman" w:hAnsi="Times New Roman" w:cs="Times New Roman"/>
                <w:b/>
                <w:i/>
                <w:sz w:val="24"/>
                <w:szCs w:val="24"/>
                <w:lang w:eastAsia="lt-LT"/>
              </w:rPr>
              <w:t>ę</w:t>
            </w:r>
            <w:r w:rsidRPr="009448F5">
              <w:rPr>
                <w:rFonts w:ascii="Times New Roman" w:eastAsia="Times New Roman" w:hAnsi="Times New Roman" w:cs="Times New Roman"/>
                <w:i/>
                <w:sz w:val="24"/>
                <w:szCs w:val="24"/>
                <w:lang w:eastAsia="lt-LT"/>
              </w:rPr>
              <w:t>, kad būtų vienas paraiškų pateikimo etapas, tai yra paraiškų pateikimo terminas būtų 90 dienų, per kurį pareiškėjai turėtų/ galėtų kreiptis į LVPA dėl atitikimo  bendriesiems reikalavimams, nurodytiems Aprašo 1 priedo 1.1, 1.2 ir 1.3.1 punktuose ir Aprašo 22.2 papunktyje nurodytam specialiajam projektų atrankos kriterijui. Kreiptis į LVPA būtų galima likus ne mažiau 30 dienų iki paraiškų pateikimo termino, o LVPA turėtų atsakyti per ne ilgesnį kaip 30 d. terminą.</w:t>
            </w:r>
          </w:p>
        </w:tc>
        <w:tc>
          <w:tcPr>
            <w:tcW w:w="1583" w:type="dxa"/>
          </w:tcPr>
          <w:p w:rsidR="00E17F09" w:rsidRPr="009448F5" w:rsidRDefault="00571517"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Neatsižvelgta.</w:t>
            </w:r>
          </w:p>
        </w:tc>
        <w:tc>
          <w:tcPr>
            <w:tcW w:w="4883" w:type="dxa"/>
          </w:tcPr>
          <w:p w:rsidR="00E17F09" w:rsidRPr="009448F5" w:rsidRDefault="00571517" w:rsidP="00C6485A">
            <w:pPr>
              <w:jc w:val="both"/>
              <w:rPr>
                <w:rFonts w:ascii="Times New Roman" w:hAnsi="Times New Roman" w:cs="Times New Roman"/>
                <w:sz w:val="24"/>
                <w:szCs w:val="24"/>
              </w:rPr>
            </w:pPr>
            <w:r w:rsidRPr="009448F5">
              <w:rPr>
                <w:rFonts w:ascii="Times New Roman" w:hAnsi="Times New Roman" w:cs="Times New Roman"/>
                <w:sz w:val="24"/>
                <w:szCs w:val="24"/>
              </w:rPr>
              <w:t>Dviejų etapų konkursas pasirinktas atsižvelgus į 2007–2013 m. finansavimo laikotarpio patirtį, kai nemaža dalis paraiškų buvo atmetama dėl to, jog jose numatyta vykdyti veikla nepriskirta MTEP veiklai arba kuriama infrastruktūra nepriskirta MTEP infrastruktūrai. Mūsų nuomone, dviejų etapų konkursas –</w:t>
            </w:r>
            <w:r w:rsidR="00C6485A" w:rsidRPr="009448F5">
              <w:rPr>
                <w:rFonts w:ascii="Times New Roman" w:hAnsi="Times New Roman" w:cs="Times New Roman"/>
                <w:sz w:val="24"/>
                <w:szCs w:val="24"/>
              </w:rPr>
              <w:t xml:space="preserve"> palankesnis ir mažinantis administracinę naštą potencialiems pareiškėjams</w:t>
            </w:r>
            <w:r w:rsidRPr="009448F5">
              <w:rPr>
                <w:rFonts w:ascii="Times New Roman" w:hAnsi="Times New Roman" w:cs="Times New Roman"/>
                <w:sz w:val="24"/>
                <w:szCs w:val="24"/>
              </w:rPr>
              <w:t xml:space="preserve">, nes </w:t>
            </w:r>
            <w:r w:rsidR="00C6485A" w:rsidRPr="009448F5">
              <w:rPr>
                <w:rFonts w:ascii="Times New Roman" w:hAnsi="Times New Roman" w:cs="Times New Roman"/>
                <w:sz w:val="24"/>
                <w:szCs w:val="24"/>
              </w:rPr>
              <w:t xml:space="preserve">pirmajam etapui užteks parengti dalį paraiškos ir pateikti dalį informacijos. Visą paraišką bei visus papildomus dokumentus reikės teikti tik pirmąjį vertinimo etapą „praėjusiems“ pareiškėjams. </w:t>
            </w:r>
          </w:p>
        </w:tc>
      </w:tr>
      <w:tr w:rsidR="00E17F09" w:rsidRPr="009448F5" w:rsidTr="00E974B2">
        <w:trPr>
          <w:trHeight w:val="90"/>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17) Pastaba naudos ir kokybės vertinimo kriterijui „1. Projekto metu sukurto (s) produkto (inovacijos) reikšmingumo lygis“:</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Reikia numatyti:</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per kurį laikotarpį bus skaičiuojamas sukurtų produktų skaičius (per projektą, 1-5 metai po projekto ar pan.);</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kaip planuojamų sukurtų produktų skaičius koreliuoja su stebėsenos rodikliu 30.8;</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kaip planuojamų sukurti produktų naujumas koreliuoja su stebėsenos rodikliais 30.4 ir 30.5.</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Jei nėra tiesioginės koreliacijos su rodikliais, kurių pasiekimas bus stebimas 3-5 metus po projekto, reiktų patikslinti situacijas, jei bus sukurti produktai, turintys mažesnį naujumo laipsnį.</w:t>
            </w:r>
          </w:p>
        </w:tc>
        <w:tc>
          <w:tcPr>
            <w:tcW w:w="1583" w:type="dxa"/>
          </w:tcPr>
          <w:p w:rsidR="00E17F09" w:rsidRPr="009448F5" w:rsidRDefault="00C6485A" w:rsidP="00776B3B">
            <w:pPr>
              <w:rPr>
                <w:rFonts w:ascii="Times New Roman" w:hAnsi="Times New Roman" w:cs="Times New Roman"/>
                <w:sz w:val="24"/>
                <w:szCs w:val="24"/>
              </w:rPr>
            </w:pPr>
            <w:r w:rsidRPr="009448F5">
              <w:rPr>
                <w:rFonts w:ascii="Times New Roman" w:hAnsi="Times New Roman" w:cs="Times New Roman"/>
                <w:sz w:val="24"/>
                <w:szCs w:val="24"/>
              </w:rPr>
              <w:t xml:space="preserve">Atsižvelgta iš dalies. </w:t>
            </w:r>
          </w:p>
        </w:tc>
        <w:tc>
          <w:tcPr>
            <w:tcW w:w="4883" w:type="dxa"/>
          </w:tcPr>
          <w:p w:rsidR="00E17F09" w:rsidRPr="009448F5" w:rsidRDefault="00C6485A"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Aprašo nuostatos dėl laikotarpio, per kurį bus skaičiuojamas sukurtų produktų skaičius, bus patikslintas. </w:t>
            </w:r>
          </w:p>
          <w:p w:rsidR="00C6485A" w:rsidRPr="009448F5" w:rsidRDefault="00C6485A"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Atsakymai dėl kitų klausimų pateikti atsakant į Jūsų pastabą Nr. 6. </w:t>
            </w:r>
          </w:p>
        </w:tc>
      </w:tr>
      <w:tr w:rsidR="00E17F09" w:rsidRPr="009448F5" w:rsidTr="00E974B2">
        <w:trPr>
          <w:trHeight w:val="134"/>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18) Pastaba naudos ir kokybės vertinimo kriterijui „3.  Projekto įgyvendinimo metu ir 3 metus po projekto veiklų įgyvendinimo pabaigos įmonės pajamų, gautų iš įgyvendinant projektą ir tiesiogiai projekto metu sukurtų ir rinkai pateiktų produktų, santykis su tinkamomis finansuoti projekto išlaidomis“:</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Skaičiavimo formulė pagal šį kriterijų neskatina pareiškėjus investuoti daugiau nuosavų lėšų į tinkamas išlaidas, nes didesnis nuosavų lėšų kiekis didins bendras tinkamas išlaidas ir mažins vertinimo balus.</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Siekiant nekeisti paties kriterijaus apibūdinimo, </w:t>
            </w:r>
            <w:r w:rsidRPr="009448F5">
              <w:rPr>
                <w:rFonts w:ascii="Times New Roman" w:eastAsia="Times New Roman" w:hAnsi="Times New Roman" w:cs="Times New Roman"/>
                <w:b/>
                <w:bCs/>
                <w:i/>
                <w:sz w:val="24"/>
                <w:szCs w:val="24"/>
                <w:lang w:eastAsia="lt-LT"/>
              </w:rPr>
              <w:t>rekomenduojama taikyti šią formulę</w:t>
            </w:r>
            <w:r w:rsidRPr="009448F5">
              <w:rPr>
                <w:rFonts w:ascii="Times New Roman" w:eastAsia="Times New Roman" w:hAnsi="Times New Roman" w:cs="Times New Roman"/>
                <w:i/>
                <w:sz w:val="24"/>
                <w:szCs w:val="24"/>
                <w:lang w:eastAsia="lt-LT"/>
              </w:rPr>
              <w:t>:</w:t>
            </w:r>
          </w:p>
          <w:p w:rsidR="00E17F09" w:rsidRPr="009448F5" w:rsidRDefault="00E17F09" w:rsidP="00776B3B">
            <w:pPr>
              <w:jc w:val="both"/>
              <w:rPr>
                <w:rFonts w:ascii="Times New Roman" w:eastAsia="Times New Roman" w:hAnsi="Times New Roman" w:cs="Times New Roman"/>
                <w:i/>
                <w:iCs/>
                <w:sz w:val="24"/>
                <w:szCs w:val="24"/>
                <w:lang w:eastAsia="lt-LT"/>
              </w:rPr>
            </w:pPr>
            <w:r w:rsidRPr="009448F5">
              <w:rPr>
                <w:rFonts w:ascii="Times New Roman" w:eastAsia="Times New Roman" w:hAnsi="Times New Roman" w:cs="Times New Roman"/>
                <w:i/>
                <w:iCs/>
                <w:sz w:val="24"/>
                <w:szCs w:val="24"/>
                <w:lang w:eastAsia="lt-LT"/>
              </w:rPr>
              <w:lastRenderedPageBreak/>
              <w:t>X=P/(I-N), kur</w:t>
            </w:r>
          </w:p>
          <w:p w:rsidR="00E17F09" w:rsidRPr="009448F5" w:rsidRDefault="00E17F09" w:rsidP="00776B3B">
            <w:pPr>
              <w:jc w:val="both"/>
              <w:rPr>
                <w:rFonts w:ascii="Times New Roman" w:eastAsia="Times New Roman" w:hAnsi="Times New Roman" w:cs="Times New Roman"/>
                <w:i/>
                <w:iCs/>
                <w:sz w:val="24"/>
                <w:szCs w:val="24"/>
                <w:lang w:eastAsia="lt-LT"/>
              </w:rPr>
            </w:pPr>
            <w:r w:rsidRPr="009448F5">
              <w:rPr>
                <w:rFonts w:ascii="Times New Roman" w:eastAsia="Times New Roman" w:hAnsi="Times New Roman" w:cs="Times New Roman"/>
                <w:i/>
                <w:iCs/>
                <w:sz w:val="24"/>
                <w:szCs w:val="24"/>
                <w:lang w:eastAsia="lt-LT"/>
              </w:rPr>
              <w:t xml:space="preserve">P – projekto įgyvendinimo metu ir 3 metus po projekto veiklų įgyvendinimo pabaigos įmonės gautos pajamos iš įgyvendinant projektą ir tiesiogiai projekto metu sukurtų ir rinkai pateiktų produktų; </w:t>
            </w:r>
            <w:r w:rsidRPr="009448F5">
              <w:rPr>
                <w:rFonts w:ascii="Times New Roman" w:eastAsia="Times New Roman" w:hAnsi="Times New Roman" w:cs="Times New Roman"/>
                <w:i/>
                <w:iCs/>
                <w:sz w:val="24"/>
                <w:szCs w:val="24"/>
                <w:lang w:eastAsia="lt-LT"/>
              </w:rPr>
              <w:br/>
              <w:t>I – tinkamos finansuoti projekto išlaidos;</w:t>
            </w:r>
          </w:p>
          <w:p w:rsidR="00E17F09" w:rsidRPr="009448F5" w:rsidRDefault="00E17F09"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i/>
                <w:iCs/>
                <w:sz w:val="24"/>
                <w:szCs w:val="24"/>
                <w:lang w:eastAsia="lt-LT"/>
              </w:rPr>
              <w:t>N – projekto vykdytojų nuosavas indėlis dengiant tinkamas projekto išlaidas.</w:t>
            </w:r>
          </w:p>
        </w:tc>
        <w:tc>
          <w:tcPr>
            <w:tcW w:w="1583" w:type="dxa"/>
          </w:tcPr>
          <w:p w:rsidR="00E17F09" w:rsidRPr="009448F5" w:rsidRDefault="00C6485A"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Neatsižvelgta.</w:t>
            </w:r>
          </w:p>
        </w:tc>
        <w:tc>
          <w:tcPr>
            <w:tcW w:w="4883" w:type="dxa"/>
          </w:tcPr>
          <w:p w:rsidR="00FE25EE" w:rsidRPr="009448F5" w:rsidRDefault="00FE25EE" w:rsidP="00FE25EE">
            <w:pPr>
              <w:tabs>
                <w:tab w:val="left" w:pos="0"/>
                <w:tab w:val="left" w:pos="851"/>
              </w:tabs>
              <w:jc w:val="both"/>
              <w:rPr>
                <w:rFonts w:ascii="Times New Roman" w:hAnsi="Times New Roman" w:cs="Times New Roman"/>
                <w:sz w:val="24"/>
                <w:szCs w:val="24"/>
              </w:rPr>
            </w:pPr>
            <w:r w:rsidRPr="009448F5">
              <w:rPr>
                <w:rFonts w:ascii="Times New Roman" w:hAnsi="Times New Roman" w:cs="Times New Roman"/>
                <w:sz w:val="24"/>
                <w:szCs w:val="24"/>
              </w:rPr>
              <w:t>Pažymime, kad Stebėsenos komitetas 2015 m. liepos 9 d. posėdžio nutarimu Nr. 44(P)-6.1(8) patvirtino tokį specialųjį projektų atrankos kriterijų ir jo vertinimo aspektą:</w:t>
            </w:r>
          </w:p>
          <w:p w:rsidR="00FE25EE" w:rsidRPr="009448F5" w:rsidRDefault="00C01CAB" w:rsidP="00FE25EE">
            <w:pPr>
              <w:tabs>
                <w:tab w:val="left" w:pos="0"/>
                <w:tab w:val="left" w:pos="851"/>
              </w:tabs>
              <w:jc w:val="both"/>
              <w:rPr>
                <w:rFonts w:ascii="Times New Roman" w:hAnsi="Times New Roman" w:cs="Times New Roman"/>
                <w:bCs/>
                <w:i/>
                <w:sz w:val="24"/>
                <w:szCs w:val="24"/>
              </w:rPr>
            </w:pPr>
            <w:r w:rsidRPr="009448F5">
              <w:rPr>
                <w:rFonts w:ascii="Times New Roman" w:hAnsi="Times New Roman" w:cs="Times New Roman"/>
                <w:bCs/>
                <w:sz w:val="24"/>
                <w:szCs w:val="24"/>
              </w:rPr>
              <w:t>„</w:t>
            </w:r>
            <w:r w:rsidR="00FE25EE" w:rsidRPr="009448F5">
              <w:rPr>
                <w:rFonts w:ascii="Times New Roman" w:hAnsi="Times New Roman" w:cs="Times New Roman"/>
                <w:bCs/>
                <w:i/>
                <w:sz w:val="24"/>
                <w:szCs w:val="24"/>
              </w:rPr>
              <w:t>Projekto įgyvendinimo metu ir 3 metus po projekto veiklų įgyvendinimo pabaigos įmonės pajamų, gautų iš įgyvendinant projektą ir tiesiogiai projekto metu sukurtų ir rinkai pateiktų produktų, santykis su tinkamomis finansuoti projekto išlaidomis (Šis kriterijus taikomas 1 ir 2 veikloms).</w:t>
            </w:r>
          </w:p>
          <w:p w:rsidR="00FE25EE" w:rsidRPr="009448F5" w:rsidRDefault="00FE25EE" w:rsidP="00C01CAB">
            <w:pPr>
              <w:jc w:val="both"/>
              <w:rPr>
                <w:rFonts w:ascii="Times New Roman" w:hAnsi="Times New Roman" w:cs="Times New Roman"/>
                <w:bCs/>
                <w:i/>
                <w:sz w:val="24"/>
                <w:szCs w:val="24"/>
              </w:rPr>
            </w:pPr>
            <w:r w:rsidRPr="009448F5">
              <w:rPr>
                <w:rFonts w:ascii="Times New Roman" w:hAnsi="Times New Roman" w:cs="Times New Roman"/>
                <w:i/>
                <w:sz w:val="24"/>
                <w:szCs w:val="24"/>
              </w:rPr>
              <w:lastRenderedPageBreak/>
              <w:t xml:space="preserve">Siekiama skatinti komerciškai sėkmingų produktų kūrimą, todėl aukštesnis įvertinimas suteikiamas tiems projektams, kurių </w:t>
            </w:r>
            <w:r w:rsidRPr="009448F5">
              <w:rPr>
                <w:rFonts w:ascii="Times New Roman" w:hAnsi="Times New Roman" w:cs="Times New Roman"/>
                <w:bCs/>
                <w:i/>
                <w:sz w:val="24"/>
                <w:szCs w:val="24"/>
              </w:rPr>
              <w:t>įgyvendinimo metu ir 3 metus po projekto veiklų įgyvendinimo pabaigos gautų įmonės pajamų iš įgyvendinant projektą ir tiesiogiai projekto metu sukurtų ir rinkai pateiktų produktų santykis su projekto tinkamomis finansuoti išlaidomis yra didesnis. Vertinama pagal formulę:</w:t>
            </w:r>
          </w:p>
          <w:p w:rsidR="00C01CAB" w:rsidRPr="009448F5" w:rsidRDefault="00FE25EE" w:rsidP="00FE25EE">
            <w:pPr>
              <w:widowControl w:val="0"/>
              <w:adjustRightInd w:val="0"/>
              <w:jc w:val="both"/>
              <w:textAlignment w:val="baseline"/>
              <w:rPr>
                <w:rFonts w:ascii="Times New Roman" w:hAnsi="Times New Roman" w:cs="Times New Roman"/>
                <w:bCs/>
                <w:i/>
                <w:sz w:val="24"/>
                <w:szCs w:val="24"/>
              </w:rPr>
            </w:pPr>
            <w:r w:rsidRPr="009448F5">
              <w:rPr>
                <w:rFonts w:ascii="Times New Roman" w:hAnsi="Times New Roman" w:cs="Times New Roman"/>
                <w:bCs/>
                <w:i/>
                <w:sz w:val="24"/>
                <w:szCs w:val="24"/>
              </w:rPr>
              <w:t>X</w:t>
            </w:r>
            <w:r w:rsidRPr="009448F5">
              <w:rPr>
                <w:rFonts w:ascii="Times New Roman" w:hAnsi="Times New Roman" w:cs="Times New Roman"/>
                <w:bCs/>
                <w:i/>
                <w:sz w:val="24"/>
                <w:szCs w:val="24"/>
              </w:rPr>
              <w:sym w:font="Symbol" w:char="F03D"/>
            </w:r>
            <w:r w:rsidRPr="009448F5">
              <w:rPr>
                <w:rFonts w:ascii="Times New Roman" w:hAnsi="Times New Roman" w:cs="Times New Roman"/>
                <w:bCs/>
                <w:i/>
                <w:sz w:val="24"/>
                <w:szCs w:val="24"/>
              </w:rPr>
              <w:t xml:space="preserve">P/I, kur </w:t>
            </w:r>
          </w:p>
          <w:p w:rsidR="00C01CAB" w:rsidRPr="009448F5" w:rsidRDefault="00FE25EE" w:rsidP="00FE25EE">
            <w:pPr>
              <w:widowControl w:val="0"/>
              <w:adjustRightInd w:val="0"/>
              <w:jc w:val="both"/>
              <w:textAlignment w:val="baseline"/>
              <w:rPr>
                <w:rFonts w:ascii="Times New Roman" w:hAnsi="Times New Roman" w:cs="Times New Roman"/>
                <w:i/>
                <w:iCs/>
                <w:sz w:val="24"/>
                <w:szCs w:val="24"/>
              </w:rPr>
            </w:pPr>
            <w:r w:rsidRPr="009448F5">
              <w:rPr>
                <w:rFonts w:ascii="Times New Roman" w:hAnsi="Times New Roman" w:cs="Times New Roman"/>
                <w:bCs/>
                <w:i/>
                <w:sz w:val="24"/>
                <w:szCs w:val="24"/>
              </w:rPr>
              <w:t xml:space="preserve">P – projekto įgyvendinimo metu ir 3 metus po projekto veiklų įgyvendinimo pabaigos įmonės gautos pajamos </w:t>
            </w:r>
            <w:r w:rsidRPr="009448F5">
              <w:rPr>
                <w:rFonts w:ascii="Times New Roman" w:hAnsi="Times New Roman" w:cs="Times New Roman"/>
                <w:i/>
                <w:iCs/>
                <w:sz w:val="24"/>
                <w:szCs w:val="24"/>
              </w:rPr>
              <w:t xml:space="preserve">iš įgyvendinant projektą ir tiesiogiai projekto metu sukurtų ir rinkai pateiktų produktų; </w:t>
            </w:r>
          </w:p>
          <w:p w:rsidR="00FE25EE" w:rsidRPr="009448F5" w:rsidRDefault="00FE25EE" w:rsidP="00FE25EE">
            <w:pPr>
              <w:widowControl w:val="0"/>
              <w:adjustRightInd w:val="0"/>
              <w:jc w:val="both"/>
              <w:textAlignment w:val="baseline"/>
              <w:rPr>
                <w:rFonts w:ascii="Times New Roman" w:hAnsi="Times New Roman" w:cs="Times New Roman"/>
                <w:i/>
                <w:iCs/>
                <w:sz w:val="24"/>
                <w:szCs w:val="24"/>
              </w:rPr>
            </w:pPr>
            <w:r w:rsidRPr="009448F5">
              <w:rPr>
                <w:rFonts w:ascii="Times New Roman" w:hAnsi="Times New Roman" w:cs="Times New Roman"/>
                <w:i/>
                <w:iCs/>
                <w:sz w:val="24"/>
                <w:szCs w:val="24"/>
              </w:rPr>
              <w:t>I – tinkam</w:t>
            </w:r>
            <w:r w:rsidR="00C01CAB" w:rsidRPr="009448F5">
              <w:rPr>
                <w:rFonts w:ascii="Times New Roman" w:hAnsi="Times New Roman" w:cs="Times New Roman"/>
                <w:i/>
                <w:iCs/>
                <w:sz w:val="24"/>
                <w:szCs w:val="24"/>
              </w:rPr>
              <w:t>os finansuoti projekto išlaidos“.</w:t>
            </w:r>
          </w:p>
          <w:p w:rsidR="00C01CAB" w:rsidRPr="009448F5" w:rsidRDefault="00C01CAB" w:rsidP="00C6485A">
            <w:pPr>
              <w:widowControl w:val="0"/>
              <w:adjustRightInd w:val="0"/>
              <w:jc w:val="both"/>
              <w:textAlignment w:val="baseline"/>
              <w:rPr>
                <w:rFonts w:ascii="Times New Roman" w:hAnsi="Times New Roman" w:cs="Times New Roman"/>
                <w:bCs/>
                <w:sz w:val="24"/>
                <w:szCs w:val="24"/>
              </w:rPr>
            </w:pPr>
            <w:r w:rsidRPr="009448F5">
              <w:rPr>
                <w:rFonts w:ascii="Times New Roman" w:hAnsi="Times New Roman" w:cs="Times New Roman"/>
                <w:sz w:val="24"/>
                <w:szCs w:val="24"/>
              </w:rPr>
              <w:t>Patvirtinto kriterijaus ir jo vertinimo aspektų keitimai be Stebėsenos komiteto pritarimo negalimi.</w:t>
            </w:r>
          </w:p>
        </w:tc>
      </w:tr>
      <w:tr w:rsidR="00E17F09" w:rsidRPr="009448F5" w:rsidTr="00E974B2">
        <w:trPr>
          <w:trHeight w:val="133"/>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eastAsia="Times New Roman" w:hAnsi="Times New Roman" w:cs="Times New Roman"/>
                <w:sz w:val="24"/>
                <w:szCs w:val="24"/>
                <w:lang w:eastAsia="lt-LT"/>
              </w:rPr>
            </w:pPr>
            <w:r w:rsidRPr="009448F5">
              <w:rPr>
                <w:rFonts w:ascii="Times New Roman" w:eastAsia="Times New Roman" w:hAnsi="Times New Roman" w:cs="Times New Roman"/>
                <w:sz w:val="24"/>
                <w:szCs w:val="24"/>
                <w:lang w:eastAsia="lt-LT"/>
              </w:rPr>
              <w:t>19) Pastaba naudos ir kokybės vertinimo kriterijui „4. Pareiškėjo patirtis įgyvendinant MTEP veiklas ir dalyvaujant tarptautiniuose verslo ir mokslo bendradarbiavimui skirtuose MTEP projektuose.“:</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Įgyvendinant projektus pagal Aprašą yra skatinama partnerystė ir veiksmingas bendradarbiavimas, todėl siūlome vertinti ne tik „pareiškėjo“,  bet ir „partnerio“ patirtį. </w:t>
            </w:r>
          </w:p>
          <w:p w:rsidR="00E17F09" w:rsidRPr="009448F5" w:rsidRDefault="00E17F09" w:rsidP="00776B3B">
            <w:pPr>
              <w:jc w:val="both"/>
              <w:rPr>
                <w:rFonts w:ascii="Times New Roman" w:eastAsia="Times New Roman" w:hAnsi="Times New Roman" w:cs="Times New Roman"/>
                <w:i/>
                <w:iCs/>
                <w:sz w:val="24"/>
                <w:szCs w:val="24"/>
                <w:lang w:eastAsia="lt-LT"/>
              </w:rPr>
            </w:pPr>
            <w:r w:rsidRPr="009448F5">
              <w:rPr>
                <w:rFonts w:ascii="Times New Roman" w:eastAsia="Times New Roman" w:hAnsi="Times New Roman" w:cs="Times New Roman"/>
                <w:b/>
                <w:bCs/>
                <w:i/>
                <w:sz w:val="24"/>
                <w:szCs w:val="24"/>
                <w:lang w:eastAsia="lt-LT"/>
              </w:rPr>
              <w:t xml:space="preserve">Siūlome patikslintą redakciją: </w:t>
            </w:r>
            <w:r w:rsidRPr="009448F5">
              <w:rPr>
                <w:rFonts w:ascii="Times New Roman" w:eastAsia="Times New Roman" w:hAnsi="Times New Roman" w:cs="Times New Roman"/>
                <w:bCs/>
                <w:i/>
                <w:sz w:val="24"/>
                <w:szCs w:val="24"/>
                <w:lang w:eastAsia="lt-LT"/>
              </w:rPr>
              <w:t>„</w:t>
            </w:r>
            <w:r w:rsidRPr="009448F5">
              <w:rPr>
                <w:rFonts w:ascii="Times New Roman" w:eastAsia="Times New Roman" w:hAnsi="Times New Roman" w:cs="Times New Roman"/>
                <w:i/>
                <w:iCs/>
                <w:sz w:val="24"/>
                <w:szCs w:val="24"/>
                <w:lang w:eastAsia="lt-LT"/>
              </w:rPr>
              <w:t xml:space="preserve">Siekiant sumažinti MTEPI projektų įgyvendinimo riziką, aukštesnis įvertinimas suteikiamas tiems projektams, kurių </w:t>
            </w:r>
            <w:r w:rsidRPr="009448F5">
              <w:rPr>
                <w:rFonts w:ascii="Times New Roman" w:eastAsia="Times New Roman" w:hAnsi="Times New Roman" w:cs="Times New Roman"/>
                <w:b/>
                <w:bCs/>
                <w:i/>
                <w:iCs/>
                <w:sz w:val="24"/>
                <w:szCs w:val="24"/>
                <w:lang w:eastAsia="lt-LT"/>
              </w:rPr>
              <w:t>pareiškėjas ar partneris</w:t>
            </w:r>
            <w:r w:rsidRPr="009448F5">
              <w:rPr>
                <w:rFonts w:ascii="Times New Roman" w:eastAsia="Times New Roman" w:hAnsi="Times New Roman" w:cs="Times New Roman"/>
                <w:i/>
                <w:iCs/>
                <w:sz w:val="24"/>
                <w:szCs w:val="24"/>
                <w:lang w:eastAsia="lt-LT"/>
              </w:rPr>
              <w:t xml:space="preserve"> turi dalyvavimo tarptautiniuose verslo ir mokslo bendradarbiavimui skirtuose MTEP projektuose (pvz., FP 7, Horizontas 2020 ir kt.) patirties ir (ar) yra deklaravę Lietuvos statistikos departamentui MTEP veiklai skirtas lėšas (vertinamas pastarųjų 3 metų iki paraiškos pateikimo laikotarpis arba laikotarpis nuo pareiškėjo įregistravimo dienos, jeigu pareiškėjas veiklą vykdo trumpiau </w:t>
            </w:r>
            <w:r w:rsidRPr="009448F5">
              <w:rPr>
                <w:rFonts w:ascii="Times New Roman" w:eastAsia="Times New Roman" w:hAnsi="Times New Roman" w:cs="Times New Roman"/>
                <w:i/>
                <w:iCs/>
                <w:sz w:val="24"/>
                <w:szCs w:val="24"/>
                <w:lang w:eastAsia="lt-LT"/>
              </w:rPr>
              <w:lastRenderedPageBreak/>
              <w:t xml:space="preserve">nei 3 metus).“ </w:t>
            </w:r>
          </w:p>
          <w:p w:rsidR="00E17F09" w:rsidRPr="009448F5" w:rsidRDefault="00E17F09" w:rsidP="00776B3B">
            <w:pPr>
              <w:jc w:val="both"/>
              <w:rPr>
                <w:rFonts w:ascii="Times New Roman" w:eastAsia="Times New Roman" w:hAnsi="Times New Roman" w:cs="Times New Roman"/>
                <w:i/>
                <w:sz w:val="24"/>
                <w:szCs w:val="24"/>
                <w:lang w:eastAsia="lt-LT"/>
              </w:rPr>
            </w:pPr>
            <w:r w:rsidRPr="009448F5">
              <w:rPr>
                <w:rFonts w:ascii="Times New Roman" w:eastAsia="Times New Roman" w:hAnsi="Times New Roman" w:cs="Times New Roman"/>
                <w:i/>
                <w:sz w:val="24"/>
                <w:szCs w:val="24"/>
                <w:lang w:eastAsia="lt-LT"/>
              </w:rPr>
              <w:t xml:space="preserve">Kadangi MTEP veiklai skirtų lėšų deklaravimas Lietuvos statistikos departamentui nėra privalomas, o prašymus pateikti ataskaitas gauna tik dalis ūkio subjektų (daroma atranka, kam siunčiamos anketos), </w:t>
            </w:r>
            <w:r w:rsidRPr="009448F5">
              <w:rPr>
                <w:rFonts w:ascii="Times New Roman" w:eastAsia="Times New Roman" w:hAnsi="Times New Roman" w:cs="Times New Roman"/>
                <w:b/>
                <w:bCs/>
                <w:i/>
                <w:sz w:val="24"/>
                <w:szCs w:val="24"/>
                <w:lang w:eastAsia="lt-LT"/>
              </w:rPr>
              <w:t>siūlome numatyti</w:t>
            </w:r>
            <w:r w:rsidRPr="009448F5">
              <w:rPr>
                <w:rFonts w:ascii="Times New Roman" w:eastAsia="Times New Roman" w:hAnsi="Times New Roman" w:cs="Times New Roman"/>
                <w:i/>
                <w:sz w:val="24"/>
                <w:szCs w:val="24"/>
                <w:lang w:eastAsia="lt-LT"/>
              </w:rPr>
              <w:t>, kad deklaravimo fakto turi pakakti tik už 1 paskutinius finansinius metus.</w:t>
            </w:r>
          </w:p>
        </w:tc>
        <w:tc>
          <w:tcPr>
            <w:tcW w:w="1583" w:type="dxa"/>
          </w:tcPr>
          <w:p w:rsidR="00E17F09" w:rsidRPr="009448F5" w:rsidRDefault="00E17F09"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Neatsižvelgta.</w:t>
            </w:r>
          </w:p>
          <w:p w:rsidR="00E17F09" w:rsidRPr="009448F5" w:rsidRDefault="00E17F09" w:rsidP="00776B3B">
            <w:pPr>
              <w:rPr>
                <w:rFonts w:ascii="Times New Roman" w:hAnsi="Times New Roman" w:cs="Times New Roman"/>
                <w:sz w:val="24"/>
                <w:szCs w:val="24"/>
              </w:rPr>
            </w:pPr>
          </w:p>
        </w:tc>
        <w:tc>
          <w:tcPr>
            <w:tcW w:w="4883" w:type="dxa"/>
          </w:tcPr>
          <w:p w:rsidR="00C01CAB" w:rsidRPr="009448F5" w:rsidRDefault="00C01CAB" w:rsidP="00C01CAB">
            <w:pPr>
              <w:tabs>
                <w:tab w:val="left" w:pos="0"/>
                <w:tab w:val="left" w:pos="851"/>
              </w:tabs>
              <w:jc w:val="both"/>
              <w:rPr>
                <w:rFonts w:ascii="Times New Roman" w:hAnsi="Times New Roman" w:cs="Times New Roman"/>
                <w:sz w:val="24"/>
                <w:szCs w:val="24"/>
              </w:rPr>
            </w:pPr>
            <w:r w:rsidRPr="009448F5">
              <w:rPr>
                <w:rFonts w:ascii="Times New Roman" w:hAnsi="Times New Roman" w:cs="Times New Roman"/>
                <w:sz w:val="24"/>
                <w:szCs w:val="24"/>
              </w:rPr>
              <w:t>Pažymime, kad Stebėsenos komitetas 2015 m. liepos 9 d. posėdžio nutarimu Nr. 44(P)-6.1(8) patvirtino tokį specialųjį projektų atrankos kriterijų ir jo vertinimo aspektą:</w:t>
            </w:r>
          </w:p>
          <w:p w:rsidR="00C01CAB" w:rsidRPr="009448F5" w:rsidRDefault="00C01CAB" w:rsidP="00C01CAB">
            <w:pPr>
              <w:tabs>
                <w:tab w:val="left" w:pos="0"/>
                <w:tab w:val="left" w:pos="851"/>
              </w:tabs>
              <w:jc w:val="both"/>
              <w:rPr>
                <w:rFonts w:ascii="Times New Roman" w:hAnsi="Times New Roman" w:cs="Times New Roman"/>
                <w:bCs/>
                <w:i/>
                <w:sz w:val="24"/>
                <w:szCs w:val="24"/>
              </w:rPr>
            </w:pPr>
            <w:r w:rsidRPr="009448F5">
              <w:rPr>
                <w:rFonts w:ascii="Times New Roman" w:hAnsi="Times New Roman" w:cs="Times New Roman"/>
                <w:bCs/>
                <w:sz w:val="24"/>
                <w:szCs w:val="24"/>
              </w:rPr>
              <w:t>„</w:t>
            </w:r>
            <w:r w:rsidRPr="009448F5">
              <w:rPr>
                <w:rFonts w:ascii="Times New Roman" w:hAnsi="Times New Roman" w:cs="Times New Roman"/>
                <w:bCs/>
                <w:i/>
                <w:sz w:val="24"/>
                <w:szCs w:val="24"/>
              </w:rPr>
              <w:t xml:space="preserve">Pareiškėjo patirtis įgyvendinant MTEP veiklas ir dalyvaujant tarptautiniuose verslo ir mokslo bendradarbiavimui skirtuose MTEP projektuose. </w:t>
            </w:r>
          </w:p>
          <w:p w:rsidR="00C01CAB" w:rsidRPr="009448F5" w:rsidRDefault="00C01CAB" w:rsidP="00C01CAB">
            <w:pPr>
              <w:jc w:val="both"/>
              <w:rPr>
                <w:bCs/>
              </w:rPr>
            </w:pPr>
            <w:r w:rsidRPr="009448F5">
              <w:rPr>
                <w:rFonts w:ascii="Times New Roman" w:hAnsi="Times New Roman" w:cs="Times New Roman"/>
                <w:bCs/>
                <w:i/>
                <w:sz w:val="24"/>
                <w:szCs w:val="24"/>
              </w:rPr>
              <w:t xml:space="preserve">Siekiant sumažinti MTEPI projektų įgyvendinimo riziką, aukštesnis įvertinimas suteikiamas tiems projektams, kurių pareiškėjai turi dalyvavimo tarptautiniuose verslo ir mokslo bendradarbiavimui skirtuose MTEP projektuose (pvz., FP 7, Horizontas 2020 ir kt.) patirties ir (ar) yra deklaravę Lietuvos statistikos departamentui MTEP veiklai skirtas lėšas </w:t>
            </w:r>
            <w:r w:rsidRPr="009448F5">
              <w:rPr>
                <w:rFonts w:ascii="Times New Roman" w:hAnsi="Times New Roman" w:cs="Times New Roman"/>
                <w:bCs/>
                <w:i/>
                <w:sz w:val="24"/>
                <w:szCs w:val="24"/>
              </w:rPr>
              <w:lastRenderedPageBreak/>
              <w:t>(vertinamas pastarųjų 3 metų iki paraiškos pateikimo laikotarpis arba laikotarpis nuo pareiškėjo įregistravimo dienos, jeigu pareiškėjas veiklą vykdo trumpiau nei 3 metus; taip pat pirmajam vertinimo aspektui – turimai patirčiai dalyvaujant tarptautiniuose verslo ir mokslo bendradarbiavimui skirtuose MTEP projektuose – suteikiama didesnė svarba)</w:t>
            </w:r>
            <w:r w:rsidRPr="009448F5">
              <w:rPr>
                <w:rFonts w:ascii="Times New Roman" w:hAnsi="Times New Roman" w:cs="Times New Roman"/>
                <w:bCs/>
                <w:sz w:val="24"/>
                <w:szCs w:val="24"/>
              </w:rPr>
              <w:t>“.</w:t>
            </w:r>
          </w:p>
          <w:p w:rsidR="00E17F09" w:rsidRPr="009448F5" w:rsidRDefault="00C01CAB" w:rsidP="00C6485A">
            <w:pPr>
              <w:widowControl w:val="0"/>
              <w:adjustRightInd w:val="0"/>
              <w:jc w:val="both"/>
              <w:textAlignment w:val="baseline"/>
              <w:rPr>
                <w:rFonts w:ascii="Times New Roman" w:hAnsi="Times New Roman" w:cs="Times New Roman"/>
                <w:sz w:val="24"/>
                <w:szCs w:val="24"/>
              </w:rPr>
            </w:pPr>
            <w:r w:rsidRPr="009448F5">
              <w:rPr>
                <w:rFonts w:ascii="Times New Roman" w:hAnsi="Times New Roman" w:cs="Times New Roman"/>
                <w:sz w:val="24"/>
                <w:szCs w:val="24"/>
              </w:rPr>
              <w:t>Patvirtinto kriterijaus ir jo vertinimo aspektų keitimai be Stebėsenos komiteto pritarimo negalimi.</w:t>
            </w:r>
          </w:p>
        </w:tc>
      </w:tr>
      <w:tr w:rsidR="00E17F09" w:rsidRPr="009448F5" w:rsidTr="00E974B2">
        <w:trPr>
          <w:trHeight w:val="574"/>
        </w:trPr>
        <w:tc>
          <w:tcPr>
            <w:tcW w:w="665" w:type="dxa"/>
            <w:vMerge w:val="restart"/>
          </w:tcPr>
          <w:p w:rsidR="00E17F09" w:rsidRPr="009448F5" w:rsidRDefault="00E17F09"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 xml:space="preserve">4. </w:t>
            </w:r>
          </w:p>
        </w:tc>
        <w:tc>
          <w:tcPr>
            <w:tcW w:w="1790" w:type="dxa"/>
            <w:vMerge w:val="restart"/>
          </w:tcPr>
          <w:p w:rsidR="00E17F09" w:rsidRPr="009448F5" w:rsidRDefault="00E17F09" w:rsidP="00776B3B">
            <w:pPr>
              <w:rPr>
                <w:rFonts w:ascii="Times New Roman" w:hAnsi="Times New Roman" w:cs="Times New Roman"/>
                <w:sz w:val="24"/>
                <w:szCs w:val="24"/>
              </w:rPr>
            </w:pPr>
            <w:r w:rsidRPr="009448F5">
              <w:rPr>
                <w:rFonts w:ascii="Times New Roman" w:hAnsi="Times New Roman" w:cs="Times New Roman"/>
                <w:sz w:val="24"/>
                <w:szCs w:val="24"/>
              </w:rPr>
              <w:t>Vilniaus universiteto ligoninė Santariškių klinikos</w:t>
            </w: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1) Remiamų veiklų sąrašą (10 p.) siūlome papildyti veikla: </w:t>
            </w:r>
            <w:r w:rsidRPr="009448F5">
              <w:rPr>
                <w:rFonts w:ascii="Times New Roman" w:hAnsi="Times New Roman" w:cs="Times New Roman"/>
                <w:b/>
                <w:sz w:val="24"/>
                <w:szCs w:val="24"/>
              </w:rPr>
              <w:t>Investicinė pagalba</w:t>
            </w:r>
            <w:r w:rsidRPr="009448F5">
              <w:rPr>
                <w:rFonts w:ascii="Times New Roman" w:hAnsi="Times New Roman" w:cs="Times New Roman"/>
                <w:sz w:val="24"/>
                <w:szCs w:val="24"/>
              </w:rPr>
              <w:t xml:space="preserve"> </w:t>
            </w:r>
            <w:r w:rsidRPr="009448F5">
              <w:rPr>
                <w:rFonts w:ascii="Times New Roman" w:hAnsi="Times New Roman" w:cs="Times New Roman"/>
                <w:b/>
                <w:sz w:val="24"/>
                <w:szCs w:val="24"/>
              </w:rPr>
              <w:t xml:space="preserve">mokslinių tyrimų infrastruktūroms (MTI) </w:t>
            </w:r>
            <w:r w:rsidRPr="009448F5">
              <w:rPr>
                <w:rFonts w:ascii="Times New Roman" w:hAnsi="Times New Roman" w:cs="Times New Roman"/>
                <w:sz w:val="24"/>
                <w:szCs w:val="24"/>
              </w:rPr>
              <w:t>pgl. Reglamento 26 str.</w:t>
            </w:r>
            <w:r w:rsidRPr="009448F5">
              <w:rPr>
                <w:rFonts w:ascii="Times New Roman" w:hAnsi="Times New Roman" w:cs="Times New Roman"/>
                <w:b/>
                <w:sz w:val="24"/>
                <w:szCs w:val="24"/>
              </w:rPr>
              <w:t xml:space="preserve"> </w:t>
            </w:r>
            <w:r w:rsidRPr="009448F5">
              <w:rPr>
                <w:rFonts w:ascii="Times New Roman" w:hAnsi="Times New Roman" w:cs="Times New Roman"/>
                <w:sz w:val="24"/>
                <w:szCs w:val="24"/>
              </w:rPr>
              <w:t>ir atitinkamai papildyti Aprašo 13 p. nuoroda į Bendrojo bendrosios išimties reglamento 26 str. (ne tik į  14 str. ir 25 str.), arba kitaip  tikslinti  veiklų aprašą, kad būtų galima taikyti pagalbą ir remiantis 26 Reglamento str. (Užtikrinant, kad tokiuose projektuose nebūtų įsigyjama įranga, kuri jau yra APC ir klasteriuose, galima nurodyti tokį reikalavimą Apraše.)</w:t>
            </w:r>
          </w:p>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Argumentai – pagal 26 str. tikėtinas didesnis paramos  intensyvumas – iki 50 proc. ir nekalbama apie išlaidų kompensavimą tik nusidėvėjimui (kaip  reglamentuoja 25 str.), taip pat neskirstomas finansavimo intensyvumas pagal  įmonių  dydį.</w:t>
            </w:r>
          </w:p>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Poreikis naujoms MTI išliks, nes įranga greitai sensta, atsiranda nauja pažangesnė, tad reikėtų sudaryti sąlygas procesui vystytis, o ne prisirišti tik prie 2007–2013 m įsigytos įrangos APC.   Reglamento 2 str. 91 p. numato: </w:t>
            </w:r>
            <w:r w:rsidRPr="009448F5">
              <w:rPr>
                <w:rFonts w:ascii="Times New Roman" w:hAnsi="Times New Roman" w:cs="Times New Roman"/>
                <w:i/>
                <w:sz w:val="24"/>
                <w:szCs w:val="24"/>
              </w:rPr>
              <w:t>„Mokslinių tyrimų infrastruktūra – priemonės, ištekliai ir susijusios paslaugos, kuriais, vykdydama tam tikrų sričių mokslinius tyrimus, naudojasi mokslo bendruomenė ir kurie apima mokslinę įrangą ar mokslinių tyrimų medžiagą, žinių šaltinius, etc...“</w:t>
            </w:r>
            <w:r w:rsidRPr="009448F5">
              <w:rPr>
                <w:rFonts w:ascii="Times New Roman" w:hAnsi="Times New Roman" w:cs="Times New Roman"/>
                <w:sz w:val="24"/>
                <w:szCs w:val="24"/>
              </w:rPr>
              <w:t xml:space="preserve"> </w:t>
            </w:r>
          </w:p>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Į nuomonę, kad šiuo atveju  minima naudos gavėja – mokslo bendruomenė, o ŪM remia įmones, pažymime, kad  mokslo </w:t>
            </w:r>
            <w:r w:rsidRPr="009448F5">
              <w:rPr>
                <w:rFonts w:ascii="Times New Roman" w:hAnsi="Times New Roman" w:cs="Times New Roman"/>
                <w:sz w:val="24"/>
                <w:szCs w:val="24"/>
              </w:rPr>
              <w:lastRenderedPageBreak/>
              <w:t xml:space="preserve">bendruomenė šiuo atveju neturėtų būti prieš pastatoma  įmonei, kaip galimam pareiškėjui, nes tik mokslo bendruomenė  ir gali dirbti su mokslo tyrimo infrastruktūra, o mokslininkai, kaip mokslo bendruomenės atstovai dirba juridiniuose asmenyse – įmonėse ar įstaigose, galinčiose būti pareiškėjais pagal Aprašą. </w:t>
            </w:r>
          </w:p>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Įmonių ar VšĮ, vykdančių tyrimus  investicijos į MTI arba į MTEP yra labai rizikingos, todėl ypač svarbu užtikrinti maksimaliai didžiausią leistiną paramos intensyvumą.</w:t>
            </w:r>
          </w:p>
        </w:tc>
        <w:tc>
          <w:tcPr>
            <w:tcW w:w="1583" w:type="dxa"/>
          </w:tcPr>
          <w:p w:rsidR="00E17F09" w:rsidRPr="009448F5" w:rsidRDefault="00C6485A"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Neatsižvelgta.</w:t>
            </w:r>
          </w:p>
        </w:tc>
        <w:tc>
          <w:tcPr>
            <w:tcW w:w="4883" w:type="dxa"/>
          </w:tcPr>
          <w:p w:rsidR="002B37B7" w:rsidRPr="009448F5" w:rsidRDefault="00C6485A" w:rsidP="002B37B7">
            <w:pPr>
              <w:jc w:val="both"/>
              <w:rPr>
                <w:rFonts w:ascii="Times New Roman" w:hAnsi="Times New Roman" w:cs="Times New Roman"/>
                <w:sz w:val="24"/>
                <w:szCs w:val="24"/>
              </w:rPr>
            </w:pPr>
            <w:r w:rsidRPr="009448F5">
              <w:rPr>
                <w:rFonts w:ascii="Times New Roman" w:hAnsi="Times New Roman" w:cs="Times New Roman"/>
                <w:sz w:val="24"/>
                <w:szCs w:val="24"/>
              </w:rPr>
              <w:t xml:space="preserve">Pažymime, kad Bendrojo bendrosios išimties reglamento 26 straipsnis numato investicinę pagalbą mokslinių tyrimų infrastruktūroms. Mokslinių tyrimų infrastruktūra minėto reglamento 2 straipsnio </w:t>
            </w:r>
            <w:r w:rsidR="002B37B7" w:rsidRPr="009448F5">
              <w:rPr>
                <w:rFonts w:ascii="Times New Roman" w:hAnsi="Times New Roman" w:cs="Times New Roman"/>
                <w:sz w:val="24"/>
                <w:szCs w:val="24"/>
              </w:rPr>
              <w:t xml:space="preserve">91 punkte apibrėžiama taip: „mokslinių tyrimų infrastruktūra – priemonės, ištekliai ir susijusios paslaugos, kuriais, vykdydama tam tikrų sričių mokslinius tyrimus, naudojasi mokslo bendruomenė ir kurie apima mokslinę įrangą ar mokslinių tyrimų medžiagą, žinių šaltinius, pavyzdžiui, rinkinius, archyvus ar struktūrizuotą mokslinę informaciją, informacinėmis ir ryšių technologijomis grindžiamas didelio poveikio infrastruktūras, pavyzdžiui, GRID tinklą, kompiuterinę įrangą, programinę įrangą ir ryšio priemones arba bet kurias kitas išskirtines, moksliniams tyrimams vykdyti būtinas priemones“. Mūsų nuomone, pagal priemonę numatoma finansuoti infrastruktūra neatitinka šio apibrėžimo, todėl Bendrojo bendrosios išimties reglamento 26 straipsnis šiuo atveju negali būti taikomas. Taip pat pažymime, kad kylant skirtingam sąvokos „mokslinių tyrimų </w:t>
            </w:r>
            <w:r w:rsidR="002B37B7" w:rsidRPr="009448F5">
              <w:rPr>
                <w:rFonts w:ascii="Times New Roman" w:hAnsi="Times New Roman" w:cs="Times New Roman"/>
                <w:sz w:val="24"/>
                <w:szCs w:val="24"/>
              </w:rPr>
              <w:lastRenderedPageBreak/>
              <w:t>infrastruktūros“ traktavimui artimiausiu metu dėl šio klausimo bus organizuojamas susitikimas su Lietuvos Respublikos konkurencijos taryba.</w:t>
            </w:r>
          </w:p>
        </w:tc>
      </w:tr>
      <w:tr w:rsidR="00E17F09" w:rsidRPr="009448F5" w:rsidTr="00E974B2">
        <w:trPr>
          <w:trHeight w:val="254"/>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2) </w:t>
            </w:r>
            <w:r w:rsidRPr="009448F5">
              <w:t xml:space="preserve"> </w:t>
            </w:r>
            <w:r w:rsidRPr="009448F5">
              <w:rPr>
                <w:rFonts w:ascii="Times New Roman" w:hAnsi="Times New Roman" w:cs="Times New Roman"/>
                <w:sz w:val="24"/>
                <w:szCs w:val="24"/>
              </w:rPr>
              <w:t>Siūlome tikslinti 10.2 p. formuluotę, nes šiuo metu ją skaitant atsiranda skirtingos interpretacijos ir dviprasmybė: iš vienos pusės gali atrodyti, kad bus remiama tik „uždara“ MTI, kad niekas ja negalėtų naudotis, iš kitos pusės gali atrodyti, kad remiama tik tokia MTI, kurios nėra APC ir klasteriuose. Jeigu ŪM tikslas būtent pastarasis, tai reikėtų aiškiau ir tiksliau formuluoti.</w:t>
            </w:r>
          </w:p>
        </w:tc>
        <w:tc>
          <w:tcPr>
            <w:tcW w:w="1583" w:type="dxa"/>
          </w:tcPr>
          <w:p w:rsidR="00E17F09" w:rsidRPr="009448F5" w:rsidRDefault="002B37B7" w:rsidP="00776B3B">
            <w:pPr>
              <w:rPr>
                <w:rFonts w:ascii="Times New Roman" w:hAnsi="Times New Roman" w:cs="Times New Roman"/>
                <w:sz w:val="24"/>
                <w:szCs w:val="24"/>
              </w:rPr>
            </w:pPr>
            <w:r w:rsidRPr="009448F5">
              <w:rPr>
                <w:rFonts w:ascii="Times New Roman" w:hAnsi="Times New Roman" w:cs="Times New Roman"/>
                <w:sz w:val="24"/>
                <w:szCs w:val="24"/>
              </w:rPr>
              <w:t>Neatsižvelgta.</w:t>
            </w:r>
          </w:p>
        </w:tc>
        <w:tc>
          <w:tcPr>
            <w:tcW w:w="4883" w:type="dxa"/>
          </w:tcPr>
          <w:p w:rsidR="002B37B7" w:rsidRPr="009448F5" w:rsidRDefault="002B37B7" w:rsidP="002B37B7">
            <w:pPr>
              <w:jc w:val="both"/>
              <w:rPr>
                <w:rFonts w:ascii="Times New Roman" w:hAnsi="Times New Roman" w:cs="Times New Roman"/>
                <w:sz w:val="24"/>
                <w:szCs w:val="24"/>
              </w:rPr>
            </w:pPr>
            <w:r w:rsidRPr="009448F5">
              <w:rPr>
                <w:rFonts w:ascii="Times New Roman" w:hAnsi="Times New Roman" w:cs="Times New Roman"/>
                <w:sz w:val="24"/>
                <w:szCs w:val="24"/>
              </w:rPr>
              <w:t>Aprašo 10.2 papunktyje nurodyta remiama veikla yra „įmonių pradinės investicijos, kuriomis kuriama naujos ar plečiama esamos įmonės MTEP ir inovacijų infrastruktūra bei kuri nėra prieinama viešai arba klasteriuose“. Tai reiškia, kad jeigu viešai arba klasteriuose yra prieinama pareiškėjui reikalinga infrastruktūra, tai tokiai infrastruktūrai sukurti ir (ar) išplėsti pagal Aprašą finansavimas negali būti skiriamas.</w:t>
            </w:r>
          </w:p>
          <w:p w:rsidR="002B37B7" w:rsidRPr="009448F5" w:rsidRDefault="002B37B7" w:rsidP="00776B3B">
            <w:pPr>
              <w:jc w:val="both"/>
              <w:rPr>
                <w:rFonts w:ascii="Times New Roman" w:hAnsi="Times New Roman" w:cs="Times New Roman"/>
                <w:sz w:val="24"/>
                <w:szCs w:val="24"/>
              </w:rPr>
            </w:pPr>
          </w:p>
        </w:tc>
      </w:tr>
      <w:tr w:rsidR="00E17F09" w:rsidRPr="009448F5" w:rsidTr="00E974B2">
        <w:trPr>
          <w:trHeight w:val="116"/>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3) 11 p. terminas 2015 m. III ketv. mažai realus – siūlome numatyti realesnius  terminus (ne anksčiau IV ketv.).</w:t>
            </w:r>
          </w:p>
        </w:tc>
        <w:tc>
          <w:tcPr>
            <w:tcW w:w="1583" w:type="dxa"/>
          </w:tcPr>
          <w:p w:rsidR="00E17F09" w:rsidRPr="009448F5" w:rsidRDefault="00B42435" w:rsidP="00776B3B">
            <w:pPr>
              <w:rPr>
                <w:rFonts w:ascii="Times New Roman" w:hAnsi="Times New Roman" w:cs="Times New Roman"/>
                <w:sz w:val="24"/>
                <w:szCs w:val="24"/>
              </w:rPr>
            </w:pPr>
            <w:r w:rsidRPr="009448F5">
              <w:rPr>
                <w:rFonts w:ascii="Times New Roman" w:hAnsi="Times New Roman" w:cs="Times New Roman"/>
                <w:sz w:val="24"/>
                <w:szCs w:val="24"/>
              </w:rPr>
              <w:t>Atsižvelgta iš dalies.</w:t>
            </w:r>
          </w:p>
        </w:tc>
        <w:tc>
          <w:tcPr>
            <w:tcW w:w="4883" w:type="dxa"/>
          </w:tcPr>
          <w:p w:rsidR="00E17F09" w:rsidRPr="009448F5" w:rsidRDefault="00AD1317" w:rsidP="00826CFE">
            <w:pPr>
              <w:jc w:val="both"/>
              <w:rPr>
                <w:rFonts w:ascii="Times New Roman" w:hAnsi="Times New Roman" w:cs="Times New Roman"/>
                <w:sz w:val="24"/>
                <w:szCs w:val="24"/>
              </w:rPr>
            </w:pPr>
            <w:r w:rsidRPr="009448F5">
              <w:rPr>
                <w:rFonts w:ascii="Times New Roman" w:hAnsi="Times New Roman" w:cs="Times New Roman"/>
                <w:sz w:val="24"/>
                <w:szCs w:val="24"/>
              </w:rPr>
              <w:t>Ūkio ministerija deda visas pastangas kvietimus teikti paraiškas paskelbti kaip galima skubiau. Tvirtinamame Apraše kvietimo paskelbimo terminas bus patikslintas į IV ketv. tuo atveju, jeigu Aprašo nepavyks suderinti ir patvirtinti III ketv.</w:t>
            </w:r>
          </w:p>
        </w:tc>
      </w:tr>
      <w:tr w:rsidR="00E17F09" w:rsidRPr="009448F5" w:rsidTr="00E974B2">
        <w:trPr>
          <w:trHeight w:val="14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4) 13 p. siūlome pildyti  reglamento 26 str.</w:t>
            </w:r>
          </w:p>
        </w:tc>
        <w:tc>
          <w:tcPr>
            <w:tcW w:w="1583" w:type="dxa"/>
          </w:tcPr>
          <w:p w:rsidR="00E17F09" w:rsidRPr="009448F5" w:rsidRDefault="002B37B7" w:rsidP="00776B3B">
            <w:pPr>
              <w:rPr>
                <w:rFonts w:ascii="Times New Roman" w:hAnsi="Times New Roman" w:cs="Times New Roman"/>
                <w:sz w:val="24"/>
                <w:szCs w:val="24"/>
              </w:rPr>
            </w:pPr>
            <w:r w:rsidRPr="009448F5">
              <w:rPr>
                <w:rFonts w:ascii="Times New Roman" w:hAnsi="Times New Roman" w:cs="Times New Roman"/>
                <w:sz w:val="24"/>
                <w:szCs w:val="24"/>
              </w:rPr>
              <w:t>Neatsižvelgta.</w:t>
            </w:r>
          </w:p>
        </w:tc>
        <w:tc>
          <w:tcPr>
            <w:tcW w:w="4883" w:type="dxa"/>
          </w:tcPr>
          <w:p w:rsidR="00E17F09" w:rsidRPr="009448F5" w:rsidRDefault="002B37B7"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Paaiškinimas pateiktas atsakant į Jūsų pastabą Nr. 1. </w:t>
            </w:r>
          </w:p>
        </w:tc>
      </w:tr>
      <w:tr w:rsidR="00E17F09" w:rsidRPr="009448F5" w:rsidTr="00E974B2">
        <w:trPr>
          <w:trHeight w:val="294"/>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5) </w:t>
            </w:r>
            <w:r w:rsidRPr="009448F5">
              <w:t xml:space="preserve"> </w:t>
            </w:r>
            <w:r w:rsidRPr="009448F5">
              <w:rPr>
                <w:rFonts w:ascii="Times New Roman" w:hAnsi="Times New Roman" w:cs="Times New Roman"/>
                <w:sz w:val="24"/>
                <w:szCs w:val="24"/>
              </w:rPr>
              <w:t>Dėl 16 p. Partnerių statusas reglamentuojamas tik 10.1 veiklai.</w:t>
            </w:r>
          </w:p>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i/>
                <w:sz w:val="24"/>
                <w:szCs w:val="24"/>
              </w:rPr>
              <w:t>Klausimas</w:t>
            </w:r>
            <w:r w:rsidRPr="009448F5">
              <w:rPr>
                <w:rFonts w:ascii="Times New Roman" w:hAnsi="Times New Roman" w:cs="Times New Roman"/>
                <w:sz w:val="24"/>
                <w:szCs w:val="24"/>
              </w:rPr>
              <w:t>: Ar 10.2 veiklai partneriai nereglamentuojami? Siūlome tikslinti dėl aiškumo.</w:t>
            </w:r>
          </w:p>
        </w:tc>
        <w:tc>
          <w:tcPr>
            <w:tcW w:w="1583" w:type="dxa"/>
          </w:tcPr>
          <w:p w:rsidR="00E17F09" w:rsidRPr="009448F5" w:rsidRDefault="002B37B7" w:rsidP="00776B3B">
            <w:pPr>
              <w:rPr>
                <w:rFonts w:ascii="Times New Roman" w:hAnsi="Times New Roman" w:cs="Times New Roman"/>
                <w:sz w:val="24"/>
                <w:szCs w:val="24"/>
              </w:rPr>
            </w:pPr>
            <w:r w:rsidRPr="009448F5">
              <w:rPr>
                <w:rFonts w:ascii="Times New Roman" w:hAnsi="Times New Roman" w:cs="Times New Roman"/>
                <w:sz w:val="24"/>
                <w:szCs w:val="24"/>
              </w:rPr>
              <w:t xml:space="preserve">Atsakyta. </w:t>
            </w:r>
          </w:p>
        </w:tc>
        <w:tc>
          <w:tcPr>
            <w:tcW w:w="4883" w:type="dxa"/>
          </w:tcPr>
          <w:p w:rsidR="00E17F09" w:rsidRPr="009448F5" w:rsidRDefault="002B37B7" w:rsidP="002B37B7">
            <w:pPr>
              <w:jc w:val="both"/>
              <w:rPr>
                <w:rFonts w:ascii="Times New Roman" w:hAnsi="Times New Roman" w:cs="Times New Roman"/>
                <w:sz w:val="24"/>
                <w:szCs w:val="24"/>
              </w:rPr>
            </w:pPr>
            <w:r w:rsidRPr="009448F5">
              <w:rPr>
                <w:rFonts w:ascii="Times New Roman" w:hAnsi="Times New Roman" w:cs="Times New Roman"/>
                <w:sz w:val="24"/>
                <w:szCs w:val="24"/>
              </w:rPr>
              <w:t>Aprašo 10.2 papunktyje nurodyta veikla įgyvendinama be partnerių.</w:t>
            </w:r>
          </w:p>
        </w:tc>
      </w:tr>
      <w:tr w:rsidR="00E17F09" w:rsidRPr="009448F5" w:rsidTr="00E974B2">
        <w:trPr>
          <w:trHeight w:val="22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6) 22.3 p. siūlome tikslinti terminą Verslo vizija, praplečiant viešojo intereso tenkinimu.</w:t>
            </w:r>
          </w:p>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Argumentai – pareiškėjai – Viešosios įstaigos, vykdančios mokslinius tyrimus vykdo veiklą remiantis Viešųjų įstaigų </w:t>
            </w:r>
            <w:r w:rsidRPr="009448F5">
              <w:rPr>
                <w:rFonts w:ascii="Times New Roman" w:hAnsi="Times New Roman" w:cs="Times New Roman"/>
                <w:sz w:val="24"/>
                <w:szCs w:val="24"/>
              </w:rPr>
              <w:lastRenderedPageBreak/>
              <w:t>įstatymu, kur</w:t>
            </w:r>
            <w:r w:rsidRPr="009448F5">
              <w:rPr>
                <w:rFonts w:ascii="Times New Roman" w:hAnsi="Times New Roman" w:cs="Times New Roman"/>
                <w:i/>
                <w:sz w:val="24"/>
                <w:szCs w:val="24"/>
              </w:rPr>
              <w:t xml:space="preserve">.. „1. Viešoji įstaiga – tai pagal šį ir kitus įstatymus įsteigtas </w:t>
            </w:r>
            <w:r w:rsidRPr="009448F5">
              <w:rPr>
                <w:rFonts w:ascii="Times New Roman" w:hAnsi="Times New Roman" w:cs="Times New Roman"/>
                <w:b/>
                <w:i/>
                <w:sz w:val="24"/>
                <w:szCs w:val="24"/>
              </w:rPr>
              <w:t xml:space="preserve">pelno nesiekiantis </w:t>
            </w:r>
            <w:r w:rsidRPr="009448F5">
              <w:rPr>
                <w:rFonts w:ascii="Times New Roman" w:hAnsi="Times New Roman" w:cs="Times New Roman"/>
                <w:i/>
                <w:sz w:val="24"/>
                <w:szCs w:val="24"/>
              </w:rPr>
              <w:t xml:space="preserve">ribotos civilinės atsakomybės viešasis juridinis asmuo, kurio </w:t>
            </w:r>
            <w:r w:rsidRPr="009448F5">
              <w:rPr>
                <w:rFonts w:ascii="Times New Roman" w:hAnsi="Times New Roman" w:cs="Times New Roman"/>
                <w:b/>
                <w:i/>
                <w:sz w:val="24"/>
                <w:szCs w:val="24"/>
              </w:rPr>
              <w:t xml:space="preserve">tikslas – tenkinti viešuosius interesus </w:t>
            </w:r>
            <w:r w:rsidRPr="009448F5">
              <w:rPr>
                <w:rFonts w:ascii="Times New Roman" w:hAnsi="Times New Roman" w:cs="Times New Roman"/>
                <w:i/>
                <w:sz w:val="24"/>
                <w:szCs w:val="24"/>
              </w:rPr>
              <w:t>vykdant švietimo, mokymo ir mokslinę, kultūrinę, sveikatos priežiūros, aplinkos apsaugos, sporto plėtojimo, socialinės ar teisinės pagalbos teikimo, taip pat kitokią visuomenei naudingą veiklą“.</w:t>
            </w:r>
          </w:p>
        </w:tc>
        <w:tc>
          <w:tcPr>
            <w:tcW w:w="1583" w:type="dxa"/>
          </w:tcPr>
          <w:p w:rsidR="00E17F09" w:rsidRPr="009448F5" w:rsidRDefault="00E34C06"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Neatsižvelgta.</w:t>
            </w:r>
          </w:p>
        </w:tc>
        <w:tc>
          <w:tcPr>
            <w:tcW w:w="4883" w:type="dxa"/>
          </w:tcPr>
          <w:p w:rsidR="00E34C06" w:rsidRPr="009448F5" w:rsidRDefault="00E34C06" w:rsidP="00E34C06">
            <w:pPr>
              <w:jc w:val="both"/>
              <w:rPr>
                <w:rFonts w:ascii="Times New Roman" w:hAnsi="Times New Roman" w:cs="Times New Roman"/>
                <w:sz w:val="24"/>
                <w:szCs w:val="24"/>
              </w:rPr>
            </w:pPr>
            <w:r w:rsidRPr="009448F5">
              <w:rPr>
                <w:rFonts w:ascii="Times New Roman" w:hAnsi="Times New Roman" w:cs="Times New Roman"/>
                <w:sz w:val="24"/>
                <w:szCs w:val="24"/>
              </w:rPr>
              <w:t xml:space="preserve">Pažymime, kad šia priemone įgyvendinamas 2014–2020 metų Europos Sąjungos fondų investicijų veiksmų programos 1 prioriteto „Mokslinių tyrimų, eksperimentinės plėtros ir </w:t>
            </w:r>
            <w:r w:rsidRPr="009448F5">
              <w:rPr>
                <w:rFonts w:ascii="Times New Roman" w:hAnsi="Times New Roman" w:cs="Times New Roman"/>
                <w:sz w:val="24"/>
                <w:szCs w:val="24"/>
              </w:rPr>
              <w:lastRenderedPageBreak/>
              <w:t xml:space="preserve">inovacijų skatinimas“ 1.2.1 konkretus uždavinys „Padidinti mokslinių tyrimų, eksperimentinės plėtros ir inovacijų veiklų aktyvumą privačiame sektoriuje“. Taigi, iš esmės priemonė turi būti skirta privačiame sektoriuje veikiantiems subjektams, kurie vykdo ekonominę veiklą. </w:t>
            </w:r>
          </w:p>
          <w:p w:rsidR="00E17F09" w:rsidRPr="009448F5" w:rsidRDefault="00E34C06" w:rsidP="009B4ACF">
            <w:pPr>
              <w:jc w:val="both"/>
              <w:rPr>
                <w:rFonts w:ascii="Times New Roman" w:hAnsi="Times New Roman" w:cs="Times New Roman"/>
                <w:sz w:val="24"/>
                <w:szCs w:val="24"/>
              </w:rPr>
            </w:pPr>
            <w:r w:rsidRPr="009448F5">
              <w:rPr>
                <w:rFonts w:ascii="Times New Roman" w:hAnsi="Times New Roman" w:cs="Times New Roman"/>
                <w:sz w:val="24"/>
                <w:szCs w:val="24"/>
              </w:rPr>
              <w:t>2014 m. viešajam aptarimui paskelbus priemonės aprašymą, kuriame tinkamais pareiškėjais buvo numatyti tik privatieji juridiniai asmenys, buvo gauta pastabų, jog viešosios įstaigos taip pat vykdo ekonominę veiklą bei MTEP, todėl tikslinga tokias įstaigas numatyti tinkamais pareiškėjais. Į pateiktą pastabą buvo atsižvelgta ir tinkamų pareiškėjų sąrašas papildytas, tačiau pažymėtina, kad remiamos veiklos turi būti reikalingos pareišk</w:t>
            </w:r>
            <w:r w:rsidR="009B4ACF" w:rsidRPr="009448F5">
              <w:rPr>
                <w:rFonts w:ascii="Times New Roman" w:hAnsi="Times New Roman" w:cs="Times New Roman"/>
                <w:sz w:val="24"/>
                <w:szCs w:val="24"/>
              </w:rPr>
              <w:t xml:space="preserve">ėjo ekonominei veiklai vykdyti, todėl atitinkamai turi būti reikalingos ir pareiškėjo verslo vizijai įgyvendinti. </w:t>
            </w:r>
          </w:p>
        </w:tc>
      </w:tr>
      <w:tr w:rsidR="00E17F09" w:rsidRPr="009448F5" w:rsidTr="00E974B2">
        <w:trPr>
          <w:trHeight w:val="200"/>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7) 26 p. siūlome suvienodinti  projektų įgyvendinimo trukmę visose veiklose iki 36 mėn.</w:t>
            </w:r>
          </w:p>
        </w:tc>
        <w:tc>
          <w:tcPr>
            <w:tcW w:w="1583" w:type="dxa"/>
          </w:tcPr>
          <w:p w:rsidR="00E17F09" w:rsidRPr="009448F5" w:rsidRDefault="008E6E91" w:rsidP="00776B3B">
            <w:pPr>
              <w:rPr>
                <w:rFonts w:ascii="Times New Roman" w:hAnsi="Times New Roman" w:cs="Times New Roman"/>
                <w:sz w:val="24"/>
                <w:szCs w:val="24"/>
              </w:rPr>
            </w:pPr>
            <w:r w:rsidRPr="009448F5">
              <w:rPr>
                <w:rFonts w:ascii="Times New Roman" w:hAnsi="Times New Roman" w:cs="Times New Roman"/>
                <w:sz w:val="24"/>
                <w:szCs w:val="24"/>
              </w:rPr>
              <w:t>Neatsižvelgta.</w:t>
            </w:r>
          </w:p>
        </w:tc>
        <w:tc>
          <w:tcPr>
            <w:tcW w:w="4883" w:type="dxa"/>
          </w:tcPr>
          <w:p w:rsidR="00E17F09" w:rsidRPr="009448F5" w:rsidRDefault="008E6E91" w:rsidP="008E6E91">
            <w:pPr>
              <w:jc w:val="both"/>
              <w:rPr>
                <w:rFonts w:ascii="Times New Roman" w:hAnsi="Times New Roman" w:cs="Times New Roman"/>
                <w:sz w:val="24"/>
                <w:szCs w:val="24"/>
              </w:rPr>
            </w:pPr>
            <w:r w:rsidRPr="009448F5">
              <w:rPr>
                <w:rFonts w:ascii="Times New Roman" w:hAnsi="Times New Roman" w:cs="Times New Roman"/>
                <w:sz w:val="24"/>
                <w:szCs w:val="24"/>
              </w:rPr>
              <w:t>Jeigu projekte yra numatyta tik MTEP veikla, tai tokia veikla įvykdoma per trumpesnį laiką nei infrastruktūros, reikalingos MTEP veiklai vykdyti, sukūrimo ir (ar) plėtros veikla bei MTEP veikla. Dėl to kai projekte vykdoma tik MTEP veikla, numatyta trumpesnė tokio projekto trukmė.</w:t>
            </w:r>
          </w:p>
        </w:tc>
      </w:tr>
      <w:tr w:rsidR="00E17F09" w:rsidRPr="009448F5" w:rsidTr="00E974B2">
        <w:trPr>
          <w:trHeight w:val="18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8) </w:t>
            </w:r>
            <w:r w:rsidRPr="009448F5">
              <w:t xml:space="preserve"> </w:t>
            </w:r>
            <w:r w:rsidRPr="009448F5">
              <w:rPr>
                <w:rFonts w:ascii="Times New Roman" w:hAnsi="Times New Roman" w:cs="Times New Roman"/>
                <w:sz w:val="24"/>
                <w:szCs w:val="24"/>
              </w:rPr>
              <w:t xml:space="preserve">Siūlytume detalizuoti punktus: 31.2.1. ir </w:t>
            </w:r>
            <w:r w:rsidR="00ED66BB" w:rsidRPr="009448F5">
              <w:rPr>
                <w:rFonts w:ascii="Times New Roman" w:hAnsi="Times New Roman" w:cs="Times New Roman"/>
                <w:sz w:val="24"/>
                <w:szCs w:val="24"/>
              </w:rPr>
              <w:t xml:space="preserve"> </w:t>
            </w:r>
            <w:r w:rsidRPr="009448F5">
              <w:rPr>
                <w:rFonts w:ascii="Times New Roman" w:hAnsi="Times New Roman" w:cs="Times New Roman"/>
                <w:sz w:val="24"/>
                <w:szCs w:val="24"/>
              </w:rPr>
              <w:t>67.11</w:t>
            </w:r>
            <w:r w:rsidR="009B4ACF" w:rsidRPr="009448F5">
              <w:rPr>
                <w:rFonts w:ascii="Times New Roman" w:hAnsi="Times New Roman" w:cs="Times New Roman"/>
                <w:sz w:val="24"/>
                <w:szCs w:val="24"/>
              </w:rPr>
              <w:t xml:space="preserve"> </w:t>
            </w:r>
            <w:r w:rsidRPr="009448F5">
              <w:rPr>
                <w:rFonts w:ascii="Times New Roman" w:hAnsi="Times New Roman" w:cs="Times New Roman"/>
                <w:sz w:val="24"/>
                <w:szCs w:val="24"/>
              </w:rPr>
              <w:t xml:space="preserve">p. -.. numatant projekte naują statybą, rekonstrukciją ar kapitalinį remontą, pareiškėjas iki paraiškos pateikimo turi būti parengęs statinio statybos, rekonstravimo ar kapitalinio remonto techninį projektą, parengtą teisės aktų nustatyta tvarka; - </w:t>
            </w:r>
            <w:r w:rsidRPr="009448F5">
              <w:rPr>
                <w:rFonts w:ascii="Times New Roman" w:hAnsi="Times New Roman" w:cs="Times New Roman"/>
                <w:b/>
                <w:sz w:val="24"/>
                <w:szCs w:val="24"/>
              </w:rPr>
              <w:t>tikslinga  aiškiai nurodyti, kad techninio projekto ekspertizė ar statybos leidimas paraiškos pateikimo metu dar  nėra būtini.</w:t>
            </w:r>
          </w:p>
        </w:tc>
        <w:tc>
          <w:tcPr>
            <w:tcW w:w="1583" w:type="dxa"/>
          </w:tcPr>
          <w:p w:rsidR="00E17F09" w:rsidRPr="009448F5" w:rsidRDefault="009B4ACF" w:rsidP="00776B3B">
            <w:pPr>
              <w:rPr>
                <w:rFonts w:ascii="Times New Roman" w:hAnsi="Times New Roman" w:cs="Times New Roman"/>
                <w:sz w:val="24"/>
                <w:szCs w:val="24"/>
              </w:rPr>
            </w:pPr>
            <w:r w:rsidRPr="009448F5">
              <w:rPr>
                <w:rFonts w:ascii="Times New Roman" w:hAnsi="Times New Roman" w:cs="Times New Roman"/>
                <w:sz w:val="24"/>
                <w:szCs w:val="24"/>
              </w:rPr>
              <w:t>Atsižvelgta.</w:t>
            </w:r>
          </w:p>
        </w:tc>
        <w:tc>
          <w:tcPr>
            <w:tcW w:w="4883" w:type="dxa"/>
          </w:tcPr>
          <w:p w:rsidR="00E17F09" w:rsidRPr="009448F5" w:rsidRDefault="009B4ACF" w:rsidP="009B4ACF">
            <w:pPr>
              <w:jc w:val="both"/>
              <w:rPr>
                <w:rFonts w:ascii="Times New Roman" w:hAnsi="Times New Roman" w:cs="Times New Roman"/>
                <w:sz w:val="24"/>
                <w:szCs w:val="24"/>
              </w:rPr>
            </w:pPr>
            <w:r w:rsidRPr="009448F5">
              <w:rPr>
                <w:rFonts w:ascii="Times New Roman" w:hAnsi="Times New Roman" w:cs="Times New Roman"/>
                <w:sz w:val="24"/>
                <w:szCs w:val="24"/>
              </w:rPr>
              <w:t>Statybos leidimas paraiškos pateikimo nėra būtinas. Klausimas dėl techninio projekto ekspertizės reikalingumo šiuo metu nagrinėjamas, siekiant išsiaiškinti, ar nesant tokios ekspertizės būtų laikoma, jog techninis projektas parengtas teisės aktų nustatyta tvarka ir pan.</w:t>
            </w:r>
          </w:p>
        </w:tc>
      </w:tr>
      <w:tr w:rsidR="00E17F09" w:rsidRPr="009448F5" w:rsidTr="00E974B2">
        <w:trPr>
          <w:trHeight w:val="640"/>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9) 37 p. ir 39 p. siūlome papildyti  veikla </w:t>
            </w:r>
            <w:r w:rsidRPr="009448F5">
              <w:rPr>
                <w:rFonts w:ascii="Times New Roman" w:hAnsi="Times New Roman" w:cs="Times New Roman"/>
                <w:b/>
                <w:sz w:val="24"/>
                <w:szCs w:val="24"/>
              </w:rPr>
              <w:t>Investicinė pagalba</w:t>
            </w:r>
            <w:r w:rsidRPr="009448F5">
              <w:rPr>
                <w:rFonts w:ascii="Times New Roman" w:hAnsi="Times New Roman" w:cs="Times New Roman"/>
                <w:sz w:val="24"/>
                <w:szCs w:val="24"/>
              </w:rPr>
              <w:t xml:space="preserve"> </w:t>
            </w:r>
            <w:r w:rsidRPr="009448F5">
              <w:rPr>
                <w:rFonts w:ascii="Times New Roman" w:hAnsi="Times New Roman" w:cs="Times New Roman"/>
                <w:b/>
                <w:sz w:val="24"/>
                <w:szCs w:val="24"/>
              </w:rPr>
              <w:t>Mokslinių tyrimų infrastruktūroms (</w:t>
            </w:r>
            <w:r w:rsidRPr="009448F5">
              <w:rPr>
                <w:rFonts w:ascii="Times New Roman" w:hAnsi="Times New Roman" w:cs="Times New Roman"/>
                <w:sz w:val="24"/>
                <w:szCs w:val="24"/>
              </w:rPr>
              <w:t>pgl. Reglamento 26 str</w:t>
            </w:r>
            <w:r w:rsidRPr="009448F5">
              <w:rPr>
                <w:rFonts w:ascii="Times New Roman" w:hAnsi="Times New Roman" w:cs="Times New Roman"/>
                <w:b/>
                <w:sz w:val="24"/>
                <w:szCs w:val="24"/>
              </w:rPr>
              <w:t xml:space="preserve">.) </w:t>
            </w:r>
            <w:r w:rsidRPr="009448F5">
              <w:rPr>
                <w:rFonts w:ascii="Times New Roman" w:hAnsi="Times New Roman" w:cs="Times New Roman"/>
                <w:b/>
                <w:sz w:val="24"/>
                <w:szCs w:val="24"/>
              </w:rPr>
              <w:lastRenderedPageBreak/>
              <w:t xml:space="preserve">ir  numatyti atitinkamus intensyvumus </w:t>
            </w:r>
            <w:r w:rsidRPr="009448F5">
              <w:rPr>
                <w:rFonts w:ascii="Times New Roman" w:hAnsi="Times New Roman" w:cs="Times New Roman"/>
                <w:sz w:val="24"/>
                <w:szCs w:val="24"/>
              </w:rPr>
              <w:t>– iki 50</w:t>
            </w:r>
            <w:r w:rsidR="00826CFE" w:rsidRPr="009448F5">
              <w:rPr>
                <w:rFonts w:ascii="Times New Roman" w:hAnsi="Times New Roman" w:cs="Times New Roman"/>
                <w:sz w:val="24"/>
                <w:szCs w:val="24"/>
              </w:rPr>
              <w:t xml:space="preserve"> </w:t>
            </w:r>
            <w:r w:rsidRPr="009448F5">
              <w:rPr>
                <w:rFonts w:ascii="Times New Roman" w:hAnsi="Times New Roman" w:cs="Times New Roman"/>
                <w:sz w:val="24"/>
                <w:szCs w:val="24"/>
              </w:rPr>
              <w:t>proc.</w:t>
            </w:r>
            <w:r w:rsidR="00826CFE" w:rsidRPr="009448F5">
              <w:rPr>
                <w:rFonts w:ascii="Times New Roman" w:hAnsi="Times New Roman" w:cs="Times New Roman"/>
                <w:sz w:val="24"/>
                <w:szCs w:val="24"/>
              </w:rPr>
              <w:t xml:space="preserve"> </w:t>
            </w:r>
            <w:r w:rsidRPr="009448F5">
              <w:rPr>
                <w:rFonts w:ascii="Times New Roman" w:hAnsi="Times New Roman" w:cs="Times New Roman"/>
                <w:sz w:val="24"/>
                <w:szCs w:val="24"/>
              </w:rPr>
              <w:t>tinkamų finansuoti išlaidų.</w:t>
            </w:r>
          </w:p>
        </w:tc>
        <w:tc>
          <w:tcPr>
            <w:tcW w:w="1583" w:type="dxa"/>
          </w:tcPr>
          <w:p w:rsidR="00E17F09" w:rsidRPr="009448F5" w:rsidRDefault="009B4ACF"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Neatsižvelgta.</w:t>
            </w:r>
          </w:p>
        </w:tc>
        <w:tc>
          <w:tcPr>
            <w:tcW w:w="4883" w:type="dxa"/>
          </w:tcPr>
          <w:p w:rsidR="00E17F09" w:rsidRPr="009448F5" w:rsidRDefault="009B4ACF" w:rsidP="00776B3B">
            <w:pPr>
              <w:jc w:val="both"/>
              <w:rPr>
                <w:rFonts w:ascii="Times New Roman" w:hAnsi="Times New Roman" w:cs="Times New Roman"/>
                <w:sz w:val="24"/>
                <w:szCs w:val="24"/>
              </w:rPr>
            </w:pPr>
            <w:r w:rsidRPr="009448F5">
              <w:rPr>
                <w:rFonts w:ascii="Times New Roman" w:hAnsi="Times New Roman" w:cs="Times New Roman"/>
                <w:sz w:val="24"/>
                <w:szCs w:val="24"/>
              </w:rPr>
              <w:t>Paaiškinimas pateiktas atsakant į Jūsų pastabą Nr. 1.</w:t>
            </w:r>
          </w:p>
        </w:tc>
      </w:tr>
      <w:tr w:rsidR="00E17F09" w:rsidRPr="009448F5" w:rsidTr="00E974B2">
        <w:trPr>
          <w:trHeight w:val="813"/>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10) </w:t>
            </w:r>
            <w:r w:rsidRPr="009448F5">
              <w:rPr>
                <w:rFonts w:ascii="Times New Roman" w:hAnsi="Times New Roman" w:cs="Times New Roman"/>
                <w:i/>
                <w:sz w:val="24"/>
                <w:szCs w:val="24"/>
              </w:rPr>
              <w:t>Klausimas</w:t>
            </w:r>
            <w:r w:rsidRPr="009448F5">
              <w:rPr>
                <w:rFonts w:ascii="Times New Roman" w:hAnsi="Times New Roman" w:cs="Times New Roman"/>
                <w:sz w:val="24"/>
                <w:szCs w:val="24"/>
              </w:rPr>
              <w:t xml:space="preserve"> dėl 39.1 p.: Kuo remiantis paramos intensyvumas pagal Reglamento 14 str. didelėms įmonėms, vidutinėms ir mažoms skiriasi? (atitinkamai – 25, 35, 45 proc.). Ar toks pasiskirstymas taikomas tik 14 straipsniui?</w:t>
            </w:r>
          </w:p>
        </w:tc>
        <w:tc>
          <w:tcPr>
            <w:tcW w:w="1583" w:type="dxa"/>
          </w:tcPr>
          <w:p w:rsidR="00E17F09" w:rsidRPr="009448F5" w:rsidRDefault="00826CFE" w:rsidP="00776B3B">
            <w:pPr>
              <w:rPr>
                <w:rFonts w:ascii="Times New Roman" w:hAnsi="Times New Roman" w:cs="Times New Roman"/>
                <w:sz w:val="24"/>
                <w:szCs w:val="24"/>
              </w:rPr>
            </w:pPr>
            <w:r w:rsidRPr="009448F5">
              <w:rPr>
                <w:rFonts w:ascii="Times New Roman" w:hAnsi="Times New Roman" w:cs="Times New Roman"/>
                <w:sz w:val="24"/>
                <w:szCs w:val="24"/>
              </w:rPr>
              <w:t>Atsakyta į klausimą.</w:t>
            </w:r>
          </w:p>
        </w:tc>
        <w:tc>
          <w:tcPr>
            <w:tcW w:w="4883" w:type="dxa"/>
          </w:tcPr>
          <w:p w:rsidR="0073429F" w:rsidRPr="009448F5" w:rsidRDefault="00C57956" w:rsidP="00C57956">
            <w:pPr>
              <w:jc w:val="both"/>
              <w:rPr>
                <w:rFonts w:ascii="TimesNewRoman,Bold" w:hAnsi="TimesNewRoman,Bold" w:cs="TimesNewRoman,Bold"/>
                <w:bCs/>
                <w:sz w:val="24"/>
                <w:szCs w:val="24"/>
              </w:rPr>
            </w:pPr>
            <w:r w:rsidRPr="009448F5">
              <w:rPr>
                <w:rFonts w:ascii="Times New Roman" w:hAnsi="Times New Roman" w:cs="Times New Roman"/>
                <w:sz w:val="24"/>
                <w:szCs w:val="24"/>
              </w:rPr>
              <w:t xml:space="preserve">2014–2020 metais taikomas regioninės pagalbos Lietuvoje intensyvumas yra nustatytas  regioninės pagalbos žemėlapyje </w:t>
            </w:r>
            <w:r w:rsidRPr="009448F5">
              <w:rPr>
                <w:rFonts w:ascii="TimesNewRoman,Bold" w:hAnsi="TimesNewRoman,Bold" w:cs="TimesNewRoman,Bold"/>
                <w:bCs/>
                <w:i/>
                <w:sz w:val="24"/>
                <w:szCs w:val="24"/>
              </w:rPr>
              <w:t>Valstybės pagalba Nr. SA.38510 (2014/N) – Lietuvos Respublika. 2014–2020 m. regioninės pagalbos žemėlapis</w:t>
            </w:r>
            <w:r w:rsidRPr="009448F5">
              <w:rPr>
                <w:rFonts w:ascii="TimesNewRoman,Bold" w:hAnsi="TimesNewRoman,Bold" w:cs="TimesNewRoman,Bold"/>
                <w:bCs/>
                <w:sz w:val="24"/>
                <w:szCs w:val="24"/>
              </w:rPr>
              <w:t xml:space="preserve">, patvirtintame Europos Komisijos 2014 m. liepos 21 d. sprendimu Nr. C(2014) 3155. Vadovaujantis šiuo sprendimu, atitinkamos nuostatos dėl regioninės pagalbos intensyvumo įtvirtintos ir Lietuvos </w:t>
            </w:r>
            <w:r w:rsidR="0073429F" w:rsidRPr="009448F5">
              <w:rPr>
                <w:rFonts w:ascii="TimesNewRoman,Bold" w:hAnsi="TimesNewRoman,Bold" w:cs="TimesNewRoman,Bold"/>
                <w:bCs/>
                <w:sz w:val="24"/>
                <w:szCs w:val="24"/>
              </w:rPr>
              <w:t>Respublikos Vyriausybės 2014 m. birželio 25 d. nutarime Nr. 571 „Dėl Lietuvos Respublikos 2014–2020 metų  regioninės pagalbos žemėlapio“. Būtent šiuose paminėtuose dokumentuose ir yra nustatytas didžiausias regioninės pagalbos intensyvumas – 25 proc. bei galimybė šį intensyvumą padidinti 10 proc., t. y. iki 35 proc.,  vidutinėms įmonėms 20 proc., t. y. iki 45 proc., labai mažoms ir mažoms įmonėms.</w:t>
            </w:r>
          </w:p>
          <w:p w:rsidR="00C57956" w:rsidRPr="009448F5" w:rsidRDefault="0073429F" w:rsidP="0073429F">
            <w:pPr>
              <w:jc w:val="both"/>
              <w:rPr>
                <w:rFonts w:ascii="Times New Roman" w:hAnsi="Times New Roman" w:cs="Times New Roman"/>
                <w:sz w:val="24"/>
                <w:szCs w:val="24"/>
              </w:rPr>
            </w:pPr>
            <w:r w:rsidRPr="009448F5">
              <w:rPr>
                <w:rFonts w:ascii="TimesNewRoman,Bold" w:hAnsi="TimesNewRoman,Bold" w:cs="TimesNewRoman,Bold"/>
                <w:bCs/>
                <w:sz w:val="24"/>
                <w:szCs w:val="24"/>
              </w:rPr>
              <w:t>Šios nuostatos taikomos tik teikiant regioninę pagalbą.</w:t>
            </w:r>
          </w:p>
        </w:tc>
      </w:tr>
      <w:tr w:rsidR="00E17F09" w:rsidRPr="009448F5" w:rsidTr="00E974B2">
        <w:trPr>
          <w:trHeight w:val="18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3429F">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11) </w:t>
            </w:r>
            <w:r w:rsidRPr="009448F5">
              <w:rPr>
                <w:rFonts w:ascii="Times New Roman" w:hAnsi="Times New Roman" w:cs="Times New Roman"/>
                <w:i/>
                <w:sz w:val="24"/>
                <w:szCs w:val="24"/>
              </w:rPr>
              <w:t xml:space="preserve"> Klausimas</w:t>
            </w:r>
            <w:r w:rsidRPr="009448F5">
              <w:rPr>
                <w:rFonts w:ascii="Times New Roman" w:hAnsi="Times New Roman" w:cs="Times New Roman"/>
                <w:sz w:val="24"/>
                <w:szCs w:val="24"/>
              </w:rPr>
              <w:t>: Kadangi pareiškėjų tarpe yra VŠĮ, vykdančios MTEP, ar būtų galima</w:t>
            </w:r>
            <w:r w:rsidR="0073429F" w:rsidRPr="009448F5">
              <w:rPr>
                <w:rFonts w:ascii="Times New Roman" w:hAnsi="Times New Roman" w:cs="Times New Roman"/>
                <w:sz w:val="24"/>
                <w:szCs w:val="24"/>
              </w:rPr>
              <w:t xml:space="preserve"> </w:t>
            </w:r>
            <w:r w:rsidRPr="009448F5">
              <w:rPr>
                <w:rFonts w:ascii="Times New Roman" w:hAnsi="Times New Roman" w:cs="Times New Roman"/>
                <w:sz w:val="24"/>
                <w:szCs w:val="24"/>
              </w:rPr>
              <w:t>šiai kategorijai pareiškėjų numatyti paramos intensyvumą iki 50 proc.?</w:t>
            </w:r>
          </w:p>
        </w:tc>
        <w:tc>
          <w:tcPr>
            <w:tcW w:w="1583" w:type="dxa"/>
          </w:tcPr>
          <w:p w:rsidR="00E17F09" w:rsidRPr="009448F5" w:rsidRDefault="0073429F" w:rsidP="00776B3B">
            <w:pPr>
              <w:rPr>
                <w:rFonts w:ascii="Times New Roman" w:hAnsi="Times New Roman" w:cs="Times New Roman"/>
                <w:sz w:val="24"/>
                <w:szCs w:val="24"/>
              </w:rPr>
            </w:pPr>
            <w:r w:rsidRPr="009448F5">
              <w:rPr>
                <w:rFonts w:ascii="Times New Roman" w:hAnsi="Times New Roman" w:cs="Times New Roman"/>
                <w:sz w:val="24"/>
                <w:szCs w:val="24"/>
              </w:rPr>
              <w:t>Atsakyta į klausimą.</w:t>
            </w:r>
          </w:p>
        </w:tc>
        <w:tc>
          <w:tcPr>
            <w:tcW w:w="4883" w:type="dxa"/>
          </w:tcPr>
          <w:p w:rsidR="00E17F09" w:rsidRPr="009448F5" w:rsidRDefault="0073429F" w:rsidP="009E1B6B">
            <w:pPr>
              <w:jc w:val="both"/>
              <w:rPr>
                <w:rFonts w:ascii="Times New Roman" w:hAnsi="Times New Roman" w:cs="Times New Roman"/>
                <w:sz w:val="24"/>
                <w:szCs w:val="24"/>
              </w:rPr>
            </w:pPr>
            <w:r w:rsidRPr="009448F5">
              <w:rPr>
                <w:rFonts w:ascii="Times New Roman" w:hAnsi="Times New Roman" w:cs="Times New Roman"/>
                <w:sz w:val="24"/>
                <w:szCs w:val="24"/>
              </w:rPr>
              <w:t xml:space="preserve">Aprašo projekte </w:t>
            </w:r>
            <w:r w:rsidR="009E1B6B" w:rsidRPr="009448F5">
              <w:rPr>
                <w:rFonts w:ascii="Times New Roman" w:hAnsi="Times New Roman" w:cs="Times New Roman"/>
                <w:sz w:val="24"/>
                <w:szCs w:val="24"/>
              </w:rPr>
              <w:t xml:space="preserve">finansavimo intensyvumai numatyti vadovaujantis Bendruoju bendrosios išimties reglamentu, priklausomai nuo to, pagal kurį reglamento straipsnį – 14 ar 25 – būtų teikiama pagalba. Pažymėtina, kad nustatyti didžiausi pagal reglamentą leidžiami finansavimo intensyvumai. Galimybės nustatyti 50 proc. finansavimo intensyvumą būtent viešosioms įstaigoms minėtuose straipsniuose nėra numatyta, todėl atitinkamai tai negali būti </w:t>
            </w:r>
            <w:r w:rsidR="009E1B6B" w:rsidRPr="009448F5">
              <w:rPr>
                <w:rFonts w:ascii="Times New Roman" w:hAnsi="Times New Roman" w:cs="Times New Roman"/>
                <w:sz w:val="24"/>
                <w:szCs w:val="24"/>
              </w:rPr>
              <w:lastRenderedPageBreak/>
              <w:t xml:space="preserve">numatyta ir Apraše. Pažymėtina, kad pagal minėtus straipsnius finansavimo intensyvumo dydį lemia tokios sąlygos kaip kuriai </w:t>
            </w:r>
            <w:r w:rsidR="00F70B70" w:rsidRPr="009448F5">
              <w:rPr>
                <w:rFonts w:ascii="Times New Roman" w:hAnsi="Times New Roman" w:cs="Times New Roman"/>
                <w:sz w:val="24"/>
                <w:szCs w:val="24"/>
              </w:rPr>
              <w:t xml:space="preserve"> </w:t>
            </w:r>
            <w:r w:rsidR="009E1B6B" w:rsidRPr="009448F5">
              <w:rPr>
                <w:rFonts w:ascii="Times New Roman" w:hAnsi="Times New Roman" w:cs="Times New Roman"/>
                <w:sz w:val="24"/>
                <w:szCs w:val="24"/>
              </w:rPr>
              <w:t>kategorijai – didelės, vidutinės ar labai mažos ir mažos įmonės kategorijai – priskiriamas pareiškėjas (14 ir 25 str</w:t>
            </w:r>
            <w:r w:rsidR="00F70B70" w:rsidRPr="009448F5">
              <w:rPr>
                <w:rFonts w:ascii="Times New Roman" w:hAnsi="Times New Roman" w:cs="Times New Roman"/>
                <w:sz w:val="24"/>
                <w:szCs w:val="24"/>
              </w:rPr>
              <w:t>aipsniai), taip pat ar vykdomi taikomieji (pramoniniai) moksliniai tyrimai, ar eksperimentinė plėtra (bandomoji taikomoji veikla) bei ar yra veiksmingai bendradarbiaujama projekte (25 straipsnis).</w:t>
            </w:r>
          </w:p>
        </w:tc>
      </w:tr>
      <w:tr w:rsidR="00E17F09" w:rsidRPr="009448F5" w:rsidTr="00E974B2">
        <w:trPr>
          <w:trHeight w:val="174"/>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12) Siūlome tikslinti 40–44 p. ir  numatyti kad pareiškėjų ir partnerių ti</w:t>
            </w:r>
            <w:r w:rsidR="00552744" w:rsidRPr="009448F5">
              <w:rPr>
                <w:rFonts w:ascii="Times New Roman" w:hAnsi="Times New Roman" w:cs="Times New Roman"/>
                <w:sz w:val="24"/>
                <w:szCs w:val="24"/>
              </w:rPr>
              <w:t xml:space="preserve">nkamų finansuoti išlaidų dalis </w:t>
            </w:r>
            <w:r w:rsidRPr="009448F5">
              <w:rPr>
                <w:rFonts w:ascii="Times New Roman" w:hAnsi="Times New Roman" w:cs="Times New Roman"/>
                <w:sz w:val="24"/>
                <w:szCs w:val="24"/>
              </w:rPr>
              <w:t>gali būti įnešama piniginiu ir nepiniginiu įnašais, tame tarpe projekte dirbančių darbuotojų, pritrauktų ekspertų darbo užmokestis taip pat turėtų būti laikomi tinkamomis  finansuoti išlaidomis.</w:t>
            </w:r>
          </w:p>
        </w:tc>
        <w:tc>
          <w:tcPr>
            <w:tcW w:w="1583" w:type="dxa"/>
          </w:tcPr>
          <w:p w:rsidR="00E17F09" w:rsidRPr="009448F5" w:rsidRDefault="009B4ACF" w:rsidP="00776B3B">
            <w:pPr>
              <w:rPr>
                <w:rFonts w:ascii="Times New Roman" w:hAnsi="Times New Roman" w:cs="Times New Roman"/>
                <w:sz w:val="24"/>
                <w:szCs w:val="24"/>
              </w:rPr>
            </w:pPr>
            <w:r w:rsidRPr="009448F5">
              <w:rPr>
                <w:rFonts w:ascii="Times New Roman" w:hAnsi="Times New Roman" w:cs="Times New Roman"/>
                <w:sz w:val="24"/>
                <w:szCs w:val="24"/>
              </w:rPr>
              <w:t>Neatsižvelgta.</w:t>
            </w:r>
          </w:p>
        </w:tc>
        <w:tc>
          <w:tcPr>
            <w:tcW w:w="4883" w:type="dxa"/>
          </w:tcPr>
          <w:p w:rsidR="00E17F09" w:rsidRPr="009448F5" w:rsidRDefault="009B4ACF" w:rsidP="009B4ACF">
            <w:pPr>
              <w:jc w:val="both"/>
              <w:rPr>
                <w:rFonts w:ascii="Times New Roman" w:hAnsi="Times New Roman" w:cs="Times New Roman"/>
                <w:sz w:val="24"/>
                <w:szCs w:val="24"/>
              </w:rPr>
            </w:pPr>
            <w:r w:rsidRPr="009448F5">
              <w:rPr>
                <w:rFonts w:ascii="Times New Roman" w:hAnsi="Times New Roman" w:cs="Times New Roman"/>
                <w:sz w:val="24"/>
                <w:szCs w:val="24"/>
              </w:rPr>
              <w:t>Kadangi projekto veiklos neatsiejamos nuo pareiškėjo vykdomų ekonominių veiklų, manome, kad pareiškėjo indėlis į projektą turėtų būti tik piniginis. Jeigu partneris mokslo ir studijų institucija, tokio partnerio indėlis gali būti nepiniginis. Kitu atveju, kai projekto partneris – privatusis juridinis asmuo, manome, kad jo indėlis į projektą taip pat turėtų būti tik piniginis.</w:t>
            </w:r>
          </w:p>
        </w:tc>
      </w:tr>
      <w:tr w:rsidR="00E17F09" w:rsidRPr="009448F5" w:rsidTr="00E974B2">
        <w:trPr>
          <w:trHeight w:val="14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13) </w:t>
            </w:r>
            <w:r w:rsidRPr="009448F5">
              <w:rPr>
                <w:i/>
              </w:rPr>
              <w:t xml:space="preserve"> </w:t>
            </w:r>
            <w:r w:rsidRPr="009448F5">
              <w:rPr>
                <w:rFonts w:ascii="Times New Roman" w:hAnsi="Times New Roman" w:cs="Times New Roman"/>
                <w:i/>
                <w:sz w:val="24"/>
                <w:szCs w:val="24"/>
              </w:rPr>
              <w:t>Klausimas</w:t>
            </w:r>
            <w:r w:rsidR="00776B3B" w:rsidRPr="009448F5">
              <w:rPr>
                <w:rFonts w:ascii="Times New Roman" w:hAnsi="Times New Roman" w:cs="Times New Roman"/>
                <w:i/>
                <w:sz w:val="24"/>
                <w:szCs w:val="24"/>
              </w:rPr>
              <w:t xml:space="preserve"> </w:t>
            </w:r>
            <w:r w:rsidRPr="009448F5">
              <w:rPr>
                <w:rFonts w:ascii="Times New Roman" w:hAnsi="Times New Roman" w:cs="Times New Roman"/>
                <w:sz w:val="24"/>
                <w:szCs w:val="24"/>
              </w:rPr>
              <w:t>dėl 46.1 p.: Kuo remiantis lentelės Išlaidų kategorijos – 5, 6, 7 p</w:t>
            </w:r>
            <w:r w:rsidR="00F70B70" w:rsidRPr="009448F5">
              <w:rPr>
                <w:rFonts w:ascii="Times New Roman" w:hAnsi="Times New Roman" w:cs="Times New Roman"/>
                <w:sz w:val="24"/>
                <w:szCs w:val="24"/>
              </w:rPr>
              <w:t>.</w:t>
            </w:r>
            <w:r w:rsidRPr="009448F5">
              <w:rPr>
                <w:rFonts w:ascii="Times New Roman" w:hAnsi="Times New Roman" w:cs="Times New Roman"/>
                <w:sz w:val="24"/>
                <w:szCs w:val="24"/>
              </w:rPr>
              <w:t xml:space="preserve"> – netinkamos finansuoti išlaidos? Siūlome jas laikyti tinkamomis.</w:t>
            </w:r>
          </w:p>
        </w:tc>
        <w:tc>
          <w:tcPr>
            <w:tcW w:w="1583" w:type="dxa"/>
          </w:tcPr>
          <w:p w:rsidR="00E17F09" w:rsidRPr="009448F5" w:rsidRDefault="00F70B70" w:rsidP="00776B3B">
            <w:pPr>
              <w:rPr>
                <w:rFonts w:ascii="Times New Roman" w:hAnsi="Times New Roman" w:cs="Times New Roman"/>
                <w:sz w:val="24"/>
                <w:szCs w:val="24"/>
              </w:rPr>
            </w:pPr>
            <w:r w:rsidRPr="009448F5">
              <w:rPr>
                <w:rFonts w:ascii="Times New Roman" w:hAnsi="Times New Roman" w:cs="Times New Roman"/>
                <w:sz w:val="24"/>
                <w:szCs w:val="24"/>
              </w:rPr>
              <w:t>Neatsižvelgta.</w:t>
            </w:r>
          </w:p>
        </w:tc>
        <w:tc>
          <w:tcPr>
            <w:tcW w:w="4883" w:type="dxa"/>
          </w:tcPr>
          <w:p w:rsidR="00E17F09" w:rsidRPr="009448F5" w:rsidRDefault="00F70B70" w:rsidP="00EA4FC9">
            <w:pPr>
              <w:jc w:val="both"/>
              <w:rPr>
                <w:rFonts w:ascii="Times New Roman" w:hAnsi="Times New Roman" w:cs="Times New Roman"/>
                <w:sz w:val="24"/>
                <w:szCs w:val="24"/>
              </w:rPr>
            </w:pPr>
            <w:r w:rsidRPr="009448F5">
              <w:rPr>
                <w:rFonts w:ascii="Times New Roman" w:hAnsi="Times New Roman" w:cs="Times New Roman"/>
                <w:sz w:val="24"/>
                <w:szCs w:val="24"/>
              </w:rPr>
              <w:t xml:space="preserve">Aprašo projekto 46.1 papunktis taikomas tuomet, kai finansavimas projektui teikiamas kaip regioninė pagalba pagal Bendrojo bendrosios išimties reglamento 14 straipsnį. Šio straipsnio 4 punkto a) dalyje yra išvardintos tinkamos finansuoti išlaidos – investicinės išlaidos į materialųjį ir nematerialųjį turtą. Atsižvelgiant į tai, Aprašo 46.1 papunktyje nustatytos tinkamų finansuoti išlaidų kategorijos. </w:t>
            </w:r>
            <w:r w:rsidR="00EA4FC9" w:rsidRPr="009448F5">
              <w:rPr>
                <w:rFonts w:ascii="Times New Roman" w:hAnsi="Times New Roman" w:cs="Times New Roman"/>
                <w:sz w:val="24"/>
                <w:szCs w:val="24"/>
              </w:rPr>
              <w:t xml:space="preserve">Jūsų siūlomų kategorijų išlaidos nėra investicinės išlaidos į materialųjį ar nematerialųjį turtą, todėl jos yra netinkamos finansuoti išlaidos. </w:t>
            </w:r>
          </w:p>
        </w:tc>
      </w:tr>
      <w:tr w:rsidR="00E17F09" w:rsidRPr="009448F5" w:rsidTr="00E974B2">
        <w:trPr>
          <w:trHeight w:val="114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14) 46.2 papunktyje siūlome tikslinti išlaidų lentelę ir tinkamas pagal Reglamento 25 str. išlaidas ir jų kategorijas aprašyti taip, kaip nurodyta Reglamento 25 str. 3</w:t>
            </w:r>
            <w:r w:rsidR="00EA4FC9" w:rsidRPr="009448F5">
              <w:rPr>
                <w:rFonts w:ascii="Times New Roman" w:hAnsi="Times New Roman" w:cs="Times New Roman"/>
                <w:sz w:val="24"/>
                <w:szCs w:val="24"/>
              </w:rPr>
              <w:t xml:space="preserve"> </w:t>
            </w:r>
            <w:r w:rsidRPr="009448F5">
              <w:rPr>
                <w:rFonts w:ascii="Times New Roman" w:hAnsi="Times New Roman" w:cs="Times New Roman"/>
                <w:sz w:val="24"/>
                <w:szCs w:val="24"/>
              </w:rPr>
              <w:t xml:space="preserve">p. Šiuo metu yra neatitikimų su Reglamento reikalavimais: </w:t>
            </w:r>
          </w:p>
          <w:p w:rsidR="00E17F09" w:rsidRPr="009448F5" w:rsidRDefault="00E17F09" w:rsidP="00776B3B">
            <w:pPr>
              <w:autoSpaceDE w:val="0"/>
              <w:autoSpaceDN w:val="0"/>
              <w:adjustRightInd w:val="0"/>
              <w:jc w:val="both"/>
              <w:rPr>
                <w:rFonts w:ascii="Times New Roman" w:hAnsi="Times New Roman" w:cs="Times New Roman"/>
                <w:sz w:val="24"/>
                <w:szCs w:val="24"/>
              </w:rPr>
            </w:pPr>
            <w:r w:rsidRPr="009448F5">
              <w:rPr>
                <w:rFonts w:ascii="Times New Roman" w:hAnsi="Times New Roman" w:cs="Times New Roman"/>
                <w:b/>
                <w:sz w:val="24"/>
                <w:szCs w:val="24"/>
              </w:rPr>
              <w:t>Pvz.,</w:t>
            </w:r>
            <w:r w:rsidRPr="009448F5">
              <w:rPr>
                <w:rFonts w:ascii="Times New Roman" w:hAnsi="Times New Roman" w:cs="Times New Roman"/>
                <w:sz w:val="24"/>
                <w:szCs w:val="24"/>
              </w:rPr>
              <w:t xml:space="preserve"> Aprašo 46.2. lentelės 3 p. nurodo, kad statyba, rekonstrukcija, remontas ir kiti darbai nefinansuotini, tuo tarpu pagal R. 25 str. 3 p. c dalį prie tinkamų išlaidų priskiriamos – „</w:t>
            </w:r>
            <w:r w:rsidRPr="009448F5">
              <w:rPr>
                <w:rFonts w:ascii="Times New Roman" w:hAnsi="Times New Roman" w:cs="Times New Roman"/>
                <w:i/>
                <w:sz w:val="24"/>
                <w:szCs w:val="24"/>
              </w:rPr>
              <w:t xml:space="preserve">išlaidos pastatams ir žemei, atsižvelgiant į mastą ir laikotarpį, kuriuo jie naudojami projektui. </w:t>
            </w:r>
            <w:r w:rsidRPr="009448F5">
              <w:rPr>
                <w:rFonts w:ascii="Times New Roman" w:hAnsi="Times New Roman" w:cs="Times New Roman"/>
                <w:b/>
                <w:i/>
                <w:sz w:val="24"/>
                <w:szCs w:val="24"/>
              </w:rPr>
              <w:t>Tik tos su pastatais susijusios nusidėvėjimo išlaidos, kurios atitinka projekto trukmę ir yra apskaičiuotos pagal visuotinai priimtus</w:t>
            </w:r>
            <w:r w:rsidRPr="009448F5">
              <w:rPr>
                <w:rFonts w:ascii="Times New Roman" w:hAnsi="Times New Roman" w:cs="Times New Roman"/>
                <w:i/>
                <w:sz w:val="24"/>
                <w:szCs w:val="24"/>
              </w:rPr>
              <w:t xml:space="preserve"> apskaitos principus, laikomos tinkamomis finansuoti. Tinkamas finansuoti išlaidas žemei sudaro komercinio sandorio arba faktinės kapitalo sąnaudos“</w:t>
            </w:r>
            <w:r w:rsidRPr="009448F5">
              <w:rPr>
                <w:rFonts w:ascii="Times New Roman" w:hAnsi="Times New Roman" w:cs="Times New Roman"/>
                <w:sz w:val="24"/>
                <w:szCs w:val="24"/>
              </w:rPr>
              <w:t xml:space="preserve">. Tas pats pasakytina ir apie Aprašo lentelės 4 p. –įranga, įrenginiai ir kitas turtas. Siūlome remtis Reglamento   3 p. b dalimi:  </w:t>
            </w:r>
            <w:r w:rsidRPr="009448F5">
              <w:rPr>
                <w:rFonts w:ascii="Times New Roman" w:hAnsi="Times New Roman" w:cs="Times New Roman"/>
                <w:i/>
                <w:sz w:val="24"/>
                <w:szCs w:val="24"/>
              </w:rPr>
              <w:t>„išlaidos priemonėms ir įrenginiams, atsižvelgiant į mastą ir laikotarpį, kuriuo jie naudojami projektui. Jei šios priemonės ir įrenginiai nenaudojami visą projekto trukmę, tik tos nusidėvėjimo išlaidos, kurios atitinka projekto trukmę ir yra apskaičiuotos pagal visuotinai priimtus apskaitos principus, laikomos tinkamomis finansuoti“.</w:t>
            </w:r>
          </w:p>
        </w:tc>
        <w:tc>
          <w:tcPr>
            <w:tcW w:w="1583" w:type="dxa"/>
          </w:tcPr>
          <w:p w:rsidR="00E17F09" w:rsidRPr="009448F5" w:rsidRDefault="00552744" w:rsidP="00776B3B">
            <w:pPr>
              <w:rPr>
                <w:rFonts w:ascii="Times New Roman" w:hAnsi="Times New Roman" w:cs="Times New Roman"/>
                <w:sz w:val="24"/>
                <w:szCs w:val="24"/>
              </w:rPr>
            </w:pPr>
            <w:r w:rsidRPr="009448F5">
              <w:rPr>
                <w:rFonts w:ascii="Times New Roman" w:hAnsi="Times New Roman" w:cs="Times New Roman"/>
                <w:sz w:val="24"/>
                <w:szCs w:val="24"/>
              </w:rPr>
              <w:t xml:space="preserve">Iš dalies atsižvelgta. </w:t>
            </w:r>
          </w:p>
        </w:tc>
        <w:tc>
          <w:tcPr>
            <w:tcW w:w="4883" w:type="dxa"/>
          </w:tcPr>
          <w:p w:rsidR="00E17F09" w:rsidRPr="009448F5" w:rsidRDefault="00552744" w:rsidP="00552744">
            <w:pPr>
              <w:jc w:val="both"/>
              <w:rPr>
                <w:rFonts w:ascii="Times New Roman" w:hAnsi="Times New Roman" w:cs="Times New Roman"/>
                <w:sz w:val="24"/>
                <w:szCs w:val="24"/>
              </w:rPr>
            </w:pPr>
            <w:r w:rsidRPr="009448F5">
              <w:rPr>
                <w:rFonts w:ascii="Times New Roman" w:hAnsi="Times New Roman" w:cs="Times New Roman"/>
                <w:sz w:val="24"/>
                <w:szCs w:val="24"/>
              </w:rPr>
              <w:t xml:space="preserve">Aprašo 46.2 papunktyje nurodytos išlaidos peržiūrėtos ir netikslumai pakoreguoti. Tačiau atkreiptinas dėmesys, kad Bendrajame bendrosios išimties reglamento 25 straipsnio 3 punkte nurodytos tinkamos finansuoti išlaidos pagalbos teikėjo sprendimu gali būti siaurinamos, t. y. pagalbos teikėjas gali nuspręsti finansuoti ne visas galimas tinkamas išlaidas, bet dalį jų. </w:t>
            </w:r>
          </w:p>
        </w:tc>
      </w:tr>
      <w:tr w:rsidR="00E17F09" w:rsidRPr="009448F5" w:rsidTr="00E974B2">
        <w:trPr>
          <w:trHeight w:val="285"/>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EA4FC9">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15) </w:t>
            </w:r>
            <w:r w:rsidRPr="009448F5">
              <w:t xml:space="preserve"> </w:t>
            </w:r>
            <w:r w:rsidRPr="009448F5">
              <w:rPr>
                <w:rFonts w:ascii="Times New Roman" w:hAnsi="Times New Roman" w:cs="Times New Roman"/>
                <w:sz w:val="24"/>
                <w:szCs w:val="24"/>
              </w:rPr>
              <w:t>Kadangi priemonė yra bendra ŪM ir ŠMM, būtų tikslinga  aptarti ŪM Aprašo sąsajas su ŠMM rengiamais PFSA projektais Sumanioje specializacijoje, šiuo metu trūksta bendro vaizdo kaip ir kas konkrečiai bus  finansuojama dviejų ministerijų. Gal vertėtų sv</w:t>
            </w:r>
            <w:r w:rsidR="00EA4FC9" w:rsidRPr="009448F5">
              <w:rPr>
                <w:rFonts w:ascii="Times New Roman" w:hAnsi="Times New Roman" w:cs="Times New Roman"/>
                <w:sz w:val="24"/>
                <w:szCs w:val="24"/>
              </w:rPr>
              <w:t xml:space="preserve">arstyti kartu, kai bus parengti </w:t>
            </w:r>
            <w:r w:rsidRPr="009448F5">
              <w:rPr>
                <w:rFonts w:ascii="Times New Roman" w:hAnsi="Times New Roman" w:cs="Times New Roman"/>
                <w:sz w:val="24"/>
                <w:szCs w:val="24"/>
              </w:rPr>
              <w:t>ir ŠMM Aprašų projektai.</w:t>
            </w:r>
          </w:p>
        </w:tc>
        <w:tc>
          <w:tcPr>
            <w:tcW w:w="1583" w:type="dxa"/>
          </w:tcPr>
          <w:p w:rsidR="00E17F09" w:rsidRPr="009448F5" w:rsidRDefault="009B4ACF" w:rsidP="00776B3B">
            <w:pPr>
              <w:rPr>
                <w:rFonts w:ascii="Times New Roman" w:hAnsi="Times New Roman" w:cs="Times New Roman"/>
                <w:sz w:val="24"/>
                <w:szCs w:val="24"/>
              </w:rPr>
            </w:pPr>
            <w:r w:rsidRPr="009448F5">
              <w:rPr>
                <w:rFonts w:ascii="Times New Roman" w:hAnsi="Times New Roman" w:cs="Times New Roman"/>
                <w:sz w:val="24"/>
                <w:szCs w:val="24"/>
              </w:rPr>
              <w:t>Atsakyta.</w:t>
            </w:r>
          </w:p>
        </w:tc>
        <w:tc>
          <w:tcPr>
            <w:tcW w:w="4883" w:type="dxa"/>
          </w:tcPr>
          <w:p w:rsidR="00E17F09" w:rsidRPr="009448F5" w:rsidRDefault="009B4ACF" w:rsidP="009B4ACF">
            <w:pPr>
              <w:jc w:val="both"/>
              <w:rPr>
                <w:rFonts w:ascii="Times New Roman" w:hAnsi="Times New Roman" w:cs="Times New Roman"/>
                <w:sz w:val="24"/>
                <w:szCs w:val="24"/>
              </w:rPr>
            </w:pPr>
            <w:r w:rsidRPr="009448F5">
              <w:rPr>
                <w:rFonts w:ascii="Times New Roman" w:hAnsi="Times New Roman" w:cs="Times New Roman"/>
                <w:sz w:val="24"/>
                <w:szCs w:val="24"/>
              </w:rPr>
              <w:t xml:space="preserve">Atkreipiame dėmesį, kad ši priemonė yra jungtinė Ūkio ministerijos ir Švietimo ir mokslo ministerijos priemonė. Priemonės projektų atrankos kriterijai buvo teikiami dviejų ministerijų, Aprašas tvirtinimas taip pat dviejų ministrų įsakymais, todėl derinimas ir suderinimas yra privalomas. </w:t>
            </w:r>
          </w:p>
        </w:tc>
      </w:tr>
      <w:tr w:rsidR="00E17F09" w:rsidRPr="009448F5" w:rsidTr="00E974B2">
        <w:trPr>
          <w:trHeight w:val="34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A4FC9" w:rsidP="00EA4FC9">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16) </w:t>
            </w:r>
            <w:r w:rsidR="00E17F09" w:rsidRPr="009448F5">
              <w:rPr>
                <w:rFonts w:ascii="Times New Roman" w:hAnsi="Times New Roman" w:cs="Times New Roman"/>
                <w:sz w:val="24"/>
                <w:szCs w:val="24"/>
              </w:rPr>
              <w:t>Aprašo projekte</w:t>
            </w:r>
            <w:r w:rsidRPr="009448F5">
              <w:rPr>
                <w:rFonts w:ascii="Times New Roman" w:hAnsi="Times New Roman" w:cs="Times New Roman"/>
                <w:sz w:val="24"/>
                <w:szCs w:val="24"/>
              </w:rPr>
              <w:t xml:space="preserve"> </w:t>
            </w:r>
            <w:r w:rsidR="00E17F09" w:rsidRPr="009448F5">
              <w:rPr>
                <w:rFonts w:ascii="Times New Roman" w:hAnsi="Times New Roman" w:cs="Times New Roman"/>
                <w:sz w:val="24"/>
                <w:szCs w:val="24"/>
              </w:rPr>
              <w:t>nėra aišku</w:t>
            </w:r>
            <w:r w:rsidRPr="009448F5">
              <w:rPr>
                <w:rFonts w:ascii="Times New Roman" w:hAnsi="Times New Roman" w:cs="Times New Roman"/>
                <w:sz w:val="24"/>
                <w:szCs w:val="24"/>
              </w:rPr>
              <w:t>,</w:t>
            </w:r>
            <w:r w:rsidR="00E17F09" w:rsidRPr="009448F5">
              <w:rPr>
                <w:rFonts w:ascii="Times New Roman" w:hAnsi="Times New Roman" w:cs="Times New Roman"/>
                <w:sz w:val="24"/>
                <w:szCs w:val="24"/>
              </w:rPr>
              <w:t xml:space="preserve"> ar pareiškėjas pats gali pasirinkti</w:t>
            </w:r>
            <w:r w:rsidRPr="009448F5">
              <w:rPr>
                <w:rFonts w:ascii="Times New Roman" w:hAnsi="Times New Roman" w:cs="Times New Roman"/>
                <w:sz w:val="24"/>
                <w:szCs w:val="24"/>
              </w:rPr>
              <w:t>,</w:t>
            </w:r>
            <w:r w:rsidR="00E17F09" w:rsidRPr="009448F5">
              <w:rPr>
                <w:rFonts w:ascii="Times New Roman" w:hAnsi="Times New Roman" w:cs="Times New Roman"/>
                <w:sz w:val="24"/>
                <w:szCs w:val="24"/>
              </w:rPr>
              <w:t xml:space="preserve"> kokiu Reglamento straipsniu jis remsis. </w:t>
            </w:r>
          </w:p>
        </w:tc>
        <w:tc>
          <w:tcPr>
            <w:tcW w:w="1583" w:type="dxa"/>
          </w:tcPr>
          <w:p w:rsidR="00E17F09" w:rsidRPr="009448F5" w:rsidRDefault="00EA4FC9" w:rsidP="00776B3B">
            <w:pPr>
              <w:rPr>
                <w:rFonts w:ascii="Times New Roman" w:hAnsi="Times New Roman" w:cs="Times New Roman"/>
                <w:sz w:val="24"/>
                <w:szCs w:val="24"/>
              </w:rPr>
            </w:pPr>
            <w:r w:rsidRPr="009448F5">
              <w:rPr>
                <w:rFonts w:ascii="Times New Roman" w:hAnsi="Times New Roman" w:cs="Times New Roman"/>
                <w:sz w:val="24"/>
                <w:szCs w:val="24"/>
              </w:rPr>
              <w:t xml:space="preserve">Atsižvelgta. </w:t>
            </w:r>
          </w:p>
        </w:tc>
        <w:tc>
          <w:tcPr>
            <w:tcW w:w="4883" w:type="dxa"/>
          </w:tcPr>
          <w:p w:rsidR="00E17F09" w:rsidRPr="009448F5" w:rsidRDefault="00EA4FC9" w:rsidP="00EA4FC9">
            <w:pPr>
              <w:jc w:val="both"/>
              <w:rPr>
                <w:rFonts w:ascii="Times New Roman" w:hAnsi="Times New Roman" w:cs="Times New Roman"/>
                <w:sz w:val="24"/>
                <w:szCs w:val="24"/>
              </w:rPr>
            </w:pPr>
            <w:r w:rsidRPr="009448F5">
              <w:rPr>
                <w:rFonts w:ascii="Times New Roman" w:hAnsi="Times New Roman" w:cs="Times New Roman"/>
                <w:sz w:val="24"/>
                <w:szCs w:val="24"/>
              </w:rPr>
              <w:t xml:space="preserve">Į pateiktą pastabą atsižvelgta, Aprašo nuostatos pakoreguotos taip, kad pareiškėjui būtų aišku, jog jis gali pasirinkti, pagal kurį Bendrojo bendrosios išimties reglamento straipsnį prašo pagalbos. </w:t>
            </w:r>
          </w:p>
        </w:tc>
      </w:tr>
      <w:tr w:rsidR="00E17F09" w:rsidRPr="009448F5" w:rsidTr="00E974B2">
        <w:trPr>
          <w:trHeight w:val="299"/>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pStyle w:val="ListParagraph"/>
              <w:tabs>
                <w:tab w:val="left" w:pos="716"/>
              </w:tabs>
              <w:ind w:left="0"/>
              <w:jc w:val="both"/>
              <w:rPr>
                <w:rFonts w:ascii="Times New Roman" w:hAnsi="Times New Roman" w:cs="Times New Roman"/>
                <w:sz w:val="24"/>
                <w:szCs w:val="24"/>
              </w:rPr>
            </w:pPr>
            <w:r w:rsidRPr="009448F5">
              <w:rPr>
                <w:rFonts w:ascii="Times New Roman" w:hAnsi="Times New Roman" w:cs="Times New Roman"/>
                <w:sz w:val="24"/>
                <w:szCs w:val="24"/>
              </w:rPr>
              <w:t xml:space="preserve">17)  Nėra aišku, ar gali projektas apimti kelias ar visas remiamas veiklas ir kaip tada skaičiuosis bendra projekto finansuojama </w:t>
            </w:r>
            <w:r w:rsidRPr="009448F5">
              <w:rPr>
                <w:rFonts w:ascii="Times New Roman" w:hAnsi="Times New Roman" w:cs="Times New Roman"/>
                <w:sz w:val="24"/>
                <w:szCs w:val="24"/>
              </w:rPr>
              <w:lastRenderedPageBreak/>
              <w:t>suma, nes šiuo atveju skirtingoms veikloms, skirtinga suma.</w:t>
            </w:r>
          </w:p>
        </w:tc>
        <w:tc>
          <w:tcPr>
            <w:tcW w:w="1583" w:type="dxa"/>
          </w:tcPr>
          <w:p w:rsidR="00E17F09" w:rsidRPr="009448F5" w:rsidRDefault="00E726A7" w:rsidP="00776B3B">
            <w:pPr>
              <w:rPr>
                <w:rFonts w:ascii="Times New Roman" w:hAnsi="Times New Roman" w:cs="Times New Roman"/>
                <w:sz w:val="24"/>
                <w:szCs w:val="24"/>
              </w:rPr>
            </w:pPr>
            <w:r w:rsidRPr="009448F5">
              <w:rPr>
                <w:rFonts w:ascii="Times New Roman" w:hAnsi="Times New Roman" w:cs="Times New Roman"/>
                <w:sz w:val="24"/>
                <w:szCs w:val="24"/>
              </w:rPr>
              <w:lastRenderedPageBreak/>
              <w:t>Atsakyta į klausimą.</w:t>
            </w:r>
          </w:p>
        </w:tc>
        <w:tc>
          <w:tcPr>
            <w:tcW w:w="4883" w:type="dxa"/>
          </w:tcPr>
          <w:p w:rsidR="00E17F09" w:rsidRPr="009448F5" w:rsidRDefault="00E726A7" w:rsidP="00E726A7">
            <w:pPr>
              <w:jc w:val="both"/>
              <w:rPr>
                <w:rFonts w:ascii="Times New Roman" w:hAnsi="Times New Roman" w:cs="Times New Roman"/>
                <w:sz w:val="24"/>
                <w:szCs w:val="24"/>
              </w:rPr>
            </w:pPr>
            <w:r w:rsidRPr="009448F5">
              <w:rPr>
                <w:rFonts w:ascii="Times New Roman" w:hAnsi="Times New Roman" w:cs="Times New Roman"/>
                <w:sz w:val="24"/>
                <w:szCs w:val="24"/>
              </w:rPr>
              <w:t xml:space="preserve">Projekte gali būti numatytos ir abi remiamos veiklos, ir viena jų. Jeigu projekte numatytos </w:t>
            </w:r>
            <w:r w:rsidRPr="009448F5">
              <w:rPr>
                <w:rFonts w:ascii="Times New Roman" w:hAnsi="Times New Roman" w:cs="Times New Roman"/>
                <w:sz w:val="24"/>
                <w:szCs w:val="24"/>
              </w:rPr>
              <w:lastRenderedPageBreak/>
              <w:t xml:space="preserve">abi remiamos veiklos, tuomet kiekvienai jų, vadovaujantis atitinkamais Aprašo punktais, bus nustatyta finansavimo suma. </w:t>
            </w:r>
          </w:p>
        </w:tc>
      </w:tr>
      <w:tr w:rsidR="00E17F09" w:rsidRPr="009448F5" w:rsidTr="00E974B2">
        <w:trPr>
          <w:trHeight w:val="86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EA4FC9">
            <w:pPr>
              <w:jc w:val="both"/>
              <w:rPr>
                <w:rFonts w:ascii="Times New Roman" w:hAnsi="Times New Roman" w:cs="Times New Roman"/>
                <w:sz w:val="24"/>
                <w:szCs w:val="24"/>
              </w:rPr>
            </w:pPr>
            <w:r w:rsidRPr="009448F5">
              <w:rPr>
                <w:rFonts w:ascii="Times New Roman" w:hAnsi="Times New Roman" w:cs="Times New Roman"/>
                <w:sz w:val="24"/>
                <w:szCs w:val="24"/>
              </w:rPr>
              <w:t>18) Aprašas labai didelės apimties, gana painus ir sudėtingas. Siūlytina tikslinti taip, kad būtų kuo aiškiau, trumpiau ir paprasčiau.</w:t>
            </w:r>
          </w:p>
        </w:tc>
        <w:tc>
          <w:tcPr>
            <w:tcW w:w="1583" w:type="dxa"/>
          </w:tcPr>
          <w:p w:rsidR="00E17F09" w:rsidRPr="009448F5" w:rsidRDefault="002150FE" w:rsidP="00776B3B">
            <w:pPr>
              <w:rPr>
                <w:rFonts w:ascii="Times New Roman" w:hAnsi="Times New Roman" w:cs="Times New Roman"/>
                <w:sz w:val="24"/>
                <w:szCs w:val="24"/>
              </w:rPr>
            </w:pPr>
            <w:r w:rsidRPr="009448F5">
              <w:rPr>
                <w:rFonts w:ascii="Times New Roman" w:hAnsi="Times New Roman" w:cs="Times New Roman"/>
                <w:sz w:val="24"/>
                <w:szCs w:val="24"/>
              </w:rPr>
              <w:t>Atsižvelgta iš dalies.</w:t>
            </w:r>
          </w:p>
        </w:tc>
        <w:tc>
          <w:tcPr>
            <w:tcW w:w="4883" w:type="dxa"/>
          </w:tcPr>
          <w:p w:rsidR="00E17F09" w:rsidRPr="009448F5" w:rsidRDefault="008C6514" w:rsidP="00E726A7">
            <w:pPr>
              <w:jc w:val="both"/>
              <w:rPr>
                <w:rFonts w:ascii="Times New Roman" w:hAnsi="Times New Roman" w:cs="Times New Roman"/>
                <w:sz w:val="24"/>
                <w:szCs w:val="24"/>
              </w:rPr>
            </w:pPr>
            <w:r w:rsidRPr="009448F5">
              <w:rPr>
                <w:rFonts w:ascii="Times New Roman" w:hAnsi="Times New Roman" w:cs="Times New Roman"/>
                <w:sz w:val="24"/>
                <w:szCs w:val="24"/>
              </w:rPr>
              <w:t>Aprašo struktūra ir nuostatos bus peržiūrėtos siekiant kuo didesnio aiškumo potencialiems pareiškėjams. Tačiau p</w:t>
            </w:r>
            <w:r w:rsidR="002150FE" w:rsidRPr="009448F5">
              <w:rPr>
                <w:rFonts w:ascii="Times New Roman" w:hAnsi="Times New Roman" w:cs="Times New Roman"/>
                <w:sz w:val="24"/>
                <w:szCs w:val="24"/>
              </w:rPr>
              <w:t>ažym</w:t>
            </w:r>
            <w:r w:rsidRPr="009448F5">
              <w:rPr>
                <w:rFonts w:ascii="Times New Roman" w:hAnsi="Times New Roman" w:cs="Times New Roman"/>
                <w:sz w:val="24"/>
                <w:szCs w:val="24"/>
              </w:rPr>
              <w:t xml:space="preserve">ime, kad Aprašo projektas iš esmės negalės būti pakeistas, nes jis </w:t>
            </w:r>
            <w:r w:rsidR="002150FE" w:rsidRPr="009448F5">
              <w:rPr>
                <w:rFonts w:ascii="Times New Roman" w:hAnsi="Times New Roman" w:cs="Times New Roman"/>
                <w:sz w:val="24"/>
                <w:szCs w:val="24"/>
              </w:rPr>
              <w:t>parengtas  pagal vadovauja</w:t>
            </w:r>
            <w:r w:rsidRPr="009448F5">
              <w:rPr>
                <w:rFonts w:ascii="Times New Roman" w:hAnsi="Times New Roman" w:cs="Times New Roman"/>
                <w:sz w:val="24"/>
                <w:szCs w:val="24"/>
              </w:rPr>
              <w:t xml:space="preserve">nčiosios institucijos parengtą </w:t>
            </w:r>
            <w:r w:rsidR="002150FE" w:rsidRPr="009448F5">
              <w:rPr>
                <w:rFonts w:ascii="Times New Roman" w:hAnsi="Times New Roman" w:cs="Times New Roman"/>
                <w:sz w:val="24"/>
                <w:szCs w:val="24"/>
              </w:rPr>
              <w:t>projektų finansavimo sąlygų aprašo formą, kurioje nurodyti minimalūs Aprašuose rekomen</w:t>
            </w:r>
            <w:r w:rsidRPr="009448F5">
              <w:rPr>
                <w:rFonts w:ascii="Times New Roman" w:hAnsi="Times New Roman" w:cs="Times New Roman"/>
                <w:sz w:val="24"/>
                <w:szCs w:val="24"/>
              </w:rPr>
              <w:t xml:space="preserve">duojami nustatyti reikalavimai. Taip pat atkreiptinas dėmesys, kad </w:t>
            </w:r>
            <w:r w:rsidR="002150FE" w:rsidRPr="009448F5">
              <w:rPr>
                <w:rFonts w:ascii="Times New Roman" w:hAnsi="Times New Roman" w:cs="Times New Roman"/>
                <w:sz w:val="24"/>
                <w:szCs w:val="24"/>
              </w:rPr>
              <w:t xml:space="preserve">2007–2013 m. finansavimo laikotarpyje buvo dvi priemonės „Intelektas LT“ ir „Intelektas LT+“, pagal kurių vieną remiama </w:t>
            </w:r>
            <w:r w:rsidR="0070560A" w:rsidRPr="009448F5">
              <w:rPr>
                <w:rFonts w:ascii="Times New Roman" w:hAnsi="Times New Roman" w:cs="Times New Roman"/>
                <w:sz w:val="24"/>
                <w:szCs w:val="24"/>
              </w:rPr>
              <w:t xml:space="preserve">veikla </w:t>
            </w:r>
            <w:r w:rsidR="002150FE" w:rsidRPr="009448F5">
              <w:rPr>
                <w:rFonts w:ascii="Times New Roman" w:hAnsi="Times New Roman" w:cs="Times New Roman"/>
                <w:sz w:val="24"/>
                <w:szCs w:val="24"/>
              </w:rPr>
              <w:t>–</w:t>
            </w:r>
            <w:r w:rsidR="0070560A" w:rsidRPr="009448F5">
              <w:rPr>
                <w:rFonts w:ascii="Times New Roman" w:hAnsi="Times New Roman" w:cs="Times New Roman"/>
                <w:sz w:val="24"/>
                <w:szCs w:val="24"/>
              </w:rPr>
              <w:t xml:space="preserve"> MTEP</w:t>
            </w:r>
            <w:r w:rsidR="002150FE" w:rsidRPr="009448F5">
              <w:rPr>
                <w:rFonts w:ascii="Times New Roman" w:hAnsi="Times New Roman" w:cs="Times New Roman"/>
                <w:sz w:val="24"/>
                <w:szCs w:val="24"/>
              </w:rPr>
              <w:t>, o pagal kitą – infrastruktūros, reikaling</w:t>
            </w:r>
            <w:r w:rsidR="0070560A" w:rsidRPr="009448F5">
              <w:rPr>
                <w:rFonts w:ascii="Times New Roman" w:hAnsi="Times New Roman" w:cs="Times New Roman"/>
                <w:sz w:val="24"/>
                <w:szCs w:val="24"/>
              </w:rPr>
              <w:t>os MTEP veikloms vykdyti, kūrimas</w:t>
            </w:r>
            <w:r w:rsidR="002150FE" w:rsidRPr="009448F5">
              <w:rPr>
                <w:rFonts w:ascii="Times New Roman" w:hAnsi="Times New Roman" w:cs="Times New Roman"/>
                <w:sz w:val="24"/>
                <w:szCs w:val="24"/>
              </w:rPr>
              <w:t xml:space="preserve"> ir (ar) plėtr</w:t>
            </w:r>
            <w:r w:rsidR="0070560A" w:rsidRPr="009448F5">
              <w:rPr>
                <w:rFonts w:ascii="Times New Roman" w:hAnsi="Times New Roman" w:cs="Times New Roman"/>
                <w:sz w:val="24"/>
                <w:szCs w:val="24"/>
              </w:rPr>
              <w:t>a</w:t>
            </w:r>
            <w:r w:rsidR="002150FE" w:rsidRPr="009448F5">
              <w:rPr>
                <w:rFonts w:ascii="Times New Roman" w:hAnsi="Times New Roman" w:cs="Times New Roman"/>
                <w:sz w:val="24"/>
                <w:szCs w:val="24"/>
              </w:rPr>
              <w:t>. 2014–</w:t>
            </w:r>
            <w:r w:rsidR="0070560A" w:rsidRPr="009448F5">
              <w:rPr>
                <w:rFonts w:ascii="Times New Roman" w:hAnsi="Times New Roman" w:cs="Times New Roman"/>
                <w:sz w:val="24"/>
                <w:szCs w:val="24"/>
              </w:rPr>
              <w:t>2020 m. laikotarpiu</w:t>
            </w:r>
            <w:r w:rsidR="002150FE" w:rsidRPr="009448F5">
              <w:rPr>
                <w:rFonts w:ascii="Times New Roman" w:hAnsi="Times New Roman" w:cs="Times New Roman"/>
                <w:sz w:val="24"/>
                <w:szCs w:val="24"/>
              </w:rPr>
              <w:t xml:space="preserve"> analogiškas priemones po viešojo priemonių aptarimo, atsižvelgus į socialinių ekonominių partnerių pastabas, nuspręsta sujungti į vieną priemonę</w:t>
            </w:r>
            <w:r w:rsidRPr="009448F5">
              <w:rPr>
                <w:rFonts w:ascii="Times New Roman" w:hAnsi="Times New Roman" w:cs="Times New Roman"/>
                <w:sz w:val="24"/>
                <w:szCs w:val="24"/>
              </w:rPr>
              <w:t>, todėl Aprašas tapo didesnės</w:t>
            </w:r>
            <w:r w:rsidR="0070560A" w:rsidRPr="009448F5">
              <w:rPr>
                <w:rFonts w:ascii="Times New Roman" w:hAnsi="Times New Roman" w:cs="Times New Roman"/>
                <w:sz w:val="24"/>
                <w:szCs w:val="24"/>
              </w:rPr>
              <w:t xml:space="preserve"> apimties ir atitinkamai sudėtingesnis</w:t>
            </w:r>
            <w:r w:rsidR="002150FE" w:rsidRPr="009448F5">
              <w:rPr>
                <w:rFonts w:ascii="Times New Roman" w:hAnsi="Times New Roman" w:cs="Times New Roman"/>
                <w:sz w:val="24"/>
                <w:szCs w:val="24"/>
              </w:rPr>
              <w:t xml:space="preserve"> (kadangi taikomi kelių Bendrojo bendrosios išimties reglamento straipsniai, taip pat yra s</w:t>
            </w:r>
            <w:r w:rsidRPr="009448F5">
              <w:rPr>
                <w:rFonts w:ascii="Times New Roman" w:hAnsi="Times New Roman" w:cs="Times New Roman"/>
                <w:sz w:val="24"/>
                <w:szCs w:val="24"/>
              </w:rPr>
              <w:t>kirtingų kiekvienai veiklai reikalavimų)</w:t>
            </w:r>
            <w:r w:rsidR="0070560A" w:rsidRPr="009448F5">
              <w:rPr>
                <w:rFonts w:ascii="Times New Roman" w:hAnsi="Times New Roman" w:cs="Times New Roman"/>
                <w:sz w:val="24"/>
                <w:szCs w:val="24"/>
              </w:rPr>
              <w:t>. Vis dėlto</w:t>
            </w:r>
            <w:r w:rsidRPr="009448F5">
              <w:rPr>
                <w:rFonts w:ascii="Times New Roman" w:hAnsi="Times New Roman" w:cs="Times New Roman"/>
                <w:sz w:val="24"/>
                <w:szCs w:val="24"/>
              </w:rPr>
              <w:t xml:space="preserve"> potencialiems pareiškė</w:t>
            </w:r>
            <w:r w:rsidR="0070560A" w:rsidRPr="009448F5">
              <w:rPr>
                <w:rFonts w:ascii="Times New Roman" w:hAnsi="Times New Roman" w:cs="Times New Roman"/>
                <w:sz w:val="24"/>
                <w:szCs w:val="24"/>
              </w:rPr>
              <w:t xml:space="preserve">jams bus patogiau, nes vietoj 2 </w:t>
            </w:r>
            <w:r w:rsidRPr="009448F5">
              <w:rPr>
                <w:rFonts w:ascii="Times New Roman" w:hAnsi="Times New Roman" w:cs="Times New Roman"/>
                <w:sz w:val="24"/>
                <w:szCs w:val="24"/>
              </w:rPr>
              <w:t xml:space="preserve">paraiškų, jeigu siekiama finansavimo abiems veikloms, užteks </w:t>
            </w:r>
            <w:r w:rsidR="0070560A" w:rsidRPr="009448F5">
              <w:rPr>
                <w:rFonts w:ascii="Times New Roman" w:hAnsi="Times New Roman" w:cs="Times New Roman"/>
                <w:sz w:val="24"/>
                <w:szCs w:val="24"/>
              </w:rPr>
              <w:t>pateikti vieną paraišką</w:t>
            </w:r>
            <w:r w:rsidRPr="009448F5">
              <w:rPr>
                <w:rFonts w:ascii="Times New Roman" w:hAnsi="Times New Roman" w:cs="Times New Roman"/>
                <w:sz w:val="24"/>
                <w:szCs w:val="24"/>
              </w:rPr>
              <w:t>, bus viena projekto finansavimo ir administravimo sutartis ir t. t.</w:t>
            </w:r>
          </w:p>
        </w:tc>
      </w:tr>
      <w:tr w:rsidR="00E17F09" w:rsidRPr="009448F5" w:rsidTr="00E974B2">
        <w:trPr>
          <w:trHeight w:val="1121"/>
        </w:trPr>
        <w:tc>
          <w:tcPr>
            <w:tcW w:w="665" w:type="dxa"/>
            <w:vMerge w:val="restart"/>
          </w:tcPr>
          <w:p w:rsidR="00E17F09" w:rsidRPr="009448F5" w:rsidRDefault="00E17F09" w:rsidP="00776B3B">
            <w:pPr>
              <w:rPr>
                <w:rFonts w:ascii="Times New Roman" w:hAnsi="Times New Roman" w:cs="Times New Roman"/>
                <w:sz w:val="24"/>
                <w:szCs w:val="24"/>
              </w:rPr>
            </w:pPr>
            <w:r w:rsidRPr="009448F5">
              <w:rPr>
                <w:rFonts w:ascii="Times New Roman" w:hAnsi="Times New Roman" w:cs="Times New Roman"/>
                <w:sz w:val="24"/>
                <w:szCs w:val="24"/>
              </w:rPr>
              <w:t xml:space="preserve">5. </w:t>
            </w:r>
          </w:p>
        </w:tc>
        <w:tc>
          <w:tcPr>
            <w:tcW w:w="1790" w:type="dxa"/>
            <w:vMerge w:val="restart"/>
          </w:tcPr>
          <w:p w:rsidR="00E17F09" w:rsidRPr="009448F5" w:rsidRDefault="00E17F09" w:rsidP="00776B3B">
            <w:pPr>
              <w:rPr>
                <w:rFonts w:ascii="Times New Roman" w:hAnsi="Times New Roman" w:cs="Times New Roman"/>
                <w:sz w:val="24"/>
                <w:szCs w:val="24"/>
              </w:rPr>
            </w:pPr>
            <w:r w:rsidRPr="009448F5">
              <w:rPr>
                <w:rFonts w:ascii="Times New Roman" w:hAnsi="Times New Roman" w:cs="Times New Roman"/>
                <w:sz w:val="24"/>
                <w:szCs w:val="24"/>
              </w:rPr>
              <w:t xml:space="preserve">Asociacija „Lietuvos medicinos turizmo klasteris“ </w:t>
            </w:r>
          </w:p>
        </w:tc>
        <w:tc>
          <w:tcPr>
            <w:tcW w:w="6432" w:type="dxa"/>
          </w:tcPr>
          <w:p w:rsidR="00E17F09" w:rsidRPr="009448F5" w:rsidRDefault="00E17F09" w:rsidP="00776B3B">
            <w:pPr>
              <w:pStyle w:val="ListParagraph"/>
              <w:tabs>
                <w:tab w:val="right" w:pos="426"/>
              </w:tabs>
              <w:ind w:left="0"/>
              <w:jc w:val="both"/>
              <w:rPr>
                <w:rFonts w:ascii="Times New Roman" w:hAnsi="Times New Roman" w:cs="Times New Roman"/>
                <w:sz w:val="24"/>
                <w:szCs w:val="24"/>
              </w:rPr>
            </w:pPr>
            <w:r w:rsidRPr="009448F5">
              <w:rPr>
                <w:rFonts w:ascii="Times New Roman" w:hAnsi="Times New Roman" w:cs="Times New Roman"/>
                <w:sz w:val="24"/>
                <w:szCs w:val="24"/>
              </w:rPr>
              <w:t>1)</w:t>
            </w:r>
            <w:r w:rsidR="00EA4FC9" w:rsidRPr="009448F5">
              <w:rPr>
                <w:rFonts w:ascii="Times New Roman" w:hAnsi="Times New Roman" w:cs="Times New Roman"/>
                <w:sz w:val="24"/>
                <w:szCs w:val="24"/>
              </w:rPr>
              <w:t xml:space="preserve"> </w:t>
            </w:r>
            <w:r w:rsidRPr="009448F5">
              <w:rPr>
                <w:rFonts w:ascii="Times New Roman" w:hAnsi="Times New Roman" w:cs="Times New Roman"/>
                <w:sz w:val="24"/>
                <w:szCs w:val="24"/>
              </w:rPr>
              <w:t>Siūlome 15.2 punktą papildyti galimu pareiškėju „Asociacija“ ir išdėstyti taip:</w:t>
            </w:r>
          </w:p>
          <w:p w:rsidR="00E17F09" w:rsidRPr="009448F5" w:rsidRDefault="00E17F09" w:rsidP="00776B3B">
            <w:pPr>
              <w:jc w:val="both"/>
              <w:rPr>
                <w:rFonts w:ascii="Times New Roman" w:hAnsi="Times New Roman" w:cs="Times New Roman"/>
                <w:i/>
                <w:sz w:val="24"/>
                <w:szCs w:val="24"/>
              </w:rPr>
            </w:pPr>
            <w:r w:rsidRPr="009448F5">
              <w:rPr>
                <w:rFonts w:ascii="Times New Roman" w:hAnsi="Times New Roman" w:cs="Times New Roman"/>
                <w:i/>
                <w:sz w:val="24"/>
                <w:szCs w:val="24"/>
              </w:rPr>
              <w:t>„viešosios įstaigos, asociacijos, vykdančios MTEP veiklas (išskyrus mokslo ir studijų institucijas“.</w:t>
            </w:r>
          </w:p>
        </w:tc>
        <w:tc>
          <w:tcPr>
            <w:tcW w:w="1583" w:type="dxa"/>
          </w:tcPr>
          <w:p w:rsidR="00E17F09" w:rsidRPr="009448F5" w:rsidRDefault="00C40078" w:rsidP="00776B3B">
            <w:pPr>
              <w:rPr>
                <w:rFonts w:ascii="Times New Roman" w:hAnsi="Times New Roman" w:cs="Times New Roman"/>
                <w:sz w:val="24"/>
                <w:szCs w:val="24"/>
              </w:rPr>
            </w:pPr>
            <w:r w:rsidRPr="009448F5">
              <w:rPr>
                <w:rFonts w:ascii="Times New Roman" w:hAnsi="Times New Roman" w:cs="Times New Roman"/>
                <w:sz w:val="24"/>
                <w:szCs w:val="24"/>
              </w:rPr>
              <w:t>Atsižvelgta iš dalies.</w:t>
            </w:r>
          </w:p>
        </w:tc>
        <w:tc>
          <w:tcPr>
            <w:tcW w:w="4883" w:type="dxa"/>
          </w:tcPr>
          <w:p w:rsidR="00C40078" w:rsidRPr="009448F5" w:rsidRDefault="00C40078" w:rsidP="00C40078">
            <w:pPr>
              <w:jc w:val="both"/>
              <w:rPr>
                <w:rFonts w:ascii="Times New Roman" w:hAnsi="Times New Roman" w:cs="Times New Roman"/>
                <w:sz w:val="24"/>
                <w:szCs w:val="24"/>
              </w:rPr>
            </w:pPr>
            <w:r w:rsidRPr="009448F5">
              <w:rPr>
                <w:rFonts w:ascii="Times New Roman" w:hAnsi="Times New Roman" w:cs="Times New Roman"/>
                <w:sz w:val="24"/>
                <w:szCs w:val="24"/>
              </w:rPr>
              <w:t xml:space="preserve">Atkreipiame dėmesį, kad 2014 m. viešajam aptarimui paskelbus priemonės aprašymą, kuriame tinkamais pareiškėjais buvo numatyti tik privatieji juridiniai asmenys, buvo gauta pastabų, jog viešosios įstaigos taip pat vykdo </w:t>
            </w:r>
            <w:r w:rsidRPr="009448F5">
              <w:rPr>
                <w:rFonts w:ascii="Times New Roman" w:hAnsi="Times New Roman" w:cs="Times New Roman"/>
                <w:sz w:val="24"/>
                <w:szCs w:val="24"/>
              </w:rPr>
              <w:lastRenderedPageBreak/>
              <w:t xml:space="preserve">ekonominę veiklą bei MTEP, todėl tikslinga tokias įstaigas numatyti tinkamais pareiškėjais. Į pateiktą pastabą buvo atsižvelgta ir tinkamų pareiškėjų sąrašas papildytas. </w:t>
            </w:r>
          </w:p>
          <w:p w:rsidR="00E17F09" w:rsidRPr="009448F5" w:rsidRDefault="00C40078" w:rsidP="00C40078">
            <w:pPr>
              <w:jc w:val="both"/>
              <w:rPr>
                <w:rFonts w:ascii="Times New Roman" w:hAnsi="Times New Roman" w:cs="Times New Roman"/>
                <w:sz w:val="24"/>
                <w:szCs w:val="24"/>
              </w:rPr>
            </w:pPr>
            <w:r w:rsidRPr="009448F5">
              <w:rPr>
                <w:rFonts w:ascii="Times New Roman" w:hAnsi="Times New Roman" w:cs="Times New Roman"/>
                <w:sz w:val="24"/>
                <w:szCs w:val="24"/>
              </w:rPr>
              <w:t>Tokie pareiškėjai yra nurodyti ir su vadovaujančiąja institucija suderintame priemonės „Intelektas. Bendri mokslo–verslo projektai“ įgyvendinimo plane, todėl pareiškėjų sąrašo keitimas taip pat turėtų būti suderintas, o tai – laikui imlus procesas. Šiuo metu analizuojame, ar yra realus tokių keitimų poreikis, t. y. ar yra kitos formos viešųjų juridinių asmenų (įskaitant ir asociacijas), kurie vykdo ūkinę komercinę veiklą bei MTEP veiklas.</w:t>
            </w:r>
          </w:p>
        </w:tc>
      </w:tr>
      <w:tr w:rsidR="00E17F09" w:rsidRPr="009448F5" w:rsidTr="00E974B2">
        <w:trPr>
          <w:trHeight w:val="18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2) Apraše vyrauja gamybos sąvokos bei terminai, todėl gali kilti natūralus klausimas, ar tikrai gali būti finansuojami kultūrinių ir kūrybinių industrijų MTEP projektai. Siūlome išplėsti apraše naudojamą terminologiją.</w:t>
            </w:r>
          </w:p>
        </w:tc>
        <w:tc>
          <w:tcPr>
            <w:tcW w:w="1583" w:type="dxa"/>
          </w:tcPr>
          <w:p w:rsidR="00E17F09" w:rsidRPr="009448F5" w:rsidRDefault="00C40078" w:rsidP="00776B3B">
            <w:pPr>
              <w:rPr>
                <w:rFonts w:ascii="Times New Roman" w:hAnsi="Times New Roman" w:cs="Times New Roman"/>
                <w:sz w:val="24"/>
                <w:szCs w:val="24"/>
              </w:rPr>
            </w:pPr>
            <w:r w:rsidRPr="009448F5">
              <w:rPr>
                <w:rFonts w:ascii="Times New Roman" w:hAnsi="Times New Roman" w:cs="Times New Roman"/>
                <w:sz w:val="24"/>
                <w:szCs w:val="24"/>
              </w:rPr>
              <w:t>Atsakyta.</w:t>
            </w:r>
          </w:p>
        </w:tc>
        <w:tc>
          <w:tcPr>
            <w:tcW w:w="4883" w:type="dxa"/>
          </w:tcPr>
          <w:p w:rsidR="00E17F09" w:rsidRPr="009448F5" w:rsidRDefault="00C40078" w:rsidP="00C40078">
            <w:pPr>
              <w:jc w:val="both"/>
              <w:rPr>
                <w:rFonts w:ascii="Times New Roman" w:hAnsi="Times New Roman" w:cs="Times New Roman"/>
                <w:sz w:val="24"/>
                <w:szCs w:val="24"/>
              </w:rPr>
            </w:pPr>
            <w:r w:rsidRPr="009448F5">
              <w:rPr>
                <w:rFonts w:ascii="Times New Roman" w:hAnsi="Times New Roman" w:cs="Times New Roman"/>
                <w:sz w:val="24"/>
                <w:szCs w:val="24"/>
              </w:rPr>
              <w:t>Aprašo projekte nėra apribojimų kultūros sektoriaus projektų finansavimui. Atkreipiame dėmesį, kad viena iš Aprašo projekto 11 punkte nurodytų sumaniosios specializacijos krypčių, kurią turėtų įgyvendinti finansuojami projektai, – „Įtrauki ir kūrybinga visuomenė“. Taip pat jeigu projektas prisideda prie 2014–2020 metų nacionalinės pažangos programos horizontaliojo prioriteto „Kultūra“ tarpinstitucinio plano,  patvirtinto Lietuvos Respublikos Vyriausybės 2014 m. kovo 19 d. nutarimu Nr. 269, įgyvendinimo, projektui suteikiami papildomi balai naudos ir kokybės vertinimo metu.</w:t>
            </w:r>
          </w:p>
        </w:tc>
      </w:tr>
      <w:tr w:rsidR="00E17F09" w:rsidRPr="009448F5" w:rsidTr="00E974B2">
        <w:trPr>
          <w:trHeight w:val="214"/>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3)  Koks tikslas 30 punkte (ir jo papunkčiuose) vardinti rodiklius, kurių pasirinkti nėra privaloma. Jei yra sąlygų, kokiais atvejais rodiklius visgi privaloma pasirinkti, šias sąlygas reiktų ir įvardinti.</w:t>
            </w:r>
          </w:p>
        </w:tc>
        <w:tc>
          <w:tcPr>
            <w:tcW w:w="1583" w:type="dxa"/>
          </w:tcPr>
          <w:p w:rsidR="00E17F09" w:rsidRPr="009448F5" w:rsidRDefault="00D74FCE" w:rsidP="00776B3B">
            <w:pPr>
              <w:rPr>
                <w:rFonts w:ascii="Times New Roman" w:hAnsi="Times New Roman" w:cs="Times New Roman"/>
                <w:sz w:val="24"/>
                <w:szCs w:val="24"/>
              </w:rPr>
            </w:pPr>
            <w:r w:rsidRPr="009448F5">
              <w:rPr>
                <w:rFonts w:ascii="Times New Roman" w:hAnsi="Times New Roman" w:cs="Times New Roman"/>
                <w:sz w:val="24"/>
                <w:szCs w:val="24"/>
              </w:rPr>
              <w:t xml:space="preserve">Atsakyta. </w:t>
            </w:r>
          </w:p>
        </w:tc>
        <w:tc>
          <w:tcPr>
            <w:tcW w:w="4883" w:type="dxa"/>
          </w:tcPr>
          <w:p w:rsidR="00E17F09" w:rsidRPr="009448F5" w:rsidRDefault="00D74FCE" w:rsidP="00776B3B">
            <w:pPr>
              <w:jc w:val="both"/>
              <w:rPr>
                <w:rFonts w:ascii="Times New Roman" w:hAnsi="Times New Roman" w:cs="Times New Roman"/>
                <w:sz w:val="24"/>
                <w:szCs w:val="24"/>
              </w:rPr>
            </w:pPr>
            <w:r w:rsidRPr="009448F5">
              <w:rPr>
                <w:rFonts w:ascii="Times New Roman" w:hAnsi="Times New Roman" w:cs="Times New Roman"/>
                <w:sz w:val="24"/>
                <w:szCs w:val="24"/>
              </w:rPr>
              <w:t>Atsižvelgiant į tai, kad pagal priemonę gali būti finansuojami labai skirtingi projektai kaip privalomi pasirinkti rodikliai Aprašo projekto 30 punkte nurodyti tik tokie rodikliai, kurių sieks visi finansuojami projektai. Jeigu rodikliai nėra nurodyti kaip privalomi pasirinkti, tokių rodiklių pasirinkti pareiškėjui nėra privaloma.</w:t>
            </w:r>
          </w:p>
        </w:tc>
      </w:tr>
      <w:tr w:rsidR="00E17F09" w:rsidRPr="009448F5" w:rsidTr="00E974B2">
        <w:trPr>
          <w:trHeight w:val="267"/>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4) 23 punkte numatyta minimali balų suma yra per didelė, todėl apribos galimybes gauti paramą jaunoms, santykinai mažą patirtį turinčioms įmonėms bei įmonėms, plėtojančioms rizikingas (žemą parengties lygį turinčias) technologijas. Rekomenduojame minimalų balą sumažinti iki 40-ties. </w:t>
            </w:r>
          </w:p>
        </w:tc>
        <w:tc>
          <w:tcPr>
            <w:tcW w:w="1583" w:type="dxa"/>
          </w:tcPr>
          <w:p w:rsidR="00E17F09" w:rsidRPr="009448F5" w:rsidRDefault="00D74FCE" w:rsidP="00776B3B">
            <w:pPr>
              <w:rPr>
                <w:rFonts w:ascii="Times New Roman" w:hAnsi="Times New Roman" w:cs="Times New Roman"/>
                <w:sz w:val="24"/>
                <w:szCs w:val="24"/>
              </w:rPr>
            </w:pPr>
            <w:r w:rsidRPr="009448F5">
              <w:rPr>
                <w:rFonts w:ascii="Times New Roman" w:hAnsi="Times New Roman" w:cs="Times New Roman"/>
                <w:sz w:val="24"/>
                <w:szCs w:val="24"/>
              </w:rPr>
              <w:t>Neatsižvelgta.</w:t>
            </w:r>
          </w:p>
        </w:tc>
        <w:tc>
          <w:tcPr>
            <w:tcW w:w="4883" w:type="dxa"/>
          </w:tcPr>
          <w:p w:rsidR="00E17F09" w:rsidRPr="009448F5" w:rsidRDefault="00D74FCE" w:rsidP="00D74FCE">
            <w:pPr>
              <w:jc w:val="both"/>
              <w:rPr>
                <w:rFonts w:ascii="Times New Roman" w:hAnsi="Times New Roman" w:cs="Times New Roman"/>
                <w:sz w:val="24"/>
                <w:szCs w:val="24"/>
              </w:rPr>
            </w:pPr>
            <w:r w:rsidRPr="009448F5">
              <w:rPr>
                <w:rFonts w:ascii="Times New Roman" w:hAnsi="Times New Roman" w:cs="Times New Roman"/>
                <w:sz w:val="24"/>
                <w:szCs w:val="24"/>
              </w:rPr>
              <w:t>Pažymime, kad projektai konkuruos pagal sumaniosios specializacijos kryptis, nurodytas Aprašo 11 punkte. Minimali reikalinga surinkti finansuojamų balų suma nustatyta atsižvelgiant į tai, kad būtų finansuojami tikrai geri projekta, nes jeigu pagal vieną kryptį būtų labai didelis konkursas, o pagal kitą kryptį konkurso nebūtų galėtų susiklostyti tokia situacija, kad pagal vieną kryptį finansavimo negautų ir pvz., 90 balų surinkę projektai, o pagal kitą būtų finansuojami kelis kartus mažiau balų surinkę projektai.</w:t>
            </w:r>
          </w:p>
        </w:tc>
      </w:tr>
      <w:tr w:rsidR="00E17F09" w:rsidRPr="009448F5" w:rsidTr="00E974B2">
        <w:trPr>
          <w:trHeight w:val="134"/>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5) </w:t>
            </w:r>
            <w:r w:rsidRPr="009448F5">
              <w:rPr>
                <w:rFonts w:ascii="Times New Roman" w:hAnsi="Times New Roman"/>
                <w:sz w:val="24"/>
                <w:szCs w:val="24"/>
              </w:rPr>
              <w:t xml:space="preserve">31.2.2. punkte reikalaujama </w:t>
            </w:r>
            <w:r w:rsidRPr="009448F5">
              <w:rPr>
                <w:rFonts w:ascii="Times New Roman" w:hAnsi="Times New Roman"/>
                <w:i/>
                <w:sz w:val="24"/>
                <w:szCs w:val="24"/>
              </w:rPr>
              <w:t>„jei teisės aktų nustatyta tvarka privaloma atlikti poveikio aplinkai vertinimą, pareiškėjas iki paraiškos pateikimo turi būti parengęs Poveikio aplinkai vertinimo ataskaitą ir turėti atsakingos institucijos sprendimą ar atrankos išvadą“</w:t>
            </w:r>
            <w:r w:rsidRPr="009448F5">
              <w:rPr>
                <w:rFonts w:ascii="Times New Roman" w:hAnsi="Times New Roman"/>
                <w:sz w:val="24"/>
                <w:szCs w:val="24"/>
              </w:rPr>
              <w:t xml:space="preserve">. Kadangi nurodytas minimalus paraiškų pateikimo terminas yra 30 dienų, o poveikio aplinkai vertinimas užtrunka bent 45 dienas, rekomenduojame šį reikalavimą pakeisti, sudarant galimybę poveikio aplinkai vertinimo dokumentus pateikti atskirai per 30 dienų nuo paraiškos pateikimo. </w:t>
            </w:r>
          </w:p>
        </w:tc>
        <w:tc>
          <w:tcPr>
            <w:tcW w:w="1583" w:type="dxa"/>
          </w:tcPr>
          <w:p w:rsidR="00E17F09" w:rsidRPr="009448F5" w:rsidRDefault="00D74FCE" w:rsidP="00776B3B">
            <w:pPr>
              <w:rPr>
                <w:rFonts w:ascii="Times New Roman" w:hAnsi="Times New Roman" w:cs="Times New Roman"/>
                <w:sz w:val="24"/>
                <w:szCs w:val="24"/>
              </w:rPr>
            </w:pPr>
            <w:r w:rsidRPr="009448F5">
              <w:rPr>
                <w:rFonts w:ascii="Times New Roman" w:hAnsi="Times New Roman" w:cs="Times New Roman"/>
                <w:sz w:val="24"/>
                <w:szCs w:val="24"/>
              </w:rPr>
              <w:t xml:space="preserve">Atsižvelgta. </w:t>
            </w:r>
          </w:p>
        </w:tc>
        <w:tc>
          <w:tcPr>
            <w:tcW w:w="4883" w:type="dxa"/>
          </w:tcPr>
          <w:p w:rsidR="00E17F09" w:rsidRPr="009448F5" w:rsidRDefault="00D74FCE" w:rsidP="00D74FCE">
            <w:pPr>
              <w:jc w:val="both"/>
              <w:rPr>
                <w:rFonts w:ascii="Times New Roman" w:hAnsi="Times New Roman" w:cs="Times New Roman"/>
                <w:sz w:val="24"/>
                <w:szCs w:val="24"/>
              </w:rPr>
            </w:pPr>
            <w:r w:rsidRPr="009448F5">
              <w:rPr>
                <w:rFonts w:ascii="Times New Roman" w:hAnsi="Times New Roman" w:cs="Times New Roman"/>
                <w:sz w:val="24"/>
                <w:szCs w:val="24"/>
              </w:rPr>
              <w:t>Į pateiktą pastabą atsižvelgta, Aprašo nuostatos pakoreguotos.</w:t>
            </w:r>
          </w:p>
        </w:tc>
      </w:tr>
      <w:tr w:rsidR="00EB4030" w:rsidRPr="009448F5" w:rsidTr="00E974B2">
        <w:trPr>
          <w:trHeight w:val="129"/>
        </w:trPr>
        <w:tc>
          <w:tcPr>
            <w:tcW w:w="665" w:type="dxa"/>
            <w:vMerge/>
          </w:tcPr>
          <w:p w:rsidR="00E17F09" w:rsidRPr="009448F5" w:rsidRDefault="00E17F09" w:rsidP="00776B3B">
            <w:pPr>
              <w:rPr>
                <w:rFonts w:ascii="Times New Roman" w:hAnsi="Times New Roman" w:cs="Times New Roman"/>
                <w:sz w:val="24"/>
                <w:szCs w:val="24"/>
              </w:rPr>
            </w:pPr>
          </w:p>
        </w:tc>
        <w:tc>
          <w:tcPr>
            <w:tcW w:w="1790" w:type="dxa"/>
            <w:vMerge/>
          </w:tcPr>
          <w:p w:rsidR="00E17F09" w:rsidRPr="009448F5" w:rsidRDefault="00E17F09" w:rsidP="00776B3B">
            <w:pPr>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6) </w:t>
            </w:r>
            <w:r w:rsidRPr="009448F5">
              <w:rPr>
                <w:rFonts w:ascii="Times New Roman" w:hAnsi="Times New Roman"/>
                <w:sz w:val="24"/>
                <w:szCs w:val="24"/>
              </w:rPr>
              <w:t xml:space="preserve"> Siūlome 38 punkte nurodytą mažiausią galimą skirti projektui finansavimo sumą sumažinti iki 20 000 Eur. Tai leis įmonėms įgyvendinti mažesnius projektus, gerokai padidės paramą gavusių įmonių skaičius (bei pagerės stebėsenos rodiklių pasiekimas), projektų teminė įvairovė ir sumanių specializacijų krypčių bei prioritetų aprėptis, visų pirma specializacijos „</w:t>
            </w:r>
            <w:r w:rsidRPr="009448F5">
              <w:rPr>
                <w:rFonts w:ascii="Times New Roman" w:eastAsia="Times New Roman" w:hAnsi="Times New Roman"/>
                <w:sz w:val="24"/>
                <w:szCs w:val="24"/>
                <w:lang w:eastAsia="lt-LT"/>
              </w:rPr>
              <w:t xml:space="preserve">Įtrauki ir kūrybinga visuomenė“. </w:t>
            </w:r>
          </w:p>
        </w:tc>
        <w:tc>
          <w:tcPr>
            <w:tcW w:w="1583" w:type="dxa"/>
          </w:tcPr>
          <w:p w:rsidR="00E17F09" w:rsidRPr="009448F5" w:rsidRDefault="00D74FCE" w:rsidP="00776B3B">
            <w:pPr>
              <w:rPr>
                <w:rFonts w:ascii="Times New Roman" w:hAnsi="Times New Roman" w:cs="Times New Roman"/>
                <w:sz w:val="24"/>
                <w:szCs w:val="24"/>
              </w:rPr>
            </w:pPr>
            <w:r w:rsidRPr="009448F5">
              <w:rPr>
                <w:rFonts w:ascii="Times New Roman" w:hAnsi="Times New Roman" w:cs="Times New Roman"/>
                <w:sz w:val="24"/>
                <w:szCs w:val="24"/>
              </w:rPr>
              <w:t>Neatsižvelgta.</w:t>
            </w:r>
          </w:p>
        </w:tc>
        <w:tc>
          <w:tcPr>
            <w:tcW w:w="4883" w:type="dxa"/>
          </w:tcPr>
          <w:p w:rsidR="00E17F09" w:rsidRPr="009448F5" w:rsidRDefault="00D74FCE" w:rsidP="00D74FCE">
            <w:pPr>
              <w:jc w:val="both"/>
              <w:rPr>
                <w:rFonts w:ascii="Times New Roman" w:hAnsi="Times New Roman" w:cs="Times New Roman"/>
                <w:sz w:val="24"/>
                <w:szCs w:val="24"/>
              </w:rPr>
            </w:pPr>
            <w:r w:rsidRPr="009448F5">
              <w:rPr>
                <w:rFonts w:ascii="Times New Roman" w:hAnsi="Times New Roman" w:cs="Times New Roman"/>
                <w:sz w:val="24"/>
                <w:szCs w:val="24"/>
              </w:rPr>
              <w:t>Pažymime, kad minimali projektui skiriamo finansavimo suma nustatyta atsižvelgiant į projektų administravimo kaštus, t. y. projektui skiriamos lėšos turi būti proporcingos tokio projekto administravimo išlaidoms.</w:t>
            </w:r>
          </w:p>
          <w:p w:rsidR="00D74FCE" w:rsidRPr="009448F5" w:rsidRDefault="00D74FCE" w:rsidP="00797687">
            <w:pPr>
              <w:jc w:val="both"/>
              <w:rPr>
                <w:rFonts w:ascii="Times New Roman" w:hAnsi="Times New Roman" w:cs="Times New Roman"/>
                <w:sz w:val="24"/>
                <w:szCs w:val="24"/>
              </w:rPr>
            </w:pPr>
            <w:r w:rsidRPr="009448F5">
              <w:rPr>
                <w:rFonts w:ascii="Times New Roman" w:hAnsi="Times New Roman" w:cs="Times New Roman"/>
                <w:sz w:val="24"/>
                <w:szCs w:val="24"/>
              </w:rPr>
              <w:t>Nedideli</w:t>
            </w:r>
            <w:r w:rsidR="00797687" w:rsidRPr="009448F5">
              <w:rPr>
                <w:rFonts w:ascii="Times New Roman" w:hAnsi="Times New Roman" w:cs="Times New Roman"/>
                <w:sz w:val="24"/>
                <w:szCs w:val="24"/>
              </w:rPr>
              <w:t>ems MTEP projektams</w:t>
            </w:r>
            <w:r w:rsidRPr="009448F5">
              <w:rPr>
                <w:rFonts w:ascii="Times New Roman" w:hAnsi="Times New Roman" w:cs="Times New Roman"/>
                <w:sz w:val="24"/>
                <w:szCs w:val="24"/>
              </w:rPr>
              <w:t xml:space="preserve"> </w:t>
            </w:r>
            <w:r w:rsidR="00797687" w:rsidRPr="009448F5">
              <w:rPr>
                <w:rFonts w:ascii="Times New Roman" w:hAnsi="Times New Roman" w:cs="Times New Roman"/>
                <w:sz w:val="24"/>
                <w:szCs w:val="24"/>
              </w:rPr>
              <w:t xml:space="preserve">finansuoti skirta priemonė </w:t>
            </w:r>
            <w:r w:rsidRPr="009448F5">
              <w:rPr>
                <w:rFonts w:ascii="Times New Roman" w:hAnsi="Times New Roman" w:cs="Times New Roman"/>
                <w:sz w:val="24"/>
                <w:szCs w:val="24"/>
              </w:rPr>
              <w:t>„Inovaciniai čekiai“</w:t>
            </w:r>
            <w:r w:rsidR="00797687" w:rsidRPr="009448F5">
              <w:rPr>
                <w:rFonts w:ascii="Times New Roman" w:hAnsi="Times New Roman" w:cs="Times New Roman"/>
                <w:sz w:val="24"/>
                <w:szCs w:val="24"/>
              </w:rPr>
              <w:t>.</w:t>
            </w:r>
          </w:p>
        </w:tc>
      </w:tr>
      <w:tr w:rsidR="00EB4030" w:rsidRPr="009448F5" w:rsidTr="00797687">
        <w:trPr>
          <w:trHeight w:val="1692"/>
        </w:trPr>
        <w:tc>
          <w:tcPr>
            <w:tcW w:w="665" w:type="dxa"/>
            <w:vMerge/>
          </w:tcPr>
          <w:p w:rsidR="00E17F09" w:rsidRPr="009448F5" w:rsidRDefault="00E17F09" w:rsidP="00797687">
            <w:pPr>
              <w:jc w:val="both"/>
              <w:rPr>
                <w:rFonts w:ascii="Times New Roman" w:hAnsi="Times New Roman" w:cs="Times New Roman"/>
                <w:sz w:val="24"/>
                <w:szCs w:val="24"/>
              </w:rPr>
            </w:pPr>
          </w:p>
        </w:tc>
        <w:tc>
          <w:tcPr>
            <w:tcW w:w="1790" w:type="dxa"/>
            <w:vMerge/>
          </w:tcPr>
          <w:p w:rsidR="00E17F09" w:rsidRPr="009448F5" w:rsidRDefault="00E17F09" w:rsidP="00797687">
            <w:pPr>
              <w:jc w:val="both"/>
              <w:rPr>
                <w:rFonts w:ascii="Times New Roman" w:hAnsi="Times New Roman" w:cs="Times New Roman"/>
                <w:sz w:val="24"/>
                <w:szCs w:val="24"/>
              </w:rPr>
            </w:pP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7) 63 punkte nurodoma, kad „Kiekvieno etapo paraiškų pateikimo terminas negali būti trumpesnis kaip 30 dienų“. Kadangi: a) antrame etape privaloma parengti verslo planą, tačiau parengti jį kokybiškai užtrunka žymiai ilgiau; b) natūraliai kils rizika vadovautis neoficialia informacija, kad užtektų laiko kokybiškai parengti paraišką. Prašome šį terminą </w:t>
            </w:r>
            <w:r w:rsidRPr="009448F5">
              <w:rPr>
                <w:rFonts w:ascii="Times New Roman" w:hAnsi="Times New Roman" w:cs="Times New Roman"/>
                <w:sz w:val="24"/>
                <w:szCs w:val="24"/>
              </w:rPr>
              <w:lastRenderedPageBreak/>
              <w:t xml:space="preserve">pratęsti iki 90 dienų. </w:t>
            </w:r>
          </w:p>
        </w:tc>
        <w:tc>
          <w:tcPr>
            <w:tcW w:w="1583" w:type="dxa"/>
          </w:tcPr>
          <w:p w:rsidR="00E17F09" w:rsidRPr="009448F5" w:rsidRDefault="00797687" w:rsidP="00797687">
            <w:pPr>
              <w:jc w:val="both"/>
              <w:rPr>
                <w:rFonts w:ascii="Times New Roman" w:hAnsi="Times New Roman" w:cs="Times New Roman"/>
                <w:sz w:val="24"/>
                <w:szCs w:val="24"/>
              </w:rPr>
            </w:pPr>
            <w:r w:rsidRPr="009448F5">
              <w:rPr>
                <w:rFonts w:ascii="Times New Roman" w:hAnsi="Times New Roman" w:cs="Times New Roman"/>
                <w:sz w:val="24"/>
                <w:szCs w:val="24"/>
              </w:rPr>
              <w:lastRenderedPageBreak/>
              <w:t>Neatsižvelgta.</w:t>
            </w:r>
          </w:p>
        </w:tc>
        <w:tc>
          <w:tcPr>
            <w:tcW w:w="4883" w:type="dxa"/>
          </w:tcPr>
          <w:p w:rsidR="00E17F09" w:rsidRPr="009448F5" w:rsidRDefault="00797687" w:rsidP="00797687">
            <w:pPr>
              <w:jc w:val="both"/>
              <w:rPr>
                <w:rFonts w:ascii="Times New Roman" w:hAnsi="Times New Roman" w:cs="Times New Roman"/>
                <w:sz w:val="24"/>
                <w:szCs w:val="24"/>
              </w:rPr>
            </w:pPr>
            <w:r w:rsidRPr="009448F5">
              <w:rPr>
                <w:rFonts w:ascii="Times New Roman" w:hAnsi="Times New Roman" w:cs="Times New Roman"/>
                <w:sz w:val="24"/>
                <w:szCs w:val="24"/>
              </w:rPr>
              <w:t xml:space="preserve">Pažymime, kad šis reikalavimas nustatytas atsižvelgiant į Projekto administravimo ir finansavimo taisyklių 62 punktą, kuriame nurodyta, kad „vykdant projektų konkursą dviem etapais, kiekvieno etapo paraiškų pateikimo terminas negali būti trumpesnis kaip </w:t>
            </w:r>
            <w:r w:rsidRPr="009448F5">
              <w:rPr>
                <w:rFonts w:ascii="Times New Roman" w:hAnsi="Times New Roman" w:cs="Times New Roman"/>
                <w:sz w:val="24"/>
                <w:szCs w:val="24"/>
              </w:rPr>
              <w:lastRenderedPageBreak/>
              <w:t>30 dienų nuo kvietimo teikti paraiškas paskelbimo (pirmajam konkurso etapui) dienos ir nuo siūlymo atrinktiems pareiškėjams dalyvauti antrajame konkurso etape pateikimo dienos.“. Ši nuostata nereiškia, kad negali būti nustatytas ilgesnis nei 30 dienų paraiškų pateikimo terminas. Tikslus kiekvieno etapo paraiškų pateikimo terminas bus nustatytas kvietime.</w:t>
            </w:r>
          </w:p>
        </w:tc>
      </w:tr>
      <w:tr w:rsidR="00EB4030" w:rsidRPr="00EB4030" w:rsidTr="00E974B2">
        <w:trPr>
          <w:trHeight w:val="227"/>
        </w:trPr>
        <w:tc>
          <w:tcPr>
            <w:tcW w:w="665" w:type="dxa"/>
          </w:tcPr>
          <w:p w:rsidR="00E17F09" w:rsidRPr="009448F5" w:rsidRDefault="00E17F09" w:rsidP="00797687">
            <w:pPr>
              <w:jc w:val="both"/>
              <w:rPr>
                <w:rFonts w:ascii="Times New Roman" w:hAnsi="Times New Roman" w:cs="Times New Roman"/>
                <w:sz w:val="24"/>
                <w:szCs w:val="24"/>
              </w:rPr>
            </w:pPr>
            <w:r w:rsidRPr="009448F5">
              <w:rPr>
                <w:rFonts w:ascii="Times New Roman" w:hAnsi="Times New Roman" w:cs="Times New Roman"/>
                <w:sz w:val="24"/>
                <w:szCs w:val="24"/>
              </w:rPr>
              <w:lastRenderedPageBreak/>
              <w:t xml:space="preserve">6. </w:t>
            </w:r>
          </w:p>
        </w:tc>
        <w:tc>
          <w:tcPr>
            <w:tcW w:w="1790" w:type="dxa"/>
          </w:tcPr>
          <w:p w:rsidR="00E17F09" w:rsidRPr="009448F5" w:rsidRDefault="00E17F09" w:rsidP="00797687">
            <w:pPr>
              <w:jc w:val="both"/>
              <w:rPr>
                <w:rFonts w:ascii="Times New Roman" w:hAnsi="Times New Roman" w:cs="Times New Roman"/>
                <w:sz w:val="24"/>
                <w:szCs w:val="24"/>
              </w:rPr>
            </w:pPr>
            <w:r w:rsidRPr="009448F5">
              <w:rPr>
                <w:rFonts w:ascii="Times New Roman" w:hAnsi="Times New Roman" w:cs="Times New Roman"/>
                <w:sz w:val="24"/>
                <w:szCs w:val="24"/>
              </w:rPr>
              <w:t xml:space="preserve">UAB „IRI verslo konsultacijos“ </w:t>
            </w:r>
          </w:p>
        </w:tc>
        <w:tc>
          <w:tcPr>
            <w:tcW w:w="6432" w:type="dxa"/>
          </w:tcPr>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 xml:space="preserve">FSA projekto 18 punkte nurodoma, kad finansavimas gali būti skiriamas visose srityse, išskyrus.... nuoroda į Bendrojo bendrosios išimties reglamento 1 str. 2–5 dalis ir 13 str. </w:t>
            </w:r>
          </w:p>
          <w:p w:rsidR="00E17F09" w:rsidRPr="009448F5" w:rsidRDefault="00E17F09" w:rsidP="00776B3B">
            <w:pPr>
              <w:jc w:val="both"/>
              <w:rPr>
                <w:rFonts w:ascii="Times New Roman" w:hAnsi="Times New Roman" w:cs="Times New Roman"/>
                <w:sz w:val="24"/>
                <w:szCs w:val="24"/>
              </w:rPr>
            </w:pPr>
          </w:p>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BBIR 1 str. 3 skyriaus b) punkte rašoma:</w:t>
            </w:r>
          </w:p>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„b) pagalbai, suteiktai pirminės žemės ūkio produktų gamybos sektoriuje, išskyrus papildomų išlaidų, kitų nei transporto išlaidos, atokiausiuose regionuose kompensavimui, kaip nustatyta 15 straipsnio 2 dalies b punkte, MVĮ teikiamai pagalbai konsultavimui, rizikos finansų pagalbai, pagalbai moksliniams tyrimams ir technologinei plėtrai, inovacijų pagalbai MVĮ, pagalbai aplinkos apsaugai, pagalbai mokymui bei pagalbai palankių sąlygų neturintiems ir neįgaliesiems darbuotojams;</w:t>
            </w:r>
          </w:p>
          <w:p w:rsidR="00E17F09" w:rsidRPr="009448F5" w:rsidRDefault="00E17F09" w:rsidP="00776B3B">
            <w:pPr>
              <w:jc w:val="both"/>
              <w:rPr>
                <w:rFonts w:ascii="Times New Roman" w:hAnsi="Times New Roman" w:cs="Times New Roman"/>
                <w:sz w:val="24"/>
                <w:szCs w:val="24"/>
              </w:rPr>
            </w:pPr>
          </w:p>
          <w:p w:rsidR="00E17F09" w:rsidRPr="009448F5" w:rsidRDefault="00E17F09" w:rsidP="00776B3B">
            <w:pPr>
              <w:jc w:val="both"/>
              <w:rPr>
                <w:rFonts w:ascii="Times New Roman" w:hAnsi="Times New Roman" w:cs="Times New Roman"/>
                <w:sz w:val="24"/>
                <w:szCs w:val="24"/>
              </w:rPr>
            </w:pPr>
            <w:r w:rsidRPr="009448F5">
              <w:rPr>
                <w:rFonts w:ascii="Times New Roman" w:hAnsi="Times New Roman" w:cs="Times New Roman"/>
                <w:sz w:val="24"/>
                <w:szCs w:val="24"/>
              </w:rPr>
              <w:t>Klausimas – ar pagal FSA gali finansavimas būti skirtas stambiai įmonei, kuri užsiima pirmine žemės ūkio gamyba (paukščių auginimu) būtent pirminės žemės ūkio gamybos srityje?“</w:t>
            </w:r>
          </w:p>
        </w:tc>
        <w:tc>
          <w:tcPr>
            <w:tcW w:w="1583" w:type="dxa"/>
          </w:tcPr>
          <w:p w:rsidR="00E17F09" w:rsidRPr="009448F5" w:rsidRDefault="00A27813" w:rsidP="00797687">
            <w:pPr>
              <w:jc w:val="both"/>
              <w:rPr>
                <w:rFonts w:ascii="Times New Roman" w:hAnsi="Times New Roman" w:cs="Times New Roman"/>
                <w:sz w:val="24"/>
                <w:szCs w:val="24"/>
              </w:rPr>
            </w:pPr>
            <w:r w:rsidRPr="009448F5">
              <w:rPr>
                <w:rFonts w:ascii="Times New Roman" w:hAnsi="Times New Roman" w:cs="Times New Roman"/>
                <w:sz w:val="24"/>
                <w:szCs w:val="24"/>
              </w:rPr>
              <w:t>Atsakyta į klausimą.</w:t>
            </w:r>
          </w:p>
        </w:tc>
        <w:tc>
          <w:tcPr>
            <w:tcW w:w="4883" w:type="dxa"/>
          </w:tcPr>
          <w:p w:rsidR="00E17F09" w:rsidRPr="00EB4030" w:rsidRDefault="00A27813" w:rsidP="006F3C0E">
            <w:pPr>
              <w:jc w:val="both"/>
              <w:rPr>
                <w:rFonts w:ascii="Times New Roman" w:hAnsi="Times New Roman" w:cs="Times New Roman"/>
                <w:sz w:val="24"/>
                <w:szCs w:val="24"/>
              </w:rPr>
            </w:pPr>
            <w:r w:rsidRPr="009448F5">
              <w:rPr>
                <w:rFonts w:ascii="Times New Roman" w:hAnsi="Times New Roman" w:cs="Times New Roman"/>
                <w:sz w:val="24"/>
                <w:szCs w:val="24"/>
              </w:rPr>
              <w:t>Jeigu įmonė veikia pirminės žemės ūkio produktų gamybos sektoriuje, kaip ir nurodyta Bendrajame bendrosios išimties reglamente, jai pagalba moksliniams tyrimams ir technologinei plėtrai gali būti teikiama –</w:t>
            </w:r>
            <w:r w:rsidR="006F3C0E" w:rsidRPr="009448F5">
              <w:rPr>
                <w:rFonts w:ascii="Times New Roman" w:hAnsi="Times New Roman" w:cs="Times New Roman"/>
                <w:sz w:val="24"/>
                <w:szCs w:val="24"/>
              </w:rPr>
              <w:t xml:space="preserve"> t. y. projektui finansavimas  gali būti teikiamas pagal Bendrojo bendrosios išimties reglamento 25 straipsnį Aprašo 10.1 papunktyje nurodytai veiklai – MTEP.</w:t>
            </w:r>
          </w:p>
        </w:tc>
      </w:tr>
    </w:tbl>
    <w:p w:rsidR="00DB0F69" w:rsidRPr="00EB4030" w:rsidRDefault="00DB0F69" w:rsidP="00797687">
      <w:pPr>
        <w:spacing w:after="0" w:line="240" w:lineRule="auto"/>
        <w:jc w:val="both"/>
        <w:rPr>
          <w:rFonts w:ascii="Times New Roman" w:hAnsi="Times New Roman" w:cs="Times New Roman"/>
          <w:sz w:val="24"/>
          <w:szCs w:val="24"/>
        </w:rPr>
      </w:pPr>
    </w:p>
    <w:sectPr w:rsidR="00DB0F69" w:rsidRPr="00EB4030" w:rsidSect="00366E43">
      <w:headerReference w:type="default" r:id="rId12"/>
      <w:pgSz w:w="16838" w:h="11906" w:orient="landscape"/>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FCE" w:rsidRDefault="00D74FCE" w:rsidP="00525AD9">
      <w:pPr>
        <w:spacing w:after="0" w:line="240" w:lineRule="auto"/>
      </w:pPr>
      <w:r>
        <w:separator/>
      </w:r>
    </w:p>
  </w:endnote>
  <w:endnote w:type="continuationSeparator" w:id="0">
    <w:p w:rsidR="00D74FCE" w:rsidRDefault="00D74FCE" w:rsidP="005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Georg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FCE" w:rsidRDefault="00D74FCE" w:rsidP="00525AD9">
      <w:pPr>
        <w:spacing w:after="0" w:line="240" w:lineRule="auto"/>
      </w:pPr>
      <w:r>
        <w:separator/>
      </w:r>
    </w:p>
  </w:footnote>
  <w:footnote w:type="continuationSeparator" w:id="0">
    <w:p w:rsidR="00D74FCE" w:rsidRDefault="00D74FCE" w:rsidP="00525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891873"/>
      <w:docPartObj>
        <w:docPartGallery w:val="Page Numbers (Top of Page)"/>
        <w:docPartUnique/>
      </w:docPartObj>
    </w:sdtPr>
    <w:sdtEndPr>
      <w:rPr>
        <w:rFonts w:ascii="Times New Roman" w:hAnsi="Times New Roman" w:cs="Times New Roman"/>
        <w:noProof/>
      </w:rPr>
    </w:sdtEndPr>
    <w:sdtContent>
      <w:p w:rsidR="00D74FCE" w:rsidRPr="00525AD9" w:rsidRDefault="00D74FCE">
        <w:pPr>
          <w:pStyle w:val="Header"/>
          <w:jc w:val="center"/>
          <w:rPr>
            <w:rFonts w:ascii="Times New Roman" w:hAnsi="Times New Roman" w:cs="Times New Roman"/>
          </w:rPr>
        </w:pPr>
        <w:r w:rsidRPr="00525AD9">
          <w:rPr>
            <w:rFonts w:ascii="Times New Roman" w:hAnsi="Times New Roman" w:cs="Times New Roman"/>
          </w:rPr>
          <w:fldChar w:fldCharType="begin"/>
        </w:r>
        <w:r w:rsidRPr="00525AD9">
          <w:rPr>
            <w:rFonts w:ascii="Times New Roman" w:hAnsi="Times New Roman" w:cs="Times New Roman"/>
          </w:rPr>
          <w:instrText xml:space="preserve"> PAGE   \* MERGEFORMAT </w:instrText>
        </w:r>
        <w:r w:rsidRPr="00525AD9">
          <w:rPr>
            <w:rFonts w:ascii="Times New Roman" w:hAnsi="Times New Roman" w:cs="Times New Roman"/>
          </w:rPr>
          <w:fldChar w:fldCharType="separate"/>
        </w:r>
        <w:r w:rsidR="009448F5">
          <w:rPr>
            <w:rFonts w:ascii="Times New Roman" w:hAnsi="Times New Roman" w:cs="Times New Roman"/>
            <w:noProof/>
          </w:rPr>
          <w:t>12</w:t>
        </w:r>
        <w:r w:rsidRPr="00525AD9">
          <w:rPr>
            <w:rFonts w:ascii="Times New Roman" w:hAnsi="Times New Roman" w:cs="Times New Roman"/>
            <w:noProof/>
          </w:rPr>
          <w:fldChar w:fldCharType="end"/>
        </w:r>
      </w:p>
    </w:sdtContent>
  </w:sdt>
  <w:p w:rsidR="00D74FCE" w:rsidRDefault="00D74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437"/>
    <w:multiLevelType w:val="hybridMultilevel"/>
    <w:tmpl w:val="6B0E7D4A"/>
    <w:lvl w:ilvl="0" w:tplc="0427000B">
      <w:start w:val="1"/>
      <w:numFmt w:val="bullet"/>
      <w:lvlText w:val=""/>
      <w:lvlJc w:val="left"/>
      <w:pPr>
        <w:ind w:left="720" w:hanging="360"/>
      </w:pPr>
      <w:rPr>
        <w:rFonts w:ascii="Wingdings" w:hAnsi="Wingdings"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14B0BCB"/>
    <w:multiLevelType w:val="multilevel"/>
    <w:tmpl w:val="3848A7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9835F36"/>
    <w:multiLevelType w:val="hybridMultilevel"/>
    <w:tmpl w:val="C5D4F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2F652C"/>
    <w:multiLevelType w:val="hybridMultilevel"/>
    <w:tmpl w:val="0EF87F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B625D4"/>
    <w:multiLevelType w:val="hybridMultilevel"/>
    <w:tmpl w:val="1DEA09A4"/>
    <w:lvl w:ilvl="0" w:tplc="446E99C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C7098"/>
    <w:multiLevelType w:val="hybridMultilevel"/>
    <w:tmpl w:val="05EEF68A"/>
    <w:lvl w:ilvl="0" w:tplc="41BE8354">
      <w:start w:val="1"/>
      <w:numFmt w:val="bullet"/>
      <w:lvlText w:val="-"/>
      <w:lvlJc w:val="left"/>
      <w:pPr>
        <w:ind w:left="720" w:hanging="360"/>
      </w:pPr>
      <w:rPr>
        <w:rFonts w:ascii="Times New Roman" w:eastAsia="Calibri"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14150E5"/>
    <w:multiLevelType w:val="hybridMultilevel"/>
    <w:tmpl w:val="831677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960521F"/>
    <w:multiLevelType w:val="hybridMultilevel"/>
    <w:tmpl w:val="30082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17E664A"/>
    <w:multiLevelType w:val="multilevel"/>
    <w:tmpl w:val="E048EB6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FA30636"/>
    <w:multiLevelType w:val="hybridMultilevel"/>
    <w:tmpl w:val="B928D1E6"/>
    <w:lvl w:ilvl="0" w:tplc="0E62222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5922D54"/>
    <w:multiLevelType w:val="multilevel"/>
    <w:tmpl w:val="99E2E8E0"/>
    <w:lvl w:ilvl="0">
      <w:start w:val="1"/>
      <w:numFmt w:val="decimal"/>
      <w:lvlText w:val="%1."/>
      <w:lvlJc w:val="left"/>
      <w:pPr>
        <w:ind w:left="862" w:hanging="360"/>
      </w:pPr>
      <w:rPr>
        <w:rFonts w:hint="default"/>
      </w:rPr>
    </w:lvl>
    <w:lvl w:ilvl="1">
      <w:start w:val="1"/>
      <w:numFmt w:val="decimal"/>
      <w:pStyle w:val="Heading2"/>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B4E3D0D"/>
    <w:multiLevelType w:val="multilevel"/>
    <w:tmpl w:val="C0120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C21559E"/>
    <w:multiLevelType w:val="hybridMultilevel"/>
    <w:tmpl w:val="ADDA0D48"/>
    <w:lvl w:ilvl="0" w:tplc="0427000B">
      <w:start w:val="1"/>
      <w:numFmt w:val="bullet"/>
      <w:lvlText w:val=""/>
      <w:lvlJc w:val="left"/>
      <w:pPr>
        <w:ind w:left="720" w:hanging="360"/>
      </w:pPr>
      <w:rPr>
        <w:rFonts w:ascii="Wingdings" w:hAnsi="Wingdings"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F0A7329"/>
    <w:multiLevelType w:val="hybridMultilevel"/>
    <w:tmpl w:val="6F4297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0"/>
  </w:num>
  <w:num w:numId="3">
    <w:abstractNumId w:val="3"/>
  </w:num>
  <w:num w:numId="4">
    <w:abstractNumId w:val="5"/>
  </w:num>
  <w:num w:numId="5">
    <w:abstractNumId w:val="12"/>
  </w:num>
  <w:num w:numId="6">
    <w:abstractNumId w:val="6"/>
  </w:num>
  <w:num w:numId="7">
    <w:abstractNumId w:val="0"/>
  </w:num>
  <w:num w:numId="8">
    <w:abstractNumId w:val="7"/>
  </w:num>
  <w:num w:numId="9">
    <w:abstractNumId w:val="1"/>
  </w:num>
  <w:num w:numId="10">
    <w:abstractNumId w:val="9"/>
  </w:num>
  <w:num w:numId="11">
    <w:abstractNumId w:val="13"/>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9"/>
    <w:rsid w:val="000028BF"/>
    <w:rsid w:val="0000794A"/>
    <w:rsid w:val="00024A0F"/>
    <w:rsid w:val="0004364D"/>
    <w:rsid w:val="0007778A"/>
    <w:rsid w:val="00081D95"/>
    <w:rsid w:val="000C24EF"/>
    <w:rsid w:val="001001A1"/>
    <w:rsid w:val="0010310B"/>
    <w:rsid w:val="001576BA"/>
    <w:rsid w:val="001A7520"/>
    <w:rsid w:val="001E1DB4"/>
    <w:rsid w:val="001E5157"/>
    <w:rsid w:val="001E6C64"/>
    <w:rsid w:val="00212A85"/>
    <w:rsid w:val="002150FE"/>
    <w:rsid w:val="00281145"/>
    <w:rsid w:val="002A1C6F"/>
    <w:rsid w:val="002B37B7"/>
    <w:rsid w:val="002F115F"/>
    <w:rsid w:val="002F7C84"/>
    <w:rsid w:val="00323F5A"/>
    <w:rsid w:val="003410CB"/>
    <w:rsid w:val="00366E43"/>
    <w:rsid w:val="003D4AFF"/>
    <w:rsid w:val="003E2C86"/>
    <w:rsid w:val="003E5D82"/>
    <w:rsid w:val="00423A84"/>
    <w:rsid w:val="0042648F"/>
    <w:rsid w:val="004278D4"/>
    <w:rsid w:val="004305F2"/>
    <w:rsid w:val="00434F48"/>
    <w:rsid w:val="00473F76"/>
    <w:rsid w:val="00474C62"/>
    <w:rsid w:val="004827E6"/>
    <w:rsid w:val="00487B4A"/>
    <w:rsid w:val="004C773F"/>
    <w:rsid w:val="00517432"/>
    <w:rsid w:val="00525AD9"/>
    <w:rsid w:val="00534D35"/>
    <w:rsid w:val="00544D87"/>
    <w:rsid w:val="00552744"/>
    <w:rsid w:val="00571517"/>
    <w:rsid w:val="005A6808"/>
    <w:rsid w:val="005F4E17"/>
    <w:rsid w:val="006525C9"/>
    <w:rsid w:val="00657B7B"/>
    <w:rsid w:val="0069227C"/>
    <w:rsid w:val="00692C1A"/>
    <w:rsid w:val="006A2110"/>
    <w:rsid w:val="006D2B75"/>
    <w:rsid w:val="006F3C0E"/>
    <w:rsid w:val="0070560A"/>
    <w:rsid w:val="0072641F"/>
    <w:rsid w:val="0073429F"/>
    <w:rsid w:val="00746C99"/>
    <w:rsid w:val="007559F5"/>
    <w:rsid w:val="00756ACB"/>
    <w:rsid w:val="00756E13"/>
    <w:rsid w:val="00776B3B"/>
    <w:rsid w:val="00786897"/>
    <w:rsid w:val="00797687"/>
    <w:rsid w:val="007B1C6D"/>
    <w:rsid w:val="007B4A53"/>
    <w:rsid w:val="007D2A78"/>
    <w:rsid w:val="007E60D0"/>
    <w:rsid w:val="00804C23"/>
    <w:rsid w:val="008053BE"/>
    <w:rsid w:val="00826CFE"/>
    <w:rsid w:val="008942B4"/>
    <w:rsid w:val="008B34D3"/>
    <w:rsid w:val="008C6514"/>
    <w:rsid w:val="008D6039"/>
    <w:rsid w:val="008E41F6"/>
    <w:rsid w:val="008E6E91"/>
    <w:rsid w:val="008F128D"/>
    <w:rsid w:val="008F57F0"/>
    <w:rsid w:val="009416CB"/>
    <w:rsid w:val="009448F5"/>
    <w:rsid w:val="00944D40"/>
    <w:rsid w:val="009802DE"/>
    <w:rsid w:val="009921E8"/>
    <w:rsid w:val="00992ACF"/>
    <w:rsid w:val="009A4A0F"/>
    <w:rsid w:val="009A66AE"/>
    <w:rsid w:val="009A7096"/>
    <w:rsid w:val="009B4ACF"/>
    <w:rsid w:val="009B5FC5"/>
    <w:rsid w:val="009E1B6B"/>
    <w:rsid w:val="00A109D2"/>
    <w:rsid w:val="00A27813"/>
    <w:rsid w:val="00A50119"/>
    <w:rsid w:val="00A94189"/>
    <w:rsid w:val="00AA7DAF"/>
    <w:rsid w:val="00AB2A67"/>
    <w:rsid w:val="00AB2C67"/>
    <w:rsid w:val="00AD1317"/>
    <w:rsid w:val="00AE1AA3"/>
    <w:rsid w:val="00B42435"/>
    <w:rsid w:val="00B86AC9"/>
    <w:rsid w:val="00BA55D0"/>
    <w:rsid w:val="00BC06E1"/>
    <w:rsid w:val="00C01CAB"/>
    <w:rsid w:val="00C25463"/>
    <w:rsid w:val="00C40078"/>
    <w:rsid w:val="00C55566"/>
    <w:rsid w:val="00C57956"/>
    <w:rsid w:val="00C6485A"/>
    <w:rsid w:val="00CA3249"/>
    <w:rsid w:val="00CE76A2"/>
    <w:rsid w:val="00D35551"/>
    <w:rsid w:val="00D74FCE"/>
    <w:rsid w:val="00D800E1"/>
    <w:rsid w:val="00D9481D"/>
    <w:rsid w:val="00DB0F69"/>
    <w:rsid w:val="00DE4E49"/>
    <w:rsid w:val="00E17F09"/>
    <w:rsid w:val="00E34C06"/>
    <w:rsid w:val="00E726A7"/>
    <w:rsid w:val="00E87774"/>
    <w:rsid w:val="00E92B5C"/>
    <w:rsid w:val="00E974B2"/>
    <w:rsid w:val="00EA4FC9"/>
    <w:rsid w:val="00EB0A5F"/>
    <w:rsid w:val="00EB4030"/>
    <w:rsid w:val="00EC3D9D"/>
    <w:rsid w:val="00ED66BB"/>
    <w:rsid w:val="00F70B70"/>
    <w:rsid w:val="00F93045"/>
    <w:rsid w:val="00F96B46"/>
    <w:rsid w:val="00FB7322"/>
    <w:rsid w:val="00FC00E8"/>
    <w:rsid w:val="00FE25EE"/>
    <w:rsid w:val="00FF4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9F5"/>
  </w:style>
  <w:style w:type="paragraph" w:styleId="Heading1">
    <w:name w:val="heading 1"/>
    <w:basedOn w:val="Normal"/>
    <w:next w:val="Normal"/>
    <w:link w:val="Heading1Char"/>
    <w:autoRedefine/>
    <w:uiPriority w:val="9"/>
    <w:qFormat/>
    <w:rsid w:val="007559F5"/>
    <w:pPr>
      <w:spacing w:before="480" w:after="0" w:line="360" w:lineRule="auto"/>
      <w:ind w:left="862"/>
      <w:contextualSpacing/>
      <w:jc w:val="center"/>
      <w:outlineLvl w:val="0"/>
    </w:pPr>
    <w:rPr>
      <w:rFonts w:ascii="Times New Roman" w:hAnsi="Times New Roman"/>
      <w:caps/>
      <w:spacing w:val="5"/>
      <w:sz w:val="32"/>
      <w:szCs w:val="36"/>
    </w:rPr>
  </w:style>
  <w:style w:type="paragraph" w:styleId="Heading2">
    <w:name w:val="heading 2"/>
    <w:basedOn w:val="Normal"/>
    <w:next w:val="Normal"/>
    <w:link w:val="Heading2Char"/>
    <w:autoRedefine/>
    <w:uiPriority w:val="9"/>
    <w:unhideWhenUsed/>
    <w:qFormat/>
    <w:rsid w:val="007559F5"/>
    <w:pPr>
      <w:numPr>
        <w:ilvl w:val="1"/>
        <w:numId w:val="2"/>
      </w:numPr>
      <w:spacing w:before="200" w:after="0" w:line="271" w:lineRule="auto"/>
      <w:jc w:val="center"/>
      <w:outlineLvl w:val="1"/>
    </w:pPr>
    <w:rPr>
      <w:rFonts w:ascii="Times New Roman" w:hAnsi="Times New Roman"/>
      <w:sz w:val="28"/>
      <w:szCs w:val="28"/>
    </w:rPr>
  </w:style>
  <w:style w:type="paragraph" w:styleId="Heading3">
    <w:name w:val="heading 3"/>
    <w:basedOn w:val="Normal"/>
    <w:next w:val="Normal"/>
    <w:link w:val="Heading3Char"/>
    <w:autoRedefine/>
    <w:uiPriority w:val="9"/>
    <w:unhideWhenUsed/>
    <w:qFormat/>
    <w:rsid w:val="007559F5"/>
    <w:pPr>
      <w:spacing w:before="200" w:after="0" w:line="271" w:lineRule="auto"/>
      <w:ind w:left="1080" w:hanging="720"/>
      <w:jc w:val="center"/>
      <w:outlineLvl w:val="2"/>
    </w:pPr>
    <w:rPr>
      <w:rFonts w:ascii="Times New Roman" w:hAnsi="Times New Roman"/>
      <w:iCs/>
      <w:spacing w:val="5"/>
      <w:sz w:val="28"/>
      <w:szCs w:val="26"/>
    </w:rPr>
  </w:style>
  <w:style w:type="paragraph" w:styleId="Heading4">
    <w:name w:val="heading 4"/>
    <w:basedOn w:val="Normal"/>
    <w:next w:val="Normal"/>
    <w:link w:val="Heading4Char"/>
    <w:uiPriority w:val="9"/>
    <w:semiHidden/>
    <w:unhideWhenUsed/>
    <w:qFormat/>
    <w:rsid w:val="007559F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59F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59F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59F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59F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59F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EIKSLAI">
    <w:name w:val="PAVEIKSLAI"/>
    <w:basedOn w:val="Normal"/>
    <w:link w:val="PAVEIKSLAIChar"/>
    <w:autoRedefine/>
    <w:qFormat/>
    <w:rsid w:val="007559F5"/>
    <w:pPr>
      <w:spacing w:line="360" w:lineRule="auto"/>
      <w:jc w:val="center"/>
    </w:pPr>
    <w:rPr>
      <w:rFonts w:ascii="Times New Roman" w:hAnsi="Times New Roman" w:cs="Times New Roman"/>
      <w:sz w:val="24"/>
      <w:szCs w:val="24"/>
    </w:rPr>
  </w:style>
  <w:style w:type="character" w:customStyle="1" w:styleId="PAVEIKSLAIChar">
    <w:name w:val="PAVEIKSLAI Char"/>
    <w:basedOn w:val="DefaultParagraphFont"/>
    <w:link w:val="PAVEIKSLAI"/>
    <w:rsid w:val="007559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7559F5"/>
    <w:rPr>
      <w:rFonts w:ascii="Times New Roman" w:hAnsi="Times New Roman"/>
      <w:caps/>
      <w:spacing w:val="5"/>
      <w:sz w:val="32"/>
      <w:szCs w:val="36"/>
    </w:rPr>
  </w:style>
  <w:style w:type="character" w:customStyle="1" w:styleId="Heading2Char">
    <w:name w:val="Heading 2 Char"/>
    <w:basedOn w:val="DefaultParagraphFont"/>
    <w:link w:val="Heading2"/>
    <w:uiPriority w:val="9"/>
    <w:rsid w:val="007559F5"/>
    <w:rPr>
      <w:rFonts w:ascii="Times New Roman" w:hAnsi="Times New Roman"/>
      <w:sz w:val="28"/>
      <w:szCs w:val="28"/>
    </w:rPr>
  </w:style>
  <w:style w:type="character" w:customStyle="1" w:styleId="Heading3Char">
    <w:name w:val="Heading 3 Char"/>
    <w:basedOn w:val="DefaultParagraphFont"/>
    <w:link w:val="Heading3"/>
    <w:uiPriority w:val="9"/>
    <w:rsid w:val="007559F5"/>
    <w:rPr>
      <w:rFonts w:ascii="Times New Roman" w:hAnsi="Times New Roman"/>
      <w:iCs/>
      <w:spacing w:val="5"/>
      <w:sz w:val="28"/>
      <w:szCs w:val="26"/>
    </w:rPr>
  </w:style>
  <w:style w:type="character" w:customStyle="1" w:styleId="Heading4Char">
    <w:name w:val="Heading 4 Char"/>
    <w:basedOn w:val="DefaultParagraphFont"/>
    <w:link w:val="Heading4"/>
    <w:uiPriority w:val="9"/>
    <w:semiHidden/>
    <w:rsid w:val="007559F5"/>
    <w:rPr>
      <w:b/>
      <w:bCs/>
      <w:spacing w:val="5"/>
      <w:sz w:val="24"/>
      <w:szCs w:val="24"/>
    </w:rPr>
  </w:style>
  <w:style w:type="character" w:customStyle="1" w:styleId="Heading5Char">
    <w:name w:val="Heading 5 Char"/>
    <w:basedOn w:val="DefaultParagraphFont"/>
    <w:link w:val="Heading5"/>
    <w:uiPriority w:val="9"/>
    <w:semiHidden/>
    <w:rsid w:val="007559F5"/>
    <w:rPr>
      <w:i/>
      <w:iCs/>
      <w:sz w:val="24"/>
      <w:szCs w:val="24"/>
    </w:rPr>
  </w:style>
  <w:style w:type="character" w:customStyle="1" w:styleId="Heading6Char">
    <w:name w:val="Heading 6 Char"/>
    <w:basedOn w:val="DefaultParagraphFont"/>
    <w:link w:val="Heading6"/>
    <w:uiPriority w:val="9"/>
    <w:semiHidden/>
    <w:rsid w:val="007559F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59F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59F5"/>
    <w:rPr>
      <w:b/>
      <w:bCs/>
      <w:color w:val="7F7F7F" w:themeColor="text1" w:themeTint="80"/>
      <w:sz w:val="20"/>
      <w:szCs w:val="20"/>
    </w:rPr>
  </w:style>
  <w:style w:type="character" w:customStyle="1" w:styleId="Heading9Char">
    <w:name w:val="Heading 9 Char"/>
    <w:basedOn w:val="DefaultParagraphFont"/>
    <w:link w:val="Heading9"/>
    <w:uiPriority w:val="9"/>
    <w:semiHidden/>
    <w:rsid w:val="007559F5"/>
    <w:rPr>
      <w:b/>
      <w:bCs/>
      <w:i/>
      <w:iCs/>
      <w:color w:val="7F7F7F" w:themeColor="text1" w:themeTint="80"/>
      <w:sz w:val="18"/>
      <w:szCs w:val="18"/>
    </w:rPr>
  </w:style>
  <w:style w:type="paragraph" w:styleId="Title">
    <w:name w:val="Title"/>
    <w:basedOn w:val="Normal"/>
    <w:next w:val="Normal"/>
    <w:link w:val="TitleChar"/>
    <w:uiPriority w:val="10"/>
    <w:qFormat/>
    <w:rsid w:val="007559F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559F5"/>
    <w:rPr>
      <w:smallCaps/>
      <w:sz w:val="52"/>
      <w:szCs w:val="52"/>
    </w:rPr>
  </w:style>
  <w:style w:type="paragraph" w:styleId="Subtitle">
    <w:name w:val="Subtitle"/>
    <w:basedOn w:val="Normal"/>
    <w:next w:val="Normal"/>
    <w:link w:val="SubtitleChar"/>
    <w:uiPriority w:val="11"/>
    <w:qFormat/>
    <w:rsid w:val="007559F5"/>
    <w:rPr>
      <w:i/>
      <w:iCs/>
      <w:smallCaps/>
      <w:spacing w:val="10"/>
      <w:sz w:val="28"/>
      <w:szCs w:val="28"/>
    </w:rPr>
  </w:style>
  <w:style w:type="character" w:customStyle="1" w:styleId="SubtitleChar">
    <w:name w:val="Subtitle Char"/>
    <w:basedOn w:val="DefaultParagraphFont"/>
    <w:link w:val="Subtitle"/>
    <w:uiPriority w:val="11"/>
    <w:rsid w:val="007559F5"/>
    <w:rPr>
      <w:i/>
      <w:iCs/>
      <w:smallCaps/>
      <w:spacing w:val="10"/>
      <w:sz w:val="28"/>
      <w:szCs w:val="28"/>
    </w:rPr>
  </w:style>
  <w:style w:type="character" w:styleId="Strong">
    <w:name w:val="Strong"/>
    <w:uiPriority w:val="22"/>
    <w:qFormat/>
    <w:rsid w:val="007559F5"/>
    <w:rPr>
      <w:b/>
      <w:bCs/>
    </w:rPr>
  </w:style>
  <w:style w:type="character" w:styleId="Emphasis">
    <w:name w:val="Emphasis"/>
    <w:aliases w:val="LENTELES"/>
    <w:uiPriority w:val="20"/>
    <w:qFormat/>
    <w:rsid w:val="007559F5"/>
    <w:rPr>
      <w:rFonts w:ascii="Times New Roman" w:hAnsi="Times New Roman"/>
      <w:bCs/>
      <w:iCs/>
      <w:spacing w:val="10"/>
      <w:sz w:val="24"/>
    </w:rPr>
  </w:style>
  <w:style w:type="paragraph" w:styleId="NoSpacing">
    <w:name w:val="No Spacing"/>
    <w:basedOn w:val="Normal"/>
    <w:uiPriority w:val="1"/>
    <w:qFormat/>
    <w:rsid w:val="007559F5"/>
    <w:pPr>
      <w:spacing w:after="0" w:line="240" w:lineRule="auto"/>
    </w:pPr>
  </w:style>
  <w:style w:type="paragraph" w:styleId="ListParagraph">
    <w:name w:val="List Paragraph"/>
    <w:basedOn w:val="Normal"/>
    <w:uiPriority w:val="34"/>
    <w:qFormat/>
    <w:rsid w:val="007559F5"/>
    <w:pPr>
      <w:ind w:left="720"/>
      <w:contextualSpacing/>
    </w:pPr>
  </w:style>
  <w:style w:type="paragraph" w:styleId="Quote">
    <w:name w:val="Quote"/>
    <w:basedOn w:val="Normal"/>
    <w:next w:val="Normal"/>
    <w:link w:val="QuoteChar"/>
    <w:uiPriority w:val="29"/>
    <w:qFormat/>
    <w:rsid w:val="007559F5"/>
    <w:rPr>
      <w:i/>
      <w:iCs/>
    </w:rPr>
  </w:style>
  <w:style w:type="character" w:customStyle="1" w:styleId="QuoteChar">
    <w:name w:val="Quote Char"/>
    <w:basedOn w:val="DefaultParagraphFont"/>
    <w:link w:val="Quote"/>
    <w:uiPriority w:val="29"/>
    <w:rsid w:val="007559F5"/>
    <w:rPr>
      <w:i/>
      <w:iCs/>
    </w:rPr>
  </w:style>
  <w:style w:type="paragraph" w:styleId="IntenseQuote">
    <w:name w:val="Intense Quote"/>
    <w:basedOn w:val="Normal"/>
    <w:next w:val="Normal"/>
    <w:link w:val="IntenseQuoteChar"/>
    <w:uiPriority w:val="30"/>
    <w:qFormat/>
    <w:rsid w:val="007559F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559F5"/>
    <w:rPr>
      <w:i/>
      <w:iCs/>
    </w:rPr>
  </w:style>
  <w:style w:type="character" w:styleId="SubtleEmphasis">
    <w:name w:val="Subtle Emphasis"/>
    <w:uiPriority w:val="19"/>
    <w:qFormat/>
    <w:rsid w:val="007559F5"/>
    <w:rPr>
      <w:i/>
      <w:iCs/>
    </w:rPr>
  </w:style>
  <w:style w:type="character" w:styleId="IntenseEmphasis">
    <w:name w:val="Intense Emphasis"/>
    <w:uiPriority w:val="21"/>
    <w:qFormat/>
    <w:rsid w:val="007559F5"/>
    <w:rPr>
      <w:b/>
      <w:bCs/>
      <w:i/>
      <w:iCs/>
    </w:rPr>
  </w:style>
  <w:style w:type="character" w:styleId="SubtleReference">
    <w:name w:val="Subtle Reference"/>
    <w:basedOn w:val="DefaultParagraphFont"/>
    <w:uiPriority w:val="31"/>
    <w:qFormat/>
    <w:rsid w:val="007559F5"/>
    <w:rPr>
      <w:smallCaps/>
    </w:rPr>
  </w:style>
  <w:style w:type="character" w:styleId="IntenseReference">
    <w:name w:val="Intense Reference"/>
    <w:uiPriority w:val="32"/>
    <w:qFormat/>
    <w:rsid w:val="007559F5"/>
    <w:rPr>
      <w:b/>
      <w:bCs/>
      <w:smallCaps/>
    </w:rPr>
  </w:style>
  <w:style w:type="character" w:styleId="BookTitle">
    <w:name w:val="Book Title"/>
    <w:basedOn w:val="DefaultParagraphFont"/>
    <w:uiPriority w:val="33"/>
    <w:qFormat/>
    <w:rsid w:val="007559F5"/>
    <w:rPr>
      <w:i/>
      <w:iCs/>
      <w:smallCaps/>
      <w:spacing w:val="5"/>
    </w:rPr>
  </w:style>
  <w:style w:type="paragraph" w:styleId="TOCHeading">
    <w:name w:val="TOC Heading"/>
    <w:basedOn w:val="Heading1"/>
    <w:next w:val="Normal"/>
    <w:uiPriority w:val="39"/>
    <w:unhideWhenUsed/>
    <w:qFormat/>
    <w:rsid w:val="007559F5"/>
    <w:pPr>
      <w:outlineLvl w:val="9"/>
    </w:pPr>
    <w:rPr>
      <w:lang w:bidi="en-US"/>
    </w:rPr>
  </w:style>
  <w:style w:type="table" w:styleId="TableGrid">
    <w:name w:val="Table Grid"/>
    <w:basedOn w:val="TableNormal"/>
    <w:uiPriority w:val="59"/>
    <w:rsid w:val="00D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A4A0F"/>
    <w:pPr>
      <w:spacing w:after="100"/>
    </w:pPr>
  </w:style>
  <w:style w:type="character" w:styleId="Hyperlink">
    <w:name w:val="Hyperlink"/>
    <w:unhideWhenUsed/>
    <w:rsid w:val="0007778A"/>
    <w:rPr>
      <w:color w:val="0000FF"/>
      <w:u w:val="single"/>
    </w:rPr>
  </w:style>
  <w:style w:type="paragraph" w:styleId="CommentText">
    <w:name w:val="annotation text"/>
    <w:basedOn w:val="Normal"/>
    <w:link w:val="CommentTextChar"/>
    <w:uiPriority w:val="99"/>
    <w:semiHidden/>
    <w:unhideWhenUsed/>
    <w:rsid w:val="00212A85"/>
    <w:pPr>
      <w:spacing w:line="240" w:lineRule="auto"/>
    </w:pPr>
    <w:rPr>
      <w:sz w:val="20"/>
      <w:szCs w:val="20"/>
    </w:rPr>
  </w:style>
  <w:style w:type="character" w:customStyle="1" w:styleId="CommentTextChar">
    <w:name w:val="Comment Text Char"/>
    <w:basedOn w:val="DefaultParagraphFont"/>
    <w:link w:val="CommentText"/>
    <w:uiPriority w:val="99"/>
    <w:semiHidden/>
    <w:rsid w:val="00212A85"/>
    <w:rPr>
      <w:sz w:val="20"/>
      <w:szCs w:val="20"/>
    </w:rPr>
  </w:style>
  <w:style w:type="character" w:styleId="CommentReference">
    <w:name w:val="annotation reference"/>
    <w:semiHidden/>
    <w:unhideWhenUsed/>
    <w:rsid w:val="00212A85"/>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21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A78"/>
    <w:rPr>
      <w:b/>
      <w:bCs/>
    </w:rPr>
  </w:style>
  <w:style w:type="character" w:customStyle="1" w:styleId="CommentSubjectChar">
    <w:name w:val="Comment Subject Char"/>
    <w:basedOn w:val="CommentTextChar"/>
    <w:link w:val="CommentSubject"/>
    <w:uiPriority w:val="99"/>
    <w:semiHidden/>
    <w:rsid w:val="007D2A78"/>
    <w:rPr>
      <w:b/>
      <w:bCs/>
      <w:sz w:val="20"/>
      <w:szCs w:val="20"/>
    </w:rPr>
  </w:style>
  <w:style w:type="paragraph" w:styleId="Header">
    <w:name w:val="header"/>
    <w:basedOn w:val="Normal"/>
    <w:link w:val="HeaderChar"/>
    <w:uiPriority w:val="99"/>
    <w:unhideWhenUsed/>
    <w:rsid w:val="00525A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AD9"/>
  </w:style>
  <w:style w:type="paragraph" w:styleId="Footer">
    <w:name w:val="footer"/>
    <w:basedOn w:val="Normal"/>
    <w:link w:val="FooterChar"/>
    <w:uiPriority w:val="99"/>
    <w:unhideWhenUsed/>
    <w:rsid w:val="00525A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AD9"/>
  </w:style>
  <w:style w:type="paragraph" w:customStyle="1" w:styleId="Default">
    <w:name w:val="Default"/>
    <w:rsid w:val="00E92B5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9F5"/>
  </w:style>
  <w:style w:type="paragraph" w:styleId="Heading1">
    <w:name w:val="heading 1"/>
    <w:basedOn w:val="Normal"/>
    <w:next w:val="Normal"/>
    <w:link w:val="Heading1Char"/>
    <w:autoRedefine/>
    <w:uiPriority w:val="9"/>
    <w:qFormat/>
    <w:rsid w:val="007559F5"/>
    <w:pPr>
      <w:spacing w:before="480" w:after="0" w:line="360" w:lineRule="auto"/>
      <w:ind w:left="862"/>
      <w:contextualSpacing/>
      <w:jc w:val="center"/>
      <w:outlineLvl w:val="0"/>
    </w:pPr>
    <w:rPr>
      <w:rFonts w:ascii="Times New Roman" w:hAnsi="Times New Roman"/>
      <w:caps/>
      <w:spacing w:val="5"/>
      <w:sz w:val="32"/>
      <w:szCs w:val="36"/>
    </w:rPr>
  </w:style>
  <w:style w:type="paragraph" w:styleId="Heading2">
    <w:name w:val="heading 2"/>
    <w:basedOn w:val="Normal"/>
    <w:next w:val="Normal"/>
    <w:link w:val="Heading2Char"/>
    <w:autoRedefine/>
    <w:uiPriority w:val="9"/>
    <w:unhideWhenUsed/>
    <w:qFormat/>
    <w:rsid w:val="007559F5"/>
    <w:pPr>
      <w:numPr>
        <w:ilvl w:val="1"/>
        <w:numId w:val="2"/>
      </w:numPr>
      <w:spacing w:before="200" w:after="0" w:line="271" w:lineRule="auto"/>
      <w:jc w:val="center"/>
      <w:outlineLvl w:val="1"/>
    </w:pPr>
    <w:rPr>
      <w:rFonts w:ascii="Times New Roman" w:hAnsi="Times New Roman"/>
      <w:sz w:val="28"/>
      <w:szCs w:val="28"/>
    </w:rPr>
  </w:style>
  <w:style w:type="paragraph" w:styleId="Heading3">
    <w:name w:val="heading 3"/>
    <w:basedOn w:val="Normal"/>
    <w:next w:val="Normal"/>
    <w:link w:val="Heading3Char"/>
    <w:autoRedefine/>
    <w:uiPriority w:val="9"/>
    <w:unhideWhenUsed/>
    <w:qFormat/>
    <w:rsid w:val="007559F5"/>
    <w:pPr>
      <w:spacing w:before="200" w:after="0" w:line="271" w:lineRule="auto"/>
      <w:ind w:left="1080" w:hanging="720"/>
      <w:jc w:val="center"/>
      <w:outlineLvl w:val="2"/>
    </w:pPr>
    <w:rPr>
      <w:rFonts w:ascii="Times New Roman" w:hAnsi="Times New Roman"/>
      <w:iCs/>
      <w:spacing w:val="5"/>
      <w:sz w:val="28"/>
      <w:szCs w:val="26"/>
    </w:rPr>
  </w:style>
  <w:style w:type="paragraph" w:styleId="Heading4">
    <w:name w:val="heading 4"/>
    <w:basedOn w:val="Normal"/>
    <w:next w:val="Normal"/>
    <w:link w:val="Heading4Char"/>
    <w:uiPriority w:val="9"/>
    <w:semiHidden/>
    <w:unhideWhenUsed/>
    <w:qFormat/>
    <w:rsid w:val="007559F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59F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59F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59F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59F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59F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EIKSLAI">
    <w:name w:val="PAVEIKSLAI"/>
    <w:basedOn w:val="Normal"/>
    <w:link w:val="PAVEIKSLAIChar"/>
    <w:autoRedefine/>
    <w:qFormat/>
    <w:rsid w:val="007559F5"/>
    <w:pPr>
      <w:spacing w:line="360" w:lineRule="auto"/>
      <w:jc w:val="center"/>
    </w:pPr>
    <w:rPr>
      <w:rFonts w:ascii="Times New Roman" w:hAnsi="Times New Roman" w:cs="Times New Roman"/>
      <w:sz w:val="24"/>
      <w:szCs w:val="24"/>
    </w:rPr>
  </w:style>
  <w:style w:type="character" w:customStyle="1" w:styleId="PAVEIKSLAIChar">
    <w:name w:val="PAVEIKSLAI Char"/>
    <w:basedOn w:val="DefaultParagraphFont"/>
    <w:link w:val="PAVEIKSLAI"/>
    <w:rsid w:val="007559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7559F5"/>
    <w:rPr>
      <w:rFonts w:ascii="Times New Roman" w:hAnsi="Times New Roman"/>
      <w:caps/>
      <w:spacing w:val="5"/>
      <w:sz w:val="32"/>
      <w:szCs w:val="36"/>
    </w:rPr>
  </w:style>
  <w:style w:type="character" w:customStyle="1" w:styleId="Heading2Char">
    <w:name w:val="Heading 2 Char"/>
    <w:basedOn w:val="DefaultParagraphFont"/>
    <w:link w:val="Heading2"/>
    <w:uiPriority w:val="9"/>
    <w:rsid w:val="007559F5"/>
    <w:rPr>
      <w:rFonts w:ascii="Times New Roman" w:hAnsi="Times New Roman"/>
      <w:sz w:val="28"/>
      <w:szCs w:val="28"/>
    </w:rPr>
  </w:style>
  <w:style w:type="character" w:customStyle="1" w:styleId="Heading3Char">
    <w:name w:val="Heading 3 Char"/>
    <w:basedOn w:val="DefaultParagraphFont"/>
    <w:link w:val="Heading3"/>
    <w:uiPriority w:val="9"/>
    <w:rsid w:val="007559F5"/>
    <w:rPr>
      <w:rFonts w:ascii="Times New Roman" w:hAnsi="Times New Roman"/>
      <w:iCs/>
      <w:spacing w:val="5"/>
      <w:sz w:val="28"/>
      <w:szCs w:val="26"/>
    </w:rPr>
  </w:style>
  <w:style w:type="character" w:customStyle="1" w:styleId="Heading4Char">
    <w:name w:val="Heading 4 Char"/>
    <w:basedOn w:val="DefaultParagraphFont"/>
    <w:link w:val="Heading4"/>
    <w:uiPriority w:val="9"/>
    <w:semiHidden/>
    <w:rsid w:val="007559F5"/>
    <w:rPr>
      <w:b/>
      <w:bCs/>
      <w:spacing w:val="5"/>
      <w:sz w:val="24"/>
      <w:szCs w:val="24"/>
    </w:rPr>
  </w:style>
  <w:style w:type="character" w:customStyle="1" w:styleId="Heading5Char">
    <w:name w:val="Heading 5 Char"/>
    <w:basedOn w:val="DefaultParagraphFont"/>
    <w:link w:val="Heading5"/>
    <w:uiPriority w:val="9"/>
    <w:semiHidden/>
    <w:rsid w:val="007559F5"/>
    <w:rPr>
      <w:i/>
      <w:iCs/>
      <w:sz w:val="24"/>
      <w:szCs w:val="24"/>
    </w:rPr>
  </w:style>
  <w:style w:type="character" w:customStyle="1" w:styleId="Heading6Char">
    <w:name w:val="Heading 6 Char"/>
    <w:basedOn w:val="DefaultParagraphFont"/>
    <w:link w:val="Heading6"/>
    <w:uiPriority w:val="9"/>
    <w:semiHidden/>
    <w:rsid w:val="007559F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59F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59F5"/>
    <w:rPr>
      <w:b/>
      <w:bCs/>
      <w:color w:val="7F7F7F" w:themeColor="text1" w:themeTint="80"/>
      <w:sz w:val="20"/>
      <w:szCs w:val="20"/>
    </w:rPr>
  </w:style>
  <w:style w:type="character" w:customStyle="1" w:styleId="Heading9Char">
    <w:name w:val="Heading 9 Char"/>
    <w:basedOn w:val="DefaultParagraphFont"/>
    <w:link w:val="Heading9"/>
    <w:uiPriority w:val="9"/>
    <w:semiHidden/>
    <w:rsid w:val="007559F5"/>
    <w:rPr>
      <w:b/>
      <w:bCs/>
      <w:i/>
      <w:iCs/>
      <w:color w:val="7F7F7F" w:themeColor="text1" w:themeTint="80"/>
      <w:sz w:val="18"/>
      <w:szCs w:val="18"/>
    </w:rPr>
  </w:style>
  <w:style w:type="paragraph" w:styleId="Title">
    <w:name w:val="Title"/>
    <w:basedOn w:val="Normal"/>
    <w:next w:val="Normal"/>
    <w:link w:val="TitleChar"/>
    <w:uiPriority w:val="10"/>
    <w:qFormat/>
    <w:rsid w:val="007559F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559F5"/>
    <w:rPr>
      <w:smallCaps/>
      <w:sz w:val="52"/>
      <w:szCs w:val="52"/>
    </w:rPr>
  </w:style>
  <w:style w:type="paragraph" w:styleId="Subtitle">
    <w:name w:val="Subtitle"/>
    <w:basedOn w:val="Normal"/>
    <w:next w:val="Normal"/>
    <w:link w:val="SubtitleChar"/>
    <w:uiPriority w:val="11"/>
    <w:qFormat/>
    <w:rsid w:val="007559F5"/>
    <w:rPr>
      <w:i/>
      <w:iCs/>
      <w:smallCaps/>
      <w:spacing w:val="10"/>
      <w:sz w:val="28"/>
      <w:szCs w:val="28"/>
    </w:rPr>
  </w:style>
  <w:style w:type="character" w:customStyle="1" w:styleId="SubtitleChar">
    <w:name w:val="Subtitle Char"/>
    <w:basedOn w:val="DefaultParagraphFont"/>
    <w:link w:val="Subtitle"/>
    <w:uiPriority w:val="11"/>
    <w:rsid w:val="007559F5"/>
    <w:rPr>
      <w:i/>
      <w:iCs/>
      <w:smallCaps/>
      <w:spacing w:val="10"/>
      <w:sz w:val="28"/>
      <w:szCs w:val="28"/>
    </w:rPr>
  </w:style>
  <w:style w:type="character" w:styleId="Strong">
    <w:name w:val="Strong"/>
    <w:uiPriority w:val="22"/>
    <w:qFormat/>
    <w:rsid w:val="007559F5"/>
    <w:rPr>
      <w:b/>
      <w:bCs/>
    </w:rPr>
  </w:style>
  <w:style w:type="character" w:styleId="Emphasis">
    <w:name w:val="Emphasis"/>
    <w:aliases w:val="LENTELES"/>
    <w:uiPriority w:val="20"/>
    <w:qFormat/>
    <w:rsid w:val="007559F5"/>
    <w:rPr>
      <w:rFonts w:ascii="Times New Roman" w:hAnsi="Times New Roman"/>
      <w:bCs/>
      <w:iCs/>
      <w:spacing w:val="10"/>
      <w:sz w:val="24"/>
    </w:rPr>
  </w:style>
  <w:style w:type="paragraph" w:styleId="NoSpacing">
    <w:name w:val="No Spacing"/>
    <w:basedOn w:val="Normal"/>
    <w:uiPriority w:val="1"/>
    <w:qFormat/>
    <w:rsid w:val="007559F5"/>
    <w:pPr>
      <w:spacing w:after="0" w:line="240" w:lineRule="auto"/>
    </w:pPr>
  </w:style>
  <w:style w:type="paragraph" w:styleId="ListParagraph">
    <w:name w:val="List Paragraph"/>
    <w:basedOn w:val="Normal"/>
    <w:uiPriority w:val="34"/>
    <w:qFormat/>
    <w:rsid w:val="007559F5"/>
    <w:pPr>
      <w:ind w:left="720"/>
      <w:contextualSpacing/>
    </w:pPr>
  </w:style>
  <w:style w:type="paragraph" w:styleId="Quote">
    <w:name w:val="Quote"/>
    <w:basedOn w:val="Normal"/>
    <w:next w:val="Normal"/>
    <w:link w:val="QuoteChar"/>
    <w:uiPriority w:val="29"/>
    <w:qFormat/>
    <w:rsid w:val="007559F5"/>
    <w:rPr>
      <w:i/>
      <w:iCs/>
    </w:rPr>
  </w:style>
  <w:style w:type="character" w:customStyle="1" w:styleId="QuoteChar">
    <w:name w:val="Quote Char"/>
    <w:basedOn w:val="DefaultParagraphFont"/>
    <w:link w:val="Quote"/>
    <w:uiPriority w:val="29"/>
    <w:rsid w:val="007559F5"/>
    <w:rPr>
      <w:i/>
      <w:iCs/>
    </w:rPr>
  </w:style>
  <w:style w:type="paragraph" w:styleId="IntenseQuote">
    <w:name w:val="Intense Quote"/>
    <w:basedOn w:val="Normal"/>
    <w:next w:val="Normal"/>
    <w:link w:val="IntenseQuoteChar"/>
    <w:uiPriority w:val="30"/>
    <w:qFormat/>
    <w:rsid w:val="007559F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559F5"/>
    <w:rPr>
      <w:i/>
      <w:iCs/>
    </w:rPr>
  </w:style>
  <w:style w:type="character" w:styleId="SubtleEmphasis">
    <w:name w:val="Subtle Emphasis"/>
    <w:uiPriority w:val="19"/>
    <w:qFormat/>
    <w:rsid w:val="007559F5"/>
    <w:rPr>
      <w:i/>
      <w:iCs/>
    </w:rPr>
  </w:style>
  <w:style w:type="character" w:styleId="IntenseEmphasis">
    <w:name w:val="Intense Emphasis"/>
    <w:uiPriority w:val="21"/>
    <w:qFormat/>
    <w:rsid w:val="007559F5"/>
    <w:rPr>
      <w:b/>
      <w:bCs/>
      <w:i/>
      <w:iCs/>
    </w:rPr>
  </w:style>
  <w:style w:type="character" w:styleId="SubtleReference">
    <w:name w:val="Subtle Reference"/>
    <w:basedOn w:val="DefaultParagraphFont"/>
    <w:uiPriority w:val="31"/>
    <w:qFormat/>
    <w:rsid w:val="007559F5"/>
    <w:rPr>
      <w:smallCaps/>
    </w:rPr>
  </w:style>
  <w:style w:type="character" w:styleId="IntenseReference">
    <w:name w:val="Intense Reference"/>
    <w:uiPriority w:val="32"/>
    <w:qFormat/>
    <w:rsid w:val="007559F5"/>
    <w:rPr>
      <w:b/>
      <w:bCs/>
      <w:smallCaps/>
    </w:rPr>
  </w:style>
  <w:style w:type="character" w:styleId="BookTitle">
    <w:name w:val="Book Title"/>
    <w:basedOn w:val="DefaultParagraphFont"/>
    <w:uiPriority w:val="33"/>
    <w:qFormat/>
    <w:rsid w:val="007559F5"/>
    <w:rPr>
      <w:i/>
      <w:iCs/>
      <w:smallCaps/>
      <w:spacing w:val="5"/>
    </w:rPr>
  </w:style>
  <w:style w:type="paragraph" w:styleId="TOCHeading">
    <w:name w:val="TOC Heading"/>
    <w:basedOn w:val="Heading1"/>
    <w:next w:val="Normal"/>
    <w:uiPriority w:val="39"/>
    <w:unhideWhenUsed/>
    <w:qFormat/>
    <w:rsid w:val="007559F5"/>
    <w:pPr>
      <w:outlineLvl w:val="9"/>
    </w:pPr>
    <w:rPr>
      <w:lang w:bidi="en-US"/>
    </w:rPr>
  </w:style>
  <w:style w:type="table" w:styleId="TableGrid">
    <w:name w:val="Table Grid"/>
    <w:basedOn w:val="TableNormal"/>
    <w:uiPriority w:val="59"/>
    <w:rsid w:val="00D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A4A0F"/>
    <w:pPr>
      <w:spacing w:after="100"/>
    </w:pPr>
  </w:style>
  <w:style w:type="character" w:styleId="Hyperlink">
    <w:name w:val="Hyperlink"/>
    <w:unhideWhenUsed/>
    <w:rsid w:val="0007778A"/>
    <w:rPr>
      <w:color w:val="0000FF"/>
      <w:u w:val="single"/>
    </w:rPr>
  </w:style>
  <w:style w:type="paragraph" w:styleId="CommentText">
    <w:name w:val="annotation text"/>
    <w:basedOn w:val="Normal"/>
    <w:link w:val="CommentTextChar"/>
    <w:uiPriority w:val="99"/>
    <w:semiHidden/>
    <w:unhideWhenUsed/>
    <w:rsid w:val="00212A85"/>
    <w:pPr>
      <w:spacing w:line="240" w:lineRule="auto"/>
    </w:pPr>
    <w:rPr>
      <w:sz w:val="20"/>
      <w:szCs w:val="20"/>
    </w:rPr>
  </w:style>
  <w:style w:type="character" w:customStyle="1" w:styleId="CommentTextChar">
    <w:name w:val="Comment Text Char"/>
    <w:basedOn w:val="DefaultParagraphFont"/>
    <w:link w:val="CommentText"/>
    <w:uiPriority w:val="99"/>
    <w:semiHidden/>
    <w:rsid w:val="00212A85"/>
    <w:rPr>
      <w:sz w:val="20"/>
      <w:szCs w:val="20"/>
    </w:rPr>
  </w:style>
  <w:style w:type="character" w:styleId="CommentReference">
    <w:name w:val="annotation reference"/>
    <w:semiHidden/>
    <w:unhideWhenUsed/>
    <w:rsid w:val="00212A85"/>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21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A78"/>
    <w:rPr>
      <w:b/>
      <w:bCs/>
    </w:rPr>
  </w:style>
  <w:style w:type="character" w:customStyle="1" w:styleId="CommentSubjectChar">
    <w:name w:val="Comment Subject Char"/>
    <w:basedOn w:val="CommentTextChar"/>
    <w:link w:val="CommentSubject"/>
    <w:uiPriority w:val="99"/>
    <w:semiHidden/>
    <w:rsid w:val="007D2A78"/>
    <w:rPr>
      <w:b/>
      <w:bCs/>
      <w:sz w:val="20"/>
      <w:szCs w:val="20"/>
    </w:rPr>
  </w:style>
  <w:style w:type="paragraph" w:styleId="Header">
    <w:name w:val="header"/>
    <w:basedOn w:val="Normal"/>
    <w:link w:val="HeaderChar"/>
    <w:uiPriority w:val="99"/>
    <w:unhideWhenUsed/>
    <w:rsid w:val="00525A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AD9"/>
  </w:style>
  <w:style w:type="paragraph" w:styleId="Footer">
    <w:name w:val="footer"/>
    <w:basedOn w:val="Normal"/>
    <w:link w:val="FooterChar"/>
    <w:uiPriority w:val="99"/>
    <w:unhideWhenUsed/>
    <w:rsid w:val="00525A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AD9"/>
  </w:style>
  <w:style w:type="paragraph" w:customStyle="1" w:styleId="Default">
    <w:name w:val="Default"/>
    <w:rsid w:val="00E92B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75390">
      <w:bodyDiv w:val="1"/>
      <w:marLeft w:val="0"/>
      <w:marRight w:val="0"/>
      <w:marTop w:val="0"/>
      <w:marBottom w:val="0"/>
      <w:divBdr>
        <w:top w:val="none" w:sz="0" w:space="0" w:color="auto"/>
        <w:left w:val="none" w:sz="0" w:space="0" w:color="auto"/>
        <w:bottom w:val="none" w:sz="0" w:space="0" w:color="auto"/>
        <w:right w:val="none" w:sz="0" w:space="0" w:color="auto"/>
      </w:divBdr>
    </w:div>
    <w:div w:id="431364052">
      <w:bodyDiv w:val="1"/>
      <w:marLeft w:val="0"/>
      <w:marRight w:val="0"/>
      <w:marTop w:val="0"/>
      <w:marBottom w:val="0"/>
      <w:divBdr>
        <w:top w:val="none" w:sz="0" w:space="0" w:color="auto"/>
        <w:left w:val="none" w:sz="0" w:space="0" w:color="auto"/>
        <w:bottom w:val="none" w:sz="0" w:space="0" w:color="auto"/>
        <w:right w:val="none" w:sz="0" w:space="0" w:color="auto"/>
      </w:divBdr>
    </w:div>
    <w:div w:id="857159170">
      <w:bodyDiv w:val="1"/>
      <w:marLeft w:val="0"/>
      <w:marRight w:val="0"/>
      <w:marTop w:val="0"/>
      <w:marBottom w:val="0"/>
      <w:divBdr>
        <w:top w:val="none" w:sz="0" w:space="0" w:color="auto"/>
        <w:left w:val="none" w:sz="0" w:space="0" w:color="auto"/>
        <w:bottom w:val="none" w:sz="0" w:space="0" w:color="auto"/>
        <w:right w:val="none" w:sz="0" w:space="0" w:color="auto"/>
      </w:divBdr>
    </w:div>
    <w:div w:id="1051270077">
      <w:bodyDiv w:val="1"/>
      <w:marLeft w:val="0"/>
      <w:marRight w:val="0"/>
      <w:marTop w:val="0"/>
      <w:marBottom w:val="0"/>
      <w:divBdr>
        <w:top w:val="none" w:sz="0" w:space="0" w:color="auto"/>
        <w:left w:val="none" w:sz="0" w:space="0" w:color="auto"/>
        <w:bottom w:val="none" w:sz="0" w:space="0" w:color="auto"/>
        <w:right w:val="none" w:sz="0" w:space="0" w:color="auto"/>
      </w:divBdr>
    </w:div>
    <w:div w:id="1272669941">
      <w:bodyDiv w:val="1"/>
      <w:marLeft w:val="0"/>
      <w:marRight w:val="0"/>
      <w:marTop w:val="0"/>
      <w:marBottom w:val="0"/>
      <w:divBdr>
        <w:top w:val="none" w:sz="0" w:space="0" w:color="auto"/>
        <w:left w:val="none" w:sz="0" w:space="0" w:color="auto"/>
        <w:bottom w:val="none" w:sz="0" w:space="0" w:color="auto"/>
        <w:right w:val="none" w:sz="0" w:space="0" w:color="auto"/>
      </w:divBdr>
    </w:div>
    <w:div w:id="1453670915">
      <w:bodyDiv w:val="1"/>
      <w:marLeft w:val="0"/>
      <w:marRight w:val="0"/>
      <w:marTop w:val="0"/>
      <w:marBottom w:val="0"/>
      <w:divBdr>
        <w:top w:val="none" w:sz="0" w:space="0" w:color="auto"/>
        <w:left w:val="none" w:sz="0" w:space="0" w:color="auto"/>
        <w:bottom w:val="none" w:sz="0" w:space="0" w:color="auto"/>
        <w:right w:val="none" w:sz="0" w:space="0" w:color="auto"/>
      </w:divBdr>
    </w:div>
    <w:div w:id="1483961273">
      <w:bodyDiv w:val="1"/>
      <w:marLeft w:val="0"/>
      <w:marRight w:val="0"/>
      <w:marTop w:val="0"/>
      <w:marBottom w:val="0"/>
      <w:divBdr>
        <w:top w:val="none" w:sz="0" w:space="0" w:color="auto"/>
        <w:left w:val="none" w:sz="0" w:space="0" w:color="auto"/>
        <w:bottom w:val="none" w:sz="0" w:space="0" w:color="auto"/>
        <w:right w:val="none" w:sz="0" w:space="0" w:color="auto"/>
      </w:divBdr>
    </w:div>
    <w:div w:id="1505821208">
      <w:bodyDiv w:val="1"/>
      <w:marLeft w:val="0"/>
      <w:marRight w:val="0"/>
      <w:marTop w:val="0"/>
      <w:marBottom w:val="0"/>
      <w:divBdr>
        <w:top w:val="none" w:sz="0" w:space="0" w:color="auto"/>
        <w:left w:val="none" w:sz="0" w:space="0" w:color="auto"/>
        <w:bottom w:val="none" w:sz="0" w:space="0" w:color="auto"/>
        <w:right w:val="none" w:sz="0" w:space="0" w:color="auto"/>
      </w:divBdr>
    </w:div>
    <w:div w:id="1565027259">
      <w:bodyDiv w:val="1"/>
      <w:marLeft w:val="0"/>
      <w:marRight w:val="0"/>
      <w:marTop w:val="0"/>
      <w:marBottom w:val="0"/>
      <w:divBdr>
        <w:top w:val="none" w:sz="0" w:space="0" w:color="auto"/>
        <w:left w:val="none" w:sz="0" w:space="0" w:color="auto"/>
        <w:bottom w:val="none" w:sz="0" w:space="0" w:color="auto"/>
        <w:right w:val="none" w:sz="0" w:space="0" w:color="auto"/>
      </w:divBdr>
    </w:div>
    <w:div w:id="20705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lt/dokumentai/2014-2020-m-rekomendacijos-del-projektu-islaidu-atitikties-europos-sajungos-strukturiniu-fondu-reikalavimams" TargetMode="External"/><Relationship Id="rId5" Type="http://schemas.openxmlformats.org/officeDocument/2006/relationships/settings" Target="settings.xml"/><Relationship Id="rId10" Type="http://schemas.openxmlformats.org/officeDocument/2006/relationships/hyperlink" Target="http://www.mita.lt/lt/inovacijos/atviros-prieigos-centrai/" TargetMode="External"/><Relationship Id="rId4" Type="http://schemas.microsoft.com/office/2007/relationships/stylesWithEffects" Target="stylesWithEffects.xml"/><Relationship Id="rId9" Type="http://schemas.openxmlformats.org/officeDocument/2006/relationships/hyperlink" Target="http://www.ukmin.lt/web/lt/intelektas_lt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1A16-37D1-461B-8D57-486634DC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42759</Words>
  <Characters>24373</Characters>
  <Application>Microsoft Office Word</Application>
  <DocSecurity>0</DocSecurity>
  <Lines>203</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Vezeviciene Inga</dc:creator>
  <cp:lastModifiedBy>v.vislaviciute</cp:lastModifiedBy>
  <cp:revision>2</cp:revision>
  <cp:lastPrinted>2015-09-02T13:01:00Z</cp:lastPrinted>
  <dcterms:created xsi:type="dcterms:W3CDTF">2015-09-02T13:30:00Z</dcterms:created>
  <dcterms:modified xsi:type="dcterms:W3CDTF">2015-09-02T13:30:00Z</dcterms:modified>
</cp:coreProperties>
</file>