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72" w:rsidRDefault="00B67712">
      <w:pPr>
        <w:tabs>
          <w:tab w:val="center" w:pos="4819"/>
          <w:tab w:val="right" w:pos="9638"/>
        </w:tabs>
        <w:ind w:firstLine="851"/>
        <w:jc w:val="center"/>
        <w:rPr>
          <w:szCs w:val="24"/>
        </w:rPr>
      </w:pPr>
      <w:r w:rsidRPr="007D3761">
        <w:rPr>
          <w:b/>
          <w:caps/>
          <w:noProof/>
          <w:lang w:eastAsia="lt-LT"/>
        </w:rPr>
        <w:drawing>
          <wp:anchor distT="0" distB="0" distL="114300" distR="114300" simplePos="0" relativeHeight="251659264" behindDoc="0" locked="0" layoutInCell="0" allowOverlap="1" wp14:anchorId="18936B38" wp14:editId="03FAAEF6">
            <wp:simplePos x="0" y="0"/>
            <wp:positionH relativeFrom="page">
              <wp:posOffset>3822921</wp:posOffset>
            </wp:positionH>
            <wp:positionV relativeFrom="page">
              <wp:posOffset>1060837</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41403" cy="595223"/>
                    </a:xfrm>
                    <a:prstGeom prst="rect">
                      <a:avLst/>
                    </a:prstGeom>
                    <a:noFill/>
                    <a:ln w="9525">
                      <a:noFill/>
                      <a:miter lim="800000"/>
                      <a:headEnd/>
                      <a:tailEnd/>
                    </a:ln>
                  </pic:spPr>
                </pic:pic>
              </a:graphicData>
            </a:graphic>
          </wp:anchor>
        </w:drawing>
      </w:r>
    </w:p>
    <w:p w:rsidR="00A04672" w:rsidRDefault="00A04672" w:rsidP="00B67712">
      <w:pPr>
        <w:tabs>
          <w:tab w:val="left" w:pos="709"/>
        </w:tabs>
        <w:rPr>
          <w:b/>
          <w:szCs w:val="24"/>
        </w:rPr>
      </w:pPr>
    </w:p>
    <w:p w:rsidR="00A04672" w:rsidRDefault="00192A94">
      <w:pPr>
        <w:tabs>
          <w:tab w:val="left" w:pos="709"/>
        </w:tabs>
        <w:jc w:val="center"/>
        <w:rPr>
          <w:b/>
          <w:caps/>
          <w:szCs w:val="24"/>
        </w:rPr>
      </w:pPr>
      <w:r>
        <w:rPr>
          <w:b/>
          <w:caps/>
          <w:szCs w:val="24"/>
        </w:rPr>
        <w:t>LIETUVOS RESPUBLIKOS ŪKIO MINISTRAS</w:t>
      </w:r>
    </w:p>
    <w:p w:rsidR="00A04672" w:rsidRDefault="00A04672">
      <w:pPr>
        <w:ind w:firstLine="851"/>
        <w:jc w:val="center"/>
        <w:rPr>
          <w:b/>
          <w:caps/>
          <w:szCs w:val="24"/>
        </w:rPr>
      </w:pPr>
    </w:p>
    <w:p w:rsidR="00A04672" w:rsidRDefault="00192A94">
      <w:pPr>
        <w:jc w:val="center"/>
        <w:rPr>
          <w:b/>
          <w:szCs w:val="24"/>
          <w:lang w:eastAsia="lt-LT"/>
        </w:rPr>
      </w:pPr>
      <w:r>
        <w:rPr>
          <w:b/>
          <w:szCs w:val="24"/>
          <w:lang w:eastAsia="lt-LT"/>
        </w:rPr>
        <w:t>ĮSAKYMAS</w:t>
      </w:r>
    </w:p>
    <w:p w:rsidR="00A04672" w:rsidRDefault="00192A94">
      <w:pPr>
        <w:jc w:val="center"/>
        <w:rPr>
          <w:b/>
          <w:bCs/>
          <w:caps/>
          <w:szCs w:val="24"/>
        </w:rPr>
      </w:pPr>
      <w:r>
        <w:rPr>
          <w:b/>
          <w:bCs/>
          <w:caps/>
          <w:szCs w:val="24"/>
        </w:rPr>
        <w:t xml:space="preserve">DĖL LIETUVOS RESPUBLIKOS ŪKIO MINISTRO 2018 M. BALANDŽIO 24 D. ĮSAKYMO NR. 4-241 „dėl 2014–2020 metų europos sąjungos fondų investicijų veiksmų programos 1 prioriteto „mokslinių tyrimų, eksperimentinės plėtros ir inovacijų skatinimas“ priemonės Nr. </w:t>
      </w:r>
      <w:r>
        <w:rPr>
          <w:b/>
          <w:bCs/>
          <w:caps/>
          <w:szCs w:val="24"/>
          <w:lang w:eastAsia="lt-LT"/>
        </w:rPr>
        <w:t xml:space="preserve">01.2.1-MITA-T-851 </w:t>
      </w:r>
      <w:r>
        <w:rPr>
          <w:rFonts w:eastAsia="Calibri"/>
          <w:b/>
          <w:bCs/>
          <w:caps/>
          <w:szCs w:val="24"/>
          <w:lang w:eastAsia="lt-LT"/>
        </w:rPr>
        <w:t>„INOČEKIAI“</w:t>
      </w:r>
      <w:r>
        <w:rPr>
          <w:b/>
          <w:bCs/>
          <w:caps/>
          <w:szCs w:val="24"/>
          <w:lang w:eastAsia="lt-LT"/>
        </w:rPr>
        <w:t xml:space="preserve"> </w:t>
      </w:r>
      <w:r>
        <w:rPr>
          <w:b/>
          <w:bCs/>
          <w:caps/>
          <w:szCs w:val="24"/>
        </w:rPr>
        <w:t>projektų finansavimo sąlygų aprašo NR. 1 patvirtinimo“ PAKEITIMO</w:t>
      </w:r>
    </w:p>
    <w:p w:rsidR="00A04672" w:rsidRDefault="00A04672"/>
    <w:p w:rsidR="00A04672" w:rsidRDefault="006B2242" w:rsidP="00C7320D">
      <w:pPr>
        <w:ind w:firstLine="851"/>
        <w:jc w:val="center"/>
        <w:rPr>
          <w:szCs w:val="24"/>
        </w:rPr>
      </w:pPr>
      <w:r>
        <w:rPr>
          <w:szCs w:val="24"/>
        </w:rPr>
        <w:t xml:space="preserve">2018 m. liepos 27 </w:t>
      </w:r>
      <w:r w:rsidR="00192A94">
        <w:rPr>
          <w:szCs w:val="24"/>
        </w:rPr>
        <w:t>d. Nr. 4-</w:t>
      </w:r>
      <w:r>
        <w:rPr>
          <w:szCs w:val="24"/>
        </w:rPr>
        <w:t>482</w:t>
      </w:r>
    </w:p>
    <w:p w:rsidR="00A04672" w:rsidRDefault="00192A94">
      <w:pPr>
        <w:ind w:firstLine="851"/>
        <w:jc w:val="center"/>
        <w:rPr>
          <w:szCs w:val="24"/>
        </w:rPr>
      </w:pPr>
      <w:r>
        <w:rPr>
          <w:szCs w:val="24"/>
        </w:rPr>
        <w:t>Vilnius</w:t>
      </w:r>
    </w:p>
    <w:p w:rsidR="00A04672" w:rsidRDefault="00A04672">
      <w:pPr>
        <w:ind w:firstLine="851"/>
        <w:jc w:val="center"/>
        <w:rPr>
          <w:szCs w:val="24"/>
        </w:rPr>
      </w:pPr>
    </w:p>
    <w:p w:rsidR="00A04672" w:rsidRDefault="00192A94">
      <w:pPr>
        <w:suppressAutoHyphens/>
        <w:ind w:firstLine="851"/>
        <w:jc w:val="both"/>
        <w:textAlignment w:val="center"/>
        <w:rPr>
          <w:color w:val="000000"/>
          <w:szCs w:val="24"/>
        </w:rPr>
      </w:pPr>
      <w:r>
        <w:rPr>
          <w:szCs w:val="24"/>
        </w:rPr>
        <w:t>Vadovaudamasis Projektų administravimo ir finansavimo taisyklių, patvirtintų Lietuvos Respublikos finansų ministro 2014 m. spalio 8 d. įsakymu Nr. 1K-316 „Dėl Projektų administravimo ir finansavimo taisyklių patvirtinimo“, 89 punktu</w:t>
      </w:r>
      <w:r>
        <w:rPr>
          <w:color w:val="000000"/>
          <w:szCs w:val="24"/>
        </w:rPr>
        <w:t>,</w:t>
      </w:r>
    </w:p>
    <w:p w:rsidR="00A04672" w:rsidRDefault="00192A94">
      <w:pPr>
        <w:ind w:firstLine="851"/>
        <w:jc w:val="both"/>
        <w:rPr>
          <w:szCs w:val="24"/>
        </w:rPr>
      </w:pPr>
      <w:r>
        <w:rPr>
          <w:szCs w:val="24"/>
        </w:rPr>
        <w:t xml:space="preserve">p a k e i č i u 2014–2020 metų Europos Sąjungos fondų investicijų veiksmų programos 1 prioriteto „Mokslinių tyrimų, eksperimentinės plėtros ir inovacijų skatinimas“ priemonės Nr. </w:t>
      </w:r>
      <w:r>
        <w:rPr>
          <w:szCs w:val="24"/>
          <w:lang w:eastAsia="lt-LT"/>
        </w:rPr>
        <w:t xml:space="preserve">01.2.1-MITA-T-851 </w:t>
      </w:r>
      <w:r>
        <w:rPr>
          <w:rFonts w:eastAsia="Calibri"/>
          <w:szCs w:val="24"/>
          <w:lang w:eastAsia="lt-LT"/>
        </w:rPr>
        <w:t>„</w:t>
      </w:r>
      <w:proofErr w:type="spellStart"/>
      <w:r>
        <w:rPr>
          <w:rFonts w:eastAsia="Calibri"/>
          <w:szCs w:val="24"/>
          <w:lang w:eastAsia="lt-LT"/>
        </w:rPr>
        <w:t>Inočekiai</w:t>
      </w:r>
      <w:proofErr w:type="spellEnd"/>
      <w:r>
        <w:rPr>
          <w:rFonts w:eastAsia="Calibri"/>
          <w:szCs w:val="24"/>
          <w:lang w:eastAsia="lt-LT"/>
        </w:rPr>
        <w:t>“</w:t>
      </w:r>
      <w:r>
        <w:rPr>
          <w:szCs w:val="24"/>
          <w:lang w:eastAsia="lt-LT"/>
        </w:rPr>
        <w:t xml:space="preserve"> projektų finansavimo sąlygų aprašą Nr. 1, patvirtintą Lietuvos R</w:t>
      </w:r>
      <w:r>
        <w:rPr>
          <w:szCs w:val="24"/>
        </w:rPr>
        <w:t xml:space="preserve">espublikos ūkio ministro 2018 m. balandžio 24 d. įsakymu Nr. 4-241 „Dėl 2014–2020 metų Europos Sąjungos fondų investicijų veiksmų programos 1 prioriteto „Mokslinių tyrimų, eksperimentinės plėtros ir inovacijų skatinimas“ priemonės Nr. </w:t>
      </w:r>
      <w:r>
        <w:rPr>
          <w:szCs w:val="24"/>
          <w:lang w:eastAsia="lt-LT"/>
        </w:rPr>
        <w:t xml:space="preserve">01.2.1-MITA-T-851 </w:t>
      </w:r>
      <w:r>
        <w:rPr>
          <w:rFonts w:eastAsia="Calibri"/>
          <w:szCs w:val="24"/>
          <w:lang w:eastAsia="lt-LT"/>
        </w:rPr>
        <w:t>„</w:t>
      </w:r>
      <w:proofErr w:type="spellStart"/>
      <w:r>
        <w:rPr>
          <w:rFonts w:eastAsia="Calibri"/>
          <w:szCs w:val="24"/>
          <w:lang w:eastAsia="lt-LT"/>
        </w:rPr>
        <w:t>Inočekiai</w:t>
      </w:r>
      <w:proofErr w:type="spellEnd"/>
      <w:r>
        <w:rPr>
          <w:rFonts w:eastAsia="Calibri"/>
          <w:szCs w:val="24"/>
          <w:lang w:eastAsia="lt-LT"/>
        </w:rPr>
        <w:t>“</w:t>
      </w:r>
      <w:r>
        <w:rPr>
          <w:szCs w:val="24"/>
          <w:lang w:eastAsia="lt-LT"/>
        </w:rPr>
        <w:t xml:space="preserve"> </w:t>
      </w:r>
      <w:r>
        <w:rPr>
          <w:szCs w:val="24"/>
        </w:rPr>
        <w:t xml:space="preserve">projektų finansavimo sąlygų aprašo Nr. 1 patvirtinimo“: </w:t>
      </w:r>
    </w:p>
    <w:p w:rsidR="00A04672" w:rsidRDefault="00192A94">
      <w:pPr>
        <w:ind w:firstLine="851"/>
        <w:jc w:val="both"/>
        <w:rPr>
          <w:szCs w:val="24"/>
        </w:rPr>
      </w:pPr>
      <w:r>
        <w:rPr>
          <w:szCs w:val="24"/>
        </w:rPr>
        <w:t xml:space="preserve">1. </w:t>
      </w:r>
      <w:r>
        <w:rPr>
          <w:szCs w:val="24"/>
        </w:rPr>
        <w:tab/>
        <w:t>Pakeičiu 8 punktą ir jį išdėstau taip:</w:t>
      </w:r>
    </w:p>
    <w:p w:rsidR="00A04672" w:rsidRDefault="00192A94">
      <w:pPr>
        <w:tabs>
          <w:tab w:val="left" w:pos="993"/>
        </w:tabs>
        <w:ind w:firstLine="851"/>
        <w:jc w:val="both"/>
        <w:rPr>
          <w:szCs w:val="24"/>
        </w:rPr>
      </w:pPr>
      <w:r>
        <w:rPr>
          <w:szCs w:val="24"/>
        </w:rPr>
        <w:t xml:space="preserve">„8. Pagal Aprašą projektams įgyvendinti numatoma skirti iki 4 500 000 </w:t>
      </w:r>
      <w:proofErr w:type="spellStart"/>
      <w:r>
        <w:rPr>
          <w:szCs w:val="24"/>
        </w:rPr>
        <w:t>Eur</w:t>
      </w:r>
      <w:proofErr w:type="spellEnd"/>
      <w:r>
        <w:rPr>
          <w:szCs w:val="24"/>
        </w:rPr>
        <w:t xml:space="preserve"> (keturių milijonų penkių šimtų tūkstančių eurų) Europos regioninės plėtros fondo lėšų ir numatoma skelbti 3 kvietimus teikti paraiškas gauti finansavimą. Pirmajam kvietimui – pradedantiesiems </w:t>
      </w:r>
      <w:proofErr w:type="spellStart"/>
      <w:r>
        <w:rPr>
          <w:szCs w:val="24"/>
        </w:rPr>
        <w:t>inovatoriams</w:t>
      </w:r>
      <w:proofErr w:type="spellEnd"/>
      <w:r>
        <w:rPr>
          <w:szCs w:val="24"/>
        </w:rPr>
        <w:t xml:space="preserve"> – numatoma skirti iki 1 000 000 </w:t>
      </w:r>
      <w:proofErr w:type="spellStart"/>
      <w:r>
        <w:rPr>
          <w:szCs w:val="24"/>
        </w:rPr>
        <w:t>Eur</w:t>
      </w:r>
      <w:proofErr w:type="spellEnd"/>
      <w:r>
        <w:rPr>
          <w:szCs w:val="24"/>
        </w:rPr>
        <w:t xml:space="preserve"> (vieno milijono eurų), antrajam kvietimui – brandiesiems </w:t>
      </w:r>
      <w:proofErr w:type="spellStart"/>
      <w:r>
        <w:rPr>
          <w:szCs w:val="24"/>
        </w:rPr>
        <w:t>inovatoriams</w:t>
      </w:r>
      <w:proofErr w:type="spellEnd"/>
      <w:r>
        <w:rPr>
          <w:szCs w:val="24"/>
        </w:rPr>
        <w:t xml:space="preserve"> – iki 3 000 000 </w:t>
      </w:r>
      <w:proofErr w:type="spellStart"/>
      <w:r>
        <w:rPr>
          <w:szCs w:val="24"/>
        </w:rPr>
        <w:t>Eur</w:t>
      </w:r>
      <w:proofErr w:type="spellEnd"/>
      <w:r>
        <w:rPr>
          <w:szCs w:val="24"/>
        </w:rPr>
        <w:t xml:space="preserve"> (trijų milijonų eurų), trečiajam kvietimui, skirtam pareiškėjams, turintiems Europos Komisijos suteiktą Kokybės ženklo (angl. „</w:t>
      </w:r>
      <w:proofErr w:type="spellStart"/>
      <w:r>
        <w:rPr>
          <w:szCs w:val="24"/>
        </w:rPr>
        <w:t>Seal</w:t>
      </w:r>
      <w:proofErr w:type="spellEnd"/>
      <w:r>
        <w:rPr>
          <w:szCs w:val="24"/>
        </w:rPr>
        <w:t xml:space="preserve"> </w:t>
      </w:r>
      <w:proofErr w:type="spellStart"/>
      <w:r>
        <w:rPr>
          <w:szCs w:val="24"/>
        </w:rPr>
        <w:t>of</w:t>
      </w:r>
      <w:proofErr w:type="spellEnd"/>
      <w:r>
        <w:rPr>
          <w:szCs w:val="24"/>
        </w:rPr>
        <w:t xml:space="preserve"> </w:t>
      </w:r>
      <w:proofErr w:type="spellStart"/>
      <w:r>
        <w:rPr>
          <w:szCs w:val="24"/>
        </w:rPr>
        <w:t>Excellence</w:t>
      </w:r>
      <w:proofErr w:type="spellEnd"/>
      <w:r>
        <w:rPr>
          <w:szCs w:val="24"/>
        </w:rPr>
        <w:t xml:space="preserve">“) pagal programos „Horizontas 2020“ priemonę „MVĮ instrumentas“, bet negavusiems paramos priemonės „MVĮ instrumentas“ 1 etapo (fazės) veikloms (techninių, komercinių galimybių įvertinimo veikloms) sertifikatą, – iki 500 000 </w:t>
      </w:r>
      <w:proofErr w:type="spellStart"/>
      <w:r>
        <w:rPr>
          <w:szCs w:val="24"/>
        </w:rPr>
        <w:t>Eur</w:t>
      </w:r>
      <w:proofErr w:type="spellEnd"/>
      <w:r>
        <w:rPr>
          <w:szCs w:val="24"/>
        </w:rPr>
        <w:t xml:space="preserve"> (penkių šimtų tūkstančių eurų). Jeigu paskelbus kvietimą pagal teigiamai įvertintas ir vertinamas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ir nepanaudotos ar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p>
    <w:p w:rsidR="00A04672" w:rsidRDefault="00192A94">
      <w:pPr>
        <w:tabs>
          <w:tab w:val="left" w:pos="993"/>
        </w:tabs>
        <w:ind w:firstLine="851"/>
        <w:jc w:val="both"/>
        <w:rPr>
          <w:szCs w:val="24"/>
        </w:rPr>
      </w:pPr>
      <w:r>
        <w:rPr>
          <w:szCs w:val="24"/>
        </w:rPr>
        <w:t>2. Pakeičiu 56.6 papunktį ir jį išdėstau taip:</w:t>
      </w:r>
    </w:p>
    <w:p w:rsidR="00A04672" w:rsidRDefault="00192A94">
      <w:pPr>
        <w:ind w:firstLine="851"/>
        <w:jc w:val="both"/>
        <w:rPr>
          <w:szCs w:val="24"/>
          <w:lang w:eastAsia="lt-LT"/>
        </w:rPr>
      </w:pPr>
      <w:r>
        <w:rPr>
          <w:szCs w:val="24"/>
        </w:rPr>
        <w:t xml:space="preserve">„56.6. Lietuvos statistikos departamentui </w:t>
      </w:r>
      <w:r>
        <w:rPr>
          <w:szCs w:val="24"/>
          <w:lang w:eastAsia="lt-LT"/>
        </w:rPr>
        <w:t>teiktos per paskutinius 3 metus iki paraiškos registravimo įgyvendinančiojoje institucijoje dienos arba laikotarpiu nuo įmonės įregistravimo (jeigu įmonė vykdo veiklą mažiau negu trejus metus) patirtų MTEP išlaidų ataskaitos (-ų) kopiją (-</w:t>
      </w:r>
      <w:proofErr w:type="spellStart"/>
      <w:r>
        <w:rPr>
          <w:szCs w:val="24"/>
          <w:lang w:eastAsia="lt-LT"/>
        </w:rPr>
        <w:t>as</w:t>
      </w:r>
      <w:proofErr w:type="spellEnd"/>
      <w:r>
        <w:rPr>
          <w:szCs w:val="24"/>
          <w:lang w:eastAsia="lt-LT"/>
        </w:rPr>
        <w:t>) arba dokumento (elektroninio laiško ar kito informacijos šaltinio, kuriuo patvirtinamas MTEP išlaidų ataskaitos pateikimo Lietuvos statistikos departamentui faktas), patvirtinančio MTEP išlaidų ataskaitos (-ų) pateikimą Lietuvos statistikos departamentui, kopiją (-</w:t>
      </w:r>
      <w:proofErr w:type="spellStart"/>
      <w:r>
        <w:rPr>
          <w:szCs w:val="24"/>
          <w:lang w:eastAsia="lt-LT"/>
        </w:rPr>
        <w:t>os</w:t>
      </w:r>
      <w:proofErr w:type="spellEnd"/>
      <w:r>
        <w:rPr>
          <w:szCs w:val="24"/>
          <w:lang w:eastAsia="lt-LT"/>
        </w:rPr>
        <w:t xml:space="preserve">) arba pareiškėjo sutikimą dėl įgyvendinančiosios institucijos kreipimosi į Lietuvos statistikos departamentą dėl patirtų MTEP išlaidų ataskaitos gavimo (taikoma, </w:t>
      </w:r>
      <w:r>
        <w:rPr>
          <w:szCs w:val="24"/>
        </w:rPr>
        <w:t xml:space="preserve">jei pareiškėjas yra brandusis </w:t>
      </w:r>
      <w:proofErr w:type="spellStart"/>
      <w:r>
        <w:rPr>
          <w:szCs w:val="24"/>
        </w:rPr>
        <w:t>inovatorius</w:t>
      </w:r>
      <w:proofErr w:type="spellEnd"/>
      <w:r>
        <w:rPr>
          <w:szCs w:val="24"/>
        </w:rPr>
        <w:t>)</w:t>
      </w:r>
      <w:r>
        <w:rPr>
          <w:szCs w:val="24"/>
          <w:lang w:eastAsia="lt-LT"/>
        </w:rPr>
        <w:t>;“.</w:t>
      </w:r>
    </w:p>
    <w:p w:rsidR="00A04672" w:rsidRDefault="00A04672">
      <w:pPr>
        <w:tabs>
          <w:tab w:val="left" w:pos="993"/>
        </w:tabs>
        <w:ind w:firstLine="851"/>
        <w:jc w:val="both"/>
        <w:rPr>
          <w:szCs w:val="24"/>
        </w:rPr>
      </w:pPr>
    </w:p>
    <w:p w:rsidR="00A04672" w:rsidRDefault="00A04672"/>
    <w:p w:rsidR="00A04672" w:rsidRDefault="00A04672">
      <w:pPr>
        <w:ind w:firstLine="851"/>
        <w:jc w:val="both"/>
        <w:rPr>
          <w:bCs/>
          <w:szCs w:val="24"/>
        </w:rPr>
      </w:pPr>
    </w:p>
    <w:tbl>
      <w:tblPr>
        <w:tblW w:w="0" w:type="auto"/>
        <w:tblLook w:val="01E0" w:firstRow="1" w:lastRow="1" w:firstColumn="1" w:lastColumn="1" w:noHBand="0" w:noVBand="0"/>
      </w:tblPr>
      <w:tblGrid>
        <w:gridCol w:w="4804"/>
        <w:gridCol w:w="4834"/>
      </w:tblGrid>
      <w:tr w:rsidR="00A04672">
        <w:tc>
          <w:tcPr>
            <w:tcW w:w="4927" w:type="dxa"/>
          </w:tcPr>
          <w:p w:rsidR="00A04672" w:rsidRDefault="00192A94">
            <w:pPr>
              <w:jc w:val="both"/>
              <w:rPr>
                <w:szCs w:val="24"/>
              </w:rPr>
            </w:pPr>
            <w:r>
              <w:rPr>
                <w:szCs w:val="24"/>
              </w:rPr>
              <w:t>Ūkio ministras</w:t>
            </w:r>
          </w:p>
        </w:tc>
        <w:tc>
          <w:tcPr>
            <w:tcW w:w="4927" w:type="dxa"/>
          </w:tcPr>
          <w:p w:rsidR="00A04672" w:rsidRDefault="00D47D10">
            <w:pPr>
              <w:ind w:firstLine="851"/>
              <w:jc w:val="right"/>
              <w:rPr>
                <w:szCs w:val="24"/>
              </w:rPr>
            </w:pPr>
            <w:r>
              <w:rPr>
                <w:szCs w:val="24"/>
              </w:rPr>
              <w:t>Virginijus Sinkevičius</w:t>
            </w:r>
          </w:p>
        </w:tc>
      </w:tr>
    </w:tbl>
    <w:p w:rsidR="00A04672" w:rsidRDefault="00A04672"/>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ind w:firstLine="851"/>
        <w:jc w:val="both"/>
        <w:rPr>
          <w:szCs w:val="24"/>
        </w:rPr>
      </w:pPr>
    </w:p>
    <w:p w:rsidR="00A04672" w:rsidRDefault="00A04672">
      <w:pPr>
        <w:tabs>
          <w:tab w:val="center" w:pos="4819"/>
          <w:tab w:val="right" w:pos="9638"/>
        </w:tabs>
        <w:ind w:firstLine="851"/>
        <w:jc w:val="both"/>
        <w:rPr>
          <w:szCs w:val="24"/>
        </w:rPr>
      </w:pPr>
    </w:p>
    <w:p w:rsidR="00A04672" w:rsidRDefault="00A04672">
      <w:pPr>
        <w:tabs>
          <w:tab w:val="center" w:pos="4819"/>
          <w:tab w:val="right" w:pos="9638"/>
        </w:tabs>
        <w:jc w:val="both"/>
        <w:rPr>
          <w:szCs w:val="24"/>
        </w:rPr>
      </w:pPr>
    </w:p>
    <w:p w:rsidR="00A04672" w:rsidRDefault="00192A94">
      <w:pPr>
        <w:tabs>
          <w:tab w:val="center" w:pos="4819"/>
          <w:tab w:val="right" w:pos="9638"/>
        </w:tabs>
        <w:jc w:val="both"/>
        <w:rPr>
          <w:szCs w:val="24"/>
        </w:rPr>
      </w:pPr>
      <w:r>
        <w:rPr>
          <w:szCs w:val="24"/>
        </w:rPr>
        <w:t xml:space="preserve">Parengė </w:t>
      </w:r>
    </w:p>
    <w:p w:rsidR="00A04672" w:rsidRDefault="00192A94">
      <w:pPr>
        <w:tabs>
          <w:tab w:val="center" w:pos="4819"/>
          <w:tab w:val="right" w:pos="9638"/>
        </w:tabs>
        <w:jc w:val="both"/>
        <w:rPr>
          <w:szCs w:val="24"/>
        </w:rPr>
      </w:pPr>
      <w:r>
        <w:rPr>
          <w:szCs w:val="24"/>
        </w:rPr>
        <w:t xml:space="preserve">Ūkio ministerijos Europos Sąjungos paramos </w:t>
      </w:r>
    </w:p>
    <w:p w:rsidR="00A04672" w:rsidRDefault="00192A94">
      <w:pPr>
        <w:tabs>
          <w:tab w:val="center" w:pos="4819"/>
          <w:tab w:val="right" w:pos="9638"/>
        </w:tabs>
        <w:jc w:val="both"/>
        <w:rPr>
          <w:szCs w:val="24"/>
        </w:rPr>
      </w:pPr>
      <w:r>
        <w:rPr>
          <w:szCs w:val="24"/>
        </w:rPr>
        <w:t>koordinavimo departamento</w:t>
      </w:r>
    </w:p>
    <w:p w:rsidR="00A04672" w:rsidRDefault="00192A94">
      <w:pPr>
        <w:tabs>
          <w:tab w:val="center" w:pos="4819"/>
          <w:tab w:val="right" w:pos="9638"/>
        </w:tabs>
        <w:jc w:val="both"/>
        <w:rPr>
          <w:szCs w:val="24"/>
        </w:rPr>
      </w:pPr>
      <w:r>
        <w:rPr>
          <w:szCs w:val="24"/>
        </w:rPr>
        <w:t>Struktūrinės paramos valdymo skyriaus vyriausioji specialistė</w:t>
      </w:r>
    </w:p>
    <w:p w:rsidR="00A04672" w:rsidRDefault="00A04672">
      <w:pPr>
        <w:tabs>
          <w:tab w:val="center" w:pos="4819"/>
          <w:tab w:val="right" w:pos="9638"/>
        </w:tabs>
        <w:jc w:val="both"/>
        <w:rPr>
          <w:szCs w:val="24"/>
        </w:rPr>
      </w:pPr>
    </w:p>
    <w:p w:rsidR="00A04672" w:rsidRDefault="00192A94">
      <w:pPr>
        <w:tabs>
          <w:tab w:val="center" w:pos="4819"/>
          <w:tab w:val="right" w:pos="9638"/>
        </w:tabs>
        <w:jc w:val="both"/>
        <w:rPr>
          <w:szCs w:val="24"/>
        </w:rPr>
      </w:pPr>
      <w:r>
        <w:rPr>
          <w:szCs w:val="24"/>
        </w:rPr>
        <w:t>Inga Baltrūnaitė</w:t>
      </w:r>
    </w:p>
    <w:sectPr w:rsidR="00A0467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70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25" w:rsidRDefault="00DA0B25">
      <w:pPr>
        <w:ind w:firstLine="851"/>
        <w:jc w:val="both"/>
        <w:rPr>
          <w:szCs w:val="24"/>
        </w:rPr>
      </w:pPr>
      <w:r>
        <w:rPr>
          <w:szCs w:val="24"/>
        </w:rPr>
        <w:separator/>
      </w:r>
    </w:p>
    <w:p w:rsidR="00DA0B25" w:rsidRDefault="00DA0B25"/>
    <w:p w:rsidR="00DA0B25" w:rsidRDefault="00DA0B25">
      <w:pPr>
        <w:ind w:firstLine="851"/>
        <w:jc w:val="both"/>
        <w:rPr>
          <w:szCs w:val="24"/>
        </w:rPr>
      </w:pPr>
    </w:p>
  </w:endnote>
  <w:endnote w:type="continuationSeparator" w:id="0">
    <w:p w:rsidR="00DA0B25" w:rsidRDefault="00DA0B25">
      <w:pPr>
        <w:ind w:firstLine="851"/>
        <w:jc w:val="both"/>
        <w:rPr>
          <w:szCs w:val="24"/>
        </w:rPr>
      </w:pPr>
      <w:r>
        <w:rPr>
          <w:szCs w:val="24"/>
        </w:rPr>
        <w:continuationSeparator/>
      </w:r>
    </w:p>
    <w:p w:rsidR="00DA0B25" w:rsidRDefault="00DA0B25"/>
    <w:p w:rsidR="00DA0B25" w:rsidRDefault="00DA0B25">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72" w:rsidRDefault="00A04672">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72" w:rsidRDefault="00A04672">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72" w:rsidRDefault="00A04672">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25" w:rsidRDefault="00DA0B25">
      <w:pPr>
        <w:ind w:firstLine="851"/>
        <w:jc w:val="both"/>
        <w:rPr>
          <w:szCs w:val="24"/>
        </w:rPr>
      </w:pPr>
      <w:r>
        <w:rPr>
          <w:szCs w:val="24"/>
        </w:rPr>
        <w:separator/>
      </w:r>
    </w:p>
    <w:p w:rsidR="00DA0B25" w:rsidRDefault="00DA0B25"/>
    <w:p w:rsidR="00DA0B25" w:rsidRDefault="00DA0B25">
      <w:pPr>
        <w:ind w:firstLine="851"/>
        <w:jc w:val="both"/>
        <w:rPr>
          <w:szCs w:val="24"/>
        </w:rPr>
      </w:pPr>
    </w:p>
  </w:footnote>
  <w:footnote w:type="continuationSeparator" w:id="0">
    <w:p w:rsidR="00DA0B25" w:rsidRDefault="00DA0B25">
      <w:pPr>
        <w:ind w:firstLine="851"/>
        <w:jc w:val="both"/>
        <w:rPr>
          <w:szCs w:val="24"/>
        </w:rPr>
      </w:pPr>
      <w:r>
        <w:rPr>
          <w:szCs w:val="24"/>
        </w:rPr>
        <w:continuationSeparator/>
      </w:r>
    </w:p>
    <w:p w:rsidR="00DA0B25" w:rsidRDefault="00DA0B25"/>
    <w:p w:rsidR="00DA0B25" w:rsidRDefault="00DA0B25">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72" w:rsidRDefault="00A04672">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72" w:rsidRDefault="00192A9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6406A5">
      <w:rPr>
        <w:noProof/>
        <w:szCs w:val="24"/>
      </w:rPr>
      <w:t>2</w:t>
    </w:r>
    <w:r>
      <w:rPr>
        <w:szCs w:val="24"/>
      </w:rPr>
      <w:fldChar w:fldCharType="end"/>
    </w:r>
  </w:p>
  <w:p w:rsidR="00A04672" w:rsidRDefault="00A04672">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72" w:rsidRDefault="00A04672">
    <w:pPr>
      <w:tabs>
        <w:tab w:val="center" w:pos="4819"/>
        <w:tab w:val="right" w:pos="9638"/>
      </w:tabs>
      <w:ind w:firstLine="851"/>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192A94"/>
    <w:rsid w:val="006406A5"/>
    <w:rsid w:val="006B2242"/>
    <w:rsid w:val="00A04672"/>
    <w:rsid w:val="00B67712"/>
    <w:rsid w:val="00BC401C"/>
    <w:rsid w:val="00C7320D"/>
    <w:rsid w:val="00D47D10"/>
    <w:rsid w:val="00DA0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2D2F"/>
  <w15:docId w15:val="{849B1816-E26D-4D0B-BC1E-B688F3D0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F363-8126-4E70-BCC6-26BDA883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2459</Words>
  <Characters>1403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Baltrunaite Inga</cp:lastModifiedBy>
  <cp:revision>5</cp:revision>
  <cp:lastPrinted>2018-07-24T06:19:00Z</cp:lastPrinted>
  <dcterms:created xsi:type="dcterms:W3CDTF">2018-07-24T06:11:00Z</dcterms:created>
  <dcterms:modified xsi:type="dcterms:W3CDTF">2018-07-27T06:52:00Z</dcterms:modified>
</cp:coreProperties>
</file>