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8A7C6" w14:textId="77777777" w:rsidR="00167DB0" w:rsidRDefault="00D00BF6" w:rsidP="00D00BF6">
      <w:pPr>
        <w:ind w:left="9072" w:right="515"/>
      </w:pPr>
      <w:r>
        <w:t>2014–2</w:t>
      </w:r>
      <w:r w:rsidR="00167DB0">
        <w:t>020 metų Europos Sąjungos fondų</w:t>
      </w:r>
    </w:p>
    <w:p w14:paraId="5EB7A9F9" w14:textId="77777777" w:rsidR="00167DB0" w:rsidRDefault="00D00BF6" w:rsidP="00D00BF6">
      <w:pPr>
        <w:ind w:left="9072" w:right="515"/>
      </w:pPr>
      <w:r>
        <w:t>investicijų</w:t>
      </w:r>
      <w:r w:rsidR="00167DB0">
        <w:t xml:space="preserve"> veiksmų programos 4 prioriteto</w:t>
      </w:r>
    </w:p>
    <w:p w14:paraId="02539305" w14:textId="77777777" w:rsidR="00167DB0" w:rsidRDefault="00D00BF6" w:rsidP="00D00BF6">
      <w:pPr>
        <w:ind w:left="9072" w:right="515"/>
      </w:pPr>
      <w:r>
        <w:t>„Energijos efektyv</w:t>
      </w:r>
      <w:r w:rsidR="00167DB0">
        <w:t>umo ir atsinaujinančių išteklių</w:t>
      </w:r>
    </w:p>
    <w:p w14:paraId="21C7E5B5" w14:textId="77777777" w:rsidR="00167DB0" w:rsidRDefault="00D00BF6" w:rsidP="00D00BF6">
      <w:pPr>
        <w:ind w:left="9072" w:right="515"/>
      </w:pPr>
      <w:r>
        <w:t xml:space="preserve">energijos gamybos ir naudojimo skatinimas“ </w:t>
      </w:r>
    </w:p>
    <w:p w14:paraId="2FCAA327" w14:textId="77777777" w:rsidR="00167DB0" w:rsidRDefault="00D00BF6" w:rsidP="00D00BF6">
      <w:pPr>
        <w:ind w:left="9072" w:right="515"/>
      </w:pPr>
      <w:r>
        <w:t>Nr. 04.5</w:t>
      </w:r>
      <w:r w:rsidR="00167DB0">
        <w:t>.1-TID-K-519 priemonės „Viešojo</w:t>
      </w:r>
    </w:p>
    <w:p w14:paraId="6575452C" w14:textId="77777777" w:rsidR="00167DB0" w:rsidRDefault="00D00BF6" w:rsidP="00D00BF6">
      <w:pPr>
        <w:ind w:left="9072" w:right="515"/>
      </w:pPr>
      <w:r>
        <w:t xml:space="preserve">transporto </w:t>
      </w:r>
      <w:r w:rsidR="00167DB0">
        <w:t>paslaugų prieinamumo didinimas“</w:t>
      </w:r>
    </w:p>
    <w:p w14:paraId="34ED8E47" w14:textId="5EEB9B2C" w:rsidR="00D00BF6" w:rsidRDefault="00D00BF6" w:rsidP="00D00BF6">
      <w:pPr>
        <w:ind w:left="9072" w:right="515"/>
      </w:pPr>
      <w:r>
        <w:t>projektų finansavimo sąlygų aprašo</w:t>
      </w:r>
    </w:p>
    <w:p w14:paraId="18780A58" w14:textId="2F783E8B" w:rsidR="00D00BF6" w:rsidRDefault="00D00BF6" w:rsidP="00D00BF6">
      <w:pPr>
        <w:ind w:left="9072" w:right="515"/>
      </w:pPr>
      <w:r>
        <w:t xml:space="preserve">2 priedas </w:t>
      </w:r>
    </w:p>
    <w:p w14:paraId="50318F8F" w14:textId="77777777" w:rsidR="00D00BF6" w:rsidRDefault="00D00BF6" w:rsidP="00D00BF6">
      <w:pPr>
        <w:tabs>
          <w:tab w:val="left" w:pos="9648"/>
        </w:tabs>
        <w:ind w:left="9072" w:right="515"/>
      </w:pPr>
    </w:p>
    <w:tbl>
      <w:tblPr>
        <w:tblW w:w="149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40"/>
        <w:gridCol w:w="5400"/>
      </w:tblGrid>
      <w:tr w:rsidR="00D00BF6" w14:paraId="299A3234" w14:textId="77777777" w:rsidTr="00D00BF6">
        <w:trPr>
          <w:trHeight w:val="114"/>
        </w:trPr>
        <w:tc>
          <w:tcPr>
            <w:tcW w:w="9540" w:type="dxa"/>
          </w:tcPr>
          <w:p w14:paraId="185D46A1" w14:textId="77777777" w:rsidR="00D00BF6" w:rsidRDefault="00D00BF6">
            <w:pPr>
              <w:jc w:val="both"/>
              <w:rPr>
                <w:szCs w:val="24"/>
              </w:rPr>
            </w:pPr>
          </w:p>
        </w:tc>
        <w:tc>
          <w:tcPr>
            <w:tcW w:w="5400" w:type="dxa"/>
          </w:tcPr>
          <w:p w14:paraId="4D6B549F" w14:textId="77777777" w:rsidR="00D00BF6" w:rsidRDefault="00D00BF6">
            <w:pPr>
              <w:ind w:right="515"/>
              <w:jc w:val="both"/>
              <w:rPr>
                <w:szCs w:val="24"/>
              </w:rPr>
            </w:pPr>
          </w:p>
        </w:tc>
      </w:tr>
      <w:tr w:rsidR="00D00BF6" w14:paraId="44EBAF04" w14:textId="77777777" w:rsidTr="00D00BF6">
        <w:trPr>
          <w:trHeight w:val="20"/>
        </w:trPr>
        <w:tc>
          <w:tcPr>
            <w:tcW w:w="14940" w:type="dxa"/>
            <w:gridSpan w:val="2"/>
          </w:tcPr>
          <w:p w14:paraId="1B84B196" w14:textId="77777777" w:rsidR="00D00BF6" w:rsidRDefault="00D00BF6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</w:p>
          <w:p w14:paraId="4C9D7FEA" w14:textId="77777777" w:rsidR="00D00BF6" w:rsidRDefault="00D00BF6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t>PROJEKTO Naudos ir kokybės vertinimo LENTELĖ</w:t>
            </w:r>
          </w:p>
          <w:p w14:paraId="5141053B" w14:textId="77777777" w:rsidR="00D00BF6" w:rsidRDefault="00D00BF6">
            <w:pPr>
              <w:rPr>
                <w:bCs/>
                <w:i/>
                <w:cap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10773"/>
            </w:tblGrid>
            <w:tr w:rsidR="00D00BF6" w14:paraId="59D70185" w14:textId="77777777"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727E60" w14:textId="77777777" w:rsidR="00D00BF6" w:rsidRDefault="00D00BF6">
                  <w:pPr>
                    <w:rPr>
                      <w:bCs/>
                      <w:i/>
                      <w:cap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lt-LT"/>
                    </w:rPr>
                    <w:t>Paraiškos kodas</w:t>
                  </w:r>
                </w:p>
              </w:tc>
              <w:tc>
                <w:tcPr>
                  <w:tcW w:w="10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670FD4" w14:textId="77777777" w:rsidR="00D00BF6" w:rsidRDefault="00D00BF6">
                  <w:pPr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Pildoma projekto naudos ir kokybės vertinimo metu. </w:t>
                  </w:r>
                  <w:r>
                    <w:rPr>
                      <w:rFonts w:eastAsia="Calibri"/>
                      <w:i/>
                      <w:sz w:val="20"/>
                    </w:rPr>
                    <w:t>Galimas simbolių skaičius – 25.</w:t>
                  </w:r>
                </w:p>
              </w:tc>
            </w:tr>
            <w:tr w:rsidR="00D00BF6" w14:paraId="49D860AD" w14:textId="77777777"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622C6D" w14:textId="77777777" w:rsidR="00D00BF6" w:rsidRDefault="00D00BF6">
                  <w:pPr>
                    <w:rPr>
                      <w:b/>
                      <w:bCs/>
                      <w:sz w:val="22"/>
                      <w:szCs w:val="22"/>
                      <w:lang w:eastAsia="lt-LT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lt-LT"/>
                    </w:rPr>
                    <w:t>Pareiškėjo pavadinimas</w:t>
                  </w:r>
                </w:p>
              </w:tc>
              <w:tc>
                <w:tcPr>
                  <w:tcW w:w="10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4F14A8" w14:textId="77777777" w:rsidR="00D00BF6" w:rsidRDefault="00D00BF6">
                  <w:pPr>
                    <w:jc w:val="both"/>
                    <w:rPr>
                      <w:bCs/>
                      <w:i/>
                      <w:sz w:val="20"/>
                      <w:lang w:eastAsia="lt-LT"/>
                    </w:rPr>
                  </w:pPr>
                  <w:r>
                    <w:rPr>
                      <w:i/>
                      <w:sz w:val="20"/>
                    </w:rPr>
                    <w:t xml:space="preserve">Pildoma projekto naudos ir kokybės vertinimo metu. </w:t>
                  </w:r>
                  <w:r>
                    <w:rPr>
                      <w:rFonts w:eastAsia="Calibri"/>
                      <w:i/>
                      <w:sz w:val="20"/>
                    </w:rPr>
                    <w:t>Galimas simbolių skaičius – 140.</w:t>
                  </w:r>
                </w:p>
              </w:tc>
            </w:tr>
            <w:tr w:rsidR="00D00BF6" w14:paraId="2B7114F6" w14:textId="77777777"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01990E" w14:textId="77777777" w:rsidR="00D00BF6" w:rsidRDefault="00D00BF6">
                  <w:pPr>
                    <w:rPr>
                      <w:bCs/>
                      <w:i/>
                      <w:cap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lt-LT"/>
                    </w:rPr>
                    <w:t>Projekto pavadinimas</w:t>
                  </w:r>
                </w:p>
              </w:tc>
              <w:tc>
                <w:tcPr>
                  <w:tcW w:w="10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595726" w14:textId="77777777" w:rsidR="00D00BF6" w:rsidRDefault="00D00BF6">
                  <w:pPr>
                    <w:jc w:val="both"/>
                    <w:rPr>
                      <w:bCs/>
                      <w:i/>
                      <w:sz w:val="20"/>
                      <w:lang w:eastAsia="lt-LT"/>
                    </w:rPr>
                  </w:pPr>
                  <w:r>
                    <w:rPr>
                      <w:i/>
                      <w:sz w:val="20"/>
                    </w:rPr>
                    <w:t xml:space="preserve">Pildoma projekto naudos ir kokybės vertinimo metu. </w:t>
                  </w:r>
                  <w:r>
                    <w:rPr>
                      <w:rFonts w:eastAsia="Calibri"/>
                      <w:i/>
                      <w:sz w:val="20"/>
                    </w:rPr>
                    <w:t>Galimas simbolių skaičius – 150.</w:t>
                  </w:r>
                </w:p>
              </w:tc>
            </w:tr>
            <w:tr w:rsidR="00D00BF6" w14:paraId="2138F4F9" w14:textId="77777777">
              <w:tc>
                <w:tcPr>
                  <w:tcW w:w="14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3DF823" w14:textId="77777777" w:rsidR="00D00BF6" w:rsidRDefault="00D00BF6">
                  <w:pPr>
                    <w:rPr>
                      <w:b/>
                      <w:bCs/>
                      <w:sz w:val="22"/>
                      <w:szCs w:val="22"/>
                      <w:lang w:eastAsia="lt-LT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lt-LT"/>
                    </w:rPr>
                    <w:t xml:space="preserve">Projektą planuojama įgyvendinti: </w:t>
                  </w:r>
                  <w:r>
                    <w:rPr>
                      <w:i/>
                      <w:sz w:val="20"/>
                    </w:rPr>
                    <w:t>Pažymima projekto naudos ir kokybės vertinimo metu.</w:t>
                  </w:r>
                </w:p>
                <w:p w14:paraId="6065173A" w14:textId="13376B40" w:rsidR="00D00BF6" w:rsidRDefault="00367AAC">
                  <w:pPr>
                    <w:jc w:val="both"/>
                    <w:rPr>
                      <w:b/>
                      <w:bCs/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8"/>
                      <w:szCs w:val="28"/>
                    </w:rPr>
                    <w:t>□</w:t>
                  </w:r>
                  <w:r w:rsidR="00D00BF6">
                    <w:rPr>
                      <w:b/>
                      <w:bCs/>
                      <w:sz w:val="22"/>
                      <w:szCs w:val="22"/>
                      <w:lang w:eastAsia="lt-LT"/>
                    </w:rPr>
                    <w:t xml:space="preserve"> su partneriu (-</w:t>
                  </w:r>
                  <w:proofErr w:type="spellStart"/>
                  <w:r w:rsidR="00D00BF6">
                    <w:rPr>
                      <w:b/>
                      <w:bCs/>
                      <w:sz w:val="22"/>
                      <w:szCs w:val="22"/>
                      <w:lang w:eastAsia="lt-LT"/>
                    </w:rPr>
                    <w:t>iais</w:t>
                  </w:r>
                  <w:proofErr w:type="spellEnd"/>
                  <w:r w:rsidR="00D00BF6">
                    <w:rPr>
                      <w:b/>
                      <w:bCs/>
                      <w:sz w:val="22"/>
                      <w:szCs w:val="22"/>
                      <w:lang w:eastAsia="lt-LT"/>
                    </w:rPr>
                    <w:t xml:space="preserve">)              </w:t>
                  </w:r>
                  <w:r>
                    <w:rPr>
                      <w:sz w:val="28"/>
                      <w:szCs w:val="28"/>
                    </w:rPr>
                    <w:t>□</w:t>
                  </w:r>
                  <w:r w:rsidR="00D00BF6">
                    <w:rPr>
                      <w:b/>
                      <w:bCs/>
                      <w:sz w:val="22"/>
                      <w:szCs w:val="22"/>
                      <w:lang w:eastAsia="lt-LT"/>
                    </w:rPr>
                    <w:t xml:space="preserve"> be partnerio (-</w:t>
                  </w:r>
                  <w:proofErr w:type="spellStart"/>
                  <w:r w:rsidR="00D00BF6">
                    <w:rPr>
                      <w:b/>
                      <w:bCs/>
                      <w:sz w:val="22"/>
                      <w:szCs w:val="22"/>
                      <w:lang w:eastAsia="lt-LT"/>
                    </w:rPr>
                    <w:t>ių</w:t>
                  </w:r>
                  <w:proofErr w:type="spellEnd"/>
                  <w:r w:rsidR="00D00BF6">
                    <w:rPr>
                      <w:b/>
                      <w:bCs/>
                      <w:sz w:val="22"/>
                      <w:szCs w:val="22"/>
                      <w:lang w:eastAsia="lt-LT"/>
                    </w:rPr>
                    <w:t>)</w:t>
                  </w:r>
                </w:p>
              </w:tc>
            </w:tr>
            <w:tr w:rsidR="00D00BF6" w14:paraId="2D8871E8" w14:textId="77777777">
              <w:tc>
                <w:tcPr>
                  <w:tcW w:w="14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AB353" w14:textId="77777777" w:rsidR="00D00BF6" w:rsidRDefault="00D00BF6">
                  <w:pPr>
                    <w:rPr>
                      <w:b/>
                      <w:bCs/>
                      <w:sz w:val="22"/>
                      <w:szCs w:val="22"/>
                      <w:lang w:eastAsia="lt-LT"/>
                    </w:rPr>
                  </w:pPr>
                </w:p>
                <w:p w14:paraId="185E39D7" w14:textId="4841BFE4" w:rsidR="00D00BF6" w:rsidRDefault="00367AAC">
                  <w:pPr>
                    <w:rPr>
                      <w:b/>
                      <w:bCs/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8"/>
                      <w:szCs w:val="28"/>
                    </w:rPr>
                    <w:t>□</w:t>
                  </w:r>
                  <w:r w:rsidR="00D00BF6">
                    <w:rPr>
                      <w:b/>
                      <w:bCs/>
                      <w:sz w:val="22"/>
                      <w:szCs w:val="22"/>
                      <w:lang w:eastAsia="lt-LT"/>
                    </w:rPr>
                    <w:t xml:space="preserve"> PIRMINĖ               </w:t>
                  </w:r>
                  <w:r>
                    <w:rPr>
                      <w:sz w:val="28"/>
                      <w:szCs w:val="28"/>
                    </w:rPr>
                    <w:t xml:space="preserve">□ </w:t>
                  </w:r>
                  <w:r w:rsidR="00D00BF6">
                    <w:rPr>
                      <w:b/>
                      <w:bCs/>
                      <w:sz w:val="22"/>
                      <w:szCs w:val="22"/>
                      <w:lang w:eastAsia="lt-LT"/>
                    </w:rPr>
                    <w:t>PATIKSLINTA</w:t>
                  </w:r>
                </w:p>
                <w:p w14:paraId="71DDB9E7" w14:textId="77777777" w:rsidR="00D00BF6" w:rsidRDefault="00D00BF6">
                  <w:pPr>
                    <w:rPr>
                      <w:bCs/>
                      <w:i/>
                      <w:sz w:val="20"/>
                      <w:lang w:eastAsia="lt-LT"/>
                    </w:rPr>
                  </w:pPr>
                  <w:r>
                    <w:rPr>
                      <w:bCs/>
                      <w:i/>
                      <w:sz w:val="20"/>
                      <w:lang w:eastAsia="lt-LT"/>
                    </w:rPr>
                    <w:t>(Žymima „Patikslinta“ tais atvejais, kai ši lentelė tikslinama po to, kai paraiška grąžinama pakartotiniam vertinimui.)</w:t>
                  </w:r>
                </w:p>
                <w:p w14:paraId="6231DA16" w14:textId="77777777" w:rsidR="00D00BF6" w:rsidRDefault="00D00BF6">
                  <w:pPr>
                    <w:rPr>
                      <w:bCs/>
                      <w:i/>
                      <w:caps/>
                      <w:sz w:val="20"/>
                    </w:rPr>
                  </w:pPr>
                  <w:r>
                    <w:rPr>
                      <w:i/>
                      <w:sz w:val="20"/>
                    </w:rPr>
                    <w:t>Pildoma projekto naudos ir kokybės vertinimo metu.</w:t>
                  </w:r>
                </w:p>
              </w:tc>
            </w:tr>
          </w:tbl>
          <w:p w14:paraId="6686AB0B" w14:textId="77777777" w:rsidR="00D00BF6" w:rsidRDefault="00D00BF6">
            <w:pPr>
              <w:ind w:left="720" w:right="373"/>
              <w:rPr>
                <w:b/>
                <w:sz w:val="22"/>
                <w:szCs w:val="22"/>
              </w:rPr>
            </w:pPr>
          </w:p>
          <w:p w14:paraId="575CB610" w14:textId="77777777" w:rsidR="00D00BF6" w:rsidRDefault="00D00BF6">
            <w:pPr>
              <w:ind w:right="373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5704"/>
              <w:gridCol w:w="1355"/>
              <w:gridCol w:w="1276"/>
              <w:gridCol w:w="1275"/>
              <w:gridCol w:w="1205"/>
              <w:gridCol w:w="1701"/>
            </w:tblGrid>
            <w:tr w:rsidR="00D00BF6" w14:paraId="28337E57" w14:textId="77777777">
              <w:tc>
                <w:tcPr>
                  <w:tcW w:w="21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C16153" w14:textId="77777777" w:rsidR="00D00BF6" w:rsidRDefault="00D00BF6">
                  <w:pPr>
                    <w:keepNext/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Prioritetinis projektų atrankos kriterijaus  (toliau – kriterijus) pavadinimas</w:t>
                  </w:r>
                </w:p>
              </w:tc>
              <w:tc>
                <w:tcPr>
                  <w:tcW w:w="5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F7B02" w14:textId="77777777" w:rsidR="00D00BF6" w:rsidRDefault="00D00BF6">
                  <w:pPr>
                    <w:keepNext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Kriterijaus vertinimo aspektai ir paaiškinimai </w:t>
                  </w:r>
                </w:p>
                <w:p w14:paraId="57DEA4A3" w14:textId="77777777" w:rsidR="00D00BF6" w:rsidRDefault="00D00BF6">
                  <w:pPr>
                    <w:keepNext/>
                    <w:jc w:val="center"/>
                    <w:rPr>
                      <w:b/>
                      <w:bCs/>
                      <w:i/>
                      <w:caps/>
                      <w:sz w:val="22"/>
                      <w:szCs w:val="22"/>
                    </w:rPr>
                  </w:pPr>
                </w:p>
              </w:tc>
              <w:tc>
                <w:tcPr>
                  <w:tcW w:w="13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5EE1CD" w14:textId="77777777" w:rsidR="00D00BF6" w:rsidRDefault="00D00BF6">
                  <w:pPr>
                    <w:keepNext/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Didžiausias galimas kriterijaus balas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092E1E" w14:textId="77777777" w:rsidR="00D00BF6" w:rsidRDefault="00D00BF6">
                  <w:pPr>
                    <w:keepNext/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Cs/>
                      <w:sz w:val="22"/>
                      <w:szCs w:val="22"/>
                    </w:rPr>
                    <w:t>Kriterijaus vertinimas (jei taikomi svoriai)</w:t>
                  </w:r>
                  <w:r>
                    <w:rPr>
                      <w:rStyle w:val="FootnoteReference"/>
                      <w:bCs/>
                      <w:i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FootnoteReference"/>
                      <w:bCs/>
                      <w:i/>
                      <w:sz w:val="22"/>
                      <w:szCs w:val="22"/>
                    </w:rPr>
                    <w:footnoteReference w:id="1"/>
                  </w:r>
                </w:p>
              </w:tc>
              <w:tc>
                <w:tcPr>
                  <w:tcW w:w="12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3B1B07" w14:textId="77777777" w:rsidR="00D00BF6" w:rsidRDefault="00D00BF6">
                  <w:pPr>
                    <w:keepNext/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Vertinimo metu suteiktų balų skaičius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88A520" w14:textId="77777777" w:rsidR="00D00BF6" w:rsidRDefault="00D00BF6">
                  <w:pPr>
                    <w:keepNext/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Komentarai</w:t>
                  </w:r>
                </w:p>
              </w:tc>
            </w:tr>
            <w:tr w:rsidR="00D00BF6" w14:paraId="50F6C25D" w14:textId="77777777">
              <w:tc>
                <w:tcPr>
                  <w:tcW w:w="78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828E8B" w14:textId="77777777" w:rsidR="00D00BF6" w:rsidRDefault="00D00BF6">
                  <w:pPr>
                    <w:rPr>
                      <w:b/>
                      <w:bCs/>
                      <w:caps/>
                      <w:sz w:val="22"/>
                      <w:szCs w:val="22"/>
                    </w:rPr>
                  </w:pPr>
                </w:p>
              </w:tc>
              <w:tc>
                <w:tcPr>
                  <w:tcW w:w="5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A35A83" w14:textId="77777777" w:rsidR="00D00BF6" w:rsidRDefault="00D00BF6">
                  <w:pPr>
                    <w:rPr>
                      <w:b/>
                      <w:bCs/>
                      <w:i/>
                      <w:caps/>
                      <w:sz w:val="22"/>
                      <w:szCs w:val="22"/>
                    </w:rPr>
                  </w:pPr>
                </w:p>
              </w:tc>
              <w:tc>
                <w:tcPr>
                  <w:tcW w:w="13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D442A2" w14:textId="77777777" w:rsidR="00D00BF6" w:rsidRDefault="00D00BF6">
                  <w:pPr>
                    <w:rPr>
                      <w:b/>
                      <w:bCs/>
                      <w:cap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0D2209" w14:textId="77777777" w:rsidR="00D00BF6" w:rsidRDefault="00D00BF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Kriterijaus įvertinimas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DF7D4C" w14:textId="77777777" w:rsidR="00D00BF6" w:rsidRDefault="00D00BF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Svorio </w:t>
                  </w:r>
                  <w:proofErr w:type="spellStart"/>
                  <w:r>
                    <w:rPr>
                      <w:bCs/>
                      <w:sz w:val="22"/>
                      <w:szCs w:val="22"/>
                    </w:rPr>
                    <w:t>koeficien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>-tas</w:t>
                  </w:r>
                </w:p>
              </w:tc>
              <w:tc>
                <w:tcPr>
                  <w:tcW w:w="12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D6B822" w14:textId="77777777" w:rsidR="00D00BF6" w:rsidRDefault="00D00BF6">
                  <w:pPr>
                    <w:rPr>
                      <w:b/>
                      <w:bCs/>
                      <w:cap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62BCED" w14:textId="77777777" w:rsidR="00D00BF6" w:rsidRDefault="00D00BF6">
                  <w:pPr>
                    <w:rPr>
                      <w:b/>
                      <w:bCs/>
                      <w:caps/>
                      <w:sz w:val="22"/>
                      <w:szCs w:val="22"/>
                    </w:rPr>
                  </w:pPr>
                </w:p>
              </w:tc>
            </w:tr>
            <w:tr w:rsidR="00D00BF6" w14:paraId="31B75DE6" w14:textId="77777777"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8B43C7" w14:textId="77777777" w:rsidR="00D00BF6" w:rsidRDefault="00D00BF6">
                  <w:pPr>
                    <w:rPr>
                      <w:bCs/>
                      <w:i/>
                      <w:caps/>
                      <w:szCs w:val="24"/>
                    </w:rPr>
                  </w:pPr>
                  <w:r>
                    <w:rPr>
                      <w:bCs/>
                      <w:caps/>
                    </w:rPr>
                    <w:t xml:space="preserve">1. </w:t>
                  </w:r>
                  <w:r>
                    <w:rPr>
                      <w:bCs/>
                    </w:rPr>
                    <w:t xml:space="preserve">Projektu numatoma pritaikyti kuo naujesnes viešojo </w:t>
                  </w:r>
                  <w:r>
                    <w:rPr>
                      <w:bCs/>
                    </w:rPr>
                    <w:lastRenderedPageBreak/>
                    <w:t>transporto priemones specialiųjų poreikių turintiems žmonėms važiuoti, o taip pat dviračiams laikyti / pervežti.</w:t>
                  </w:r>
                </w:p>
              </w:tc>
              <w:tc>
                <w:tcPr>
                  <w:tcW w:w="5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3E289" w14:textId="77777777" w:rsidR="00D00BF6" w:rsidRDefault="00D00BF6">
                  <w:pPr>
                    <w:rPr>
                      <w:szCs w:val="24"/>
                      <w:lang w:eastAsia="lt-LT"/>
                    </w:rPr>
                  </w:pPr>
                  <w:r>
                    <w:rPr>
                      <w:lang w:eastAsia="lt-LT"/>
                    </w:rPr>
                    <w:lastRenderedPageBreak/>
                    <w:t xml:space="preserve">Vertinamas viešojo transporto priemonių, kurias numatoma pritaikyti specialiųjų poreikių turintiems žmonėms, o taip pat dviračiams laikyti/ pervežti, amžius </w:t>
                  </w:r>
                  <w:r>
                    <w:rPr>
                      <w:bCs/>
                      <w:lang w:eastAsia="lt-LT"/>
                    </w:rPr>
                    <w:lastRenderedPageBreak/>
                    <w:t>skelbime nurodytą paskutinę paraiškos (-ų) pateikimo dieną</w:t>
                  </w:r>
                  <w:r>
                    <w:rPr>
                      <w:lang w:eastAsia="lt-LT"/>
                    </w:rPr>
                    <w:t>:</w:t>
                  </w:r>
                </w:p>
                <w:p w14:paraId="12069949" w14:textId="77777777" w:rsidR="00D00BF6" w:rsidRDefault="00D00BF6">
                  <w:pPr>
                    <w:rPr>
                      <w:lang w:eastAsia="lt-LT"/>
                    </w:rPr>
                  </w:pPr>
                </w:p>
                <w:p w14:paraId="22332E22" w14:textId="77777777" w:rsidR="00D00BF6" w:rsidRDefault="00D00BF6">
                  <w:pPr>
                    <w:rPr>
                      <w:lang w:eastAsia="lt-LT"/>
                    </w:rPr>
                  </w:pPr>
                  <w:r>
                    <w:rPr>
                      <w:lang w:eastAsia="lt-LT"/>
                    </w:rPr>
                    <w:t xml:space="preserve">1. 5 balai bus skiriami projektams, kuriais numatoma pritaikyti naujus arba ne senesnius nei 3 metai </w:t>
                  </w:r>
                  <w:r>
                    <w:rPr>
                      <w:bCs/>
                      <w:lang w:eastAsia="lt-LT"/>
                    </w:rPr>
                    <w:t>(įskaitant 3 metus)</w:t>
                  </w:r>
                  <w:r>
                    <w:rPr>
                      <w:lang w:eastAsia="lt-LT"/>
                    </w:rPr>
                    <w:t xml:space="preserve"> nuo pirmosios registracijos tolimojo reguliaraus susisiekimo autobusus; 4 balai – ne naujesnius nei 3 metai, bet ne senesnius nei 5 metai </w:t>
                  </w:r>
                  <w:r>
                    <w:rPr>
                      <w:bCs/>
                      <w:lang w:eastAsia="lt-LT"/>
                    </w:rPr>
                    <w:t>(įskaitant 5 metus);</w:t>
                  </w:r>
                  <w:r>
                    <w:rPr>
                      <w:lang w:eastAsia="lt-LT"/>
                    </w:rPr>
                    <w:t xml:space="preserve"> 3 balai – ne naujesnius nei 5 metai, bet ne senesnius nei 7 metai </w:t>
                  </w:r>
                  <w:r>
                    <w:rPr>
                      <w:bCs/>
                      <w:lang w:eastAsia="lt-LT"/>
                    </w:rPr>
                    <w:t>(įskaitant 7 metus)</w:t>
                  </w:r>
                  <w:r>
                    <w:rPr>
                      <w:lang w:eastAsia="lt-LT"/>
                    </w:rPr>
                    <w:t xml:space="preserve">; 2 balai – ne naujesnius nei </w:t>
                  </w:r>
                  <w:r>
                    <w:rPr>
                      <w:bCs/>
                      <w:lang w:eastAsia="lt-LT"/>
                    </w:rPr>
                    <w:t>7</w:t>
                  </w:r>
                  <w:r>
                    <w:rPr>
                      <w:lang w:eastAsia="lt-LT"/>
                    </w:rPr>
                    <w:t xml:space="preserve"> metai, bet ne senesnes nei 10 metų </w:t>
                  </w:r>
                  <w:r>
                    <w:rPr>
                      <w:bCs/>
                      <w:lang w:eastAsia="lt-LT"/>
                    </w:rPr>
                    <w:t>(įskaitant 10 metus)</w:t>
                  </w:r>
                  <w:r>
                    <w:rPr>
                      <w:lang w:eastAsia="lt-LT"/>
                    </w:rPr>
                    <w:t xml:space="preserve">; 1 balas – ne naujesnius nei </w:t>
                  </w:r>
                  <w:r>
                    <w:rPr>
                      <w:bCs/>
                      <w:lang w:eastAsia="lt-LT"/>
                    </w:rPr>
                    <w:t>10</w:t>
                  </w:r>
                  <w:r>
                    <w:rPr>
                      <w:lang w:eastAsia="lt-LT"/>
                    </w:rPr>
                    <w:t xml:space="preserve"> met</w:t>
                  </w:r>
                  <w:r>
                    <w:rPr>
                      <w:bCs/>
                      <w:lang w:eastAsia="lt-LT"/>
                    </w:rPr>
                    <w:t>ų</w:t>
                  </w:r>
                  <w:r>
                    <w:rPr>
                      <w:lang w:eastAsia="lt-LT"/>
                    </w:rPr>
                    <w:t xml:space="preserve">, bet ne senesnius nei 12 metų </w:t>
                  </w:r>
                  <w:r>
                    <w:rPr>
                      <w:bCs/>
                      <w:lang w:eastAsia="lt-LT"/>
                    </w:rPr>
                    <w:t>(įskaitant 12 metus)</w:t>
                  </w:r>
                  <w:r>
                    <w:rPr>
                      <w:lang w:eastAsia="lt-LT"/>
                    </w:rPr>
                    <w:t>.</w:t>
                  </w:r>
                </w:p>
                <w:p w14:paraId="207D9310" w14:textId="77777777" w:rsidR="00D00BF6" w:rsidRDefault="00D00BF6">
                  <w:pPr>
                    <w:rPr>
                      <w:rFonts w:eastAsia="+mn-ea"/>
                      <w:color w:val="000000"/>
                      <w:kern w:val="24"/>
                      <w:lang w:eastAsia="lt-LT"/>
                    </w:rPr>
                  </w:pPr>
                </w:p>
                <w:p w14:paraId="0C7F95F2" w14:textId="77777777" w:rsidR="00D00BF6" w:rsidRDefault="00D00BF6">
                  <w:pPr>
                    <w:rPr>
                      <w:lang w:eastAsia="lt-LT"/>
                    </w:rPr>
                  </w:pPr>
                  <w:r>
                    <w:rPr>
                      <w:rFonts w:eastAsia="+mn-ea"/>
                      <w:color w:val="000000"/>
                      <w:kern w:val="24"/>
                      <w:lang w:eastAsia="lt-LT"/>
                    </w:rPr>
                    <w:t xml:space="preserve">2. 5 balai bus skiriami projektams, kuriais numatoma pritaikyti naujus arba ne senesnius nei 5 metai </w:t>
                  </w:r>
                  <w:r>
                    <w:rPr>
                      <w:rFonts w:eastAsia="+mn-ea"/>
                      <w:bCs/>
                      <w:color w:val="000000"/>
                      <w:kern w:val="24"/>
                      <w:lang w:eastAsia="lt-LT"/>
                    </w:rPr>
                    <w:t>(įskaitant 5 metus)</w:t>
                  </w:r>
                  <w:r>
                    <w:rPr>
                      <w:rFonts w:eastAsia="+mn-ea"/>
                      <w:color w:val="000000"/>
                      <w:kern w:val="24"/>
                      <w:lang w:eastAsia="lt-LT"/>
                    </w:rPr>
                    <w:t xml:space="preserve"> nuo pirmosios registracijos vietinio susisiekimo keleivinių traukinių vagonus; 4 balai – ne naujesnius nei  </w:t>
                  </w:r>
                  <w:r>
                    <w:rPr>
                      <w:rFonts w:eastAsia="+mn-ea"/>
                      <w:bCs/>
                      <w:color w:val="000000"/>
                      <w:kern w:val="24"/>
                      <w:lang w:eastAsia="lt-LT"/>
                    </w:rPr>
                    <w:t>5</w:t>
                  </w:r>
                  <w:r>
                    <w:rPr>
                      <w:rFonts w:eastAsia="+mn-ea"/>
                      <w:b/>
                      <w:bCs/>
                      <w:color w:val="000000"/>
                      <w:kern w:val="24"/>
                      <w:lang w:eastAsia="lt-LT"/>
                    </w:rPr>
                    <w:t xml:space="preserve"> </w:t>
                  </w:r>
                  <w:r>
                    <w:rPr>
                      <w:rFonts w:eastAsia="+mn-ea"/>
                      <w:color w:val="000000"/>
                      <w:kern w:val="24"/>
                      <w:lang w:eastAsia="lt-LT"/>
                    </w:rPr>
                    <w:t xml:space="preserve">metai, bet ne senesnius nei 10 metų </w:t>
                  </w:r>
                  <w:r>
                    <w:rPr>
                      <w:rFonts w:eastAsia="+mn-ea"/>
                      <w:bCs/>
                      <w:color w:val="000000"/>
                      <w:kern w:val="24"/>
                      <w:lang w:eastAsia="lt-LT"/>
                    </w:rPr>
                    <w:t>(įskaitant 10 metus)</w:t>
                  </w:r>
                  <w:r>
                    <w:rPr>
                      <w:rFonts w:eastAsia="+mn-ea"/>
                      <w:color w:val="000000"/>
                      <w:kern w:val="24"/>
                      <w:lang w:eastAsia="lt-LT"/>
                    </w:rPr>
                    <w:t xml:space="preserve">; 3 balai – ne naujesnius nei </w:t>
                  </w:r>
                  <w:r>
                    <w:rPr>
                      <w:rFonts w:eastAsia="+mn-ea"/>
                      <w:bCs/>
                      <w:color w:val="000000"/>
                      <w:kern w:val="24"/>
                      <w:lang w:eastAsia="lt-LT"/>
                    </w:rPr>
                    <w:t>10</w:t>
                  </w:r>
                  <w:r>
                    <w:rPr>
                      <w:rFonts w:eastAsia="+mn-ea"/>
                      <w:color w:val="000000"/>
                      <w:kern w:val="24"/>
                      <w:lang w:eastAsia="lt-LT"/>
                    </w:rPr>
                    <w:t xml:space="preserve"> metų, bet ne senesnius nei 20 metų </w:t>
                  </w:r>
                  <w:r>
                    <w:rPr>
                      <w:rFonts w:eastAsia="+mn-ea"/>
                      <w:bCs/>
                      <w:color w:val="000000"/>
                      <w:kern w:val="24"/>
                      <w:lang w:eastAsia="lt-LT"/>
                    </w:rPr>
                    <w:t>(įskaitant 20 metus)</w:t>
                  </w:r>
                  <w:r>
                    <w:rPr>
                      <w:rFonts w:eastAsia="+mn-ea"/>
                      <w:color w:val="000000"/>
                      <w:kern w:val="24"/>
                      <w:lang w:eastAsia="lt-LT"/>
                    </w:rPr>
                    <w:t xml:space="preserve">; 2 balai – ne naujesnius nei </w:t>
                  </w:r>
                  <w:r>
                    <w:rPr>
                      <w:rFonts w:eastAsia="+mn-ea"/>
                      <w:bCs/>
                      <w:color w:val="000000"/>
                      <w:kern w:val="24"/>
                      <w:lang w:eastAsia="lt-LT"/>
                    </w:rPr>
                    <w:t>20</w:t>
                  </w:r>
                  <w:r>
                    <w:rPr>
                      <w:rFonts w:eastAsia="+mn-ea"/>
                      <w:color w:val="000000"/>
                      <w:kern w:val="24"/>
                      <w:lang w:eastAsia="lt-LT"/>
                    </w:rPr>
                    <w:t xml:space="preserve"> met</w:t>
                  </w:r>
                  <w:r>
                    <w:rPr>
                      <w:rFonts w:eastAsia="+mn-ea"/>
                      <w:bCs/>
                      <w:color w:val="000000"/>
                      <w:kern w:val="24"/>
                      <w:lang w:eastAsia="lt-LT"/>
                    </w:rPr>
                    <w:t>ų</w:t>
                  </w:r>
                  <w:r>
                    <w:rPr>
                      <w:rFonts w:eastAsia="+mn-ea"/>
                      <w:color w:val="000000"/>
                      <w:kern w:val="24"/>
                      <w:lang w:eastAsia="lt-LT"/>
                    </w:rPr>
                    <w:t xml:space="preserve">, bet ne senesnius nei 25 metai </w:t>
                  </w:r>
                  <w:r>
                    <w:rPr>
                      <w:rFonts w:eastAsia="+mn-ea"/>
                      <w:bCs/>
                      <w:color w:val="000000"/>
                      <w:kern w:val="24"/>
                      <w:lang w:eastAsia="lt-LT"/>
                    </w:rPr>
                    <w:t>(įskaitant 25 metus)</w:t>
                  </w:r>
                  <w:r>
                    <w:rPr>
                      <w:rFonts w:eastAsia="+mn-ea"/>
                      <w:color w:val="000000"/>
                      <w:kern w:val="24"/>
                      <w:lang w:eastAsia="lt-LT"/>
                    </w:rPr>
                    <w:t xml:space="preserve">; 1 balas – ne naujesnius nei </w:t>
                  </w:r>
                  <w:r>
                    <w:rPr>
                      <w:rFonts w:eastAsia="+mn-ea"/>
                      <w:bCs/>
                      <w:color w:val="000000"/>
                      <w:kern w:val="24"/>
                      <w:lang w:eastAsia="lt-LT"/>
                    </w:rPr>
                    <w:t>25</w:t>
                  </w:r>
                  <w:r>
                    <w:rPr>
                      <w:rFonts w:eastAsia="+mn-ea"/>
                      <w:color w:val="000000"/>
                      <w:kern w:val="24"/>
                      <w:lang w:eastAsia="lt-LT"/>
                    </w:rPr>
                    <w:t xml:space="preserve"> metai, bet ne senesnius nei 30 metų </w:t>
                  </w:r>
                  <w:r>
                    <w:rPr>
                      <w:rFonts w:eastAsia="+mn-ea"/>
                      <w:bCs/>
                      <w:color w:val="000000"/>
                      <w:kern w:val="24"/>
                      <w:lang w:eastAsia="lt-LT"/>
                    </w:rPr>
                    <w:t>(įskaitant 30 metus)</w:t>
                  </w:r>
                  <w:r>
                    <w:rPr>
                      <w:rFonts w:eastAsia="+mn-ea"/>
                      <w:color w:val="000000"/>
                      <w:kern w:val="24"/>
                      <w:lang w:eastAsia="lt-LT"/>
                    </w:rPr>
                    <w:t xml:space="preserve">. </w:t>
                  </w:r>
                </w:p>
                <w:p w14:paraId="15A8232F" w14:textId="77777777" w:rsidR="00D00BF6" w:rsidRDefault="00D00BF6">
                  <w:pPr>
                    <w:rPr>
                      <w:rFonts w:eastAsia="+mn-ea"/>
                      <w:color w:val="000000"/>
                      <w:kern w:val="24"/>
                      <w:lang w:eastAsia="lt-LT"/>
                    </w:rPr>
                  </w:pPr>
                </w:p>
                <w:p w14:paraId="6E5A7360" w14:textId="77777777" w:rsidR="00D00BF6" w:rsidRDefault="00D00BF6">
                  <w:pPr>
                    <w:rPr>
                      <w:lang w:eastAsia="lt-LT"/>
                    </w:rPr>
                  </w:pPr>
                  <w:r>
                    <w:rPr>
                      <w:rFonts w:eastAsia="+mn-ea"/>
                      <w:color w:val="000000"/>
                      <w:kern w:val="24"/>
                      <w:lang w:eastAsia="lt-LT"/>
                    </w:rPr>
                    <w:t xml:space="preserve">3. 5 balai bus skiriami projektams, kuriais numatoma pritaikyti naujus arba ne senesnius nei 5 metai </w:t>
                  </w:r>
                  <w:r>
                    <w:rPr>
                      <w:rFonts w:eastAsia="+mn-ea"/>
                      <w:bCs/>
                      <w:color w:val="000000"/>
                      <w:kern w:val="24"/>
                      <w:lang w:eastAsia="lt-LT"/>
                    </w:rPr>
                    <w:t xml:space="preserve">(įskaitant 5 metus) </w:t>
                  </w:r>
                  <w:r>
                    <w:rPr>
                      <w:rFonts w:eastAsia="+mn-ea"/>
                      <w:color w:val="000000"/>
                      <w:kern w:val="24"/>
                      <w:lang w:eastAsia="lt-LT"/>
                    </w:rPr>
                    <w:t xml:space="preserve">nuo pirmosios registracijos reguliaraus susisiekimo laivus ir keltus; 4 balai – ne naujesnius nei </w:t>
                  </w:r>
                  <w:r>
                    <w:rPr>
                      <w:rFonts w:eastAsia="+mn-ea"/>
                      <w:bCs/>
                      <w:color w:val="000000"/>
                      <w:kern w:val="24"/>
                      <w:lang w:eastAsia="lt-LT"/>
                    </w:rPr>
                    <w:t>5</w:t>
                  </w:r>
                  <w:r>
                    <w:rPr>
                      <w:rFonts w:eastAsia="+mn-ea"/>
                      <w:b/>
                      <w:bCs/>
                      <w:color w:val="000000"/>
                      <w:kern w:val="24"/>
                      <w:lang w:eastAsia="lt-LT"/>
                    </w:rPr>
                    <w:t xml:space="preserve"> </w:t>
                  </w:r>
                  <w:r>
                    <w:rPr>
                      <w:rFonts w:eastAsia="+mn-ea"/>
                      <w:color w:val="000000"/>
                      <w:kern w:val="24"/>
                      <w:lang w:eastAsia="lt-LT"/>
                    </w:rPr>
                    <w:t xml:space="preserve">metai, bet ne senesnius nei 10 metų </w:t>
                  </w:r>
                  <w:r>
                    <w:rPr>
                      <w:rFonts w:eastAsia="+mn-ea"/>
                      <w:bCs/>
                      <w:color w:val="000000"/>
                      <w:kern w:val="24"/>
                      <w:lang w:eastAsia="lt-LT"/>
                    </w:rPr>
                    <w:t>(įskaitant 10 metus)</w:t>
                  </w:r>
                  <w:r>
                    <w:rPr>
                      <w:rFonts w:eastAsia="+mn-ea"/>
                      <w:color w:val="000000"/>
                      <w:kern w:val="24"/>
                      <w:lang w:eastAsia="lt-LT"/>
                    </w:rPr>
                    <w:t xml:space="preserve">; </w:t>
                  </w:r>
                </w:p>
                <w:p w14:paraId="1F0917A6" w14:textId="77777777" w:rsidR="00D00BF6" w:rsidRDefault="00D00BF6">
                  <w:pPr>
                    <w:rPr>
                      <w:lang w:eastAsia="lt-LT"/>
                    </w:rPr>
                  </w:pPr>
                  <w:r>
                    <w:rPr>
                      <w:rFonts w:eastAsia="+mn-ea"/>
                      <w:color w:val="000000"/>
                      <w:kern w:val="24"/>
                      <w:lang w:eastAsia="lt-LT"/>
                    </w:rPr>
                    <w:t xml:space="preserve">3 balai – ne naujesnius nei </w:t>
                  </w:r>
                  <w:r>
                    <w:rPr>
                      <w:rFonts w:eastAsia="+mn-ea"/>
                      <w:bCs/>
                      <w:color w:val="000000"/>
                      <w:kern w:val="24"/>
                      <w:lang w:eastAsia="lt-LT"/>
                    </w:rPr>
                    <w:t>10</w:t>
                  </w:r>
                  <w:r>
                    <w:rPr>
                      <w:rFonts w:eastAsia="+mn-ea"/>
                      <w:color w:val="000000"/>
                      <w:kern w:val="24"/>
                      <w:lang w:eastAsia="lt-LT"/>
                    </w:rPr>
                    <w:t xml:space="preserve"> metų, bet ne senesnius nei 20 metų </w:t>
                  </w:r>
                  <w:r>
                    <w:rPr>
                      <w:rFonts w:eastAsia="+mn-ea"/>
                      <w:bCs/>
                      <w:color w:val="000000"/>
                      <w:kern w:val="24"/>
                      <w:lang w:eastAsia="lt-LT"/>
                    </w:rPr>
                    <w:t>(įskaitant 20 metus)</w:t>
                  </w:r>
                  <w:r>
                    <w:rPr>
                      <w:rFonts w:eastAsia="+mn-ea"/>
                      <w:color w:val="000000"/>
                      <w:kern w:val="24"/>
                      <w:lang w:eastAsia="lt-LT"/>
                    </w:rPr>
                    <w:t xml:space="preserve">; 2 balai – ne naujesnius nei </w:t>
                  </w:r>
                  <w:r>
                    <w:rPr>
                      <w:rFonts w:eastAsia="+mn-ea"/>
                      <w:bCs/>
                      <w:color w:val="000000"/>
                      <w:kern w:val="24"/>
                      <w:lang w:eastAsia="lt-LT"/>
                    </w:rPr>
                    <w:t>20</w:t>
                  </w:r>
                  <w:r>
                    <w:rPr>
                      <w:rFonts w:eastAsia="+mn-ea"/>
                      <w:color w:val="000000"/>
                      <w:kern w:val="24"/>
                      <w:lang w:eastAsia="lt-LT"/>
                    </w:rPr>
                    <w:t xml:space="preserve"> met</w:t>
                  </w:r>
                  <w:r>
                    <w:rPr>
                      <w:rFonts w:eastAsia="+mn-ea"/>
                      <w:bCs/>
                      <w:color w:val="000000"/>
                      <w:kern w:val="24"/>
                      <w:lang w:eastAsia="lt-LT"/>
                    </w:rPr>
                    <w:t>ų</w:t>
                  </w:r>
                  <w:r>
                    <w:rPr>
                      <w:rFonts w:eastAsia="+mn-ea"/>
                      <w:color w:val="000000"/>
                      <w:kern w:val="24"/>
                      <w:lang w:eastAsia="lt-LT"/>
                    </w:rPr>
                    <w:t xml:space="preserve">, bet ne senesnius nei 25 metai </w:t>
                  </w:r>
                  <w:r>
                    <w:rPr>
                      <w:rFonts w:eastAsia="+mn-ea"/>
                      <w:bCs/>
                      <w:color w:val="000000"/>
                      <w:kern w:val="24"/>
                      <w:lang w:eastAsia="lt-LT"/>
                    </w:rPr>
                    <w:t xml:space="preserve">(įskaitant 25 </w:t>
                  </w:r>
                  <w:r>
                    <w:rPr>
                      <w:rFonts w:eastAsia="+mn-ea"/>
                      <w:bCs/>
                      <w:color w:val="000000"/>
                      <w:kern w:val="24"/>
                      <w:lang w:eastAsia="lt-LT"/>
                    </w:rPr>
                    <w:lastRenderedPageBreak/>
                    <w:t>metus)</w:t>
                  </w:r>
                  <w:r>
                    <w:rPr>
                      <w:rFonts w:eastAsia="+mn-ea"/>
                      <w:color w:val="000000"/>
                      <w:kern w:val="24"/>
                      <w:lang w:eastAsia="lt-LT"/>
                    </w:rPr>
                    <w:t xml:space="preserve">; 1 balas – ne naujesnius nei </w:t>
                  </w:r>
                  <w:r>
                    <w:rPr>
                      <w:rFonts w:eastAsia="+mn-ea"/>
                      <w:bCs/>
                      <w:color w:val="000000"/>
                      <w:kern w:val="24"/>
                      <w:lang w:eastAsia="lt-LT"/>
                    </w:rPr>
                    <w:t>25</w:t>
                  </w:r>
                  <w:r>
                    <w:rPr>
                      <w:rFonts w:eastAsia="+mn-ea"/>
                      <w:color w:val="000000"/>
                      <w:kern w:val="24"/>
                      <w:lang w:eastAsia="lt-LT"/>
                    </w:rPr>
                    <w:t xml:space="preserve"> metai, bet ne senesnius nei 30 metų </w:t>
                  </w:r>
                  <w:r>
                    <w:rPr>
                      <w:rFonts w:eastAsia="+mn-ea"/>
                      <w:bCs/>
                      <w:color w:val="000000"/>
                      <w:kern w:val="24"/>
                      <w:lang w:eastAsia="lt-LT"/>
                    </w:rPr>
                    <w:t>(įskaitant 30 metus)</w:t>
                  </w:r>
                  <w:r>
                    <w:rPr>
                      <w:rFonts w:eastAsia="+mn-ea"/>
                      <w:color w:val="000000"/>
                      <w:kern w:val="24"/>
                      <w:lang w:eastAsia="lt-LT"/>
                    </w:rPr>
                    <w:t xml:space="preserve">. </w:t>
                  </w:r>
                </w:p>
                <w:p w14:paraId="3ADCF2D4" w14:textId="77777777" w:rsidR="00D00BF6" w:rsidRDefault="00D00BF6">
                  <w:pPr>
                    <w:rPr>
                      <w:rFonts w:eastAsia="+mn-ea"/>
                      <w:color w:val="000000"/>
                      <w:kern w:val="24"/>
                      <w:lang w:eastAsia="lt-LT"/>
                    </w:rPr>
                  </w:pPr>
                </w:p>
                <w:p w14:paraId="495C7958" w14:textId="77777777" w:rsidR="00D00BF6" w:rsidRDefault="00D00BF6">
                  <w:pPr>
                    <w:rPr>
                      <w:lang w:eastAsia="lt-LT"/>
                    </w:rPr>
                  </w:pPr>
                  <w:r>
                    <w:rPr>
                      <w:rFonts w:eastAsia="+mn-ea"/>
                      <w:color w:val="000000"/>
                      <w:kern w:val="24"/>
                      <w:lang w:eastAsia="lt-LT"/>
                    </w:rPr>
                    <w:t xml:space="preserve">Projekto atitiktis šiam kriterijui vertinama atliekant paraiškos vertinimą ir projekto sutarčių </w:t>
                  </w:r>
                  <w:proofErr w:type="spellStart"/>
                  <w:r>
                    <w:rPr>
                      <w:rFonts w:eastAsia="+mn-ea"/>
                      <w:color w:val="000000"/>
                      <w:kern w:val="24"/>
                      <w:lang w:eastAsia="lt-LT"/>
                    </w:rPr>
                    <w:t>keitimus</w:t>
                  </w:r>
                  <w:proofErr w:type="spellEnd"/>
                  <w:r>
                    <w:rPr>
                      <w:rFonts w:eastAsia="+mn-ea"/>
                      <w:color w:val="000000"/>
                      <w:kern w:val="24"/>
                      <w:lang w:eastAsia="lt-LT"/>
                    </w:rPr>
                    <w:t>.</w:t>
                  </w:r>
                </w:p>
                <w:p w14:paraId="7BA805FF" w14:textId="77777777" w:rsidR="00D00BF6" w:rsidRDefault="00D00BF6">
                  <w:pPr>
                    <w:rPr>
                      <w:rFonts w:eastAsia="+mn-ea"/>
                      <w:iCs/>
                      <w:color w:val="000000"/>
                      <w:kern w:val="24"/>
                      <w:lang w:eastAsia="lt-LT"/>
                    </w:rPr>
                  </w:pPr>
                </w:p>
                <w:p w14:paraId="77FB1074" w14:textId="77777777" w:rsidR="00D00BF6" w:rsidRDefault="00D00BF6">
                  <w:pPr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rFonts w:eastAsia="+mn-ea"/>
                      <w:iCs/>
                      <w:color w:val="000000"/>
                      <w:kern w:val="24"/>
                      <w:lang w:eastAsia="lt-LT"/>
                    </w:rPr>
                    <w:t>Projektų atrankos kriterijus taikomas Aprašo 11.1 ir 11.2 papunkčiuose nurodytoms veikloms.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325E7" w14:textId="77777777" w:rsidR="00D00BF6" w:rsidRDefault="00D00BF6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</w:rPr>
                    <w:lastRenderedPageBreak/>
                    <w:t>5 (5x10)</w:t>
                  </w:r>
                </w:p>
                <w:p w14:paraId="74C2012E" w14:textId="77777777" w:rsidR="00D00BF6" w:rsidRDefault="00D00BF6">
                  <w:pPr>
                    <w:jc w:val="center"/>
                    <w:rPr>
                      <w:bCs/>
                      <w:i/>
                      <w:sz w:val="20"/>
                    </w:rPr>
                  </w:pPr>
                </w:p>
                <w:p w14:paraId="51B44210" w14:textId="77777777" w:rsidR="00D00BF6" w:rsidRDefault="00D00BF6">
                  <w:pPr>
                    <w:jc w:val="center"/>
                    <w:rPr>
                      <w:bCs/>
                      <w:i/>
                      <w:sz w:val="20"/>
                    </w:rPr>
                  </w:pPr>
                </w:p>
                <w:p w14:paraId="0B573F80" w14:textId="77777777" w:rsidR="00D00BF6" w:rsidRDefault="00D00BF6">
                  <w:pPr>
                    <w:jc w:val="center"/>
                    <w:rPr>
                      <w:bCs/>
                      <w:i/>
                      <w:sz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BC341" w14:textId="77777777" w:rsidR="00D00BF6" w:rsidRDefault="00D00BF6">
                  <w:pPr>
                    <w:jc w:val="center"/>
                    <w:rPr>
                      <w:b/>
                      <w:bCs/>
                      <w:caps/>
                      <w:sz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E5F78" w14:textId="77777777" w:rsidR="00D00BF6" w:rsidRDefault="00D00BF6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</w:rPr>
                    <w:t>10</w:t>
                  </w:r>
                </w:p>
                <w:p w14:paraId="0DD143AE" w14:textId="77777777" w:rsidR="00D00BF6" w:rsidRDefault="00D00BF6">
                  <w:pPr>
                    <w:jc w:val="center"/>
                    <w:rPr>
                      <w:b/>
                      <w:bCs/>
                      <w:caps/>
                      <w:sz w:val="2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E2FD3" w14:textId="77777777" w:rsidR="00D00BF6" w:rsidRDefault="00D00BF6">
                  <w:pPr>
                    <w:jc w:val="center"/>
                    <w:rPr>
                      <w:bCs/>
                      <w:i/>
                      <w:caps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D7252" w14:textId="77777777" w:rsidR="00D00BF6" w:rsidRDefault="00D00BF6">
                  <w:pPr>
                    <w:jc w:val="center"/>
                    <w:rPr>
                      <w:b/>
                      <w:bCs/>
                      <w:caps/>
                      <w:sz w:val="20"/>
                    </w:rPr>
                  </w:pPr>
                  <w:r>
                    <w:rPr>
                      <w:rFonts w:eastAsia="Calibri"/>
                      <w:i/>
                      <w:sz w:val="20"/>
                    </w:rPr>
                    <w:t>Galimas simbolių skaičius – 1000.</w:t>
                  </w:r>
                </w:p>
              </w:tc>
            </w:tr>
            <w:tr w:rsidR="00D00BF6" w14:paraId="06BD7AE6" w14:textId="77777777"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9A1D8A" w14:textId="77777777" w:rsidR="00D00BF6" w:rsidRDefault="00D00BF6">
                  <w:pPr>
                    <w:rPr>
                      <w:bCs/>
                      <w:caps/>
                      <w:szCs w:val="24"/>
                    </w:rPr>
                  </w:pPr>
                  <w:r>
                    <w:rPr>
                      <w:bCs/>
                      <w:caps/>
                    </w:rPr>
                    <w:lastRenderedPageBreak/>
                    <w:t>2.</w:t>
                  </w:r>
                  <w:r>
                    <w:rPr>
                      <w:lang w:eastAsia="lt-LT"/>
                    </w:rPr>
                    <w:t xml:space="preserve"> Projektu viešojo transporto priemonėse numatoma įrengti daugiau vietų, skirtų judėjimo negalią turintiems žmonėms važiuoti, o taip pat įrengti dviračių laikymo / pervežimo įrangą.</w:t>
                  </w:r>
                </w:p>
              </w:tc>
              <w:tc>
                <w:tcPr>
                  <w:tcW w:w="5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C20EE" w14:textId="77777777" w:rsidR="00D00BF6" w:rsidRDefault="00D00BF6">
                  <w:pPr>
                    <w:pStyle w:val="NormalWeb"/>
                    <w:spacing w:before="0" w:beforeAutospacing="0" w:after="0" w:afterAutospacing="0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Vertinamas viešojo transporto priemonėse numatomų įrengti vietų, skirtų judėjimo negalią turtintiems žmonėms važiuoti, skaičius, o taip pat dviračių laikymo / pervežimo įrangos įrengimas: </w:t>
                  </w:r>
                </w:p>
                <w:p w14:paraId="48383695" w14:textId="77777777" w:rsidR="00D00BF6" w:rsidRDefault="00D00BF6">
                  <w:pPr>
                    <w:pStyle w:val="NormalWeb"/>
                    <w:spacing w:before="0" w:beforeAutospacing="0" w:after="0" w:afterAutospacing="0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14:paraId="2F92D017" w14:textId="77777777" w:rsidR="00D00BF6" w:rsidRDefault="00D00BF6">
                  <w:pPr>
                    <w:pStyle w:val="NormalWeb"/>
                    <w:spacing w:before="0" w:beforeAutospacing="0" w:after="0" w:afterAutospacing="0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5 balai bus skiriami projektams, kuriais viešojo transporto priemonėse numatoma įrengti 2 ir daugiau vietų, skirtų judėjimo negalią turintiems žmonėms važiuoti, o taip pat dviračių laikiklius; 4 balai bus skiriami projektams, kuriais viešojo transporto priemonėse numatoma įrengti tik 2 ir daugiau vietų, skirtų judėjimo negalią turintiems žmonėms važiuoti;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3 balai bus skiriami projektams, kuriais viešojo transporto priemonėse numatoma įrengti 1 vietą, skirtą judėjimo negalią turintiems žmonėms važiuoti, o taip pat dviračių laikiklius; 2 balai bus skiriami projektams, kuriais viešojo transporto priemonėse numatoma įrengti tik 1 vietą, skirtą judėjimo negalią turintiems žmonėms važiuoti; 1 balas bus skiriamas projektams, kuriais viešojo transporto priemonėse numatoma įrengti tik dviračių laikiklius.</w:t>
                  </w:r>
                  <w:r>
                    <w:t xml:space="preserve"> </w:t>
                  </w:r>
                </w:p>
                <w:p w14:paraId="2E45D3A7" w14:textId="77777777" w:rsidR="00D00BF6" w:rsidRDefault="00D00BF6"/>
                <w:p w14:paraId="47D58A94" w14:textId="77777777" w:rsidR="00D00BF6" w:rsidRDefault="00D00BF6">
                  <w:r>
                    <w:t>Projekto atitiktis šiam kriterijui vertinama atliekant paraiškos vertinimą ir projektų įgyvendinimo metu.</w:t>
                  </w:r>
                </w:p>
                <w:p w14:paraId="66323298" w14:textId="77777777" w:rsidR="00D00BF6" w:rsidRDefault="00D00BF6"/>
                <w:p w14:paraId="2ECBE176" w14:textId="77777777" w:rsidR="00D00BF6" w:rsidRDefault="00D00BF6">
                  <w:pPr>
                    <w:jc w:val="both"/>
                    <w:rPr>
                      <w:szCs w:val="24"/>
                    </w:rPr>
                  </w:pPr>
                  <w:r>
                    <w:t xml:space="preserve">Projektų atrankos kriterijus taikomas </w:t>
                  </w:r>
                  <w:r>
                    <w:rPr>
                      <w:rFonts w:eastAsia="+mn-ea"/>
                      <w:iCs/>
                      <w:color w:val="000000"/>
                      <w:kern w:val="24"/>
                      <w:lang w:eastAsia="lt-LT"/>
                    </w:rPr>
                    <w:t>Aprašo 11.1 ir 11.2 papunkčiuose nurodytoms veikloms.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954973" w14:textId="77777777" w:rsidR="00D00BF6" w:rsidRDefault="00D00BF6">
                  <w:pPr>
                    <w:jc w:val="center"/>
                    <w:rPr>
                      <w:b/>
                      <w:bCs/>
                      <w:caps/>
                      <w:szCs w:val="24"/>
                    </w:rPr>
                  </w:pPr>
                  <w:r>
                    <w:rPr>
                      <w:b/>
                      <w:bCs/>
                      <w:caps/>
                    </w:rPr>
                    <w:t xml:space="preserve">5 </w:t>
                  </w:r>
                  <w:r>
                    <w:rPr>
                      <w:b/>
                      <w:bCs/>
                    </w:rPr>
                    <w:t>(5x</w:t>
                  </w:r>
                  <w:r>
                    <w:rPr>
                      <w:b/>
                      <w:bCs/>
                      <w:caps/>
                    </w:rPr>
                    <w:t>4)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FBBF6" w14:textId="77777777" w:rsidR="00D00BF6" w:rsidRDefault="00D00BF6">
                  <w:pPr>
                    <w:jc w:val="center"/>
                    <w:rPr>
                      <w:b/>
                      <w:bCs/>
                      <w:caps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4A9785" w14:textId="77777777" w:rsidR="00D00BF6" w:rsidRDefault="00D00BF6">
                  <w:pPr>
                    <w:jc w:val="center"/>
                    <w:rPr>
                      <w:b/>
                      <w:bCs/>
                      <w:caps/>
                      <w:szCs w:val="24"/>
                    </w:rPr>
                  </w:pPr>
                  <w:r>
                    <w:rPr>
                      <w:b/>
                      <w:bCs/>
                      <w:caps/>
                    </w:rPr>
                    <w:t>4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3AA46" w14:textId="77777777" w:rsidR="00D00BF6" w:rsidRDefault="00D00BF6">
                  <w:pPr>
                    <w:jc w:val="center"/>
                    <w:rPr>
                      <w:b/>
                      <w:bCs/>
                      <w:caps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81AEB" w14:textId="77777777" w:rsidR="00D00BF6" w:rsidRDefault="00D00BF6">
                  <w:pPr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</w:p>
              </w:tc>
            </w:tr>
            <w:tr w:rsidR="00D00BF6" w14:paraId="1AF69A72" w14:textId="77777777"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206EA5" w14:textId="77777777" w:rsidR="00D00BF6" w:rsidRDefault="00D00BF6">
                  <w:pPr>
                    <w:rPr>
                      <w:bCs/>
                      <w:szCs w:val="24"/>
                    </w:rPr>
                  </w:pPr>
                  <w:r>
                    <w:rPr>
                      <w:bCs/>
                    </w:rPr>
                    <w:lastRenderedPageBreak/>
                    <w:t>3.</w:t>
                  </w:r>
                  <w:r>
                    <w:rPr>
                      <w:lang w:eastAsia="lt-LT"/>
                    </w:rPr>
                    <w:t xml:space="preserve"> Projektu numatoma pritaikyti daugiau nei vieną viešojo transporto priemonę.</w:t>
                  </w:r>
                </w:p>
              </w:tc>
              <w:tc>
                <w:tcPr>
                  <w:tcW w:w="5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18669" w14:textId="77777777" w:rsidR="00D00BF6" w:rsidRDefault="00D00BF6">
                  <w:pPr>
                    <w:rPr>
                      <w:szCs w:val="24"/>
                    </w:rPr>
                  </w:pPr>
                  <w:r>
                    <w:t xml:space="preserve">Vertinamas viešojo transporto priemonių, numatomų pritaikyti riboto </w:t>
                  </w:r>
                  <w:proofErr w:type="spellStart"/>
                  <w:r>
                    <w:t>judumo</w:t>
                  </w:r>
                  <w:proofErr w:type="spellEnd"/>
                  <w:r>
                    <w:t xml:space="preserve"> ir specialiųjų poreikių turintiems žmonėms, o taip pat dviračiams laikyti / pervežti skaičius: </w:t>
                  </w:r>
                </w:p>
                <w:p w14:paraId="45CE3526" w14:textId="77777777" w:rsidR="00D00BF6" w:rsidRDefault="00D00BF6"/>
                <w:p w14:paraId="12D9C5D4" w14:textId="77777777" w:rsidR="00D00BF6" w:rsidRDefault="00D00BF6">
                  <w:r>
                    <w:t xml:space="preserve">1 balas bus skiriamas projektams, kuriais numatoma pritaikyti 2 transporto priemones; 2 balai bus skiriami projektams, kuriais numatoma pritaikyti 3 transporto priemones; 3 balai bus skiriami projektams, kuriais numatoma pritaikyti 4 transporto priemones; 4 balai bus skiriami projektams, kuriais numatoma pritaikyti 5 transporto priemones; 5 balai bus skiriami projektams, kuriais numatoma pritaikyti 6 ir daugiau transporto priemonių. </w:t>
                  </w:r>
                </w:p>
                <w:p w14:paraId="47871362" w14:textId="77777777" w:rsidR="00D00BF6" w:rsidRDefault="00D00BF6"/>
                <w:p w14:paraId="23FF6760" w14:textId="77777777" w:rsidR="00D00BF6" w:rsidRDefault="00D00BF6">
                  <w:r>
                    <w:rPr>
                      <w:bCs/>
                    </w:rPr>
                    <w:t xml:space="preserve">0 balų bus skiriama tiems projektams, kuriais numatoma pritaikyti tik 1 viešojo transporto priemonę. </w:t>
                  </w:r>
                </w:p>
                <w:p w14:paraId="182DA060" w14:textId="77777777" w:rsidR="00D00BF6" w:rsidRDefault="00D00BF6"/>
                <w:p w14:paraId="296E35D4" w14:textId="77777777" w:rsidR="00D00BF6" w:rsidRDefault="00D00BF6">
                  <w:r>
                    <w:t>Projekto atitiktis šiam kriterijui vertinama atliekant paraiškos vertinimą ir projektų įgyvendinimo metu.</w:t>
                  </w:r>
                </w:p>
                <w:p w14:paraId="0413CD47" w14:textId="77777777" w:rsidR="00D00BF6" w:rsidRDefault="00D00BF6"/>
                <w:p w14:paraId="06B6C64F" w14:textId="77777777" w:rsidR="00D00BF6" w:rsidRDefault="00D00BF6">
                  <w:pPr>
                    <w:jc w:val="both"/>
                    <w:rPr>
                      <w:szCs w:val="24"/>
                    </w:rPr>
                  </w:pPr>
                  <w:r>
                    <w:t xml:space="preserve">Projektų atrankos kriterijus taikomas </w:t>
                  </w:r>
                  <w:r>
                    <w:rPr>
                      <w:rFonts w:eastAsia="+mn-ea"/>
                      <w:iCs/>
                      <w:color w:val="000000"/>
                      <w:kern w:val="24"/>
                      <w:lang w:eastAsia="lt-LT"/>
                    </w:rPr>
                    <w:t>Aprašo 11.1 ir 11.2 papunkčiuose nurodytoms veikloms.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E269F1" w14:textId="77777777" w:rsidR="00D00BF6" w:rsidRDefault="00D00BF6">
                  <w:pPr>
                    <w:jc w:val="center"/>
                    <w:rPr>
                      <w:b/>
                      <w:bCs/>
                      <w:caps/>
                      <w:szCs w:val="24"/>
                    </w:rPr>
                  </w:pPr>
                  <w:r>
                    <w:rPr>
                      <w:b/>
                      <w:bCs/>
                      <w:caps/>
                    </w:rPr>
                    <w:t xml:space="preserve">5 </w:t>
                  </w:r>
                  <w:r>
                    <w:rPr>
                      <w:b/>
                      <w:bCs/>
                    </w:rPr>
                    <w:t>(5x6)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70098" w14:textId="77777777" w:rsidR="00D00BF6" w:rsidRDefault="00D00BF6">
                  <w:pPr>
                    <w:jc w:val="center"/>
                    <w:rPr>
                      <w:b/>
                      <w:bCs/>
                      <w:caps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AE89FA" w14:textId="77777777" w:rsidR="00D00BF6" w:rsidRDefault="00D00BF6">
                  <w:pPr>
                    <w:jc w:val="center"/>
                    <w:rPr>
                      <w:b/>
                      <w:bCs/>
                      <w:caps/>
                      <w:szCs w:val="24"/>
                    </w:rPr>
                  </w:pPr>
                  <w:r>
                    <w:rPr>
                      <w:b/>
                      <w:bCs/>
                      <w:caps/>
                    </w:rPr>
                    <w:t>6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035F4" w14:textId="77777777" w:rsidR="00D00BF6" w:rsidRDefault="00D00BF6">
                  <w:pPr>
                    <w:jc w:val="center"/>
                    <w:rPr>
                      <w:b/>
                      <w:bCs/>
                      <w:caps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2AE54" w14:textId="77777777" w:rsidR="00D00BF6" w:rsidRDefault="00D00BF6">
                  <w:pPr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</w:p>
              </w:tc>
            </w:tr>
            <w:tr w:rsidR="00D00BF6" w14:paraId="0239D0BD" w14:textId="77777777">
              <w:tc>
                <w:tcPr>
                  <w:tcW w:w="78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8FB74C" w14:textId="77777777" w:rsidR="00D00BF6" w:rsidRDefault="00D00BF6">
                  <w:pPr>
                    <w:jc w:val="right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Suma</w:t>
                  </w:r>
                  <w:r>
                    <w:rPr>
                      <w:b/>
                      <w:bCs/>
                      <w:cap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7794B6" w14:textId="77777777" w:rsidR="00D00BF6" w:rsidRDefault="00D00BF6">
                  <w:pPr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aps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14:paraId="6390C323" w14:textId="77777777" w:rsidR="00D00BF6" w:rsidRDefault="00D00BF6">
                  <w:pPr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14:paraId="439B03D2" w14:textId="77777777" w:rsidR="00D00BF6" w:rsidRDefault="00D00BF6">
                  <w:pPr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EE6250" w14:textId="77777777" w:rsidR="00D00BF6" w:rsidRDefault="00D00BF6">
                  <w:pPr>
                    <w:ind w:left="-57" w:right="-57"/>
                    <w:jc w:val="center"/>
                    <w:rPr>
                      <w:bCs/>
                      <w:i/>
                      <w:sz w:val="20"/>
                    </w:rPr>
                  </w:pPr>
                  <w:r>
                    <w:rPr>
                      <w:bCs/>
                      <w:i/>
                      <w:sz w:val="20"/>
                    </w:rPr>
                    <w:t>(Sumuojama skiltyje įrašytų skaičių suma, kuri negali viršyti 100.</w:t>
                  </w:r>
                  <w:r>
                    <w:rPr>
                      <w:rFonts w:eastAsia="Calibri"/>
                      <w:i/>
                      <w:sz w:val="20"/>
                    </w:rPr>
                    <w:t xml:space="preserve"> Galimas simbolių skaičius – 3 skaičiai iki kablelio ir 1 po kablelio.)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14:paraId="503E546E" w14:textId="77777777" w:rsidR="00D00BF6" w:rsidRDefault="00D00BF6">
                  <w:pPr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</w:p>
              </w:tc>
            </w:tr>
            <w:tr w:rsidR="00D00BF6" w14:paraId="1040E150" w14:textId="77777777">
              <w:tc>
                <w:tcPr>
                  <w:tcW w:w="78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098ECA" w14:textId="77777777" w:rsidR="00D00BF6" w:rsidRDefault="00D00BF6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Minimali privaloma surinkti balų suma: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B7DB11" w14:textId="77777777" w:rsidR="00D00BF6" w:rsidRDefault="00D00BF6">
                  <w:pPr>
                    <w:jc w:val="center"/>
                    <w:rPr>
                      <w:b/>
                      <w:bCs/>
                      <w:caps/>
                      <w:sz w:val="20"/>
                    </w:rPr>
                  </w:pPr>
                  <w:r>
                    <w:rPr>
                      <w:rFonts w:eastAsia="Calibri"/>
                      <w:i/>
                      <w:sz w:val="20"/>
                    </w:rPr>
                    <w:t>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14:paraId="245BD300" w14:textId="77777777" w:rsidR="00D00BF6" w:rsidRDefault="00D00BF6">
                  <w:pPr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14:paraId="71BA66D6" w14:textId="77777777" w:rsidR="00D00BF6" w:rsidRDefault="00D00BF6">
                  <w:pPr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816A8" w14:textId="77777777" w:rsidR="00D00BF6" w:rsidRDefault="00D00BF6">
                  <w:pPr>
                    <w:jc w:val="center"/>
                    <w:rPr>
                      <w:bCs/>
                      <w:i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14:paraId="2C59E8B3" w14:textId="77777777" w:rsidR="00D00BF6" w:rsidRDefault="00D00BF6">
                  <w:pPr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</w:p>
              </w:tc>
            </w:tr>
          </w:tbl>
          <w:p w14:paraId="24107C14" w14:textId="77777777" w:rsidR="00D00BF6" w:rsidRDefault="00D00BF6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</w:p>
          <w:p w14:paraId="2774BFB8" w14:textId="77777777" w:rsidR="00D00BF6" w:rsidRDefault="00D00BF6">
            <w:pPr>
              <w:ind w:firstLine="720"/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 xml:space="preserve"> </w:t>
            </w:r>
          </w:p>
        </w:tc>
      </w:tr>
    </w:tbl>
    <w:p w14:paraId="20A5F6A2" w14:textId="77777777" w:rsidR="00D00BF6" w:rsidRDefault="00D00BF6" w:rsidP="00D00BF6">
      <w:pPr>
        <w:tabs>
          <w:tab w:val="left" w:pos="9639"/>
        </w:tabs>
      </w:pPr>
    </w:p>
    <w:p w14:paraId="19F377F3" w14:textId="77777777" w:rsidR="00D00BF6" w:rsidRDefault="00D00BF6" w:rsidP="00D00BF6">
      <w:pPr>
        <w:tabs>
          <w:tab w:val="left" w:pos="9639"/>
        </w:tabs>
      </w:pPr>
      <w:r>
        <w:t>____________________________________                                           ________________             ___________________________</w:t>
      </w:r>
    </w:p>
    <w:p w14:paraId="2C4D699D" w14:textId="77777777" w:rsidR="00D00BF6" w:rsidRDefault="00D00BF6" w:rsidP="00D00BF6">
      <w:pPr>
        <w:tabs>
          <w:tab w:val="left" w:pos="7513"/>
          <w:tab w:val="left" w:pos="10065"/>
        </w:tabs>
      </w:pPr>
      <w:r>
        <w:t>(paraiškos vertinimą atlikusios institucijos</w:t>
      </w:r>
      <w:r>
        <w:tab/>
        <w:t xml:space="preserve"> (data) </w:t>
      </w:r>
      <w:r>
        <w:tab/>
        <w:t>(vardas ir pavardė, parašas</w:t>
      </w:r>
      <w:r>
        <w:rPr>
          <w:rStyle w:val="FootnoteReference"/>
          <w:bCs/>
          <w:i/>
          <w:sz w:val="22"/>
          <w:szCs w:val="22"/>
        </w:rPr>
        <w:footnoteReference w:id="2"/>
      </w:r>
      <w:r>
        <w:t>)</w:t>
      </w:r>
    </w:p>
    <w:p w14:paraId="30D978B0" w14:textId="77777777" w:rsidR="00D00BF6" w:rsidRDefault="00D00BF6" w:rsidP="00D00BF6">
      <w:pPr>
        <w:tabs>
          <w:tab w:val="center" w:pos="10800"/>
        </w:tabs>
      </w:pPr>
      <w:r>
        <w:t xml:space="preserve">atsakingo asmens pareigų pavadinimas)                                                                     </w:t>
      </w:r>
      <w:r>
        <w:tab/>
        <w:t xml:space="preserve">       </w:t>
      </w:r>
    </w:p>
    <w:p w14:paraId="21F7CACF" w14:textId="61D997B2" w:rsidR="00D00BF6" w:rsidRDefault="00D00BF6" w:rsidP="00D00BF6">
      <w:pPr>
        <w:rPr>
          <w:sz w:val="18"/>
          <w:szCs w:val="18"/>
        </w:rPr>
      </w:pPr>
    </w:p>
    <w:p w14:paraId="63C38E17" w14:textId="72B4D220" w:rsidR="00D00BF6" w:rsidRDefault="00D00BF6">
      <w:pPr>
        <w:rPr>
          <w:lang w:eastAsia="lt-LT"/>
        </w:rPr>
      </w:pPr>
      <w:bookmarkStart w:id="0" w:name="_GoBack"/>
      <w:bookmarkEnd w:id="0"/>
    </w:p>
    <w:sectPr w:rsidR="00D00BF6" w:rsidSect="00EC5FF1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52393" w14:textId="77777777" w:rsidR="00744A1E" w:rsidRDefault="00744A1E">
      <w:r>
        <w:separator/>
      </w:r>
    </w:p>
  </w:endnote>
  <w:endnote w:type="continuationSeparator" w:id="0">
    <w:p w14:paraId="53785781" w14:textId="77777777" w:rsidR="00744A1E" w:rsidRDefault="0074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422B1" w14:textId="77777777" w:rsidR="00744A1E" w:rsidRDefault="00744A1E">
      <w:r>
        <w:separator/>
      </w:r>
    </w:p>
  </w:footnote>
  <w:footnote w:type="continuationSeparator" w:id="0">
    <w:p w14:paraId="6CD72E41" w14:textId="77777777" w:rsidR="00744A1E" w:rsidRDefault="00744A1E">
      <w:r>
        <w:continuationSeparator/>
      </w:r>
    </w:p>
  </w:footnote>
  <w:footnote w:id="1">
    <w:p w14:paraId="3A2C3CFE" w14:textId="77777777" w:rsidR="00D00BF6" w:rsidRDefault="00D00BF6" w:rsidP="00D00BF6">
      <w:pPr>
        <w:pStyle w:val="FootnoteText"/>
        <w:rPr>
          <w:i/>
        </w:rPr>
      </w:pPr>
      <w:r>
        <w:rPr>
          <w:rStyle w:val="FootnoteReference"/>
          <w:i/>
        </w:rPr>
        <w:footnoteRef/>
      </w:r>
      <w:r>
        <w:rPr>
          <w:i/>
        </w:rPr>
        <w:t xml:space="preserve"> Jei svoriai nenustatomi, 4 ir 5 skiltys išbraukiamos (nespausdinamos).</w:t>
      </w:r>
    </w:p>
  </w:footnote>
  <w:footnote w:id="2">
    <w:p w14:paraId="4E2CB54A" w14:textId="77777777" w:rsidR="00D00BF6" w:rsidRDefault="00D00BF6" w:rsidP="00D00BF6">
      <w:pPr>
        <w:pStyle w:val="FootnoteText"/>
        <w:rPr>
          <w:i/>
        </w:rPr>
      </w:pPr>
      <w:r>
        <w:rPr>
          <w:rStyle w:val="FootnoteReference"/>
          <w:i/>
        </w:rPr>
        <w:footnoteRef/>
      </w:r>
      <w:r>
        <w:rPr>
          <w:i/>
        </w:rPr>
        <w:t xml:space="preserve"> </w:t>
      </w:r>
      <w:r>
        <w:rPr>
          <w:i/>
        </w:rPr>
        <w:t>Pasirašoma, jei pildoma popierinė lentelės versija.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7142"/>
    <w:multiLevelType w:val="hybridMultilevel"/>
    <w:tmpl w:val="F3047CA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D5"/>
    <w:rsid w:val="00167DB0"/>
    <w:rsid w:val="0031547B"/>
    <w:rsid w:val="00367AAC"/>
    <w:rsid w:val="003C607D"/>
    <w:rsid w:val="004769B5"/>
    <w:rsid w:val="005B11E2"/>
    <w:rsid w:val="00744A1E"/>
    <w:rsid w:val="007E1D8F"/>
    <w:rsid w:val="00C343D5"/>
    <w:rsid w:val="00D00BF6"/>
    <w:rsid w:val="00EC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A0241"/>
  <w15:docId w15:val="{EB1199E9-898B-43D0-943F-DFE88042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D00BF6"/>
    <w:rPr>
      <w:color w:val="808080"/>
    </w:rPr>
  </w:style>
  <w:style w:type="paragraph" w:styleId="FootnoteText">
    <w:name w:val="footnote text"/>
    <w:basedOn w:val="Normal"/>
    <w:link w:val="FootnoteTextChar"/>
    <w:uiPriority w:val="99"/>
    <w:unhideWhenUsed/>
    <w:rsid w:val="00D00BF6"/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00BF6"/>
    <w:rPr>
      <w:rFonts w:asciiTheme="minorHAnsi" w:eastAsiaTheme="minorHAnsi" w:hAnsiTheme="minorHAnsi" w:cstheme="minorBidi"/>
      <w:sz w:val="20"/>
    </w:rPr>
  </w:style>
  <w:style w:type="paragraph" w:customStyle="1" w:styleId="default">
    <w:name w:val="default"/>
    <w:basedOn w:val="Normal"/>
    <w:rsid w:val="00D00BF6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Default0">
    <w:name w:val="Default"/>
    <w:rsid w:val="00D00BF6"/>
    <w:pPr>
      <w:autoSpaceDE w:val="0"/>
      <w:autoSpaceDN w:val="0"/>
      <w:adjustRightInd w:val="0"/>
    </w:pPr>
    <w:rPr>
      <w:rFonts w:eastAsiaTheme="minorHAnsi"/>
      <w:color w:val="000000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D00BF6"/>
    <w:rPr>
      <w:vertAlign w:val="superscript"/>
    </w:rPr>
  </w:style>
  <w:style w:type="table" w:styleId="TableGrid">
    <w:name w:val="Table Grid"/>
    <w:basedOn w:val="TableNormal"/>
    <w:uiPriority w:val="59"/>
    <w:rsid w:val="00D00BF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00BF6"/>
    <w:pPr>
      <w:spacing w:before="100" w:beforeAutospacing="1" w:after="100" w:afterAutospacing="1"/>
      <w:ind w:firstLine="720"/>
    </w:pPr>
    <w:rPr>
      <w:rFonts w:ascii="Arial" w:hAnsi="Arial" w:cs="Arial"/>
      <w:sz w:val="2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980</Words>
  <Characters>5587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sevol</dc:creator>
  <cp:lastModifiedBy>Vitalijus Zlotnikovas</cp:lastModifiedBy>
  <cp:revision>2</cp:revision>
  <cp:lastPrinted>2016-07-28T08:39:00Z</cp:lastPrinted>
  <dcterms:created xsi:type="dcterms:W3CDTF">2018-10-30T14:09:00Z</dcterms:created>
  <dcterms:modified xsi:type="dcterms:W3CDTF">2018-10-30T14:09:00Z</dcterms:modified>
</cp:coreProperties>
</file>