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764A" w14:textId="77777777" w:rsidR="00CB289D" w:rsidRPr="00CB289D" w:rsidRDefault="00CB289D" w:rsidP="00CB289D">
      <w:pPr>
        <w:pStyle w:val="prastasis"/>
        <w:jc w:val="center"/>
        <w:rPr>
          <w:rFonts w:ascii="Times New Roman" w:hAnsi="Times New Roman" w:cs="Times New Roman"/>
          <w:b/>
          <w:lang w:val="lt-LT"/>
        </w:rPr>
      </w:pPr>
      <w:r w:rsidRPr="00CB289D">
        <w:rPr>
          <w:rFonts w:ascii="Times New Roman" w:hAnsi="Times New Roman" w:cs="Times New Roman"/>
          <w:b/>
          <w:lang w:val="lt-LT"/>
        </w:rPr>
        <w:t>SOCIALINIŲ IR EKONOMINIŲ PARTNERIŲ P</w:t>
      </w:r>
      <w:r w:rsidR="00B36FB6">
        <w:rPr>
          <w:rFonts w:ascii="Times New Roman" w:hAnsi="Times New Roman" w:cs="Times New Roman"/>
          <w:b/>
          <w:lang w:val="lt-LT"/>
        </w:rPr>
        <w:t>ATEIKTŲ PASTABŲ IR PASIŪLYMŲ</w:t>
      </w:r>
      <w:r w:rsidRPr="00CB289D">
        <w:rPr>
          <w:rFonts w:ascii="Times New Roman" w:hAnsi="Times New Roman" w:cs="Times New Roman"/>
          <w:b/>
          <w:lang w:val="lt-LT"/>
        </w:rPr>
        <w:t xml:space="preserve"> 2014–2020 METŲ EUROPOS SĄJUNGOS</w:t>
      </w:r>
    </w:p>
    <w:p w14:paraId="0CA1DDF0" w14:textId="77777777" w:rsidR="00D01ED2" w:rsidRPr="006D4399" w:rsidRDefault="00CB289D" w:rsidP="006D4399">
      <w:pPr>
        <w:pStyle w:val="prastasis"/>
        <w:jc w:val="center"/>
        <w:rPr>
          <w:rFonts w:ascii="Times New Roman" w:hAnsi="Times New Roman" w:cs="Times New Roman"/>
          <w:b/>
        </w:rPr>
      </w:pPr>
      <w:r w:rsidRPr="00CB289D">
        <w:rPr>
          <w:rFonts w:ascii="Times New Roman" w:hAnsi="Times New Roman" w:cs="Times New Roman"/>
          <w:b/>
          <w:lang w:val="lt-LT"/>
        </w:rPr>
        <w:t>FONDŲ</w:t>
      </w:r>
      <w:r w:rsidR="006D4399">
        <w:rPr>
          <w:rFonts w:ascii="Times New Roman" w:hAnsi="Times New Roman" w:cs="Times New Roman"/>
          <w:b/>
          <w:lang w:val="lt-LT"/>
        </w:rPr>
        <w:t xml:space="preserve"> INVESTICIJŲ VEIKSMŲ PROGRAMOS 8 PRIORITETO</w:t>
      </w:r>
      <w:r w:rsidR="006D4399" w:rsidRPr="006D4399">
        <w:rPr>
          <w:rFonts w:ascii="Times New Roman" w:hAnsi="Times New Roman" w:cs="Times New Roman"/>
          <w:b/>
          <w:caps/>
          <w:lang w:val="lt-LT"/>
        </w:rPr>
        <w:t xml:space="preserve"> „Socialinės įtraukties didinimas ir kova su skurdu“ </w:t>
      </w:r>
      <w:r w:rsidRPr="006D4399">
        <w:rPr>
          <w:rFonts w:ascii="Times New Roman" w:hAnsi="Times New Roman" w:cs="Times New Roman"/>
          <w:b/>
          <w:caps/>
          <w:lang w:val="lt-LT"/>
        </w:rPr>
        <w:t xml:space="preserve">PRIEMONĖS </w:t>
      </w:r>
      <w:r w:rsidR="006D4399" w:rsidRPr="006D4399">
        <w:rPr>
          <w:rFonts w:ascii="Times New Roman" w:hAnsi="Times New Roman" w:cs="Times New Roman"/>
          <w:b/>
          <w:caps/>
          <w:lang w:val="lt-LT"/>
        </w:rPr>
        <w:t>NR. 08.5.1-ESFA-K-853 „Parama socialiniam verslui“</w:t>
      </w:r>
      <w:r w:rsidR="00B36FB6" w:rsidRPr="006D4399">
        <w:rPr>
          <w:rFonts w:ascii="Times New Roman" w:hAnsi="Times New Roman" w:cs="Times New Roman"/>
          <w:b/>
          <w:caps/>
          <w:lang w:val="lt-LT"/>
        </w:rPr>
        <w:t xml:space="preserve"> P</w:t>
      </w:r>
      <w:r w:rsidR="00B36FB6" w:rsidRPr="006D4399">
        <w:rPr>
          <w:rFonts w:ascii="Times New Roman" w:hAnsi="Times New Roman" w:cs="Times New Roman"/>
          <w:b/>
          <w:lang w:val="lt-LT"/>
        </w:rPr>
        <w:t>ROJEKTŲ ATRANKOS</w:t>
      </w:r>
      <w:r w:rsidR="00B36FB6">
        <w:rPr>
          <w:rFonts w:ascii="Times New Roman" w:hAnsi="Times New Roman" w:cs="Times New Roman"/>
          <w:b/>
        </w:rPr>
        <w:t xml:space="preserve"> KRITERIJAMS</w:t>
      </w:r>
      <w:r w:rsidR="006D4399">
        <w:rPr>
          <w:rFonts w:ascii="Times New Roman" w:hAnsi="Times New Roman" w:cs="Times New Roman"/>
          <w:b/>
        </w:rPr>
        <w:t xml:space="preserve"> VERTINIMAS</w:t>
      </w:r>
    </w:p>
    <w:tbl>
      <w:tblPr>
        <w:tblStyle w:val="TableGrid"/>
        <w:tblpPr w:leftFromText="180" w:rightFromText="180" w:vertAnchor="page" w:horzAnchor="margin" w:tblpXSpec="center" w:tblpY="3330"/>
        <w:tblW w:w="15599" w:type="dxa"/>
        <w:tblLook w:val="04A0" w:firstRow="1" w:lastRow="0" w:firstColumn="1" w:lastColumn="0" w:noHBand="0" w:noVBand="1"/>
      </w:tblPr>
      <w:tblGrid>
        <w:gridCol w:w="556"/>
        <w:gridCol w:w="1421"/>
        <w:gridCol w:w="3121"/>
        <w:gridCol w:w="3686"/>
        <w:gridCol w:w="1583"/>
        <w:gridCol w:w="5232"/>
      </w:tblGrid>
      <w:tr w:rsidR="00871058" w:rsidRPr="000C424D" w14:paraId="7429471F" w14:textId="77777777" w:rsidTr="009B3F0D">
        <w:tc>
          <w:tcPr>
            <w:tcW w:w="556" w:type="dxa"/>
          </w:tcPr>
          <w:p w14:paraId="38CBE6A0" w14:textId="77777777" w:rsidR="00871058" w:rsidRPr="000C424D" w:rsidRDefault="0087105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1421" w:type="dxa"/>
          </w:tcPr>
          <w:p w14:paraId="015B68F0" w14:textId="77777777" w:rsidR="00871058" w:rsidRPr="000C424D" w:rsidRDefault="0087105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Juridinis arba fizinis asmuo</w:t>
            </w:r>
          </w:p>
        </w:tc>
        <w:tc>
          <w:tcPr>
            <w:tcW w:w="3121" w:type="dxa"/>
          </w:tcPr>
          <w:p w14:paraId="2AD56660" w14:textId="77777777" w:rsidR="00871058" w:rsidRPr="000C424D" w:rsidRDefault="00134F5C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Projektų atrankos kriterijaus </w:t>
            </w:r>
            <w:r w:rsidR="0055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686" w:type="dxa"/>
          </w:tcPr>
          <w:p w14:paraId="57C54AA4" w14:textId="77777777" w:rsidR="00871058" w:rsidRPr="000C424D" w:rsidRDefault="0087105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1583" w:type="dxa"/>
          </w:tcPr>
          <w:p w14:paraId="46CD4BC8" w14:textId="77777777" w:rsidR="00871058" w:rsidRPr="000C424D" w:rsidRDefault="0087105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ŪM pozicija</w:t>
            </w:r>
          </w:p>
        </w:tc>
        <w:tc>
          <w:tcPr>
            <w:tcW w:w="5232" w:type="dxa"/>
          </w:tcPr>
          <w:p w14:paraId="4CE123DA" w14:textId="77777777" w:rsidR="00871058" w:rsidRPr="000C424D" w:rsidRDefault="0087105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ŪM argumentai</w:t>
            </w:r>
          </w:p>
        </w:tc>
      </w:tr>
      <w:tr w:rsidR="0035280C" w:rsidRPr="000C424D" w14:paraId="5F5A62F4" w14:textId="77777777" w:rsidTr="009B3F0D">
        <w:tc>
          <w:tcPr>
            <w:tcW w:w="556" w:type="dxa"/>
          </w:tcPr>
          <w:p w14:paraId="6E9A63CC" w14:textId="77777777" w:rsidR="0035280C" w:rsidRPr="0035280C" w:rsidRDefault="0035280C" w:rsidP="00BA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1" w:type="dxa"/>
          </w:tcPr>
          <w:p w14:paraId="33F38CE9" w14:textId="77777777" w:rsidR="0035280C" w:rsidRPr="00E21528" w:rsidRDefault="006D4399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Lietuvos socialinio verslo asociacija</w:t>
            </w:r>
          </w:p>
        </w:tc>
        <w:tc>
          <w:tcPr>
            <w:tcW w:w="3121" w:type="dxa"/>
          </w:tcPr>
          <w:p w14:paraId="21718D9B" w14:textId="77777777" w:rsidR="0035280C" w:rsidRPr="0035280C" w:rsidRDefault="00834665" w:rsidP="00352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Pareiškėjas vykdo tęstinę</w:t>
            </w:r>
            <w:r w:rsidRPr="0040514A">
              <w:rPr>
                <w:rFonts w:ascii="Times New Roman" w:hAnsi="Times New Roman"/>
                <w:sz w:val="24"/>
                <w:szCs w:val="24"/>
              </w:rPr>
              <w:t xml:space="preserve"> kompleksinę verslumo skatinimo veiklą ne trumpiau kaip </w:t>
            </w:r>
            <w:r w:rsidRPr="004014C4">
              <w:rPr>
                <w:rFonts w:ascii="Times New Roman" w:hAnsi="Times New Roman"/>
                <w:sz w:val="24"/>
                <w:szCs w:val="24"/>
              </w:rPr>
              <w:t>3</w:t>
            </w:r>
            <w:r w:rsidRPr="0040514A">
              <w:rPr>
                <w:rFonts w:ascii="Times New Roman" w:hAnsi="Times New Roman"/>
                <w:sz w:val="24"/>
                <w:szCs w:val="24"/>
              </w:rPr>
              <w:t xml:space="preserve"> metus iki paraiškos pateikimo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dienos</w:t>
            </w:r>
            <w:r w:rsidRPr="0040514A">
              <w:rPr>
                <w:rFonts w:ascii="Times New Roman" w:hAnsi="Times New Roman"/>
                <w:sz w:val="24"/>
                <w:szCs w:val="24"/>
              </w:rPr>
              <w:t xml:space="preserve">, apimančią ne mažiau kaip </w:t>
            </w:r>
            <w:r w:rsidRPr="004014C4">
              <w:rPr>
                <w:rFonts w:ascii="Times New Roman" w:hAnsi="Times New Roman"/>
                <w:sz w:val="24"/>
                <w:szCs w:val="24"/>
              </w:rPr>
              <w:t>5 verslumo skatinimo paslaug</w:t>
            </w:r>
            <w:r w:rsidRPr="0040514A">
              <w:rPr>
                <w:rFonts w:ascii="Times New Roman" w:hAnsi="Times New Roman"/>
                <w:sz w:val="24"/>
                <w:szCs w:val="24"/>
              </w:rPr>
              <w:t>ų tipus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C522750" w14:textId="77777777" w:rsidR="0035280C" w:rsidRPr="0035280C" w:rsidRDefault="00834665" w:rsidP="00190B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65">
              <w:rPr>
                <w:rFonts w:ascii="Times New Roman" w:hAnsi="Times New Roman"/>
                <w:sz w:val="24"/>
                <w:szCs w:val="24"/>
              </w:rPr>
              <w:t>Siūlome šį atrankos kriterijų papildyti ir inovacijų paramos paslaugų teikimo patirties galimybe ir išdėstyti taip: "2. Pareiškėjas vykdo tęstinę kompleksinę verslumo skatinimo ir/arba inovacijų paramos paslaugų veiklą ne trumpiau kaip 3 metus iki paraiškos pateikimo dienos, apimančią ne mažiau kaip 5 verslumo skatinimo paslaugų tipus</w:t>
            </w:r>
            <w:r w:rsidR="00190B07" w:rsidRPr="00190B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</w:tcPr>
          <w:p w14:paraId="16BADDCA" w14:textId="77777777" w:rsidR="0035280C" w:rsidRPr="00C027AB" w:rsidRDefault="00190B07" w:rsidP="00BA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Neatsižvelgta.</w:t>
            </w:r>
          </w:p>
        </w:tc>
        <w:tc>
          <w:tcPr>
            <w:tcW w:w="5232" w:type="dxa"/>
          </w:tcPr>
          <w:p w14:paraId="19DB4AED" w14:textId="24082FBF" w:rsidR="00462618" w:rsidRPr="00160CF3" w:rsidRDefault="006703D4" w:rsidP="00462618">
            <w:pPr>
              <w:tabs>
                <w:tab w:val="left" w:pos="567"/>
              </w:tabs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 priemonė skirta </w:t>
            </w:r>
            <w:r w:rsidR="00462618" w:rsidRPr="00026252">
              <w:rPr>
                <w:rFonts w:ascii="Times New Roman" w:eastAsia="AngsanaUPC" w:hAnsi="Times New Roman"/>
                <w:bCs/>
                <w:sz w:val="24"/>
                <w:szCs w:val="24"/>
              </w:rPr>
              <w:t>pask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atinti socialinio verslo, </w:t>
            </w:r>
            <w:r w:rsidR="00462618"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kuris 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>teiktų</w:t>
            </w:r>
            <w:r w:rsidR="00462618"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>visuomenei reikalingas paslaugas ir (</w:t>
            </w:r>
            <w:r w:rsidR="00462618"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>) prekes</w:t>
            </w:r>
            <w:r w:rsidR="00462618"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>padėsiančias</w:t>
            </w:r>
            <w:r w:rsidR="00462618"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spręsti konkrečią socialinę problemą</w:t>
            </w:r>
            <w:r w:rsidR="0027695A">
              <w:rPr>
                <w:rFonts w:ascii="Times New Roman" w:eastAsia="AngsanaUPC" w:hAnsi="Times New Roman"/>
                <w:bCs/>
                <w:sz w:val="24"/>
                <w:szCs w:val="24"/>
              </w:rPr>
              <w:t>, kūrimąsi</w:t>
            </w:r>
            <w:r w:rsidR="00462618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  <w:p w14:paraId="0CD636F3" w14:textId="77777777" w:rsidR="00160CF3" w:rsidRPr="00160CF3" w:rsidRDefault="00160CF3" w:rsidP="00AE55F6">
            <w:pPr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160CF3">
              <w:rPr>
                <w:rFonts w:ascii="Times New Roman" w:eastAsia="AngsanaUPC" w:hAnsi="Times New Roman"/>
                <w:bCs/>
                <w:sz w:val="24"/>
                <w:szCs w:val="24"/>
              </w:rPr>
              <w:t>Šia priemone planuojama remti socialinio verslo kūrimosi skatinimo veiklas.</w:t>
            </w:r>
          </w:p>
          <w:p w14:paraId="1106BB62" w14:textId="2D9FA015" w:rsidR="0035280C" w:rsidRDefault="00462618" w:rsidP="00AE5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Priemonės tikslą ir remiamas veiklas, pasirinkti </w:t>
            </w:r>
            <w:r w:rsidR="002550D0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ir partneriai, turi</w:t>
            </w:r>
            <w:r w:rsidR="002D3A04">
              <w:rPr>
                <w:rFonts w:ascii="Times New Roman" w:hAnsi="Times New Roman" w:cs="Times New Roman"/>
                <w:sz w:val="24"/>
                <w:szCs w:val="24"/>
              </w:rPr>
              <w:t>ntys verslumo skatinimo veik</w:t>
            </w:r>
            <w:bookmarkStart w:id="0" w:name="_GoBack"/>
            <w:bookmarkEnd w:id="0"/>
            <w:r w:rsidR="002550D0">
              <w:rPr>
                <w:rFonts w:ascii="Times New Roman" w:hAnsi="Times New Roman" w:cs="Times New Roman"/>
                <w:sz w:val="24"/>
                <w:szCs w:val="24"/>
              </w:rPr>
              <w:t xml:space="preserve">lų patirties. </w:t>
            </w:r>
          </w:p>
          <w:p w14:paraId="4A4F4D6E" w14:textId="77777777" w:rsidR="002550D0" w:rsidRPr="00CA0AB8" w:rsidRDefault="002550D0" w:rsidP="00AE5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Inovacijų skatinimui skirtos </w:t>
            </w:r>
            <w:r w:rsidRPr="002550D0">
              <w:rPr>
                <w:rFonts w:ascii="Times New Roman" w:hAnsi="Times New Roman" w:cs="Times New Roman"/>
                <w:sz w:val="24"/>
                <w:szCs w:val="24"/>
              </w:rPr>
              <w:t>2014–2020 metų Europos Sąjungos fondų investicijų veiksmų programos 1 prioriteto „Mokslinių tyrimų, eksperimentinės plėtros ir inovacijų skatinimas“ priemonės.</w:t>
            </w:r>
          </w:p>
        </w:tc>
      </w:tr>
      <w:tr w:rsidR="0035280C" w:rsidRPr="000C424D" w14:paraId="256D2477" w14:textId="77777777" w:rsidTr="009B3F0D">
        <w:tc>
          <w:tcPr>
            <w:tcW w:w="556" w:type="dxa"/>
          </w:tcPr>
          <w:p w14:paraId="29931D5C" w14:textId="77777777" w:rsidR="0035280C" w:rsidRPr="000C424D" w:rsidRDefault="0035280C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  <w:vMerge w:val="restart"/>
          </w:tcPr>
          <w:p w14:paraId="0BDA096C" w14:textId="77777777" w:rsidR="0035280C" w:rsidRPr="000C424D" w:rsidRDefault="0035280C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A83426" w14:textId="77777777" w:rsidR="0035280C" w:rsidRPr="00557E0B" w:rsidRDefault="003D2E6D" w:rsidP="00BA4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D2E6D">
              <w:rPr>
                <w:rFonts w:ascii="Times New Roman" w:hAnsi="Times New Roman"/>
                <w:sz w:val="24"/>
                <w:szCs w:val="24"/>
              </w:rPr>
              <w:t xml:space="preserve">Pareiškėjas/ partneris yra viešoji įstaiga, </w:t>
            </w:r>
            <w:r w:rsidRPr="003D2E6D"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asociacija, Prekybos pramonės ir amatų rūmai</w:t>
            </w:r>
            <w:r w:rsidRPr="003D2E6D">
              <w:rPr>
                <w:rFonts w:ascii="Times New Roman" w:hAnsi="Times New Roman"/>
                <w:sz w:val="24"/>
                <w:szCs w:val="24"/>
              </w:rPr>
              <w:t>,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kurio</w:t>
            </w:r>
            <w:r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savininko/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dalininko teises įgyvendina valstybė/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savivaldybė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kuris ne trumpiau kaip dvylika mėnesių iki paraiškos </w:t>
            </w:r>
            <w:r w:rsidRPr="00EC0698">
              <w:rPr>
                <w:rFonts w:ascii="Times New Roman" w:hAnsi="Times New Roman"/>
                <w:sz w:val="24"/>
                <w:szCs w:val="24"/>
              </w:rPr>
              <w:lastRenderedPageBreak/>
              <w:t>pateikimo mėnesio kiekvieną mėnesį turėjo apdraustųjų.</w:t>
            </w:r>
          </w:p>
        </w:tc>
        <w:tc>
          <w:tcPr>
            <w:tcW w:w="3686" w:type="dxa"/>
          </w:tcPr>
          <w:p w14:paraId="3DE56D52" w14:textId="77777777" w:rsidR="003D2E6D" w:rsidRPr="003D2E6D" w:rsidRDefault="003D2E6D" w:rsidP="003D2E6D">
            <w:pPr>
              <w:autoSpaceDE w:val="0"/>
              <w:autoSpaceDN w:val="0"/>
              <w:adjustRightInd w:val="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3D2E6D">
              <w:rPr>
                <w:rFonts w:ascii="Times New Roman" w:eastAsia="AngsanaUPC" w:hAnsi="Times New Roman"/>
                <w:bCs/>
                <w:sz w:val="24"/>
                <w:szCs w:val="24"/>
              </w:rPr>
              <w:lastRenderedPageBreak/>
              <w:t xml:space="preserve">Pagal pasiūlymą pareiškėjais galėtų būti išimtinai valstybės įsteigtos organizacijos, šios nuostatos siūlome atsisakyti. </w:t>
            </w:r>
          </w:p>
          <w:p w14:paraId="259FC2A0" w14:textId="77777777" w:rsidR="0035280C" w:rsidRPr="00557E0B" w:rsidRDefault="003D2E6D" w:rsidP="003D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D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Taip pat siūlome atsisakyti perteklinio reikalavimo, kuris nėra koreliuojantis su pareiškėjo ir jo darbuotojų/ekspertų kvalifikacija ir to reikėtų atsisakyti, </w:t>
            </w:r>
            <w:proofErr w:type="spellStart"/>
            <w:r w:rsidRPr="003D2E6D">
              <w:rPr>
                <w:rFonts w:ascii="Times New Roman" w:eastAsia="AngsanaUPC" w:hAnsi="Times New Roman"/>
                <w:bCs/>
                <w:sz w:val="24"/>
                <w:szCs w:val="24"/>
              </w:rPr>
              <w:t>t.y</w:t>
            </w:r>
            <w:proofErr w:type="spellEnd"/>
            <w:r w:rsidRPr="003D2E6D">
              <w:rPr>
                <w:rFonts w:ascii="Times New Roman" w:eastAsia="AngsanaUPC" w:hAnsi="Times New Roman"/>
                <w:bCs/>
                <w:sz w:val="24"/>
                <w:szCs w:val="24"/>
              </w:rPr>
              <w:t>. reikalavimo susijusio su darbuotojų turėjimu.</w:t>
            </w:r>
          </w:p>
        </w:tc>
        <w:tc>
          <w:tcPr>
            <w:tcW w:w="1583" w:type="dxa"/>
          </w:tcPr>
          <w:p w14:paraId="7CFA33D0" w14:textId="77777777" w:rsidR="0035280C" w:rsidRPr="000C424D" w:rsidRDefault="00201C34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Dalinai atsižvelgta.</w:t>
            </w:r>
          </w:p>
        </w:tc>
        <w:tc>
          <w:tcPr>
            <w:tcW w:w="5232" w:type="dxa"/>
          </w:tcPr>
          <w:p w14:paraId="25A29B8A" w14:textId="77777777" w:rsidR="0035280C" w:rsidRDefault="00201C34" w:rsidP="00461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Patikslinta kriterijaus formuluotė: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„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Pareiškėjas yra VšĮ, kurios savininko/dalininko teises įgyvendina valstybė/savivaldybė, turinti verslumo skatinimo patirties (pvz.: </w:t>
            </w:r>
            <w:proofErr w:type="spellStart"/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>bendradarbystės</w:t>
            </w:r>
            <w:proofErr w:type="spellEnd"/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 centrai, verslo informacijos centrai (VIC), verslo ir turizmo informacijos centrai (VTIC)), verslo asociacijos, Prekybos pramonės ir amatų rūmai; partneris – VšĮ, turinti verslumo skatinimo patirties (pvz.: </w:t>
            </w:r>
            <w:proofErr w:type="spellStart"/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>bendradarbystės</w:t>
            </w:r>
            <w:proofErr w:type="spellEnd"/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 centrai, verslo informacijos centrai (VIC), verslo ir turizmo informacijos centrai</w:t>
            </w:r>
            <w:r w:rsidRPr="002A66EA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lastRenderedPageBreak/>
              <w:t>(VTIC)), verslo asociacijos, Prekybos pramonės ir amatų rūma</w:t>
            </w:r>
            <w:r w:rsidRPr="00AE4839">
              <w:rPr>
                <w:rFonts w:ascii="Times New Roman" w:hAnsi="Times New Roman"/>
                <w:i/>
                <w:sz w:val="24"/>
                <w:szCs w:val="24"/>
              </w:rPr>
              <w:t>i, kurie ne trumpiau kaip dvylika mėnesių iki paraiškos pateikimo mėnesio kiekvieną mėnesį turėjo ne mažiau kaip 3 apdraustuosius</w:t>
            </w:r>
            <w:r w:rsidRPr="002A66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A35C30A" w14:textId="77777777" w:rsidR="00201C34" w:rsidRDefault="00201C34" w:rsidP="00201C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Reikalavimas dėl valstybės /savivaldybės įsteigtų VšĮ paliktas tik pareiškėjams, partneriams nebus taikomas.</w:t>
            </w:r>
          </w:p>
          <w:p w14:paraId="2B884288" w14:textId="77777777" w:rsidR="00201C34" w:rsidRPr="000C424D" w:rsidRDefault="004D5623" w:rsidP="004D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Reikalavimas dėl 3 apdraustųjų turėjimo nustatytas, </w:t>
            </w:r>
            <w:r w:rsidRPr="004D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siekiant užtikrinti</w:t>
            </w:r>
            <w:r w:rsidRPr="004D5623">
              <w:rPr>
                <w:rFonts w:ascii="Times New Roman" w:hAnsi="Times New Roman"/>
                <w:sz w:val="24"/>
                <w:szCs w:val="24"/>
              </w:rPr>
              <w:t>, kad paraiškas teiks realiai veikiantys didesni pareiškėjai. Ūkio ministerijos nuomone, ne trumpiau kaip 12 mėnesių iki paraiškos pateikimo mėnesio kiekvieną mėnesį turėjusi ne mažiau kaip 3 apdraustuosius</w:t>
            </w:r>
            <w:r w:rsidR="002C4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623">
              <w:rPr>
                <w:rFonts w:ascii="Times New Roman" w:hAnsi="Times New Roman"/>
                <w:sz w:val="24"/>
                <w:szCs w:val="24"/>
              </w:rPr>
              <w:t>viešoji įstaiga, verslo asociacija, Prekybos pramonės ir amatų rūmai yra tinkamas pareiškėjas/ partneris pagal priemonę: jis jau turi darbuotojus ir vykdo veiklą.</w:t>
            </w:r>
          </w:p>
        </w:tc>
      </w:tr>
      <w:tr w:rsidR="0035280C" w:rsidRPr="000C424D" w14:paraId="4AE7E03A" w14:textId="77777777" w:rsidTr="009B3F0D">
        <w:tc>
          <w:tcPr>
            <w:tcW w:w="556" w:type="dxa"/>
          </w:tcPr>
          <w:p w14:paraId="671CA087" w14:textId="77777777" w:rsidR="0035280C" w:rsidRPr="000C424D" w:rsidRDefault="0035280C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1" w:type="dxa"/>
            <w:vMerge/>
          </w:tcPr>
          <w:p w14:paraId="504736D4" w14:textId="77777777" w:rsidR="0035280C" w:rsidRPr="00871058" w:rsidRDefault="0035280C" w:rsidP="00BA4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21" w:type="dxa"/>
          </w:tcPr>
          <w:p w14:paraId="570F5069" w14:textId="77777777" w:rsidR="0035280C" w:rsidRPr="003C2B55" w:rsidRDefault="00635953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637A6" w:rsidRPr="00EC0698">
              <w:rPr>
                <w:rFonts w:ascii="Times New Roman" w:hAnsi="Times New Roman"/>
                <w:sz w:val="24"/>
                <w:szCs w:val="24"/>
              </w:rPr>
              <w:t xml:space="preserve">Galutiniai naudos gavėjai yra labai mažos, mažos ir vidutinės įmonės (toliau – MVĮ), </w:t>
            </w:r>
            <w:r w:rsidR="002637A6"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>atitinkančios socialinio verslo kriterijus, nustatytus Socialinio verslo koncepcijoje,</w:t>
            </w:r>
            <w:r w:rsidR="002637A6" w:rsidRPr="00EC0698" w:rsidDel="00EF16EA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="002637A6"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>ir prisidedančios prie socialinės problemos sprendimo</w:t>
            </w:r>
            <w:r w:rsidR="002637A6" w:rsidRPr="00EC0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18CAD7B" w14:textId="77777777" w:rsidR="0035280C" w:rsidRPr="003C2B55" w:rsidRDefault="00E24C6C" w:rsidP="00557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6C">
              <w:rPr>
                <w:rFonts w:ascii="Times New Roman" w:hAnsi="Times New Roman" w:cs="Times New Roman"/>
                <w:sz w:val="24"/>
                <w:szCs w:val="24"/>
              </w:rPr>
              <w:t xml:space="preserve">Siūlome vertinimą daryti analogišką 8 kriterijaus vertinimui </w:t>
            </w:r>
            <w:proofErr w:type="spellStart"/>
            <w:r w:rsidRPr="00E24C6C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E24C6C">
              <w:rPr>
                <w:rFonts w:ascii="Times New Roman" w:hAnsi="Times New Roman" w:cs="Times New Roman"/>
                <w:sz w:val="24"/>
                <w:szCs w:val="24"/>
              </w:rPr>
              <w:t>. remiantis darnaus vystymosi tikslais, nurodytais Darnaus vystymosi darbotvarkėje iki 2030 m (ir Lietuvos Respublikos Seimo 2018-09-28 patvirtinta rezoliucija " Dėl Jungtinių Tautų darnaus vystymosi tikslų įgyvendinimo Lietuvoje", o ne remtis pateikiamu sąrašu.</w:t>
            </w:r>
          </w:p>
        </w:tc>
        <w:tc>
          <w:tcPr>
            <w:tcW w:w="1583" w:type="dxa"/>
          </w:tcPr>
          <w:p w14:paraId="0CE7F94A" w14:textId="77777777" w:rsidR="0035280C" w:rsidRPr="000C424D" w:rsidRDefault="00253AF7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Neatsižvelgta.</w:t>
            </w:r>
          </w:p>
        </w:tc>
        <w:tc>
          <w:tcPr>
            <w:tcW w:w="5232" w:type="dxa"/>
          </w:tcPr>
          <w:p w14:paraId="3A5348CD" w14:textId="77777777" w:rsidR="004E6633" w:rsidRDefault="004E6633" w:rsidP="00DA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šią priemonę finansuojami projektai turi atitikti strateginio planavimo dokumento – </w:t>
            </w:r>
            <w:hyperlink r:id="rId8" w:history="1">
              <w:r w:rsidR="00253AF7" w:rsidRPr="004E6633">
                <w:rPr>
                  <w:rFonts w:ascii="Times New Roman" w:hAnsi="Times New Roman" w:cs="Times New Roman"/>
                  <w:sz w:val="24"/>
                  <w:szCs w:val="24"/>
                </w:rPr>
                <w:t>Socialinio verslo koncepcijos, patvirtintos Lietuvos Respublikos ūkio ministro 2015 m. balandžio 3 d. įsakymu Nr. 4-207</w:t>
              </w:r>
            </w:hyperlink>
            <w:r w:rsidR="00253AF7" w:rsidRPr="00253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nuostatas. </w:t>
            </w:r>
            <w:r w:rsidR="00DA6749">
              <w:rPr>
                <w:rFonts w:ascii="Times New Roman" w:hAnsi="Times New Roman" w:cs="Times New Roman"/>
                <w:sz w:val="24"/>
                <w:szCs w:val="24"/>
              </w:rPr>
              <w:t xml:space="preserve">Atitinkamai Socialinės koncepcijos </w:t>
            </w:r>
            <w:r w:rsidR="009D4547">
              <w:rPr>
                <w:rFonts w:ascii="Times New Roman" w:hAnsi="Times New Roman" w:cs="Times New Roman"/>
                <w:sz w:val="24"/>
                <w:szCs w:val="24"/>
              </w:rPr>
              <w:t>10 punkte pateikti</w:t>
            </w:r>
            <w:r w:rsidR="00DA6749">
              <w:rPr>
                <w:rFonts w:ascii="Times New Roman" w:hAnsi="Times New Roman" w:cs="Times New Roman"/>
                <w:sz w:val="24"/>
                <w:szCs w:val="24"/>
              </w:rPr>
              <w:t xml:space="preserve"> socialinio verslo kriter</w:t>
            </w:r>
            <w:r w:rsidR="009D4547">
              <w:rPr>
                <w:rFonts w:ascii="Times New Roman" w:hAnsi="Times New Roman" w:cs="Times New Roman"/>
                <w:sz w:val="24"/>
                <w:szCs w:val="24"/>
              </w:rPr>
              <w:t>ijai</w:t>
            </w:r>
            <w:r w:rsidR="00DA6749">
              <w:rPr>
                <w:rFonts w:ascii="Times New Roman" w:hAnsi="Times New Roman" w:cs="Times New Roman"/>
                <w:sz w:val="24"/>
                <w:szCs w:val="24"/>
              </w:rPr>
              <w:t xml:space="preserve">, kuriuos turi atitikti priemonės galutiniai naudos gavėjai, </w:t>
            </w:r>
            <w:r w:rsidR="009D4547">
              <w:rPr>
                <w:rFonts w:ascii="Times New Roman" w:hAnsi="Times New Roman" w:cs="Times New Roman"/>
                <w:sz w:val="24"/>
                <w:szCs w:val="24"/>
              </w:rPr>
              <w:t xml:space="preserve">o priede pateiktos socialinio verslo kriterijų </w:t>
            </w:r>
            <w:r w:rsidR="00DA6749">
              <w:rPr>
                <w:rFonts w:ascii="Times New Roman" w:hAnsi="Times New Roman" w:cs="Times New Roman"/>
                <w:sz w:val="24"/>
                <w:szCs w:val="24"/>
              </w:rPr>
              <w:t xml:space="preserve">detalizavimo rekomendacijos. </w:t>
            </w:r>
          </w:p>
          <w:p w14:paraId="281CB94D" w14:textId="77777777" w:rsidR="009D4547" w:rsidRDefault="009D4547" w:rsidP="001D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 pat pažymime, kad </w:t>
            </w:r>
            <w:r w:rsidR="008E4928">
              <w:rPr>
                <w:rFonts w:ascii="Times New Roman" w:hAnsi="Times New Roman" w:cs="Times New Roman"/>
                <w:sz w:val="24"/>
                <w:szCs w:val="24"/>
              </w:rPr>
              <w:t>spręstinų socialinių problemų</w:t>
            </w:r>
            <w:r w:rsidR="001D7536">
              <w:rPr>
                <w:rFonts w:ascii="Times New Roman" w:hAnsi="Times New Roman" w:cs="Times New Roman"/>
                <w:sz w:val="24"/>
                <w:szCs w:val="24"/>
              </w:rPr>
              <w:t>, į kurias turėtų būti nukreipt</w:t>
            </w:r>
            <w:r w:rsidR="001A2B3C">
              <w:rPr>
                <w:rFonts w:ascii="Times New Roman" w:hAnsi="Times New Roman" w:cs="Times New Roman"/>
                <w:sz w:val="24"/>
                <w:szCs w:val="24"/>
              </w:rPr>
              <w:t>os socialinio verslo pastangos,</w:t>
            </w:r>
            <w:r w:rsidR="008E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36">
              <w:rPr>
                <w:rFonts w:ascii="Times New Roman" w:hAnsi="Times New Roman" w:cs="Times New Roman"/>
                <w:sz w:val="24"/>
                <w:szCs w:val="24"/>
              </w:rPr>
              <w:t>sąrašas oficialiu raštu gautas iš Socialinės apsaugos ir darbo ministerijos</w:t>
            </w:r>
            <w:r w:rsidR="001A2B3C">
              <w:rPr>
                <w:rFonts w:ascii="Times New Roman" w:hAnsi="Times New Roman" w:cs="Times New Roman"/>
                <w:sz w:val="24"/>
                <w:szCs w:val="24"/>
              </w:rPr>
              <w:t>, taigi neturime galimybės jo keisti.</w:t>
            </w:r>
          </w:p>
          <w:p w14:paraId="70FD9271" w14:textId="77777777" w:rsidR="00AE4839" w:rsidRPr="00A33CD2" w:rsidRDefault="00AE4839" w:rsidP="001D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Patikslinta kriterijaus formuluotė: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E4839">
              <w:rPr>
                <w:rFonts w:ascii="Times New Roman" w:hAnsi="Times New Roman"/>
                <w:i/>
                <w:sz w:val="24"/>
                <w:szCs w:val="24"/>
              </w:rPr>
              <w:t xml:space="preserve">Galutiniai naudos gavėjai yra juridiniai asmenys,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kuriuose dirba ne daugiau kaip 50 darbuotojų, veikiantys ne ilgiau kaip 12 mėnesių iki socialinio verslo pradžios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lastRenderedPageBreak/>
              <w:t>paskatos gavimo, atitinkantys socialinio verslo kriterijus, nustatytus Socialinio verslo koncepcijoje,</w:t>
            </w:r>
            <w:r w:rsidRPr="00AE4839" w:rsidDel="00EF16EA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>ir prisidedantys prie socialinės problemos sprendimo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EC0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5280C" w:rsidRPr="000C424D" w14:paraId="2A1D4FD0" w14:textId="77777777" w:rsidTr="009B3F0D">
        <w:tc>
          <w:tcPr>
            <w:tcW w:w="556" w:type="dxa"/>
          </w:tcPr>
          <w:p w14:paraId="3C91EF8E" w14:textId="77777777" w:rsidR="0035280C" w:rsidRDefault="0035280C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21" w:type="dxa"/>
            <w:vMerge/>
          </w:tcPr>
          <w:p w14:paraId="459FF64C" w14:textId="77777777" w:rsidR="0035280C" w:rsidRPr="00871058" w:rsidRDefault="0035280C" w:rsidP="00BA4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21" w:type="dxa"/>
          </w:tcPr>
          <w:p w14:paraId="24B8A80A" w14:textId="77777777" w:rsidR="0035280C" w:rsidRPr="003C2B55" w:rsidRDefault="00635953" w:rsidP="0077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1A2B3C" w:rsidRPr="00EC0698">
              <w:rPr>
                <w:rFonts w:ascii="Times New Roman" w:hAnsi="Times New Roman"/>
                <w:sz w:val="24"/>
                <w:szCs w:val="24"/>
              </w:rPr>
              <w:t>Pareiš</w:t>
            </w:r>
            <w:r w:rsidR="001A2B3C">
              <w:rPr>
                <w:rFonts w:ascii="Times New Roman" w:hAnsi="Times New Roman"/>
                <w:sz w:val="24"/>
                <w:szCs w:val="24"/>
              </w:rPr>
              <w:t>kėjas</w:t>
            </w:r>
            <w:r w:rsidR="001A2B3C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arba partneris </w:t>
            </w:r>
            <w:r w:rsidR="001A2B3C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teisėtais pagrindais vald</w:t>
            </w:r>
            <w:r w:rsidR="001A2B3C">
              <w:rPr>
                <w:rFonts w:ascii="Times New Roman" w:eastAsia="AngsanaUPC" w:hAnsi="Times New Roman"/>
                <w:bCs/>
                <w:sz w:val="24"/>
                <w:szCs w:val="24"/>
              </w:rPr>
              <w:t>o</w:t>
            </w:r>
            <w:r w:rsidR="001A2B3C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nekilnojamą turtą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B1346B9" w14:textId="77777777" w:rsidR="001A2B3C" w:rsidRPr="001A2B3C" w:rsidRDefault="001A2B3C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1A2B3C">
              <w:rPr>
                <w:rFonts w:ascii="Times New Roman" w:hAnsi="Times New Roman" w:cs="Times New Roman"/>
                <w:color w:val="auto"/>
                <w:lang w:val="lt-LT"/>
              </w:rPr>
              <w:t xml:space="preserve">Reikalavimas partneriams ir pareiškėjams valdyti nekilnojamąjį turtą yra perteklinis, nes nekilnojamo turto valdymas neturi įtakos skatinant socialinio verslo subjektus spręsti socialines problemas, todėl šio reikalavimo siūlome atsisakyti. </w:t>
            </w:r>
          </w:p>
          <w:p w14:paraId="0D8CFECD" w14:textId="77777777" w:rsidR="0035280C" w:rsidRDefault="0035280C" w:rsidP="00557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517BEE8" w14:textId="77777777" w:rsidR="0035280C" w:rsidRDefault="00F53806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Neatsižvelgta.</w:t>
            </w:r>
          </w:p>
        </w:tc>
        <w:tc>
          <w:tcPr>
            <w:tcW w:w="5232" w:type="dxa"/>
          </w:tcPr>
          <w:p w14:paraId="2B03D294" w14:textId="77777777" w:rsidR="0035280C" w:rsidRDefault="00635953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Šis kriterijus yra prioritetinis, taigi </w:t>
            </w:r>
            <w:r w:rsidR="00ED0D7D">
              <w:rPr>
                <w:rFonts w:ascii="Times New Roman" w:hAnsi="Times New Roman" w:cs="Times New Roman"/>
                <w:sz w:val="24"/>
                <w:szCs w:val="24"/>
              </w:rPr>
              <w:t xml:space="preserve">nėra privalomas, o suteikia papildomus balus. </w:t>
            </w:r>
          </w:p>
          <w:p w14:paraId="4CB23AD3" w14:textId="77777777" w:rsidR="00AE4839" w:rsidRPr="00160CF3" w:rsidRDefault="00ED0D7D" w:rsidP="00ED0D7D">
            <w:pPr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160CF3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Šia </w:t>
            </w:r>
            <w:r w:rsidRPr="00A52C9A">
              <w:rPr>
                <w:rFonts w:ascii="Times New Roman" w:hAnsi="Times New Roman" w:cs="Times New Roman"/>
                <w:sz w:val="24"/>
                <w:szCs w:val="24"/>
              </w:rPr>
              <w:t xml:space="preserve">priemone planuojama remti socialinio verslo kūrimosi skatinimo veiklas. </w:t>
            </w:r>
            <w:r w:rsidR="00A52C9A" w:rsidRPr="00A52C9A">
              <w:rPr>
                <w:rFonts w:ascii="Times New Roman" w:hAnsi="Times New Roman" w:cs="Times New Roman"/>
                <w:sz w:val="24"/>
                <w:szCs w:val="24"/>
              </w:rPr>
              <w:t>Šis kriterijus pasirinktas, siekiant užtikrinti, kad pareiškėjas turėtų tinkamas patalpas, kuriose galėtų vykdyti socialinio verslo kūrimosi skatinimo veiklas galutiniams naudos gavėjams.</w:t>
            </w:r>
          </w:p>
          <w:p w14:paraId="6C87A04B" w14:textId="77777777" w:rsidR="00ED0D7D" w:rsidRDefault="00ED0D7D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822" w:rsidRPr="000C424D" w14:paraId="4E035987" w14:textId="77777777" w:rsidTr="009B3F0D">
        <w:tc>
          <w:tcPr>
            <w:tcW w:w="556" w:type="dxa"/>
          </w:tcPr>
          <w:p w14:paraId="418BAE10" w14:textId="77777777" w:rsidR="00561822" w:rsidRDefault="00561822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1" w:type="dxa"/>
            <w:vMerge w:val="restart"/>
          </w:tcPr>
          <w:p w14:paraId="26A16AF0" w14:textId="77777777" w:rsidR="00561822" w:rsidRPr="00561822" w:rsidRDefault="00561822" w:rsidP="006718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6182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VšĮ „Versli Lietuva“</w:t>
            </w:r>
          </w:p>
        </w:tc>
        <w:tc>
          <w:tcPr>
            <w:tcW w:w="3121" w:type="dxa"/>
          </w:tcPr>
          <w:p w14:paraId="19904BD6" w14:textId="77777777" w:rsidR="00561822" w:rsidRPr="00561822" w:rsidRDefault="00561822" w:rsidP="00775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822">
              <w:rPr>
                <w:rFonts w:ascii="Times New Roman" w:hAnsi="Times New Roman"/>
                <w:sz w:val="24"/>
                <w:szCs w:val="24"/>
              </w:rPr>
              <w:t xml:space="preserve">3. Pareiškėjas/ partneris yra viešoji įstaiga, </w:t>
            </w:r>
            <w:r w:rsidRPr="00561822"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asociacija, Prekybos pramonės ir amatų rūmai</w:t>
            </w:r>
            <w:r w:rsidRPr="005618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1822">
              <w:rPr>
                <w:rFonts w:ascii="Times New Roman" w:eastAsia="AngsanaUPC" w:hAnsi="Times New Roman"/>
                <w:bCs/>
                <w:sz w:val="24"/>
                <w:szCs w:val="24"/>
              </w:rPr>
              <w:t>kurio savininko/dalininko teises įgyvendina valstybė/savivaldybė</w:t>
            </w:r>
            <w:r w:rsidRPr="00561822">
              <w:rPr>
                <w:rFonts w:ascii="Times New Roman" w:hAnsi="Times New Roman"/>
                <w:sz w:val="24"/>
                <w:szCs w:val="24"/>
              </w:rPr>
              <w:t xml:space="preserve"> ir kuris ne trumpiau kaip dvylika mėnesių iki paraiškos pateikimo mėnesio kiekvieną mėnesį turėjo apdraustųjų.</w:t>
            </w:r>
          </w:p>
        </w:tc>
        <w:tc>
          <w:tcPr>
            <w:tcW w:w="3686" w:type="dxa"/>
          </w:tcPr>
          <w:p w14:paraId="4FBA11A1" w14:textId="77777777" w:rsidR="00561822" w:rsidRDefault="00561822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proofErr w:type="spellStart"/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>PIP’e</w:t>
            </w:r>
            <w:proofErr w:type="spellEnd"/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 xml:space="preserve"> pareiškėjais yra numatytos tik VšĮ</w:t>
            </w:r>
            <w:r w:rsidR="00A3408C">
              <w:rPr>
                <w:rFonts w:ascii="Times New Roman" w:hAnsi="Times New Roman" w:cs="Times New Roman"/>
                <w:color w:val="auto"/>
                <w:lang w:val="lt-LT"/>
              </w:rPr>
              <w:t>.</w:t>
            </w:r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 xml:space="preserve"> Čia jau atsiranda i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r verslo asociacijos ir PPAR.</w:t>
            </w:r>
          </w:p>
          <w:p w14:paraId="304332DE" w14:textId="77777777" w:rsidR="00A3408C" w:rsidRPr="001A2B3C" w:rsidRDefault="00A3408C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 xml:space="preserve">Susitikimo metu taip pat buvo kalbama apie tai, kad pareiškėjais ir partneriais galėtų būti ir 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 xml:space="preserve">vietos veiklos grupės (toliau – </w:t>
            </w: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>VVG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)</w:t>
            </w: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 xml:space="preserve"> kaip turinčios pakankamai patirties socialinio verslumo skatinime (koks jų statusas reikėtų panagrinėti).</w:t>
            </w:r>
          </w:p>
        </w:tc>
        <w:tc>
          <w:tcPr>
            <w:tcW w:w="1583" w:type="dxa"/>
          </w:tcPr>
          <w:p w14:paraId="1D033F46" w14:textId="77777777" w:rsidR="00561822" w:rsidRDefault="00561822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Atsižvelgta.</w:t>
            </w:r>
          </w:p>
        </w:tc>
        <w:tc>
          <w:tcPr>
            <w:tcW w:w="5232" w:type="dxa"/>
          </w:tcPr>
          <w:p w14:paraId="209F24FE" w14:textId="77777777" w:rsidR="007D2462" w:rsidRDefault="007D2462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PIP-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buvo tikslinamas, numatant, kad:</w:t>
            </w:r>
          </w:p>
          <w:p w14:paraId="145ADF78" w14:textId="77777777" w:rsidR="007D2462" w:rsidRPr="007D2462" w:rsidRDefault="007D2462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pareiškėjai – </w:t>
            </w:r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VšĮ, kurios savininko/dalininko teises įgyvendina valstybė/savivaldybė, turinti verslumo skatinimo patirties (pvz.: </w:t>
            </w:r>
            <w:proofErr w:type="spellStart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>bendradarbystės</w:t>
            </w:r>
            <w:proofErr w:type="spellEnd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centrai, verslo informacijos centrai (VIC), verslo ir turizmo informacijos centrai (VTIC)), verslo asociacijos, Prekybos pramonės ir amatų rūmai</w:t>
            </w: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3BC519" w14:textId="77777777" w:rsidR="007D2462" w:rsidRDefault="007D2462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partneriai – </w:t>
            </w:r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VšĮ, turinti verslumo skatinimo patirties (pvz.: </w:t>
            </w:r>
            <w:proofErr w:type="spellStart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>bendradarbystės</w:t>
            </w:r>
            <w:proofErr w:type="spellEnd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centrai, verslo informacijos centrai (VIC), verslo ir turizmo informacijos centrai (VTIC)), verslo asociacijos, Prekybos pramonės ir amatų rūmai.</w:t>
            </w:r>
          </w:p>
          <w:p w14:paraId="79054D5C" w14:textId="77777777" w:rsidR="00A3408C" w:rsidRPr="00A3408C" w:rsidRDefault="00A3408C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Pažymime, kad </w:t>
            </w:r>
            <w:r w:rsidRPr="00A3408C">
              <w:rPr>
                <w:rFonts w:ascii="Times New Roman" w:eastAsia="AngsanaUPC" w:hAnsi="Times New Roman"/>
                <w:bCs/>
                <w:sz w:val="24"/>
                <w:szCs w:val="24"/>
              </w:rPr>
              <w:t>VVG statusas yra asociacijos.</w:t>
            </w:r>
          </w:p>
          <w:p w14:paraId="5B75B73C" w14:textId="77777777" w:rsidR="00561822" w:rsidRDefault="00561822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822" w:rsidRPr="000C424D" w14:paraId="5AA35D11" w14:textId="77777777" w:rsidTr="009B3F0D">
        <w:tc>
          <w:tcPr>
            <w:tcW w:w="556" w:type="dxa"/>
          </w:tcPr>
          <w:p w14:paraId="718E7CFC" w14:textId="77777777" w:rsidR="00561822" w:rsidRDefault="00561822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421" w:type="dxa"/>
            <w:vMerge/>
          </w:tcPr>
          <w:p w14:paraId="025DD3CD" w14:textId="77777777" w:rsidR="00561822" w:rsidRPr="00871058" w:rsidRDefault="00561822" w:rsidP="00BA4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21" w:type="dxa"/>
          </w:tcPr>
          <w:p w14:paraId="64930383" w14:textId="77777777" w:rsidR="00561822" w:rsidRDefault="00561822" w:rsidP="00775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Galutiniai naudos gavėjai yra labai mažos, mažos ir vidutinės įmonės (toliau – MVĮ), 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>atitinkančios socialinio verslo kriterijus, nustatytus Socialinio verslo koncepcijoje,</w:t>
            </w:r>
            <w:r w:rsidRPr="00EC0698" w:rsidDel="00EF16EA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ir 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lastRenderedPageBreak/>
              <w:t>prisidedančios prie socialinės problemos sprendimo</w:t>
            </w:r>
            <w:r w:rsidRPr="00EC0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6FAA097" w14:textId="77777777" w:rsidR="00561822" w:rsidRPr="001A3461" w:rsidRDefault="00561822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lang w:val="lt-LT"/>
              </w:rPr>
              <w:lastRenderedPageBreak/>
              <w:t>Kriterijaus vertinimo aspekte numatyta, kad „</w:t>
            </w:r>
            <w:r w:rsidRPr="001A3461">
              <w:rPr>
                <w:rFonts w:ascii="Times New Roman" w:hAnsi="Times New Roman" w:cs="Times New Roman"/>
                <w:i/>
                <w:color w:val="auto"/>
                <w:lang w:val="lt-LT"/>
              </w:rPr>
              <w:t>galutinių naudos gavėjų atitiktis MVĮ statusui vertinama paraiškos vertinimo metu ir naujos MVĮ įtraukimo į projektą metu.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“</w:t>
            </w:r>
          </w:p>
          <w:p w14:paraId="07EFB632" w14:textId="77777777" w:rsidR="00561822" w:rsidRPr="001A3461" w:rsidRDefault="00561822" w:rsidP="001A3461">
            <w:pPr>
              <w:pStyle w:val="CommentText"/>
              <w:spacing w:line="24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1A3461">
              <w:rPr>
                <w:rFonts w:eastAsiaTheme="minorHAnsi"/>
                <w:sz w:val="24"/>
                <w:szCs w:val="24"/>
                <w:lang w:val="lt-LT"/>
              </w:rPr>
              <w:t xml:space="preserve">Paraiškos vertinimo metu galutinių naudos gavėjų dar nebus, nes </w:t>
            </w:r>
            <w:r w:rsidRPr="001A3461">
              <w:rPr>
                <w:rFonts w:eastAsiaTheme="minorHAnsi"/>
                <w:sz w:val="24"/>
                <w:szCs w:val="24"/>
                <w:lang w:val="lt-LT"/>
              </w:rPr>
              <w:lastRenderedPageBreak/>
              <w:t>priemonė skirta įkurti naujus socialinius verslus. Statusas ir atitiktis socialinio verslo įmonei turėtų būti vertinamas krepšelio apmokėjimo momentu (mokėjimo prašymo vertinimo metu).</w:t>
            </w:r>
          </w:p>
          <w:p w14:paraId="122D6107" w14:textId="77777777" w:rsidR="00561822" w:rsidRPr="001A2B3C" w:rsidRDefault="00561822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583" w:type="dxa"/>
          </w:tcPr>
          <w:p w14:paraId="71EFFA3E" w14:textId="77777777" w:rsidR="00561822" w:rsidRDefault="00561822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Atsižvelgta.</w:t>
            </w:r>
          </w:p>
        </w:tc>
        <w:tc>
          <w:tcPr>
            <w:tcW w:w="5232" w:type="dxa"/>
          </w:tcPr>
          <w:p w14:paraId="1E601F47" w14:textId="77777777" w:rsidR="00561822" w:rsidRDefault="00371960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Pakeitus galutinius naudos gavėjus į juridinius asmenis, nebus vertinama</w:t>
            </w:r>
            <w:r w:rsidR="00561822" w:rsidRPr="00AB0510">
              <w:rPr>
                <w:rFonts w:ascii="Times New Roman" w:hAnsi="Times New Roman" w:cs="Times New Roman"/>
                <w:sz w:val="24"/>
                <w:szCs w:val="24"/>
              </w:rPr>
              <w:t xml:space="preserve"> gavėjų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itiktis MVĮ statusui</w:t>
            </w:r>
            <w:r w:rsidR="0056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C98EB" w14:textId="77777777" w:rsidR="00561822" w:rsidRDefault="00561822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Patikslinta kriterijaus formuluotė: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E4839">
              <w:rPr>
                <w:rFonts w:ascii="Times New Roman" w:hAnsi="Times New Roman"/>
                <w:i/>
                <w:sz w:val="24"/>
                <w:szCs w:val="24"/>
              </w:rPr>
              <w:t xml:space="preserve">Galutiniai naudos gavėjai yra juridiniai asmenys,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kuriuose dirba ne daugiau kaip 50 darbuotojų, veikiantys ne ilgiau kaip 12 mėnesių iki socialinio verslo pradžios paskatos gavimo, atitinkantys socialinio verslo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lastRenderedPageBreak/>
              <w:t>kriterijus, nustatytus Socialinio verslo koncepcijoje,</w:t>
            </w:r>
            <w:r w:rsidRPr="00AE4839" w:rsidDel="00EF16EA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 xml:space="preserve"> </w:t>
            </w:r>
            <w:r w:rsidRPr="00AE4839">
              <w:rPr>
                <w:rFonts w:ascii="Times New Roman" w:eastAsia="AngsanaUPC" w:hAnsi="Times New Roman"/>
                <w:bCs/>
                <w:i/>
                <w:sz w:val="24"/>
                <w:szCs w:val="24"/>
              </w:rPr>
              <w:t>ir prisidedantys prie socialinės problemos sprendimo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EC0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61822" w:rsidRPr="000C424D" w14:paraId="12FE8E2B" w14:textId="77777777" w:rsidTr="009B3F0D">
        <w:tc>
          <w:tcPr>
            <w:tcW w:w="556" w:type="dxa"/>
          </w:tcPr>
          <w:p w14:paraId="48362C04" w14:textId="77777777" w:rsidR="00561822" w:rsidRDefault="00561822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21" w:type="dxa"/>
            <w:vMerge/>
          </w:tcPr>
          <w:p w14:paraId="6143834C" w14:textId="77777777" w:rsidR="00561822" w:rsidRDefault="00561822" w:rsidP="00BA4A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21" w:type="dxa"/>
          </w:tcPr>
          <w:p w14:paraId="7610DF63" w14:textId="77777777" w:rsidR="00561822" w:rsidRDefault="00561822" w:rsidP="00775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Socialinių verslų, sukurtų gavus Europos Sąjungos fondų</w:t>
            </w:r>
            <w:r w:rsidRPr="005E778F">
              <w:rPr>
                <w:rFonts w:ascii="Times New Roman" w:hAnsi="Times New Roman"/>
                <w:sz w:val="24"/>
                <w:szCs w:val="24"/>
              </w:rPr>
              <w:t xml:space="preserve"> investicijas</w:t>
            </w:r>
            <w:r>
              <w:rPr>
                <w:rFonts w:ascii="Times New Roman" w:hAnsi="Times New Roman"/>
                <w:sz w:val="24"/>
                <w:szCs w:val="24"/>
              </w:rPr>
              <w:t>, skaičius.</w:t>
            </w:r>
          </w:p>
          <w:p w14:paraId="0056BE92" w14:textId="77777777" w:rsidR="00561822" w:rsidRPr="009B3F0D" w:rsidRDefault="00561822" w:rsidP="0077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D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Kuo daugiau socialinių verslų sukuriama, tuo aukštesnis balas suteikiamas.</w:t>
            </w:r>
          </w:p>
          <w:p w14:paraId="1AD9A635" w14:textId="77777777" w:rsidR="00561822" w:rsidRDefault="00561822" w:rsidP="00775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C9F774" w14:textId="77777777" w:rsidR="00561822" w:rsidRPr="009B3F0D" w:rsidRDefault="00561822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proofErr w:type="spellStart"/>
            <w:r w:rsidRPr="009B3F0D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lyg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ir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suponuoja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kad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tinkami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galutiniai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naudos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gavėjai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yra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ir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veikiantys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socialiniai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verslai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B3F0D">
              <w:rPr>
                <w:rFonts w:ascii="Times New Roman" w:hAnsi="Times New Roman" w:cs="Times New Roman"/>
              </w:rPr>
              <w:t>Jei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visgi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priemone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norime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apriboti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kad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būtų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krepšeliai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būtų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dalinami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tik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naujiems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soc</w:t>
            </w:r>
            <w:r>
              <w:rPr>
                <w:rFonts w:ascii="Times New Roman" w:hAnsi="Times New Roman" w:cs="Times New Roman"/>
              </w:rPr>
              <w:t>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vers</w:t>
            </w:r>
            <w:r>
              <w:rPr>
                <w:rFonts w:ascii="Times New Roman" w:hAnsi="Times New Roman" w:cs="Times New Roman"/>
              </w:rPr>
              <w:t>lams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reikia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įsitraukti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tokį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</w:t>
            </w:r>
            <w:r w:rsidRPr="009B3F0D">
              <w:rPr>
                <w:rFonts w:ascii="Times New Roman" w:hAnsi="Times New Roman" w:cs="Times New Roman"/>
              </w:rPr>
              <w:t>cialųjį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Taip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9B3F0D">
              <w:rPr>
                <w:rFonts w:ascii="Times New Roman" w:hAnsi="Times New Roman" w:cs="Times New Roman"/>
              </w:rPr>
              <w:t>reikia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apsispręsti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ką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reiškia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B3F0D">
              <w:rPr>
                <w:rFonts w:ascii="Times New Roman" w:hAnsi="Times New Roman" w:cs="Times New Roman"/>
              </w:rPr>
              <w:t>sukurtas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gavus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ESF </w:t>
            </w:r>
            <w:proofErr w:type="spellStart"/>
            <w:r w:rsidRPr="009B3F0D">
              <w:rPr>
                <w:rFonts w:ascii="Times New Roman" w:hAnsi="Times New Roman" w:cs="Times New Roman"/>
              </w:rPr>
              <w:t>investicijas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” – </w:t>
            </w:r>
            <w:proofErr w:type="spellStart"/>
            <w:r w:rsidRPr="009B3F0D">
              <w:rPr>
                <w:rFonts w:ascii="Times New Roman" w:hAnsi="Times New Roman" w:cs="Times New Roman"/>
              </w:rPr>
              <w:t>ar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tai </w:t>
            </w:r>
            <w:proofErr w:type="spellStart"/>
            <w:r w:rsidRPr="009B3F0D">
              <w:rPr>
                <w:rFonts w:ascii="Times New Roman" w:hAnsi="Times New Roman" w:cs="Times New Roman"/>
              </w:rPr>
              <w:t>reiškia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kad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krepšelis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galimas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teikti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fiziniams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asmenims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B3F0D">
              <w:rPr>
                <w:rFonts w:ascii="Times New Roman" w:hAnsi="Times New Roman" w:cs="Times New Roman"/>
              </w:rPr>
              <w:t>kurie</w:t>
            </w:r>
            <w:proofErr w:type="spellEnd"/>
            <w:proofErr w:type="gramEnd"/>
            <w:r w:rsidRPr="009B3F0D">
              <w:rPr>
                <w:rFonts w:ascii="Times New Roman" w:hAnsi="Times New Roman" w:cs="Times New Roman"/>
              </w:rPr>
              <w:t xml:space="preserve"> per tam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tikrą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įsipareigotą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lai</w:t>
            </w:r>
            <w:r>
              <w:rPr>
                <w:rFonts w:ascii="Times New Roman" w:hAnsi="Times New Roman" w:cs="Times New Roman"/>
              </w:rPr>
              <w:t>ką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įkurti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vis </w:t>
            </w:r>
            <w:proofErr w:type="spellStart"/>
            <w:r>
              <w:rPr>
                <w:rFonts w:ascii="Times New Roman" w:hAnsi="Times New Roman" w:cs="Times New Roman"/>
              </w:rPr>
              <w:t>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galė</w:t>
            </w:r>
            <w:r w:rsidRPr="009B3F0D">
              <w:rPr>
                <w:rFonts w:ascii="Times New Roman" w:hAnsi="Times New Roman" w:cs="Times New Roman"/>
              </w:rPr>
              <w:t>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būti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tinkami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ir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neseniai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įsikūrę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verslai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B3F0D">
              <w:rPr>
                <w:rFonts w:ascii="Times New Roman" w:hAnsi="Times New Roman" w:cs="Times New Roman"/>
              </w:rPr>
              <w:t>Jei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pastarieji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taip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tiktų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turime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apsispręsti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dėl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galimo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veiklos </w:t>
            </w:r>
            <w:proofErr w:type="spellStart"/>
            <w:r>
              <w:rPr>
                <w:rFonts w:ascii="Times New Roman" w:hAnsi="Times New Roman" w:cs="Times New Roman"/>
              </w:rPr>
              <w:t>trukmės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pvz</w:t>
            </w:r>
            <w:proofErr w:type="spellEnd"/>
            <w:r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9B3F0D">
              <w:rPr>
                <w:rFonts w:ascii="Times New Roman" w:hAnsi="Times New Roman" w:cs="Times New Roman"/>
              </w:rPr>
              <w:t>ki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krepšelio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gavimo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socialinis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verslas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yra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tinkamas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galutinis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naudos</w:t>
            </w:r>
            <w:proofErr w:type="spellEnd"/>
            <w:r w:rsidRPr="009B3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F0D">
              <w:rPr>
                <w:rFonts w:ascii="Times New Roman" w:hAnsi="Times New Roman" w:cs="Times New Roman"/>
              </w:rPr>
              <w:t>gavėjas</w:t>
            </w:r>
            <w:proofErr w:type="spellEnd"/>
            <w:r w:rsidRPr="009B3F0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83" w:type="dxa"/>
          </w:tcPr>
          <w:p w14:paraId="2126E7D9" w14:textId="77777777" w:rsidR="00561822" w:rsidRDefault="005316CB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Paaiškinta</w:t>
            </w:r>
            <w:r w:rsidR="0056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2" w:type="dxa"/>
          </w:tcPr>
          <w:p w14:paraId="6C9926FA" w14:textId="0752A8A0" w:rsidR="0018270B" w:rsidRDefault="0018270B" w:rsidP="00E314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Šios </w:t>
            </w:r>
            <w:r w:rsidRPr="0018270B">
              <w:rPr>
                <w:rFonts w:ascii="Times New Roman" w:hAnsi="Times New Roman"/>
                <w:sz w:val="24"/>
                <w:szCs w:val="24"/>
              </w:rPr>
              <w:t>p</w:t>
            </w:r>
            <w:r w:rsidRPr="0018270B">
              <w:rPr>
                <w:rFonts w:ascii="Times New Roman" w:eastAsia="AngsanaUPC" w:hAnsi="Times New Roman"/>
                <w:bCs/>
                <w:sz w:val="24"/>
                <w:szCs w:val="24"/>
              </w:rPr>
              <w:t>riemonės tikslas</w:t>
            </w:r>
            <w:r w:rsidRPr="0002625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– pask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atinti socialinio verslo, </w:t>
            </w:r>
            <w:r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kuris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teiktų</w:t>
            </w:r>
            <w:r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visuomenei reikalingas paslaugas ir (</w:t>
            </w:r>
            <w:r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) prekes</w:t>
            </w:r>
            <w:r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padėsiančias</w:t>
            </w:r>
            <w:r w:rsidRPr="001E4347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spręsti konkrečią socialinę problemą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, kūrimą</w:t>
            </w:r>
            <w:r w:rsidR="005316CB">
              <w:rPr>
                <w:rFonts w:ascii="Times New Roman" w:eastAsia="AngsanaUPC" w:hAnsi="Times New Roman"/>
                <w:bCs/>
                <w:sz w:val="24"/>
                <w:szCs w:val="24"/>
              </w:rPr>
              <w:t>si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. </w:t>
            </w:r>
            <w:r w:rsidR="00A67F3A">
              <w:rPr>
                <w:rFonts w:ascii="Times New Roman" w:eastAsia="AngsanaUPC" w:hAnsi="Times New Roman"/>
                <w:bCs/>
                <w:sz w:val="24"/>
                <w:szCs w:val="24"/>
              </w:rPr>
              <w:t>Todėl g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>alutiniai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 naudos gavėjai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galės būti juridiniai asmenys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kuriuose dirba ne daugiau kaip 50 darbuotojų, veikiantys ne ilgiau kaip 12 mėnesių iki </w:t>
            </w:r>
            <w:r w:rsidRPr="00071D1C">
              <w:rPr>
                <w:rFonts w:ascii="Times New Roman" w:eastAsia="AngsanaUPC" w:hAnsi="Times New Roman"/>
                <w:bCs/>
                <w:sz w:val="24"/>
                <w:szCs w:val="24"/>
              </w:rPr>
              <w:t>socialinio verslo pradžios paskatos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gavimo, 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>atitinkan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tys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socialinio verslo kriterijus, nustatytus Socialinio verslo koncepcijoje,</w:t>
            </w:r>
            <w:r w:rsidRPr="00EC0698" w:rsidDel="00EF16EA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>ir prisidedan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tys</w:t>
            </w:r>
            <w:r w:rsidRPr="00EC069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prie socialinės problemos sprendimo</w:t>
            </w:r>
            <w:r w:rsidRPr="00EC06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A793909" w14:textId="77777777" w:rsidR="00561822" w:rsidRPr="007E1DF3" w:rsidRDefault="00561822" w:rsidP="00E314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Socialinis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verslas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laikomas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sukurtu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kai ESF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gavusios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įmonės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organizacijos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steigimo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dokumentuose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nustatoma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socialinė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misija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parengiamas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verslo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kuriame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orientuojamasi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socialinį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verslą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šio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verslo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finansiškai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tvarios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ekonominės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veiklos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vykdymą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087BDDF4" w14:textId="59B7F6CF" w:rsidR="00561822" w:rsidRPr="00231D4C" w:rsidRDefault="00561822" w:rsidP="00231D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Šis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atrankos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kriterijus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bus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vertinamas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sumuojant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socialinius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verslus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kurie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buvo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sukurti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įgyvendinant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projekto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veiklas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ESF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gavusiose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įmonėse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arba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organizacijose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verslų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skaičius</w:t>
            </w:r>
            <w:proofErr w:type="spellEnd"/>
            <w:r w:rsidRPr="007E1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  <w:r w:rsidRPr="00EC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AA0C7C2" w14:textId="77777777" w:rsidR="008567F7" w:rsidRPr="00D01ED2" w:rsidRDefault="008567F7" w:rsidP="00D01ED2"/>
    <w:sectPr w:rsidR="008567F7" w:rsidRPr="00D01ED2" w:rsidSect="006D4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1C43" w14:textId="77777777" w:rsidR="0011260A" w:rsidRDefault="0011260A" w:rsidP="00CB289D">
      <w:pPr>
        <w:spacing w:after="0" w:line="240" w:lineRule="auto"/>
      </w:pPr>
      <w:r>
        <w:separator/>
      </w:r>
    </w:p>
  </w:endnote>
  <w:endnote w:type="continuationSeparator" w:id="0">
    <w:p w14:paraId="1FACBB57" w14:textId="77777777" w:rsidR="0011260A" w:rsidRDefault="0011260A" w:rsidP="00CB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86A8" w14:textId="77777777" w:rsidR="001D5BA5" w:rsidRDefault="001D5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9945" w14:textId="77777777" w:rsidR="001D5BA5" w:rsidRDefault="001D5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B248C" w14:textId="77777777" w:rsidR="001D5BA5" w:rsidRDefault="001D5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2A0A" w14:textId="77777777" w:rsidR="0011260A" w:rsidRDefault="0011260A" w:rsidP="00CB289D">
      <w:pPr>
        <w:spacing w:after="0" w:line="240" w:lineRule="auto"/>
      </w:pPr>
      <w:r>
        <w:separator/>
      </w:r>
    </w:p>
  </w:footnote>
  <w:footnote w:type="continuationSeparator" w:id="0">
    <w:p w14:paraId="58933619" w14:textId="77777777" w:rsidR="0011260A" w:rsidRDefault="0011260A" w:rsidP="00CB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C82EE" w14:textId="77777777" w:rsidR="001D5BA5" w:rsidRDefault="001D5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6213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8B6D37" w14:textId="48445AAD" w:rsidR="001D5BA5" w:rsidRDefault="001D5B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99FCF" w14:textId="77777777" w:rsidR="001D5BA5" w:rsidRDefault="001D5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6110" w14:textId="77777777" w:rsidR="001D5BA5" w:rsidRDefault="001D5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92B"/>
    <w:multiLevelType w:val="hybridMultilevel"/>
    <w:tmpl w:val="FA0C2BF8"/>
    <w:lvl w:ilvl="0" w:tplc="3426F5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1692"/>
    <w:multiLevelType w:val="hybridMultilevel"/>
    <w:tmpl w:val="BC1E6526"/>
    <w:lvl w:ilvl="0" w:tplc="F798144A">
      <w:start w:val="1"/>
      <w:numFmt w:val="decimal"/>
      <w:lvlText w:val="1.%1."/>
      <w:lvlJc w:val="left"/>
      <w:pPr>
        <w:ind w:left="720" w:hanging="360"/>
      </w:pPr>
      <w:rPr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E30"/>
    <w:multiLevelType w:val="hybridMultilevel"/>
    <w:tmpl w:val="29F62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2"/>
    <w:rsid w:val="00000D4E"/>
    <w:rsid w:val="0011260A"/>
    <w:rsid w:val="00134F5C"/>
    <w:rsid w:val="001501F1"/>
    <w:rsid w:val="00160CF3"/>
    <w:rsid w:val="0018270B"/>
    <w:rsid w:val="00190B07"/>
    <w:rsid w:val="001A2B3C"/>
    <w:rsid w:val="001A3461"/>
    <w:rsid w:val="001C3DBA"/>
    <w:rsid w:val="001D5BA5"/>
    <w:rsid w:val="001D7536"/>
    <w:rsid w:val="00201C34"/>
    <w:rsid w:val="00231D4C"/>
    <w:rsid w:val="00253AF7"/>
    <w:rsid w:val="002550D0"/>
    <w:rsid w:val="002637A6"/>
    <w:rsid w:val="0027695A"/>
    <w:rsid w:val="00280B2E"/>
    <w:rsid w:val="002C4720"/>
    <w:rsid w:val="002D3A04"/>
    <w:rsid w:val="003225CE"/>
    <w:rsid w:val="00347C67"/>
    <w:rsid w:val="0035280C"/>
    <w:rsid w:val="00371960"/>
    <w:rsid w:val="00374D3D"/>
    <w:rsid w:val="003C2B55"/>
    <w:rsid w:val="003D2E6D"/>
    <w:rsid w:val="00461243"/>
    <w:rsid w:val="00462618"/>
    <w:rsid w:val="004D5623"/>
    <w:rsid w:val="004E6633"/>
    <w:rsid w:val="004F7DB1"/>
    <w:rsid w:val="0051407C"/>
    <w:rsid w:val="005316CB"/>
    <w:rsid w:val="00537A5C"/>
    <w:rsid w:val="00557E0B"/>
    <w:rsid w:val="00561822"/>
    <w:rsid w:val="0059765F"/>
    <w:rsid w:val="00635953"/>
    <w:rsid w:val="006703D4"/>
    <w:rsid w:val="006D4399"/>
    <w:rsid w:val="006F060C"/>
    <w:rsid w:val="007613FE"/>
    <w:rsid w:val="0077538D"/>
    <w:rsid w:val="007D2462"/>
    <w:rsid w:val="007E1DF3"/>
    <w:rsid w:val="00811350"/>
    <w:rsid w:val="00834665"/>
    <w:rsid w:val="008567F7"/>
    <w:rsid w:val="00871058"/>
    <w:rsid w:val="008E4928"/>
    <w:rsid w:val="00916D6C"/>
    <w:rsid w:val="00972668"/>
    <w:rsid w:val="009B0558"/>
    <w:rsid w:val="009B3F0D"/>
    <w:rsid w:val="009D4547"/>
    <w:rsid w:val="00A247CB"/>
    <w:rsid w:val="00A31843"/>
    <w:rsid w:val="00A33CD2"/>
    <w:rsid w:val="00A3408C"/>
    <w:rsid w:val="00A45387"/>
    <w:rsid w:val="00A52C9A"/>
    <w:rsid w:val="00A67F3A"/>
    <w:rsid w:val="00AB0510"/>
    <w:rsid w:val="00AD2B30"/>
    <w:rsid w:val="00AE4839"/>
    <w:rsid w:val="00AE55F6"/>
    <w:rsid w:val="00B03586"/>
    <w:rsid w:val="00B04EE6"/>
    <w:rsid w:val="00B36FB6"/>
    <w:rsid w:val="00B476E1"/>
    <w:rsid w:val="00BE513C"/>
    <w:rsid w:val="00C027AB"/>
    <w:rsid w:val="00C63B08"/>
    <w:rsid w:val="00CA0AB8"/>
    <w:rsid w:val="00CB289D"/>
    <w:rsid w:val="00D01ED2"/>
    <w:rsid w:val="00D32B56"/>
    <w:rsid w:val="00D80C59"/>
    <w:rsid w:val="00DA6749"/>
    <w:rsid w:val="00DE3AEE"/>
    <w:rsid w:val="00E21528"/>
    <w:rsid w:val="00E24C6C"/>
    <w:rsid w:val="00E31478"/>
    <w:rsid w:val="00E421F3"/>
    <w:rsid w:val="00E828C4"/>
    <w:rsid w:val="00ED0D7D"/>
    <w:rsid w:val="00F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76D3"/>
  <w15:chartTrackingRefBased/>
  <w15:docId w15:val="{98C7B13F-BDC7-49BA-B64D-8F6F9FAB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8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9D"/>
  </w:style>
  <w:style w:type="paragraph" w:styleId="Footer">
    <w:name w:val="footer"/>
    <w:basedOn w:val="Normal"/>
    <w:link w:val="FooterChar"/>
    <w:uiPriority w:val="99"/>
    <w:unhideWhenUsed/>
    <w:rsid w:val="00CB28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9D"/>
  </w:style>
  <w:style w:type="paragraph" w:customStyle="1" w:styleId="prastasis">
    <w:name w:val="Įprastasis"/>
    <w:rsid w:val="00CB289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0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280C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280C"/>
    <w:rPr>
      <w:rFonts w:ascii="Calibri" w:hAnsi="Calibri" w:cs="Consolas"/>
      <w:szCs w:val="21"/>
      <w:lang w:val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626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462618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3D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E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E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253AF7"/>
    <w:rPr>
      <w:color w:val="0000FF"/>
      <w:u w:val="single"/>
    </w:rPr>
  </w:style>
  <w:style w:type="paragraph" w:customStyle="1" w:styleId="Default">
    <w:name w:val="Default"/>
    <w:rsid w:val="001A2B3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6CB"/>
    <w:pPr>
      <w:widowControl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6C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53c1200d9fd11e4bddbf1b55e924c5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DDF0-BF22-4852-8EEA-C7094AB4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Dausinas Martynas</dc:creator>
  <cp:keywords/>
  <dc:description/>
  <cp:lastModifiedBy>Bilotiene Zivile</cp:lastModifiedBy>
  <cp:revision>29</cp:revision>
  <dcterms:created xsi:type="dcterms:W3CDTF">2018-08-10T12:08:00Z</dcterms:created>
  <dcterms:modified xsi:type="dcterms:W3CDTF">2018-11-28T09:49:00Z</dcterms:modified>
</cp:coreProperties>
</file>