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0E2A7" w14:textId="77777777" w:rsidR="000C6855" w:rsidRDefault="00D800E1" w:rsidP="000C6855">
      <w:pPr>
        <w:spacing w:after="0" w:line="240" w:lineRule="auto"/>
        <w:jc w:val="center"/>
        <w:rPr>
          <w:rFonts w:ascii="Times New Roman" w:hAnsi="Times New Roman" w:cs="Times New Roman"/>
          <w:b/>
          <w:sz w:val="24"/>
          <w:szCs w:val="24"/>
        </w:rPr>
      </w:pPr>
      <w:r w:rsidRPr="00885642">
        <w:rPr>
          <w:rFonts w:ascii="Times New Roman" w:hAnsi="Times New Roman" w:cs="Times New Roman"/>
          <w:b/>
          <w:sz w:val="24"/>
          <w:szCs w:val="24"/>
        </w:rPr>
        <w:t>2014–2020 metų Europos Sąjungos fondų investicijų veiksmų programos</w:t>
      </w:r>
    </w:p>
    <w:p w14:paraId="2E940BE4" w14:textId="77777777" w:rsidR="000C6855" w:rsidRDefault="001F1E2A" w:rsidP="000C6855">
      <w:pPr>
        <w:spacing w:after="0" w:line="240" w:lineRule="auto"/>
        <w:jc w:val="center"/>
        <w:rPr>
          <w:rFonts w:ascii="Times New Roman" w:hAnsi="Times New Roman" w:cs="Times New Roman"/>
          <w:b/>
          <w:sz w:val="24"/>
          <w:szCs w:val="24"/>
        </w:rPr>
      </w:pPr>
      <w:r w:rsidRPr="001F1E2A">
        <w:rPr>
          <w:rFonts w:ascii="Times New Roman" w:hAnsi="Times New Roman" w:cs="Times New Roman"/>
          <w:b/>
          <w:sz w:val="24"/>
          <w:szCs w:val="24"/>
        </w:rPr>
        <w:t>3 prioriteto „Smulkiojo ir vidutinio verslo konkurencingumo skatinimas“</w:t>
      </w:r>
    </w:p>
    <w:p w14:paraId="009900F9" w14:textId="77777777" w:rsidR="000C6855" w:rsidRDefault="001F1E2A" w:rsidP="000C6855">
      <w:pPr>
        <w:spacing w:after="0" w:line="240" w:lineRule="auto"/>
        <w:jc w:val="center"/>
        <w:rPr>
          <w:rFonts w:ascii="Times New Roman" w:hAnsi="Times New Roman" w:cs="Times New Roman"/>
          <w:b/>
          <w:sz w:val="24"/>
          <w:szCs w:val="24"/>
        </w:rPr>
      </w:pPr>
      <w:r w:rsidRPr="001F1E2A">
        <w:rPr>
          <w:rFonts w:ascii="Times New Roman" w:hAnsi="Times New Roman" w:cs="Times New Roman"/>
          <w:b/>
          <w:sz w:val="24"/>
          <w:szCs w:val="24"/>
        </w:rPr>
        <w:t>priemonės Nr. 03.2.1-LVPA-K-807 „Verslo klasteris LT“ pro</w:t>
      </w:r>
      <w:r>
        <w:rPr>
          <w:rFonts w:ascii="Times New Roman" w:hAnsi="Times New Roman" w:cs="Times New Roman"/>
          <w:b/>
          <w:sz w:val="24"/>
          <w:szCs w:val="24"/>
        </w:rPr>
        <w:t>jektų finansavimo sąlygų aprašo</w:t>
      </w:r>
      <w:r w:rsidR="000C6855">
        <w:rPr>
          <w:rFonts w:ascii="Times New Roman" w:hAnsi="Times New Roman" w:cs="Times New Roman"/>
          <w:b/>
          <w:sz w:val="24"/>
          <w:szCs w:val="24"/>
        </w:rPr>
        <w:t xml:space="preserve"> Nr. 2</w:t>
      </w:r>
      <w:r>
        <w:rPr>
          <w:rFonts w:ascii="Times New Roman" w:hAnsi="Times New Roman" w:cs="Times New Roman"/>
          <w:b/>
          <w:sz w:val="24"/>
          <w:szCs w:val="24"/>
        </w:rPr>
        <w:t xml:space="preserve"> </w:t>
      </w:r>
      <w:r w:rsidR="00F93045" w:rsidRPr="00885642">
        <w:rPr>
          <w:rFonts w:ascii="Times New Roman" w:hAnsi="Times New Roman" w:cs="Times New Roman"/>
          <w:b/>
          <w:sz w:val="24"/>
          <w:szCs w:val="24"/>
        </w:rPr>
        <w:t xml:space="preserve">projekto </w:t>
      </w:r>
    </w:p>
    <w:p w14:paraId="08C70D74" w14:textId="77777777" w:rsidR="00DB0F69" w:rsidRPr="00885642" w:rsidRDefault="000C6855" w:rsidP="000C6855">
      <w:pPr>
        <w:spacing w:after="0" w:line="240" w:lineRule="auto"/>
        <w:jc w:val="center"/>
        <w:rPr>
          <w:rFonts w:ascii="Times New Roman" w:hAnsi="Times New Roman"/>
          <w:b/>
          <w:sz w:val="24"/>
        </w:rPr>
      </w:pPr>
      <w:r>
        <w:rPr>
          <w:rFonts w:ascii="Times New Roman" w:hAnsi="Times New Roman" w:cs="Times New Roman"/>
          <w:b/>
          <w:sz w:val="24"/>
          <w:szCs w:val="24"/>
        </w:rPr>
        <w:t xml:space="preserve">gautų socialinių ekonominių partnerių </w:t>
      </w:r>
      <w:r w:rsidR="00F93045" w:rsidRPr="00885642">
        <w:rPr>
          <w:rFonts w:ascii="Times New Roman" w:hAnsi="Times New Roman" w:cs="Times New Roman"/>
          <w:b/>
          <w:sz w:val="24"/>
          <w:szCs w:val="24"/>
        </w:rPr>
        <w:t>pastabų derinimo lentelė</w:t>
      </w:r>
    </w:p>
    <w:p w14:paraId="575BC912" w14:textId="77777777" w:rsidR="00F93045" w:rsidRPr="007E60D0" w:rsidRDefault="00F93045" w:rsidP="00F93045">
      <w:pPr>
        <w:spacing w:after="0" w:line="240" w:lineRule="auto"/>
        <w:jc w:val="both"/>
        <w:rPr>
          <w:rFonts w:ascii="Times New Roman" w:hAnsi="Times New Roman" w:cs="Times New Roman"/>
          <w:b/>
          <w:sz w:val="24"/>
          <w:szCs w:val="24"/>
        </w:rPr>
      </w:pPr>
    </w:p>
    <w:tbl>
      <w:tblPr>
        <w:tblStyle w:val="TableGrid"/>
        <w:tblpPr w:leftFromText="180" w:rightFromText="180" w:vertAnchor="text" w:horzAnchor="margin" w:tblpY="94"/>
        <w:tblW w:w="15276" w:type="dxa"/>
        <w:tblLayout w:type="fixed"/>
        <w:tblLook w:val="04A0" w:firstRow="1" w:lastRow="0" w:firstColumn="1" w:lastColumn="0" w:noHBand="0" w:noVBand="1"/>
      </w:tblPr>
      <w:tblGrid>
        <w:gridCol w:w="675"/>
        <w:gridCol w:w="1785"/>
        <w:gridCol w:w="1192"/>
        <w:gridCol w:w="5670"/>
        <w:gridCol w:w="1559"/>
        <w:gridCol w:w="4395"/>
      </w:tblGrid>
      <w:tr w:rsidR="00E07A69" w:rsidRPr="0010310B" w14:paraId="449F5813" w14:textId="77777777" w:rsidTr="00406D1F">
        <w:trPr>
          <w:trHeight w:val="550"/>
        </w:trPr>
        <w:tc>
          <w:tcPr>
            <w:tcW w:w="675" w:type="dxa"/>
          </w:tcPr>
          <w:p w14:paraId="773DAA24" w14:textId="77777777" w:rsidR="00E07A69" w:rsidRPr="000C6855" w:rsidRDefault="00E07A69" w:rsidP="00502BE1">
            <w:pPr>
              <w:rPr>
                <w:rFonts w:ascii="Times New Roman" w:hAnsi="Times New Roman" w:cs="Times New Roman"/>
                <w:b/>
                <w:sz w:val="24"/>
                <w:szCs w:val="24"/>
              </w:rPr>
            </w:pPr>
            <w:r w:rsidRPr="000C6855">
              <w:rPr>
                <w:rFonts w:ascii="Times New Roman" w:hAnsi="Times New Roman" w:cs="Times New Roman"/>
                <w:b/>
                <w:sz w:val="24"/>
                <w:szCs w:val="24"/>
              </w:rPr>
              <w:t>Eil. Nr.</w:t>
            </w:r>
          </w:p>
        </w:tc>
        <w:tc>
          <w:tcPr>
            <w:tcW w:w="1785" w:type="dxa"/>
          </w:tcPr>
          <w:p w14:paraId="13B50D22" w14:textId="77777777" w:rsidR="00E07A69" w:rsidRDefault="00E07A69" w:rsidP="00E07A69">
            <w:pPr>
              <w:rPr>
                <w:rFonts w:ascii="Times New Roman" w:hAnsi="Times New Roman" w:cs="Times New Roman"/>
                <w:b/>
                <w:sz w:val="24"/>
                <w:szCs w:val="24"/>
              </w:rPr>
            </w:pPr>
            <w:r w:rsidRPr="00CE399E">
              <w:rPr>
                <w:rFonts w:ascii="Times New Roman" w:hAnsi="Times New Roman" w:cs="Times New Roman"/>
                <w:b/>
                <w:sz w:val="24"/>
                <w:szCs w:val="24"/>
              </w:rPr>
              <w:t>Pastabas/</w:t>
            </w:r>
            <w:r>
              <w:rPr>
                <w:rFonts w:ascii="Times New Roman" w:hAnsi="Times New Roman" w:cs="Times New Roman"/>
                <w:b/>
                <w:sz w:val="24"/>
                <w:szCs w:val="24"/>
              </w:rPr>
              <w:t xml:space="preserve"> </w:t>
            </w:r>
            <w:r w:rsidRPr="00CE399E">
              <w:rPr>
                <w:rFonts w:ascii="Times New Roman" w:hAnsi="Times New Roman" w:cs="Times New Roman"/>
                <w:b/>
                <w:sz w:val="24"/>
                <w:szCs w:val="24"/>
              </w:rPr>
              <w:t>pasiūlymus teikianti institucija/</w:t>
            </w:r>
          </w:p>
          <w:p w14:paraId="23C5941D" w14:textId="77777777" w:rsidR="00E07A69" w:rsidRPr="00CE399E" w:rsidRDefault="00E07A69" w:rsidP="00E07A69">
            <w:pPr>
              <w:rPr>
                <w:rFonts w:ascii="Times New Roman" w:hAnsi="Times New Roman" w:cs="Times New Roman"/>
                <w:b/>
                <w:sz w:val="24"/>
                <w:szCs w:val="24"/>
              </w:rPr>
            </w:pPr>
            <w:r w:rsidRPr="00CE399E">
              <w:rPr>
                <w:rFonts w:ascii="Times New Roman" w:hAnsi="Times New Roman" w:cs="Times New Roman"/>
                <w:b/>
                <w:sz w:val="24"/>
                <w:szCs w:val="24"/>
              </w:rPr>
              <w:t>asmuo</w:t>
            </w:r>
          </w:p>
        </w:tc>
        <w:tc>
          <w:tcPr>
            <w:tcW w:w="1192" w:type="dxa"/>
          </w:tcPr>
          <w:p w14:paraId="6DCFF04D" w14:textId="77777777" w:rsidR="00E07A69" w:rsidRPr="000C6855" w:rsidRDefault="00E07A69" w:rsidP="00E07A69">
            <w:pPr>
              <w:rPr>
                <w:rFonts w:ascii="Times New Roman" w:hAnsi="Times New Roman" w:cs="Times New Roman"/>
                <w:b/>
                <w:sz w:val="24"/>
                <w:szCs w:val="24"/>
              </w:rPr>
            </w:pPr>
            <w:r>
              <w:rPr>
                <w:rFonts w:ascii="Times New Roman" w:hAnsi="Times New Roman" w:cs="Times New Roman"/>
                <w:b/>
                <w:sz w:val="24"/>
                <w:szCs w:val="24"/>
              </w:rPr>
              <w:t>PFSA p</w:t>
            </w:r>
            <w:r w:rsidRPr="00CE399E">
              <w:rPr>
                <w:rFonts w:ascii="Times New Roman" w:hAnsi="Times New Roman" w:cs="Times New Roman"/>
                <w:b/>
                <w:sz w:val="24"/>
                <w:szCs w:val="24"/>
              </w:rPr>
              <w:t>unkto numeris</w:t>
            </w:r>
          </w:p>
        </w:tc>
        <w:tc>
          <w:tcPr>
            <w:tcW w:w="5670" w:type="dxa"/>
          </w:tcPr>
          <w:p w14:paraId="5D42BD05" w14:textId="77777777" w:rsidR="00E07A69" w:rsidRPr="000C6855" w:rsidRDefault="00E07A69" w:rsidP="00502BE1">
            <w:pPr>
              <w:rPr>
                <w:rFonts w:ascii="Times New Roman" w:hAnsi="Times New Roman" w:cs="Times New Roman"/>
                <w:b/>
                <w:sz w:val="24"/>
                <w:szCs w:val="24"/>
              </w:rPr>
            </w:pPr>
            <w:r w:rsidRPr="00CE399E">
              <w:rPr>
                <w:rFonts w:ascii="Times New Roman" w:hAnsi="Times New Roman" w:cs="Times New Roman"/>
                <w:b/>
                <w:sz w:val="24"/>
                <w:szCs w:val="24"/>
              </w:rPr>
              <w:t>Pastabos ir (ar) pasiūlymai</w:t>
            </w:r>
          </w:p>
        </w:tc>
        <w:tc>
          <w:tcPr>
            <w:tcW w:w="1559" w:type="dxa"/>
          </w:tcPr>
          <w:p w14:paraId="645A5D2E" w14:textId="77777777" w:rsidR="00E07A69" w:rsidRPr="000C6855" w:rsidRDefault="00E07A69" w:rsidP="00502BE1">
            <w:pPr>
              <w:rPr>
                <w:rFonts w:ascii="Times New Roman" w:hAnsi="Times New Roman" w:cs="Times New Roman"/>
                <w:b/>
                <w:sz w:val="24"/>
                <w:szCs w:val="24"/>
              </w:rPr>
            </w:pPr>
            <w:r w:rsidRPr="000C6855">
              <w:rPr>
                <w:rFonts w:ascii="Times New Roman" w:hAnsi="Times New Roman" w:cs="Times New Roman"/>
                <w:b/>
                <w:sz w:val="24"/>
                <w:szCs w:val="24"/>
              </w:rPr>
              <w:t>ŪM pozicija</w:t>
            </w:r>
          </w:p>
        </w:tc>
        <w:tc>
          <w:tcPr>
            <w:tcW w:w="4395" w:type="dxa"/>
          </w:tcPr>
          <w:p w14:paraId="79B58AEB" w14:textId="77777777" w:rsidR="00E07A69" w:rsidRPr="000C6855" w:rsidRDefault="00E07A69" w:rsidP="00502BE1">
            <w:pPr>
              <w:rPr>
                <w:rFonts w:ascii="Times New Roman" w:hAnsi="Times New Roman" w:cs="Times New Roman"/>
                <w:b/>
                <w:sz w:val="24"/>
                <w:szCs w:val="24"/>
              </w:rPr>
            </w:pPr>
            <w:r w:rsidRPr="00CE399E">
              <w:rPr>
                <w:rFonts w:ascii="Times New Roman" w:hAnsi="Times New Roman" w:cs="Times New Roman"/>
                <w:b/>
                <w:sz w:val="24"/>
                <w:szCs w:val="24"/>
              </w:rPr>
              <w:t>Ūkio ministerijos komentaras</w:t>
            </w:r>
          </w:p>
        </w:tc>
      </w:tr>
      <w:tr w:rsidR="003147AC" w:rsidRPr="0010310B" w14:paraId="5A5A018C" w14:textId="77777777" w:rsidTr="00406D1F">
        <w:trPr>
          <w:trHeight w:val="269"/>
        </w:trPr>
        <w:tc>
          <w:tcPr>
            <w:tcW w:w="675" w:type="dxa"/>
          </w:tcPr>
          <w:p w14:paraId="3002B0BD" w14:textId="77777777" w:rsidR="003147AC" w:rsidRPr="00534D35" w:rsidRDefault="003147AC" w:rsidP="00502BE1">
            <w:pPr>
              <w:pStyle w:val="ListParagraph"/>
              <w:numPr>
                <w:ilvl w:val="0"/>
                <w:numId w:val="3"/>
              </w:numPr>
              <w:ind w:left="0" w:firstLine="0"/>
              <w:rPr>
                <w:rFonts w:ascii="Times New Roman" w:hAnsi="Times New Roman" w:cs="Times New Roman"/>
                <w:sz w:val="24"/>
                <w:szCs w:val="24"/>
              </w:rPr>
            </w:pPr>
          </w:p>
        </w:tc>
        <w:tc>
          <w:tcPr>
            <w:tcW w:w="1785" w:type="dxa"/>
            <w:vMerge w:val="restart"/>
          </w:tcPr>
          <w:p w14:paraId="72430259" w14:textId="77777777" w:rsidR="003147AC" w:rsidRPr="003C418D" w:rsidRDefault="003147AC" w:rsidP="00502BE1">
            <w:pPr>
              <w:rPr>
                <w:rFonts w:ascii="Times New Roman" w:hAnsi="Times New Roman" w:cs="Times New Roman"/>
                <w:b/>
                <w:sz w:val="24"/>
                <w:szCs w:val="24"/>
                <w:lang w:eastAsia="lt-LT"/>
              </w:rPr>
            </w:pPr>
            <w:r w:rsidRPr="003C418D">
              <w:rPr>
                <w:rFonts w:ascii="Times New Roman" w:hAnsi="Times New Roman" w:cs="Times New Roman"/>
                <w:b/>
                <w:sz w:val="24"/>
                <w:szCs w:val="24"/>
                <w:lang w:eastAsia="lt-LT"/>
              </w:rPr>
              <w:t>Visorių informacinių technologijų parkas,</w:t>
            </w:r>
          </w:p>
          <w:p w14:paraId="0FBDF94F" w14:textId="77777777" w:rsidR="003147AC" w:rsidRPr="00E832CB" w:rsidRDefault="003147AC" w:rsidP="00502BE1">
            <w:pPr>
              <w:rPr>
                <w:rFonts w:ascii="Times New Roman" w:hAnsi="Times New Roman" w:cs="Times New Roman"/>
                <w:sz w:val="24"/>
                <w:szCs w:val="24"/>
                <w:lang w:eastAsia="lt-LT"/>
              </w:rPr>
            </w:pPr>
            <w:r w:rsidRPr="003C418D">
              <w:rPr>
                <w:rFonts w:ascii="Times New Roman" w:hAnsi="Times New Roman" w:cs="Times New Roman"/>
                <w:b/>
                <w:sz w:val="24"/>
                <w:szCs w:val="24"/>
                <w:lang w:eastAsia="lt-LT"/>
              </w:rPr>
              <w:t>Inovacijų projektų vadovė Rasa Gofman</w:t>
            </w:r>
          </w:p>
        </w:tc>
        <w:tc>
          <w:tcPr>
            <w:tcW w:w="1192" w:type="dxa"/>
          </w:tcPr>
          <w:p w14:paraId="0612119C" w14:textId="77777777" w:rsidR="003147AC" w:rsidRPr="00885642" w:rsidRDefault="003147AC" w:rsidP="00502BE1">
            <w:pPr>
              <w:rPr>
                <w:rFonts w:ascii="Times New Roman" w:hAnsi="Times New Roman" w:cs="Times New Roman"/>
                <w:sz w:val="24"/>
                <w:szCs w:val="24"/>
              </w:rPr>
            </w:pPr>
            <w:r>
              <w:rPr>
                <w:rFonts w:ascii="Times New Roman" w:hAnsi="Times New Roman" w:cs="Times New Roman"/>
                <w:sz w:val="24"/>
                <w:szCs w:val="24"/>
              </w:rPr>
              <w:t>42</w:t>
            </w:r>
          </w:p>
        </w:tc>
        <w:tc>
          <w:tcPr>
            <w:tcW w:w="5670" w:type="dxa"/>
          </w:tcPr>
          <w:p w14:paraId="7E3A5334" w14:textId="77777777" w:rsidR="003147AC" w:rsidRPr="00C82DB2" w:rsidRDefault="003147AC" w:rsidP="00142987">
            <w:pPr>
              <w:tabs>
                <w:tab w:val="left" w:pos="0"/>
                <w:tab w:val="left" w:pos="389"/>
                <w:tab w:val="left" w:pos="867"/>
              </w:tabs>
              <w:jc w:val="both"/>
              <w:rPr>
                <w:rFonts w:ascii="Times New Roman" w:hAnsi="Times New Roman"/>
              </w:rPr>
            </w:pPr>
            <w:r w:rsidRPr="00C82DB2">
              <w:rPr>
                <w:rFonts w:ascii="Times New Roman" w:hAnsi="Times New Roman" w:cs="Times New Roman"/>
              </w:rPr>
              <w:t xml:space="preserve">Privačių juridinių asmenų projektų vykdančiojo personalo bei dalyvių darbo užmokesčio fiksuotųjų įkainių nustatymo tyrimo ataskaita parengta remiantis Lietuvos statistikos departamento duomenimis, 2016 m. pradžioje Lietuvos Respublikoje veikė 99 200 ūkio subjektų1, kurių didžioji dalis yra privatūs juridiniai asmenys2, t. y. potencialūs pagal Europos Sąjungos fondų investicijų veiksmų programos prioritetų įgyvendinimo priemones finansuojamų projektų dalyviai. 2007–2013 metų Europos Sąjungos struktūrinės paramos laikotarpiu vykdytų projektų duomenys apie privačių juridinių asmenų projektų dalyvių darbo užmokestį yra atsitiktiniai (nereprezentatyvūs, pavienių asmenų, apimantys ne visų ekonominės veiklos rūšims priskirtinų privačių juridinių asmenų darbuotojų darbo užmokestį, skirtingų laikotarpių), didelės apimties bei nesusisteminti tyrimui tinkamu būdu, todėl netinkami naudoti fiksuotųjų įkainių dydžiams nustatyti. Kadangi pagal 2014–2020 m. Europos Sąjungos fondų investicijų veiksmų programos prioritetų įgyvendinimo priemones finansuojamų projektų veiklose turi galimybę dalyvauti skirtingo teisinio statuso įvairių rūšių ekonominę veiklą vykdančių privačių juridinių asmenų darbuotojai, tinkamiausias būdas universaliems, patikimiems ir nesudėtingai atnaujinamiems fiksuotiesiems įkainiams nustatyti – vadovautis Lietuvos statistikos departamento oficialiosios statistikos portale </w:t>
            </w:r>
            <w:hyperlink r:id="rId8" w:history="1">
              <w:r w:rsidRPr="00C82DB2">
                <w:rPr>
                  <w:rStyle w:val="Hyperlink"/>
                  <w:rFonts w:ascii="Times New Roman" w:hAnsi="Times New Roman" w:cs="Times New Roman"/>
                </w:rPr>
                <w:t>http://osp.stat.gov.lt/</w:t>
              </w:r>
            </w:hyperlink>
            <w:r w:rsidRPr="00C82DB2">
              <w:rPr>
                <w:rFonts w:ascii="Times New Roman" w:hAnsi="Times New Roman" w:cs="Times New Roman"/>
              </w:rPr>
              <w:t xml:space="preserve"> skelbiamais darbo užmokesčio Lietuvos Respublikos privačiame sektoriuje (su individualiosiomis įmonėmis) vidutiniais dydžiais. Atsižvelgiant į tai, kad darbo </w:t>
            </w:r>
            <w:r w:rsidRPr="00C82DB2">
              <w:rPr>
                <w:rFonts w:ascii="Times New Roman" w:hAnsi="Times New Roman" w:cs="Times New Roman"/>
              </w:rPr>
              <w:lastRenderedPageBreak/>
              <w:t xml:space="preserve">užmokesčio vidutiniai dydžiai reikšmingai skiriasi pagal ekonominės veiklos rūšis, bei siekiant, kad nustatyti fiksuotieji įkainiai kuo geriau atitiktų faktinius darbo užmokesčio išlaidų dydžius, tyrimu nustatomi detalūs privačių juridinių asmenų projektų vykdančiojo personalo ir dalyvių darbo užmokesčio fiksuotieji įkainiai pagal EVRK (2 red.) taikomą ekonominių veiklos rūšių klasifikavimo sistemą“ (cituotas dokumentas). Pagrindinėse nuostatose neišskirtas būtent eksportuojančiųjų įmonių, tuo užsiimančių darbuotojų DU, kuris, deja, neprasideda nuo 4,13 eur/h (su visais mokesčiais). Atkreipiame dėmesį, kad PFSA naudojamame dokumente nėra numatyta </w:t>
            </w:r>
            <w:r w:rsidRPr="00C82DB2">
              <w:rPr>
                <w:rFonts w:ascii="Times New Roman" w:hAnsi="Times New Roman" w:cs="Times New Roman"/>
                <w:b/>
                <w:bCs/>
              </w:rPr>
              <w:t>jokios</w:t>
            </w:r>
            <w:r w:rsidRPr="00C82DB2">
              <w:rPr>
                <w:rFonts w:ascii="Times New Roman" w:hAnsi="Times New Roman" w:cs="Times New Roman"/>
              </w:rPr>
              <w:t xml:space="preserve"> galimybės įmonėms finansuoti faktiškai patiriamas išlaidas tuo atveju, kai įdarbinamas eksperto lygio asmuo (pardavimai+reprezentavimas+užsienio kalbos mokėjimo lygis). Ar įvertinta pateikiamo įkainių suskirstymo koreliacija su turimais statistiniais duomenimis apie inovacijų diegėjus </w:t>
            </w:r>
            <w:hyperlink r:id="rId9" w:anchor="/" w:history="1">
              <w:r w:rsidRPr="00C82DB2">
                <w:rPr>
                  <w:rStyle w:val="Hyperlink"/>
                  <w:rFonts w:ascii="Times New Roman" w:hAnsi="Times New Roman" w:cs="Times New Roman"/>
                </w:rPr>
                <w:t>https://osp.stat.gov.lt/statistiniu-rodikliu-analize?indicator=S6R004#/</w:t>
              </w:r>
            </w:hyperlink>
            <w:r w:rsidRPr="00C82DB2">
              <w:rPr>
                <w:rFonts w:ascii="Times New Roman" w:hAnsi="Times New Roman" w:cs="Times New Roman"/>
              </w:rPr>
              <w:t xml:space="preserve"> , ar tik teigiama, kad „</w:t>
            </w:r>
            <w:r w:rsidRPr="00C82DB2">
              <w:rPr>
                <w:rFonts w:ascii="Times New Roman" w:hAnsi="Times New Roman" w:cs="Times New Roman"/>
                <w:i/>
              </w:rPr>
              <w:t xml:space="preserve">Projektu turi būti prisidedama prie bent vieno Europos Sąjungos Baltijos jūros regiono strategijos, patvirtintos </w:t>
            </w:r>
            <w:r w:rsidRPr="00C82DB2">
              <w:rPr>
                <w:rFonts w:ascii="Times New Roman" w:hAnsi="Times New Roman" w:cs="Times New Roman"/>
                <w:i/>
                <w:color w:val="000000"/>
              </w:rPr>
              <w:t>Europos Komisijos 2012 m. kovo 23 d. komunikatu Nr. COM(20</w:t>
            </w:r>
            <w:r w:rsidRPr="00C82DB2">
              <w:rPr>
                <w:rFonts w:ascii="Times New Roman" w:hAnsi="Times New Roman"/>
                <w:i/>
                <w:color w:val="000000"/>
              </w:rPr>
              <w:t xml:space="preserve">12) 128 </w:t>
            </w:r>
            <w:r w:rsidRPr="00C82DB2">
              <w:rPr>
                <w:rFonts w:ascii="Times New Roman" w:hAnsi="Times New Roman"/>
                <w:i/>
              </w:rPr>
              <w:t>(toliau – ES BJRS)</w:t>
            </w:r>
            <w:r w:rsidRPr="00C82DB2">
              <w:rPr>
                <w:rFonts w:ascii="Times New Roman" w:hAnsi="Times New Roman"/>
                <w:i/>
                <w:color w:val="000000"/>
              </w:rPr>
              <w:t xml:space="preserve">, kuri skelbiama Europos Komisijos interneto svetainėje </w:t>
            </w:r>
            <w:hyperlink r:id="rId10" w:anchor="1" w:history="1">
              <w:r w:rsidRPr="00C82DB2">
                <w:rPr>
                  <w:rStyle w:val="Hyperlink"/>
                  <w:rFonts w:ascii="Times New Roman" w:hAnsi="Times New Roman"/>
                  <w:i/>
                  <w:color w:val="000000"/>
                </w:rPr>
                <w:t>http://ec.europa.eu/regional_policy/lt/policy/cooperation/macro-regional-strategies/baltic-sea/library/#1</w:t>
              </w:r>
            </w:hyperlink>
            <w:r w:rsidRPr="00C82DB2">
              <w:rPr>
                <w:rFonts w:ascii="Times New Roman" w:hAnsi="Times New Roman"/>
                <w:i/>
              </w:rPr>
              <w:t xml:space="preserve">, tikslo įgyvendinimo pagal ES BJRS veiksmų plane, patvirtintame Europos Komisijos 2017 m. kovo 20 d. sprendimu Nr. SWD(2017) 118 final, kuris skelbiamas </w:t>
            </w:r>
            <w:r w:rsidRPr="00C82DB2">
              <w:rPr>
                <w:rFonts w:ascii="Times New Roman" w:hAnsi="Times New Roman"/>
                <w:i/>
                <w:color w:val="000000"/>
              </w:rPr>
              <w:t xml:space="preserve">Europos Komisijos interneto svetainėje </w:t>
            </w:r>
            <w:hyperlink r:id="rId11" w:anchor="1" w:history="1">
              <w:r w:rsidRPr="00C82DB2">
                <w:rPr>
                  <w:rStyle w:val="Hyperlink"/>
                  <w:rFonts w:ascii="Times New Roman" w:hAnsi="Times New Roman"/>
                  <w:i/>
                  <w:color w:val="000000"/>
                </w:rPr>
                <w:t>http://ec.europa.eu/regional_policy/lt/policy/cooperation/macro-regional-strategies/baltic-sea/library/#1</w:t>
              </w:r>
            </w:hyperlink>
            <w:r w:rsidRPr="00C82DB2">
              <w:rPr>
                <w:rFonts w:ascii="Times New Roman" w:hAnsi="Times New Roman"/>
                <w:i/>
                <w:color w:val="000000"/>
              </w:rPr>
              <w:t>,</w:t>
            </w:r>
            <w:r w:rsidRPr="00C82DB2">
              <w:rPr>
                <w:rFonts w:ascii="Times New Roman" w:hAnsi="Times New Roman"/>
                <w:i/>
              </w:rPr>
              <w:t xml:space="preserve"> numatytą politinę sritį „</w:t>
            </w:r>
            <w:r w:rsidRPr="00C82DB2">
              <w:rPr>
                <w:rFonts w:ascii="Times New Roman" w:hAnsi="Times New Roman"/>
                <w:b/>
                <w:bCs/>
                <w:i/>
              </w:rPr>
              <w:t>Inovacijos</w:t>
            </w:r>
            <w:r w:rsidRPr="00C82DB2">
              <w:rPr>
                <w:rFonts w:ascii="Times New Roman" w:hAnsi="Times New Roman"/>
                <w:i/>
              </w:rPr>
              <w:t>“.</w:t>
            </w:r>
            <w:r w:rsidRPr="00C82DB2">
              <w:rPr>
                <w:rFonts w:ascii="Times New Roman" w:hAnsi="Times New Roman"/>
              </w:rPr>
              <w:t>“ (PFSA 22 punktas).</w:t>
            </w:r>
          </w:p>
          <w:p w14:paraId="1E96E150" w14:textId="77777777" w:rsidR="003147AC" w:rsidRPr="00C82DB2" w:rsidRDefault="003147AC" w:rsidP="00142987">
            <w:pPr>
              <w:tabs>
                <w:tab w:val="left" w:pos="0"/>
                <w:tab w:val="left" w:pos="389"/>
                <w:tab w:val="left" w:pos="867"/>
              </w:tabs>
              <w:jc w:val="both"/>
              <w:rPr>
                <w:rFonts w:ascii="Times New Roman" w:hAnsi="Times New Roman" w:cs="Times New Roman"/>
              </w:rPr>
            </w:pPr>
          </w:p>
        </w:tc>
        <w:tc>
          <w:tcPr>
            <w:tcW w:w="1559" w:type="dxa"/>
          </w:tcPr>
          <w:p w14:paraId="1D4E7170" w14:textId="77777777" w:rsidR="003147AC" w:rsidRPr="001E5157" w:rsidRDefault="003147AC" w:rsidP="00502BE1">
            <w:pP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4395" w:type="dxa"/>
          </w:tcPr>
          <w:p w14:paraId="65629214" w14:textId="77777777" w:rsidR="003147AC" w:rsidRDefault="003147AC" w:rsidP="00EC08E2">
            <w:pPr>
              <w:jc w:val="both"/>
              <w:rPr>
                <w:rFonts w:ascii="Times New Roman" w:hAnsi="Times New Roman" w:cs="Times New Roman"/>
                <w:sz w:val="24"/>
              </w:rPr>
            </w:pPr>
            <w:r>
              <w:rPr>
                <w:rFonts w:ascii="Times New Roman" w:hAnsi="Times New Roman"/>
                <w:sz w:val="24"/>
              </w:rPr>
              <w:t>V</w:t>
            </w:r>
            <w:r w:rsidRPr="00EA7FD1">
              <w:rPr>
                <w:rFonts w:ascii="Times New Roman" w:hAnsi="Times New Roman"/>
                <w:sz w:val="24"/>
              </w:rPr>
              <w:t>erslo klasterio narių ekspertų darbo užmokestis</w:t>
            </w:r>
            <w:r>
              <w:rPr>
                <w:rFonts w:ascii="Times New Roman" w:hAnsi="Times New Roman"/>
                <w:sz w:val="24"/>
              </w:rPr>
              <w:t xml:space="preserve"> apmokamas taikant </w:t>
            </w:r>
            <w:r w:rsidRPr="007F2D5C">
              <w:rPr>
                <w:rFonts w:ascii="Times New Roman" w:hAnsi="Times New Roman"/>
                <w:sz w:val="24"/>
              </w:rPr>
              <w:t>Projektų vykdančiojo personalo darbo užmokesčio fiksuot</w:t>
            </w:r>
            <w:r>
              <w:rPr>
                <w:rFonts w:ascii="Times New Roman" w:hAnsi="Times New Roman"/>
                <w:sz w:val="24"/>
              </w:rPr>
              <w:t>ąjį</w:t>
            </w:r>
            <w:r w:rsidRPr="007F2D5C">
              <w:rPr>
                <w:rFonts w:ascii="Times New Roman" w:hAnsi="Times New Roman"/>
                <w:sz w:val="24"/>
              </w:rPr>
              <w:t xml:space="preserve"> įkain</w:t>
            </w:r>
            <w:r>
              <w:rPr>
                <w:rFonts w:ascii="Times New Roman" w:hAnsi="Times New Roman"/>
                <w:sz w:val="24"/>
              </w:rPr>
              <w:t xml:space="preserve">į, </w:t>
            </w:r>
            <w:r w:rsidRPr="00255E1E">
              <w:rPr>
                <w:rFonts w:ascii="Times New Roman" w:hAnsi="Times New Roman"/>
                <w:sz w:val="24"/>
              </w:rPr>
              <w:t>kuris nustatomas vadovaujantis 2016 m. vasario 19 d. VšĮ Europos socialinio fondo agentūros atlikta „Privačių juridinių asmenų projektų</w:t>
            </w:r>
            <w:r w:rsidRPr="0016068F">
              <w:rPr>
                <w:rFonts w:ascii="Times New Roman" w:hAnsi="Times New Roman"/>
                <w:sz w:val="24"/>
              </w:rPr>
              <w:t xml:space="preserve"> vykdančiojo personalo bei dalyvių darbo užmokesčio fiksuotųjų įkainių nustatymo tyrimo ataskaita</w:t>
            </w:r>
            <w:r>
              <w:rPr>
                <w:rFonts w:ascii="Times New Roman" w:hAnsi="Times New Roman"/>
                <w:sz w:val="24"/>
              </w:rPr>
              <w:t>“,</w:t>
            </w:r>
            <w:r w:rsidRPr="0016068F">
              <w:rPr>
                <w:rFonts w:ascii="Times New Roman" w:hAnsi="Times New Roman"/>
                <w:sz w:val="24"/>
              </w:rPr>
              <w:t xml:space="preserve"> </w:t>
            </w:r>
            <w:r>
              <w:rPr>
                <w:rFonts w:ascii="Times New Roman" w:hAnsi="Times New Roman" w:cs="Times New Roman"/>
                <w:sz w:val="24"/>
              </w:rPr>
              <w:t>kuri</w:t>
            </w:r>
            <w:r w:rsidRPr="00EA7FD1">
              <w:rPr>
                <w:rFonts w:ascii="Times New Roman" w:hAnsi="Times New Roman" w:cs="Times New Roman"/>
                <w:sz w:val="24"/>
              </w:rPr>
              <w:t xml:space="preserve"> skelbiam</w:t>
            </w:r>
            <w:r>
              <w:rPr>
                <w:rFonts w:ascii="Times New Roman" w:hAnsi="Times New Roman" w:cs="Times New Roman"/>
                <w:sz w:val="24"/>
              </w:rPr>
              <w:t>a</w:t>
            </w:r>
            <w:r w:rsidRPr="00EA7FD1">
              <w:rPr>
                <w:rFonts w:ascii="Times New Roman" w:hAnsi="Times New Roman" w:cs="Times New Roman"/>
                <w:sz w:val="24"/>
              </w:rPr>
              <w:t xml:space="preserve"> ES struktūrinių fondų svetainėje</w:t>
            </w:r>
            <w:r>
              <w:rPr>
                <w:rFonts w:ascii="Times New Roman" w:hAnsi="Times New Roman" w:cs="Times New Roman"/>
                <w:sz w:val="24"/>
              </w:rPr>
              <w:t xml:space="preserve"> </w:t>
            </w:r>
            <w:hyperlink r:id="rId12" w:history="1">
              <w:r w:rsidRPr="00F927CB">
                <w:rPr>
                  <w:rStyle w:val="Hyperlink"/>
                  <w:rFonts w:ascii="Times New Roman" w:hAnsi="Times New Roman" w:cs="Times New Roman"/>
                  <w:sz w:val="24"/>
                </w:rPr>
                <w:t>http://www.esinvesticijos.lt/lt/dokumentai/privaciu-juridiniu-asmenu-projektu-dalyviu-darbo-uzmokescio-fiksuotuju-ikainiu-nustatymo-tyrimo-ataskaita</w:t>
              </w:r>
            </w:hyperlink>
            <w:r>
              <w:rPr>
                <w:rFonts w:ascii="Times New Roman" w:hAnsi="Times New Roman" w:cs="Times New Roman"/>
                <w:sz w:val="24"/>
              </w:rPr>
              <w:t>.</w:t>
            </w:r>
          </w:p>
          <w:p w14:paraId="118AF28B" w14:textId="77777777" w:rsidR="003147AC" w:rsidRPr="00255E1E" w:rsidRDefault="003147AC" w:rsidP="00EC08E2">
            <w:pPr>
              <w:jc w:val="both"/>
              <w:rPr>
                <w:rFonts w:ascii="Times New Roman" w:hAnsi="Times New Roman"/>
                <w:sz w:val="24"/>
              </w:rPr>
            </w:pPr>
            <w:r w:rsidRPr="00255E1E">
              <w:rPr>
                <w:rFonts w:ascii="Times New Roman" w:hAnsi="Times New Roman"/>
                <w:sz w:val="24"/>
              </w:rPr>
              <w:t>Privačių juridinių asmenų projektų vykdančiojo personalo bei dalyvių darbo užmokesčio fiksuotųjų įkainių nustatymo tyrimu (toliau – tyrimas) nustatyti iš Europos Sąjungos struktūrinių fondų lėšų bendrai finansuojamų projektų (toliau – projektas) veiklas vykdančių bei veiklose dalyvaujančių privačių juridi</w:t>
            </w:r>
            <w:r>
              <w:rPr>
                <w:rFonts w:ascii="Times New Roman" w:hAnsi="Times New Roman"/>
                <w:sz w:val="24"/>
              </w:rPr>
              <w:t xml:space="preserve">nių asmenų darbuotojų vidutiniai darbo užmokesčio dydžiai, taikytini kaip </w:t>
            </w:r>
            <w:r w:rsidRPr="00255E1E">
              <w:rPr>
                <w:rFonts w:ascii="Times New Roman" w:hAnsi="Times New Roman"/>
                <w:b/>
                <w:sz w:val="24"/>
              </w:rPr>
              <w:t>maksimalūs fiksuotųjų įkainių dydžiai</w:t>
            </w:r>
            <w:r>
              <w:rPr>
                <w:rFonts w:ascii="Times New Roman" w:hAnsi="Times New Roman"/>
                <w:sz w:val="24"/>
              </w:rPr>
              <w:t xml:space="preserve">, todėl neturime </w:t>
            </w:r>
            <w:r>
              <w:rPr>
                <w:rFonts w:ascii="Times New Roman" w:hAnsi="Times New Roman"/>
                <w:sz w:val="24"/>
              </w:rPr>
              <w:lastRenderedPageBreak/>
              <w:t>galimybės nustatyti didesnį ekspertų</w:t>
            </w:r>
            <w:r w:rsidRPr="007F2D5C">
              <w:rPr>
                <w:rFonts w:ascii="Times New Roman" w:hAnsi="Times New Roman"/>
                <w:sz w:val="24"/>
              </w:rPr>
              <w:t xml:space="preserve"> darbo užmokesčio fiksuot</w:t>
            </w:r>
            <w:r>
              <w:rPr>
                <w:rFonts w:ascii="Times New Roman" w:hAnsi="Times New Roman"/>
                <w:sz w:val="24"/>
              </w:rPr>
              <w:t>ąjį</w:t>
            </w:r>
            <w:r w:rsidRPr="007F2D5C">
              <w:rPr>
                <w:rFonts w:ascii="Times New Roman" w:hAnsi="Times New Roman"/>
                <w:sz w:val="24"/>
              </w:rPr>
              <w:t xml:space="preserve"> įkain</w:t>
            </w:r>
            <w:r>
              <w:rPr>
                <w:rFonts w:ascii="Times New Roman" w:hAnsi="Times New Roman"/>
                <w:sz w:val="24"/>
              </w:rPr>
              <w:t>į.</w:t>
            </w:r>
          </w:p>
          <w:p w14:paraId="1A8779D8" w14:textId="77777777" w:rsidR="003147AC" w:rsidRPr="0024410E" w:rsidRDefault="003147AC" w:rsidP="00EC08E2">
            <w:pPr>
              <w:jc w:val="both"/>
              <w:rPr>
                <w:rFonts w:ascii="Times New Roman" w:hAnsi="Times New Roman" w:cs="Times New Roman"/>
                <w:szCs w:val="20"/>
              </w:rPr>
            </w:pPr>
          </w:p>
        </w:tc>
      </w:tr>
      <w:tr w:rsidR="003147AC" w:rsidRPr="0010310B" w14:paraId="2A0ECADF" w14:textId="77777777" w:rsidTr="00406D1F">
        <w:trPr>
          <w:trHeight w:val="2730"/>
        </w:trPr>
        <w:tc>
          <w:tcPr>
            <w:tcW w:w="675" w:type="dxa"/>
          </w:tcPr>
          <w:p w14:paraId="49FA4CE6" w14:textId="77777777" w:rsidR="003147AC" w:rsidRPr="00534D35" w:rsidRDefault="003147AC" w:rsidP="00502BE1">
            <w:pPr>
              <w:pStyle w:val="ListParagraph"/>
              <w:numPr>
                <w:ilvl w:val="0"/>
                <w:numId w:val="3"/>
              </w:numPr>
              <w:ind w:left="284" w:hanging="284"/>
              <w:rPr>
                <w:rFonts w:ascii="Times New Roman" w:hAnsi="Times New Roman" w:cs="Times New Roman"/>
                <w:sz w:val="24"/>
                <w:szCs w:val="24"/>
              </w:rPr>
            </w:pPr>
          </w:p>
        </w:tc>
        <w:tc>
          <w:tcPr>
            <w:tcW w:w="1785" w:type="dxa"/>
            <w:vMerge/>
          </w:tcPr>
          <w:p w14:paraId="2264E2C2" w14:textId="77777777" w:rsidR="003147AC" w:rsidRPr="001F1E2A" w:rsidRDefault="003147AC" w:rsidP="00502BE1">
            <w:pPr>
              <w:rPr>
                <w:rFonts w:ascii="Times New Roman" w:hAnsi="Times New Roman" w:cs="Times New Roman"/>
                <w:sz w:val="24"/>
                <w:szCs w:val="24"/>
                <w:lang w:eastAsia="lt-LT"/>
              </w:rPr>
            </w:pPr>
          </w:p>
        </w:tc>
        <w:tc>
          <w:tcPr>
            <w:tcW w:w="1192" w:type="dxa"/>
          </w:tcPr>
          <w:p w14:paraId="135BDFBB" w14:textId="77777777" w:rsidR="003147AC" w:rsidRPr="001F1E2A" w:rsidRDefault="003147AC" w:rsidP="00502BE1">
            <w:pPr>
              <w:rPr>
                <w:rFonts w:ascii="Times New Roman" w:hAnsi="Times New Roman" w:cs="Times New Roman"/>
                <w:sz w:val="24"/>
                <w:szCs w:val="24"/>
                <w:lang w:eastAsia="lt-LT"/>
              </w:rPr>
            </w:pPr>
            <w:r>
              <w:rPr>
                <w:rFonts w:ascii="Times New Roman" w:hAnsi="Times New Roman" w:cs="Times New Roman"/>
                <w:sz w:val="24"/>
                <w:szCs w:val="24"/>
                <w:lang w:eastAsia="lt-LT"/>
              </w:rPr>
              <w:t>31</w:t>
            </w:r>
          </w:p>
        </w:tc>
        <w:tc>
          <w:tcPr>
            <w:tcW w:w="5670" w:type="dxa"/>
          </w:tcPr>
          <w:p w14:paraId="46A2C5B3" w14:textId="77777777" w:rsidR="003147AC" w:rsidRDefault="003147AC" w:rsidP="00502BE1">
            <w:pPr>
              <w:tabs>
                <w:tab w:val="left" w:pos="0"/>
                <w:tab w:val="left" w:pos="389"/>
                <w:tab w:val="left" w:pos="867"/>
              </w:tabs>
              <w:jc w:val="both"/>
              <w:rPr>
                <w:rFonts w:ascii="Times New Roman" w:hAnsi="Times New Roman" w:cs="Times New Roman"/>
                <w:bCs/>
                <w:sz w:val="24"/>
                <w:szCs w:val="24"/>
              </w:rPr>
            </w:pPr>
            <w:r w:rsidRPr="00142987">
              <w:rPr>
                <w:rFonts w:ascii="Times New Roman" w:hAnsi="Times New Roman" w:cs="Times New Roman"/>
                <w:sz w:val="24"/>
                <w:szCs w:val="24"/>
              </w:rPr>
              <w:t xml:space="preserve">Taip pat norime atkreipti Jūsų dėmesį, kad kuriant priemonę, nebuvo pasinaudota sistemine informacija apie klasterius, pateikiama klaster.lt puslapyje. Konkrečiai  - net ir MVĮ įmonių klasteriai patirs papildomą administracinę naštą – jiems reikės sudaryti atskirą JVS -, nes </w:t>
            </w:r>
            <w:r w:rsidRPr="00142987">
              <w:rPr>
                <w:rFonts w:ascii="Times New Roman" w:hAnsi="Times New Roman" w:cs="Times New Roman"/>
                <w:b/>
                <w:bCs/>
                <w:sz w:val="24"/>
                <w:szCs w:val="24"/>
              </w:rPr>
              <w:t>ne visi</w:t>
            </w:r>
            <w:r w:rsidRPr="00142987">
              <w:rPr>
                <w:rFonts w:ascii="Times New Roman" w:hAnsi="Times New Roman" w:cs="Times New Roman"/>
                <w:sz w:val="24"/>
                <w:szCs w:val="24"/>
              </w:rPr>
              <w:t xml:space="preserve"> dabartiniai klasterių koordinatoriai pagal juridinę formą yra tinkami būti pareiškėjais aptariamoje priemonėje.</w:t>
            </w:r>
          </w:p>
        </w:tc>
        <w:tc>
          <w:tcPr>
            <w:tcW w:w="1559" w:type="dxa"/>
          </w:tcPr>
          <w:p w14:paraId="6D8749C7" w14:textId="77777777" w:rsidR="003147AC" w:rsidRPr="001E5157" w:rsidRDefault="0088458B" w:rsidP="00502BE1">
            <w:pPr>
              <w:rPr>
                <w:rFonts w:ascii="Times New Roman" w:hAnsi="Times New Roman" w:cs="Times New Roman"/>
                <w:sz w:val="24"/>
                <w:szCs w:val="24"/>
              </w:rPr>
            </w:pPr>
            <w:r>
              <w:rPr>
                <w:rFonts w:ascii="Times New Roman" w:hAnsi="Times New Roman" w:cs="Times New Roman"/>
                <w:sz w:val="24"/>
                <w:szCs w:val="24"/>
              </w:rPr>
              <w:t>Paaiškinta</w:t>
            </w:r>
          </w:p>
        </w:tc>
        <w:tc>
          <w:tcPr>
            <w:tcW w:w="4395" w:type="dxa"/>
          </w:tcPr>
          <w:p w14:paraId="7A264AC1" w14:textId="77777777" w:rsidR="003147AC" w:rsidRPr="0024410E" w:rsidRDefault="003147AC" w:rsidP="00B653D5">
            <w:pPr>
              <w:jc w:val="both"/>
              <w:rPr>
                <w:rFonts w:ascii="Times New Roman" w:hAnsi="Times New Roman" w:cs="Times New Roman"/>
                <w:szCs w:val="20"/>
              </w:rPr>
            </w:pPr>
            <w:r>
              <w:rPr>
                <w:rFonts w:ascii="Times New Roman" w:hAnsi="Times New Roman" w:cs="Times New Roman"/>
                <w:sz w:val="24"/>
              </w:rPr>
              <w:t>Atsižvelgiant į tai, kad projektai bus įgyvendinami kartu su partneriais, projektų finansavimo sąlygų aprašo projekto 31 punktas numato, kad „</w:t>
            </w:r>
            <w:r w:rsidRPr="00D01311">
              <w:rPr>
                <w:rFonts w:ascii="Times New Roman" w:hAnsi="Times New Roman" w:cs="Times New Roman"/>
                <w:i/>
                <w:sz w:val="24"/>
              </w:rPr>
              <w:t xml:space="preserve">Projekto parengtumui taikomas reikalavimas – iki paraiškos pateikimo verslo klasterio nariai turi būti sudarę jungtinės veiklos (partnerystės) sutartį. </w:t>
            </w:r>
            <w:r w:rsidRPr="00D01311">
              <w:rPr>
                <w:rFonts w:ascii="Times New Roman" w:hAnsi="Times New Roman"/>
                <w:i/>
                <w:sz w:val="24"/>
              </w:rPr>
              <w:t>Jungtinės veiklos (partnerystės) sutartį pasirašo pareiškėjas ir visi projekto partneriai.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r>
              <w:rPr>
                <w:rFonts w:ascii="Times New Roman" w:hAnsi="Times New Roman"/>
                <w:i/>
                <w:sz w:val="24"/>
              </w:rPr>
              <w:t>...&gt;“.</w:t>
            </w:r>
          </w:p>
        </w:tc>
      </w:tr>
      <w:tr w:rsidR="00E07A69" w:rsidRPr="0010310B" w14:paraId="39FE187C" w14:textId="77777777" w:rsidTr="00406D1F">
        <w:trPr>
          <w:trHeight w:val="2370"/>
        </w:trPr>
        <w:tc>
          <w:tcPr>
            <w:tcW w:w="675" w:type="dxa"/>
          </w:tcPr>
          <w:p w14:paraId="14899120" w14:textId="77777777" w:rsidR="00E07A69" w:rsidRPr="00534D35" w:rsidRDefault="00E07A69" w:rsidP="00502BE1">
            <w:pPr>
              <w:pStyle w:val="ListParagraph"/>
              <w:numPr>
                <w:ilvl w:val="0"/>
                <w:numId w:val="3"/>
              </w:numPr>
              <w:ind w:left="284" w:hanging="284"/>
              <w:rPr>
                <w:rFonts w:ascii="Times New Roman" w:hAnsi="Times New Roman" w:cs="Times New Roman"/>
                <w:sz w:val="24"/>
                <w:szCs w:val="24"/>
              </w:rPr>
            </w:pPr>
          </w:p>
        </w:tc>
        <w:tc>
          <w:tcPr>
            <w:tcW w:w="1785" w:type="dxa"/>
          </w:tcPr>
          <w:p w14:paraId="7C91305E" w14:textId="77777777" w:rsidR="00E07A69" w:rsidRPr="001F1E2A" w:rsidRDefault="003C418D" w:rsidP="00502BE1">
            <w:pPr>
              <w:rPr>
                <w:rFonts w:ascii="Times New Roman" w:hAnsi="Times New Roman" w:cs="Times New Roman"/>
                <w:sz w:val="24"/>
                <w:szCs w:val="24"/>
                <w:lang w:eastAsia="lt-LT"/>
              </w:rPr>
            </w:pPr>
            <w:r>
              <w:rPr>
                <w:rFonts w:ascii="Times New Roman" w:hAnsi="Times New Roman"/>
                <w:b/>
                <w:bCs/>
                <w:color w:val="003300"/>
                <w:sz w:val="24"/>
                <w:szCs w:val="24"/>
              </w:rPr>
              <w:t>EcoIndustria LT</w:t>
            </w:r>
            <w:r>
              <w:rPr>
                <w:rFonts w:ascii="Times New Roman" w:hAnsi="Times New Roman"/>
                <w:b/>
                <w:bCs/>
                <w:color w:val="003300"/>
              </w:rPr>
              <w:t xml:space="preserve"> klasterio koordinatorius</w:t>
            </w:r>
          </w:p>
        </w:tc>
        <w:tc>
          <w:tcPr>
            <w:tcW w:w="1192" w:type="dxa"/>
          </w:tcPr>
          <w:p w14:paraId="68F98BBE" w14:textId="77777777" w:rsidR="00E07A69" w:rsidRPr="001F1E2A" w:rsidRDefault="003C418D" w:rsidP="00502BE1">
            <w:pPr>
              <w:rPr>
                <w:rFonts w:ascii="Times New Roman" w:hAnsi="Times New Roman" w:cs="Times New Roman"/>
                <w:sz w:val="24"/>
                <w:szCs w:val="24"/>
                <w:lang w:eastAsia="lt-LT"/>
              </w:rPr>
            </w:pPr>
            <w:r>
              <w:rPr>
                <w:rFonts w:ascii="Times New Roman" w:hAnsi="Times New Roman" w:cs="Times New Roman"/>
                <w:sz w:val="24"/>
                <w:szCs w:val="24"/>
                <w:lang w:eastAsia="lt-LT"/>
              </w:rPr>
              <w:t>22</w:t>
            </w:r>
          </w:p>
        </w:tc>
        <w:tc>
          <w:tcPr>
            <w:tcW w:w="5670" w:type="dxa"/>
          </w:tcPr>
          <w:p w14:paraId="4872F321" w14:textId="77777777" w:rsidR="003C418D" w:rsidRPr="00C82DB2" w:rsidRDefault="003C418D" w:rsidP="003C418D">
            <w:pPr>
              <w:jc w:val="both"/>
              <w:rPr>
                <w:rFonts w:ascii="Times New Roman" w:hAnsi="Times New Roman"/>
                <w:bCs/>
                <w:color w:val="000000" w:themeColor="text1"/>
              </w:rPr>
            </w:pPr>
            <w:r w:rsidRPr="00C82DB2">
              <w:rPr>
                <w:rFonts w:ascii="Times New Roman" w:hAnsi="Times New Roman"/>
                <w:bCs/>
                <w:color w:val="000000" w:themeColor="text1"/>
              </w:rPr>
              <w:t>Dabar numatomas apribojimas, kad MVĮ, dalyvaujančios kaip partneriai viename verslo klasteryje, negali būti pareiškėjais arba partneriais kitame į finansavimą pretenduojančiame verslo klasteryje.</w:t>
            </w:r>
          </w:p>
          <w:p w14:paraId="7CE62388" w14:textId="77777777" w:rsidR="003C418D" w:rsidRPr="00C82DB2" w:rsidRDefault="003C418D" w:rsidP="003C418D">
            <w:pPr>
              <w:jc w:val="both"/>
              <w:rPr>
                <w:rFonts w:ascii="Times New Roman" w:hAnsi="Times New Roman"/>
                <w:bCs/>
                <w:color w:val="000000" w:themeColor="text1"/>
              </w:rPr>
            </w:pPr>
            <w:r w:rsidRPr="00C82DB2">
              <w:rPr>
                <w:rFonts w:ascii="Times New Roman" w:hAnsi="Times New Roman"/>
                <w:bCs/>
                <w:color w:val="000000" w:themeColor="text1"/>
              </w:rPr>
              <w:t>Manome, kad tai nepagrįstas ir netinkamas apribojimas, nes jis apribotų klasterizacijos populiarumą ir įmonių bendradarbiavimą, siekiant bendrų tikslų.  Mūsų klasterio „ EcoIndustria LT“ vystymasis susijęs su mūsų narių konkurencingumo didinimu ne tik regioniniu, bet ir tarptautiniu mąstu, ekologiškų  perdirbtos gumos dirbinių gamybos pajėgumų ir inovatyvių produktų kūrime, kur reikalingos metalo ir mašinų pramonės įmonių dalyvavimas. Jos kituose klasteriuose dalyvauja taip pat, bet susiję su mašinų ir metalo sektoriaus konkurencingumo didinimu.</w:t>
            </w:r>
          </w:p>
          <w:p w14:paraId="23EE23DA" w14:textId="77777777" w:rsidR="003C418D" w:rsidRPr="00C82DB2" w:rsidRDefault="003C418D" w:rsidP="003C418D">
            <w:pPr>
              <w:jc w:val="both"/>
              <w:rPr>
                <w:rFonts w:ascii="Times New Roman" w:hAnsi="Times New Roman"/>
                <w:bCs/>
                <w:color w:val="000000" w:themeColor="text1"/>
              </w:rPr>
            </w:pPr>
            <w:r w:rsidRPr="00C82DB2">
              <w:rPr>
                <w:rFonts w:ascii="Times New Roman" w:hAnsi="Times New Roman"/>
                <w:bCs/>
                <w:color w:val="000000" w:themeColor="text1"/>
              </w:rPr>
              <w:t xml:space="preserve">Prašome šį apribojimą panaikinti arba bent jau praplėsti iki ne mažiau negu 3 klasterių, kurių sudėtyje įmonė kaip pareiškėjas ar partneris galėtų pretenduoti į finansavimą. </w:t>
            </w:r>
          </w:p>
          <w:p w14:paraId="01E21706" w14:textId="77777777" w:rsidR="003C418D" w:rsidRPr="00C82DB2" w:rsidRDefault="003C418D" w:rsidP="003C418D">
            <w:pPr>
              <w:jc w:val="both"/>
              <w:rPr>
                <w:rFonts w:ascii="Times New Roman" w:hAnsi="Times New Roman"/>
                <w:bCs/>
                <w:color w:val="000000" w:themeColor="text1"/>
              </w:rPr>
            </w:pPr>
            <w:r w:rsidRPr="00C82DB2">
              <w:rPr>
                <w:rFonts w:ascii="Times New Roman" w:hAnsi="Times New Roman"/>
                <w:bCs/>
                <w:color w:val="000000" w:themeColor="text1"/>
              </w:rPr>
              <w:lastRenderedPageBreak/>
              <w:t xml:space="preserve">Daugelis įmonių iš tikrųjų savo veiklos sferose turi sąlyčio taškų ir kartu gali kurti bendrus projektus. Konkrečiai mūsų klasterio nariai yra gumos perdirbimo įmonės, gaminių iš perdirbtos gumos gamintojai, įrengimų gumos perdirbimui arba gaminiams iš perdirbtos gumos gamintojai, mokymo ir mokslinių tyrimų įstaigos, specialių pervežimų įmonės. Jos visos kartu tikrai formuoją bendrą veiklos grandinę, tačiau būtų neteisinga, jeigu mokymo įstaigos (universitetas, kolegija...) ar įrengimų gamintojai, kurie yra klasteryje, negalėtų siekti paramos būdami ir kituose klasteriuose, kuriai nariais yra. Juk skirtinguose klasteriuose yra skirtingos vertės grandinės ir labai keistai atrodo siūlomas apropojimas, kuris inovatyvioms ir iniciatyvioms įmonėms neleidžią siekti paramos vykdant skirtingas veiklas skirtingų klasterių sudėtyje. </w:t>
            </w:r>
          </w:p>
          <w:p w14:paraId="5999F6D4" w14:textId="77777777" w:rsidR="003C418D" w:rsidRPr="00784C76" w:rsidRDefault="003C418D" w:rsidP="003C418D">
            <w:pPr>
              <w:jc w:val="both"/>
              <w:rPr>
                <w:rFonts w:ascii="Calibri" w:hAnsi="Calibri"/>
                <w:bCs/>
                <w:i/>
                <w:iCs/>
                <w:color w:val="000000" w:themeColor="text1"/>
              </w:rPr>
            </w:pPr>
            <w:r w:rsidRPr="00784C76">
              <w:rPr>
                <w:rFonts w:ascii="Times New Roman" w:hAnsi="Times New Roman"/>
                <w:bCs/>
                <w:color w:val="000000" w:themeColor="text1"/>
              </w:rPr>
              <w:t>Tikimės, kad į mūsų kreipimąsi bus atsižvelgta a</w:t>
            </w:r>
            <w:r w:rsidR="00784C76" w:rsidRPr="00784C76">
              <w:rPr>
                <w:rFonts w:ascii="Times New Roman" w:hAnsi="Times New Roman"/>
                <w:bCs/>
                <w:color w:val="000000" w:themeColor="text1"/>
              </w:rPr>
              <w:t>pribo</w:t>
            </w:r>
            <w:r w:rsidRPr="00784C76">
              <w:rPr>
                <w:rFonts w:ascii="Times New Roman" w:hAnsi="Times New Roman"/>
                <w:bCs/>
                <w:color w:val="000000" w:themeColor="text1"/>
              </w:rPr>
              <w:t xml:space="preserve">jimas siekti finansavimo tik vieno klasterio sudėtyje bus panaikintas arba bent išplėstas iki 3-jų klasterių. </w:t>
            </w:r>
          </w:p>
          <w:p w14:paraId="029EFEF6" w14:textId="77777777" w:rsidR="00E07A69" w:rsidRPr="003C418D" w:rsidRDefault="00E07A69" w:rsidP="00DC2218">
            <w:pPr>
              <w:tabs>
                <w:tab w:val="left" w:pos="0"/>
                <w:tab w:val="left" w:pos="389"/>
                <w:tab w:val="left" w:pos="867"/>
              </w:tabs>
              <w:jc w:val="both"/>
              <w:rPr>
                <w:rFonts w:ascii="Times New Roman" w:hAnsi="Times New Roman" w:cs="Times New Roman"/>
                <w:bCs/>
                <w:sz w:val="24"/>
                <w:szCs w:val="24"/>
              </w:rPr>
            </w:pPr>
          </w:p>
        </w:tc>
        <w:tc>
          <w:tcPr>
            <w:tcW w:w="1559" w:type="dxa"/>
          </w:tcPr>
          <w:p w14:paraId="28A7C29D" w14:textId="77777777" w:rsidR="00E07A69" w:rsidRPr="001E5157" w:rsidRDefault="005E6250" w:rsidP="00502BE1">
            <w:pP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4395" w:type="dxa"/>
          </w:tcPr>
          <w:p w14:paraId="46E1D110" w14:textId="77777777" w:rsidR="00482B75" w:rsidRDefault="00907033" w:rsidP="00C66DAC">
            <w:pPr>
              <w:jc w:val="both"/>
              <w:rPr>
                <w:rFonts w:ascii="Times New Roman" w:hAnsi="Times New Roman"/>
                <w:sz w:val="24"/>
              </w:rPr>
            </w:pPr>
            <w:r>
              <w:rPr>
                <w:rFonts w:ascii="Times New Roman" w:hAnsi="Times New Roman"/>
                <w:bCs/>
                <w:color w:val="000000" w:themeColor="text1"/>
                <w:sz w:val="24"/>
                <w:szCs w:val="24"/>
              </w:rPr>
              <w:t>Š</w:t>
            </w:r>
            <w:r w:rsidR="00C66DAC">
              <w:rPr>
                <w:rFonts w:ascii="Times New Roman" w:hAnsi="Times New Roman"/>
                <w:bCs/>
                <w:color w:val="000000" w:themeColor="text1"/>
                <w:sz w:val="24"/>
                <w:szCs w:val="24"/>
              </w:rPr>
              <w:t>i n</w:t>
            </w:r>
            <w:r w:rsidR="00C66DAC" w:rsidRPr="005E6250">
              <w:rPr>
                <w:rFonts w:ascii="Times New Roman" w:hAnsi="Times New Roman"/>
                <w:bCs/>
                <w:color w:val="000000" w:themeColor="text1"/>
                <w:sz w:val="24"/>
                <w:szCs w:val="24"/>
              </w:rPr>
              <w:t>uostata įrašyta</w:t>
            </w:r>
            <w:r w:rsidR="00C66DAC">
              <w:rPr>
                <w:rFonts w:ascii="Times New Roman" w:hAnsi="Times New Roman"/>
                <w:bCs/>
                <w:color w:val="000000" w:themeColor="text1"/>
                <w:sz w:val="24"/>
                <w:szCs w:val="24"/>
              </w:rPr>
              <w:t xml:space="preserve">, siekiant </w:t>
            </w:r>
            <w:r w:rsidR="00C66DAC" w:rsidRPr="005E6250">
              <w:rPr>
                <w:rFonts w:ascii="Times New Roman" w:hAnsi="Times New Roman"/>
                <w:bCs/>
                <w:color w:val="000000" w:themeColor="text1"/>
                <w:sz w:val="24"/>
                <w:szCs w:val="24"/>
              </w:rPr>
              <w:t xml:space="preserve">išvengti dvigubo </w:t>
            </w:r>
            <w:r w:rsidR="00C66DAC">
              <w:rPr>
                <w:rFonts w:ascii="Times New Roman" w:hAnsi="Times New Roman"/>
                <w:bCs/>
                <w:color w:val="000000" w:themeColor="text1"/>
                <w:sz w:val="24"/>
                <w:szCs w:val="24"/>
              </w:rPr>
              <w:t xml:space="preserve">tinkamų išlaidų </w:t>
            </w:r>
            <w:r w:rsidR="00FB3EC3">
              <w:rPr>
                <w:rFonts w:ascii="Times New Roman" w:hAnsi="Times New Roman"/>
                <w:bCs/>
                <w:color w:val="000000" w:themeColor="text1"/>
                <w:sz w:val="24"/>
                <w:szCs w:val="24"/>
              </w:rPr>
              <w:t>finansavimo</w:t>
            </w:r>
            <w:r w:rsidR="00E057C0">
              <w:rPr>
                <w:rFonts w:ascii="Times New Roman" w:hAnsi="Times New Roman"/>
                <w:bCs/>
                <w:color w:val="000000" w:themeColor="text1"/>
                <w:sz w:val="24"/>
                <w:szCs w:val="24"/>
              </w:rPr>
              <w:t xml:space="preserve">, t. y. tikimybės, kad tos pačios tinkamos išlaidos bus </w:t>
            </w:r>
            <w:r w:rsidR="00E057C0" w:rsidRPr="00EA7FD1">
              <w:rPr>
                <w:rFonts w:ascii="Times New Roman" w:hAnsi="Times New Roman"/>
                <w:sz w:val="24"/>
              </w:rPr>
              <w:t>apmokėtos daugiau nei vieną kartą</w:t>
            </w:r>
            <w:r w:rsidR="00FB3EC3">
              <w:rPr>
                <w:rFonts w:ascii="Times New Roman" w:hAnsi="Times New Roman"/>
                <w:bCs/>
                <w:color w:val="000000" w:themeColor="text1"/>
                <w:sz w:val="24"/>
                <w:szCs w:val="24"/>
              </w:rPr>
              <w:t xml:space="preserve">. </w:t>
            </w:r>
            <w:r w:rsidR="003A20D2">
              <w:rPr>
                <w:rFonts w:ascii="Times New Roman" w:hAnsi="Times New Roman"/>
                <w:bCs/>
                <w:color w:val="000000" w:themeColor="text1"/>
                <w:sz w:val="24"/>
                <w:szCs w:val="24"/>
              </w:rPr>
              <w:t xml:space="preserve">Ypatingai didelė rizika įžvelgiama finansuojant </w:t>
            </w:r>
            <w:r w:rsidR="003A20D2" w:rsidRPr="00EA7FD1">
              <w:rPr>
                <w:rFonts w:ascii="Times New Roman" w:hAnsi="Times New Roman"/>
                <w:sz w:val="24"/>
              </w:rPr>
              <w:t>verslo klasterio</w:t>
            </w:r>
            <w:r w:rsidR="003A20D2">
              <w:rPr>
                <w:rFonts w:ascii="Times New Roman" w:hAnsi="Times New Roman"/>
                <w:sz w:val="24"/>
              </w:rPr>
              <w:t xml:space="preserve"> narių ekspertų</w:t>
            </w:r>
            <w:r w:rsidR="00482B75">
              <w:rPr>
                <w:rFonts w:ascii="Times New Roman" w:hAnsi="Times New Roman"/>
                <w:sz w:val="24"/>
              </w:rPr>
              <w:t>, kurių darbo pobūdis yra panašus nepriklausomai nuo įmonės veiklos srities,</w:t>
            </w:r>
            <w:r w:rsidR="003A20D2">
              <w:rPr>
                <w:rFonts w:ascii="Times New Roman" w:hAnsi="Times New Roman"/>
                <w:sz w:val="24"/>
              </w:rPr>
              <w:t xml:space="preserve"> darbo užmokesčio išlaidas</w:t>
            </w:r>
            <w:r w:rsidR="00482B75">
              <w:rPr>
                <w:rFonts w:ascii="Times New Roman" w:hAnsi="Times New Roman"/>
                <w:sz w:val="24"/>
              </w:rPr>
              <w:t>.</w:t>
            </w:r>
          </w:p>
          <w:p w14:paraId="601E1CFD" w14:textId="77777777" w:rsidR="00C66DAC" w:rsidRPr="005E6250" w:rsidRDefault="003A20D2" w:rsidP="00C66DAC">
            <w:pPr>
              <w:jc w:val="both"/>
              <w:rPr>
                <w:rFonts w:ascii="Times New Roman" w:hAnsi="Times New Roman"/>
                <w:bCs/>
                <w:color w:val="000000" w:themeColor="text1"/>
                <w:sz w:val="24"/>
                <w:szCs w:val="24"/>
              </w:rPr>
            </w:pPr>
            <w:r w:rsidRPr="00EA7FD1">
              <w:rPr>
                <w:rFonts w:ascii="Times New Roman" w:hAnsi="Times New Roman"/>
                <w:sz w:val="24"/>
              </w:rPr>
              <w:t xml:space="preserve"> </w:t>
            </w:r>
            <w:r w:rsidR="00FB3EC3">
              <w:rPr>
                <w:rFonts w:ascii="Times New Roman" w:hAnsi="Times New Roman"/>
                <w:bCs/>
                <w:color w:val="000000" w:themeColor="text1"/>
                <w:sz w:val="24"/>
                <w:szCs w:val="24"/>
              </w:rPr>
              <w:t>Be to, projekto narių, dalyvaujančių keliuose projektuose, išlaidų tinkamumo tikrinimas sąlygotų labai didelę administracinę naštą įgyvendinančiajai institucijai.</w:t>
            </w:r>
          </w:p>
          <w:p w14:paraId="7E4B0F5E" w14:textId="77777777" w:rsidR="005E6250" w:rsidRPr="005E6250" w:rsidRDefault="00482B75" w:rsidP="00907033">
            <w:pPr>
              <w:jc w:val="both"/>
              <w:rPr>
                <w:rFonts w:ascii="Times New Roman" w:hAnsi="Times New Roman"/>
                <w:bCs/>
                <w:color w:val="000000" w:themeColor="text1"/>
                <w:sz w:val="24"/>
                <w:szCs w:val="24"/>
              </w:rPr>
            </w:pPr>
            <w:r>
              <w:rPr>
                <w:rFonts w:ascii="Times New Roman" w:hAnsi="Times New Roman"/>
                <w:bCs/>
                <w:color w:val="000000" w:themeColor="text1"/>
                <w:sz w:val="24"/>
                <w:szCs w:val="24"/>
              </w:rPr>
              <w:t>Pažymėtina, kad</w:t>
            </w:r>
            <w:r w:rsidR="005E6250" w:rsidRPr="005E6250">
              <w:rPr>
                <w:rFonts w:ascii="Times New Roman" w:hAnsi="Times New Roman"/>
                <w:bCs/>
                <w:color w:val="000000" w:themeColor="text1"/>
                <w:sz w:val="24"/>
                <w:szCs w:val="24"/>
              </w:rPr>
              <w:t xml:space="preserve"> mokymo įstaigos </w:t>
            </w:r>
            <w:r w:rsidR="00907033">
              <w:rPr>
                <w:rFonts w:ascii="Times New Roman" w:hAnsi="Times New Roman"/>
                <w:bCs/>
                <w:color w:val="000000" w:themeColor="text1"/>
                <w:sz w:val="24"/>
                <w:szCs w:val="24"/>
              </w:rPr>
              <w:t xml:space="preserve">neturi </w:t>
            </w:r>
            <w:r w:rsidR="00907033">
              <w:rPr>
                <w:rFonts w:ascii="Times New Roman" w:hAnsi="Times New Roman"/>
                <w:bCs/>
                <w:color w:val="000000" w:themeColor="text1"/>
                <w:sz w:val="24"/>
                <w:szCs w:val="24"/>
              </w:rPr>
              <w:lastRenderedPageBreak/>
              <w:t xml:space="preserve">MVĮ statuso </w:t>
            </w:r>
            <w:r w:rsidR="005E6250" w:rsidRPr="005E6250">
              <w:rPr>
                <w:rFonts w:ascii="Times New Roman" w:hAnsi="Times New Roman"/>
                <w:bCs/>
                <w:color w:val="000000" w:themeColor="text1"/>
                <w:sz w:val="24"/>
                <w:szCs w:val="24"/>
              </w:rPr>
              <w:t xml:space="preserve">ir </w:t>
            </w:r>
            <w:r w:rsidR="00907033">
              <w:rPr>
                <w:rFonts w:ascii="Times New Roman" w:hAnsi="Times New Roman"/>
                <w:bCs/>
                <w:color w:val="000000" w:themeColor="text1"/>
                <w:sz w:val="24"/>
                <w:szCs w:val="24"/>
              </w:rPr>
              <w:t>negali būti projekto partneriais pagal priemonę „Verslo klasteris LT“</w:t>
            </w:r>
            <w:r w:rsidR="005E6250" w:rsidRPr="005E6250">
              <w:rPr>
                <w:rFonts w:ascii="Times New Roman" w:hAnsi="Times New Roman"/>
                <w:bCs/>
                <w:color w:val="000000" w:themeColor="text1"/>
                <w:sz w:val="24"/>
                <w:szCs w:val="24"/>
              </w:rPr>
              <w:t>.</w:t>
            </w:r>
          </w:p>
          <w:p w14:paraId="209973D9" w14:textId="77777777" w:rsidR="00E07A69" w:rsidRPr="0024410E" w:rsidRDefault="00E07A69" w:rsidP="00907033">
            <w:pPr>
              <w:rPr>
                <w:rFonts w:ascii="Times New Roman" w:hAnsi="Times New Roman" w:cs="Times New Roman"/>
                <w:szCs w:val="20"/>
              </w:rPr>
            </w:pPr>
          </w:p>
        </w:tc>
      </w:tr>
      <w:tr w:rsidR="003F28E1" w:rsidRPr="0010310B" w14:paraId="12398C7A" w14:textId="77777777" w:rsidTr="00784C76">
        <w:trPr>
          <w:trHeight w:val="983"/>
        </w:trPr>
        <w:tc>
          <w:tcPr>
            <w:tcW w:w="675" w:type="dxa"/>
          </w:tcPr>
          <w:p w14:paraId="63FE1FEA" w14:textId="77777777" w:rsidR="003F28E1" w:rsidRPr="00534D35" w:rsidRDefault="003F28E1" w:rsidP="00502BE1">
            <w:pPr>
              <w:pStyle w:val="ListParagraph"/>
              <w:numPr>
                <w:ilvl w:val="0"/>
                <w:numId w:val="3"/>
              </w:numPr>
              <w:ind w:left="284" w:hanging="284"/>
              <w:rPr>
                <w:rFonts w:ascii="Times New Roman" w:hAnsi="Times New Roman" w:cs="Times New Roman"/>
                <w:sz w:val="24"/>
                <w:szCs w:val="24"/>
              </w:rPr>
            </w:pPr>
          </w:p>
        </w:tc>
        <w:tc>
          <w:tcPr>
            <w:tcW w:w="1785" w:type="dxa"/>
            <w:vMerge w:val="restart"/>
          </w:tcPr>
          <w:p w14:paraId="271B502A" w14:textId="77777777" w:rsidR="003F28E1" w:rsidRPr="00C82DB2" w:rsidRDefault="003F28E1" w:rsidP="00502BE1">
            <w:pPr>
              <w:rPr>
                <w:rFonts w:ascii="Times New Roman" w:hAnsi="Times New Roman" w:cs="Times New Roman"/>
                <w:b/>
                <w:sz w:val="24"/>
                <w:szCs w:val="24"/>
                <w:lang w:eastAsia="lt-LT"/>
              </w:rPr>
            </w:pPr>
            <w:r w:rsidRPr="00C82DB2">
              <w:rPr>
                <w:rFonts w:ascii="Times New Roman" w:hAnsi="Times New Roman" w:cs="Times New Roman"/>
                <w:b/>
                <w:sz w:val="24"/>
                <w:szCs w:val="24"/>
              </w:rPr>
              <w:t>Lietuvos klasterių asociacija</w:t>
            </w:r>
          </w:p>
        </w:tc>
        <w:tc>
          <w:tcPr>
            <w:tcW w:w="1192" w:type="dxa"/>
          </w:tcPr>
          <w:p w14:paraId="5DDF3445" w14:textId="77777777" w:rsidR="003F28E1" w:rsidRPr="001F1E2A" w:rsidRDefault="003F28E1" w:rsidP="00502BE1">
            <w:pPr>
              <w:rPr>
                <w:rFonts w:ascii="Times New Roman" w:hAnsi="Times New Roman" w:cs="Times New Roman"/>
                <w:sz w:val="24"/>
                <w:szCs w:val="24"/>
                <w:lang w:eastAsia="lt-LT"/>
              </w:rPr>
            </w:pPr>
            <w:r>
              <w:rPr>
                <w:rFonts w:ascii="Times New Roman" w:hAnsi="Times New Roman" w:cs="Times New Roman"/>
                <w:sz w:val="24"/>
                <w:szCs w:val="24"/>
                <w:lang w:eastAsia="lt-LT"/>
              </w:rPr>
              <w:t>21.1</w:t>
            </w:r>
          </w:p>
        </w:tc>
        <w:tc>
          <w:tcPr>
            <w:tcW w:w="5670" w:type="dxa"/>
          </w:tcPr>
          <w:p w14:paraId="56E5332D" w14:textId="77777777" w:rsidR="003F28E1" w:rsidRDefault="003F28E1" w:rsidP="00C82DB2">
            <w:pPr>
              <w:jc w:val="both"/>
              <w:rPr>
                <w:rFonts w:ascii="Times New Roman" w:eastAsia="Times New Roman" w:hAnsi="Times New Roman" w:cs="Times New Roman"/>
                <w:color w:val="000000" w:themeColor="text1"/>
                <w:shd w:val="clear" w:color="auto" w:fill="FFFFFF"/>
                <w:lang w:eastAsia="en-GB"/>
              </w:rPr>
            </w:pPr>
            <w:r>
              <w:rPr>
                <w:rFonts w:ascii="Times New Roman" w:eastAsia="Times New Roman" w:hAnsi="Times New Roman" w:cs="Times New Roman"/>
                <w:color w:val="000000" w:themeColor="text1"/>
                <w:shd w:val="clear" w:color="auto" w:fill="FFFFFF"/>
                <w:lang w:eastAsia="en-GB"/>
              </w:rPr>
              <w:t>21.1</w:t>
            </w:r>
            <w:r w:rsidRPr="006629F0">
              <w:rPr>
                <w:rFonts w:ascii="Times New Roman" w:eastAsia="Times New Roman" w:hAnsi="Times New Roman" w:cs="Times New Roman"/>
                <w:color w:val="000000" w:themeColor="text1"/>
                <w:shd w:val="clear" w:color="auto" w:fill="FFFFFF"/>
                <w:lang w:eastAsia="en-GB"/>
              </w:rPr>
              <w:t xml:space="preserve"> punkte </w:t>
            </w:r>
            <w:r>
              <w:rPr>
                <w:rFonts w:ascii="Times New Roman" w:eastAsia="Times New Roman" w:hAnsi="Times New Roman" w:cs="Times New Roman"/>
                <w:color w:val="000000" w:themeColor="text1"/>
                <w:shd w:val="clear" w:color="auto" w:fill="FFFFFF"/>
                <w:lang w:eastAsia="en-GB"/>
              </w:rPr>
              <w:t>akcentuojama, “</w:t>
            </w:r>
            <w:r w:rsidRPr="006629F0">
              <w:rPr>
                <w:rFonts w:ascii="Times New Roman" w:eastAsia="Times New Roman" w:hAnsi="Times New Roman" w:cs="Times New Roman"/>
                <w:color w:val="000000" w:themeColor="text1"/>
                <w:shd w:val="clear" w:color="auto" w:fill="FFFFFF"/>
                <w:lang w:eastAsia="en-GB"/>
              </w:rPr>
              <w:t>Siekiant koncentruoti ribotus finansinius ir kitus valstyb</w:t>
            </w:r>
            <w:r w:rsidRPr="006629F0">
              <w:rPr>
                <w:rFonts w:ascii="Times New Roman" w:eastAsia="Calibri" w:hAnsi="Times New Roman" w:cs="Times New Roman"/>
                <w:color w:val="000000" w:themeColor="text1"/>
                <w:shd w:val="clear" w:color="auto" w:fill="FFFFFF"/>
                <w:lang w:eastAsia="en-GB"/>
              </w:rPr>
              <w:t>ė</w:t>
            </w:r>
            <w:r w:rsidRPr="006629F0">
              <w:rPr>
                <w:rFonts w:ascii="Times New Roman" w:eastAsia="Times New Roman" w:hAnsi="Times New Roman" w:cs="Times New Roman"/>
                <w:color w:val="000000" w:themeColor="text1"/>
                <w:shd w:val="clear" w:color="auto" w:fill="FFFFFF"/>
                <w:lang w:eastAsia="en-GB"/>
              </w:rPr>
              <w:t>s</w:t>
            </w:r>
            <w:r>
              <w:rPr>
                <w:rFonts w:ascii="Times New Roman" w:eastAsia="Times New Roman" w:hAnsi="Times New Roman" w:cs="Times New Roman"/>
                <w:color w:val="000000" w:themeColor="text1"/>
                <w:lang w:eastAsia="en-GB"/>
              </w:rPr>
              <w:t xml:space="preserve"> </w:t>
            </w:r>
            <w:r w:rsidRPr="006629F0">
              <w:rPr>
                <w:rFonts w:ascii="Times New Roman" w:eastAsia="Times New Roman" w:hAnsi="Times New Roman" w:cs="Times New Roman"/>
                <w:color w:val="000000" w:themeColor="text1"/>
                <w:shd w:val="clear" w:color="auto" w:fill="FFFFFF"/>
                <w:lang w:eastAsia="en-GB"/>
              </w:rPr>
              <w:t>resursus, nustatytinos šios didžiausi</w:t>
            </w:r>
            <w:r w:rsidRPr="006629F0">
              <w:rPr>
                <w:rFonts w:ascii="Times New Roman" w:eastAsia="Calibri" w:hAnsi="Times New Roman" w:cs="Times New Roman"/>
                <w:color w:val="000000" w:themeColor="text1"/>
                <w:shd w:val="clear" w:color="auto" w:fill="FFFFFF"/>
                <w:lang w:eastAsia="en-GB"/>
              </w:rPr>
              <w:t>ą</w:t>
            </w:r>
            <w:r w:rsidRPr="006629F0">
              <w:rPr>
                <w:rFonts w:ascii="Times New Roman" w:eastAsia="Times New Roman" w:hAnsi="Times New Roman" w:cs="Times New Roman"/>
                <w:color w:val="000000" w:themeColor="text1"/>
                <w:shd w:val="clear" w:color="auto" w:fill="FFFFFF"/>
                <w:lang w:eastAsia="en-GB"/>
              </w:rPr>
              <w:t xml:space="preserve"> eksporto potencial</w:t>
            </w:r>
            <w:r w:rsidRPr="006629F0">
              <w:rPr>
                <w:rFonts w:ascii="Times New Roman" w:eastAsia="Calibri" w:hAnsi="Times New Roman" w:cs="Times New Roman"/>
                <w:color w:val="000000" w:themeColor="text1"/>
                <w:shd w:val="clear" w:color="auto" w:fill="FFFFFF"/>
                <w:lang w:eastAsia="en-GB"/>
              </w:rPr>
              <w:t>ą</w:t>
            </w:r>
            <w:r w:rsidRPr="006629F0">
              <w:rPr>
                <w:rFonts w:ascii="Times New Roman" w:eastAsia="Times New Roman" w:hAnsi="Times New Roman" w:cs="Times New Roman"/>
                <w:color w:val="000000" w:themeColor="text1"/>
                <w:shd w:val="clear" w:color="auto" w:fill="FFFFFF"/>
                <w:lang w:eastAsia="en-GB"/>
              </w:rPr>
              <w:t xml:space="preserve"> turin</w:t>
            </w:r>
            <w:r w:rsidRPr="006629F0">
              <w:rPr>
                <w:rFonts w:ascii="Times New Roman" w:eastAsia="Calibri" w:hAnsi="Times New Roman" w:cs="Times New Roman"/>
                <w:color w:val="000000" w:themeColor="text1"/>
                <w:shd w:val="clear" w:color="auto" w:fill="FFFFFF"/>
                <w:lang w:eastAsia="en-GB"/>
              </w:rPr>
              <w:t>č</w:t>
            </w:r>
            <w:r w:rsidRPr="006629F0">
              <w:rPr>
                <w:rFonts w:ascii="Times New Roman" w:eastAsia="Times New Roman" w:hAnsi="Times New Roman" w:cs="Times New Roman"/>
                <w:color w:val="000000" w:themeColor="text1"/>
                <w:shd w:val="clear" w:color="auto" w:fill="FFFFFF"/>
                <w:lang w:eastAsia="en-GB"/>
              </w:rPr>
              <w:t>ios</w:t>
            </w:r>
            <w:r>
              <w:rPr>
                <w:rFonts w:ascii="Times New Roman" w:eastAsia="Times New Roman" w:hAnsi="Times New Roman" w:cs="Times New Roman"/>
                <w:color w:val="000000" w:themeColor="text1"/>
                <w:lang w:eastAsia="en-GB"/>
              </w:rPr>
              <w:t xml:space="preserve"> </w:t>
            </w:r>
            <w:r w:rsidRPr="006629F0">
              <w:rPr>
                <w:rFonts w:ascii="Times New Roman" w:eastAsia="Times New Roman" w:hAnsi="Times New Roman" w:cs="Times New Roman"/>
                <w:color w:val="000000" w:themeColor="text1"/>
                <w:shd w:val="clear" w:color="auto" w:fill="FFFFFF"/>
                <w:lang w:eastAsia="en-GB"/>
              </w:rPr>
              <w:t>Lietuvos Respublikos tikslin</w:t>
            </w:r>
            <w:r w:rsidRPr="006629F0">
              <w:rPr>
                <w:rFonts w:ascii="Times New Roman" w:eastAsia="Calibri" w:hAnsi="Times New Roman" w:cs="Times New Roman"/>
                <w:color w:val="000000" w:themeColor="text1"/>
                <w:shd w:val="clear" w:color="auto" w:fill="FFFFFF"/>
                <w:lang w:eastAsia="en-GB"/>
              </w:rPr>
              <w:t>ė</w:t>
            </w:r>
            <w:r w:rsidRPr="006629F0">
              <w:rPr>
                <w:rFonts w:ascii="Times New Roman" w:eastAsia="Times New Roman" w:hAnsi="Times New Roman" w:cs="Times New Roman"/>
                <w:color w:val="000000" w:themeColor="text1"/>
                <w:shd w:val="clear" w:color="auto" w:fill="FFFFFF"/>
                <w:lang w:eastAsia="en-GB"/>
              </w:rPr>
              <w:t>s eksporto rinkos: Švedija,</w:t>
            </w:r>
            <w:r>
              <w:rPr>
                <w:rFonts w:ascii="Times New Roman" w:eastAsia="Times New Roman" w:hAnsi="Times New Roman" w:cs="Times New Roman"/>
                <w:color w:val="000000" w:themeColor="text1"/>
                <w:lang w:eastAsia="en-GB"/>
              </w:rPr>
              <w:t xml:space="preserve"> </w:t>
            </w:r>
            <w:r w:rsidRPr="006629F0">
              <w:rPr>
                <w:rFonts w:ascii="Times New Roman" w:eastAsia="Times New Roman" w:hAnsi="Times New Roman" w:cs="Times New Roman"/>
                <w:color w:val="000000" w:themeColor="text1"/>
                <w:shd w:val="clear" w:color="auto" w:fill="FFFFFF"/>
                <w:lang w:eastAsia="en-GB"/>
              </w:rPr>
              <w:t>Norvegija, Vokietija, Jungtin</w:t>
            </w:r>
            <w:r w:rsidRPr="006629F0">
              <w:rPr>
                <w:rFonts w:ascii="Times New Roman" w:eastAsia="Calibri" w:hAnsi="Times New Roman" w:cs="Times New Roman"/>
                <w:color w:val="000000" w:themeColor="text1"/>
                <w:shd w:val="clear" w:color="auto" w:fill="FFFFFF"/>
                <w:lang w:eastAsia="en-GB"/>
              </w:rPr>
              <w:t>ė</w:t>
            </w:r>
            <w:r w:rsidRPr="006629F0">
              <w:rPr>
                <w:rFonts w:ascii="Times New Roman" w:eastAsia="Times New Roman" w:hAnsi="Times New Roman" w:cs="Times New Roman"/>
                <w:color w:val="000000" w:themeColor="text1"/>
                <w:shd w:val="clear" w:color="auto" w:fill="FFFFFF"/>
                <w:lang w:eastAsia="en-GB"/>
              </w:rPr>
              <w:t xml:space="preserve"> Karalyst</w:t>
            </w:r>
            <w:r w:rsidRPr="006629F0">
              <w:rPr>
                <w:rFonts w:ascii="Times New Roman" w:eastAsia="Calibri" w:hAnsi="Times New Roman" w:cs="Times New Roman"/>
                <w:color w:val="000000" w:themeColor="text1"/>
                <w:shd w:val="clear" w:color="auto" w:fill="FFFFFF"/>
                <w:lang w:eastAsia="en-GB"/>
              </w:rPr>
              <w:t>ė</w:t>
            </w:r>
            <w:r w:rsidRPr="006629F0">
              <w:rPr>
                <w:rFonts w:ascii="Times New Roman" w:eastAsia="Times New Roman" w:hAnsi="Times New Roman" w:cs="Times New Roman"/>
                <w:color w:val="000000" w:themeColor="text1"/>
                <w:shd w:val="clear" w:color="auto" w:fill="FFFFFF"/>
                <w:lang w:eastAsia="en-GB"/>
              </w:rPr>
              <w:t>, Pranc</w:t>
            </w:r>
            <w:r w:rsidRPr="006629F0">
              <w:rPr>
                <w:rFonts w:ascii="Times New Roman" w:eastAsia="Calibri" w:hAnsi="Times New Roman" w:cs="Times New Roman"/>
                <w:color w:val="000000" w:themeColor="text1"/>
                <w:shd w:val="clear" w:color="auto" w:fill="FFFFFF"/>
                <w:lang w:eastAsia="en-GB"/>
              </w:rPr>
              <w:t>ū</w:t>
            </w:r>
            <w:r w:rsidRPr="006629F0">
              <w:rPr>
                <w:rFonts w:ascii="Times New Roman" w:eastAsia="Times New Roman" w:hAnsi="Times New Roman" w:cs="Times New Roman"/>
                <w:color w:val="000000" w:themeColor="text1"/>
                <w:shd w:val="clear" w:color="auto" w:fill="FFFFFF"/>
                <w:lang w:eastAsia="en-GB"/>
              </w:rPr>
              <w:t>zija, Jungtin</w:t>
            </w:r>
            <w:r w:rsidRPr="006629F0">
              <w:rPr>
                <w:rFonts w:ascii="Times New Roman" w:eastAsia="Calibri" w:hAnsi="Times New Roman" w:cs="Times New Roman"/>
                <w:color w:val="000000" w:themeColor="text1"/>
                <w:shd w:val="clear" w:color="auto" w:fill="FFFFFF"/>
                <w:lang w:eastAsia="en-GB"/>
              </w:rPr>
              <w:t>ė</w:t>
            </w:r>
            <w:r w:rsidRPr="006629F0">
              <w:rPr>
                <w:rFonts w:ascii="Times New Roman" w:eastAsia="Times New Roman" w:hAnsi="Times New Roman" w:cs="Times New Roman"/>
                <w:color w:val="000000" w:themeColor="text1"/>
                <w:shd w:val="clear" w:color="auto" w:fill="FFFFFF"/>
                <w:lang w:eastAsia="en-GB"/>
              </w:rPr>
              <w:t>s Amerikos</w:t>
            </w:r>
            <w:r>
              <w:rPr>
                <w:rFonts w:ascii="Times New Roman" w:eastAsia="Times New Roman" w:hAnsi="Times New Roman" w:cs="Times New Roman"/>
                <w:color w:val="000000" w:themeColor="text1"/>
                <w:lang w:eastAsia="en-GB"/>
              </w:rPr>
              <w:t xml:space="preserve"> </w:t>
            </w:r>
            <w:r w:rsidRPr="006629F0">
              <w:rPr>
                <w:rFonts w:ascii="Times New Roman" w:eastAsia="Times New Roman" w:hAnsi="Times New Roman" w:cs="Times New Roman"/>
                <w:color w:val="000000" w:themeColor="text1"/>
                <w:shd w:val="clear" w:color="auto" w:fill="FFFFFF"/>
                <w:lang w:eastAsia="en-GB"/>
              </w:rPr>
              <w:t>Valstijos, Kinija, Izraelis,</w:t>
            </w:r>
            <w:r>
              <w:rPr>
                <w:rFonts w:ascii="Times New Roman" w:eastAsia="Times New Roman" w:hAnsi="Times New Roman" w:cs="Times New Roman"/>
                <w:color w:val="000000" w:themeColor="text1"/>
                <w:shd w:val="clear" w:color="auto" w:fill="FFFFFF"/>
                <w:lang w:eastAsia="en-GB"/>
              </w:rPr>
              <w:t xml:space="preserve"> </w:t>
            </w:r>
            <w:r w:rsidRPr="006629F0">
              <w:rPr>
                <w:rFonts w:ascii="Times New Roman" w:eastAsia="Times New Roman" w:hAnsi="Times New Roman" w:cs="Times New Roman"/>
                <w:color w:val="000000" w:themeColor="text1"/>
                <w:shd w:val="clear" w:color="auto" w:fill="FFFFFF"/>
                <w:lang w:eastAsia="en-GB"/>
              </w:rPr>
              <w:t>Japonija, Ukraina, Jungtiniai Arab</w:t>
            </w:r>
            <w:r w:rsidRPr="006629F0">
              <w:rPr>
                <w:rFonts w:ascii="Times New Roman" w:eastAsia="Calibri" w:hAnsi="Times New Roman" w:cs="Times New Roman"/>
                <w:color w:val="000000" w:themeColor="text1"/>
                <w:shd w:val="clear" w:color="auto" w:fill="FFFFFF"/>
                <w:lang w:eastAsia="en-GB"/>
              </w:rPr>
              <w:t>ų</w:t>
            </w:r>
            <w:r w:rsidRPr="006629F0">
              <w:rPr>
                <w:rFonts w:ascii="Times New Roman" w:eastAsia="Times New Roman" w:hAnsi="Times New Roman" w:cs="Times New Roman"/>
                <w:color w:val="000000" w:themeColor="text1"/>
                <w:shd w:val="clear" w:color="auto" w:fill="FFFFFF"/>
                <w:lang w:eastAsia="en-GB"/>
              </w:rPr>
              <w:t xml:space="preserve"> Emyratai,</w:t>
            </w:r>
            <w:r>
              <w:rPr>
                <w:rFonts w:ascii="Times New Roman" w:eastAsia="Times New Roman" w:hAnsi="Times New Roman" w:cs="Times New Roman"/>
                <w:color w:val="000000" w:themeColor="text1"/>
                <w:lang w:eastAsia="en-GB"/>
              </w:rPr>
              <w:t xml:space="preserve"> </w:t>
            </w:r>
            <w:r w:rsidRPr="006629F0">
              <w:rPr>
                <w:rFonts w:ascii="Times New Roman" w:eastAsia="Times New Roman" w:hAnsi="Times New Roman" w:cs="Times New Roman"/>
                <w:color w:val="000000" w:themeColor="text1"/>
                <w:shd w:val="clear" w:color="auto" w:fill="FFFFFF"/>
                <w:lang w:eastAsia="en-GB"/>
              </w:rPr>
              <w:t>Kanada, Turkija, Piet</w:t>
            </w:r>
            <w:r w:rsidRPr="006629F0">
              <w:rPr>
                <w:rFonts w:ascii="Times New Roman" w:eastAsia="Calibri" w:hAnsi="Times New Roman" w:cs="Times New Roman"/>
                <w:color w:val="000000" w:themeColor="text1"/>
                <w:shd w:val="clear" w:color="auto" w:fill="FFFFFF"/>
                <w:lang w:eastAsia="en-GB"/>
              </w:rPr>
              <w:t>ų</w:t>
            </w:r>
            <w:r w:rsidRPr="006629F0">
              <w:rPr>
                <w:rFonts w:ascii="Times New Roman" w:eastAsia="Times New Roman" w:hAnsi="Times New Roman" w:cs="Times New Roman"/>
                <w:color w:val="000000" w:themeColor="text1"/>
                <w:shd w:val="clear" w:color="auto" w:fill="FFFFFF"/>
                <w:lang w:eastAsia="en-GB"/>
              </w:rPr>
              <w:t xml:space="preserve"> Afrikos Respublika</w:t>
            </w:r>
            <w:r>
              <w:rPr>
                <w:rFonts w:ascii="Times New Roman" w:eastAsia="Times New Roman" w:hAnsi="Times New Roman" w:cs="Times New Roman"/>
                <w:color w:val="000000" w:themeColor="text1"/>
                <w:shd w:val="clear" w:color="auto" w:fill="FFFFFF"/>
                <w:lang w:eastAsia="en-GB"/>
              </w:rPr>
              <w:t>”, kur fokusuojamasi į pernelyg siaurą šalių sąrašą, kuris jau praradę</w:t>
            </w:r>
            <w:r w:rsidRPr="006629F0">
              <w:rPr>
                <w:rFonts w:ascii="Times New Roman" w:eastAsia="Times New Roman" w:hAnsi="Times New Roman" w:cs="Times New Roman"/>
                <w:color w:val="000000" w:themeColor="text1"/>
                <w:shd w:val="clear" w:color="auto" w:fill="FFFFFF"/>
                <w:lang w:eastAsia="en-GB"/>
              </w:rPr>
              <w:t>s</w:t>
            </w:r>
            <w:r>
              <w:rPr>
                <w:rFonts w:ascii="Times New Roman" w:eastAsia="Times New Roman" w:hAnsi="Times New Roman" w:cs="Times New Roman"/>
                <w:color w:val="000000" w:themeColor="text1"/>
                <w:lang w:eastAsia="en-GB"/>
              </w:rPr>
              <w:t xml:space="preserve"> </w:t>
            </w:r>
            <w:r>
              <w:rPr>
                <w:rFonts w:ascii="Times New Roman" w:eastAsia="Times New Roman" w:hAnsi="Times New Roman" w:cs="Times New Roman"/>
                <w:color w:val="000000" w:themeColor="text1"/>
                <w:shd w:val="clear" w:color="auto" w:fill="FFFFFF"/>
                <w:lang w:eastAsia="en-GB"/>
              </w:rPr>
              <w:t>aktualumą</w:t>
            </w:r>
            <w:r w:rsidRPr="006629F0">
              <w:rPr>
                <w:rFonts w:ascii="Times New Roman" w:eastAsia="Times New Roman" w:hAnsi="Times New Roman" w:cs="Times New Roman"/>
                <w:color w:val="000000" w:themeColor="text1"/>
                <w:shd w:val="clear" w:color="auto" w:fill="FFFFFF"/>
                <w:lang w:eastAsia="en-GB"/>
              </w:rPr>
              <w:t xml:space="preserve">. </w:t>
            </w:r>
            <w:r w:rsidRPr="00D64C00">
              <w:rPr>
                <w:rFonts w:ascii="Times New Roman" w:eastAsia="Times New Roman" w:hAnsi="Times New Roman" w:cs="Times New Roman"/>
                <w:color w:val="000000" w:themeColor="text1"/>
                <w:shd w:val="clear" w:color="auto" w:fill="FFFFFF"/>
                <w:lang w:eastAsia="en-GB"/>
              </w:rPr>
              <w:t>Kai kurios šalys jau nė</w:t>
            </w:r>
            <w:r w:rsidRPr="006629F0">
              <w:rPr>
                <w:rFonts w:ascii="Times New Roman" w:eastAsia="Times New Roman" w:hAnsi="Times New Roman" w:cs="Times New Roman"/>
                <w:color w:val="000000" w:themeColor="text1"/>
                <w:shd w:val="clear" w:color="auto" w:fill="FFFFFF"/>
                <w:lang w:eastAsia="en-GB"/>
              </w:rPr>
              <w:t>ra Li</w:t>
            </w:r>
            <w:r w:rsidRPr="00D64C00">
              <w:rPr>
                <w:rFonts w:ascii="Times New Roman" w:eastAsia="Times New Roman" w:hAnsi="Times New Roman" w:cs="Times New Roman"/>
                <w:color w:val="000000" w:themeColor="text1"/>
                <w:shd w:val="clear" w:color="auto" w:fill="FFFFFF"/>
                <w:lang w:eastAsia="en-GB"/>
              </w:rPr>
              <w:t xml:space="preserve">etuvos eksporto prioritetuose dėl </w:t>
            </w:r>
            <w:r>
              <w:rPr>
                <w:rFonts w:ascii="Times New Roman" w:eastAsia="Times New Roman" w:hAnsi="Times New Roman" w:cs="Times New Roman"/>
                <w:color w:val="000000" w:themeColor="text1"/>
                <w:shd w:val="clear" w:color="auto" w:fill="FFFFFF"/>
                <w:lang w:eastAsia="en-GB"/>
              </w:rPr>
              <w:t>šių</w:t>
            </w:r>
            <w:r w:rsidRPr="00D64C00">
              <w:rPr>
                <w:rFonts w:ascii="Times New Roman" w:eastAsia="Times New Roman" w:hAnsi="Times New Roman" w:cs="Times New Roman"/>
                <w:color w:val="000000" w:themeColor="text1"/>
                <w:shd w:val="clear" w:color="auto" w:fill="FFFFFF"/>
                <w:lang w:eastAsia="en-GB"/>
              </w:rPr>
              <w:t xml:space="preserve"> priež</w:t>
            </w:r>
            <w:r>
              <w:rPr>
                <w:rFonts w:ascii="Times New Roman" w:eastAsia="Times New Roman" w:hAnsi="Times New Roman" w:cs="Times New Roman"/>
                <w:color w:val="000000" w:themeColor="text1"/>
                <w:shd w:val="clear" w:color="auto" w:fill="FFFFFF"/>
                <w:lang w:eastAsia="en-GB"/>
              </w:rPr>
              <w:t>asčių</w:t>
            </w:r>
            <w:r w:rsidRPr="006629F0">
              <w:rPr>
                <w:rFonts w:ascii="Times New Roman" w:eastAsia="Times New Roman" w:hAnsi="Times New Roman" w:cs="Times New Roman"/>
                <w:color w:val="000000" w:themeColor="text1"/>
                <w:shd w:val="clear" w:color="auto" w:fill="FFFFFF"/>
                <w:lang w:eastAsia="en-GB"/>
              </w:rPr>
              <w:t>:</w:t>
            </w:r>
          </w:p>
          <w:p w14:paraId="31E925B5" w14:textId="77777777" w:rsidR="003F28E1" w:rsidRPr="00D64C00" w:rsidRDefault="003F28E1" w:rsidP="00C82DB2">
            <w:pPr>
              <w:pStyle w:val="ListParagraph"/>
              <w:numPr>
                <w:ilvl w:val="0"/>
                <w:numId w:val="23"/>
              </w:numPr>
              <w:jc w:val="both"/>
              <w:rPr>
                <w:rFonts w:ascii="Times New Roman" w:eastAsia="Times New Roman" w:hAnsi="Times New Roman" w:cs="Times New Roman"/>
                <w:color w:val="000000" w:themeColor="text1"/>
                <w:shd w:val="clear" w:color="auto" w:fill="FFFFFF"/>
                <w:lang w:eastAsia="en-GB"/>
              </w:rPr>
            </w:pPr>
            <w:r w:rsidRPr="00D64C00">
              <w:rPr>
                <w:rFonts w:ascii="Times New Roman" w:eastAsia="Times New Roman" w:hAnsi="Times New Roman" w:cs="Times New Roman"/>
                <w:color w:val="000000" w:themeColor="text1"/>
                <w:shd w:val="clear" w:color="auto" w:fill="FFFFFF"/>
                <w:lang w:eastAsia="en-GB"/>
              </w:rPr>
              <w:t>Jungtin</w:t>
            </w:r>
            <w:r w:rsidRPr="00D64C00">
              <w:rPr>
                <w:rFonts w:ascii="Times New Roman" w:eastAsia="Calibri" w:hAnsi="Times New Roman" w:cs="Times New Roman"/>
                <w:color w:val="000000" w:themeColor="text1"/>
                <w:shd w:val="clear" w:color="auto" w:fill="FFFFFF"/>
                <w:lang w:eastAsia="en-GB"/>
              </w:rPr>
              <w:t>ė</w:t>
            </w:r>
            <w:r w:rsidRPr="00D64C00">
              <w:rPr>
                <w:rFonts w:ascii="Times New Roman" w:eastAsia="Times New Roman" w:hAnsi="Times New Roman" w:cs="Times New Roman"/>
                <w:color w:val="000000" w:themeColor="text1"/>
                <w:shd w:val="clear" w:color="auto" w:fill="FFFFFF"/>
                <w:lang w:eastAsia="en-GB"/>
              </w:rPr>
              <w:t xml:space="preserve"> Karalyst</w:t>
            </w:r>
            <w:r w:rsidRPr="00D64C00">
              <w:rPr>
                <w:rFonts w:ascii="Times New Roman" w:eastAsia="Calibri" w:hAnsi="Times New Roman" w:cs="Times New Roman"/>
                <w:color w:val="000000" w:themeColor="text1"/>
                <w:shd w:val="clear" w:color="auto" w:fill="FFFFFF"/>
                <w:lang w:eastAsia="en-GB"/>
              </w:rPr>
              <w:t>ė</w:t>
            </w:r>
            <w:r w:rsidRPr="00D64C00">
              <w:rPr>
                <w:rFonts w:ascii="Times New Roman" w:eastAsia="Times New Roman" w:hAnsi="Times New Roman" w:cs="Times New Roman"/>
                <w:color w:val="000000" w:themeColor="text1"/>
                <w:shd w:val="clear" w:color="auto" w:fill="FFFFFF"/>
                <w:lang w:eastAsia="en-GB"/>
              </w:rPr>
              <w:t xml:space="preserve"> dabar sprendžia “Brexit” klausimą. Šiuo laikotarpiu visi</w:t>
            </w:r>
            <w:r w:rsidRPr="00D64C00">
              <w:rPr>
                <w:rFonts w:ascii="Times New Roman" w:eastAsia="Times New Roman" w:hAnsi="Times New Roman" w:cs="Times New Roman"/>
                <w:color w:val="000000" w:themeColor="text1"/>
                <w:lang w:eastAsia="en-GB"/>
              </w:rPr>
              <w:t xml:space="preserve"> </w:t>
            </w:r>
            <w:r w:rsidRPr="00D64C00">
              <w:rPr>
                <w:rFonts w:ascii="Times New Roman" w:eastAsia="Times New Roman" w:hAnsi="Times New Roman" w:cs="Times New Roman"/>
                <w:color w:val="000000" w:themeColor="text1"/>
                <w:shd w:val="clear" w:color="auto" w:fill="FFFFFF"/>
                <w:lang w:eastAsia="en-GB"/>
              </w:rPr>
              <w:t>eksportuotojai diversifikuoja eksporto riziką planuojamiems praradimams</w:t>
            </w:r>
            <w:r w:rsidRPr="00D64C00">
              <w:rPr>
                <w:rFonts w:ascii="Times New Roman" w:eastAsia="Times New Roman" w:hAnsi="Times New Roman" w:cs="Times New Roman"/>
                <w:color w:val="000000" w:themeColor="text1"/>
                <w:lang w:eastAsia="en-GB"/>
              </w:rPr>
              <w:t xml:space="preserve"> </w:t>
            </w:r>
            <w:r w:rsidRPr="00D64C00">
              <w:rPr>
                <w:rFonts w:ascii="Times New Roman" w:eastAsia="Times New Roman" w:hAnsi="Times New Roman" w:cs="Times New Roman"/>
                <w:color w:val="000000" w:themeColor="text1"/>
                <w:shd w:val="clear" w:color="auto" w:fill="FFFFFF"/>
                <w:lang w:eastAsia="en-GB"/>
              </w:rPr>
              <w:t>Jungtin</w:t>
            </w:r>
            <w:r w:rsidRPr="00D64C00">
              <w:rPr>
                <w:rFonts w:ascii="Times New Roman" w:eastAsia="Calibri" w:hAnsi="Times New Roman" w:cs="Times New Roman"/>
                <w:color w:val="000000" w:themeColor="text1"/>
                <w:shd w:val="clear" w:color="auto" w:fill="FFFFFF"/>
                <w:lang w:eastAsia="en-GB"/>
              </w:rPr>
              <w:t>ėje</w:t>
            </w:r>
            <w:r w:rsidRPr="00D64C00">
              <w:rPr>
                <w:rFonts w:ascii="Times New Roman" w:eastAsia="Times New Roman" w:hAnsi="Times New Roman" w:cs="Times New Roman"/>
                <w:color w:val="000000" w:themeColor="text1"/>
                <w:shd w:val="clear" w:color="auto" w:fill="FFFFFF"/>
                <w:lang w:eastAsia="en-GB"/>
              </w:rPr>
              <w:t xml:space="preserve"> Karalyst</w:t>
            </w:r>
            <w:r w:rsidRPr="00D64C00">
              <w:rPr>
                <w:rFonts w:ascii="Times New Roman" w:eastAsia="Calibri" w:hAnsi="Times New Roman" w:cs="Times New Roman"/>
                <w:color w:val="000000" w:themeColor="text1"/>
                <w:shd w:val="clear" w:color="auto" w:fill="FFFFFF"/>
                <w:lang w:eastAsia="en-GB"/>
              </w:rPr>
              <w:t>ėje</w:t>
            </w:r>
            <w:r w:rsidRPr="00D64C00">
              <w:rPr>
                <w:rFonts w:ascii="Times New Roman" w:eastAsia="Times New Roman" w:hAnsi="Times New Roman" w:cs="Times New Roman"/>
                <w:color w:val="000000" w:themeColor="text1"/>
                <w:shd w:val="clear" w:color="auto" w:fill="FFFFFF"/>
                <w:lang w:eastAsia="en-GB"/>
              </w:rPr>
              <w:t>, o ne veržiasi į šios šalies rinką;</w:t>
            </w:r>
          </w:p>
          <w:p w14:paraId="58585ADB" w14:textId="77777777" w:rsidR="003F28E1" w:rsidRPr="00D64C00" w:rsidRDefault="003F28E1" w:rsidP="00C82DB2">
            <w:pPr>
              <w:pStyle w:val="ListParagraph"/>
              <w:numPr>
                <w:ilvl w:val="0"/>
                <w:numId w:val="23"/>
              </w:numPr>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shd w:val="clear" w:color="auto" w:fill="FFFFFF"/>
                <w:lang w:eastAsia="en-GB"/>
              </w:rPr>
              <w:t>Ukraina neseniai užėmė skurdž</w:t>
            </w:r>
            <w:r w:rsidRPr="00D64C00">
              <w:rPr>
                <w:rFonts w:ascii="Times New Roman" w:eastAsia="Times New Roman" w:hAnsi="Times New Roman" w:cs="Times New Roman"/>
                <w:color w:val="000000" w:themeColor="text1"/>
                <w:shd w:val="clear" w:color="auto" w:fill="FFFFFF"/>
                <w:lang w:eastAsia="en-GB"/>
              </w:rPr>
              <w:t>iausios</w:t>
            </w:r>
            <w:r>
              <w:rPr>
                <w:rFonts w:ascii="Times New Roman" w:eastAsia="Times New Roman" w:hAnsi="Times New Roman" w:cs="Times New Roman"/>
                <w:color w:val="000000" w:themeColor="text1"/>
                <w:lang w:eastAsia="en-GB"/>
              </w:rPr>
              <w:t xml:space="preserve"> </w:t>
            </w:r>
            <w:r>
              <w:rPr>
                <w:rFonts w:ascii="Times New Roman" w:eastAsia="Times New Roman" w:hAnsi="Times New Roman" w:cs="Times New Roman"/>
                <w:color w:val="000000" w:themeColor="text1"/>
                <w:shd w:val="clear" w:color="auto" w:fill="FFFFFF"/>
                <w:lang w:eastAsia="en-GB"/>
              </w:rPr>
              <w:t>Europoje valstybės vietą, užleisdama vietą</w:t>
            </w:r>
            <w:r w:rsidRPr="00D64C00">
              <w:rPr>
                <w:rFonts w:ascii="Times New Roman" w:eastAsia="Times New Roman" w:hAnsi="Times New Roman" w:cs="Times New Roman"/>
                <w:color w:val="000000" w:themeColor="text1"/>
                <w:shd w:val="clear" w:color="auto" w:fill="FFFFFF"/>
                <w:lang w:eastAsia="en-GB"/>
              </w:rPr>
              <w:t xml:space="preserve"> Moldovai bei Albanijai;</w:t>
            </w:r>
          </w:p>
          <w:p w14:paraId="50A2760C" w14:textId="77777777" w:rsidR="003F28E1" w:rsidRPr="00D64C00" w:rsidRDefault="003F28E1" w:rsidP="00C82DB2">
            <w:pPr>
              <w:pStyle w:val="ListParagraph"/>
              <w:numPr>
                <w:ilvl w:val="0"/>
                <w:numId w:val="23"/>
              </w:numPr>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shd w:val="clear" w:color="auto" w:fill="FFFFFF"/>
                <w:lang w:eastAsia="en-GB"/>
              </w:rPr>
              <w:t>Turkijos lira nuvertė</w:t>
            </w:r>
            <w:r w:rsidRPr="00D64C00">
              <w:rPr>
                <w:rFonts w:ascii="Times New Roman" w:eastAsia="Times New Roman" w:hAnsi="Times New Roman" w:cs="Times New Roman"/>
                <w:color w:val="000000" w:themeColor="text1"/>
                <w:shd w:val="clear" w:color="auto" w:fill="FFFFFF"/>
                <w:lang w:eastAsia="en-GB"/>
              </w:rPr>
              <w:t>jusi</w:t>
            </w:r>
            <w:r>
              <w:rPr>
                <w:rFonts w:ascii="Times New Roman" w:eastAsia="Times New Roman" w:hAnsi="Times New Roman" w:cs="Times New Roman"/>
                <w:color w:val="000000" w:themeColor="text1"/>
                <w:shd w:val="clear" w:color="auto" w:fill="FFFFFF"/>
                <w:lang w:eastAsia="en-GB"/>
              </w:rPr>
              <w:t>, tad šiuo metu palankiau importuoti iš Turkijos nei eksportuoti į ją.</w:t>
            </w:r>
          </w:p>
          <w:p w14:paraId="0397992F" w14:textId="77777777" w:rsidR="003F28E1" w:rsidRPr="00D64C00" w:rsidRDefault="003F28E1" w:rsidP="00C82DB2">
            <w:pPr>
              <w:pStyle w:val="ListParagraph"/>
              <w:ind w:left="1100"/>
              <w:jc w:val="both"/>
              <w:rPr>
                <w:rFonts w:ascii="Times New Roman" w:eastAsia="Times New Roman" w:hAnsi="Times New Roman" w:cs="Times New Roman"/>
                <w:color w:val="000000" w:themeColor="text1"/>
                <w:lang w:eastAsia="en-GB"/>
              </w:rPr>
            </w:pPr>
          </w:p>
          <w:p w14:paraId="69DC45FC" w14:textId="77777777" w:rsidR="003F28E1" w:rsidRPr="00784C76" w:rsidRDefault="003F28E1" w:rsidP="00C82DB2">
            <w:pPr>
              <w:tabs>
                <w:tab w:val="left" w:pos="0"/>
                <w:tab w:val="left" w:pos="389"/>
                <w:tab w:val="left" w:pos="867"/>
              </w:tabs>
              <w:jc w:val="both"/>
              <w:rPr>
                <w:rFonts w:ascii="Times New Roman" w:hAnsi="Times New Roman" w:cs="Times New Roman"/>
                <w:bCs/>
                <w:sz w:val="24"/>
                <w:szCs w:val="24"/>
              </w:rPr>
            </w:pPr>
            <w:r w:rsidRPr="00784C76">
              <w:rPr>
                <w:rFonts w:ascii="Times New Roman" w:eastAsia="Times New Roman" w:hAnsi="Times New Roman" w:cs="Times New Roman"/>
                <w:color w:val="000000" w:themeColor="text1"/>
                <w:shd w:val="clear" w:color="auto" w:fill="FFFFFF"/>
                <w:lang w:eastAsia="en-GB"/>
              </w:rPr>
              <w:lastRenderedPageBreak/>
              <w:t>Atsižvelgdami į aukščiau paminėtas rinkų aktualijas, siūlome praplėsti galimybes ir papildyti aprašą kitų šalių grupėmis, kurios nurodytos toje pačioje eksporto strategijoje.</w:t>
            </w:r>
          </w:p>
        </w:tc>
        <w:tc>
          <w:tcPr>
            <w:tcW w:w="1559" w:type="dxa"/>
          </w:tcPr>
          <w:p w14:paraId="4275D14D" w14:textId="77777777" w:rsidR="003F28E1" w:rsidRPr="001E5157" w:rsidRDefault="003F28E1" w:rsidP="00502BE1">
            <w:pP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4395" w:type="dxa"/>
          </w:tcPr>
          <w:p w14:paraId="3CEB615F" w14:textId="77777777" w:rsidR="003F28E1" w:rsidRPr="008B0D62" w:rsidRDefault="003F28E1" w:rsidP="008B0D62">
            <w:pPr>
              <w:jc w:val="both"/>
              <w:rPr>
                <w:rFonts w:ascii="Times New Roman" w:hAnsi="Times New Roman"/>
                <w:sz w:val="24"/>
              </w:rPr>
            </w:pPr>
            <w:r>
              <w:rPr>
                <w:rFonts w:ascii="Times New Roman" w:hAnsi="Times New Roman"/>
                <w:sz w:val="24"/>
              </w:rPr>
              <w:t>Šis specialusis</w:t>
            </w:r>
            <w:r w:rsidRPr="00EA7FD1">
              <w:rPr>
                <w:rFonts w:ascii="Times New Roman" w:hAnsi="Times New Roman"/>
                <w:sz w:val="24"/>
              </w:rPr>
              <w:t xml:space="preserve"> projektų atrankos kriterijus</w:t>
            </w:r>
            <w:r>
              <w:rPr>
                <w:rFonts w:ascii="Times New Roman" w:hAnsi="Times New Roman"/>
                <w:sz w:val="24"/>
              </w:rPr>
              <w:t xml:space="preserve"> patvirtinta</w:t>
            </w:r>
            <w:r w:rsidRPr="00EA7FD1">
              <w:rPr>
                <w:rFonts w:ascii="Times New Roman" w:hAnsi="Times New Roman"/>
                <w:sz w:val="24"/>
              </w:rPr>
              <w:t>s 2014</w:t>
            </w:r>
            <w:r w:rsidRPr="008B0D62">
              <w:rPr>
                <w:rFonts w:ascii="Times New Roman" w:hAnsi="Times New Roman"/>
                <w:sz w:val="24"/>
              </w:rPr>
              <w:t>–</w:t>
            </w:r>
            <w:r w:rsidRPr="00EA7FD1">
              <w:rPr>
                <w:rFonts w:ascii="Times New Roman" w:hAnsi="Times New Roman"/>
                <w:sz w:val="24"/>
              </w:rPr>
              <w:t xml:space="preserve">2020 metų Europos Sąjungos fondų investicijų veiksmų programos Stebėsenos komiteto 2018 m. rugsėjo 20 d. </w:t>
            </w:r>
            <w:r>
              <w:rPr>
                <w:rFonts w:ascii="Times New Roman" w:hAnsi="Times New Roman"/>
                <w:sz w:val="24"/>
              </w:rPr>
              <w:t>protokoliniu sprendimu</w:t>
            </w:r>
            <w:r w:rsidRPr="00EA7FD1">
              <w:rPr>
                <w:rFonts w:ascii="Times New Roman" w:hAnsi="Times New Roman"/>
                <w:sz w:val="24"/>
              </w:rPr>
              <w:t xml:space="preserve"> Nr.</w:t>
            </w:r>
            <w:r>
              <w:rPr>
                <w:rFonts w:ascii="Times New Roman" w:hAnsi="Times New Roman"/>
                <w:sz w:val="24"/>
              </w:rPr>
              <w:t> </w:t>
            </w:r>
            <w:r w:rsidRPr="008B0D62">
              <w:rPr>
                <w:rFonts w:ascii="Times New Roman" w:hAnsi="Times New Roman"/>
                <w:sz w:val="24"/>
              </w:rPr>
              <w:t xml:space="preserve">44P-4 (34), todėl jo pakeisti neturime galimybės. </w:t>
            </w:r>
          </w:p>
          <w:p w14:paraId="2D0350A8" w14:textId="77777777" w:rsidR="003F28E1" w:rsidRDefault="003F28E1" w:rsidP="008B0D62">
            <w:pPr>
              <w:jc w:val="both"/>
              <w:rPr>
                <w:rFonts w:ascii="Times New Roman" w:hAnsi="Times New Roman"/>
                <w:sz w:val="24"/>
              </w:rPr>
            </w:pPr>
            <w:r w:rsidRPr="008B0D62">
              <w:rPr>
                <w:rFonts w:ascii="Times New Roman" w:hAnsi="Times New Roman"/>
                <w:sz w:val="24"/>
              </w:rPr>
              <w:t xml:space="preserve">Pažymime, kad </w:t>
            </w:r>
            <w:r>
              <w:rPr>
                <w:rFonts w:ascii="Times New Roman" w:hAnsi="Times New Roman"/>
                <w:sz w:val="24"/>
              </w:rPr>
              <w:t>s</w:t>
            </w:r>
            <w:r w:rsidRPr="008B0D62">
              <w:rPr>
                <w:rFonts w:ascii="Times New Roman" w:hAnsi="Times New Roman"/>
                <w:sz w:val="24"/>
              </w:rPr>
              <w:t xml:space="preserve">iekiant sutelkti ribotus finansinius ir kitus valstybės išteklius, Lietuvos eksporto plėtros 2014–2020 metų gairės </w:t>
            </w:r>
            <w:r>
              <w:rPr>
                <w:rFonts w:ascii="Times New Roman" w:hAnsi="Times New Roman"/>
                <w:sz w:val="24"/>
              </w:rPr>
              <w:t xml:space="preserve">(toliau – Eksporto gairės) </w:t>
            </w:r>
            <w:r w:rsidRPr="008B0D62">
              <w:rPr>
                <w:rFonts w:ascii="Times New Roman" w:hAnsi="Times New Roman"/>
                <w:sz w:val="24"/>
              </w:rPr>
              <w:t>buvo papildytos 21</w:t>
            </w:r>
            <w:r>
              <w:rPr>
                <w:rFonts w:ascii="Times New Roman" w:hAnsi="Times New Roman"/>
                <w:sz w:val="24"/>
                <w:vertAlign w:val="superscript"/>
              </w:rPr>
              <w:t>1</w:t>
            </w:r>
            <w:r w:rsidRPr="008B0D62">
              <w:rPr>
                <w:rFonts w:ascii="Times New Roman" w:hAnsi="Times New Roman"/>
                <w:sz w:val="24"/>
              </w:rPr>
              <w:t xml:space="preserve"> punktu, kuriuo patvirtintos didžiausią eksporto potencialą turinčios Lietuvos Respublikos tikslinės eksporto rinkos. </w:t>
            </w:r>
            <w:r>
              <w:rPr>
                <w:rFonts w:ascii="Times New Roman" w:hAnsi="Times New Roman"/>
                <w:sz w:val="24"/>
              </w:rPr>
              <w:t>Šis kriterijus nustatytas</w:t>
            </w:r>
            <w:r w:rsidRPr="008B0D62">
              <w:rPr>
                <w:rFonts w:ascii="Times New Roman" w:hAnsi="Times New Roman"/>
                <w:sz w:val="24"/>
              </w:rPr>
              <w:t xml:space="preserve">, siekiant paskatinti verslo klasterius vykdyti veiklas didžiausią eksporto potencialą turinčiose Lietuvos Respublikos tikslinėse eksporto rinkose. </w:t>
            </w:r>
          </w:p>
          <w:p w14:paraId="7339FA05" w14:textId="77777777" w:rsidR="003F28E1" w:rsidRPr="008B0D62" w:rsidRDefault="003F28E1" w:rsidP="008B0D62">
            <w:pPr>
              <w:jc w:val="both"/>
              <w:rPr>
                <w:rFonts w:ascii="Times New Roman" w:hAnsi="Times New Roman"/>
                <w:sz w:val="24"/>
              </w:rPr>
            </w:pPr>
            <w:r>
              <w:rPr>
                <w:rFonts w:ascii="Times New Roman" w:hAnsi="Times New Roman"/>
                <w:sz w:val="24"/>
              </w:rPr>
              <w:lastRenderedPageBreak/>
              <w:t>Taip pat informuojame, kad planuojamas Eksportų gairių keitimas, kurio metu bus peržiūrėtas ir patikslintas šalių sąrašas.</w:t>
            </w:r>
          </w:p>
        </w:tc>
      </w:tr>
      <w:tr w:rsidR="00F93EEF" w:rsidRPr="0010310B" w14:paraId="6B8A9781" w14:textId="77777777" w:rsidTr="003F28E1">
        <w:trPr>
          <w:trHeight w:val="2261"/>
        </w:trPr>
        <w:tc>
          <w:tcPr>
            <w:tcW w:w="675" w:type="dxa"/>
          </w:tcPr>
          <w:p w14:paraId="44CEE522" w14:textId="77777777" w:rsidR="00F93EEF" w:rsidRPr="00534D35" w:rsidRDefault="00F93EEF" w:rsidP="00F93EEF">
            <w:pPr>
              <w:pStyle w:val="ListParagraph"/>
              <w:numPr>
                <w:ilvl w:val="0"/>
                <w:numId w:val="3"/>
              </w:numPr>
              <w:ind w:left="284" w:hanging="284"/>
              <w:rPr>
                <w:rFonts w:ascii="Times New Roman" w:hAnsi="Times New Roman" w:cs="Times New Roman"/>
                <w:sz w:val="24"/>
                <w:szCs w:val="24"/>
              </w:rPr>
            </w:pPr>
          </w:p>
        </w:tc>
        <w:tc>
          <w:tcPr>
            <w:tcW w:w="1785" w:type="dxa"/>
            <w:vMerge/>
          </w:tcPr>
          <w:p w14:paraId="503927C3" w14:textId="77777777" w:rsidR="00F93EEF" w:rsidRPr="001F1E2A" w:rsidRDefault="00F93EEF" w:rsidP="00F93EEF">
            <w:pPr>
              <w:rPr>
                <w:rFonts w:ascii="Times New Roman" w:hAnsi="Times New Roman" w:cs="Times New Roman"/>
                <w:sz w:val="24"/>
                <w:szCs w:val="24"/>
                <w:lang w:eastAsia="lt-LT"/>
              </w:rPr>
            </w:pPr>
          </w:p>
        </w:tc>
        <w:tc>
          <w:tcPr>
            <w:tcW w:w="1192" w:type="dxa"/>
          </w:tcPr>
          <w:p w14:paraId="3BB73896" w14:textId="77777777" w:rsidR="00F93EEF" w:rsidRPr="001F1E2A" w:rsidRDefault="00F93EEF" w:rsidP="00F93EEF">
            <w:pPr>
              <w:rPr>
                <w:rFonts w:ascii="Times New Roman" w:hAnsi="Times New Roman" w:cs="Times New Roman"/>
                <w:sz w:val="24"/>
                <w:szCs w:val="24"/>
                <w:lang w:eastAsia="lt-LT"/>
              </w:rPr>
            </w:pPr>
            <w:r>
              <w:rPr>
                <w:rFonts w:ascii="Times New Roman" w:hAnsi="Times New Roman" w:cs="Times New Roman"/>
                <w:sz w:val="24"/>
                <w:szCs w:val="24"/>
                <w:lang w:eastAsia="lt-LT"/>
              </w:rPr>
              <w:t>42</w:t>
            </w:r>
          </w:p>
        </w:tc>
        <w:tc>
          <w:tcPr>
            <w:tcW w:w="5670" w:type="dxa"/>
          </w:tcPr>
          <w:p w14:paraId="7F0296AC" w14:textId="77777777" w:rsidR="00F93EEF" w:rsidRDefault="00F93EEF" w:rsidP="00F93EEF">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PFSA naudojama</w:t>
            </w:r>
            <w:r w:rsidRPr="00B2475F">
              <w:rPr>
                <w:rFonts w:ascii="Times New Roman" w:hAnsi="Times New Roman" w:cs="Times New Roman"/>
                <w:color w:val="000000" w:themeColor="text1"/>
                <w:lang w:val="en-GB"/>
              </w:rPr>
              <w:t xml:space="preserve"> Privačių juridinių asmenų projektų vykdančiojo personalo bei dalyvių darbo užmokesčio fiksuotųjų įkainių nustat</w:t>
            </w:r>
            <w:r>
              <w:rPr>
                <w:rFonts w:ascii="Times New Roman" w:hAnsi="Times New Roman" w:cs="Times New Roman"/>
                <w:color w:val="000000" w:themeColor="text1"/>
                <w:lang w:val="en-GB"/>
              </w:rPr>
              <w:t>ymo tyrimo ataskaita parengta „</w:t>
            </w:r>
            <w:r w:rsidRPr="00B2475F">
              <w:rPr>
                <w:rFonts w:ascii="Times New Roman" w:hAnsi="Times New Roman" w:cs="Times New Roman"/>
                <w:color w:val="000000" w:themeColor="text1"/>
                <w:lang w:val="en-GB"/>
              </w:rPr>
              <w:t>remiantis Lietuvos statistikos departamento duomenimis, 2016 m. pradžioje Lietuvos Respubli</w:t>
            </w:r>
            <w:r>
              <w:rPr>
                <w:rFonts w:ascii="Times New Roman" w:hAnsi="Times New Roman" w:cs="Times New Roman"/>
                <w:color w:val="000000" w:themeColor="text1"/>
                <w:lang w:val="en-GB"/>
              </w:rPr>
              <w:t xml:space="preserve">koje veikė 99 200 ūkio subjektų, </w:t>
            </w:r>
            <w:r w:rsidRPr="00B2475F">
              <w:rPr>
                <w:rFonts w:ascii="Times New Roman" w:hAnsi="Times New Roman" w:cs="Times New Roman"/>
                <w:color w:val="000000" w:themeColor="text1"/>
                <w:lang w:val="en-GB"/>
              </w:rPr>
              <w:t>kurių didžioji dalis yra privatūs juridiniai asmenys</w:t>
            </w:r>
            <w:r>
              <w:rPr>
                <w:rFonts w:ascii="Times New Roman" w:hAnsi="Times New Roman" w:cs="Times New Roman"/>
                <w:color w:val="000000" w:themeColor="text1"/>
                <w:lang w:val="en-GB"/>
              </w:rPr>
              <w:t>,</w:t>
            </w:r>
            <w:r w:rsidRPr="00B2475F">
              <w:rPr>
                <w:rFonts w:ascii="Times New Roman" w:hAnsi="Times New Roman" w:cs="Times New Roman"/>
                <w:color w:val="000000" w:themeColor="text1"/>
                <w:lang w:val="en-GB"/>
              </w:rPr>
              <w:t xml:space="preserve"> t.y. potencialūs pagal Europos Sąjungos fondų investicijų veiksmų programos prioritetų įgyvendinimo priemones finansuojamų projektų dalyviai. 2007–2013 metų Europos Sąjungos struktūrinės paramos laikotarpiu vykdytų projektų duomenys apie privačių juridinių asmenų projektų dalyvių darbo užmokestį yra atsitiktiniai (nereprezentatyvūs, pavienių asmenų, apimantys ne visų ekonominės veiklos rūšims priskirtinų privačių juridinių asmenų darbuotojų darbo užmokestį, skirtingų laikotarpių), didelės apimties bei nesusisteminti tyrimui tinkamu būdu, todėl </w:t>
            </w:r>
            <w:r>
              <w:rPr>
                <w:rFonts w:ascii="Times New Roman" w:hAnsi="Times New Roman" w:cs="Times New Roman"/>
                <w:color w:val="000000" w:themeColor="text1"/>
                <w:lang w:val="en-GB"/>
              </w:rPr>
              <w:t>n</w:t>
            </w:r>
            <w:r>
              <w:rPr>
                <w:rFonts w:ascii="Times New Roman" w:hAnsi="Times New Roman" w:cs="Times New Roman"/>
                <w:color w:val="000000" w:themeColor="text1"/>
              </w:rPr>
              <w:t>ė</w:t>
            </w:r>
            <w:r>
              <w:rPr>
                <w:rFonts w:ascii="Times New Roman" w:hAnsi="Times New Roman" w:cs="Times New Roman"/>
                <w:color w:val="000000" w:themeColor="text1"/>
                <w:lang w:val="en-GB"/>
              </w:rPr>
              <w:t xml:space="preserve">ra </w:t>
            </w:r>
            <w:r w:rsidRPr="00B2475F">
              <w:rPr>
                <w:rFonts w:ascii="Times New Roman" w:hAnsi="Times New Roman" w:cs="Times New Roman"/>
                <w:color w:val="000000" w:themeColor="text1"/>
                <w:lang w:val="en-GB"/>
              </w:rPr>
              <w:t>tinkami naudoti fiksuotųjų įkainių dydžiams nustatyti. Kadangi pagal 2014–2020 m. Europos Sąjungos fondų investicijų veiksmų programos prioritetų įgyvendinimo priemones finansuojamų projektų veiklose turi galimybę dalyvauti skirtingo teisinio statuso įvairių rūšių ekonominę veiklą vykdančių privačių juridinių asmenų darbuotojai, tinkamiausias būdas universaliems, patikimiems ir nesudėtingai atnaujinamiems fiksuotiesiems įkainiams nustatyti – vadovautis Lietuvos statistikos departamento oficialiosios statistikos portale http://osp.stat.gov.lt/ skelbiamais darbo užmokesčio Lietuvos Respublikos privačiame sektoriuje (su individualiosiomis įmonėmis) vidutiniais dydžiais. Atsižvelgiant į tai, kad darbo užmokesčio vidutiniai dydžiai reikšmingai skiriasi pagal ekonominės veiklos rūšis, bei siekiant, kad nustatyti fiksuotieji įkainiai kuo geriau atitiktų faktinius darbo užmokesčio išlaidų dydžius, tyrimu nustatomi detalūs privačių juridinių asmenų projektų vykdančiojo personalo ir dalyvių darbo užmokesčio fiksuotieji įkainiai pagal EVRK (2 red.) taikomą ekonominių veikl</w:t>
            </w:r>
            <w:r>
              <w:rPr>
                <w:rFonts w:ascii="Times New Roman" w:hAnsi="Times New Roman" w:cs="Times New Roman"/>
                <w:color w:val="000000" w:themeColor="text1"/>
                <w:lang w:val="en-GB"/>
              </w:rPr>
              <w:t xml:space="preserve">os rūšių klasifikavimo sistemą“ </w:t>
            </w:r>
            <w:r w:rsidRPr="00B2475F">
              <w:rPr>
                <w:rFonts w:ascii="Times New Roman" w:hAnsi="Times New Roman" w:cs="Times New Roman"/>
                <w:color w:val="000000" w:themeColor="text1"/>
                <w:lang w:val="en-GB"/>
              </w:rPr>
              <w:t xml:space="preserve">(cituotas dokumentas). Pagrindinėse nuostatose </w:t>
            </w:r>
            <w:r w:rsidRPr="00B2475F">
              <w:rPr>
                <w:rFonts w:ascii="Times New Roman" w:hAnsi="Times New Roman" w:cs="Times New Roman"/>
                <w:color w:val="000000" w:themeColor="text1"/>
                <w:lang w:val="en-GB"/>
              </w:rPr>
              <w:lastRenderedPageBreak/>
              <w:t xml:space="preserve">neišskirtas būtent eksportuojančiųjų įmonių, tuo užsiimančių darbuotojų </w:t>
            </w:r>
            <w:r>
              <w:rPr>
                <w:rFonts w:ascii="Times New Roman" w:hAnsi="Times New Roman" w:cs="Times New Roman"/>
                <w:color w:val="000000" w:themeColor="text1"/>
                <w:lang w:val="en-GB"/>
              </w:rPr>
              <w:t>darbo užmokestis</w:t>
            </w:r>
            <w:r w:rsidRPr="00B2475F">
              <w:rPr>
                <w:rFonts w:ascii="Times New Roman" w:hAnsi="Times New Roman" w:cs="Times New Roman"/>
                <w:color w:val="000000" w:themeColor="text1"/>
                <w:lang w:val="en-GB"/>
              </w:rPr>
              <w:t xml:space="preserve">, kuris, deja, neprasideda nuo 4,13 eur/h (su visais mokesčiais). </w:t>
            </w:r>
          </w:p>
          <w:p w14:paraId="215B4FEE" w14:textId="77777777" w:rsidR="00F93EEF" w:rsidRPr="00B2475F" w:rsidRDefault="00F93EEF" w:rsidP="00F93EEF">
            <w:pPr>
              <w:jc w:val="both"/>
              <w:rPr>
                <w:rFonts w:ascii="Times New Roman" w:hAnsi="Times New Roman" w:cs="Times New Roman"/>
                <w:color w:val="000000" w:themeColor="text1"/>
                <w:lang w:val="en-GB"/>
              </w:rPr>
            </w:pPr>
            <w:r w:rsidRPr="00B2475F">
              <w:rPr>
                <w:rFonts w:ascii="Times New Roman" w:hAnsi="Times New Roman" w:cs="Times New Roman"/>
                <w:color w:val="000000" w:themeColor="text1"/>
                <w:lang w:val="en-GB"/>
              </w:rPr>
              <w:t>Atkreipiame dėmesį, kad PFSA naudojamame dokumente nėra numatyta jokios galimybės įmonėms finansuoti faktiškai patiriamas išlaidas tuo atveju, kai įdarbinamas eksperto lygio asmuo (pardavimai+reprezentavimas+užsienio kalbos mokėjimo lygis).</w:t>
            </w:r>
          </w:p>
          <w:p w14:paraId="47161249" w14:textId="77777777" w:rsidR="00F93EEF" w:rsidRPr="00AE64F6" w:rsidRDefault="00F93EEF" w:rsidP="00F93EEF">
            <w:pPr>
              <w:rPr>
                <w:rFonts w:ascii="Times New Roman" w:eastAsia="Times New Roman" w:hAnsi="Times New Roman" w:cs="Times New Roman"/>
                <w:color w:val="0F243E" w:themeColor="text2" w:themeShade="80"/>
                <w:sz w:val="24"/>
                <w:szCs w:val="24"/>
                <w:lang w:eastAsia="lt-LT"/>
              </w:rPr>
            </w:pPr>
          </w:p>
        </w:tc>
        <w:tc>
          <w:tcPr>
            <w:tcW w:w="1559" w:type="dxa"/>
          </w:tcPr>
          <w:p w14:paraId="34C85688" w14:textId="77777777" w:rsidR="00F93EEF" w:rsidRPr="001E5157" w:rsidRDefault="00F93EEF" w:rsidP="00F93EEF">
            <w:pP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4395" w:type="dxa"/>
          </w:tcPr>
          <w:p w14:paraId="04AC7B59" w14:textId="77777777" w:rsidR="00F93EEF" w:rsidRDefault="00F93EEF" w:rsidP="00F93EEF">
            <w:pPr>
              <w:jc w:val="both"/>
              <w:rPr>
                <w:rFonts w:ascii="Times New Roman" w:hAnsi="Times New Roman" w:cs="Times New Roman"/>
                <w:sz w:val="24"/>
              </w:rPr>
            </w:pPr>
            <w:r>
              <w:rPr>
                <w:rFonts w:ascii="Times New Roman" w:hAnsi="Times New Roman"/>
                <w:sz w:val="24"/>
              </w:rPr>
              <w:t>V</w:t>
            </w:r>
            <w:r w:rsidRPr="00EA7FD1">
              <w:rPr>
                <w:rFonts w:ascii="Times New Roman" w:hAnsi="Times New Roman"/>
                <w:sz w:val="24"/>
              </w:rPr>
              <w:t>erslo klasterio narių ekspertų darbo užmokestis</w:t>
            </w:r>
            <w:r>
              <w:rPr>
                <w:rFonts w:ascii="Times New Roman" w:hAnsi="Times New Roman"/>
                <w:sz w:val="24"/>
              </w:rPr>
              <w:t xml:space="preserve"> apmokamas taikant </w:t>
            </w:r>
            <w:r w:rsidRPr="007F2D5C">
              <w:rPr>
                <w:rFonts w:ascii="Times New Roman" w:hAnsi="Times New Roman"/>
                <w:sz w:val="24"/>
              </w:rPr>
              <w:t>Projektų vykdančiojo personalo darbo užmokesčio fiksuot</w:t>
            </w:r>
            <w:r>
              <w:rPr>
                <w:rFonts w:ascii="Times New Roman" w:hAnsi="Times New Roman"/>
                <w:sz w:val="24"/>
              </w:rPr>
              <w:t>ąjį</w:t>
            </w:r>
            <w:r w:rsidRPr="007F2D5C">
              <w:rPr>
                <w:rFonts w:ascii="Times New Roman" w:hAnsi="Times New Roman"/>
                <w:sz w:val="24"/>
              </w:rPr>
              <w:t xml:space="preserve"> įkain</w:t>
            </w:r>
            <w:r>
              <w:rPr>
                <w:rFonts w:ascii="Times New Roman" w:hAnsi="Times New Roman"/>
                <w:sz w:val="24"/>
              </w:rPr>
              <w:t xml:space="preserve">į, </w:t>
            </w:r>
            <w:r w:rsidRPr="00255E1E">
              <w:rPr>
                <w:rFonts w:ascii="Times New Roman" w:hAnsi="Times New Roman"/>
                <w:sz w:val="24"/>
              </w:rPr>
              <w:t>kuris nustatomas vadovaujantis 2016 m. vasario 19 d. VšĮ Europos socialinio fondo agentūros atlikta „Privačių juridinių asmenų projektų</w:t>
            </w:r>
            <w:r w:rsidRPr="0016068F">
              <w:rPr>
                <w:rFonts w:ascii="Times New Roman" w:hAnsi="Times New Roman"/>
                <w:sz w:val="24"/>
              </w:rPr>
              <w:t xml:space="preserve"> vykdančiojo personalo bei dalyvių darbo užmokesčio fiksuotųjų įkainių nustatymo tyrimo ataskaita</w:t>
            </w:r>
            <w:r>
              <w:rPr>
                <w:rFonts w:ascii="Times New Roman" w:hAnsi="Times New Roman"/>
                <w:sz w:val="24"/>
              </w:rPr>
              <w:t>“,</w:t>
            </w:r>
            <w:r w:rsidRPr="0016068F">
              <w:rPr>
                <w:rFonts w:ascii="Times New Roman" w:hAnsi="Times New Roman"/>
                <w:sz w:val="24"/>
              </w:rPr>
              <w:t xml:space="preserve"> </w:t>
            </w:r>
            <w:r>
              <w:rPr>
                <w:rFonts w:ascii="Times New Roman" w:hAnsi="Times New Roman" w:cs="Times New Roman"/>
                <w:sz w:val="24"/>
              </w:rPr>
              <w:t>kuri</w:t>
            </w:r>
            <w:r w:rsidRPr="00EA7FD1">
              <w:rPr>
                <w:rFonts w:ascii="Times New Roman" w:hAnsi="Times New Roman" w:cs="Times New Roman"/>
                <w:sz w:val="24"/>
              </w:rPr>
              <w:t xml:space="preserve"> skelbiam</w:t>
            </w:r>
            <w:r>
              <w:rPr>
                <w:rFonts w:ascii="Times New Roman" w:hAnsi="Times New Roman" w:cs="Times New Roman"/>
                <w:sz w:val="24"/>
              </w:rPr>
              <w:t>a</w:t>
            </w:r>
            <w:r w:rsidRPr="00EA7FD1">
              <w:rPr>
                <w:rFonts w:ascii="Times New Roman" w:hAnsi="Times New Roman" w:cs="Times New Roman"/>
                <w:sz w:val="24"/>
              </w:rPr>
              <w:t xml:space="preserve"> ES struktūrinių fondų svetainėje</w:t>
            </w:r>
            <w:r>
              <w:rPr>
                <w:rFonts w:ascii="Times New Roman" w:hAnsi="Times New Roman" w:cs="Times New Roman"/>
                <w:sz w:val="24"/>
              </w:rPr>
              <w:t xml:space="preserve"> </w:t>
            </w:r>
            <w:hyperlink r:id="rId13" w:history="1">
              <w:r w:rsidRPr="00F927CB">
                <w:rPr>
                  <w:rStyle w:val="Hyperlink"/>
                  <w:rFonts w:ascii="Times New Roman" w:hAnsi="Times New Roman" w:cs="Times New Roman"/>
                  <w:sz w:val="24"/>
                </w:rPr>
                <w:t>http://www.esinvesticijos.lt/lt/dokumentai/privaciu-juridiniu-asmenu-projektu-dalyviu-darbo-uzmokescio-fiksuotuju-ikainiu-nustatymo-tyrimo-ataskaita</w:t>
              </w:r>
            </w:hyperlink>
            <w:r>
              <w:rPr>
                <w:rFonts w:ascii="Times New Roman" w:hAnsi="Times New Roman" w:cs="Times New Roman"/>
                <w:sz w:val="24"/>
              </w:rPr>
              <w:t>.</w:t>
            </w:r>
          </w:p>
          <w:p w14:paraId="6804B3EF" w14:textId="77777777" w:rsidR="00F93EEF" w:rsidRPr="00255E1E" w:rsidRDefault="00F93EEF" w:rsidP="00F93EEF">
            <w:pPr>
              <w:jc w:val="both"/>
              <w:rPr>
                <w:rFonts w:ascii="Times New Roman" w:hAnsi="Times New Roman"/>
                <w:sz w:val="24"/>
              </w:rPr>
            </w:pPr>
            <w:r w:rsidRPr="00255E1E">
              <w:rPr>
                <w:rFonts w:ascii="Times New Roman" w:hAnsi="Times New Roman"/>
                <w:sz w:val="24"/>
              </w:rPr>
              <w:t>Privačių juridinių asmenų projektų vykdančiojo personalo bei dalyvių darbo užmokesčio fiksuotųjų įkainių nustatymo tyrimu (toliau – tyrimas) nustatyti iš Europos Sąjungos struktūrinių fondų lėšų bendrai finansuojamų projektų (toliau – projektas) veiklas vykdančių bei veiklose dalyvaujančių privačių juridi</w:t>
            </w:r>
            <w:r>
              <w:rPr>
                <w:rFonts w:ascii="Times New Roman" w:hAnsi="Times New Roman"/>
                <w:sz w:val="24"/>
              </w:rPr>
              <w:t xml:space="preserve">nių asmenų darbuotojų vidutiniai darbo užmokesčio dydžiai, taikytini kaip </w:t>
            </w:r>
            <w:r w:rsidRPr="00255E1E">
              <w:rPr>
                <w:rFonts w:ascii="Times New Roman" w:hAnsi="Times New Roman"/>
                <w:b/>
                <w:sz w:val="24"/>
              </w:rPr>
              <w:t>maksimalūs fiksuotųjų įkainių dydžiai</w:t>
            </w:r>
            <w:r>
              <w:rPr>
                <w:rFonts w:ascii="Times New Roman" w:hAnsi="Times New Roman"/>
                <w:sz w:val="24"/>
              </w:rPr>
              <w:t>, todėl neturime galimybės nustatyti didesnį ekspertų</w:t>
            </w:r>
            <w:r w:rsidRPr="007F2D5C">
              <w:rPr>
                <w:rFonts w:ascii="Times New Roman" w:hAnsi="Times New Roman"/>
                <w:sz w:val="24"/>
              </w:rPr>
              <w:t xml:space="preserve"> darbo užmokesčio fiksuot</w:t>
            </w:r>
            <w:r>
              <w:rPr>
                <w:rFonts w:ascii="Times New Roman" w:hAnsi="Times New Roman"/>
                <w:sz w:val="24"/>
              </w:rPr>
              <w:t>ąjį</w:t>
            </w:r>
            <w:r w:rsidRPr="007F2D5C">
              <w:rPr>
                <w:rFonts w:ascii="Times New Roman" w:hAnsi="Times New Roman"/>
                <w:sz w:val="24"/>
              </w:rPr>
              <w:t xml:space="preserve"> įkain</w:t>
            </w:r>
            <w:r>
              <w:rPr>
                <w:rFonts w:ascii="Times New Roman" w:hAnsi="Times New Roman"/>
                <w:sz w:val="24"/>
              </w:rPr>
              <w:t>į.</w:t>
            </w:r>
          </w:p>
          <w:p w14:paraId="1777D748" w14:textId="77777777" w:rsidR="00F93EEF" w:rsidRPr="0024410E" w:rsidRDefault="00F93EEF" w:rsidP="00F93EEF">
            <w:pPr>
              <w:jc w:val="both"/>
              <w:rPr>
                <w:rFonts w:ascii="Times New Roman" w:hAnsi="Times New Roman" w:cs="Times New Roman"/>
                <w:szCs w:val="20"/>
              </w:rPr>
            </w:pPr>
          </w:p>
        </w:tc>
      </w:tr>
      <w:tr w:rsidR="007E5DFE" w:rsidRPr="0010310B" w14:paraId="789506C8" w14:textId="77777777" w:rsidTr="007E5DFE">
        <w:trPr>
          <w:trHeight w:val="3782"/>
        </w:trPr>
        <w:tc>
          <w:tcPr>
            <w:tcW w:w="675" w:type="dxa"/>
          </w:tcPr>
          <w:p w14:paraId="3EE33277" w14:textId="77777777" w:rsidR="007E5DFE" w:rsidRPr="00534D35" w:rsidRDefault="007E5DFE" w:rsidP="00F93EEF">
            <w:pPr>
              <w:pStyle w:val="ListParagraph"/>
              <w:numPr>
                <w:ilvl w:val="0"/>
                <w:numId w:val="3"/>
              </w:numPr>
              <w:ind w:left="284" w:hanging="284"/>
              <w:rPr>
                <w:rFonts w:ascii="Times New Roman" w:hAnsi="Times New Roman" w:cs="Times New Roman"/>
                <w:sz w:val="24"/>
                <w:szCs w:val="24"/>
              </w:rPr>
            </w:pPr>
          </w:p>
        </w:tc>
        <w:tc>
          <w:tcPr>
            <w:tcW w:w="1785" w:type="dxa"/>
            <w:vMerge w:val="restart"/>
          </w:tcPr>
          <w:p w14:paraId="2D13C9C9" w14:textId="77777777" w:rsidR="007E5DFE" w:rsidRPr="005B27F4" w:rsidRDefault="007E5DFE" w:rsidP="00F93EEF">
            <w:pPr>
              <w:rPr>
                <w:rFonts w:ascii="Times New Roman" w:hAnsi="Times New Roman" w:cs="Times New Roman"/>
                <w:b/>
                <w:sz w:val="24"/>
                <w:szCs w:val="24"/>
                <w:lang w:eastAsia="lt-LT"/>
              </w:rPr>
            </w:pPr>
            <w:r w:rsidRPr="005B27F4">
              <w:rPr>
                <w:rFonts w:ascii="Times New Roman" w:hAnsi="Times New Roman" w:cs="Times New Roman"/>
                <w:b/>
                <w:sz w:val="24"/>
                <w:szCs w:val="24"/>
                <w:lang w:eastAsia="lt-LT"/>
              </w:rPr>
              <w:t>Lietuvos verslo konfederacija</w:t>
            </w:r>
          </w:p>
        </w:tc>
        <w:tc>
          <w:tcPr>
            <w:tcW w:w="1192" w:type="dxa"/>
          </w:tcPr>
          <w:p w14:paraId="6B30F397" w14:textId="77777777" w:rsidR="007E5DFE" w:rsidRPr="001F1E2A" w:rsidRDefault="007E5DFE" w:rsidP="00F93EEF">
            <w:pPr>
              <w:rPr>
                <w:rFonts w:ascii="Times New Roman" w:hAnsi="Times New Roman" w:cs="Times New Roman"/>
                <w:sz w:val="24"/>
                <w:szCs w:val="24"/>
                <w:lang w:eastAsia="lt-LT"/>
              </w:rPr>
            </w:pPr>
            <w:r>
              <w:rPr>
                <w:rFonts w:ascii="Times New Roman" w:hAnsi="Times New Roman" w:cs="Times New Roman"/>
                <w:sz w:val="24"/>
                <w:szCs w:val="24"/>
                <w:lang w:eastAsia="lt-LT"/>
              </w:rPr>
              <w:t>13</w:t>
            </w:r>
          </w:p>
        </w:tc>
        <w:tc>
          <w:tcPr>
            <w:tcW w:w="5670" w:type="dxa"/>
          </w:tcPr>
          <w:p w14:paraId="4FFDE450" w14:textId="77777777" w:rsidR="007E5DFE" w:rsidRPr="00686EC8" w:rsidRDefault="007E5DFE" w:rsidP="00F93EEF">
            <w:pPr>
              <w:rPr>
                <w:rFonts w:ascii="Times New Roman" w:hAnsi="Times New Roman" w:cs="Times New Roman"/>
                <w:sz w:val="24"/>
                <w:szCs w:val="24"/>
              </w:rPr>
            </w:pPr>
            <w:r>
              <w:rPr>
                <w:rFonts w:ascii="Times New Roman" w:eastAsia="AngsanaUPC" w:hAnsi="Times New Roman"/>
                <w:bCs/>
                <w:sz w:val="24"/>
              </w:rPr>
              <w:t>1</w:t>
            </w:r>
            <w:r w:rsidRPr="00686EC8">
              <w:rPr>
                <w:rFonts w:ascii="Times New Roman" w:eastAsia="AngsanaUPC" w:hAnsi="Times New Roman" w:cs="Times New Roman"/>
                <w:bCs/>
                <w:sz w:val="24"/>
                <w:szCs w:val="24"/>
              </w:rPr>
              <w:t xml:space="preserve">3. Pagal Aprašą </w:t>
            </w:r>
            <w:r w:rsidRPr="00686EC8">
              <w:rPr>
                <w:rFonts w:ascii="Times New Roman" w:eastAsia="AngsanaUPC" w:hAnsi="Times New Roman" w:cs="Times New Roman"/>
                <w:bCs/>
                <w:strike/>
                <w:sz w:val="24"/>
                <w:szCs w:val="24"/>
              </w:rPr>
              <w:t xml:space="preserve">galimi </w:t>
            </w:r>
            <w:r w:rsidRPr="00686EC8">
              <w:rPr>
                <w:rFonts w:ascii="Times New Roman" w:eastAsia="AngsanaUPC" w:hAnsi="Times New Roman" w:cs="Times New Roman"/>
                <w:bCs/>
                <w:sz w:val="24"/>
                <w:szCs w:val="24"/>
              </w:rPr>
              <w:t>p</w:t>
            </w:r>
            <w:r w:rsidRPr="00686EC8">
              <w:rPr>
                <w:rFonts w:ascii="Times New Roman" w:hAnsi="Times New Roman" w:cs="Times New Roman"/>
                <w:sz w:val="24"/>
                <w:szCs w:val="24"/>
              </w:rPr>
              <w:t xml:space="preserve">artneriai yra verslo klasterio nariai </w:t>
            </w:r>
            <w:r w:rsidRPr="00686EC8">
              <w:rPr>
                <w:rFonts w:ascii="Times New Roman" w:eastAsia="AngsanaUPC" w:hAnsi="Times New Roman" w:cs="Times New Roman"/>
                <w:bCs/>
                <w:sz w:val="24"/>
                <w:szCs w:val="24"/>
              </w:rPr>
              <w:t xml:space="preserve">– </w:t>
            </w:r>
            <w:r w:rsidRPr="00686EC8">
              <w:rPr>
                <w:rFonts w:ascii="Times New Roman" w:hAnsi="Times New Roman" w:cs="Times New Roman"/>
                <w:sz w:val="24"/>
                <w:szCs w:val="24"/>
              </w:rPr>
              <w:t>MVĮ.</w:t>
            </w:r>
          </w:p>
          <w:p w14:paraId="5A2C9FA9" w14:textId="77777777" w:rsidR="007E5DFE" w:rsidRPr="00686EC8" w:rsidRDefault="007E5DFE" w:rsidP="00686EC8">
            <w:pPr>
              <w:jc w:val="both"/>
              <w:rPr>
                <w:rFonts w:ascii="Times New Roman" w:hAnsi="Times New Roman" w:cs="Times New Roman"/>
                <w:sz w:val="24"/>
                <w:szCs w:val="24"/>
              </w:rPr>
            </w:pPr>
            <w:r w:rsidRPr="00686EC8">
              <w:rPr>
                <w:rFonts w:ascii="Times New Roman" w:hAnsi="Times New Roman" w:cs="Times New Roman"/>
                <w:sz w:val="24"/>
                <w:szCs w:val="24"/>
              </w:rPr>
              <w:t xml:space="preserve">Sąvoka </w:t>
            </w:r>
            <w:r w:rsidRPr="00686EC8">
              <w:rPr>
                <w:rFonts w:ascii="Times New Roman" w:hAnsi="Times New Roman" w:cs="Times New Roman"/>
                <w:i/>
                <w:sz w:val="24"/>
                <w:szCs w:val="24"/>
              </w:rPr>
              <w:t>galimi</w:t>
            </w:r>
            <w:r w:rsidRPr="00686EC8">
              <w:rPr>
                <w:rFonts w:ascii="Times New Roman" w:hAnsi="Times New Roman" w:cs="Times New Roman"/>
                <w:sz w:val="24"/>
                <w:szCs w:val="24"/>
              </w:rPr>
              <w:t xml:space="preserve"> suponuoja galimybę būti projekto partneriu arba juo nebūti, tačiau gauti naudą kaip klasterio nariui.</w:t>
            </w:r>
          </w:p>
          <w:p w14:paraId="7CF604FC" w14:textId="77777777" w:rsidR="007E5DFE" w:rsidRPr="00AE64F6" w:rsidRDefault="007E5DFE" w:rsidP="00686EC8">
            <w:pPr>
              <w:jc w:val="both"/>
              <w:rPr>
                <w:rFonts w:ascii="Times New Roman" w:eastAsia="Times New Roman" w:hAnsi="Times New Roman" w:cs="Times New Roman"/>
                <w:sz w:val="24"/>
                <w:szCs w:val="24"/>
                <w:lang w:eastAsia="lt-LT"/>
              </w:rPr>
            </w:pPr>
            <w:r w:rsidRPr="00686EC8">
              <w:rPr>
                <w:rFonts w:ascii="Times New Roman" w:hAnsi="Times New Roman" w:cs="Times New Roman"/>
                <w:sz w:val="24"/>
                <w:szCs w:val="24"/>
              </w:rPr>
              <w:t>Mūsų nuomone, MVĮ, norintis dalyvauti projekte, turi būti klasterio nariu ir tapti projekto partneriu.</w:t>
            </w:r>
          </w:p>
        </w:tc>
        <w:tc>
          <w:tcPr>
            <w:tcW w:w="1559" w:type="dxa"/>
          </w:tcPr>
          <w:p w14:paraId="052A3BA6" w14:textId="77777777" w:rsidR="007E5DFE" w:rsidRPr="00686EC8" w:rsidRDefault="007E5DFE" w:rsidP="00F93EEF">
            <w:pPr>
              <w:rPr>
                <w:rFonts w:ascii="Times New Roman" w:hAnsi="Times New Roman" w:cs="Times New Roman"/>
                <w:sz w:val="24"/>
                <w:szCs w:val="24"/>
              </w:rPr>
            </w:pPr>
            <w:r w:rsidRPr="00686EC8">
              <w:rPr>
                <w:rFonts w:ascii="Times New Roman" w:hAnsi="Times New Roman" w:cs="Times New Roman"/>
                <w:sz w:val="24"/>
                <w:szCs w:val="24"/>
              </w:rPr>
              <w:t>Neatsižvelgta</w:t>
            </w:r>
          </w:p>
        </w:tc>
        <w:tc>
          <w:tcPr>
            <w:tcW w:w="4395" w:type="dxa"/>
          </w:tcPr>
          <w:p w14:paraId="403F0BC6" w14:textId="77777777" w:rsidR="007E5DFE" w:rsidRDefault="007E5DFE" w:rsidP="00093BBA">
            <w:pPr>
              <w:jc w:val="both"/>
              <w:rPr>
                <w:rFonts w:ascii="Times New Roman" w:hAnsi="Times New Roman" w:cs="Times New Roman"/>
                <w:sz w:val="24"/>
                <w:szCs w:val="24"/>
              </w:rPr>
            </w:pPr>
            <w:r w:rsidRPr="00686EC8">
              <w:rPr>
                <w:rFonts w:ascii="Times New Roman" w:hAnsi="Times New Roman" w:cs="Times New Roman"/>
                <w:sz w:val="24"/>
                <w:szCs w:val="24"/>
              </w:rPr>
              <w:t xml:space="preserve">Tokia šio PFSA punkto </w:t>
            </w:r>
            <w:r>
              <w:rPr>
                <w:rFonts w:ascii="Times New Roman" w:hAnsi="Times New Roman" w:cs="Times New Roman"/>
                <w:sz w:val="24"/>
                <w:szCs w:val="24"/>
              </w:rPr>
              <w:t xml:space="preserve">formuluotė nurodyta pavyzdinėje PFSA formoje, kuriai pritarta </w:t>
            </w:r>
            <w:r w:rsidRPr="00093BBA">
              <w:rPr>
                <w:rFonts w:ascii="Times New Roman" w:hAnsi="Times New Roman" w:cs="Times New Roman"/>
                <w:sz w:val="24"/>
                <w:szCs w:val="24"/>
              </w:rPr>
              <w:t>2014–2020 metų Europos Sąjungos struktūrinių fondų administravimo darbo grupės, sudarytos Lietuvos Respublikos finansų ministro 2013 m. liepos 11 d. įsakymu Nr. 1K-243 „Dėl darbo grupės sudarymo“, 2018 m. balandžio 10 d. posėdžio protokolu Nr. 1 (40)</w:t>
            </w:r>
            <w:r>
              <w:rPr>
                <w:rFonts w:ascii="Times New Roman" w:hAnsi="Times New Roman" w:cs="Times New Roman"/>
                <w:sz w:val="24"/>
                <w:szCs w:val="24"/>
              </w:rPr>
              <w:t xml:space="preserve">. Todėl jos keisti neturime galimybės. </w:t>
            </w:r>
          </w:p>
          <w:p w14:paraId="4DB374CF" w14:textId="77777777" w:rsidR="007E5DFE" w:rsidRPr="00686EC8" w:rsidRDefault="007E5DFE" w:rsidP="00093BBA">
            <w:pPr>
              <w:jc w:val="both"/>
              <w:rPr>
                <w:rFonts w:ascii="Times New Roman" w:hAnsi="Times New Roman" w:cs="Times New Roman"/>
                <w:sz w:val="24"/>
                <w:szCs w:val="24"/>
              </w:rPr>
            </w:pPr>
            <w:r>
              <w:rPr>
                <w:rFonts w:ascii="Times New Roman" w:hAnsi="Times New Roman" w:cs="Times New Roman"/>
                <w:sz w:val="24"/>
                <w:szCs w:val="24"/>
              </w:rPr>
              <w:t>Pažymime, kad verslo klasterio narys – MVĮ, norintis dalyvauti projekte būtinai turi tapti projekto partneriu.</w:t>
            </w:r>
          </w:p>
        </w:tc>
      </w:tr>
      <w:tr w:rsidR="007E5DFE" w:rsidRPr="00733CD5" w14:paraId="6BB9DFFB" w14:textId="77777777" w:rsidTr="007E5DFE">
        <w:trPr>
          <w:trHeight w:val="3782"/>
        </w:trPr>
        <w:tc>
          <w:tcPr>
            <w:tcW w:w="675" w:type="dxa"/>
          </w:tcPr>
          <w:p w14:paraId="083221D8" w14:textId="77777777" w:rsidR="007E5DFE" w:rsidRPr="00733CD5" w:rsidRDefault="007E5DFE" w:rsidP="00F93EEF">
            <w:pPr>
              <w:pStyle w:val="ListParagraph"/>
              <w:numPr>
                <w:ilvl w:val="0"/>
                <w:numId w:val="3"/>
              </w:numPr>
              <w:ind w:left="284" w:hanging="284"/>
              <w:rPr>
                <w:rFonts w:ascii="Times New Roman" w:hAnsi="Times New Roman" w:cs="Times New Roman"/>
                <w:sz w:val="24"/>
                <w:szCs w:val="24"/>
              </w:rPr>
            </w:pPr>
          </w:p>
        </w:tc>
        <w:tc>
          <w:tcPr>
            <w:tcW w:w="1785" w:type="dxa"/>
            <w:vMerge/>
          </w:tcPr>
          <w:p w14:paraId="06490043" w14:textId="77777777" w:rsidR="007E5DFE" w:rsidRPr="00733CD5" w:rsidRDefault="007E5DFE" w:rsidP="00F93EEF">
            <w:pPr>
              <w:rPr>
                <w:rFonts w:ascii="Times New Roman" w:hAnsi="Times New Roman" w:cs="Times New Roman"/>
                <w:b/>
                <w:sz w:val="24"/>
                <w:szCs w:val="24"/>
                <w:lang w:eastAsia="lt-LT"/>
              </w:rPr>
            </w:pPr>
          </w:p>
        </w:tc>
        <w:tc>
          <w:tcPr>
            <w:tcW w:w="1192" w:type="dxa"/>
          </w:tcPr>
          <w:p w14:paraId="399BC4EF" w14:textId="77777777" w:rsidR="007E5DFE" w:rsidRPr="00733CD5" w:rsidRDefault="007E5DFE" w:rsidP="00F93EEF">
            <w:pPr>
              <w:rPr>
                <w:rFonts w:ascii="Times New Roman" w:hAnsi="Times New Roman" w:cs="Times New Roman"/>
                <w:sz w:val="24"/>
                <w:szCs w:val="24"/>
                <w:lang w:eastAsia="lt-LT"/>
              </w:rPr>
            </w:pPr>
            <w:r w:rsidRPr="00733CD5">
              <w:rPr>
                <w:rFonts w:ascii="Times New Roman" w:hAnsi="Times New Roman" w:cs="Times New Roman"/>
                <w:sz w:val="24"/>
                <w:szCs w:val="24"/>
                <w:lang w:eastAsia="lt-LT"/>
              </w:rPr>
              <w:t>21.4</w:t>
            </w:r>
          </w:p>
        </w:tc>
        <w:tc>
          <w:tcPr>
            <w:tcW w:w="5670" w:type="dxa"/>
          </w:tcPr>
          <w:p w14:paraId="27DEE050" w14:textId="77777777" w:rsidR="007E5DFE" w:rsidRPr="00733CD5" w:rsidRDefault="007E5DFE" w:rsidP="007E5DFE">
            <w:pPr>
              <w:jc w:val="both"/>
              <w:rPr>
                <w:rFonts w:ascii="Times New Roman" w:hAnsi="Times New Roman" w:cs="Times New Roman"/>
              </w:rPr>
            </w:pPr>
            <w:r w:rsidRPr="00733CD5">
              <w:rPr>
                <w:rFonts w:ascii="Times New Roman" w:hAnsi="Times New Roman" w:cs="Times New Roman"/>
              </w:rPr>
              <w:t>21.4. Pareiškėjas turi pakankamai eksporto arba tarptautiškumo skatinimo veiklų įgyvendinimo patirties</w:t>
            </w:r>
            <w:r w:rsidRPr="00733CD5">
              <w:rPr>
                <w:rFonts w:ascii="Times New Roman" w:hAnsi="Times New Roman" w:cs="Times New Roman"/>
                <w:bCs/>
              </w:rPr>
              <w:t xml:space="preserve"> (</w:t>
            </w:r>
            <w:r w:rsidRPr="00733CD5">
              <w:rPr>
                <w:rFonts w:ascii="Times New Roman" w:hAnsi="Times New Roman" w:cs="Times New Roman"/>
              </w:rPr>
              <w:t>vertinama, ar pareiškėjas – klasterio koordinatorius turi pakankamai patirties eksporto arba tarptautiškumo skatinimo veiklų srityje. Jei pareiškėjas – klasterio koordinatorius yra viena iš verslo klasterį sudarančių MVĮ, pareiškėjas turi būti veikiantis ne trumpiau kaip vienus metus, jo pajamos iš eksporto veiklos patvirtintą paskutinių ataskaitinių finansinių metų metinių finansinių ataskaitų rinkinį</w:t>
            </w:r>
            <w:r w:rsidRPr="00733CD5">
              <w:rPr>
                <w:rFonts w:ascii="Times New Roman" w:hAnsi="Times New Roman" w:cs="Times New Roman"/>
                <w:i/>
              </w:rPr>
              <w:t xml:space="preserve"> </w:t>
            </w:r>
            <w:r w:rsidRPr="00733CD5">
              <w:rPr>
                <w:rFonts w:ascii="Times New Roman" w:hAnsi="Times New Roman" w:cs="Times New Roman"/>
              </w:rPr>
              <w:t xml:space="preserve">turi būti ne mažesnės kaip 100 000 Eur </w:t>
            </w:r>
            <w:r w:rsidRPr="00733CD5">
              <w:rPr>
                <w:rFonts w:ascii="Times New Roman" w:hAnsi="Times New Roman" w:cs="Times New Roman"/>
                <w:bCs/>
              </w:rPr>
              <w:t>(šimtas tūkstančių eurų)</w:t>
            </w:r>
            <w:r w:rsidRPr="00733CD5">
              <w:rPr>
                <w:rFonts w:ascii="Times New Roman" w:hAnsi="Times New Roman" w:cs="Times New Roman"/>
              </w:rPr>
              <w:t xml:space="preserve">. Jei pareiškėjas – klasterio koordinatorius, kuriuo yra verslo asociacija arba prekybos, pramonės ir amatų rūmai, pareiškėjas turi būti įgyvendinęs ne mažiau negu 3 projektus </w:t>
            </w:r>
            <w:r w:rsidRPr="00733CD5">
              <w:rPr>
                <w:rFonts w:ascii="Times New Roman" w:hAnsi="Times New Roman" w:cs="Times New Roman"/>
                <w:b/>
                <w:color w:val="FF0000"/>
              </w:rPr>
              <w:t>(eksporto skatinimo veiklas)</w:t>
            </w:r>
            <w:r w:rsidRPr="00733CD5">
              <w:rPr>
                <w:rFonts w:ascii="Times New Roman" w:hAnsi="Times New Roman" w:cs="Times New Roman"/>
              </w:rPr>
              <w:t xml:space="preserve"> tarptautiškumo skatinimo</w:t>
            </w:r>
            <w:r w:rsidRPr="00733CD5">
              <w:rPr>
                <w:rFonts w:ascii="Times New Roman" w:hAnsi="Times New Roman" w:cs="Times New Roman"/>
                <w:i/>
              </w:rPr>
              <w:t xml:space="preserve"> </w:t>
            </w:r>
            <w:r w:rsidRPr="00733CD5">
              <w:rPr>
                <w:rFonts w:ascii="Times New Roman" w:hAnsi="Times New Roman" w:cs="Times New Roman"/>
              </w:rPr>
              <w:t xml:space="preserve">srityje per pastaruosius trejus metus iki paraiškos pateikimo ir pasiekęs projektu užsibrėžtus rodiklius. Projekto atitiktis </w:t>
            </w:r>
            <w:r w:rsidRPr="00733CD5">
              <w:rPr>
                <w:rFonts w:ascii="Times New Roman" w:hAnsi="Times New Roman" w:cs="Times New Roman"/>
              </w:rPr>
              <w:lastRenderedPageBreak/>
              <w:t>šiam kriterijui vertinama tik paraiškos vertinimo metu).</w:t>
            </w:r>
          </w:p>
          <w:p w14:paraId="2C502E96" w14:textId="77777777" w:rsidR="00733CD5" w:rsidRPr="00733CD5" w:rsidRDefault="00733CD5" w:rsidP="007E5DFE">
            <w:pPr>
              <w:jc w:val="both"/>
              <w:rPr>
                <w:rFonts w:ascii="Times New Roman" w:eastAsia="AngsanaUPC" w:hAnsi="Times New Roman" w:cs="Times New Roman"/>
                <w:bCs/>
              </w:rPr>
            </w:pPr>
            <w:r w:rsidRPr="00733CD5">
              <w:rPr>
                <w:rFonts w:ascii="Times New Roman" w:hAnsi="Times New Roman" w:cs="Times New Roman"/>
              </w:rPr>
              <w:t xml:space="preserve">Žiūrint į analogiją to paties 3 prioriteto „Smulkiojo ir vidutinio verslo konkurencingumo skatinimas“ priemonėje Nr. 03.2.1.-LVPA-K-801 „Naujos galimybės LT“, vertinant paraišką, buvo vertinamos eksporto skatinimo veiklos – viena verslo misija ir (ar) vienas grupinis įmonių dalyvavimas tarptautinėje parodoje buvo suprantama kaip projektas („Pareiškėjo patirtis matuojama kiekybiniais rodikliais – pagal projektų skaičių ir projektų vertę“). Atsižvelgiant į tai, kad šios priemonės tikslas – smulkiojo ir vidutinio verslo konkurencingumo skatinimas, </w:t>
            </w:r>
            <w:r w:rsidRPr="00733CD5">
              <w:rPr>
                <w:rFonts w:ascii="Times New Roman" w:hAnsi="Times New Roman" w:cs="Times New Roman"/>
                <w:b/>
              </w:rPr>
              <w:t>siūlytina projektą traktuoti kaip eksporto skatinimo veiklą.</w:t>
            </w:r>
            <w:r w:rsidRPr="00733CD5">
              <w:rPr>
                <w:rFonts w:ascii="Times New Roman" w:hAnsi="Times New Roman" w:cs="Times New Roman"/>
              </w:rPr>
              <w:t xml:space="preserve"> Be to, neužtikrinamas proporcingumo principas tuo atžvilgiu, kad vieni pareiškėjai bus įgyvendinę projektą pagal priemonę  Nr. 03.2.1.-LVPA-K-801 „Naujos galimybės LT“, kurio vertė siekia kelis šimtus tūkstančių eurų, ir pareiškėjai, kurie bus įgyvendinę vieną veiklą (nebūtinai finansuojamą ES lėšomis) – pavyzdžiui, išvykstamąją verslo misiją už keliasdešimt tūkstančių eurų, ir kiekybiniu požiūriu, tai bus vienodas pasiektas rodiklis – 1 projektas.</w:t>
            </w:r>
          </w:p>
        </w:tc>
        <w:tc>
          <w:tcPr>
            <w:tcW w:w="1559" w:type="dxa"/>
          </w:tcPr>
          <w:p w14:paraId="1B17FBF3" w14:textId="7F8212D6" w:rsidR="007E5DFE" w:rsidRPr="00733CD5" w:rsidRDefault="00474771" w:rsidP="00474771">
            <w:pPr>
              <w:rPr>
                <w:rFonts w:ascii="Times New Roman" w:hAnsi="Times New Roman" w:cs="Times New Roman"/>
                <w:sz w:val="24"/>
                <w:szCs w:val="24"/>
              </w:rPr>
            </w:pPr>
            <w:r>
              <w:rPr>
                <w:rFonts w:ascii="Times New Roman" w:hAnsi="Times New Roman" w:cs="Times New Roman"/>
                <w:sz w:val="24"/>
                <w:szCs w:val="24"/>
              </w:rPr>
              <w:lastRenderedPageBreak/>
              <w:t>Atsižvelgta dalinai</w:t>
            </w:r>
            <w:bookmarkStart w:id="0" w:name="_GoBack"/>
            <w:bookmarkEnd w:id="0"/>
          </w:p>
        </w:tc>
        <w:tc>
          <w:tcPr>
            <w:tcW w:w="4395" w:type="dxa"/>
          </w:tcPr>
          <w:p w14:paraId="02294963" w14:textId="6BF6271D" w:rsidR="0083000C" w:rsidRDefault="0083000C" w:rsidP="0083000C">
            <w:pPr>
              <w:jc w:val="both"/>
              <w:rPr>
                <w:rFonts w:ascii="Times New Roman" w:hAnsi="Times New Roman"/>
                <w:sz w:val="24"/>
              </w:rPr>
            </w:pPr>
            <w:r>
              <w:rPr>
                <w:rFonts w:ascii="Times New Roman" w:hAnsi="Times New Roman"/>
                <w:sz w:val="24"/>
              </w:rPr>
              <w:t>Šis specialusis</w:t>
            </w:r>
            <w:r w:rsidRPr="00EA7FD1">
              <w:rPr>
                <w:rFonts w:ascii="Times New Roman" w:hAnsi="Times New Roman"/>
                <w:sz w:val="24"/>
              </w:rPr>
              <w:t xml:space="preserve"> projektų atrankos kriterijus</w:t>
            </w:r>
            <w:r>
              <w:rPr>
                <w:rFonts w:ascii="Times New Roman" w:hAnsi="Times New Roman"/>
                <w:sz w:val="24"/>
              </w:rPr>
              <w:t xml:space="preserve"> patvirtinta</w:t>
            </w:r>
            <w:r w:rsidRPr="00EA7FD1">
              <w:rPr>
                <w:rFonts w:ascii="Times New Roman" w:hAnsi="Times New Roman"/>
                <w:sz w:val="24"/>
              </w:rPr>
              <w:t>s 2014</w:t>
            </w:r>
            <w:r w:rsidRPr="008B0D62">
              <w:rPr>
                <w:rFonts w:ascii="Times New Roman" w:hAnsi="Times New Roman"/>
                <w:sz w:val="24"/>
              </w:rPr>
              <w:t>–</w:t>
            </w:r>
            <w:r w:rsidRPr="00EA7FD1">
              <w:rPr>
                <w:rFonts w:ascii="Times New Roman" w:hAnsi="Times New Roman"/>
                <w:sz w:val="24"/>
              </w:rPr>
              <w:t xml:space="preserve">2020 metų Europos Sąjungos fondų investicijų veiksmų programos Stebėsenos komiteto 2018 m. rugsėjo 20 d. </w:t>
            </w:r>
            <w:r>
              <w:rPr>
                <w:rFonts w:ascii="Times New Roman" w:hAnsi="Times New Roman"/>
                <w:sz w:val="24"/>
              </w:rPr>
              <w:t>protokoliniu sprendimu</w:t>
            </w:r>
            <w:r w:rsidRPr="00EA7FD1">
              <w:rPr>
                <w:rFonts w:ascii="Times New Roman" w:hAnsi="Times New Roman"/>
                <w:sz w:val="24"/>
              </w:rPr>
              <w:t xml:space="preserve"> Nr.</w:t>
            </w:r>
            <w:r>
              <w:rPr>
                <w:rFonts w:ascii="Times New Roman" w:hAnsi="Times New Roman"/>
                <w:sz w:val="24"/>
              </w:rPr>
              <w:t> </w:t>
            </w:r>
            <w:r w:rsidRPr="008B0D62">
              <w:rPr>
                <w:rFonts w:ascii="Times New Roman" w:hAnsi="Times New Roman"/>
                <w:sz w:val="24"/>
              </w:rPr>
              <w:t xml:space="preserve">44P-4 (34), todėl jo pakeisti neturime galimybės. </w:t>
            </w:r>
          </w:p>
          <w:p w14:paraId="7D71ACB4" w14:textId="718CC80F" w:rsidR="00F95D93" w:rsidRDefault="00F95D93" w:rsidP="00F95D93">
            <w:pPr>
              <w:jc w:val="both"/>
              <w:rPr>
                <w:rFonts w:ascii="Times New Roman" w:hAnsi="Times New Roman"/>
                <w:sz w:val="24"/>
                <w:szCs w:val="24"/>
              </w:rPr>
            </w:pPr>
            <w:r>
              <w:rPr>
                <w:rFonts w:ascii="Times New Roman" w:hAnsi="Times New Roman"/>
                <w:sz w:val="24"/>
              </w:rPr>
              <w:t xml:space="preserve">Tačiau pažymime, kad praktikoje paraiškų vertinimo metu, </w:t>
            </w:r>
            <w:r>
              <w:rPr>
                <w:rFonts w:ascii="Times New Roman" w:hAnsi="Times New Roman"/>
                <w:sz w:val="24"/>
                <w:szCs w:val="24"/>
              </w:rPr>
              <w:t>laikoma, jog pareiškėjas turi eksporto arba tarptautiškumo skatinimo veiklų įgyvendinimo patirties jeigu yra vykdęs eksporto skatinimo veiklas per pastaruosius trejus metus iki paraiškos pateikimo.</w:t>
            </w:r>
          </w:p>
          <w:p w14:paraId="0CFB7080" w14:textId="53FEB364" w:rsidR="00F95D93" w:rsidRPr="00487220" w:rsidRDefault="00F95D93" w:rsidP="00F95D93">
            <w:pPr>
              <w:jc w:val="both"/>
              <w:rPr>
                <w:rFonts w:ascii="Calibri" w:hAnsi="Calibri"/>
                <w:bCs/>
              </w:rPr>
            </w:pPr>
            <w:r>
              <w:rPr>
                <w:rFonts w:ascii="Times New Roman" w:hAnsi="Times New Roman"/>
                <w:sz w:val="24"/>
                <w:szCs w:val="24"/>
              </w:rPr>
              <w:lastRenderedPageBreak/>
              <w:t xml:space="preserve">Tačiau atkreipiame dėmesį, jog vertinant projekto naudą kokybę pagal trečiąjį prioritetinį projektų atrankos kriterijų </w:t>
            </w:r>
            <w:r w:rsidR="00487220">
              <w:rPr>
                <w:rFonts w:ascii="Times New Roman" w:hAnsi="Times New Roman"/>
                <w:sz w:val="24"/>
                <w:szCs w:val="24"/>
              </w:rPr>
              <w:t>„</w:t>
            </w:r>
            <w:r w:rsidR="00487220" w:rsidRPr="00D62925">
              <w:rPr>
                <w:rFonts w:ascii="Times New Roman" w:hAnsi="Times New Roman" w:cs="Times New Roman"/>
                <w:bCs/>
                <w:sz w:val="24"/>
              </w:rPr>
              <w:t xml:space="preserve">Pareiškėjo </w:t>
            </w:r>
            <w:r w:rsidR="00487220">
              <w:rPr>
                <w:rFonts w:ascii="Times New Roman" w:hAnsi="Times New Roman" w:cs="Times New Roman"/>
                <w:bCs/>
                <w:sz w:val="24"/>
              </w:rPr>
              <w:t xml:space="preserve">įgyta verslo </w:t>
            </w:r>
            <w:r w:rsidR="00487220" w:rsidRPr="00D62925">
              <w:rPr>
                <w:rFonts w:ascii="Times New Roman" w:hAnsi="Times New Roman" w:cs="Times New Roman"/>
                <w:bCs/>
                <w:sz w:val="24"/>
              </w:rPr>
              <w:t>klasterio veiklos vykdym</w:t>
            </w:r>
            <w:r w:rsidR="00487220">
              <w:rPr>
                <w:rFonts w:ascii="Times New Roman" w:hAnsi="Times New Roman" w:cs="Times New Roman"/>
                <w:bCs/>
                <w:sz w:val="24"/>
              </w:rPr>
              <w:t>o patirtis</w:t>
            </w:r>
            <w:r w:rsidR="00487220">
              <w:rPr>
                <w:rFonts w:ascii="Times New Roman" w:hAnsi="Times New Roman" w:cs="Times New Roman"/>
                <w:bCs/>
                <w:sz w:val="24"/>
              </w:rPr>
              <w:t>“,</w:t>
            </w:r>
            <w:r w:rsidR="00487220">
              <w:rPr>
                <w:rFonts w:ascii="Times New Roman" w:hAnsi="Times New Roman"/>
                <w:sz w:val="24"/>
                <w:szCs w:val="24"/>
              </w:rPr>
              <w:t xml:space="preserve"> </w:t>
            </w:r>
            <w:r>
              <w:rPr>
                <w:rFonts w:ascii="Times New Roman" w:hAnsi="Times New Roman"/>
                <w:sz w:val="24"/>
                <w:szCs w:val="24"/>
              </w:rPr>
              <w:t>balai bus suteikiami pareiškėjams</w:t>
            </w:r>
            <w:r w:rsidR="00487220">
              <w:rPr>
                <w:rFonts w:ascii="Times New Roman" w:hAnsi="Times New Roman"/>
                <w:sz w:val="24"/>
                <w:szCs w:val="24"/>
              </w:rPr>
              <w:t>,</w:t>
            </w:r>
            <w:r>
              <w:rPr>
                <w:rFonts w:ascii="Times New Roman" w:hAnsi="Times New Roman"/>
                <w:sz w:val="24"/>
                <w:szCs w:val="24"/>
              </w:rPr>
              <w:t xml:space="preserve"> </w:t>
            </w:r>
            <w:r w:rsidR="00487220">
              <w:rPr>
                <w:rFonts w:ascii="Times New Roman" w:hAnsi="Times New Roman"/>
                <w:sz w:val="24"/>
                <w:szCs w:val="24"/>
              </w:rPr>
              <w:t>kuri turi</w:t>
            </w:r>
            <w:r>
              <w:rPr>
                <w:rFonts w:ascii="Times New Roman" w:hAnsi="Times New Roman"/>
                <w:sz w:val="24"/>
                <w:szCs w:val="24"/>
              </w:rPr>
              <w:t xml:space="preserve"> realią klasterio koordinatoriaus veiklos patirtį ir su klasterio nariais įgyvendino ne mažiau kaip 5 bendras klasterio narių veiklas tarptautiškumo skatinimo srityje per pastaruosius 2 metus iki paraiškos pateikimo Pvz., </w:t>
            </w:r>
            <w:r w:rsidRPr="00487220">
              <w:rPr>
                <w:rFonts w:ascii="Times New Roman" w:hAnsi="Times New Roman"/>
                <w:bCs/>
                <w:i/>
                <w:iCs/>
                <w:sz w:val="24"/>
                <w:szCs w:val="24"/>
              </w:rPr>
              <w:t>pareiškėjo koordinuojamas klasteris buvo pasirašęs bendradarbiavimo sutartį (arba sudaręs konsorciumą bendroms veikloms) su klasteriu, veikiančiu kitoje valstybėje arba veikiančiu keliose valstybėse; buvo parengta įsiliejimo į kitas rinkas strategija pagal partnerystės su kitos šalies klasteriu sutartį; yra įsijungta į (narystė) kitoje valstybėje ar keliose valstybėse veikiantį klasterį, organizuoti susitikimai klasterio nariams su kitose valstybėse veikiančių klasterių nariais ir pan</w:t>
            </w:r>
            <w:r w:rsidRPr="00487220">
              <w:rPr>
                <w:bCs/>
              </w:rPr>
              <w:t xml:space="preserve">. </w:t>
            </w:r>
          </w:p>
          <w:p w14:paraId="5D478682" w14:textId="2A5293B5" w:rsidR="00F95D93" w:rsidRPr="008B0D62" w:rsidRDefault="00F95D93" w:rsidP="0083000C">
            <w:pPr>
              <w:jc w:val="both"/>
              <w:rPr>
                <w:rFonts w:ascii="Times New Roman" w:hAnsi="Times New Roman"/>
                <w:sz w:val="24"/>
              </w:rPr>
            </w:pPr>
          </w:p>
          <w:p w14:paraId="04F0FF9C" w14:textId="77777777" w:rsidR="0083000C" w:rsidRDefault="0083000C" w:rsidP="0083000C">
            <w:pPr>
              <w:jc w:val="both"/>
              <w:rPr>
                <w:rFonts w:ascii="Times New Roman" w:hAnsi="Times New Roman"/>
                <w:sz w:val="24"/>
                <w:szCs w:val="24"/>
                <w:lang w:eastAsia="lt-LT"/>
              </w:rPr>
            </w:pPr>
            <w:r>
              <w:rPr>
                <w:rFonts w:ascii="Times New Roman" w:hAnsi="Times New Roman"/>
                <w:sz w:val="24"/>
                <w:szCs w:val="24"/>
                <w:lang w:eastAsia="lt-LT"/>
              </w:rPr>
              <w:t>Pažymime,</w:t>
            </w:r>
            <w:r w:rsidR="00875931">
              <w:rPr>
                <w:rFonts w:ascii="Times New Roman" w:hAnsi="Times New Roman"/>
                <w:sz w:val="24"/>
                <w:szCs w:val="24"/>
                <w:lang w:eastAsia="lt-LT"/>
              </w:rPr>
              <w:t xml:space="preserve"> kad priemonės „Naujos galimybės LT“ kriterijus „</w:t>
            </w:r>
            <w:r w:rsidR="00875931" w:rsidRPr="00875931">
              <w:rPr>
                <w:rFonts w:ascii="Times New Roman" w:hAnsi="Times New Roman"/>
                <w:i/>
                <w:sz w:val="24"/>
                <w:szCs w:val="24"/>
              </w:rPr>
              <w:t>Pareiškėjo patirtis, organizuojant eksporto skatinimo veiklas</w:t>
            </w:r>
            <w:r w:rsidR="00875931">
              <w:rPr>
                <w:rFonts w:ascii="Times New Roman" w:hAnsi="Times New Roman"/>
                <w:sz w:val="24"/>
                <w:szCs w:val="24"/>
              </w:rPr>
              <w:t xml:space="preserve">“ yra prioritetinis, todėl matuojamas </w:t>
            </w:r>
            <w:r w:rsidR="00875931" w:rsidRPr="005F0A6B">
              <w:rPr>
                <w:rFonts w:ascii="Times New Roman" w:hAnsi="Times New Roman"/>
                <w:sz w:val="24"/>
                <w:szCs w:val="24"/>
                <w:lang w:eastAsia="lt-LT"/>
              </w:rPr>
              <w:t>kiekybiniais rodikliais – pagal proj</w:t>
            </w:r>
            <w:r w:rsidR="00875931">
              <w:rPr>
                <w:rFonts w:ascii="Times New Roman" w:hAnsi="Times New Roman"/>
                <w:sz w:val="24"/>
                <w:szCs w:val="24"/>
                <w:lang w:eastAsia="lt-LT"/>
              </w:rPr>
              <w:t>ektų skaičių ir projektų vertę (s</w:t>
            </w:r>
            <w:r w:rsidR="00875931" w:rsidRPr="005F0A6B">
              <w:rPr>
                <w:rFonts w:ascii="Times New Roman" w:hAnsi="Times New Roman"/>
                <w:sz w:val="24"/>
                <w:szCs w:val="24"/>
                <w:lang w:eastAsia="lt-LT"/>
              </w:rPr>
              <w:t>kaičiuojamas suteiktų balų aritmetinis vidurkis</w:t>
            </w:r>
            <w:r w:rsidR="00875931">
              <w:rPr>
                <w:rFonts w:ascii="Times New Roman" w:hAnsi="Times New Roman"/>
                <w:sz w:val="24"/>
                <w:szCs w:val="24"/>
                <w:lang w:eastAsia="lt-LT"/>
              </w:rPr>
              <w:t>)</w:t>
            </w:r>
            <w:r w:rsidR="00875931" w:rsidRPr="005F0A6B">
              <w:rPr>
                <w:rFonts w:ascii="Times New Roman" w:hAnsi="Times New Roman"/>
                <w:sz w:val="24"/>
                <w:szCs w:val="24"/>
                <w:lang w:eastAsia="lt-LT"/>
              </w:rPr>
              <w:t>.</w:t>
            </w:r>
            <w:r w:rsidR="00875931">
              <w:rPr>
                <w:rFonts w:ascii="Times New Roman" w:hAnsi="Times New Roman"/>
                <w:sz w:val="24"/>
                <w:szCs w:val="24"/>
                <w:lang w:eastAsia="lt-LT"/>
              </w:rPr>
              <w:t xml:space="preserve"> </w:t>
            </w:r>
          </w:p>
          <w:p w14:paraId="2C8AB055" w14:textId="77777777" w:rsidR="00875931" w:rsidRDefault="00875931" w:rsidP="0083000C">
            <w:pPr>
              <w:jc w:val="both"/>
              <w:rPr>
                <w:rFonts w:ascii="Times New Roman" w:hAnsi="Times New Roman"/>
                <w:sz w:val="24"/>
                <w:szCs w:val="24"/>
                <w:lang w:eastAsia="lt-LT"/>
              </w:rPr>
            </w:pPr>
          </w:p>
          <w:p w14:paraId="5F9B813D" w14:textId="77777777" w:rsidR="007E5DFE" w:rsidRPr="00733CD5" w:rsidRDefault="007E5DFE" w:rsidP="00875931">
            <w:pPr>
              <w:jc w:val="both"/>
              <w:rPr>
                <w:rFonts w:ascii="Times New Roman" w:hAnsi="Times New Roman" w:cs="Times New Roman"/>
                <w:sz w:val="24"/>
                <w:szCs w:val="24"/>
              </w:rPr>
            </w:pPr>
          </w:p>
        </w:tc>
      </w:tr>
    </w:tbl>
    <w:p w14:paraId="54D28809" w14:textId="77777777" w:rsidR="00DB0F69" w:rsidRPr="00733CD5" w:rsidRDefault="00DB0F69" w:rsidP="00DB0F69">
      <w:pPr>
        <w:jc w:val="both"/>
        <w:rPr>
          <w:rFonts w:ascii="Times New Roman" w:hAnsi="Times New Roman" w:cs="Times New Roman"/>
          <w:sz w:val="24"/>
          <w:szCs w:val="24"/>
        </w:rPr>
      </w:pPr>
    </w:p>
    <w:sectPr w:rsidR="00DB0F69" w:rsidRPr="00733CD5" w:rsidSect="00525AD9">
      <w:headerReference w:type="default" r:id="rId14"/>
      <w:headerReference w:type="first" r:id="rId15"/>
      <w:pgSz w:w="16838" w:h="11906" w:orient="landscape"/>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D254D" w14:textId="77777777" w:rsidR="00623221" w:rsidRDefault="00623221" w:rsidP="00525AD9">
      <w:pPr>
        <w:spacing w:after="0" w:line="240" w:lineRule="auto"/>
      </w:pPr>
      <w:r>
        <w:separator/>
      </w:r>
    </w:p>
  </w:endnote>
  <w:endnote w:type="continuationSeparator" w:id="0">
    <w:p w14:paraId="3CA83600" w14:textId="77777777" w:rsidR="00623221" w:rsidRDefault="00623221" w:rsidP="0052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4DB9D" w14:textId="77777777" w:rsidR="00623221" w:rsidRDefault="00623221" w:rsidP="00525AD9">
      <w:pPr>
        <w:spacing w:after="0" w:line="240" w:lineRule="auto"/>
      </w:pPr>
      <w:r>
        <w:separator/>
      </w:r>
    </w:p>
  </w:footnote>
  <w:footnote w:type="continuationSeparator" w:id="0">
    <w:p w14:paraId="0CD3B9AC" w14:textId="77777777" w:rsidR="00623221" w:rsidRDefault="00623221" w:rsidP="00525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891873"/>
      <w:docPartObj>
        <w:docPartGallery w:val="Page Numbers (Top of Page)"/>
        <w:docPartUnique/>
      </w:docPartObj>
    </w:sdtPr>
    <w:sdtEndPr>
      <w:rPr>
        <w:rFonts w:ascii="Times New Roman" w:hAnsi="Times New Roman" w:cs="Times New Roman"/>
        <w:noProof/>
      </w:rPr>
    </w:sdtEndPr>
    <w:sdtContent>
      <w:p w14:paraId="6FF010EE" w14:textId="05663AF8" w:rsidR="00525AD9" w:rsidRPr="00525AD9" w:rsidRDefault="00525AD9">
        <w:pPr>
          <w:pStyle w:val="Header"/>
          <w:jc w:val="center"/>
          <w:rPr>
            <w:rFonts w:ascii="Times New Roman" w:hAnsi="Times New Roman" w:cs="Times New Roman"/>
          </w:rPr>
        </w:pPr>
        <w:r w:rsidRPr="00525AD9">
          <w:rPr>
            <w:rFonts w:ascii="Times New Roman" w:hAnsi="Times New Roman" w:cs="Times New Roman"/>
          </w:rPr>
          <w:fldChar w:fldCharType="begin"/>
        </w:r>
        <w:r w:rsidRPr="00525AD9">
          <w:rPr>
            <w:rFonts w:ascii="Times New Roman" w:hAnsi="Times New Roman" w:cs="Times New Roman"/>
          </w:rPr>
          <w:instrText xml:space="preserve"> PAGE   \* MERGEFORMAT </w:instrText>
        </w:r>
        <w:r w:rsidRPr="00525AD9">
          <w:rPr>
            <w:rFonts w:ascii="Times New Roman" w:hAnsi="Times New Roman" w:cs="Times New Roman"/>
          </w:rPr>
          <w:fldChar w:fldCharType="separate"/>
        </w:r>
        <w:r w:rsidR="00474771">
          <w:rPr>
            <w:rFonts w:ascii="Times New Roman" w:hAnsi="Times New Roman" w:cs="Times New Roman"/>
            <w:noProof/>
          </w:rPr>
          <w:t>7</w:t>
        </w:r>
        <w:r w:rsidRPr="00525AD9">
          <w:rPr>
            <w:rFonts w:ascii="Times New Roman" w:hAnsi="Times New Roman" w:cs="Times New Roman"/>
            <w:noProof/>
          </w:rPr>
          <w:fldChar w:fldCharType="end"/>
        </w:r>
      </w:p>
    </w:sdtContent>
  </w:sdt>
  <w:p w14:paraId="67C67DF5" w14:textId="77777777" w:rsidR="00525AD9" w:rsidRDefault="00525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D716A" w14:textId="77777777" w:rsidR="000C6855" w:rsidRDefault="000C6855" w:rsidP="000C6855">
    <w:pPr>
      <w:pStyle w:val="Header"/>
      <w:jc w:val="right"/>
    </w:pPr>
    <w:r>
      <w:t>2018-11-28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437"/>
    <w:multiLevelType w:val="hybridMultilevel"/>
    <w:tmpl w:val="6B0E7D4A"/>
    <w:lvl w:ilvl="0" w:tplc="0427000B">
      <w:start w:val="1"/>
      <w:numFmt w:val="bullet"/>
      <w:lvlText w:val=""/>
      <w:lvlJc w:val="left"/>
      <w:pPr>
        <w:ind w:left="720" w:hanging="360"/>
      </w:pPr>
      <w:rPr>
        <w:rFonts w:ascii="Wingdings" w:hAnsi="Wingdings" w:hint="default"/>
      </w:rPr>
    </w:lvl>
    <w:lvl w:ilvl="1" w:tplc="0427000B">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B7380D"/>
    <w:multiLevelType w:val="hybridMultilevel"/>
    <w:tmpl w:val="7C9021CE"/>
    <w:lvl w:ilvl="0" w:tplc="F508CEA0">
      <w:start w:val="1"/>
      <w:numFmt w:val="decimal"/>
      <w:lvlText w:val="%1)"/>
      <w:lvlJc w:val="left"/>
      <w:pPr>
        <w:ind w:left="1100" w:hanging="3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4B0BCB"/>
    <w:multiLevelType w:val="multilevel"/>
    <w:tmpl w:val="3848A7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9F5226"/>
    <w:multiLevelType w:val="hybridMultilevel"/>
    <w:tmpl w:val="6406934E"/>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C2F652C"/>
    <w:multiLevelType w:val="hybridMultilevel"/>
    <w:tmpl w:val="3BFCC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03C44"/>
    <w:multiLevelType w:val="hybridMultilevel"/>
    <w:tmpl w:val="38A439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7C7098"/>
    <w:multiLevelType w:val="hybridMultilevel"/>
    <w:tmpl w:val="05EEF68A"/>
    <w:lvl w:ilvl="0" w:tplc="41BE8354">
      <w:start w:val="1"/>
      <w:numFmt w:val="bullet"/>
      <w:lvlText w:val="-"/>
      <w:lvlJc w:val="left"/>
      <w:pPr>
        <w:ind w:left="720" w:hanging="360"/>
      </w:pPr>
      <w:rPr>
        <w:rFonts w:ascii="Times New Roman" w:eastAsia="Calibri"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4150E5"/>
    <w:multiLevelType w:val="hybridMultilevel"/>
    <w:tmpl w:val="831677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182356"/>
    <w:multiLevelType w:val="hybridMultilevel"/>
    <w:tmpl w:val="58B0E2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674151"/>
    <w:multiLevelType w:val="hybridMultilevel"/>
    <w:tmpl w:val="64187F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60521F"/>
    <w:multiLevelType w:val="hybridMultilevel"/>
    <w:tmpl w:val="30082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6D6BCA"/>
    <w:multiLevelType w:val="hybridMultilevel"/>
    <w:tmpl w:val="30DE11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255B2E"/>
    <w:multiLevelType w:val="hybridMultilevel"/>
    <w:tmpl w:val="342AC0F0"/>
    <w:lvl w:ilvl="0" w:tplc="51686856">
      <w:start w:val="1"/>
      <w:numFmt w:val="decimal"/>
      <w:lvlText w:val="%1."/>
      <w:lvlJc w:val="left"/>
      <w:pPr>
        <w:ind w:left="720" w:hanging="360"/>
      </w:pPr>
      <w:rPr>
        <w:rFonts w:ascii="Arial" w:hAnsi="Arial" w:cs="Arial" w:hint="default"/>
        <w:i w:val="0"/>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F7390F"/>
    <w:multiLevelType w:val="hybridMultilevel"/>
    <w:tmpl w:val="58B0E2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9478C5"/>
    <w:multiLevelType w:val="hybridMultilevel"/>
    <w:tmpl w:val="455A0BA8"/>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7E664A"/>
    <w:multiLevelType w:val="multilevel"/>
    <w:tmpl w:val="E048EB6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694F64"/>
    <w:multiLevelType w:val="hybridMultilevel"/>
    <w:tmpl w:val="D742849A"/>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FA30636"/>
    <w:multiLevelType w:val="hybridMultilevel"/>
    <w:tmpl w:val="B928D1E6"/>
    <w:lvl w:ilvl="0" w:tplc="0E62222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922D54"/>
    <w:multiLevelType w:val="multilevel"/>
    <w:tmpl w:val="99E2E8E0"/>
    <w:lvl w:ilvl="0">
      <w:start w:val="1"/>
      <w:numFmt w:val="decimal"/>
      <w:lvlText w:val="%1."/>
      <w:lvlJc w:val="left"/>
      <w:pPr>
        <w:ind w:left="862" w:hanging="360"/>
      </w:pPr>
      <w:rPr>
        <w:rFonts w:hint="default"/>
      </w:rPr>
    </w:lvl>
    <w:lvl w:ilvl="1">
      <w:start w:val="1"/>
      <w:numFmt w:val="decimal"/>
      <w:pStyle w:val="Heading2"/>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4E3D0D"/>
    <w:multiLevelType w:val="multilevel"/>
    <w:tmpl w:val="C0120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C21559E"/>
    <w:multiLevelType w:val="hybridMultilevel"/>
    <w:tmpl w:val="ADDA0D48"/>
    <w:lvl w:ilvl="0" w:tplc="0427000B">
      <w:start w:val="1"/>
      <w:numFmt w:val="bullet"/>
      <w:lvlText w:val=""/>
      <w:lvlJc w:val="left"/>
      <w:pPr>
        <w:ind w:left="720" w:hanging="360"/>
      </w:pPr>
      <w:rPr>
        <w:rFonts w:ascii="Wingdings" w:hAnsi="Wingdings"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F0A7329"/>
    <w:multiLevelType w:val="hybridMultilevel"/>
    <w:tmpl w:val="6F4297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8"/>
  </w:num>
  <w:num w:numId="3">
    <w:abstractNumId w:val="4"/>
  </w:num>
  <w:num w:numId="4">
    <w:abstractNumId w:val="6"/>
  </w:num>
  <w:num w:numId="5">
    <w:abstractNumId w:val="20"/>
  </w:num>
  <w:num w:numId="6">
    <w:abstractNumId w:val="7"/>
  </w:num>
  <w:num w:numId="7">
    <w:abstractNumId w:val="0"/>
  </w:num>
  <w:num w:numId="8">
    <w:abstractNumId w:val="10"/>
  </w:num>
  <w:num w:numId="9">
    <w:abstractNumId w:val="2"/>
  </w:num>
  <w:num w:numId="10">
    <w:abstractNumId w:val="17"/>
  </w:num>
  <w:num w:numId="11">
    <w:abstractNumId w:val="21"/>
  </w:num>
  <w:num w:numId="12">
    <w:abstractNumId w:val="15"/>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 w:numId="16">
    <w:abstractNumId w:val="16"/>
  </w:num>
  <w:num w:numId="17">
    <w:abstractNumId w:val="11"/>
  </w:num>
  <w:num w:numId="18">
    <w:abstractNumId w:val="14"/>
  </w:num>
  <w:num w:numId="19">
    <w:abstractNumId w:val="9"/>
  </w:num>
  <w:num w:numId="20">
    <w:abstractNumId w:val="5"/>
  </w:num>
  <w:num w:numId="21">
    <w:abstractNumId w:val="13"/>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69"/>
    <w:rsid w:val="000028BF"/>
    <w:rsid w:val="00024A0F"/>
    <w:rsid w:val="0004192C"/>
    <w:rsid w:val="0004364D"/>
    <w:rsid w:val="0005080C"/>
    <w:rsid w:val="000509BB"/>
    <w:rsid w:val="00074B80"/>
    <w:rsid w:val="0007778A"/>
    <w:rsid w:val="00081D95"/>
    <w:rsid w:val="00093BBA"/>
    <w:rsid w:val="000A414B"/>
    <w:rsid w:val="000B4A4A"/>
    <w:rsid w:val="000C24EF"/>
    <w:rsid w:val="000C6855"/>
    <w:rsid w:val="000C7662"/>
    <w:rsid w:val="000E15B9"/>
    <w:rsid w:val="000E2A9D"/>
    <w:rsid w:val="000F58B5"/>
    <w:rsid w:val="000F62DE"/>
    <w:rsid w:val="0010310B"/>
    <w:rsid w:val="00142987"/>
    <w:rsid w:val="001576BA"/>
    <w:rsid w:val="001A44C2"/>
    <w:rsid w:val="001E1DB4"/>
    <w:rsid w:val="001E5157"/>
    <w:rsid w:val="001F1E2A"/>
    <w:rsid w:val="00212A85"/>
    <w:rsid w:val="0023242A"/>
    <w:rsid w:val="002407A4"/>
    <w:rsid w:val="0024410E"/>
    <w:rsid w:val="00255E1E"/>
    <w:rsid w:val="002671FC"/>
    <w:rsid w:val="00281145"/>
    <w:rsid w:val="002A0E57"/>
    <w:rsid w:val="002C248B"/>
    <w:rsid w:val="00312A12"/>
    <w:rsid w:val="003147AC"/>
    <w:rsid w:val="003410CB"/>
    <w:rsid w:val="003A20D2"/>
    <w:rsid w:val="003B72FD"/>
    <w:rsid w:val="003C418D"/>
    <w:rsid w:val="003D056F"/>
    <w:rsid w:val="003E242C"/>
    <w:rsid w:val="003F0551"/>
    <w:rsid w:val="003F28E1"/>
    <w:rsid w:val="00406D1F"/>
    <w:rsid w:val="00420A5F"/>
    <w:rsid w:val="00423A84"/>
    <w:rsid w:val="0042648F"/>
    <w:rsid w:val="004305F2"/>
    <w:rsid w:val="00457591"/>
    <w:rsid w:val="004710DE"/>
    <w:rsid w:val="00474771"/>
    <w:rsid w:val="00474C62"/>
    <w:rsid w:val="00482B75"/>
    <w:rsid w:val="00487220"/>
    <w:rsid w:val="00487B4A"/>
    <w:rsid w:val="004C6DB3"/>
    <w:rsid w:val="004C773F"/>
    <w:rsid w:val="004D6A89"/>
    <w:rsid w:val="004F794B"/>
    <w:rsid w:val="00502BE1"/>
    <w:rsid w:val="00506ABF"/>
    <w:rsid w:val="005204B2"/>
    <w:rsid w:val="00523D01"/>
    <w:rsid w:val="00525AD9"/>
    <w:rsid w:val="00534D35"/>
    <w:rsid w:val="005616EC"/>
    <w:rsid w:val="00566771"/>
    <w:rsid w:val="005731F7"/>
    <w:rsid w:val="005A35DF"/>
    <w:rsid w:val="005B27F4"/>
    <w:rsid w:val="005C77A6"/>
    <w:rsid w:val="005E56FF"/>
    <w:rsid w:val="005E6250"/>
    <w:rsid w:val="005E6D63"/>
    <w:rsid w:val="005F4E17"/>
    <w:rsid w:val="00617586"/>
    <w:rsid w:val="00623221"/>
    <w:rsid w:val="006525C9"/>
    <w:rsid w:val="006828A9"/>
    <w:rsid w:val="00686EC8"/>
    <w:rsid w:val="006A1500"/>
    <w:rsid w:val="006A2110"/>
    <w:rsid w:val="0070730A"/>
    <w:rsid w:val="00716741"/>
    <w:rsid w:val="0072601E"/>
    <w:rsid w:val="0072641F"/>
    <w:rsid w:val="00733CD5"/>
    <w:rsid w:val="007411C2"/>
    <w:rsid w:val="00746C99"/>
    <w:rsid w:val="007559F5"/>
    <w:rsid w:val="007835BB"/>
    <w:rsid w:val="00784C76"/>
    <w:rsid w:val="007959F8"/>
    <w:rsid w:val="007B1C6D"/>
    <w:rsid w:val="007B4A53"/>
    <w:rsid w:val="007C7492"/>
    <w:rsid w:val="007D2A78"/>
    <w:rsid w:val="007E234D"/>
    <w:rsid w:val="007E5DFE"/>
    <w:rsid w:val="007E60D0"/>
    <w:rsid w:val="00804C23"/>
    <w:rsid w:val="0083000C"/>
    <w:rsid w:val="00867AB9"/>
    <w:rsid w:val="00875931"/>
    <w:rsid w:val="00884263"/>
    <w:rsid w:val="0088458B"/>
    <w:rsid w:val="00885555"/>
    <w:rsid w:val="00885642"/>
    <w:rsid w:val="008A69E2"/>
    <w:rsid w:val="008B0D62"/>
    <w:rsid w:val="008D6039"/>
    <w:rsid w:val="008F128D"/>
    <w:rsid w:val="0090216B"/>
    <w:rsid w:val="00907033"/>
    <w:rsid w:val="00917747"/>
    <w:rsid w:val="00925DAE"/>
    <w:rsid w:val="00950A45"/>
    <w:rsid w:val="00950BC7"/>
    <w:rsid w:val="009661B9"/>
    <w:rsid w:val="009767CF"/>
    <w:rsid w:val="00980F2F"/>
    <w:rsid w:val="009A4A0F"/>
    <w:rsid w:val="009A658C"/>
    <w:rsid w:val="009A66AE"/>
    <w:rsid w:val="009B695E"/>
    <w:rsid w:val="009C3EB6"/>
    <w:rsid w:val="00A073AD"/>
    <w:rsid w:val="00A109D2"/>
    <w:rsid w:val="00A11507"/>
    <w:rsid w:val="00A1199B"/>
    <w:rsid w:val="00A3583D"/>
    <w:rsid w:val="00A50119"/>
    <w:rsid w:val="00A51501"/>
    <w:rsid w:val="00A53029"/>
    <w:rsid w:val="00A63596"/>
    <w:rsid w:val="00A805F3"/>
    <w:rsid w:val="00A823CB"/>
    <w:rsid w:val="00A90C1C"/>
    <w:rsid w:val="00AA7DAF"/>
    <w:rsid w:val="00AE1AA3"/>
    <w:rsid w:val="00AE64F6"/>
    <w:rsid w:val="00B01532"/>
    <w:rsid w:val="00B02965"/>
    <w:rsid w:val="00B17F16"/>
    <w:rsid w:val="00B261F3"/>
    <w:rsid w:val="00B27343"/>
    <w:rsid w:val="00B612A2"/>
    <w:rsid w:val="00B63FAB"/>
    <w:rsid w:val="00B653D5"/>
    <w:rsid w:val="00B86AC9"/>
    <w:rsid w:val="00BB47F7"/>
    <w:rsid w:val="00BC4400"/>
    <w:rsid w:val="00C053BE"/>
    <w:rsid w:val="00C230A2"/>
    <w:rsid w:val="00C25463"/>
    <w:rsid w:val="00C55566"/>
    <w:rsid w:val="00C66DAC"/>
    <w:rsid w:val="00C81F9B"/>
    <w:rsid w:val="00C82DB2"/>
    <w:rsid w:val="00C96856"/>
    <w:rsid w:val="00CA40B9"/>
    <w:rsid w:val="00CD2E6C"/>
    <w:rsid w:val="00CE76A2"/>
    <w:rsid w:val="00CE778A"/>
    <w:rsid w:val="00CF66F8"/>
    <w:rsid w:val="00D01311"/>
    <w:rsid w:val="00D35551"/>
    <w:rsid w:val="00D44476"/>
    <w:rsid w:val="00D568FE"/>
    <w:rsid w:val="00D6410D"/>
    <w:rsid w:val="00D800E1"/>
    <w:rsid w:val="00DB0F69"/>
    <w:rsid w:val="00DC2218"/>
    <w:rsid w:val="00DE4E49"/>
    <w:rsid w:val="00E057C0"/>
    <w:rsid w:val="00E07A69"/>
    <w:rsid w:val="00E832CB"/>
    <w:rsid w:val="00EA33B6"/>
    <w:rsid w:val="00EB0A5F"/>
    <w:rsid w:val="00EC08E2"/>
    <w:rsid w:val="00F21820"/>
    <w:rsid w:val="00F372B2"/>
    <w:rsid w:val="00F37A78"/>
    <w:rsid w:val="00F60845"/>
    <w:rsid w:val="00F93045"/>
    <w:rsid w:val="00F93EEF"/>
    <w:rsid w:val="00F95509"/>
    <w:rsid w:val="00F95D93"/>
    <w:rsid w:val="00FB3EC3"/>
    <w:rsid w:val="00FB7322"/>
    <w:rsid w:val="00FC00E8"/>
    <w:rsid w:val="00FD3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6CA0"/>
  <w15:docId w15:val="{9947B4BB-835D-4700-867E-EC10866F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9F5"/>
  </w:style>
  <w:style w:type="paragraph" w:styleId="Heading1">
    <w:name w:val="heading 1"/>
    <w:basedOn w:val="Normal"/>
    <w:next w:val="Normal"/>
    <w:link w:val="Heading1Char"/>
    <w:autoRedefine/>
    <w:uiPriority w:val="9"/>
    <w:qFormat/>
    <w:rsid w:val="007559F5"/>
    <w:pPr>
      <w:spacing w:before="480" w:after="0" w:line="360" w:lineRule="auto"/>
      <w:ind w:left="862"/>
      <w:contextualSpacing/>
      <w:jc w:val="center"/>
      <w:outlineLvl w:val="0"/>
    </w:pPr>
    <w:rPr>
      <w:rFonts w:ascii="Times New Roman" w:hAnsi="Times New Roman"/>
      <w:caps/>
      <w:spacing w:val="5"/>
      <w:sz w:val="32"/>
      <w:szCs w:val="36"/>
    </w:rPr>
  </w:style>
  <w:style w:type="paragraph" w:styleId="Heading2">
    <w:name w:val="heading 2"/>
    <w:basedOn w:val="Normal"/>
    <w:next w:val="Normal"/>
    <w:link w:val="Heading2Char"/>
    <w:autoRedefine/>
    <w:uiPriority w:val="9"/>
    <w:unhideWhenUsed/>
    <w:qFormat/>
    <w:rsid w:val="007559F5"/>
    <w:pPr>
      <w:numPr>
        <w:ilvl w:val="1"/>
        <w:numId w:val="2"/>
      </w:numPr>
      <w:spacing w:before="200" w:after="0" w:line="271" w:lineRule="auto"/>
      <w:jc w:val="center"/>
      <w:outlineLvl w:val="1"/>
    </w:pPr>
    <w:rPr>
      <w:rFonts w:ascii="Times New Roman" w:hAnsi="Times New Roman"/>
      <w:sz w:val="28"/>
      <w:szCs w:val="28"/>
    </w:rPr>
  </w:style>
  <w:style w:type="paragraph" w:styleId="Heading3">
    <w:name w:val="heading 3"/>
    <w:basedOn w:val="Normal"/>
    <w:next w:val="Normal"/>
    <w:link w:val="Heading3Char"/>
    <w:autoRedefine/>
    <w:uiPriority w:val="9"/>
    <w:unhideWhenUsed/>
    <w:qFormat/>
    <w:rsid w:val="007559F5"/>
    <w:pPr>
      <w:spacing w:before="200" w:after="0" w:line="271" w:lineRule="auto"/>
      <w:ind w:left="1080" w:hanging="720"/>
      <w:jc w:val="center"/>
      <w:outlineLvl w:val="2"/>
    </w:pPr>
    <w:rPr>
      <w:rFonts w:ascii="Times New Roman" w:hAnsi="Times New Roman"/>
      <w:iCs/>
      <w:spacing w:val="5"/>
      <w:sz w:val="28"/>
      <w:szCs w:val="26"/>
    </w:rPr>
  </w:style>
  <w:style w:type="paragraph" w:styleId="Heading4">
    <w:name w:val="heading 4"/>
    <w:basedOn w:val="Normal"/>
    <w:next w:val="Normal"/>
    <w:link w:val="Heading4Char"/>
    <w:uiPriority w:val="9"/>
    <w:semiHidden/>
    <w:unhideWhenUsed/>
    <w:qFormat/>
    <w:rsid w:val="007559F5"/>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559F5"/>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559F5"/>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559F5"/>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559F5"/>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559F5"/>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EIKSLAI">
    <w:name w:val="PAVEIKSLAI"/>
    <w:basedOn w:val="Normal"/>
    <w:link w:val="PAVEIKSLAIChar"/>
    <w:autoRedefine/>
    <w:qFormat/>
    <w:rsid w:val="007559F5"/>
    <w:pPr>
      <w:spacing w:line="360" w:lineRule="auto"/>
      <w:jc w:val="center"/>
    </w:pPr>
    <w:rPr>
      <w:rFonts w:ascii="Times New Roman" w:hAnsi="Times New Roman" w:cs="Times New Roman"/>
      <w:sz w:val="24"/>
      <w:szCs w:val="24"/>
    </w:rPr>
  </w:style>
  <w:style w:type="character" w:customStyle="1" w:styleId="PAVEIKSLAIChar">
    <w:name w:val="PAVEIKSLAI Char"/>
    <w:basedOn w:val="DefaultParagraphFont"/>
    <w:link w:val="PAVEIKSLAI"/>
    <w:rsid w:val="007559F5"/>
    <w:rPr>
      <w:rFonts w:ascii="Times New Roman" w:hAnsi="Times New Roman" w:cs="Times New Roman"/>
      <w:sz w:val="24"/>
      <w:szCs w:val="24"/>
    </w:rPr>
  </w:style>
  <w:style w:type="character" w:customStyle="1" w:styleId="Heading1Char">
    <w:name w:val="Heading 1 Char"/>
    <w:basedOn w:val="DefaultParagraphFont"/>
    <w:link w:val="Heading1"/>
    <w:uiPriority w:val="9"/>
    <w:rsid w:val="007559F5"/>
    <w:rPr>
      <w:rFonts w:ascii="Times New Roman" w:hAnsi="Times New Roman"/>
      <w:caps/>
      <w:spacing w:val="5"/>
      <w:sz w:val="32"/>
      <w:szCs w:val="36"/>
    </w:rPr>
  </w:style>
  <w:style w:type="character" w:customStyle="1" w:styleId="Heading2Char">
    <w:name w:val="Heading 2 Char"/>
    <w:basedOn w:val="DefaultParagraphFont"/>
    <w:link w:val="Heading2"/>
    <w:uiPriority w:val="9"/>
    <w:rsid w:val="007559F5"/>
    <w:rPr>
      <w:rFonts w:ascii="Times New Roman" w:hAnsi="Times New Roman"/>
      <w:sz w:val="28"/>
      <w:szCs w:val="28"/>
    </w:rPr>
  </w:style>
  <w:style w:type="character" w:customStyle="1" w:styleId="Heading3Char">
    <w:name w:val="Heading 3 Char"/>
    <w:basedOn w:val="DefaultParagraphFont"/>
    <w:link w:val="Heading3"/>
    <w:uiPriority w:val="9"/>
    <w:rsid w:val="007559F5"/>
    <w:rPr>
      <w:rFonts w:ascii="Times New Roman" w:hAnsi="Times New Roman"/>
      <w:iCs/>
      <w:spacing w:val="5"/>
      <w:sz w:val="28"/>
      <w:szCs w:val="26"/>
    </w:rPr>
  </w:style>
  <w:style w:type="character" w:customStyle="1" w:styleId="Heading4Char">
    <w:name w:val="Heading 4 Char"/>
    <w:basedOn w:val="DefaultParagraphFont"/>
    <w:link w:val="Heading4"/>
    <w:uiPriority w:val="9"/>
    <w:semiHidden/>
    <w:rsid w:val="007559F5"/>
    <w:rPr>
      <w:b/>
      <w:bCs/>
      <w:spacing w:val="5"/>
      <w:sz w:val="24"/>
      <w:szCs w:val="24"/>
    </w:rPr>
  </w:style>
  <w:style w:type="character" w:customStyle="1" w:styleId="Heading5Char">
    <w:name w:val="Heading 5 Char"/>
    <w:basedOn w:val="DefaultParagraphFont"/>
    <w:link w:val="Heading5"/>
    <w:uiPriority w:val="9"/>
    <w:semiHidden/>
    <w:rsid w:val="007559F5"/>
    <w:rPr>
      <w:i/>
      <w:iCs/>
      <w:sz w:val="24"/>
      <w:szCs w:val="24"/>
    </w:rPr>
  </w:style>
  <w:style w:type="character" w:customStyle="1" w:styleId="Heading6Char">
    <w:name w:val="Heading 6 Char"/>
    <w:basedOn w:val="DefaultParagraphFont"/>
    <w:link w:val="Heading6"/>
    <w:uiPriority w:val="9"/>
    <w:semiHidden/>
    <w:rsid w:val="007559F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559F5"/>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559F5"/>
    <w:rPr>
      <w:b/>
      <w:bCs/>
      <w:color w:val="7F7F7F" w:themeColor="text1" w:themeTint="80"/>
      <w:sz w:val="20"/>
      <w:szCs w:val="20"/>
    </w:rPr>
  </w:style>
  <w:style w:type="character" w:customStyle="1" w:styleId="Heading9Char">
    <w:name w:val="Heading 9 Char"/>
    <w:basedOn w:val="DefaultParagraphFont"/>
    <w:link w:val="Heading9"/>
    <w:uiPriority w:val="9"/>
    <w:semiHidden/>
    <w:rsid w:val="007559F5"/>
    <w:rPr>
      <w:b/>
      <w:bCs/>
      <w:i/>
      <w:iCs/>
      <w:color w:val="7F7F7F" w:themeColor="text1" w:themeTint="80"/>
      <w:sz w:val="18"/>
      <w:szCs w:val="18"/>
    </w:rPr>
  </w:style>
  <w:style w:type="paragraph" w:styleId="Title">
    <w:name w:val="Title"/>
    <w:basedOn w:val="Normal"/>
    <w:next w:val="Normal"/>
    <w:link w:val="TitleChar"/>
    <w:uiPriority w:val="10"/>
    <w:qFormat/>
    <w:rsid w:val="007559F5"/>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559F5"/>
    <w:rPr>
      <w:smallCaps/>
      <w:sz w:val="52"/>
      <w:szCs w:val="52"/>
    </w:rPr>
  </w:style>
  <w:style w:type="paragraph" w:styleId="Subtitle">
    <w:name w:val="Subtitle"/>
    <w:basedOn w:val="Normal"/>
    <w:next w:val="Normal"/>
    <w:link w:val="SubtitleChar"/>
    <w:uiPriority w:val="11"/>
    <w:qFormat/>
    <w:rsid w:val="007559F5"/>
    <w:rPr>
      <w:i/>
      <w:iCs/>
      <w:smallCaps/>
      <w:spacing w:val="10"/>
      <w:sz w:val="28"/>
      <w:szCs w:val="28"/>
    </w:rPr>
  </w:style>
  <w:style w:type="character" w:customStyle="1" w:styleId="SubtitleChar">
    <w:name w:val="Subtitle Char"/>
    <w:basedOn w:val="DefaultParagraphFont"/>
    <w:link w:val="Subtitle"/>
    <w:uiPriority w:val="11"/>
    <w:rsid w:val="007559F5"/>
    <w:rPr>
      <w:i/>
      <w:iCs/>
      <w:smallCaps/>
      <w:spacing w:val="10"/>
      <w:sz w:val="28"/>
      <w:szCs w:val="28"/>
    </w:rPr>
  </w:style>
  <w:style w:type="character" w:styleId="Strong">
    <w:name w:val="Strong"/>
    <w:uiPriority w:val="22"/>
    <w:qFormat/>
    <w:rsid w:val="007559F5"/>
    <w:rPr>
      <w:b/>
      <w:bCs/>
    </w:rPr>
  </w:style>
  <w:style w:type="character" w:styleId="Emphasis">
    <w:name w:val="Emphasis"/>
    <w:aliases w:val="LENTELES"/>
    <w:uiPriority w:val="20"/>
    <w:qFormat/>
    <w:rsid w:val="007559F5"/>
    <w:rPr>
      <w:rFonts w:ascii="Times New Roman" w:hAnsi="Times New Roman"/>
      <w:bCs/>
      <w:iCs/>
      <w:spacing w:val="10"/>
      <w:sz w:val="24"/>
    </w:rPr>
  </w:style>
  <w:style w:type="paragraph" w:styleId="NoSpacing">
    <w:name w:val="No Spacing"/>
    <w:basedOn w:val="Normal"/>
    <w:uiPriority w:val="1"/>
    <w:qFormat/>
    <w:rsid w:val="007559F5"/>
    <w:pPr>
      <w:spacing w:after="0" w:line="240" w:lineRule="auto"/>
    </w:pPr>
  </w:style>
  <w:style w:type="paragraph" w:styleId="ListParagraph">
    <w:name w:val="List Paragraph"/>
    <w:basedOn w:val="Normal"/>
    <w:uiPriority w:val="34"/>
    <w:qFormat/>
    <w:rsid w:val="007559F5"/>
    <w:pPr>
      <w:ind w:left="720"/>
      <w:contextualSpacing/>
    </w:pPr>
  </w:style>
  <w:style w:type="paragraph" w:styleId="Quote">
    <w:name w:val="Quote"/>
    <w:basedOn w:val="Normal"/>
    <w:next w:val="Normal"/>
    <w:link w:val="QuoteChar"/>
    <w:uiPriority w:val="29"/>
    <w:qFormat/>
    <w:rsid w:val="007559F5"/>
    <w:rPr>
      <w:i/>
      <w:iCs/>
    </w:rPr>
  </w:style>
  <w:style w:type="character" w:customStyle="1" w:styleId="QuoteChar">
    <w:name w:val="Quote Char"/>
    <w:basedOn w:val="DefaultParagraphFont"/>
    <w:link w:val="Quote"/>
    <w:uiPriority w:val="29"/>
    <w:rsid w:val="007559F5"/>
    <w:rPr>
      <w:i/>
      <w:iCs/>
    </w:rPr>
  </w:style>
  <w:style w:type="paragraph" w:styleId="IntenseQuote">
    <w:name w:val="Intense Quote"/>
    <w:basedOn w:val="Normal"/>
    <w:next w:val="Normal"/>
    <w:link w:val="IntenseQuoteChar"/>
    <w:uiPriority w:val="30"/>
    <w:qFormat/>
    <w:rsid w:val="007559F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559F5"/>
    <w:rPr>
      <w:i/>
      <w:iCs/>
    </w:rPr>
  </w:style>
  <w:style w:type="character" w:styleId="SubtleEmphasis">
    <w:name w:val="Subtle Emphasis"/>
    <w:uiPriority w:val="19"/>
    <w:qFormat/>
    <w:rsid w:val="007559F5"/>
    <w:rPr>
      <w:i/>
      <w:iCs/>
    </w:rPr>
  </w:style>
  <w:style w:type="character" w:styleId="IntenseEmphasis">
    <w:name w:val="Intense Emphasis"/>
    <w:uiPriority w:val="21"/>
    <w:qFormat/>
    <w:rsid w:val="007559F5"/>
    <w:rPr>
      <w:b/>
      <w:bCs/>
      <w:i/>
      <w:iCs/>
    </w:rPr>
  </w:style>
  <w:style w:type="character" w:styleId="SubtleReference">
    <w:name w:val="Subtle Reference"/>
    <w:basedOn w:val="DefaultParagraphFont"/>
    <w:uiPriority w:val="31"/>
    <w:qFormat/>
    <w:rsid w:val="007559F5"/>
    <w:rPr>
      <w:smallCaps/>
    </w:rPr>
  </w:style>
  <w:style w:type="character" w:styleId="IntenseReference">
    <w:name w:val="Intense Reference"/>
    <w:uiPriority w:val="32"/>
    <w:qFormat/>
    <w:rsid w:val="007559F5"/>
    <w:rPr>
      <w:b/>
      <w:bCs/>
      <w:smallCaps/>
    </w:rPr>
  </w:style>
  <w:style w:type="character" w:styleId="BookTitle">
    <w:name w:val="Book Title"/>
    <w:basedOn w:val="DefaultParagraphFont"/>
    <w:uiPriority w:val="33"/>
    <w:qFormat/>
    <w:rsid w:val="007559F5"/>
    <w:rPr>
      <w:i/>
      <w:iCs/>
      <w:smallCaps/>
      <w:spacing w:val="5"/>
    </w:rPr>
  </w:style>
  <w:style w:type="paragraph" w:styleId="TOCHeading">
    <w:name w:val="TOC Heading"/>
    <w:basedOn w:val="Heading1"/>
    <w:next w:val="Normal"/>
    <w:uiPriority w:val="39"/>
    <w:unhideWhenUsed/>
    <w:qFormat/>
    <w:rsid w:val="007559F5"/>
    <w:pPr>
      <w:outlineLvl w:val="9"/>
    </w:pPr>
    <w:rPr>
      <w:lang w:bidi="en-US"/>
    </w:rPr>
  </w:style>
  <w:style w:type="table" w:styleId="TableGrid">
    <w:name w:val="Table Grid"/>
    <w:basedOn w:val="TableNormal"/>
    <w:uiPriority w:val="59"/>
    <w:rsid w:val="00DB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A4A0F"/>
    <w:pPr>
      <w:spacing w:after="100"/>
    </w:pPr>
  </w:style>
  <w:style w:type="character" w:styleId="Hyperlink">
    <w:name w:val="Hyperlink"/>
    <w:unhideWhenUsed/>
    <w:rsid w:val="0007778A"/>
    <w:rPr>
      <w:color w:val="0000FF"/>
      <w:u w:val="single"/>
    </w:rPr>
  </w:style>
  <w:style w:type="paragraph" w:styleId="CommentText">
    <w:name w:val="annotation text"/>
    <w:basedOn w:val="Normal"/>
    <w:link w:val="CommentTextChar"/>
    <w:uiPriority w:val="99"/>
    <w:unhideWhenUsed/>
    <w:rsid w:val="00212A85"/>
    <w:pPr>
      <w:spacing w:line="240" w:lineRule="auto"/>
    </w:pPr>
    <w:rPr>
      <w:sz w:val="20"/>
      <w:szCs w:val="20"/>
    </w:rPr>
  </w:style>
  <w:style w:type="character" w:customStyle="1" w:styleId="CommentTextChar">
    <w:name w:val="Comment Text Char"/>
    <w:basedOn w:val="DefaultParagraphFont"/>
    <w:link w:val="CommentText"/>
    <w:uiPriority w:val="99"/>
    <w:rsid w:val="00212A85"/>
    <w:rPr>
      <w:sz w:val="20"/>
      <w:szCs w:val="20"/>
    </w:rPr>
  </w:style>
  <w:style w:type="character" w:styleId="CommentReference">
    <w:name w:val="annotation reference"/>
    <w:uiPriority w:val="99"/>
    <w:semiHidden/>
    <w:unhideWhenUsed/>
    <w:rsid w:val="00212A85"/>
    <w:rPr>
      <w:rFonts w:ascii="Times New Roman" w:hAnsi="Times New Roman" w:cs="Times New Roman" w:hint="default"/>
      <w:sz w:val="16"/>
    </w:rPr>
  </w:style>
  <w:style w:type="paragraph" w:styleId="BalloonText">
    <w:name w:val="Balloon Text"/>
    <w:basedOn w:val="Normal"/>
    <w:link w:val="BalloonTextChar"/>
    <w:uiPriority w:val="99"/>
    <w:semiHidden/>
    <w:unhideWhenUsed/>
    <w:rsid w:val="00212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8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2A78"/>
    <w:rPr>
      <w:b/>
      <w:bCs/>
    </w:rPr>
  </w:style>
  <w:style w:type="character" w:customStyle="1" w:styleId="CommentSubjectChar">
    <w:name w:val="Comment Subject Char"/>
    <w:basedOn w:val="CommentTextChar"/>
    <w:link w:val="CommentSubject"/>
    <w:uiPriority w:val="99"/>
    <w:semiHidden/>
    <w:rsid w:val="007D2A78"/>
    <w:rPr>
      <w:b/>
      <w:bCs/>
      <w:sz w:val="20"/>
      <w:szCs w:val="20"/>
    </w:rPr>
  </w:style>
  <w:style w:type="paragraph" w:styleId="Header">
    <w:name w:val="header"/>
    <w:basedOn w:val="Normal"/>
    <w:link w:val="HeaderChar"/>
    <w:uiPriority w:val="99"/>
    <w:unhideWhenUsed/>
    <w:rsid w:val="00525AD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5AD9"/>
  </w:style>
  <w:style w:type="paragraph" w:styleId="Footer">
    <w:name w:val="footer"/>
    <w:basedOn w:val="Normal"/>
    <w:link w:val="FooterChar"/>
    <w:uiPriority w:val="99"/>
    <w:unhideWhenUsed/>
    <w:rsid w:val="00525A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5AD9"/>
  </w:style>
  <w:style w:type="character" w:customStyle="1" w:styleId="emphasischar">
    <w:name w:val="emphasis__char"/>
    <w:basedOn w:val="DefaultParagraphFont"/>
    <w:rsid w:val="007835BB"/>
  </w:style>
  <w:style w:type="character" w:customStyle="1" w:styleId="list0020paragraphchar">
    <w:name w:val="list_0020paragraph__char"/>
    <w:basedOn w:val="DefaultParagraphFont"/>
    <w:rsid w:val="007835BB"/>
  </w:style>
  <w:style w:type="character" w:styleId="FollowedHyperlink">
    <w:name w:val="FollowedHyperlink"/>
    <w:basedOn w:val="DefaultParagraphFont"/>
    <w:uiPriority w:val="99"/>
    <w:semiHidden/>
    <w:unhideWhenUsed/>
    <w:rsid w:val="00950A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91567">
      <w:bodyDiv w:val="1"/>
      <w:marLeft w:val="0"/>
      <w:marRight w:val="0"/>
      <w:marTop w:val="0"/>
      <w:marBottom w:val="0"/>
      <w:divBdr>
        <w:top w:val="none" w:sz="0" w:space="0" w:color="auto"/>
        <w:left w:val="none" w:sz="0" w:space="0" w:color="auto"/>
        <w:bottom w:val="none" w:sz="0" w:space="0" w:color="auto"/>
        <w:right w:val="none" w:sz="0" w:space="0" w:color="auto"/>
      </w:divBdr>
    </w:div>
    <w:div w:id="375275390">
      <w:bodyDiv w:val="1"/>
      <w:marLeft w:val="0"/>
      <w:marRight w:val="0"/>
      <w:marTop w:val="0"/>
      <w:marBottom w:val="0"/>
      <w:divBdr>
        <w:top w:val="none" w:sz="0" w:space="0" w:color="auto"/>
        <w:left w:val="none" w:sz="0" w:space="0" w:color="auto"/>
        <w:bottom w:val="none" w:sz="0" w:space="0" w:color="auto"/>
        <w:right w:val="none" w:sz="0" w:space="0" w:color="auto"/>
      </w:divBdr>
    </w:div>
    <w:div w:id="403451984">
      <w:bodyDiv w:val="1"/>
      <w:marLeft w:val="0"/>
      <w:marRight w:val="0"/>
      <w:marTop w:val="0"/>
      <w:marBottom w:val="0"/>
      <w:divBdr>
        <w:top w:val="none" w:sz="0" w:space="0" w:color="auto"/>
        <w:left w:val="none" w:sz="0" w:space="0" w:color="auto"/>
        <w:bottom w:val="none" w:sz="0" w:space="0" w:color="auto"/>
        <w:right w:val="none" w:sz="0" w:space="0" w:color="auto"/>
      </w:divBdr>
    </w:div>
    <w:div w:id="429938645">
      <w:bodyDiv w:val="1"/>
      <w:marLeft w:val="0"/>
      <w:marRight w:val="0"/>
      <w:marTop w:val="0"/>
      <w:marBottom w:val="0"/>
      <w:divBdr>
        <w:top w:val="none" w:sz="0" w:space="0" w:color="auto"/>
        <w:left w:val="none" w:sz="0" w:space="0" w:color="auto"/>
        <w:bottom w:val="none" w:sz="0" w:space="0" w:color="auto"/>
        <w:right w:val="none" w:sz="0" w:space="0" w:color="auto"/>
      </w:divBdr>
    </w:div>
    <w:div w:id="527111444">
      <w:bodyDiv w:val="1"/>
      <w:marLeft w:val="0"/>
      <w:marRight w:val="0"/>
      <w:marTop w:val="0"/>
      <w:marBottom w:val="0"/>
      <w:divBdr>
        <w:top w:val="none" w:sz="0" w:space="0" w:color="auto"/>
        <w:left w:val="none" w:sz="0" w:space="0" w:color="auto"/>
        <w:bottom w:val="none" w:sz="0" w:space="0" w:color="auto"/>
        <w:right w:val="none" w:sz="0" w:space="0" w:color="auto"/>
      </w:divBdr>
    </w:div>
    <w:div w:id="756824472">
      <w:bodyDiv w:val="1"/>
      <w:marLeft w:val="0"/>
      <w:marRight w:val="0"/>
      <w:marTop w:val="0"/>
      <w:marBottom w:val="0"/>
      <w:divBdr>
        <w:top w:val="none" w:sz="0" w:space="0" w:color="auto"/>
        <w:left w:val="none" w:sz="0" w:space="0" w:color="auto"/>
        <w:bottom w:val="none" w:sz="0" w:space="0" w:color="auto"/>
        <w:right w:val="none" w:sz="0" w:space="0" w:color="auto"/>
      </w:divBdr>
    </w:div>
    <w:div w:id="857159170">
      <w:bodyDiv w:val="1"/>
      <w:marLeft w:val="0"/>
      <w:marRight w:val="0"/>
      <w:marTop w:val="0"/>
      <w:marBottom w:val="0"/>
      <w:divBdr>
        <w:top w:val="none" w:sz="0" w:space="0" w:color="auto"/>
        <w:left w:val="none" w:sz="0" w:space="0" w:color="auto"/>
        <w:bottom w:val="none" w:sz="0" w:space="0" w:color="auto"/>
        <w:right w:val="none" w:sz="0" w:space="0" w:color="auto"/>
      </w:divBdr>
    </w:div>
    <w:div w:id="1116212956">
      <w:bodyDiv w:val="1"/>
      <w:marLeft w:val="0"/>
      <w:marRight w:val="0"/>
      <w:marTop w:val="0"/>
      <w:marBottom w:val="0"/>
      <w:divBdr>
        <w:top w:val="none" w:sz="0" w:space="0" w:color="auto"/>
        <w:left w:val="none" w:sz="0" w:space="0" w:color="auto"/>
        <w:bottom w:val="none" w:sz="0" w:space="0" w:color="auto"/>
        <w:right w:val="none" w:sz="0" w:space="0" w:color="auto"/>
      </w:divBdr>
    </w:div>
    <w:div w:id="1169373352">
      <w:bodyDiv w:val="1"/>
      <w:marLeft w:val="0"/>
      <w:marRight w:val="0"/>
      <w:marTop w:val="0"/>
      <w:marBottom w:val="0"/>
      <w:divBdr>
        <w:top w:val="none" w:sz="0" w:space="0" w:color="auto"/>
        <w:left w:val="none" w:sz="0" w:space="0" w:color="auto"/>
        <w:bottom w:val="none" w:sz="0" w:space="0" w:color="auto"/>
        <w:right w:val="none" w:sz="0" w:space="0" w:color="auto"/>
      </w:divBdr>
    </w:div>
    <w:div w:id="1272669941">
      <w:bodyDiv w:val="1"/>
      <w:marLeft w:val="0"/>
      <w:marRight w:val="0"/>
      <w:marTop w:val="0"/>
      <w:marBottom w:val="0"/>
      <w:divBdr>
        <w:top w:val="none" w:sz="0" w:space="0" w:color="auto"/>
        <w:left w:val="none" w:sz="0" w:space="0" w:color="auto"/>
        <w:bottom w:val="none" w:sz="0" w:space="0" w:color="auto"/>
        <w:right w:val="none" w:sz="0" w:space="0" w:color="auto"/>
      </w:divBdr>
    </w:div>
    <w:div w:id="1326863417">
      <w:bodyDiv w:val="1"/>
      <w:marLeft w:val="0"/>
      <w:marRight w:val="0"/>
      <w:marTop w:val="0"/>
      <w:marBottom w:val="0"/>
      <w:divBdr>
        <w:top w:val="none" w:sz="0" w:space="0" w:color="auto"/>
        <w:left w:val="none" w:sz="0" w:space="0" w:color="auto"/>
        <w:bottom w:val="none" w:sz="0" w:space="0" w:color="auto"/>
        <w:right w:val="none" w:sz="0" w:space="0" w:color="auto"/>
      </w:divBdr>
    </w:div>
    <w:div w:id="1344162786">
      <w:bodyDiv w:val="1"/>
      <w:marLeft w:val="0"/>
      <w:marRight w:val="0"/>
      <w:marTop w:val="0"/>
      <w:marBottom w:val="0"/>
      <w:divBdr>
        <w:top w:val="none" w:sz="0" w:space="0" w:color="auto"/>
        <w:left w:val="none" w:sz="0" w:space="0" w:color="auto"/>
        <w:bottom w:val="none" w:sz="0" w:space="0" w:color="auto"/>
        <w:right w:val="none" w:sz="0" w:space="0" w:color="auto"/>
      </w:divBdr>
    </w:div>
    <w:div w:id="1483961273">
      <w:bodyDiv w:val="1"/>
      <w:marLeft w:val="0"/>
      <w:marRight w:val="0"/>
      <w:marTop w:val="0"/>
      <w:marBottom w:val="0"/>
      <w:divBdr>
        <w:top w:val="none" w:sz="0" w:space="0" w:color="auto"/>
        <w:left w:val="none" w:sz="0" w:space="0" w:color="auto"/>
        <w:bottom w:val="none" w:sz="0" w:space="0" w:color="auto"/>
        <w:right w:val="none" w:sz="0" w:space="0" w:color="auto"/>
      </w:divBdr>
    </w:div>
    <w:div w:id="1581329692">
      <w:bodyDiv w:val="1"/>
      <w:marLeft w:val="0"/>
      <w:marRight w:val="0"/>
      <w:marTop w:val="0"/>
      <w:marBottom w:val="0"/>
      <w:divBdr>
        <w:top w:val="none" w:sz="0" w:space="0" w:color="auto"/>
        <w:left w:val="none" w:sz="0" w:space="0" w:color="auto"/>
        <w:bottom w:val="none" w:sz="0" w:space="0" w:color="auto"/>
        <w:right w:val="none" w:sz="0" w:space="0" w:color="auto"/>
      </w:divBdr>
    </w:div>
    <w:div w:id="1610577050">
      <w:bodyDiv w:val="1"/>
      <w:marLeft w:val="0"/>
      <w:marRight w:val="0"/>
      <w:marTop w:val="0"/>
      <w:marBottom w:val="0"/>
      <w:divBdr>
        <w:top w:val="none" w:sz="0" w:space="0" w:color="auto"/>
        <w:left w:val="none" w:sz="0" w:space="0" w:color="auto"/>
        <w:bottom w:val="none" w:sz="0" w:space="0" w:color="auto"/>
        <w:right w:val="none" w:sz="0" w:space="0" w:color="auto"/>
      </w:divBdr>
    </w:div>
    <w:div w:id="1800952218">
      <w:bodyDiv w:val="1"/>
      <w:marLeft w:val="0"/>
      <w:marRight w:val="0"/>
      <w:marTop w:val="0"/>
      <w:marBottom w:val="0"/>
      <w:divBdr>
        <w:top w:val="none" w:sz="0" w:space="0" w:color="auto"/>
        <w:left w:val="none" w:sz="0" w:space="0" w:color="auto"/>
        <w:bottom w:val="none" w:sz="0" w:space="0" w:color="auto"/>
        <w:right w:val="none" w:sz="0" w:space="0" w:color="auto"/>
      </w:divBdr>
    </w:div>
    <w:div w:id="20705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hyperlink" Target="http://www.esinvesticijos.lt/lt/dokumentai/privaciu-juridiniu-asmenu-projektu-dalyviu-darbo-uzmokescio-fiksuotuju-ikainiu-nustatymo-tyrimo-ataskai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lt/dokumentai/privaciu-juridiniu-asmenu-projektu-dalyviu-darbo-uzmokescio-fiksuotuju-ikainiu-nustatymo-tyrimo-ataskai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regional_policy/lt/policy/cooperation/macro-regional-strategies/baltic-sea/librar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c.europa.eu/regional_policy/lt/policy/cooperation/macro-regional-strategies/baltic-sea/library/" TargetMode="External"/><Relationship Id="rId4" Type="http://schemas.openxmlformats.org/officeDocument/2006/relationships/settings" Target="settings.xml"/><Relationship Id="rId9" Type="http://schemas.openxmlformats.org/officeDocument/2006/relationships/hyperlink" Target="https://osp.stat.gov.lt/statistiniu-rodikliu-analize?indicator=S6R00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624ED-A086-4288-9A72-781070F2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7</Pages>
  <Words>2949</Words>
  <Characters>16814</Characters>
  <Application>Microsoft Office Word</Application>
  <DocSecurity>0</DocSecurity>
  <Lines>140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Vezeviciene Inga</dc:creator>
  <cp:lastModifiedBy>Bilotiene Zivile</cp:lastModifiedBy>
  <cp:revision>20</cp:revision>
  <cp:lastPrinted>2015-09-10T11:47:00Z</cp:lastPrinted>
  <dcterms:created xsi:type="dcterms:W3CDTF">2015-09-10T11:49:00Z</dcterms:created>
  <dcterms:modified xsi:type="dcterms:W3CDTF">2018-12-05T13:59:00Z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