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748" w:rsidRDefault="00587AE4" w:rsidP="00D20748">
      <w:pPr>
        <w:suppressAutoHyphens/>
        <w:jc w:val="center"/>
        <w:rPr>
          <w:b/>
          <w:szCs w:val="24"/>
          <w:lang w:eastAsia="lt-LT"/>
        </w:rPr>
      </w:pPr>
      <w:bookmarkStart w:id="0" w:name="_Hlk530044414"/>
      <w:bookmarkStart w:id="1" w:name="_GoBack"/>
      <w:bookmarkEnd w:id="1"/>
      <w:r>
        <w:rPr>
          <w:b/>
          <w:szCs w:val="24"/>
          <w:lang w:eastAsia="lt-LT"/>
        </w:rPr>
        <w:t>DVIDEŠIMTAS</w:t>
      </w:r>
      <w:r w:rsidR="00612D46">
        <w:rPr>
          <w:b/>
          <w:szCs w:val="24"/>
          <w:lang w:eastAsia="lt-LT"/>
        </w:rPr>
        <w:t>IS</w:t>
      </w:r>
      <w:r w:rsidR="00D20748">
        <w:rPr>
          <w:b/>
          <w:szCs w:val="24"/>
          <w:lang w:eastAsia="lt-LT"/>
        </w:rPr>
        <w:t xml:space="preserve"> SKIRSNIS</w:t>
      </w:r>
    </w:p>
    <w:p w:rsidR="00D20748" w:rsidRDefault="00D20748" w:rsidP="00D20748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VEIKSMŲ PROGRAMOS PRIORITETO ĮGYVENDINIMO PRIEMONĖ </w:t>
      </w:r>
    </w:p>
    <w:p w:rsidR="00514F67" w:rsidRDefault="00514F67" w:rsidP="00514F67">
      <w:pPr>
        <w:tabs>
          <w:tab w:val="left" w:pos="0"/>
          <w:tab w:val="left" w:pos="1026"/>
        </w:tabs>
        <w:ind w:hanging="119"/>
        <w:contextualSpacing/>
        <w:jc w:val="center"/>
        <w:rPr>
          <w:b/>
          <w:caps/>
          <w:szCs w:val="24"/>
        </w:rPr>
      </w:pPr>
      <w:r>
        <w:rPr>
          <w:b/>
          <w:szCs w:val="24"/>
        </w:rPr>
        <w:t xml:space="preserve">NR. </w:t>
      </w:r>
      <w:r>
        <w:rPr>
          <w:b/>
          <w:caps/>
          <w:szCs w:val="24"/>
        </w:rPr>
        <w:t xml:space="preserve">05.3.2-VIPA-T-024 „nuotekų </w:t>
      </w:r>
      <w:r w:rsidR="00E14AF4">
        <w:rPr>
          <w:b/>
          <w:caps/>
          <w:szCs w:val="24"/>
        </w:rPr>
        <w:t xml:space="preserve">SURINKIMO TINKLŲ </w:t>
      </w:r>
      <w:r>
        <w:rPr>
          <w:b/>
          <w:caps/>
          <w:szCs w:val="24"/>
        </w:rPr>
        <w:t>plėtra“</w:t>
      </w:r>
    </w:p>
    <w:p w:rsidR="00D20748" w:rsidRDefault="00D20748" w:rsidP="00D20748">
      <w:pPr>
        <w:tabs>
          <w:tab w:val="left" w:pos="0"/>
          <w:tab w:val="left" w:pos="1026"/>
        </w:tabs>
        <w:suppressAutoHyphens/>
        <w:ind w:hanging="119"/>
        <w:contextualSpacing/>
        <w:jc w:val="center"/>
        <w:rPr>
          <w:b/>
          <w:szCs w:val="24"/>
          <w:lang w:eastAsia="lt-LT"/>
        </w:rPr>
      </w:pPr>
    </w:p>
    <w:p w:rsidR="00D20748" w:rsidRDefault="00D20748" w:rsidP="009C41C1">
      <w:pPr>
        <w:tabs>
          <w:tab w:val="left" w:pos="567"/>
          <w:tab w:val="left" w:pos="709"/>
          <w:tab w:val="left" w:pos="851"/>
        </w:tabs>
        <w:suppressAutoHyphens/>
        <w:ind w:left="284" w:firstLine="28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05.3.2-</w:t>
      </w:r>
      <w:r w:rsidR="00D42655">
        <w:rPr>
          <w:szCs w:val="24"/>
          <w:lang w:eastAsia="lt-LT"/>
        </w:rPr>
        <w:t>VIPA</w:t>
      </w:r>
      <w:r>
        <w:rPr>
          <w:szCs w:val="24"/>
          <w:lang w:eastAsia="lt-LT"/>
        </w:rPr>
        <w:t>-</w:t>
      </w:r>
      <w:r w:rsidR="00D42655">
        <w:rPr>
          <w:szCs w:val="24"/>
          <w:lang w:eastAsia="lt-LT"/>
        </w:rPr>
        <w:t>T</w:t>
      </w:r>
      <w:r>
        <w:rPr>
          <w:szCs w:val="24"/>
          <w:lang w:eastAsia="lt-LT"/>
        </w:rPr>
        <w:t>-0</w:t>
      </w:r>
      <w:r w:rsidR="00D42655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„</w:t>
      </w:r>
      <w:r w:rsidR="00E14AF4">
        <w:rPr>
          <w:szCs w:val="24"/>
          <w:lang w:eastAsia="lt-LT"/>
        </w:rPr>
        <w:t>N</w:t>
      </w:r>
      <w:r w:rsidR="00D42655">
        <w:rPr>
          <w:szCs w:val="24"/>
          <w:lang w:eastAsia="lt-LT"/>
        </w:rPr>
        <w:t xml:space="preserve">uotekų </w:t>
      </w:r>
      <w:r w:rsidR="00E14AF4">
        <w:rPr>
          <w:szCs w:val="24"/>
          <w:lang w:eastAsia="lt-LT"/>
        </w:rPr>
        <w:t>surinkimo tinklų plėtra</w:t>
      </w:r>
      <w:r>
        <w:rPr>
          <w:szCs w:val="24"/>
          <w:lang w:eastAsia="lt-LT"/>
        </w:rPr>
        <w:t>“ (toliau – priemonė) aprašymas: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85"/>
        <w:gridCol w:w="283"/>
      </w:tblGrid>
      <w:tr w:rsidR="00514F67" w:rsidTr="009F20A1">
        <w:tc>
          <w:tcPr>
            <w:tcW w:w="9385" w:type="dxa"/>
          </w:tcPr>
          <w:p w:rsidR="00514F67" w:rsidRPr="00514F67" w:rsidRDefault="00514F67" w:rsidP="00514F67">
            <w:pPr>
              <w:tabs>
                <w:tab w:val="left" w:pos="488"/>
                <w:tab w:val="left" w:pos="1026"/>
              </w:tabs>
              <w:suppressAutoHyphens/>
              <w:ind w:left="34" w:firstLine="312"/>
              <w:contextualSpacing/>
              <w:jc w:val="both"/>
              <w:rPr>
                <w:szCs w:val="24"/>
                <w:lang w:eastAsia="lt-LT"/>
              </w:rPr>
            </w:pPr>
            <w:r w:rsidRPr="00514F67">
              <w:rPr>
                <w:szCs w:val="24"/>
              </w:rPr>
              <w:t>1.1. priemonės įgyvendinimas finansuojamas ES Sanglaudos fondo lėšomis;</w:t>
            </w:r>
          </w:p>
        </w:tc>
        <w:tc>
          <w:tcPr>
            <w:tcW w:w="283" w:type="dxa"/>
          </w:tcPr>
          <w:p w:rsidR="00514F67" w:rsidRDefault="00514F67" w:rsidP="00514F67">
            <w:pPr>
              <w:tabs>
                <w:tab w:val="left" w:pos="488"/>
                <w:tab w:val="left" w:pos="1026"/>
              </w:tabs>
              <w:suppressAutoHyphens/>
              <w:ind w:left="34" w:firstLine="312"/>
              <w:contextualSpacing/>
              <w:jc w:val="both"/>
              <w:rPr>
                <w:szCs w:val="24"/>
                <w:lang w:eastAsia="lt-LT"/>
              </w:rPr>
            </w:pPr>
          </w:p>
        </w:tc>
      </w:tr>
      <w:tr w:rsidR="00514F67" w:rsidTr="009F20A1">
        <w:tc>
          <w:tcPr>
            <w:tcW w:w="9385" w:type="dxa"/>
          </w:tcPr>
          <w:p w:rsidR="00514F67" w:rsidRPr="00514F67" w:rsidRDefault="00514F67" w:rsidP="00514F67">
            <w:pPr>
              <w:tabs>
                <w:tab w:val="left" w:pos="34"/>
                <w:tab w:val="left" w:pos="1026"/>
              </w:tabs>
              <w:suppressAutoHyphens/>
              <w:ind w:left="34" w:firstLine="312"/>
              <w:contextualSpacing/>
              <w:jc w:val="both"/>
              <w:rPr>
                <w:szCs w:val="24"/>
                <w:lang w:eastAsia="lt-LT"/>
              </w:rPr>
            </w:pPr>
            <w:r w:rsidRPr="00514F67">
              <w:rPr>
                <w:szCs w:val="24"/>
              </w:rPr>
              <w:t>1.2. įgyvendinant priemonę prisidedama prie uždavinio „Padidinti vandens tiekimo ir nuotekų tvarkymo paslaugų prieinamumą ir sistemos efektyvumą“ įgyvendinimo;</w:t>
            </w:r>
          </w:p>
        </w:tc>
        <w:tc>
          <w:tcPr>
            <w:tcW w:w="283" w:type="dxa"/>
          </w:tcPr>
          <w:p w:rsidR="00514F67" w:rsidRDefault="00514F67" w:rsidP="00514F67">
            <w:pPr>
              <w:tabs>
                <w:tab w:val="left" w:pos="34"/>
                <w:tab w:val="left" w:pos="1026"/>
              </w:tabs>
              <w:suppressAutoHyphens/>
              <w:ind w:left="34" w:firstLine="312"/>
              <w:contextualSpacing/>
              <w:jc w:val="both"/>
              <w:rPr>
                <w:szCs w:val="24"/>
                <w:lang w:eastAsia="lt-LT"/>
              </w:rPr>
            </w:pPr>
          </w:p>
        </w:tc>
      </w:tr>
      <w:tr w:rsidR="00514F67" w:rsidTr="009F20A1">
        <w:tc>
          <w:tcPr>
            <w:tcW w:w="9385" w:type="dxa"/>
          </w:tcPr>
          <w:p w:rsidR="00514F67" w:rsidRPr="00514F67" w:rsidRDefault="00514F67" w:rsidP="00AE017E">
            <w:pPr>
              <w:tabs>
                <w:tab w:val="left" w:pos="0"/>
                <w:tab w:val="left" w:pos="1026"/>
              </w:tabs>
              <w:suppressAutoHyphens/>
              <w:ind w:firstLine="383"/>
              <w:contextualSpacing/>
              <w:jc w:val="both"/>
              <w:rPr>
                <w:szCs w:val="24"/>
                <w:lang w:eastAsia="lt-LT"/>
              </w:rPr>
            </w:pPr>
            <w:r w:rsidRPr="00514F67">
              <w:rPr>
                <w:szCs w:val="24"/>
              </w:rPr>
              <w:t>1.3. remiama veikla –</w:t>
            </w:r>
            <w:r w:rsidR="00F73871">
              <w:rPr>
                <w:szCs w:val="24"/>
              </w:rPr>
              <w:t xml:space="preserve"> </w:t>
            </w:r>
            <w:r w:rsidR="00E14AF4">
              <w:rPr>
                <w:szCs w:val="24"/>
              </w:rPr>
              <w:t>centralizuotų</w:t>
            </w:r>
            <w:r w:rsidR="00F73871">
              <w:rPr>
                <w:szCs w:val="24"/>
              </w:rPr>
              <w:t>jų</w:t>
            </w:r>
            <w:r w:rsidR="00E14AF4">
              <w:rPr>
                <w:szCs w:val="24"/>
              </w:rPr>
              <w:t xml:space="preserve"> </w:t>
            </w:r>
            <w:r w:rsidRPr="00514F67">
              <w:rPr>
                <w:szCs w:val="24"/>
              </w:rPr>
              <w:t xml:space="preserve">nuotekų surinkimo </w:t>
            </w:r>
            <w:r w:rsidR="00F73871">
              <w:rPr>
                <w:szCs w:val="24"/>
              </w:rPr>
              <w:t xml:space="preserve">sistemų įrengimas </w:t>
            </w:r>
            <w:r w:rsidR="00F73871" w:rsidRPr="0014075B">
              <w:rPr>
                <w:szCs w:val="24"/>
              </w:rPr>
              <w:t>ir</w:t>
            </w:r>
            <w:r w:rsidR="0014075B">
              <w:rPr>
                <w:szCs w:val="24"/>
              </w:rPr>
              <w:t xml:space="preserve"> (arba)</w:t>
            </w:r>
            <w:r w:rsidR="00F73871" w:rsidRPr="0014075B">
              <w:rPr>
                <w:szCs w:val="24"/>
              </w:rPr>
              <w:t xml:space="preserve"> </w:t>
            </w:r>
            <w:r w:rsidR="00FC0DA1" w:rsidRPr="0014075B">
              <w:rPr>
                <w:szCs w:val="24"/>
              </w:rPr>
              <w:t>nuotekų</w:t>
            </w:r>
            <w:r w:rsidR="00F73871" w:rsidRPr="0014075B">
              <w:rPr>
                <w:szCs w:val="24"/>
              </w:rPr>
              <w:t xml:space="preserve"> išleidim</w:t>
            </w:r>
            <w:r w:rsidR="009F20A1" w:rsidRPr="0014075B">
              <w:rPr>
                <w:szCs w:val="24"/>
              </w:rPr>
              <w:t xml:space="preserve">o tinklų tiesimas </w:t>
            </w:r>
            <w:r w:rsidR="0014075B">
              <w:rPr>
                <w:szCs w:val="24"/>
              </w:rPr>
              <w:t>(</w:t>
            </w:r>
            <w:r w:rsidR="00AE017E" w:rsidRPr="0014075B">
              <w:rPr>
                <w:szCs w:val="24"/>
              </w:rPr>
              <w:t>vartotojui</w:t>
            </w:r>
            <w:r w:rsidR="009F20A1" w:rsidRPr="0014075B">
              <w:rPr>
                <w:szCs w:val="24"/>
              </w:rPr>
              <w:t xml:space="preserve"> nuosavy</w:t>
            </w:r>
            <w:r w:rsidR="00F73871" w:rsidRPr="0014075B">
              <w:rPr>
                <w:szCs w:val="24"/>
              </w:rPr>
              <w:t>bės teise priklausančio ar ki</w:t>
            </w:r>
            <w:r w:rsidR="00C97230">
              <w:rPr>
                <w:szCs w:val="24"/>
              </w:rPr>
              <w:t>taip valdomo ir (arba) naudojam</w:t>
            </w:r>
            <w:r w:rsidR="00F73871" w:rsidRPr="0014075B">
              <w:rPr>
                <w:szCs w:val="24"/>
              </w:rPr>
              <w:t>o turto ribose</w:t>
            </w:r>
            <w:r w:rsidR="0014075B">
              <w:rPr>
                <w:szCs w:val="24"/>
              </w:rPr>
              <w:t>)</w:t>
            </w:r>
            <w:r w:rsidR="00F73871" w:rsidRPr="0014075B">
              <w:rPr>
                <w:szCs w:val="24"/>
              </w:rPr>
              <w:t xml:space="preserve"> </w:t>
            </w:r>
            <w:r w:rsidR="00E14AF4" w:rsidRPr="0014075B">
              <w:rPr>
                <w:szCs w:val="24"/>
              </w:rPr>
              <w:t>a</w:t>
            </w:r>
            <w:r w:rsidR="00E14AF4">
              <w:rPr>
                <w:szCs w:val="24"/>
              </w:rPr>
              <w:t>glomeracijose, kuriose susidaro 2000 ir daugiau gyventojų ekvivalentų atitinkanti apkrova</w:t>
            </w:r>
            <w:r w:rsidRPr="00514F67">
              <w:rPr>
                <w:szCs w:val="24"/>
              </w:rPr>
              <w:t>;</w:t>
            </w:r>
            <w:r w:rsidR="00F73871" w:rsidRPr="00514F67">
              <w:rPr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514F67" w:rsidRPr="0024279E" w:rsidRDefault="00514F67" w:rsidP="00514F67">
            <w:pPr>
              <w:tabs>
                <w:tab w:val="left" w:pos="0"/>
                <w:tab w:val="left" w:pos="1026"/>
              </w:tabs>
              <w:suppressAutoHyphens/>
              <w:ind w:firstLine="383"/>
              <w:contextualSpacing/>
              <w:jc w:val="both"/>
              <w:rPr>
                <w:szCs w:val="24"/>
                <w:lang w:eastAsia="lt-LT"/>
              </w:rPr>
            </w:pPr>
          </w:p>
        </w:tc>
      </w:tr>
      <w:tr w:rsidR="00514F67" w:rsidTr="009F20A1">
        <w:trPr>
          <w:trHeight w:val="435"/>
        </w:trPr>
        <w:tc>
          <w:tcPr>
            <w:tcW w:w="9385" w:type="dxa"/>
          </w:tcPr>
          <w:p w:rsidR="00514F67" w:rsidRPr="00514F67" w:rsidRDefault="00514F67" w:rsidP="009F20A1">
            <w:pPr>
              <w:ind w:firstLine="346"/>
              <w:jc w:val="both"/>
              <w:rPr>
                <w:szCs w:val="24"/>
              </w:rPr>
            </w:pPr>
            <w:r w:rsidRPr="00514F67">
              <w:rPr>
                <w:szCs w:val="24"/>
              </w:rPr>
              <w:t>1.4. galimi pareiškėjai –</w:t>
            </w:r>
            <w:r w:rsidR="009F20A1">
              <w:rPr>
                <w:szCs w:val="24"/>
              </w:rPr>
              <w:t xml:space="preserve"> </w:t>
            </w:r>
            <w:r w:rsidR="00C97230">
              <w:rPr>
                <w:szCs w:val="24"/>
              </w:rPr>
              <w:t xml:space="preserve">geriamojo vandens tiekėjai </w:t>
            </w:r>
            <w:r w:rsidR="00B33CD2">
              <w:rPr>
                <w:szCs w:val="24"/>
              </w:rPr>
              <w:t xml:space="preserve">ir </w:t>
            </w:r>
            <w:r w:rsidR="00C97230">
              <w:rPr>
                <w:szCs w:val="24"/>
              </w:rPr>
              <w:t>nuotekų tvarkytojai</w:t>
            </w:r>
            <w:r w:rsidRPr="00514F67">
              <w:rPr>
                <w:szCs w:val="24"/>
              </w:rPr>
              <w:t>.</w:t>
            </w:r>
          </w:p>
        </w:tc>
        <w:tc>
          <w:tcPr>
            <w:tcW w:w="283" w:type="dxa"/>
          </w:tcPr>
          <w:p w:rsidR="00514F67" w:rsidRDefault="00514F67" w:rsidP="00514F67">
            <w:pPr>
              <w:ind w:firstLine="346"/>
              <w:jc w:val="both"/>
              <w:rPr>
                <w:szCs w:val="24"/>
              </w:rPr>
            </w:pPr>
          </w:p>
        </w:tc>
      </w:tr>
    </w:tbl>
    <w:p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D20748" w:rsidRDefault="00D20748" w:rsidP="00D20748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Priemonės finansavimo forma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20748" w:rsidTr="00E14AF4">
        <w:tc>
          <w:tcPr>
            <w:tcW w:w="9526" w:type="dxa"/>
          </w:tcPr>
          <w:p w:rsidR="00514F67" w:rsidRPr="00514F67" w:rsidRDefault="00514F67" w:rsidP="00514F67">
            <w:pPr>
              <w:tabs>
                <w:tab w:val="left" w:pos="0"/>
                <w:tab w:val="left" w:pos="567"/>
              </w:tabs>
              <w:ind w:firstLine="346"/>
              <w:jc w:val="both"/>
              <w:rPr>
                <w:szCs w:val="24"/>
              </w:rPr>
            </w:pPr>
            <w:r w:rsidRPr="00514F67">
              <w:rPr>
                <w:szCs w:val="24"/>
              </w:rPr>
              <w:t>2.1. Grąžinamoji subsidija</w:t>
            </w:r>
            <w:r w:rsidR="00BF35C2">
              <w:rPr>
                <w:szCs w:val="24"/>
              </w:rPr>
              <w:t>;</w:t>
            </w:r>
          </w:p>
          <w:p w:rsidR="00D42655" w:rsidRDefault="00514F67" w:rsidP="000C04B0">
            <w:pPr>
              <w:tabs>
                <w:tab w:val="left" w:pos="0"/>
                <w:tab w:val="left" w:pos="567"/>
              </w:tabs>
              <w:suppressAutoHyphens/>
              <w:ind w:firstLine="346"/>
              <w:jc w:val="both"/>
              <w:rPr>
                <w:szCs w:val="24"/>
                <w:lang w:eastAsia="lt-LT"/>
              </w:rPr>
            </w:pPr>
            <w:bookmarkStart w:id="2" w:name="_Hlk530735591"/>
            <w:r w:rsidRPr="00514F67">
              <w:rPr>
                <w:szCs w:val="24"/>
              </w:rPr>
              <w:t xml:space="preserve">2.2. </w:t>
            </w:r>
            <w:r w:rsidR="00B33CD2">
              <w:t>Grįžusios lėšos bus naudojamos nuotekų tvarkymo paslaugų prieinamumo ir sistemos efektyvumo tikslams siekti</w:t>
            </w:r>
            <w:r w:rsidRPr="00514F67">
              <w:rPr>
                <w:szCs w:val="24"/>
              </w:rPr>
              <w:t>.</w:t>
            </w:r>
            <w:bookmarkEnd w:id="2"/>
          </w:p>
        </w:tc>
      </w:tr>
    </w:tbl>
    <w:p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D20748" w:rsidRDefault="00D20748" w:rsidP="00D20748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20748" w:rsidTr="00FC0DA1">
        <w:tc>
          <w:tcPr>
            <w:tcW w:w="9526" w:type="dxa"/>
          </w:tcPr>
          <w:p w:rsidR="00D20748" w:rsidRDefault="00F334CF" w:rsidP="009C41C1">
            <w:pPr>
              <w:tabs>
                <w:tab w:val="left" w:pos="0"/>
                <w:tab w:val="left" w:pos="567"/>
              </w:tabs>
              <w:suppressAutoHyphens/>
              <w:ind w:firstLine="346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Tęstinė projektų atranka</w:t>
            </w:r>
          </w:p>
        </w:tc>
      </w:tr>
    </w:tbl>
    <w:p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D20748" w:rsidRDefault="00D20748" w:rsidP="00D20748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20748" w:rsidTr="00FC0DA1">
        <w:tc>
          <w:tcPr>
            <w:tcW w:w="9526" w:type="dxa"/>
          </w:tcPr>
          <w:p w:rsidR="00D20748" w:rsidRDefault="00F334CF" w:rsidP="009C41C1">
            <w:pPr>
              <w:tabs>
                <w:tab w:val="left" w:pos="0"/>
                <w:tab w:val="left" w:pos="567"/>
              </w:tabs>
              <w:suppressAutoHyphens/>
              <w:ind w:left="360" w:hanging="1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Uždaroji akcinė bendrovė Viešųjų investicijų plėtros agentūra</w:t>
            </w:r>
          </w:p>
        </w:tc>
      </w:tr>
    </w:tbl>
    <w:p w:rsidR="00D20748" w:rsidRDefault="00D20748" w:rsidP="00D20748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:rsidR="00D20748" w:rsidRDefault="00D20748" w:rsidP="00D20748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952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3161"/>
        <w:gridCol w:w="1483"/>
        <w:gridCol w:w="1529"/>
        <w:gridCol w:w="1542"/>
        <w:gridCol w:w="141"/>
      </w:tblGrid>
      <w:tr w:rsidR="00D20748" w:rsidTr="00FC0DA1">
        <w:tc>
          <w:tcPr>
            <w:tcW w:w="95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67" w:rsidRPr="00514F67" w:rsidRDefault="00514F67" w:rsidP="00BF35C2">
            <w:pPr>
              <w:ind w:left="61" w:firstLine="284"/>
              <w:jc w:val="both"/>
              <w:rPr>
                <w:szCs w:val="24"/>
              </w:rPr>
            </w:pPr>
            <w:r w:rsidRPr="00514F67">
              <w:rPr>
                <w:bCs/>
                <w:szCs w:val="24"/>
              </w:rPr>
              <w:t xml:space="preserve">Pagal šią priemonę nefinansuojami projektai, kurie finansuojami pagal priemones Nr. 05.3.2-APVA-V-013 „Geriamojo vandens tiekimo ir nuotekų tvarkymo ūkio gerinimas“ </w:t>
            </w:r>
            <w:r w:rsidRPr="00514F67">
              <w:rPr>
                <w:szCs w:val="24"/>
              </w:rPr>
              <w:t>ir Nr. 05.3.2-APVA-R-014 „Geriamojo vandens tiekimo ir nuotekų tvarkymo sistemų renovavimas ir plėtra,</w:t>
            </w:r>
            <w:r w:rsidR="00FC0DA1">
              <w:rPr>
                <w:szCs w:val="24"/>
              </w:rPr>
              <w:t xml:space="preserve"> įmonių valdymo tobulinimas“</w:t>
            </w:r>
            <w:r w:rsidRPr="00514F67">
              <w:rPr>
                <w:szCs w:val="24"/>
              </w:rPr>
              <w:t>.</w:t>
            </w:r>
          </w:p>
          <w:p w:rsidR="00220558" w:rsidRPr="00220558" w:rsidRDefault="00514F67" w:rsidP="00514F67">
            <w:pPr>
              <w:suppressAutoHyphens/>
              <w:ind w:left="61" w:firstLine="285"/>
              <w:jc w:val="both"/>
              <w:rPr>
                <w:szCs w:val="24"/>
                <w:lang w:eastAsia="lt-LT"/>
              </w:rPr>
            </w:pPr>
            <w:r w:rsidRPr="00514F67">
              <w:rPr>
                <w:bCs/>
                <w:szCs w:val="24"/>
              </w:rPr>
              <w:t xml:space="preserve">Pagal šią priemonę projektai derinami su priemone </w:t>
            </w:r>
            <w:r w:rsidRPr="00514F67">
              <w:rPr>
                <w:szCs w:val="24"/>
              </w:rPr>
              <w:t xml:space="preserve">Nr. 05.3.2-FM-F-015 „Vandentvarkos fondas“ ir finansuojami </w:t>
            </w:r>
            <w:r w:rsidRPr="00514F67">
              <w:rPr>
                <w:i/>
                <w:szCs w:val="24"/>
              </w:rPr>
              <w:t>pro rata</w:t>
            </w:r>
            <w:r w:rsidRPr="00514F67">
              <w:rPr>
                <w:szCs w:val="24"/>
              </w:rPr>
              <w:t xml:space="preserve"> principu.</w:t>
            </w:r>
          </w:p>
        </w:tc>
      </w:tr>
      <w:tr w:rsidR="00D20748" w:rsidTr="00FC0DA1">
        <w:tc>
          <w:tcPr>
            <w:tcW w:w="9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4A5" w:rsidRDefault="003374A5" w:rsidP="00D20748">
            <w:pPr>
              <w:suppressAutoHyphens/>
              <w:jc w:val="both"/>
              <w:rPr>
                <w:bCs/>
                <w:szCs w:val="24"/>
                <w:lang w:eastAsia="lt-LT"/>
              </w:rPr>
            </w:pPr>
          </w:p>
          <w:p w:rsidR="00D20748" w:rsidRDefault="00D20748" w:rsidP="00D20748">
            <w:pPr>
              <w:suppressAutoHyphens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  6. Priemon</w:t>
            </w:r>
            <w:r w:rsidR="005729BF">
              <w:rPr>
                <w:bCs/>
                <w:szCs w:val="24"/>
                <w:lang w:eastAsia="lt-LT"/>
              </w:rPr>
              <w:t>ės įgyvendinimo stebėsenos rodikliai</w:t>
            </w:r>
          </w:p>
        </w:tc>
      </w:tr>
      <w:tr w:rsidR="00D20748" w:rsidTr="00FC0DA1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E15754" w:rsidTr="00FC0DA1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E15754" w:rsidP="00A02B3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R.S. 329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E15754" w:rsidP="00E15754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„Nuotekų tvarkymo paslaugų prieinamumas“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E15754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procentai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514F67" w:rsidRDefault="00514F67" w:rsidP="00A02B36">
            <w:pPr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 w:rsidRPr="00514F67">
              <w:rPr>
                <w:szCs w:val="24"/>
                <w:lang w:eastAsia="lt-LT"/>
              </w:rPr>
              <w:t>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514F67" w:rsidRDefault="00206304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514F67">
              <w:rPr>
                <w:szCs w:val="24"/>
                <w:lang w:eastAsia="lt-LT"/>
              </w:rPr>
              <w:t>90</w:t>
            </w:r>
          </w:p>
        </w:tc>
      </w:tr>
      <w:tr w:rsidR="00E15754" w:rsidTr="00FC0DA1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E15754" w:rsidP="00A02B3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P.B. 219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E15754" w:rsidP="00E15754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„Papildomi gyventojai, kuriems teikiamos pagerintos nuotekų tvarkymo paslaugos“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074E2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gyventojų ekvivalentas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0A6510" w:rsidRDefault="000A6510" w:rsidP="00A02B36">
            <w:pPr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 w:rsidRPr="000A6510">
              <w:rPr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54" w:rsidRPr="00220558" w:rsidRDefault="00FC0DA1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3 300</w:t>
            </w:r>
          </w:p>
        </w:tc>
      </w:tr>
      <w:tr w:rsidR="00CA12CF" w:rsidTr="00FC0DA1">
        <w:tblPrEx>
          <w:tblLook w:val="01E0" w:firstRow="1" w:lastRow="1" w:firstColumn="1" w:lastColumn="1" w:noHBand="0" w:noVBand="0"/>
        </w:tblPrEx>
        <w:trPr>
          <w:gridAfter w:val="1"/>
          <w:wAfter w:w="141" w:type="dxa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F" w:rsidRPr="00220558" w:rsidRDefault="003D76B7" w:rsidP="00A02B3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P.N. 053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F" w:rsidRPr="00220558" w:rsidRDefault="003D76B7" w:rsidP="003D76B7">
            <w:pPr>
              <w:tabs>
                <w:tab w:val="left" w:pos="0"/>
              </w:tabs>
              <w:suppressAutoHyphens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„Gyventojai, kuriems teikiamos paslaugos naujai pastatytais nuotekų surinkimo tinklais“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F" w:rsidRPr="00220558" w:rsidRDefault="00F76750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20558">
              <w:rPr>
                <w:szCs w:val="24"/>
                <w:lang w:eastAsia="lt-LT"/>
              </w:rPr>
              <w:t>g</w:t>
            </w:r>
            <w:r w:rsidR="003D76B7" w:rsidRPr="00220558">
              <w:rPr>
                <w:szCs w:val="24"/>
                <w:lang w:eastAsia="lt-LT"/>
              </w:rPr>
              <w:t xml:space="preserve">yventojų ekvivalentas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F" w:rsidRPr="000A6510" w:rsidRDefault="000A6510" w:rsidP="00A02B36">
            <w:pPr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 w:rsidRPr="000A6510">
              <w:rPr>
                <w:szCs w:val="24"/>
                <w:lang w:eastAsia="lt-LT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CF" w:rsidRPr="00514F67" w:rsidRDefault="00FC0DA1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3 300</w:t>
            </w:r>
          </w:p>
        </w:tc>
      </w:tr>
    </w:tbl>
    <w:p w:rsidR="00D20748" w:rsidRDefault="00D20748" w:rsidP="00D20748">
      <w:pPr>
        <w:jc w:val="both"/>
        <w:rPr>
          <w:szCs w:val="24"/>
          <w:lang w:eastAsia="lt-LT"/>
        </w:rPr>
      </w:pPr>
    </w:p>
    <w:p w:rsidR="00D20748" w:rsidRPr="00D20748" w:rsidRDefault="00D20748" w:rsidP="00D20748">
      <w:pPr>
        <w:jc w:val="both"/>
        <w:rPr>
          <w:rFonts w:eastAsia="MS Mincho"/>
          <w:i/>
          <w:iCs/>
          <w:sz w:val="20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:rsidR="00D20748" w:rsidRDefault="00D20748" w:rsidP="003D76B7">
      <w:pPr>
        <w:tabs>
          <w:tab w:val="left" w:pos="0"/>
          <w:tab w:val="left" w:pos="142"/>
          <w:tab w:val="left" w:pos="8364"/>
        </w:tabs>
        <w:suppressAutoHyphens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417"/>
        <w:gridCol w:w="1417"/>
        <w:gridCol w:w="1418"/>
        <w:gridCol w:w="1419"/>
        <w:gridCol w:w="1276"/>
      </w:tblGrid>
      <w:tr w:rsidR="00D20748" w:rsidTr="00A02B36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20748" w:rsidTr="00A02B36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D20748" w:rsidRDefault="00D20748" w:rsidP="00A02B36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20748" w:rsidTr="00A02B36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Respubli-</w:t>
            </w:r>
          </w:p>
          <w:p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20748" w:rsidTr="00A02B36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D20748" w:rsidTr="00A02B36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20748" w:rsidTr="00A02B3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20558" w:rsidRDefault="00220558" w:rsidP="00220558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220558">
              <w:rPr>
                <w:bCs/>
                <w:szCs w:val="24"/>
                <w:lang w:eastAsia="lt-LT"/>
              </w:rPr>
              <w:t>10</w:t>
            </w:r>
            <w:r w:rsidR="00481005" w:rsidRPr="00220558">
              <w:rPr>
                <w:bCs/>
                <w:szCs w:val="24"/>
                <w:lang w:eastAsia="lt-LT"/>
              </w:rPr>
              <w:t>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trike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8093C">
              <w:rPr>
                <w:bCs/>
                <w:szCs w:val="24"/>
                <w:lang w:eastAsia="lt-LT"/>
              </w:rPr>
              <w:t>0</w:t>
            </w:r>
          </w:p>
        </w:tc>
      </w:tr>
      <w:tr w:rsidR="00D20748" w:rsidTr="00A02B36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20748" w:rsidTr="00A02B3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24279E"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24279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4279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4279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24279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24279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24279E">
              <w:rPr>
                <w:bCs/>
                <w:szCs w:val="24"/>
                <w:lang w:eastAsia="lt-LT"/>
              </w:rPr>
              <w:t>0</w:t>
            </w:r>
          </w:p>
        </w:tc>
      </w:tr>
      <w:tr w:rsidR="00D20748" w:rsidTr="00A02B36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Default="00D20748" w:rsidP="00A02B36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D20748" w:rsidTr="00A02B3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220558" w:rsidP="0022055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4279E">
              <w:rPr>
                <w:b/>
                <w:bCs/>
                <w:szCs w:val="24"/>
                <w:lang w:eastAsia="lt-LT"/>
              </w:rPr>
              <w:t>1</w:t>
            </w:r>
            <w:r w:rsidR="00481005" w:rsidRPr="0024279E">
              <w:rPr>
                <w:b/>
                <w:bCs/>
                <w:szCs w:val="24"/>
                <w:lang w:eastAsia="lt-LT"/>
              </w:rPr>
              <w:t>0.000.000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4279E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4279E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24279E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24279E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4279E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8" w:rsidRPr="0024279E" w:rsidRDefault="00D20748" w:rsidP="00A02B36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8093C">
              <w:rPr>
                <w:b/>
                <w:szCs w:val="24"/>
                <w:lang w:eastAsia="lt-LT"/>
              </w:rPr>
              <w:t>0</w:t>
            </w:r>
          </w:p>
        </w:tc>
      </w:tr>
      <w:bookmarkEnd w:id="0"/>
    </w:tbl>
    <w:p w:rsidR="00964DFC" w:rsidRDefault="000F3AC0"/>
    <w:p w:rsidR="009677E3" w:rsidRDefault="009677E3" w:rsidP="009677E3">
      <w:pPr>
        <w:jc w:val="center"/>
      </w:pPr>
      <w:r>
        <w:t>_________________</w:t>
      </w:r>
    </w:p>
    <w:sectPr w:rsidR="009677E3" w:rsidSect="00774965">
      <w:headerReference w:type="default" r:id="rId7"/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A5" w:rsidRDefault="00693AA5" w:rsidP="00497EDD">
      <w:r>
        <w:separator/>
      </w:r>
    </w:p>
  </w:endnote>
  <w:endnote w:type="continuationSeparator" w:id="0">
    <w:p w:rsidR="00693AA5" w:rsidRDefault="00693AA5" w:rsidP="0049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A5" w:rsidRDefault="00693AA5" w:rsidP="00497EDD">
      <w:r>
        <w:separator/>
      </w:r>
    </w:p>
  </w:footnote>
  <w:footnote w:type="continuationSeparator" w:id="0">
    <w:p w:rsidR="00693AA5" w:rsidRDefault="00693AA5" w:rsidP="0049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EDD" w:rsidRDefault="00235AA3" w:rsidP="00235AA3">
    <w:pPr>
      <w:pStyle w:val="Header"/>
      <w:jc w:val="right"/>
    </w:pPr>
    <w:r>
      <w:t xml:space="preserve">2019-01-17  siuntimui EV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48"/>
    <w:rsid w:val="00027F4B"/>
    <w:rsid w:val="00040583"/>
    <w:rsid w:val="00056BEE"/>
    <w:rsid w:val="00071A48"/>
    <w:rsid w:val="000740C3"/>
    <w:rsid w:val="00074E28"/>
    <w:rsid w:val="00087CA3"/>
    <w:rsid w:val="000A20BA"/>
    <w:rsid w:val="000A6510"/>
    <w:rsid w:val="000B50C5"/>
    <w:rsid w:val="000C04B0"/>
    <w:rsid w:val="000C20D0"/>
    <w:rsid w:val="000F3AC0"/>
    <w:rsid w:val="0010305A"/>
    <w:rsid w:val="001039CA"/>
    <w:rsid w:val="00113075"/>
    <w:rsid w:val="00131630"/>
    <w:rsid w:val="0014075B"/>
    <w:rsid w:val="00175BDE"/>
    <w:rsid w:val="0018093C"/>
    <w:rsid w:val="00193742"/>
    <w:rsid w:val="001B77BD"/>
    <w:rsid w:val="00206304"/>
    <w:rsid w:val="00214E3B"/>
    <w:rsid w:val="00216CB2"/>
    <w:rsid w:val="00220558"/>
    <w:rsid w:val="00235AA3"/>
    <w:rsid w:val="00236661"/>
    <w:rsid w:val="0024279E"/>
    <w:rsid w:val="002B2208"/>
    <w:rsid w:val="002D1133"/>
    <w:rsid w:val="002D33B3"/>
    <w:rsid w:val="002F0AD1"/>
    <w:rsid w:val="002F7CC6"/>
    <w:rsid w:val="00333894"/>
    <w:rsid w:val="003374A5"/>
    <w:rsid w:val="00355FEB"/>
    <w:rsid w:val="003B1B95"/>
    <w:rsid w:val="003B5109"/>
    <w:rsid w:val="003C19AE"/>
    <w:rsid w:val="003D76B7"/>
    <w:rsid w:val="003F3727"/>
    <w:rsid w:val="003F736B"/>
    <w:rsid w:val="00410F3C"/>
    <w:rsid w:val="004211F8"/>
    <w:rsid w:val="00430546"/>
    <w:rsid w:val="00454576"/>
    <w:rsid w:val="00481005"/>
    <w:rsid w:val="00497EDD"/>
    <w:rsid w:val="004C1155"/>
    <w:rsid w:val="005008A1"/>
    <w:rsid w:val="00514F67"/>
    <w:rsid w:val="00560E18"/>
    <w:rsid w:val="005729BF"/>
    <w:rsid w:val="005838EF"/>
    <w:rsid w:val="00587AE4"/>
    <w:rsid w:val="00594115"/>
    <w:rsid w:val="00595DF1"/>
    <w:rsid w:val="005C7336"/>
    <w:rsid w:val="00600DB8"/>
    <w:rsid w:val="00602E72"/>
    <w:rsid w:val="00612D46"/>
    <w:rsid w:val="00673549"/>
    <w:rsid w:val="00693AA5"/>
    <w:rsid w:val="006B7695"/>
    <w:rsid w:val="006D62D6"/>
    <w:rsid w:val="006E3E14"/>
    <w:rsid w:val="00774965"/>
    <w:rsid w:val="007A3FFE"/>
    <w:rsid w:val="007C6CFB"/>
    <w:rsid w:val="007F0FAB"/>
    <w:rsid w:val="00800156"/>
    <w:rsid w:val="0080535B"/>
    <w:rsid w:val="0081004D"/>
    <w:rsid w:val="008617FC"/>
    <w:rsid w:val="00873103"/>
    <w:rsid w:val="008750B6"/>
    <w:rsid w:val="008C153E"/>
    <w:rsid w:val="00951AA5"/>
    <w:rsid w:val="009677E3"/>
    <w:rsid w:val="009A3633"/>
    <w:rsid w:val="009B2031"/>
    <w:rsid w:val="009C3494"/>
    <w:rsid w:val="009C41C1"/>
    <w:rsid w:val="009D57DE"/>
    <w:rsid w:val="009D7580"/>
    <w:rsid w:val="009E4871"/>
    <w:rsid w:val="009F03EF"/>
    <w:rsid w:val="009F20A1"/>
    <w:rsid w:val="00A17D59"/>
    <w:rsid w:val="00A34B1F"/>
    <w:rsid w:val="00A53062"/>
    <w:rsid w:val="00A81874"/>
    <w:rsid w:val="00A831E1"/>
    <w:rsid w:val="00AC5C37"/>
    <w:rsid w:val="00AE017E"/>
    <w:rsid w:val="00B33CD2"/>
    <w:rsid w:val="00B71506"/>
    <w:rsid w:val="00B94368"/>
    <w:rsid w:val="00BF1F07"/>
    <w:rsid w:val="00BF35C2"/>
    <w:rsid w:val="00C00B34"/>
    <w:rsid w:val="00C00D38"/>
    <w:rsid w:val="00C062F1"/>
    <w:rsid w:val="00C207C2"/>
    <w:rsid w:val="00C506A0"/>
    <w:rsid w:val="00C56712"/>
    <w:rsid w:val="00C84A17"/>
    <w:rsid w:val="00C97230"/>
    <w:rsid w:val="00CA12CF"/>
    <w:rsid w:val="00CB29DD"/>
    <w:rsid w:val="00CF052E"/>
    <w:rsid w:val="00CF60FC"/>
    <w:rsid w:val="00D20748"/>
    <w:rsid w:val="00D42655"/>
    <w:rsid w:val="00DB007E"/>
    <w:rsid w:val="00DC13B7"/>
    <w:rsid w:val="00DD4179"/>
    <w:rsid w:val="00DE2F5B"/>
    <w:rsid w:val="00E14AF4"/>
    <w:rsid w:val="00E15754"/>
    <w:rsid w:val="00E8324D"/>
    <w:rsid w:val="00E9685B"/>
    <w:rsid w:val="00EB073C"/>
    <w:rsid w:val="00EB79BA"/>
    <w:rsid w:val="00F023E2"/>
    <w:rsid w:val="00F11066"/>
    <w:rsid w:val="00F334CF"/>
    <w:rsid w:val="00F6781F"/>
    <w:rsid w:val="00F73871"/>
    <w:rsid w:val="00F76750"/>
    <w:rsid w:val="00F826B1"/>
    <w:rsid w:val="00F827A6"/>
    <w:rsid w:val="00F916CA"/>
    <w:rsid w:val="00FC0DA1"/>
    <w:rsid w:val="00FC5152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CC06-FF73-4C4B-A01B-586462C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7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ED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7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ED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AD3A-AC81-4ED2-AADB-D241856D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Ilma Skukauskaite.</cp:lastModifiedBy>
  <cp:revision>2</cp:revision>
  <cp:lastPrinted>2019-01-18T09:12:00Z</cp:lastPrinted>
  <dcterms:created xsi:type="dcterms:W3CDTF">2019-01-22T15:13:00Z</dcterms:created>
  <dcterms:modified xsi:type="dcterms:W3CDTF">2019-01-22T15:13:00Z</dcterms:modified>
</cp:coreProperties>
</file>