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05D82" w14:textId="77777777" w:rsidR="00EE2118" w:rsidRDefault="00EE2118" w:rsidP="00E50C93">
      <w:pPr>
        <w:tabs>
          <w:tab w:val="left" w:pos="709"/>
        </w:tabs>
        <w:jc w:val="center"/>
        <w:rPr>
          <w:b/>
          <w:caps/>
          <w:sz w:val="16"/>
          <w:szCs w:val="16"/>
        </w:rPr>
      </w:pPr>
    </w:p>
    <w:p w14:paraId="4D19598C" w14:textId="5F6B28FD" w:rsidR="003F720C" w:rsidRPr="002D2728" w:rsidRDefault="005E077C" w:rsidP="00E50C93">
      <w:pPr>
        <w:tabs>
          <w:tab w:val="left" w:pos="709"/>
        </w:tabs>
        <w:jc w:val="center"/>
        <w:rPr>
          <w:b/>
          <w:caps/>
          <w:szCs w:val="24"/>
        </w:rPr>
      </w:pPr>
      <w:r w:rsidRPr="006C2540">
        <w:rPr>
          <w:noProof/>
          <w:szCs w:val="24"/>
          <w:lang w:eastAsia="lt-LT"/>
        </w:rPr>
        <w:drawing>
          <wp:anchor distT="0" distB="0" distL="114300" distR="114300" simplePos="0" relativeHeight="251659264" behindDoc="0" locked="0" layoutInCell="1" allowOverlap="1" wp14:anchorId="5896D278" wp14:editId="0F170E6F">
            <wp:simplePos x="0" y="0"/>
            <wp:positionH relativeFrom="margin">
              <wp:align>center</wp:align>
            </wp:positionH>
            <wp:positionV relativeFrom="page">
              <wp:posOffset>766860</wp:posOffset>
            </wp:positionV>
            <wp:extent cx="543560" cy="595630"/>
            <wp:effectExtent l="0" t="0" r="8890" b="0"/>
            <wp:wrapTopAndBottom/>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3F720C" w:rsidRPr="002D2728">
        <w:rPr>
          <w:b/>
          <w:caps/>
          <w:szCs w:val="24"/>
        </w:rPr>
        <w:t xml:space="preserve">LIETUVOS RESPUBLIKOS </w:t>
      </w:r>
      <w:r w:rsidR="0048748D">
        <w:rPr>
          <w:b/>
          <w:caps/>
          <w:szCs w:val="24"/>
        </w:rPr>
        <w:t>EKONOMIKOS IR INOVACIJŲ</w:t>
      </w:r>
      <w:r w:rsidR="003F720C" w:rsidRPr="002D2728">
        <w:rPr>
          <w:b/>
          <w:caps/>
          <w:szCs w:val="24"/>
        </w:rPr>
        <w:t xml:space="preserve"> MINISTRAS</w:t>
      </w:r>
    </w:p>
    <w:p w14:paraId="608D36E2" w14:textId="77777777" w:rsidR="003F720C" w:rsidRPr="002D2728" w:rsidRDefault="003F720C" w:rsidP="00E50C93">
      <w:pPr>
        <w:jc w:val="center"/>
        <w:rPr>
          <w:b/>
          <w:caps/>
          <w:szCs w:val="24"/>
        </w:rPr>
      </w:pPr>
    </w:p>
    <w:p w14:paraId="247F72F1" w14:textId="77777777" w:rsidR="003F720C" w:rsidRPr="002D2728" w:rsidRDefault="003F720C" w:rsidP="00E50C93">
      <w:pPr>
        <w:pStyle w:val="centrbold"/>
        <w:spacing w:before="0" w:beforeAutospacing="0" w:after="0" w:afterAutospacing="0"/>
        <w:jc w:val="center"/>
        <w:rPr>
          <w:b/>
        </w:rPr>
      </w:pPr>
      <w:r w:rsidRPr="002D2728">
        <w:rPr>
          <w:b/>
        </w:rPr>
        <w:t>ĮSAKYMAS</w:t>
      </w:r>
    </w:p>
    <w:p w14:paraId="088307C9" w14:textId="13DD35A7" w:rsidR="003F720C" w:rsidRPr="00B72B13" w:rsidRDefault="003F720C" w:rsidP="00E50C93">
      <w:pPr>
        <w:jc w:val="center"/>
        <w:rPr>
          <w:b/>
          <w:bCs/>
          <w:caps/>
          <w:szCs w:val="24"/>
        </w:rPr>
      </w:pPr>
      <w:r w:rsidRPr="002D2728">
        <w:rPr>
          <w:b/>
          <w:szCs w:val="24"/>
        </w:rPr>
        <w:t>DĖL LIETUVO</w:t>
      </w:r>
      <w:r>
        <w:rPr>
          <w:b/>
          <w:szCs w:val="24"/>
        </w:rPr>
        <w:t>S RESPUBLIKOS ŪKIO MINISTRO 201</w:t>
      </w:r>
      <w:r w:rsidR="00E01490">
        <w:rPr>
          <w:b/>
          <w:szCs w:val="24"/>
        </w:rPr>
        <w:t>5</w:t>
      </w:r>
      <w:r w:rsidRPr="002D2728">
        <w:rPr>
          <w:b/>
          <w:szCs w:val="24"/>
        </w:rPr>
        <w:t xml:space="preserve"> M. </w:t>
      </w:r>
      <w:r w:rsidR="00E01490">
        <w:rPr>
          <w:b/>
          <w:caps/>
          <w:szCs w:val="24"/>
        </w:rPr>
        <w:t>LAPKRIČIO 11</w:t>
      </w:r>
      <w:r>
        <w:rPr>
          <w:b/>
          <w:caps/>
          <w:szCs w:val="24"/>
        </w:rPr>
        <w:t xml:space="preserve"> </w:t>
      </w:r>
      <w:r>
        <w:rPr>
          <w:b/>
          <w:szCs w:val="24"/>
        </w:rPr>
        <w:t>D. ĮSAKYMO NR. 4-</w:t>
      </w:r>
      <w:r w:rsidR="00E01490">
        <w:rPr>
          <w:b/>
          <w:szCs w:val="24"/>
        </w:rPr>
        <w:t>715</w:t>
      </w:r>
      <w:r w:rsidRPr="002D2728">
        <w:rPr>
          <w:b/>
          <w:szCs w:val="24"/>
        </w:rPr>
        <w:t xml:space="preserve"> „DĖL 2014–2020 METŲ EUROPOS SĄJUNGOS FONDŲ INVESTICIJŲ VEIKSMŲ PROGRAMOS </w:t>
      </w:r>
      <w:r>
        <w:rPr>
          <w:b/>
          <w:caps/>
          <w:szCs w:val="24"/>
        </w:rPr>
        <w:t>1</w:t>
      </w:r>
      <w:r w:rsidRPr="002D2728">
        <w:rPr>
          <w:b/>
          <w:caps/>
          <w:szCs w:val="24"/>
        </w:rPr>
        <w:t xml:space="preserve"> PRIORITETO </w:t>
      </w:r>
      <w:r w:rsidRPr="003F720C">
        <w:rPr>
          <w:b/>
          <w:bCs/>
          <w:caps/>
          <w:szCs w:val="24"/>
        </w:rPr>
        <w:t xml:space="preserve">„mokslinių tyrimų, eksperimentinės plėtros ir inovacijų skatinimas“ priemonės </w:t>
      </w:r>
      <w:r w:rsidR="00EE2118">
        <w:rPr>
          <w:b/>
          <w:bCs/>
          <w:caps/>
          <w:szCs w:val="24"/>
        </w:rPr>
        <w:br/>
      </w:r>
      <w:r w:rsidRPr="003F720C">
        <w:rPr>
          <w:b/>
          <w:bCs/>
          <w:caps/>
          <w:szCs w:val="24"/>
        </w:rPr>
        <w:t>n</w:t>
      </w:r>
      <w:r w:rsidR="00EE2118">
        <w:rPr>
          <w:b/>
          <w:bCs/>
          <w:caps/>
          <w:szCs w:val="24"/>
        </w:rPr>
        <w:t xml:space="preserve">r. </w:t>
      </w:r>
      <w:r w:rsidR="00BF05C2">
        <w:rPr>
          <w:b/>
          <w:bCs/>
          <w:caps/>
          <w:szCs w:val="24"/>
        </w:rPr>
        <w:t xml:space="preserve">01.2.1-LVPA-V-822 </w:t>
      </w:r>
      <w:r w:rsidR="00BF05C2" w:rsidRPr="00BF05C2">
        <w:rPr>
          <w:b/>
          <w:bCs/>
          <w:caps/>
          <w:szCs w:val="24"/>
        </w:rPr>
        <w:t>„SMARTINVEST LT“</w:t>
      </w:r>
      <w:r w:rsidR="001F443A">
        <w:rPr>
          <w:b/>
          <w:bCs/>
          <w:caps/>
          <w:szCs w:val="24"/>
        </w:rPr>
        <w:t xml:space="preserve"> </w:t>
      </w:r>
      <w:r w:rsidRPr="003F720C">
        <w:rPr>
          <w:b/>
          <w:bCs/>
          <w:caps/>
          <w:szCs w:val="24"/>
        </w:rPr>
        <w:t>projektų finansavimo sąlygų aprašo nr. 1 patvirtinimo</w:t>
      </w:r>
      <w:r>
        <w:rPr>
          <w:rFonts w:eastAsia="Calibri"/>
          <w:b/>
          <w:szCs w:val="24"/>
        </w:rPr>
        <w:t>“</w:t>
      </w:r>
      <w:r>
        <w:rPr>
          <w:b/>
          <w:bCs/>
          <w:caps/>
          <w:szCs w:val="24"/>
        </w:rPr>
        <w:t xml:space="preserve"> </w:t>
      </w:r>
      <w:r w:rsidRPr="002D2728">
        <w:rPr>
          <w:b/>
          <w:caps/>
          <w:szCs w:val="24"/>
        </w:rPr>
        <w:t>PAKEITIMO</w:t>
      </w:r>
    </w:p>
    <w:p w14:paraId="25CE6FC8" w14:textId="77777777" w:rsidR="003F720C" w:rsidRPr="002D2728" w:rsidRDefault="003F720C" w:rsidP="00E50C93">
      <w:pPr>
        <w:rPr>
          <w:szCs w:val="24"/>
        </w:rPr>
      </w:pPr>
    </w:p>
    <w:p w14:paraId="7BA30340" w14:textId="49208FDC" w:rsidR="003F720C" w:rsidRPr="002D2728" w:rsidRDefault="001A0FD0" w:rsidP="00E50C93">
      <w:pPr>
        <w:jc w:val="center"/>
        <w:rPr>
          <w:szCs w:val="24"/>
        </w:rPr>
      </w:pPr>
      <w:r>
        <w:rPr>
          <w:szCs w:val="24"/>
        </w:rPr>
        <w:t>201</w:t>
      </w:r>
      <w:r w:rsidR="001A38E8">
        <w:rPr>
          <w:szCs w:val="24"/>
        </w:rPr>
        <w:t>9</w:t>
      </w:r>
      <w:r>
        <w:rPr>
          <w:szCs w:val="24"/>
        </w:rPr>
        <w:t xml:space="preserve"> m.</w:t>
      </w:r>
      <w:r w:rsidR="00EE2118">
        <w:rPr>
          <w:szCs w:val="24"/>
        </w:rPr>
        <w:t xml:space="preserve"> sausio</w:t>
      </w:r>
      <w:r w:rsidR="00CE7FB4">
        <w:rPr>
          <w:szCs w:val="24"/>
        </w:rPr>
        <w:t xml:space="preserve"> 22</w:t>
      </w:r>
      <w:r w:rsidR="003F720C" w:rsidRPr="002D2728">
        <w:rPr>
          <w:szCs w:val="24"/>
        </w:rPr>
        <w:t xml:space="preserve"> d. Nr. 4-</w:t>
      </w:r>
      <w:r w:rsidR="00CE7FB4">
        <w:rPr>
          <w:szCs w:val="24"/>
        </w:rPr>
        <w:t>40</w:t>
      </w:r>
      <w:bookmarkStart w:id="0" w:name="_GoBack"/>
      <w:bookmarkEnd w:id="0"/>
    </w:p>
    <w:p w14:paraId="37C0A5E9" w14:textId="77777777" w:rsidR="003F720C" w:rsidRPr="002D2728" w:rsidRDefault="003F720C" w:rsidP="00E50C93">
      <w:pPr>
        <w:jc w:val="center"/>
        <w:rPr>
          <w:szCs w:val="24"/>
        </w:rPr>
      </w:pPr>
      <w:r w:rsidRPr="002D2728">
        <w:rPr>
          <w:szCs w:val="24"/>
        </w:rPr>
        <w:t>Vilnius</w:t>
      </w:r>
    </w:p>
    <w:p w14:paraId="74A9B8A1" w14:textId="77777777" w:rsidR="003F720C" w:rsidRPr="002D2728" w:rsidRDefault="003F720C" w:rsidP="00E50C93">
      <w:pPr>
        <w:jc w:val="center"/>
        <w:rPr>
          <w:szCs w:val="24"/>
        </w:rPr>
      </w:pPr>
    </w:p>
    <w:p w14:paraId="2E1CE24A" w14:textId="77777777" w:rsidR="003F720C" w:rsidRPr="002D2728" w:rsidRDefault="003F720C" w:rsidP="00E50C93">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27E405E7" w14:textId="5B3F9D2D" w:rsidR="003F1680" w:rsidRDefault="003F720C" w:rsidP="00BA4EC4">
      <w:pPr>
        <w:pStyle w:val="BodyText1"/>
        <w:spacing w:line="240" w:lineRule="auto"/>
        <w:ind w:firstLine="720"/>
        <w:rPr>
          <w:color w:val="auto"/>
          <w:sz w:val="24"/>
          <w:szCs w:val="24"/>
        </w:rPr>
      </w:pPr>
      <w:r>
        <w:rPr>
          <w:color w:val="auto"/>
          <w:sz w:val="24"/>
          <w:szCs w:val="24"/>
        </w:rPr>
        <w:t xml:space="preserve">p a k e i č i u </w:t>
      </w:r>
      <w:r w:rsidR="003F1680" w:rsidRPr="002D2728">
        <w:rPr>
          <w:color w:val="auto"/>
          <w:sz w:val="24"/>
          <w:szCs w:val="24"/>
        </w:rPr>
        <w:t>Lietuvo</w:t>
      </w:r>
      <w:r w:rsidR="003F1680">
        <w:rPr>
          <w:color w:val="auto"/>
          <w:sz w:val="24"/>
          <w:szCs w:val="24"/>
        </w:rPr>
        <w:t>s Respublikos ūkio ministro 2015 m. lapkričio 11 d. įsakymą Nr. 4-715</w:t>
      </w:r>
      <w:r w:rsidR="003F1680" w:rsidRPr="002D2728">
        <w:rPr>
          <w:color w:val="auto"/>
          <w:sz w:val="24"/>
          <w:szCs w:val="24"/>
        </w:rPr>
        <w:t xml:space="preserve"> „Dėl 2014–2020 metų Europos Sąjungos fondų</w:t>
      </w:r>
      <w:r w:rsidR="003F1680">
        <w:rPr>
          <w:color w:val="auto"/>
          <w:sz w:val="24"/>
          <w:szCs w:val="24"/>
        </w:rPr>
        <w:t xml:space="preserve"> investicijų veiksmų programos 1</w:t>
      </w:r>
      <w:r w:rsidR="003F1680" w:rsidRPr="002D2728">
        <w:rPr>
          <w:color w:val="auto"/>
          <w:sz w:val="24"/>
          <w:szCs w:val="24"/>
        </w:rPr>
        <w:t> prioriteto „</w:t>
      </w:r>
      <w:r w:rsidR="003F1680" w:rsidRPr="007E4586">
        <w:rPr>
          <w:color w:val="auto"/>
          <w:sz w:val="24"/>
          <w:szCs w:val="24"/>
        </w:rPr>
        <w:t>Mokslinių tyrimų, eksperimentinės plėtros ir inovacijų skatinimas“ priemonės Nr. 01.2.1-LVPA-V-8</w:t>
      </w:r>
      <w:r w:rsidR="003F1680">
        <w:rPr>
          <w:color w:val="auto"/>
          <w:sz w:val="24"/>
          <w:szCs w:val="24"/>
        </w:rPr>
        <w:t>2</w:t>
      </w:r>
      <w:r w:rsidR="003F1680" w:rsidRPr="007E4586">
        <w:rPr>
          <w:color w:val="auto"/>
          <w:sz w:val="24"/>
          <w:szCs w:val="24"/>
        </w:rPr>
        <w:t>2 „</w:t>
      </w:r>
      <w:r w:rsidR="003F1680">
        <w:rPr>
          <w:color w:val="auto"/>
          <w:sz w:val="24"/>
          <w:szCs w:val="24"/>
        </w:rPr>
        <w:t xml:space="preserve">SmartInvest </w:t>
      </w:r>
      <w:r w:rsidR="003F1680" w:rsidRPr="007E4586">
        <w:rPr>
          <w:color w:val="auto"/>
          <w:sz w:val="24"/>
          <w:szCs w:val="24"/>
        </w:rPr>
        <w:t>LT</w:t>
      </w:r>
      <w:r w:rsidR="003F1680" w:rsidRPr="007D250B">
        <w:rPr>
          <w:color w:val="auto"/>
          <w:sz w:val="24"/>
          <w:szCs w:val="24"/>
        </w:rPr>
        <w:t>“</w:t>
      </w:r>
      <w:r w:rsidR="003F1680" w:rsidRPr="002D2728">
        <w:rPr>
          <w:color w:val="auto"/>
          <w:sz w:val="24"/>
          <w:szCs w:val="24"/>
        </w:rPr>
        <w:t xml:space="preserve"> projektų finansav</w:t>
      </w:r>
      <w:r w:rsidR="003F1680">
        <w:rPr>
          <w:color w:val="auto"/>
          <w:sz w:val="24"/>
          <w:szCs w:val="24"/>
        </w:rPr>
        <w:t>imo sąlygų aprašo Nr. 1 patvirtinimo“:</w:t>
      </w:r>
    </w:p>
    <w:p w14:paraId="2521F6A5" w14:textId="241DF7BE" w:rsidR="00BA4EC4" w:rsidRDefault="003F1680" w:rsidP="00BA4EC4">
      <w:pPr>
        <w:pStyle w:val="BodyText1"/>
        <w:spacing w:line="240" w:lineRule="auto"/>
        <w:ind w:firstLine="720"/>
        <w:rPr>
          <w:color w:val="auto"/>
          <w:sz w:val="24"/>
          <w:szCs w:val="24"/>
        </w:rPr>
      </w:pPr>
      <w:r>
        <w:rPr>
          <w:color w:val="auto"/>
          <w:sz w:val="24"/>
          <w:szCs w:val="24"/>
        </w:rPr>
        <w:t xml:space="preserve">1. Pakeičiu </w:t>
      </w:r>
      <w:r w:rsidR="00746299">
        <w:rPr>
          <w:color w:val="auto"/>
          <w:sz w:val="24"/>
          <w:szCs w:val="24"/>
        </w:rPr>
        <w:t>nurodytą įsakymą ir jį išdėstau nauja redakcija (</w:t>
      </w:r>
      <w:r w:rsidR="003F720C" w:rsidRPr="002D2728">
        <w:rPr>
          <w:color w:val="auto"/>
          <w:sz w:val="24"/>
          <w:szCs w:val="24"/>
        </w:rPr>
        <w:t>2014–2020 metų Europos Sąjungos fondų</w:t>
      </w:r>
      <w:r w:rsidR="001A0FD0">
        <w:rPr>
          <w:color w:val="auto"/>
          <w:sz w:val="24"/>
          <w:szCs w:val="24"/>
        </w:rPr>
        <w:t xml:space="preserve"> investicijų veiksmų programos 1</w:t>
      </w:r>
      <w:r w:rsidR="003F720C" w:rsidRPr="002D2728">
        <w:rPr>
          <w:color w:val="auto"/>
          <w:sz w:val="24"/>
          <w:szCs w:val="24"/>
        </w:rPr>
        <w:t> prioriteto „</w:t>
      </w:r>
      <w:r w:rsidR="001A0FD0" w:rsidRPr="001A0FD0">
        <w:rPr>
          <w:color w:val="auto"/>
          <w:sz w:val="24"/>
          <w:szCs w:val="24"/>
        </w:rPr>
        <w:t>Mokslinių tyrimų, eksperimentinės plėtros ir inovacijų skatinimas“ priemonės N</w:t>
      </w:r>
      <w:r w:rsidR="007E4586">
        <w:rPr>
          <w:color w:val="auto"/>
          <w:sz w:val="24"/>
          <w:szCs w:val="24"/>
        </w:rPr>
        <w:t>r. 01.2.1-LVPA-V-8</w:t>
      </w:r>
      <w:r w:rsidR="00BF05C2">
        <w:rPr>
          <w:color w:val="auto"/>
          <w:sz w:val="24"/>
          <w:szCs w:val="24"/>
        </w:rPr>
        <w:t>22</w:t>
      </w:r>
      <w:r w:rsidR="007E4586">
        <w:rPr>
          <w:color w:val="auto"/>
          <w:sz w:val="24"/>
          <w:szCs w:val="24"/>
        </w:rPr>
        <w:t xml:space="preserve"> „</w:t>
      </w:r>
      <w:r w:rsidR="00BF05C2">
        <w:rPr>
          <w:color w:val="auto"/>
          <w:sz w:val="24"/>
          <w:szCs w:val="24"/>
        </w:rPr>
        <w:t xml:space="preserve">SmartInvest </w:t>
      </w:r>
      <w:r w:rsidR="007E4586">
        <w:rPr>
          <w:color w:val="auto"/>
          <w:sz w:val="24"/>
          <w:szCs w:val="24"/>
        </w:rPr>
        <w:t>LT</w:t>
      </w:r>
      <w:r w:rsidR="003F720C" w:rsidRPr="007D250B">
        <w:rPr>
          <w:color w:val="auto"/>
          <w:sz w:val="24"/>
          <w:szCs w:val="24"/>
        </w:rPr>
        <w:t>“</w:t>
      </w:r>
      <w:r w:rsidR="003F720C" w:rsidRPr="002D2728">
        <w:rPr>
          <w:color w:val="auto"/>
          <w:sz w:val="24"/>
          <w:szCs w:val="24"/>
        </w:rPr>
        <w:t xml:space="preserve"> projektų</w:t>
      </w:r>
      <w:r w:rsidR="003F720C">
        <w:rPr>
          <w:color w:val="auto"/>
          <w:sz w:val="24"/>
          <w:szCs w:val="24"/>
        </w:rPr>
        <w:t xml:space="preserve"> finansavimo sąlygų apraš</w:t>
      </w:r>
      <w:r w:rsidR="00746299">
        <w:rPr>
          <w:color w:val="auto"/>
          <w:sz w:val="24"/>
          <w:szCs w:val="24"/>
        </w:rPr>
        <w:t>as</w:t>
      </w:r>
      <w:r w:rsidR="001F443A">
        <w:rPr>
          <w:color w:val="auto"/>
          <w:sz w:val="24"/>
          <w:szCs w:val="24"/>
        </w:rPr>
        <w:t xml:space="preserve"> Nr. 1</w:t>
      </w:r>
      <w:r w:rsidR="00C42AEB">
        <w:rPr>
          <w:color w:val="auto"/>
          <w:sz w:val="24"/>
          <w:szCs w:val="24"/>
        </w:rPr>
        <w:t xml:space="preserve"> nauja redakcija nedėstomas)</w:t>
      </w:r>
      <w:r w:rsidR="003F720C" w:rsidRPr="002D2728">
        <w:rPr>
          <w:color w:val="auto"/>
          <w:sz w:val="24"/>
          <w:szCs w:val="24"/>
        </w:rPr>
        <w:t>:</w:t>
      </w:r>
    </w:p>
    <w:p w14:paraId="1A0694B8" w14:textId="320C784E" w:rsidR="00C42AEB" w:rsidRDefault="00C42AEB" w:rsidP="00BA4EC4">
      <w:pPr>
        <w:pStyle w:val="BodyText1"/>
        <w:spacing w:line="240" w:lineRule="auto"/>
        <w:ind w:firstLine="720"/>
        <w:rPr>
          <w:color w:val="auto"/>
          <w:sz w:val="24"/>
          <w:szCs w:val="24"/>
        </w:rPr>
      </w:pPr>
    </w:p>
    <w:p w14:paraId="6B7107DA" w14:textId="77777777" w:rsidR="00C42AEB" w:rsidRPr="00C42AEB" w:rsidRDefault="00C42AEB" w:rsidP="00C42AEB">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14:paraId="23702420" w14:textId="7606A946" w:rsidR="00C42AEB" w:rsidRDefault="00C42AEB" w:rsidP="007A00CD">
      <w:pPr>
        <w:pStyle w:val="BodyText1"/>
        <w:spacing w:line="240" w:lineRule="auto"/>
        <w:ind w:firstLine="720"/>
        <w:jc w:val="center"/>
        <w:rPr>
          <w:color w:val="auto"/>
          <w:sz w:val="24"/>
          <w:szCs w:val="24"/>
        </w:rPr>
      </w:pPr>
    </w:p>
    <w:p w14:paraId="3A81CF81" w14:textId="77777777" w:rsidR="00C42AEB" w:rsidRPr="00C42AEB" w:rsidRDefault="00C42AEB" w:rsidP="00C42AEB">
      <w:pPr>
        <w:suppressAutoHyphens/>
        <w:autoSpaceDE w:val="0"/>
        <w:autoSpaceDN w:val="0"/>
        <w:adjustRightInd w:val="0"/>
        <w:jc w:val="center"/>
        <w:textAlignment w:val="center"/>
        <w:rPr>
          <w:b/>
          <w:color w:val="000000"/>
          <w:szCs w:val="24"/>
        </w:rPr>
      </w:pPr>
      <w:r w:rsidRPr="00C42AEB">
        <w:rPr>
          <w:b/>
          <w:color w:val="000000"/>
          <w:szCs w:val="24"/>
        </w:rPr>
        <w:t>ĮSAKYMAS</w:t>
      </w:r>
    </w:p>
    <w:p w14:paraId="7898E913" w14:textId="5CD0CE45" w:rsidR="00C42AEB" w:rsidRDefault="00C42AEB" w:rsidP="007A00CD">
      <w:pPr>
        <w:pStyle w:val="BodyText1"/>
        <w:spacing w:line="240" w:lineRule="auto"/>
        <w:ind w:firstLine="720"/>
        <w:jc w:val="center"/>
        <w:rPr>
          <w:b/>
          <w:bCs/>
          <w:color w:val="auto"/>
          <w:sz w:val="24"/>
          <w:szCs w:val="24"/>
        </w:rPr>
      </w:pPr>
      <w:r w:rsidRPr="00C42AEB">
        <w:rPr>
          <w:b/>
          <w:bCs/>
          <w:color w:val="auto"/>
          <w:sz w:val="24"/>
          <w:szCs w:val="24"/>
        </w:rPr>
        <w:t>DĖL 2014–2020 METŲ EUROPOS SĄJUNGOS FONDŲ INVESTICIJŲ VEIKSMŲ PROGRAMOS 1 PRIORITETO „MOKSLINIŲ TYRIMŲ, EKSPERIMENTINĖS PLĖTROS IR INOVACIJŲ SKATINIMAS“ PRIEMONĖS NR. 01.2.1-LVPA-V-822 „SMARTINVEST LT“ PROJEKTŲ FINANSAVIMO SĄLYGŲ APRAŠO NR. 1 PATVIRTINIMO</w:t>
      </w:r>
    </w:p>
    <w:p w14:paraId="518602C9" w14:textId="39B70CEB" w:rsidR="00C42AEB" w:rsidRDefault="00C42AEB" w:rsidP="007A00CD">
      <w:pPr>
        <w:pStyle w:val="BodyText1"/>
        <w:spacing w:line="240" w:lineRule="auto"/>
        <w:ind w:firstLine="720"/>
        <w:jc w:val="center"/>
        <w:rPr>
          <w:b/>
          <w:bCs/>
          <w:color w:val="auto"/>
          <w:sz w:val="24"/>
          <w:szCs w:val="24"/>
        </w:rPr>
      </w:pPr>
    </w:p>
    <w:p w14:paraId="50706A3C" w14:textId="30F67FED" w:rsidR="00C42AEB" w:rsidRPr="007A00CD" w:rsidRDefault="00C42AEB" w:rsidP="007A00CD">
      <w:pPr>
        <w:pStyle w:val="BodyText1"/>
        <w:spacing w:line="240" w:lineRule="auto"/>
        <w:ind w:firstLine="720"/>
        <w:rPr>
          <w:sz w:val="24"/>
          <w:szCs w:val="24"/>
        </w:rPr>
      </w:pPr>
      <w:r w:rsidRPr="007A00CD">
        <w:rPr>
          <w:sz w:val="24"/>
          <w:szCs w:val="24"/>
        </w:rPr>
        <w:t>Vadovaudamasis Atsakomybės ir funkcijų paskirstymo</w:t>
      </w:r>
      <w:r w:rsidR="009A04CC">
        <w:rPr>
          <w:sz w:val="24"/>
          <w:szCs w:val="24"/>
        </w:rPr>
        <w:t xml:space="preserve"> tarp institucijų, įgyvendinant </w:t>
      </w:r>
      <w:r w:rsidR="009A04CC">
        <w:rPr>
          <w:sz w:val="24"/>
          <w:szCs w:val="24"/>
        </w:rPr>
        <w:br/>
      </w:r>
      <w:r w:rsidRPr="007A00CD">
        <w:rPr>
          <w:sz w:val="24"/>
          <w:szCs w:val="24"/>
        </w:rPr>
        <w:t>2014–2020 metų Europos Sąjungos fondų investicijų veiksmų programą, taisyklių, patvirtintų Lietuvos Respublikos Vyriausybės 2014 m. birže</w:t>
      </w:r>
      <w:r w:rsidR="00E0647C" w:rsidRPr="00E0647C">
        <w:rPr>
          <w:sz w:val="24"/>
          <w:szCs w:val="24"/>
        </w:rPr>
        <w:t>lio 4 d. nutarimu Nr. 528 „Dėl a</w:t>
      </w:r>
      <w:r w:rsidRPr="007A00CD">
        <w:rPr>
          <w:sz w:val="24"/>
          <w:szCs w:val="24"/>
        </w:rPr>
        <w:t>tsakomybės ir funkcijų paskirstymo tarp institucijų, įgyvendinant 2014–2020 metų Europos Sąjungos fondų investicijų veiksmų programą“, 6.2.7 papunkčiu,</w:t>
      </w:r>
    </w:p>
    <w:p w14:paraId="03A86926" w14:textId="1A9725A9" w:rsidR="00C42AEB" w:rsidRPr="007A00CD" w:rsidRDefault="00E0647C" w:rsidP="007A00CD">
      <w:pPr>
        <w:pStyle w:val="BodyText1"/>
        <w:spacing w:line="240" w:lineRule="auto"/>
        <w:ind w:firstLine="720"/>
        <w:rPr>
          <w:sz w:val="24"/>
          <w:szCs w:val="24"/>
        </w:rPr>
      </w:pPr>
      <w:r>
        <w:rPr>
          <w:sz w:val="24"/>
          <w:szCs w:val="24"/>
        </w:rPr>
        <w:t xml:space="preserve">t </w:t>
      </w:r>
      <w:r w:rsidR="00C42AEB" w:rsidRPr="007A00CD">
        <w:rPr>
          <w:sz w:val="24"/>
          <w:szCs w:val="24"/>
        </w:rPr>
        <w:t>v</w:t>
      </w:r>
      <w:r>
        <w:rPr>
          <w:sz w:val="24"/>
          <w:szCs w:val="24"/>
        </w:rPr>
        <w:t xml:space="preserve"> </w:t>
      </w:r>
      <w:r w:rsidR="00C42AEB" w:rsidRPr="007A00CD">
        <w:rPr>
          <w:sz w:val="24"/>
          <w:szCs w:val="24"/>
        </w:rPr>
        <w:t>i</w:t>
      </w:r>
      <w:r>
        <w:rPr>
          <w:sz w:val="24"/>
          <w:szCs w:val="24"/>
        </w:rPr>
        <w:t xml:space="preserve"> </w:t>
      </w:r>
      <w:r w:rsidR="00C42AEB" w:rsidRPr="007A00CD">
        <w:rPr>
          <w:sz w:val="24"/>
          <w:szCs w:val="24"/>
        </w:rPr>
        <w:t>r</w:t>
      </w:r>
      <w:r>
        <w:rPr>
          <w:sz w:val="24"/>
          <w:szCs w:val="24"/>
        </w:rPr>
        <w:t xml:space="preserve"> </w:t>
      </w:r>
      <w:r w:rsidR="00C42AEB" w:rsidRPr="007A00CD">
        <w:rPr>
          <w:sz w:val="24"/>
          <w:szCs w:val="24"/>
        </w:rPr>
        <w:t>t</w:t>
      </w:r>
      <w:r>
        <w:rPr>
          <w:sz w:val="24"/>
          <w:szCs w:val="24"/>
        </w:rPr>
        <w:t xml:space="preserve"> </w:t>
      </w:r>
      <w:r w:rsidR="00C42AEB" w:rsidRPr="007A00CD">
        <w:rPr>
          <w:sz w:val="24"/>
          <w:szCs w:val="24"/>
        </w:rPr>
        <w:t>i</w:t>
      </w:r>
      <w:r>
        <w:rPr>
          <w:sz w:val="24"/>
          <w:szCs w:val="24"/>
        </w:rPr>
        <w:t xml:space="preserve"> </w:t>
      </w:r>
      <w:r w:rsidR="00C42AEB" w:rsidRPr="007A00CD">
        <w:rPr>
          <w:sz w:val="24"/>
          <w:szCs w:val="24"/>
        </w:rPr>
        <w:t>n</w:t>
      </w:r>
      <w:r>
        <w:rPr>
          <w:sz w:val="24"/>
          <w:szCs w:val="24"/>
        </w:rPr>
        <w:t xml:space="preserve"> </w:t>
      </w:r>
      <w:r w:rsidR="00C42AEB" w:rsidRPr="007A00CD">
        <w:rPr>
          <w:sz w:val="24"/>
          <w:szCs w:val="24"/>
        </w:rPr>
        <w:t xml:space="preserve">u 2014–2020 metų Europos Sąjungos fondų investicijų veiksmų programos </w:t>
      </w:r>
      <w:r w:rsidR="009A04CC">
        <w:rPr>
          <w:sz w:val="24"/>
          <w:szCs w:val="24"/>
        </w:rPr>
        <w:br/>
      </w:r>
      <w:r w:rsidR="00C42AEB" w:rsidRPr="007A00CD">
        <w:rPr>
          <w:sz w:val="24"/>
          <w:szCs w:val="24"/>
        </w:rPr>
        <w:t xml:space="preserve">1 prioriteto „Mokslinių tyrimų, eksperimentinės plėtros ir inovacijų skatinimas“ priemonės </w:t>
      </w:r>
      <w:r w:rsidR="009A04CC">
        <w:rPr>
          <w:sz w:val="24"/>
          <w:szCs w:val="24"/>
        </w:rPr>
        <w:br/>
      </w:r>
      <w:r w:rsidR="00C42AEB" w:rsidRPr="007A00CD">
        <w:rPr>
          <w:sz w:val="24"/>
          <w:szCs w:val="24"/>
        </w:rPr>
        <w:t>Nr. 01.2.1-LVPA-V-822 „SmartInvest LT“ projektų finansavimo sąlygų aprašą Nr. 1 (pridedama).</w:t>
      </w:r>
      <w:r w:rsidR="00055247">
        <w:rPr>
          <w:sz w:val="24"/>
          <w:szCs w:val="24"/>
        </w:rPr>
        <w:t>“</w:t>
      </w:r>
    </w:p>
    <w:p w14:paraId="3E7760FF" w14:textId="533BE718" w:rsidR="00C42AEB" w:rsidRPr="00055247" w:rsidRDefault="00055247" w:rsidP="00055247">
      <w:pPr>
        <w:pStyle w:val="BodyText1"/>
        <w:spacing w:line="240" w:lineRule="auto"/>
        <w:ind w:firstLine="720"/>
        <w:rPr>
          <w:color w:val="auto"/>
          <w:sz w:val="24"/>
          <w:szCs w:val="24"/>
        </w:rPr>
      </w:pPr>
      <w:r>
        <w:rPr>
          <w:color w:val="auto"/>
          <w:sz w:val="24"/>
          <w:szCs w:val="24"/>
        </w:rPr>
        <w:t>2. Pakeičiu nurodytu įsakymu patvir</w:t>
      </w:r>
      <w:r w:rsidR="009A04CC">
        <w:rPr>
          <w:color w:val="auto"/>
          <w:sz w:val="24"/>
          <w:szCs w:val="24"/>
        </w:rPr>
        <w:t>tin</w:t>
      </w:r>
      <w:r>
        <w:rPr>
          <w:color w:val="auto"/>
          <w:sz w:val="24"/>
          <w:szCs w:val="24"/>
        </w:rPr>
        <w:t xml:space="preserve">tą </w:t>
      </w:r>
      <w:r w:rsidRPr="00055247">
        <w:rPr>
          <w:color w:val="auto"/>
          <w:sz w:val="24"/>
          <w:szCs w:val="24"/>
        </w:rPr>
        <w:t>2014–2020 metų Europos Sąjungos fondų investicijų veiksmų programos 1 prioriteto „Mokslinių tyrimų, eksperimentinės plėtros ir inovacijų skatinimas“ priemonės Nr. 01.2.1-LVPA-V-822 „SmartInvest LT“ projektų finansavimo sąlygų aprašą Nr. 1</w:t>
      </w:r>
      <w:r>
        <w:rPr>
          <w:color w:val="auto"/>
          <w:sz w:val="24"/>
          <w:szCs w:val="24"/>
        </w:rPr>
        <w:t>:</w:t>
      </w:r>
    </w:p>
    <w:p w14:paraId="22FFCF8A" w14:textId="33AFA392" w:rsidR="00F373D3" w:rsidRDefault="00055247" w:rsidP="007A00CD">
      <w:pPr>
        <w:pStyle w:val="BodyText1"/>
        <w:numPr>
          <w:ilvl w:val="1"/>
          <w:numId w:val="18"/>
        </w:numPr>
        <w:spacing w:line="240" w:lineRule="auto"/>
        <w:rPr>
          <w:color w:val="auto"/>
          <w:sz w:val="24"/>
          <w:szCs w:val="24"/>
        </w:rPr>
      </w:pPr>
      <w:r>
        <w:rPr>
          <w:color w:val="auto"/>
          <w:sz w:val="24"/>
          <w:szCs w:val="24"/>
        </w:rPr>
        <w:t xml:space="preserve"> </w:t>
      </w:r>
      <w:r w:rsidR="00E50C93">
        <w:rPr>
          <w:color w:val="auto"/>
          <w:sz w:val="24"/>
          <w:szCs w:val="24"/>
        </w:rPr>
        <w:t>Pakeičiu 1 punktą ir jį išdėstau taip:</w:t>
      </w:r>
    </w:p>
    <w:p w14:paraId="4AC9B26E" w14:textId="1DA0BD3E" w:rsidR="00E50C93" w:rsidRDefault="00E50C93" w:rsidP="00BA4EC4">
      <w:pPr>
        <w:pStyle w:val="BodyText1"/>
        <w:spacing w:line="240" w:lineRule="auto"/>
        <w:ind w:firstLine="709"/>
        <w:rPr>
          <w:rFonts w:eastAsia="Calibri"/>
          <w:sz w:val="24"/>
          <w:szCs w:val="24"/>
        </w:rPr>
      </w:pPr>
      <w:r w:rsidRPr="00E50C93">
        <w:rPr>
          <w:color w:val="auto"/>
          <w:sz w:val="24"/>
          <w:szCs w:val="24"/>
        </w:rPr>
        <w:lastRenderedPageBreak/>
        <w:t>„</w:t>
      </w:r>
      <w:r w:rsidRPr="00E50C93">
        <w:rPr>
          <w:rFonts w:eastAsia="Calibri"/>
          <w:sz w:val="24"/>
          <w:szCs w:val="24"/>
        </w:rPr>
        <w:t xml:space="preserve">1. 2014–2020 metų Europos Sąjungos fondų investicijų veiksmų programos 1 prioriteto „Mokslinių tyrimų, eksperimentinės plėtros ir inovacijų skatinimas“ priemonės Nr. 01.2.1-LVPA-V-822 „SmartInvest LT“ projektų finansavimo sąlygų aprašas Nr. 1 (toliau – Aprašas) nustato reikalavimus, kuriais turi vadovautis pareiškėjai, rengdami ir teikdami paraiškas finansuoti iš Europos Sąjungos struktūrinių fondų lėšų bendrai finansuojamus projektus (toliau – paraiška) pagal </w:t>
      </w:r>
      <w:r w:rsidR="00471E2A">
        <w:rPr>
          <w:rFonts w:eastAsia="Calibri"/>
          <w:sz w:val="24"/>
          <w:szCs w:val="24"/>
        </w:rPr>
        <w:br/>
      </w:r>
      <w:r w:rsidRPr="00E50C93">
        <w:rPr>
          <w:rFonts w:eastAsia="Calibri"/>
          <w:sz w:val="24"/>
          <w:szCs w:val="24"/>
        </w:rPr>
        <w:t>2014–2020 m</w:t>
      </w:r>
      <w:r w:rsidR="00A13C2F">
        <w:rPr>
          <w:rFonts w:eastAsia="Calibri"/>
          <w:sz w:val="24"/>
          <w:szCs w:val="24"/>
        </w:rPr>
        <w:t>etų</w:t>
      </w:r>
      <w:r w:rsidRPr="00E50C93">
        <w:rPr>
          <w:rFonts w:eastAsia="Calibri"/>
          <w:sz w:val="24"/>
          <w:szCs w:val="24"/>
        </w:rPr>
        <w:t xml:space="preserve"> Europos Sąjungos fondų investicijų veiksmų programos, patvirtintos Europos Komisijos 2014 m. rugsėjo 8  d. </w:t>
      </w:r>
      <w:r w:rsidR="00A13C2F">
        <w:rPr>
          <w:rFonts w:eastAsia="Calibri"/>
          <w:sz w:val="24"/>
          <w:szCs w:val="24"/>
        </w:rPr>
        <w:t xml:space="preserve">įgyvendinimo </w:t>
      </w:r>
      <w:r w:rsidRPr="00E50C93">
        <w:rPr>
          <w:rFonts w:eastAsia="Calibri"/>
          <w:sz w:val="24"/>
          <w:szCs w:val="24"/>
        </w:rPr>
        <w:t xml:space="preserve">sprendimu, </w:t>
      </w:r>
      <w:r w:rsidRPr="00E50C93">
        <w:rPr>
          <w:sz w:val="24"/>
          <w:szCs w:val="24"/>
        </w:rPr>
        <w:t xml:space="preserve">kuriuo patvirtinami tam tikri </w:t>
      </w:r>
      <w:r w:rsidR="00471E2A">
        <w:rPr>
          <w:sz w:val="24"/>
          <w:szCs w:val="24"/>
        </w:rPr>
        <w:br/>
      </w:r>
      <w:r w:rsidRPr="00E50C93">
        <w:rPr>
          <w:sz w:val="24"/>
          <w:szCs w:val="24"/>
        </w:rPr>
        <w:t>„2014–2020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754DF5">
        <w:rPr>
          <w:sz w:val="24"/>
          <w:szCs w:val="24"/>
        </w:rPr>
        <w:t>os Respublikai</w:t>
      </w:r>
      <w:r w:rsidRPr="00E50C93">
        <w:rPr>
          <w:sz w:val="24"/>
          <w:szCs w:val="24"/>
        </w:rPr>
        <w:t xml:space="preserve"> (apie nurodytą sprendimą Europos Komisija pranešė dokumentu Nr. C(2014)6397)</w:t>
      </w:r>
      <w:r w:rsidRPr="00E50C93">
        <w:rPr>
          <w:rFonts w:eastAsia="Calibri"/>
          <w:sz w:val="24"/>
          <w:szCs w:val="24"/>
        </w:rPr>
        <w:t xml:space="preserve"> (toliau – Veiksmų programa), 1 prioriteto „Mokslinių tyrimų, eksperimentinės plėtros ir inovacijų skatinimas“ priemonės Nr. 01.2.1-LVPA-V-822 „SmartInvest LT“ (toliau – Priemonė) finansuojamas veiklas, </w:t>
      </w:r>
      <w:r w:rsidRPr="00E50C93">
        <w:rPr>
          <w:sz w:val="24"/>
          <w:szCs w:val="24"/>
        </w:rPr>
        <w:t xml:space="preserve">iš Europos Sąjungos struktūrinių fondų lėšų bendrai finansuojamų projektų (toliau – projektai) vykdytojai, įgyvendindami pagal Aprašą finansuojamus projektus, </w:t>
      </w:r>
      <w:r w:rsidRPr="00E50C93">
        <w:rPr>
          <w:rFonts w:eastAsia="Calibri"/>
          <w:sz w:val="24"/>
          <w:szCs w:val="24"/>
        </w:rPr>
        <w:t>taip pat institucijos, atliekančios paraiškų vertinimą, atranką ir projektų įgyvendinimo priežiūrą</w:t>
      </w:r>
      <w:r>
        <w:rPr>
          <w:rFonts w:eastAsia="Calibri"/>
          <w:sz w:val="24"/>
          <w:szCs w:val="24"/>
        </w:rPr>
        <w:t>.“</w:t>
      </w:r>
    </w:p>
    <w:p w14:paraId="36CF02DF" w14:textId="02F592B2" w:rsidR="005A04DE" w:rsidRDefault="00055247" w:rsidP="007A00CD">
      <w:pPr>
        <w:pStyle w:val="BodyText1"/>
        <w:numPr>
          <w:ilvl w:val="1"/>
          <w:numId w:val="18"/>
        </w:numPr>
        <w:spacing w:line="240" w:lineRule="auto"/>
        <w:rPr>
          <w:rFonts w:eastAsia="Calibri"/>
          <w:sz w:val="24"/>
          <w:szCs w:val="24"/>
        </w:rPr>
      </w:pPr>
      <w:r>
        <w:rPr>
          <w:rFonts w:eastAsia="Calibri"/>
          <w:sz w:val="24"/>
          <w:szCs w:val="24"/>
        </w:rPr>
        <w:t xml:space="preserve"> </w:t>
      </w:r>
      <w:r w:rsidR="005A04DE">
        <w:rPr>
          <w:rFonts w:eastAsia="Calibri"/>
          <w:sz w:val="24"/>
          <w:szCs w:val="24"/>
        </w:rPr>
        <w:t>Papildau 2.3 p</w:t>
      </w:r>
      <w:r w:rsidR="001F46AB">
        <w:rPr>
          <w:rFonts w:eastAsia="Calibri"/>
          <w:sz w:val="24"/>
          <w:szCs w:val="24"/>
        </w:rPr>
        <w:t>apunkčiu</w:t>
      </w:r>
      <w:r w:rsidR="005A04DE">
        <w:rPr>
          <w:rFonts w:eastAsia="Calibri"/>
          <w:sz w:val="24"/>
          <w:szCs w:val="24"/>
        </w:rPr>
        <w:t>:</w:t>
      </w:r>
    </w:p>
    <w:p w14:paraId="3EAE07D8" w14:textId="77777777" w:rsidR="00E50C93" w:rsidRDefault="005A04DE" w:rsidP="00BA4EC4">
      <w:pPr>
        <w:pStyle w:val="BodyText1"/>
        <w:spacing w:line="240" w:lineRule="auto"/>
        <w:ind w:firstLine="709"/>
        <w:rPr>
          <w:sz w:val="24"/>
          <w:szCs w:val="24"/>
          <w:lang w:eastAsia="lt-LT"/>
        </w:rPr>
      </w:pPr>
      <w:r w:rsidRPr="00A9058B">
        <w:rPr>
          <w:rFonts w:eastAsia="Calibri"/>
          <w:sz w:val="24"/>
          <w:szCs w:val="24"/>
        </w:rPr>
        <w:t>„</w:t>
      </w:r>
      <w:r w:rsidR="00A9058B" w:rsidRPr="00A9058B">
        <w:rPr>
          <w:rFonts w:eastAsia="Calibri"/>
          <w:sz w:val="24"/>
          <w:szCs w:val="24"/>
        </w:rPr>
        <w:t xml:space="preserve">2.3. </w:t>
      </w:r>
      <w:r w:rsidR="00A9058B" w:rsidRPr="00A9058B">
        <w:rPr>
          <w:sz w:val="24"/>
          <w:szCs w:val="24"/>
          <w:lang w:eastAsia="lt-LT"/>
        </w:rPr>
        <w:t xml:space="preserve">Rekomendacijas dėl projektų išlaidų atitikties Europos Sąjungos struktūrinių fondų reikalavimams, </w:t>
      </w:r>
      <w:r w:rsidR="00A9058B" w:rsidRPr="00A9058B">
        <w:rPr>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A9058B" w:rsidRPr="00A9058B">
        <w:rPr>
          <w:sz w:val="24"/>
          <w:szCs w:val="24"/>
          <w:lang w:eastAsia="lt-LT"/>
        </w:rPr>
        <w:t xml:space="preserve"> paskelbtas </w:t>
      </w:r>
      <w:r w:rsidR="00C25029">
        <w:rPr>
          <w:sz w:val="24"/>
          <w:szCs w:val="24"/>
          <w:lang w:eastAsia="lt-LT"/>
        </w:rPr>
        <w:t xml:space="preserve">Europos Sąjungos (toliau – </w:t>
      </w:r>
      <w:r w:rsidR="00A9058B" w:rsidRPr="00A9058B">
        <w:rPr>
          <w:sz w:val="24"/>
          <w:szCs w:val="24"/>
        </w:rPr>
        <w:t>ES</w:t>
      </w:r>
      <w:r w:rsidR="00C25029">
        <w:rPr>
          <w:sz w:val="24"/>
          <w:szCs w:val="24"/>
        </w:rPr>
        <w:t>)</w:t>
      </w:r>
      <w:r w:rsidR="00A9058B" w:rsidRPr="00A9058B">
        <w:rPr>
          <w:sz w:val="24"/>
          <w:szCs w:val="24"/>
        </w:rPr>
        <w:t xml:space="preserve"> struktūrinių fondų </w:t>
      </w:r>
      <w:r w:rsidR="00A9058B" w:rsidRPr="00A9058B">
        <w:rPr>
          <w:sz w:val="24"/>
          <w:szCs w:val="24"/>
          <w:lang w:eastAsia="lt-LT"/>
        </w:rPr>
        <w:t xml:space="preserve">svetainėje </w:t>
      </w:r>
      <w:hyperlink r:id="rId9" w:history="1">
        <w:r w:rsidR="00A9058B" w:rsidRPr="0048748D">
          <w:rPr>
            <w:rStyle w:val="Hyperlink"/>
            <w:color w:val="auto"/>
            <w:sz w:val="24"/>
            <w:szCs w:val="24"/>
            <w:u w:val="none"/>
            <w:lang w:eastAsia="lt-LT"/>
          </w:rPr>
          <w:t>www.esinvesticijos.lt</w:t>
        </w:r>
      </w:hyperlink>
      <w:r w:rsidR="00A9058B" w:rsidRPr="0048748D">
        <w:rPr>
          <w:rStyle w:val="Hyperlink"/>
          <w:color w:val="auto"/>
          <w:sz w:val="24"/>
          <w:szCs w:val="24"/>
          <w:u w:val="none"/>
          <w:lang w:eastAsia="lt-LT"/>
        </w:rPr>
        <w:t xml:space="preserve"> (toliau – </w:t>
      </w:r>
      <w:r w:rsidR="00A9058B" w:rsidRPr="00A9058B">
        <w:rPr>
          <w:sz w:val="24"/>
          <w:szCs w:val="24"/>
          <w:lang w:eastAsia="lt-LT"/>
        </w:rPr>
        <w:t>Rekomendacijos dėl projektų išlaidų atitikties Europos Sąjungos struktūrinių fondų reikalavimams)</w:t>
      </w:r>
      <w:r w:rsidR="00BA4EC4">
        <w:rPr>
          <w:sz w:val="24"/>
          <w:szCs w:val="24"/>
          <w:lang w:eastAsia="lt-LT"/>
        </w:rPr>
        <w:t>.“</w:t>
      </w:r>
    </w:p>
    <w:p w14:paraId="356FB359" w14:textId="369A6409" w:rsidR="00BA25A8" w:rsidRDefault="00055247" w:rsidP="007A00CD">
      <w:pPr>
        <w:pStyle w:val="BodyText1"/>
        <w:numPr>
          <w:ilvl w:val="1"/>
          <w:numId w:val="18"/>
        </w:numPr>
        <w:spacing w:line="240" w:lineRule="auto"/>
        <w:rPr>
          <w:sz w:val="24"/>
          <w:szCs w:val="24"/>
          <w:lang w:eastAsia="lt-LT"/>
        </w:rPr>
      </w:pPr>
      <w:r>
        <w:rPr>
          <w:sz w:val="24"/>
          <w:szCs w:val="24"/>
          <w:lang w:eastAsia="lt-LT"/>
        </w:rPr>
        <w:t xml:space="preserve"> </w:t>
      </w:r>
      <w:r w:rsidR="00BA25A8">
        <w:rPr>
          <w:sz w:val="24"/>
          <w:szCs w:val="24"/>
          <w:lang w:eastAsia="lt-LT"/>
        </w:rPr>
        <w:t>Pakeičiu 3 punktą ir jį išdėstau taip:</w:t>
      </w:r>
    </w:p>
    <w:p w14:paraId="19403AEC" w14:textId="77777777" w:rsidR="00BA25A8" w:rsidRDefault="00BA25A8" w:rsidP="0048748D">
      <w:pPr>
        <w:pStyle w:val="BodyText1"/>
        <w:spacing w:line="240" w:lineRule="auto"/>
        <w:ind w:firstLine="720"/>
        <w:rPr>
          <w:sz w:val="24"/>
          <w:szCs w:val="24"/>
          <w:lang w:eastAsia="lt-LT"/>
        </w:rPr>
      </w:pPr>
      <w:r>
        <w:rPr>
          <w:sz w:val="24"/>
          <w:szCs w:val="24"/>
          <w:lang w:eastAsia="lt-LT"/>
        </w:rPr>
        <w:t xml:space="preserve">„3. </w:t>
      </w:r>
      <w:r w:rsidRPr="00BA25A8">
        <w:rPr>
          <w:rFonts w:eastAsia="Calibri"/>
          <w:color w:val="auto"/>
          <w:sz w:val="24"/>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Pr>
          <w:rFonts w:eastAsia="Calibri"/>
          <w:color w:val="auto"/>
          <w:sz w:val="24"/>
          <w:szCs w:val="24"/>
        </w:rPr>
        <w:t>.</w:t>
      </w:r>
      <w:r w:rsidRPr="00BA25A8">
        <w:rPr>
          <w:rFonts w:eastAsia="Calibri"/>
          <w:color w:val="auto"/>
          <w:sz w:val="24"/>
          <w:szCs w:val="24"/>
        </w:rPr>
        <w:t>“</w:t>
      </w:r>
    </w:p>
    <w:p w14:paraId="741AFDB1" w14:textId="72EE5679" w:rsidR="001A38E8" w:rsidRDefault="00055247" w:rsidP="007A00CD">
      <w:pPr>
        <w:pStyle w:val="BodyText1"/>
        <w:numPr>
          <w:ilvl w:val="1"/>
          <w:numId w:val="18"/>
        </w:numPr>
        <w:spacing w:line="240" w:lineRule="auto"/>
        <w:rPr>
          <w:color w:val="auto"/>
          <w:sz w:val="24"/>
          <w:szCs w:val="24"/>
        </w:rPr>
      </w:pPr>
      <w:r>
        <w:rPr>
          <w:color w:val="auto"/>
          <w:sz w:val="24"/>
          <w:szCs w:val="24"/>
        </w:rPr>
        <w:t xml:space="preserve"> </w:t>
      </w:r>
      <w:r w:rsidR="001A38E8">
        <w:rPr>
          <w:color w:val="auto"/>
          <w:sz w:val="24"/>
          <w:szCs w:val="24"/>
        </w:rPr>
        <w:t>Pakeičiu 5 punktą ir jį išdėstau taip:</w:t>
      </w:r>
    </w:p>
    <w:p w14:paraId="5B5DEEC0" w14:textId="4D97ABE7" w:rsidR="001A38E8" w:rsidRPr="001A38E8" w:rsidRDefault="001A38E8" w:rsidP="001A38E8">
      <w:pPr>
        <w:ind w:firstLine="720"/>
        <w:jc w:val="both"/>
        <w:rPr>
          <w:rFonts w:eastAsia="Calibri"/>
          <w:szCs w:val="24"/>
        </w:rPr>
      </w:pPr>
      <w:r>
        <w:rPr>
          <w:szCs w:val="24"/>
        </w:rPr>
        <w:t>„</w:t>
      </w:r>
      <w:r>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50211E30" w14:textId="273CC7D9" w:rsidR="00BA4EC4" w:rsidRDefault="00E4149D" w:rsidP="007A00CD">
      <w:pPr>
        <w:pStyle w:val="BodyText1"/>
        <w:numPr>
          <w:ilvl w:val="1"/>
          <w:numId w:val="18"/>
        </w:numPr>
        <w:spacing w:line="240" w:lineRule="auto"/>
        <w:rPr>
          <w:color w:val="auto"/>
          <w:sz w:val="24"/>
          <w:szCs w:val="24"/>
        </w:rPr>
      </w:pPr>
      <w:r>
        <w:rPr>
          <w:color w:val="auto"/>
          <w:sz w:val="24"/>
          <w:szCs w:val="24"/>
        </w:rPr>
        <w:t xml:space="preserve"> </w:t>
      </w:r>
      <w:r w:rsidR="00BA4EC4">
        <w:rPr>
          <w:color w:val="auto"/>
          <w:sz w:val="24"/>
          <w:szCs w:val="24"/>
        </w:rPr>
        <w:t>Pakeičiu 8 punktą ir jį išdėstau taip:</w:t>
      </w:r>
    </w:p>
    <w:p w14:paraId="219008F5" w14:textId="596B167A" w:rsidR="00BA4EC4" w:rsidRDefault="00BA4EC4" w:rsidP="00BA4EC4">
      <w:pPr>
        <w:pStyle w:val="BodyText1"/>
        <w:spacing w:line="240" w:lineRule="auto"/>
        <w:ind w:firstLine="720"/>
        <w:rPr>
          <w:sz w:val="24"/>
          <w:szCs w:val="24"/>
        </w:rPr>
      </w:pPr>
      <w:r w:rsidRPr="00BA4EC4">
        <w:rPr>
          <w:sz w:val="24"/>
          <w:szCs w:val="24"/>
        </w:rPr>
        <w:t xml:space="preserve">„8. Pagal Aprašą projektams įgyvendinti numatoma skirti iki 7 122 000 Eur (septynių milijonų šimto dvidešimt dviejų tūkstančių eurų) </w:t>
      </w:r>
      <w:r w:rsidR="00C25029">
        <w:rPr>
          <w:sz w:val="24"/>
          <w:szCs w:val="24"/>
        </w:rPr>
        <w:t>E</w:t>
      </w:r>
      <w:r w:rsidRPr="00BA4EC4">
        <w:rPr>
          <w:sz w:val="24"/>
          <w:szCs w:val="24"/>
        </w:rPr>
        <w:t xml:space="preserve">S struktūrinių fondų (Europos regioninės plėtros fondo) lėšų. Priimdama sprendimą dėl projektų finansavimo Ministerija turi teisę šiame </w:t>
      </w:r>
      <w:r w:rsidR="00B41266">
        <w:rPr>
          <w:sz w:val="24"/>
          <w:szCs w:val="24"/>
        </w:rPr>
        <w:t xml:space="preserve">Aprašo </w:t>
      </w:r>
      <w:r w:rsidRPr="00BA4EC4">
        <w:rPr>
          <w:sz w:val="24"/>
          <w:szCs w:val="24"/>
        </w:rPr>
        <w:t>punkte nurodyt</w:t>
      </w:r>
      <w:r w:rsidR="00B41266">
        <w:rPr>
          <w:sz w:val="24"/>
          <w:szCs w:val="24"/>
        </w:rPr>
        <w:t>ą</w:t>
      </w:r>
      <w:r w:rsidRPr="00BA4EC4">
        <w:rPr>
          <w:sz w:val="24"/>
          <w:szCs w:val="24"/>
        </w:rPr>
        <w:t xml:space="preserve"> sum</w:t>
      </w:r>
      <w:r w:rsidR="00B41266">
        <w:rPr>
          <w:sz w:val="24"/>
          <w:szCs w:val="24"/>
        </w:rPr>
        <w:t>ą</w:t>
      </w:r>
      <w:r w:rsidRPr="00BA4EC4">
        <w:rPr>
          <w:sz w:val="24"/>
          <w:szCs w:val="24"/>
        </w:rPr>
        <w:t xml:space="preserve"> padidinti, neviršydama Priemonių įgyvendinimo plane nurodytos Priemonei skirtos lėšų sumos ir nepažeisdama teisėtų pareiškėjų lūkesčių</w:t>
      </w:r>
      <w:r w:rsidR="00C25029">
        <w:rPr>
          <w:sz w:val="24"/>
          <w:szCs w:val="24"/>
        </w:rPr>
        <w:t>.“</w:t>
      </w:r>
    </w:p>
    <w:p w14:paraId="2DB45999" w14:textId="1B9231F6" w:rsidR="00C25029" w:rsidRDefault="00E4149D" w:rsidP="007A00CD">
      <w:pPr>
        <w:pStyle w:val="BodyText1"/>
        <w:numPr>
          <w:ilvl w:val="1"/>
          <w:numId w:val="18"/>
        </w:numPr>
        <w:spacing w:line="240" w:lineRule="auto"/>
        <w:rPr>
          <w:sz w:val="24"/>
          <w:szCs w:val="24"/>
        </w:rPr>
      </w:pPr>
      <w:r>
        <w:rPr>
          <w:sz w:val="24"/>
          <w:szCs w:val="24"/>
        </w:rPr>
        <w:t xml:space="preserve"> </w:t>
      </w:r>
      <w:r w:rsidR="00C25029">
        <w:rPr>
          <w:sz w:val="24"/>
          <w:szCs w:val="24"/>
        </w:rPr>
        <w:t>Pakeičiu 11 punktą ir jį išdėstau taip:</w:t>
      </w:r>
    </w:p>
    <w:p w14:paraId="7ADE1E11" w14:textId="1285FED7" w:rsidR="00C25029" w:rsidRDefault="00C25029" w:rsidP="00C25029">
      <w:pPr>
        <w:pStyle w:val="BodyText1"/>
        <w:spacing w:line="240" w:lineRule="auto"/>
        <w:ind w:firstLine="720"/>
        <w:rPr>
          <w:sz w:val="24"/>
          <w:szCs w:val="24"/>
        </w:rPr>
      </w:pPr>
      <w:r>
        <w:rPr>
          <w:sz w:val="24"/>
          <w:szCs w:val="24"/>
        </w:rPr>
        <w:t xml:space="preserve">„11. </w:t>
      </w:r>
      <w:r w:rsidRPr="00C25029">
        <w:rPr>
          <w:sz w:val="24"/>
          <w:szCs w:val="24"/>
        </w:rPr>
        <w:t>Pagal Apraše nurodytą remiamą veiklą valstybės projektų sąrašą (-us) numatoma sudaryti 2015 metų IV ketvirtį, 2019 metų I ketvirtį. Valstybės projektų sąrašas (-ai) sudaromas (-i) Valstybės projektų atrankos tvarkos apraše, patvirtintame Lietuvos Respublikos ūkio ministro 2015 m. rugpjūčio 6 d. įsakymu Nr. 4-506 „Dėl Valstybės projektų atrankos tvarkos aprašo patvirtinimo“ (toliau – Valstybės projektų atrankos tvarkos aprašas), nustatyta tvarka</w:t>
      </w:r>
      <w:r>
        <w:rPr>
          <w:sz w:val="24"/>
          <w:szCs w:val="24"/>
        </w:rPr>
        <w:t>.“</w:t>
      </w:r>
    </w:p>
    <w:p w14:paraId="398E387A" w14:textId="02E73FA5" w:rsidR="00C73EC4" w:rsidRDefault="00E4149D" w:rsidP="00C25029">
      <w:pPr>
        <w:pStyle w:val="BodyText1"/>
        <w:spacing w:line="240" w:lineRule="auto"/>
        <w:ind w:firstLine="720"/>
        <w:rPr>
          <w:sz w:val="24"/>
          <w:szCs w:val="24"/>
        </w:rPr>
      </w:pPr>
      <w:r>
        <w:rPr>
          <w:sz w:val="24"/>
          <w:szCs w:val="24"/>
        </w:rPr>
        <w:t>2.</w:t>
      </w:r>
      <w:r w:rsidR="00C73EC4">
        <w:rPr>
          <w:sz w:val="24"/>
          <w:szCs w:val="24"/>
        </w:rPr>
        <w:t>7. Pakeičiu 14.1 papunktį ir jį išdėstau taip:</w:t>
      </w:r>
    </w:p>
    <w:p w14:paraId="3DB27C85" w14:textId="46E9E3B5" w:rsidR="00C73EC4" w:rsidRPr="00C73EC4" w:rsidRDefault="00C73EC4" w:rsidP="00C73EC4">
      <w:pPr>
        <w:pStyle w:val="BodyText1"/>
        <w:spacing w:line="240" w:lineRule="auto"/>
        <w:ind w:firstLine="720"/>
        <w:rPr>
          <w:sz w:val="24"/>
          <w:szCs w:val="24"/>
        </w:rPr>
      </w:pPr>
      <w:r>
        <w:rPr>
          <w:sz w:val="24"/>
          <w:szCs w:val="24"/>
        </w:rPr>
        <w:lastRenderedPageBreak/>
        <w:t>„</w:t>
      </w:r>
      <w:r w:rsidRPr="00C73EC4">
        <w:rPr>
          <w:sz w:val="24"/>
          <w:szCs w:val="24"/>
        </w:rPr>
        <w:t>14.1. projektas atitinka Investicijų skatinimo ir pramonės plėtros 2014–2020 metų programos, patvirtintos Lietuvos Respublikos Vyriausybės 2014 m. rugsėjo 17 d. nutarimu Nr. 986 „Dėl Investicijų skatinimo ir pramonės plėtros 2014–2020 metų programos patvirtinimo“ (toliau –Investicijų skatinimo ir pramonės plėtros 2014–2020 metų programa), pirmojo tikslo „Didinti tiesiogines investicijas į gamybos ir paslaugų sektorius“ pirmąjį uždavinį „Gerinti investicinę aplinką“ (vertinama, ar projektas atitinka Investicijų skatinimo ir pramonės plėtros 2014–2020 metų programos pirmojo tikslo „Didinti tiesiogines investicijas į gamybos ir paslaugų sektorius“ pirmojo uždavinio „Gerinti investicinę aplinką“ aprašyme nurodytas užsienio investicijų pritraukimo veiklas, o projekto vykdytojas – šio uždavinio aprašyme minima už priemonės įgyvendinimą atsakingos institucijos (</w:t>
      </w:r>
      <w:r>
        <w:rPr>
          <w:sz w:val="24"/>
          <w:szCs w:val="24"/>
        </w:rPr>
        <w:t>M</w:t>
      </w:r>
      <w:r w:rsidRPr="00C73EC4">
        <w:rPr>
          <w:sz w:val="24"/>
          <w:szCs w:val="24"/>
        </w:rPr>
        <w:t xml:space="preserve">inisterijos) remiantis Lietuvos Respublikos </w:t>
      </w:r>
      <w:bookmarkStart w:id="1" w:name="n1_6"/>
      <w:r w:rsidRPr="00C73EC4">
        <w:rPr>
          <w:sz w:val="24"/>
          <w:szCs w:val="24"/>
        </w:rPr>
        <w:fldChar w:fldCharType="begin"/>
      </w:r>
      <w:r w:rsidRPr="00C73EC4">
        <w:rPr>
          <w:sz w:val="24"/>
          <w:szCs w:val="24"/>
        </w:rPr>
        <w:instrText xml:space="preserve"> HYPERLINK "http://www.infolex.lt/ta/52483" \o "Lietuvos Respublikos investicijų įstatymas" \t "_blank" </w:instrText>
      </w:r>
      <w:r w:rsidRPr="00C73EC4">
        <w:rPr>
          <w:sz w:val="24"/>
          <w:szCs w:val="24"/>
        </w:rPr>
        <w:fldChar w:fldCharType="separate"/>
      </w:r>
      <w:r w:rsidRPr="002873AF">
        <w:rPr>
          <w:sz w:val="24"/>
          <w:szCs w:val="24"/>
        </w:rPr>
        <w:t>investicijų įstatymo</w:t>
      </w:r>
      <w:r w:rsidRPr="00C73EC4">
        <w:rPr>
          <w:sz w:val="24"/>
          <w:szCs w:val="24"/>
        </w:rPr>
        <w:fldChar w:fldCharType="end"/>
      </w:r>
      <w:bookmarkStart w:id="2" w:name="pn1_6"/>
      <w:bookmarkEnd w:id="1"/>
      <w:bookmarkEnd w:id="2"/>
      <w:r w:rsidRPr="00C73EC4">
        <w:rPr>
          <w:sz w:val="24"/>
          <w:szCs w:val="24"/>
        </w:rPr>
        <w:t xml:space="preserve"> </w:t>
      </w:r>
      <w:bookmarkStart w:id="3" w:name="n1_7"/>
      <w:r w:rsidRPr="00C73EC4">
        <w:rPr>
          <w:sz w:val="24"/>
          <w:szCs w:val="24"/>
        </w:rPr>
        <w:fldChar w:fldCharType="begin"/>
      </w:r>
      <w:r w:rsidRPr="00C73EC4">
        <w:rPr>
          <w:sz w:val="24"/>
          <w:szCs w:val="24"/>
        </w:rPr>
        <w:instrText xml:space="preserve"> HYPERLINK "javascript:OL('52483','13')" \o "Investavimo skatinimas (str. 13)" </w:instrText>
      </w:r>
      <w:r w:rsidRPr="00C73EC4">
        <w:rPr>
          <w:sz w:val="24"/>
          <w:szCs w:val="24"/>
        </w:rPr>
        <w:fldChar w:fldCharType="separate"/>
      </w:r>
      <w:r w:rsidRPr="009F7117">
        <w:t>13</w:t>
      </w:r>
      <w:r w:rsidRPr="00C73EC4">
        <w:rPr>
          <w:sz w:val="24"/>
          <w:szCs w:val="24"/>
        </w:rPr>
        <w:fldChar w:fldCharType="end"/>
      </w:r>
      <w:bookmarkStart w:id="4" w:name="pn1_7"/>
      <w:bookmarkEnd w:id="3"/>
      <w:bookmarkEnd w:id="4"/>
      <w:r w:rsidRPr="00C73EC4">
        <w:rPr>
          <w:sz w:val="24"/>
          <w:szCs w:val="24"/>
        </w:rPr>
        <w:t xml:space="preserve"> straipsnio 4 dalimi ir Lietuvos Respublikos ūkio ministro 2012 m. lapkričio 7 d. įsakymu Nr. 4-1074 „Dėl įgaliojimų suteikimo viešajai įstaigai „Investuok Lietuvoje“ įgaliota viešoji įstaiga);</w:t>
      </w:r>
      <w:r>
        <w:rPr>
          <w:sz w:val="24"/>
          <w:szCs w:val="24"/>
        </w:rPr>
        <w:t>“</w:t>
      </w:r>
      <w:r w:rsidR="00A84DCE">
        <w:rPr>
          <w:sz w:val="24"/>
          <w:szCs w:val="24"/>
        </w:rPr>
        <w:t>.</w:t>
      </w:r>
    </w:p>
    <w:p w14:paraId="36346A10" w14:textId="4414E19C" w:rsidR="00C25029" w:rsidRDefault="0054468B" w:rsidP="007A00CD">
      <w:pPr>
        <w:pStyle w:val="BodyText1"/>
        <w:numPr>
          <w:ilvl w:val="1"/>
          <w:numId w:val="19"/>
        </w:numPr>
        <w:tabs>
          <w:tab w:val="left" w:pos="993"/>
          <w:tab w:val="left" w:pos="1134"/>
        </w:tabs>
        <w:spacing w:line="240" w:lineRule="auto"/>
        <w:ind w:firstLine="349"/>
        <w:rPr>
          <w:sz w:val="24"/>
          <w:szCs w:val="24"/>
        </w:rPr>
      </w:pPr>
      <w:r>
        <w:rPr>
          <w:sz w:val="24"/>
          <w:szCs w:val="24"/>
        </w:rPr>
        <w:t>Pakeičiu 15 punktą ir jį išdėstau taip:</w:t>
      </w:r>
    </w:p>
    <w:p w14:paraId="13D5B345" w14:textId="7B3FE8D0" w:rsidR="000E1050" w:rsidRDefault="00984B73" w:rsidP="00984B73">
      <w:pPr>
        <w:pStyle w:val="BodyText1"/>
        <w:spacing w:line="240" w:lineRule="auto"/>
        <w:ind w:firstLine="720"/>
        <w:rPr>
          <w:sz w:val="24"/>
          <w:szCs w:val="24"/>
        </w:rPr>
      </w:pPr>
      <w:r w:rsidRPr="00984B73">
        <w:rPr>
          <w:sz w:val="24"/>
          <w:szCs w:val="24"/>
        </w:rPr>
        <w:t xml:space="preserve">„15. </w:t>
      </w:r>
      <w:r w:rsidR="0054468B" w:rsidRPr="00984B73">
        <w:rPr>
          <w:sz w:val="24"/>
          <w:szCs w:val="24"/>
        </w:rPr>
        <w:t xml:space="preserve">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w:t>
      </w:r>
      <w:r w:rsidR="00E65E13" w:rsidRPr="00E65E13">
        <w:rPr>
          <w:rFonts w:eastAsia="Calibri"/>
          <w:iCs/>
          <w:color w:val="auto"/>
          <w:sz w:val="24"/>
          <w:szCs w:val="24"/>
        </w:rPr>
        <w:t>2017 m. kovo 20 d. sprendimu Nr. SWD(2017) 118</w:t>
      </w:r>
      <w:r w:rsidR="0054468B" w:rsidRPr="00984B73">
        <w:rPr>
          <w:sz w:val="24"/>
          <w:szCs w:val="24"/>
        </w:rPr>
        <w:t>, kuris skelbiamas Europos Komisijos interneto svetainėje http://ec.europa.eu/regional_policy/lt/policy/cooperation/macro-regional-strategies/baltic-sea/library/#1, numatytą politinę sritį „Inovacijos“</w:t>
      </w:r>
      <w:r w:rsidR="000E3DF2">
        <w:rPr>
          <w:sz w:val="24"/>
          <w:szCs w:val="24"/>
        </w:rPr>
        <w:t>.</w:t>
      </w:r>
      <w:r w:rsidR="00A84DCE">
        <w:rPr>
          <w:sz w:val="24"/>
          <w:szCs w:val="24"/>
        </w:rPr>
        <w:t>“</w:t>
      </w:r>
    </w:p>
    <w:p w14:paraId="084B0E2D" w14:textId="6DB4EB61" w:rsidR="000E1050" w:rsidRDefault="000E1050" w:rsidP="007A00CD">
      <w:pPr>
        <w:pStyle w:val="BodyText1"/>
        <w:numPr>
          <w:ilvl w:val="1"/>
          <w:numId w:val="19"/>
        </w:numPr>
        <w:tabs>
          <w:tab w:val="left" w:pos="1134"/>
        </w:tabs>
        <w:spacing w:line="240" w:lineRule="auto"/>
        <w:ind w:firstLine="349"/>
        <w:rPr>
          <w:sz w:val="24"/>
          <w:szCs w:val="24"/>
        </w:rPr>
      </w:pPr>
      <w:r>
        <w:rPr>
          <w:sz w:val="24"/>
          <w:szCs w:val="24"/>
        </w:rPr>
        <w:t>Pakeičiu 17 punktą ir jį išdėstau taip:</w:t>
      </w:r>
    </w:p>
    <w:p w14:paraId="426B78FD" w14:textId="33043C89" w:rsidR="0054468B" w:rsidRDefault="000E1050" w:rsidP="000E1050">
      <w:pPr>
        <w:pStyle w:val="BodyText1"/>
        <w:spacing w:line="240" w:lineRule="auto"/>
        <w:ind w:firstLine="720"/>
        <w:rPr>
          <w:sz w:val="24"/>
          <w:szCs w:val="24"/>
        </w:rPr>
      </w:pPr>
      <w:r>
        <w:rPr>
          <w:sz w:val="24"/>
          <w:szCs w:val="24"/>
        </w:rPr>
        <w:t>„</w:t>
      </w:r>
      <w:r w:rsidRPr="000E1050">
        <w:rPr>
          <w:sz w:val="24"/>
          <w:szCs w:val="24"/>
        </w:rPr>
        <w:t>17. Pagal Aprašą finansavimas nėra teikiamas pareiškėjui, jei jis yra priskiriamas sunkumų patiriančios įmonės kategorijai, kaip ji apibrėžta Komisijos komunikate – Gairėse dėl valstybės pagalbos sunkumų patiriančioms ne finansų įmonėms sanuoti ir restruktūrizuoti (</w:t>
      </w:r>
      <w:r w:rsidR="00BE04B5">
        <w:rPr>
          <w:sz w:val="24"/>
          <w:szCs w:val="24"/>
        </w:rPr>
        <w:t xml:space="preserve">OL 2014 C 249, </w:t>
      </w:r>
      <w:r w:rsidR="00A84DCE">
        <w:rPr>
          <w:sz w:val="24"/>
          <w:szCs w:val="24"/>
        </w:rPr>
        <w:br/>
      </w:r>
      <w:r w:rsidR="00BE04B5">
        <w:rPr>
          <w:sz w:val="24"/>
          <w:szCs w:val="24"/>
        </w:rPr>
        <w:t xml:space="preserve">p. </w:t>
      </w:r>
      <w:r w:rsidRPr="000E1050">
        <w:rPr>
          <w:sz w:val="24"/>
          <w:szCs w:val="24"/>
        </w:rPr>
        <w:t>1).</w:t>
      </w:r>
      <w:r w:rsidR="00BE04B5">
        <w:rPr>
          <w:sz w:val="24"/>
          <w:szCs w:val="24"/>
        </w:rPr>
        <w:t>“</w:t>
      </w:r>
    </w:p>
    <w:p w14:paraId="300D54EF" w14:textId="7D70AD90" w:rsidR="000D00A8" w:rsidRDefault="00AD6AFE" w:rsidP="007A00CD">
      <w:pPr>
        <w:pStyle w:val="BodyText1"/>
        <w:numPr>
          <w:ilvl w:val="1"/>
          <w:numId w:val="19"/>
        </w:numPr>
        <w:spacing w:line="240" w:lineRule="auto"/>
        <w:ind w:firstLine="349"/>
        <w:rPr>
          <w:sz w:val="24"/>
          <w:szCs w:val="24"/>
        </w:rPr>
      </w:pPr>
      <w:r>
        <w:rPr>
          <w:sz w:val="24"/>
          <w:szCs w:val="24"/>
        </w:rPr>
        <w:t>Pakeičiu 18 punktą ir jį išdėstau taip:</w:t>
      </w:r>
    </w:p>
    <w:p w14:paraId="0A801232" w14:textId="61AE2062" w:rsidR="00AD6AFE" w:rsidRDefault="00AD6AFE" w:rsidP="00AD6AFE">
      <w:pPr>
        <w:pStyle w:val="BodyText1"/>
        <w:spacing w:line="240" w:lineRule="auto"/>
        <w:ind w:firstLine="720"/>
        <w:rPr>
          <w:sz w:val="24"/>
          <w:szCs w:val="24"/>
        </w:rPr>
      </w:pPr>
      <w:r>
        <w:rPr>
          <w:sz w:val="24"/>
          <w:szCs w:val="24"/>
        </w:rPr>
        <w:t xml:space="preserve">„18. </w:t>
      </w:r>
      <w:r w:rsidRPr="00AD6AFE">
        <w:rPr>
          <w:sz w:val="24"/>
          <w:szCs w:val="24"/>
        </w:rPr>
        <w:t>Pagal Aprašą nefinansuojama pareiškėjo einamoji veikla, t. y. tokia veikla, kuriai skiriamos valstybės viešosios arba joms lygiavertės išlaidos, kurių negali pakeisti Veiksmų programos investicijos</w:t>
      </w:r>
      <w:r w:rsidR="00751261">
        <w:rPr>
          <w:sz w:val="24"/>
          <w:szCs w:val="24"/>
        </w:rPr>
        <w:t>,</w:t>
      </w:r>
      <w:r w:rsidRPr="00AD6AFE">
        <w:rPr>
          <w:sz w:val="24"/>
          <w:szCs w:val="24"/>
        </w:rPr>
        <w:t xml:space="preserve"> kaip nustatyta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95 straipsnio 2 dalyje ir 2007–2013 m. ir 2014–2020 m. finansavimo laikotarpio tęstinumo reikalavimų įgyvendinimas</w:t>
      </w:r>
      <w:r>
        <w:rPr>
          <w:sz w:val="24"/>
          <w:szCs w:val="24"/>
        </w:rPr>
        <w:t>.“</w:t>
      </w:r>
    </w:p>
    <w:p w14:paraId="6E46B292" w14:textId="7599FA26" w:rsidR="00AD6AFE" w:rsidRDefault="00E4149D" w:rsidP="007A00CD">
      <w:pPr>
        <w:pStyle w:val="BodyText1"/>
        <w:spacing w:line="240" w:lineRule="auto"/>
        <w:ind w:left="709" w:firstLine="0"/>
        <w:rPr>
          <w:sz w:val="24"/>
          <w:szCs w:val="24"/>
        </w:rPr>
      </w:pPr>
      <w:r>
        <w:rPr>
          <w:sz w:val="24"/>
          <w:szCs w:val="24"/>
        </w:rPr>
        <w:t xml:space="preserve">2.11. </w:t>
      </w:r>
      <w:r w:rsidR="00AD6AFE">
        <w:rPr>
          <w:sz w:val="24"/>
          <w:szCs w:val="24"/>
        </w:rPr>
        <w:t>Pakeičiu 20 punktą ir jį išdėstau taip:</w:t>
      </w:r>
    </w:p>
    <w:p w14:paraId="293D83E6" w14:textId="6ADED46D" w:rsidR="00AD6AFE" w:rsidRDefault="00AD6AFE" w:rsidP="00AD6AFE">
      <w:pPr>
        <w:ind w:firstLine="720"/>
        <w:jc w:val="both"/>
      </w:pPr>
      <w:r>
        <w:rPr>
          <w:szCs w:val="24"/>
        </w:rPr>
        <w:t xml:space="preserve">„20. </w:t>
      </w:r>
      <w:r>
        <w:rPr>
          <w:rFonts w:eastAsia="Calibri"/>
          <w:szCs w:val="24"/>
        </w:rPr>
        <w:t xml:space="preserve">Tam tikrais atvejais dėl objektyvių priežasčių, kurių projekto vykdytojas negalėjo numatyti paraiškos pateikimo ir vertinimo metu, projekto veiklų vykdymo laikotarpis, nurodytas Aprašo 19 punkte, gali būti pratęstas Projektų taisyklių </w:t>
      </w:r>
      <w:r w:rsidRPr="00FA056E">
        <w:rPr>
          <w:rFonts w:eastAsia="Calibri"/>
          <w:szCs w:val="24"/>
        </w:rPr>
        <w:t xml:space="preserve">IV skyriaus devynioliktajame skirsnyje nustatyta tvarka ne ilgiau nei 6 mėnesiams ir nepažeidžiant Projektų taisyklių 213.1 ir </w:t>
      </w:r>
      <w:r w:rsidR="00BF2399">
        <w:rPr>
          <w:rFonts w:eastAsia="Calibri"/>
          <w:szCs w:val="24"/>
        </w:rPr>
        <w:br/>
      </w:r>
      <w:r w:rsidRPr="00FA056E">
        <w:rPr>
          <w:rFonts w:eastAsia="Calibri"/>
          <w:szCs w:val="24"/>
        </w:rPr>
        <w:t xml:space="preserve">213.5 papunkčiuose nustatytų terminų. </w:t>
      </w:r>
      <w:r w:rsidRPr="00FA056E">
        <w:t xml:space="preserve">Prireikus pratęsti projekto veiklų įgyvendinimo laikotarpį ilgiau, nei nurodyta šiame </w:t>
      </w:r>
      <w:r w:rsidR="00283292">
        <w:t xml:space="preserve">Aprašo </w:t>
      </w:r>
      <w:r w:rsidRPr="00FA056E">
        <w:t xml:space="preserve">punkte, projekto sutarties keitimas turi būti derinamas su </w:t>
      </w:r>
      <w:r w:rsidR="00283292">
        <w:t>M</w:t>
      </w:r>
      <w:r w:rsidRPr="00FA056E">
        <w:t>inisterija.</w:t>
      </w:r>
      <w:r>
        <w:t>“</w:t>
      </w:r>
    </w:p>
    <w:p w14:paraId="37F9E7F2" w14:textId="1F2BF5F8" w:rsidR="00AD6AFE" w:rsidRPr="00E4149D" w:rsidRDefault="00F373F9" w:rsidP="007A00CD">
      <w:pPr>
        <w:pStyle w:val="ListParagraph"/>
        <w:numPr>
          <w:ilvl w:val="1"/>
          <w:numId w:val="21"/>
        </w:numPr>
        <w:ind w:firstLine="229"/>
        <w:jc w:val="both"/>
        <w:rPr>
          <w:rFonts w:eastAsia="Calibri"/>
          <w:szCs w:val="24"/>
        </w:rPr>
      </w:pPr>
      <w:r w:rsidRPr="00E4149D">
        <w:rPr>
          <w:rFonts w:eastAsia="Calibri"/>
          <w:szCs w:val="24"/>
        </w:rPr>
        <w:t>Pakeičiu 22 punktą ir jį išdėstau taip:</w:t>
      </w:r>
    </w:p>
    <w:p w14:paraId="0943FD25" w14:textId="6FB76CB2" w:rsidR="00F373F9" w:rsidRDefault="00F373F9" w:rsidP="00F373F9">
      <w:pPr>
        <w:ind w:firstLine="709"/>
        <w:jc w:val="both"/>
        <w:rPr>
          <w:rFonts w:eastAsia="Calibri"/>
          <w:szCs w:val="24"/>
        </w:rPr>
      </w:pPr>
      <w:r>
        <w:rPr>
          <w:rFonts w:eastAsia="Calibri"/>
          <w:szCs w:val="24"/>
        </w:rPr>
        <w:t xml:space="preserve">„22. Projektu turi būti siekiama </w:t>
      </w:r>
      <w:r w:rsidRPr="00DA2682">
        <w:rPr>
          <w:rFonts w:eastAsia="Calibri"/>
          <w:szCs w:val="24"/>
        </w:rPr>
        <w:t>visų</w:t>
      </w:r>
      <w:r w:rsidR="00BF2399">
        <w:rPr>
          <w:rFonts w:eastAsia="Calibri"/>
          <w:szCs w:val="24"/>
        </w:rPr>
        <w:t xml:space="preserve"> </w:t>
      </w:r>
      <w:r>
        <w:rPr>
          <w:rFonts w:eastAsia="Calibri"/>
          <w:szCs w:val="24"/>
        </w:rPr>
        <w:t xml:space="preserve">toliau išvardytų </w:t>
      </w:r>
      <w:r w:rsidR="00EF6EFF">
        <w:rPr>
          <w:rFonts w:eastAsia="Calibri"/>
          <w:szCs w:val="24"/>
        </w:rPr>
        <w:t>P</w:t>
      </w:r>
      <w:r>
        <w:rPr>
          <w:rFonts w:eastAsia="Calibri"/>
          <w:szCs w:val="24"/>
        </w:rPr>
        <w:t xml:space="preserve">riemonės įgyvendinimo stebėsenos rodiklių: </w:t>
      </w:r>
    </w:p>
    <w:p w14:paraId="105319D5" w14:textId="77777777" w:rsidR="00F373F9" w:rsidRDefault="00F373F9" w:rsidP="00F373F9">
      <w:pPr>
        <w:ind w:firstLine="709"/>
        <w:jc w:val="both"/>
        <w:rPr>
          <w:rFonts w:eastAsia="Calibri"/>
          <w:szCs w:val="24"/>
        </w:rPr>
      </w:pPr>
      <w:r>
        <w:rPr>
          <w:rFonts w:eastAsia="Calibri"/>
          <w:szCs w:val="24"/>
        </w:rPr>
        <w:t>22.1. produkto stebėsenos rodiklio „Užmegzti kontaktai MTEPI srityje pagal sumanios</w:t>
      </w:r>
      <w:r w:rsidR="00EF6EFF">
        <w:rPr>
          <w:rFonts w:eastAsia="Calibri"/>
          <w:szCs w:val="24"/>
        </w:rPr>
        <w:t>ios</w:t>
      </w:r>
      <w:r>
        <w:rPr>
          <w:rFonts w:eastAsia="Calibri"/>
          <w:szCs w:val="24"/>
        </w:rPr>
        <w:t xml:space="preserve"> specializacijos kryptis“, kodas P.N. 811, minimali siektina projekto reikšmė – 200;</w:t>
      </w:r>
    </w:p>
    <w:p w14:paraId="5F12CC5B" w14:textId="77777777" w:rsidR="00F373F9" w:rsidRDefault="00F373F9" w:rsidP="00F373F9">
      <w:pPr>
        <w:ind w:firstLine="709"/>
        <w:jc w:val="both"/>
        <w:rPr>
          <w:rFonts w:eastAsia="Calibri"/>
          <w:i/>
          <w:szCs w:val="24"/>
        </w:rPr>
      </w:pPr>
      <w:r>
        <w:rPr>
          <w:rFonts w:eastAsia="Calibri"/>
          <w:szCs w:val="24"/>
        </w:rPr>
        <w:t xml:space="preserve">22.2. produkto stebėsenos rodiklio „Pritraukti tyrėjai į MTEPI įmones pagal sumaniosios specializacijos kryptis“, kodas P.N. 827, </w:t>
      </w:r>
      <w:r w:rsidRPr="00DA2682">
        <w:rPr>
          <w:rFonts w:eastAsia="Calibri"/>
          <w:szCs w:val="24"/>
        </w:rPr>
        <w:t>minimali siektina projekto reikšmė – 20</w:t>
      </w:r>
      <w:r>
        <w:rPr>
          <w:rFonts w:eastAsia="Calibri"/>
          <w:szCs w:val="24"/>
        </w:rPr>
        <w:t>;</w:t>
      </w:r>
    </w:p>
    <w:p w14:paraId="6F369FF0" w14:textId="77777777" w:rsidR="00F373F9" w:rsidRDefault="00F373F9" w:rsidP="00C8771F">
      <w:pPr>
        <w:ind w:firstLine="709"/>
        <w:jc w:val="both"/>
        <w:rPr>
          <w:color w:val="000000"/>
          <w:szCs w:val="24"/>
        </w:rPr>
      </w:pPr>
      <w:r>
        <w:rPr>
          <w:color w:val="000000"/>
          <w:szCs w:val="24"/>
        </w:rPr>
        <w:lastRenderedPageBreak/>
        <w:t>22.3. rezultato stebėsenos rodiklio „Pritraukta užsienio įmonių į MTEPI sritį pagal sumanios</w:t>
      </w:r>
      <w:r w:rsidR="00EF6EFF">
        <w:rPr>
          <w:color w:val="000000"/>
          <w:szCs w:val="24"/>
        </w:rPr>
        <w:t>ios</w:t>
      </w:r>
      <w:r>
        <w:rPr>
          <w:color w:val="000000"/>
          <w:szCs w:val="24"/>
        </w:rPr>
        <w:t xml:space="preserve"> specializacijos kryptis“, kodas R.N. 814, minimali siektina projekto reikšmė – 3.“</w:t>
      </w:r>
    </w:p>
    <w:p w14:paraId="1DA2B513" w14:textId="0BE3F4A9" w:rsidR="00536CC2" w:rsidRPr="00536CC2" w:rsidRDefault="00E4149D" w:rsidP="00C8771F">
      <w:pPr>
        <w:ind w:firstLine="709"/>
        <w:jc w:val="both"/>
      </w:pPr>
      <w:r>
        <w:rPr>
          <w:color w:val="000000"/>
          <w:szCs w:val="24"/>
        </w:rPr>
        <w:t>2.</w:t>
      </w:r>
      <w:r w:rsidR="00B7685A">
        <w:rPr>
          <w:color w:val="000000"/>
          <w:szCs w:val="24"/>
        </w:rPr>
        <w:t>1</w:t>
      </w:r>
      <w:r>
        <w:rPr>
          <w:color w:val="000000"/>
          <w:szCs w:val="24"/>
        </w:rPr>
        <w:t>3</w:t>
      </w:r>
      <w:r w:rsidR="00C8771F">
        <w:rPr>
          <w:color w:val="000000"/>
          <w:szCs w:val="24"/>
        </w:rPr>
        <w:t xml:space="preserve">. Papildau </w:t>
      </w:r>
      <w:r w:rsidR="00C8771F">
        <w:t>22</w:t>
      </w:r>
      <w:r w:rsidR="00C8771F">
        <w:rPr>
          <w:vertAlign w:val="superscript"/>
        </w:rPr>
        <w:t>1</w:t>
      </w:r>
      <w:r w:rsidR="00536CC2">
        <w:rPr>
          <w:vertAlign w:val="superscript"/>
        </w:rPr>
        <w:t xml:space="preserve"> </w:t>
      </w:r>
      <w:r w:rsidR="00536CC2">
        <w:t>punktu:</w:t>
      </w:r>
    </w:p>
    <w:p w14:paraId="06094930" w14:textId="6E2D6344" w:rsidR="0038164A" w:rsidRDefault="00536CC2" w:rsidP="0038164A">
      <w:pPr>
        <w:ind w:firstLine="709"/>
        <w:jc w:val="both"/>
      </w:pPr>
      <w:r>
        <w:t>„22</w:t>
      </w:r>
      <w:r>
        <w:rPr>
          <w:vertAlign w:val="superscript"/>
        </w:rPr>
        <w:t>1</w:t>
      </w:r>
      <w:r w:rsidR="00C8771F">
        <w:t>. Aprašo 22.1</w:t>
      </w:r>
      <w:r w:rsidR="00BF2399">
        <w:t>–</w:t>
      </w:r>
      <w:r w:rsidR="00C8771F">
        <w:t>22.3 p</w:t>
      </w:r>
      <w:r w:rsidR="00C8771F" w:rsidRPr="00665F58">
        <w:t xml:space="preserve">apunkčiuose nurodytų </w:t>
      </w:r>
      <w:r w:rsidR="0095632B">
        <w:t>P</w:t>
      </w:r>
      <w:r w:rsidR="00C8771F" w:rsidRPr="00665F58">
        <w:t xml:space="preserve">riemonės įgyvendinimo stebėsenos rodiklių skaičiavimui taikomas </w:t>
      </w:r>
      <w:r w:rsidR="0095632B" w:rsidRPr="0095632B">
        <w:rPr>
          <w:rFonts w:cs="Arial"/>
          <w:szCs w:val="24"/>
          <w:lang w:eastAsia="lt-LT"/>
        </w:rPr>
        <w:t>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t>.</w:t>
      </w:r>
      <w:r w:rsidR="0095632B">
        <w:rPr>
          <w:szCs w:val="24"/>
          <w:lang w:eastAsia="lt-LT"/>
        </w:rPr>
        <w:t xml:space="preserve"> </w:t>
      </w:r>
      <w:r w:rsidR="0095632B" w:rsidRPr="0095632B">
        <w:rPr>
          <w:szCs w:val="24"/>
          <w:lang w:eastAsia="lt-LT"/>
        </w:rPr>
        <w:t xml:space="preserve">Visų Priemonės įgyvendinimo stebėsenos rodiklių skaičiavimo aprašai skelbiami ES struktūrinių fondų svetainėje </w:t>
      </w:r>
      <w:hyperlink r:id="rId10" w:history="1">
        <w:r w:rsidR="0095632B" w:rsidRPr="0095632B">
          <w:rPr>
            <w:szCs w:val="24"/>
            <w:lang w:eastAsia="lt-LT"/>
          </w:rPr>
          <w:t>www.esinvesticijos.lt</w:t>
        </w:r>
      </w:hyperlink>
      <w:r w:rsidR="0095632B" w:rsidRPr="0095632B">
        <w:rPr>
          <w:szCs w:val="24"/>
          <w:lang w:eastAsia="lt-LT"/>
        </w:rPr>
        <w:t>.</w:t>
      </w:r>
      <w:r>
        <w:t>“</w:t>
      </w:r>
    </w:p>
    <w:p w14:paraId="2D495B27" w14:textId="432DBA9B" w:rsidR="0038164A" w:rsidRDefault="002B796A" w:rsidP="0038164A">
      <w:pPr>
        <w:pStyle w:val="ListParagraph"/>
        <w:jc w:val="both"/>
      </w:pPr>
      <w:r>
        <w:t>2.</w:t>
      </w:r>
      <w:r w:rsidR="0038164A">
        <w:t>1</w:t>
      </w:r>
      <w:r>
        <w:t>4</w:t>
      </w:r>
      <w:r w:rsidR="0038164A">
        <w:t>. Pakeičiu 26 punktą ir jį išdėstau taip:</w:t>
      </w:r>
    </w:p>
    <w:p w14:paraId="723AC127" w14:textId="77777777" w:rsidR="0038164A" w:rsidRDefault="0038164A" w:rsidP="00837637">
      <w:pPr>
        <w:ind w:firstLine="709"/>
        <w:jc w:val="both"/>
      </w:pPr>
      <w:r>
        <w:t>„</w:t>
      </w:r>
      <w:r w:rsidR="00837637">
        <w:rPr>
          <w:rFonts w:eastAsia="Calibri"/>
          <w:szCs w:val="24"/>
        </w:rPr>
        <w:t xml:space="preserve">26. </w:t>
      </w:r>
      <w:r w:rsidR="00837637" w:rsidRPr="00CA3744">
        <w:rPr>
          <w:rFonts w:eastAsia="Calibri"/>
          <w:szCs w:val="24"/>
        </w:rPr>
        <w:t>Projekto veikla turi būti pradėta įgyvendinti ne vėliau kaip per</w:t>
      </w:r>
      <w:r w:rsidR="00837637">
        <w:rPr>
          <w:rFonts w:eastAsia="Calibri"/>
          <w:szCs w:val="24"/>
        </w:rPr>
        <w:t xml:space="preserve"> 3</w:t>
      </w:r>
      <w:r w:rsidR="00837637" w:rsidRPr="00CA3744">
        <w:rPr>
          <w:rFonts w:eastAsia="Calibri"/>
          <w:szCs w:val="24"/>
        </w:rPr>
        <w:t xml:space="preserve"> mėnesius nuo projekto sutarties pasirašymo dienos</w:t>
      </w:r>
      <w:r w:rsidR="00837637">
        <w:rPr>
          <w:rFonts w:eastAsia="Calibri"/>
          <w:szCs w:val="24"/>
        </w:rPr>
        <w:t>.“</w:t>
      </w:r>
    </w:p>
    <w:p w14:paraId="5310FB24" w14:textId="4C5CA386" w:rsidR="00536CC2" w:rsidRDefault="002B796A" w:rsidP="00C8771F">
      <w:pPr>
        <w:ind w:firstLine="709"/>
        <w:jc w:val="both"/>
      </w:pPr>
      <w:r>
        <w:t>2.</w:t>
      </w:r>
      <w:r w:rsidR="00536CC2">
        <w:t>1</w:t>
      </w:r>
      <w:r>
        <w:t>5</w:t>
      </w:r>
      <w:r w:rsidR="00536CC2">
        <w:t>. Pakeičiu 29 punktą ir jį išdėstau taip:</w:t>
      </w:r>
    </w:p>
    <w:p w14:paraId="4D7F653A" w14:textId="77777777" w:rsidR="00536CC2" w:rsidRDefault="00536CC2" w:rsidP="00C8771F">
      <w:pPr>
        <w:ind w:firstLine="709"/>
        <w:jc w:val="both"/>
        <w:rPr>
          <w:szCs w:val="24"/>
          <w:lang w:eastAsia="lt-LT"/>
        </w:rPr>
      </w:pPr>
      <w:r>
        <w:t>„</w:t>
      </w:r>
      <w:r>
        <w:rPr>
          <w:szCs w:val="24"/>
          <w:lang w:eastAsia="lt-LT"/>
        </w:rPr>
        <w:t xml:space="preserve">29. Projekto išlaidos turi atitikti Projektų taisyklių VI skyriuje </w:t>
      </w:r>
      <w:r w:rsidRPr="00665F58">
        <w:rPr>
          <w:lang w:eastAsia="lt-LT"/>
        </w:rPr>
        <w:t xml:space="preserve">ir Rekomendacijose dėl projektų išlaidų atitikties Europos Sąjungos struktūrinių fondų reikalavimams </w:t>
      </w:r>
      <w:r>
        <w:rPr>
          <w:szCs w:val="24"/>
          <w:lang w:eastAsia="lt-LT"/>
        </w:rPr>
        <w:t>išdėstytus projekto išlaidoms taikomus reikalavimus.“</w:t>
      </w:r>
    </w:p>
    <w:p w14:paraId="2B5B310C" w14:textId="18FA3601" w:rsidR="00536CC2" w:rsidRDefault="002B796A" w:rsidP="00C8771F">
      <w:pPr>
        <w:ind w:firstLine="709"/>
        <w:jc w:val="both"/>
        <w:rPr>
          <w:szCs w:val="24"/>
          <w:lang w:eastAsia="lt-LT"/>
        </w:rPr>
      </w:pPr>
      <w:r>
        <w:rPr>
          <w:szCs w:val="24"/>
          <w:lang w:eastAsia="lt-LT"/>
        </w:rPr>
        <w:t>2.</w:t>
      </w:r>
      <w:r w:rsidR="00536CC2">
        <w:rPr>
          <w:szCs w:val="24"/>
          <w:lang w:eastAsia="lt-LT"/>
        </w:rPr>
        <w:t>1</w:t>
      </w:r>
      <w:r>
        <w:rPr>
          <w:szCs w:val="24"/>
          <w:lang w:eastAsia="lt-LT"/>
        </w:rPr>
        <w:t>6</w:t>
      </w:r>
      <w:r w:rsidR="00536CC2">
        <w:rPr>
          <w:szCs w:val="24"/>
          <w:lang w:eastAsia="lt-LT"/>
        </w:rPr>
        <w:t>. Pakeičiu 30 punktą ir jį išdėstau taip:</w:t>
      </w:r>
    </w:p>
    <w:p w14:paraId="64755E11" w14:textId="77777777" w:rsidR="00536CC2" w:rsidRDefault="00536CC2" w:rsidP="00C8771F">
      <w:pPr>
        <w:ind w:firstLine="709"/>
        <w:jc w:val="both"/>
        <w:rPr>
          <w:szCs w:val="24"/>
          <w:lang w:eastAsia="lt-LT"/>
        </w:rPr>
      </w:pPr>
      <w:r>
        <w:rPr>
          <w:szCs w:val="24"/>
          <w:lang w:eastAsia="lt-LT"/>
        </w:rPr>
        <w:t>„30. Didžiausia projektui galima skirti finansavimo lėšų suma yra 4 800 000 Eur (keturi milijonai aštuoni šimtai tūkstančių eurų). Mažiausia projektui galima skirti finansavimo lėšų suma yra 29 000 Eur (dvidešimt devyni tūkstančiai eurų).“</w:t>
      </w:r>
    </w:p>
    <w:p w14:paraId="05A6A1AC" w14:textId="51F69489" w:rsidR="00536CC2" w:rsidRDefault="002B796A" w:rsidP="00C8771F">
      <w:pPr>
        <w:ind w:firstLine="709"/>
        <w:jc w:val="both"/>
        <w:rPr>
          <w:szCs w:val="24"/>
          <w:lang w:eastAsia="lt-LT"/>
        </w:rPr>
      </w:pPr>
      <w:r>
        <w:rPr>
          <w:szCs w:val="24"/>
          <w:lang w:eastAsia="lt-LT"/>
        </w:rPr>
        <w:t>2.</w:t>
      </w:r>
      <w:r w:rsidR="00536CC2">
        <w:rPr>
          <w:szCs w:val="24"/>
          <w:lang w:eastAsia="lt-LT"/>
        </w:rPr>
        <w:t>1</w:t>
      </w:r>
      <w:r>
        <w:rPr>
          <w:szCs w:val="24"/>
          <w:lang w:eastAsia="lt-LT"/>
        </w:rPr>
        <w:t>7</w:t>
      </w:r>
      <w:r w:rsidR="00536CC2">
        <w:rPr>
          <w:szCs w:val="24"/>
          <w:lang w:eastAsia="lt-LT"/>
        </w:rPr>
        <w:t xml:space="preserve">. </w:t>
      </w:r>
      <w:r w:rsidR="007B5AEC">
        <w:rPr>
          <w:szCs w:val="24"/>
          <w:lang w:eastAsia="lt-LT"/>
        </w:rPr>
        <w:t>Papildau 32</w:t>
      </w:r>
      <w:r w:rsidR="007B5AEC">
        <w:rPr>
          <w:szCs w:val="24"/>
          <w:vertAlign w:val="superscript"/>
          <w:lang w:eastAsia="lt-LT"/>
        </w:rPr>
        <w:t>1</w:t>
      </w:r>
      <w:r w:rsidR="007B5AEC">
        <w:rPr>
          <w:szCs w:val="24"/>
          <w:lang w:eastAsia="lt-LT"/>
        </w:rPr>
        <w:t xml:space="preserve"> punktu:</w:t>
      </w:r>
    </w:p>
    <w:p w14:paraId="649501BF" w14:textId="77777777" w:rsidR="007B5AEC" w:rsidRDefault="007B5AEC" w:rsidP="007B5AEC">
      <w:pPr>
        <w:ind w:firstLine="709"/>
        <w:jc w:val="both"/>
        <w:rPr>
          <w:lang w:eastAsia="lt-LT"/>
        </w:rPr>
      </w:pPr>
      <w:r>
        <w:rPr>
          <w:szCs w:val="24"/>
          <w:lang w:eastAsia="lt-LT"/>
        </w:rPr>
        <w:t>„32</w:t>
      </w:r>
      <w:r>
        <w:rPr>
          <w:szCs w:val="24"/>
          <w:vertAlign w:val="superscript"/>
          <w:lang w:eastAsia="lt-LT"/>
        </w:rPr>
        <w:t>1</w:t>
      </w:r>
      <w:r>
        <w:rPr>
          <w:szCs w:val="24"/>
          <w:lang w:eastAsia="lt-LT"/>
        </w:rPr>
        <w:t xml:space="preserve">. </w:t>
      </w:r>
      <w:r w:rsidRPr="00665F58">
        <w:rPr>
          <w:lang w:eastAsia="lt-LT"/>
        </w:rPr>
        <w:t>Projekto tinkamų finansuoti išlaidų dalis, kurios nepadengia projektui skiriamo finansavimo lėšos, turi būti finansuojama iš projekto vykdytojo lėšų</w:t>
      </w:r>
      <w:r>
        <w:rPr>
          <w:lang w:eastAsia="lt-LT"/>
        </w:rPr>
        <w:t>.“</w:t>
      </w:r>
    </w:p>
    <w:p w14:paraId="4370FA6B" w14:textId="7BAD333E" w:rsidR="00D4365D" w:rsidRDefault="002B796A" w:rsidP="007B5AEC">
      <w:pPr>
        <w:ind w:firstLine="709"/>
        <w:jc w:val="both"/>
        <w:rPr>
          <w:lang w:eastAsia="lt-LT"/>
        </w:rPr>
      </w:pPr>
      <w:r>
        <w:rPr>
          <w:lang w:eastAsia="lt-LT"/>
        </w:rPr>
        <w:t>2.</w:t>
      </w:r>
      <w:r w:rsidR="00D4365D">
        <w:rPr>
          <w:lang w:eastAsia="lt-LT"/>
        </w:rPr>
        <w:t>1</w:t>
      </w:r>
      <w:r>
        <w:rPr>
          <w:lang w:eastAsia="lt-LT"/>
        </w:rPr>
        <w:t>8</w:t>
      </w:r>
      <w:r w:rsidR="00D4365D">
        <w:rPr>
          <w:lang w:eastAsia="lt-LT"/>
        </w:rPr>
        <w:t>. Pakeičiu 33 punktą ir jį išdėstau taip:</w:t>
      </w:r>
    </w:p>
    <w:p w14:paraId="6043A247" w14:textId="7B62C778" w:rsidR="00D4365D" w:rsidRDefault="00D4365D" w:rsidP="0038164A">
      <w:pPr>
        <w:ind w:firstLine="709"/>
        <w:jc w:val="both"/>
        <w:rPr>
          <w:szCs w:val="24"/>
          <w:lang w:eastAsia="lt-LT"/>
        </w:rPr>
      </w:pPr>
      <w:r>
        <w:rPr>
          <w:lang w:eastAsia="lt-LT"/>
        </w:rPr>
        <w:t>„</w:t>
      </w:r>
      <w:r>
        <w:rPr>
          <w:szCs w:val="24"/>
          <w:lang w:eastAsia="lt-LT"/>
        </w:rPr>
        <w:t xml:space="preserve">33. Pagal Aprašą tinkamų arba netinkamų finansuoti išlaidų kategorijos yra nustatytos </w:t>
      </w:r>
      <w:r w:rsidR="006D0B1B">
        <w:rPr>
          <w:szCs w:val="24"/>
          <w:lang w:eastAsia="lt-LT"/>
        </w:rPr>
        <w:t>Aprašo </w:t>
      </w:r>
      <w:r>
        <w:rPr>
          <w:szCs w:val="24"/>
          <w:lang w:eastAsia="lt-LT"/>
        </w:rPr>
        <w:t>lentelėje.</w:t>
      </w:r>
    </w:p>
    <w:p w14:paraId="1DB55B9B" w14:textId="77777777" w:rsidR="00D4365D" w:rsidRDefault="00D4365D" w:rsidP="00D4365D">
      <w:pPr>
        <w:ind w:firstLine="851"/>
        <w:jc w:val="both"/>
        <w:rPr>
          <w:szCs w:val="24"/>
          <w:lang w:eastAsia="lt-LT"/>
        </w:rPr>
      </w:pPr>
    </w:p>
    <w:p w14:paraId="51880CAB" w14:textId="178B44B3" w:rsidR="00D4365D" w:rsidRDefault="006D0B1B" w:rsidP="001F443A">
      <w:pPr>
        <w:ind w:firstLine="709"/>
        <w:jc w:val="both"/>
        <w:rPr>
          <w:szCs w:val="24"/>
          <w:lang w:eastAsia="lt-LT"/>
        </w:rPr>
      </w:pPr>
      <w:r>
        <w:rPr>
          <w:szCs w:val="24"/>
          <w:lang w:eastAsia="lt-LT"/>
        </w:rPr>
        <w:t>L</w:t>
      </w:r>
      <w:r w:rsidR="00D4365D" w:rsidRPr="00CA3744">
        <w:rPr>
          <w:szCs w:val="24"/>
          <w:lang w:eastAsia="lt-LT"/>
        </w:rPr>
        <w:t>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268"/>
        <w:gridCol w:w="5953"/>
      </w:tblGrid>
      <w:tr w:rsidR="00D4365D" w14:paraId="72786924"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B5AE146" w14:textId="77777777" w:rsidR="00D4365D" w:rsidRDefault="00D4365D" w:rsidP="007D20D8">
            <w:pPr>
              <w:ind w:left="-57" w:right="-57"/>
              <w:jc w:val="center"/>
              <w:rPr>
                <w:b/>
                <w:bCs/>
                <w:szCs w:val="24"/>
                <w:lang w:eastAsia="lt-LT"/>
              </w:rPr>
            </w:pPr>
            <w:r>
              <w:rPr>
                <w:b/>
                <w:bCs/>
                <w:szCs w:val="24"/>
                <w:lang w:eastAsia="lt-LT"/>
              </w:rPr>
              <w:t>Išlaidų kategorijos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11C83" w14:textId="77777777" w:rsidR="00D4365D" w:rsidRDefault="00D4365D" w:rsidP="007D20D8">
            <w:pPr>
              <w:ind w:left="-57" w:right="-57"/>
              <w:jc w:val="center"/>
              <w:rPr>
                <w:b/>
                <w:bCs/>
                <w:szCs w:val="24"/>
                <w:lang w:eastAsia="lt-LT"/>
              </w:rPr>
            </w:pPr>
            <w:r>
              <w:rPr>
                <w:b/>
                <w:bCs/>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F9E97" w14:textId="77777777" w:rsidR="00D4365D" w:rsidRDefault="00D4365D" w:rsidP="007D20D8">
            <w:pPr>
              <w:ind w:left="-57" w:right="-57"/>
              <w:jc w:val="center"/>
              <w:rPr>
                <w:b/>
                <w:szCs w:val="24"/>
                <w:lang w:eastAsia="lt-LT"/>
              </w:rPr>
            </w:pPr>
            <w:r>
              <w:rPr>
                <w:b/>
                <w:szCs w:val="24"/>
                <w:lang w:eastAsia="lt-LT"/>
              </w:rPr>
              <w:t>Reikalavimai ir paaiškinimai</w:t>
            </w:r>
          </w:p>
          <w:p w14:paraId="39E3C7E5" w14:textId="77777777" w:rsidR="00D4365D" w:rsidRDefault="00D4365D" w:rsidP="007D20D8">
            <w:pPr>
              <w:ind w:left="-57" w:right="-57"/>
              <w:jc w:val="center"/>
              <w:rPr>
                <w:b/>
                <w:bCs/>
                <w:szCs w:val="24"/>
                <w:lang w:eastAsia="lt-LT"/>
              </w:rPr>
            </w:pPr>
          </w:p>
        </w:tc>
      </w:tr>
      <w:tr w:rsidR="00D4365D" w14:paraId="79A6038A"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06678D3" w14:textId="77777777" w:rsidR="00D4365D" w:rsidRDefault="00D4365D" w:rsidP="007D20D8">
            <w:pPr>
              <w:rPr>
                <w:bCs/>
                <w:szCs w:val="24"/>
                <w:lang w:eastAsia="lt-LT"/>
              </w:rPr>
            </w:pPr>
            <w:r>
              <w:rPr>
                <w:bCs/>
                <w:szCs w:val="24"/>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5FC1C" w14:textId="77777777" w:rsidR="00D4365D" w:rsidRDefault="00D4365D" w:rsidP="007D20D8">
            <w:pPr>
              <w:rPr>
                <w:bCs/>
                <w:szCs w:val="24"/>
                <w:lang w:eastAsia="lt-LT"/>
              </w:rPr>
            </w:pPr>
            <w:r>
              <w:rPr>
                <w:bCs/>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015A6A0" w14:textId="77777777" w:rsidR="00D4365D" w:rsidRDefault="00D4365D" w:rsidP="007D20D8">
            <w:pPr>
              <w:rPr>
                <w:szCs w:val="24"/>
                <w:lang w:eastAsia="lt-LT"/>
              </w:rPr>
            </w:pPr>
            <w:r>
              <w:rPr>
                <w:szCs w:val="24"/>
                <w:lang w:eastAsia="lt-LT"/>
              </w:rPr>
              <w:t>Netinkamos finansuoti išlaidos.</w:t>
            </w:r>
          </w:p>
        </w:tc>
      </w:tr>
      <w:tr w:rsidR="00D4365D" w14:paraId="27EDBA69"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0E2C6E8" w14:textId="77777777" w:rsidR="00D4365D" w:rsidRDefault="00D4365D" w:rsidP="007D20D8">
            <w:pPr>
              <w:rPr>
                <w:bCs/>
                <w:szCs w:val="24"/>
                <w:lang w:eastAsia="lt-LT"/>
              </w:rPr>
            </w:pPr>
            <w:r>
              <w:rPr>
                <w:bCs/>
                <w:szCs w:val="24"/>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5A333" w14:textId="77777777" w:rsidR="00D4365D" w:rsidRDefault="00D4365D" w:rsidP="007D20D8">
            <w:pPr>
              <w:rPr>
                <w:bCs/>
                <w:szCs w:val="24"/>
                <w:lang w:eastAsia="lt-LT"/>
              </w:rPr>
            </w:pPr>
            <w:r>
              <w:rPr>
                <w:bCs/>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882AB2D" w14:textId="77777777" w:rsidR="00D4365D" w:rsidRDefault="00D4365D" w:rsidP="007D20D8">
            <w:pPr>
              <w:rPr>
                <w:b/>
                <w:bCs/>
                <w:szCs w:val="24"/>
                <w:lang w:eastAsia="lt-LT"/>
              </w:rPr>
            </w:pPr>
            <w:r>
              <w:rPr>
                <w:szCs w:val="24"/>
                <w:lang w:eastAsia="lt-LT"/>
              </w:rPr>
              <w:t>Netinkamos finansuoti išlaidos.</w:t>
            </w:r>
          </w:p>
        </w:tc>
      </w:tr>
      <w:tr w:rsidR="00D4365D" w14:paraId="791F59C0"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615188C" w14:textId="77777777" w:rsidR="00D4365D" w:rsidRDefault="00D4365D" w:rsidP="007D20D8">
            <w:pPr>
              <w:ind w:right="-57"/>
              <w:rPr>
                <w:bCs/>
                <w:szCs w:val="24"/>
                <w:lang w:eastAsia="lt-LT"/>
              </w:rPr>
            </w:pPr>
            <w:r>
              <w:rPr>
                <w:bCs/>
                <w:szCs w:val="24"/>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B9ADC" w14:textId="77777777" w:rsidR="00D4365D" w:rsidRDefault="00D4365D" w:rsidP="007D20D8">
            <w:pPr>
              <w:ind w:right="-57"/>
              <w:rPr>
                <w:bCs/>
                <w:szCs w:val="24"/>
                <w:lang w:eastAsia="lt-LT"/>
              </w:rPr>
            </w:pPr>
            <w:r>
              <w:rPr>
                <w:bCs/>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1F50C842" w14:textId="77777777" w:rsidR="00D4365D" w:rsidRDefault="00D4365D" w:rsidP="007D20D8">
            <w:pPr>
              <w:rPr>
                <w:b/>
                <w:bCs/>
                <w:szCs w:val="24"/>
                <w:lang w:eastAsia="lt-LT"/>
              </w:rPr>
            </w:pPr>
            <w:r>
              <w:rPr>
                <w:szCs w:val="24"/>
                <w:lang w:eastAsia="lt-LT"/>
              </w:rPr>
              <w:t>Netinkamos finansuoti išlaidos.</w:t>
            </w:r>
          </w:p>
        </w:tc>
      </w:tr>
      <w:tr w:rsidR="00D4365D" w14:paraId="76035F91"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2C3096B" w14:textId="77777777" w:rsidR="00D4365D" w:rsidRDefault="00D4365D" w:rsidP="007D20D8">
            <w:pPr>
              <w:rPr>
                <w:bCs/>
                <w:szCs w:val="24"/>
                <w:lang w:eastAsia="lt-LT"/>
              </w:rPr>
            </w:pPr>
            <w:r>
              <w:rPr>
                <w:bCs/>
                <w:szCs w:val="24"/>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D32A6" w14:textId="77777777" w:rsidR="00D4365D" w:rsidRDefault="00D4365D" w:rsidP="007D20D8">
            <w:pPr>
              <w:rPr>
                <w:bCs/>
                <w:szCs w:val="24"/>
                <w:lang w:eastAsia="lt-LT"/>
              </w:rPr>
            </w:pPr>
            <w:r>
              <w:rPr>
                <w:bCs/>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F9CEFE8" w14:textId="54D7557A" w:rsidR="00D4365D" w:rsidRPr="00BC0377" w:rsidRDefault="00D4365D" w:rsidP="007D20D8">
            <w:pPr>
              <w:jc w:val="both"/>
              <w:rPr>
                <w:rFonts w:eastAsia="Calibri"/>
                <w:color w:val="000000"/>
                <w:szCs w:val="24"/>
              </w:rPr>
            </w:pPr>
            <w:r>
              <w:rPr>
                <w:rFonts w:eastAsia="Calibri"/>
                <w:szCs w:val="24"/>
              </w:rPr>
              <w:t>Šios kategorijos išlaidos gali sudaryti ne daugiau nei 10 proc. tinkamų finansuoti išlaidų sumos</w:t>
            </w:r>
            <w:r w:rsidR="006E3892">
              <w:rPr>
                <w:rFonts w:eastAsia="Calibri"/>
                <w:szCs w:val="24"/>
              </w:rPr>
              <w:t xml:space="preserve">. </w:t>
            </w:r>
            <w:r w:rsidR="006E3892" w:rsidRPr="006E3892">
              <w:rPr>
                <w:rFonts w:eastAsia="Calibri"/>
                <w:color w:val="000000"/>
                <w:szCs w:val="24"/>
              </w:rPr>
              <w:t>Tinkamomis finansuoti išlaidomis yra laikomos:</w:t>
            </w:r>
          </w:p>
          <w:p w14:paraId="22AC7CD0" w14:textId="77777777" w:rsidR="00D4365D" w:rsidRDefault="00D4365D" w:rsidP="007D20D8">
            <w:pPr>
              <w:jc w:val="both"/>
              <w:rPr>
                <w:rFonts w:eastAsia="Calibri"/>
                <w:szCs w:val="24"/>
              </w:rPr>
            </w:pPr>
            <w:r>
              <w:rPr>
                <w:rFonts w:eastAsia="Calibri"/>
                <w:szCs w:val="24"/>
              </w:rPr>
              <w:t>4.1. kompiuterinės įrangos įsigijimo išlaidos. Kompiuterinė įranga gali būti įsigyjama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kompiuterinė įranga iki projekto įgyvendinimo pabaigos turi tapti projekto vykdytojo nuosavybe;</w:t>
            </w:r>
          </w:p>
          <w:p w14:paraId="4E3CEFC2" w14:textId="77777777" w:rsidR="00D4365D" w:rsidRDefault="00D4365D" w:rsidP="007D20D8">
            <w:pPr>
              <w:jc w:val="both"/>
              <w:rPr>
                <w:rFonts w:eastAsia="Calibri"/>
                <w:szCs w:val="24"/>
              </w:rPr>
            </w:pPr>
            <w:r>
              <w:rPr>
                <w:rFonts w:eastAsia="Calibri"/>
                <w:szCs w:val="24"/>
              </w:rPr>
              <w:t>4.2. programinės įrangos įsigijimo išlaidos;</w:t>
            </w:r>
          </w:p>
          <w:p w14:paraId="12C6C829" w14:textId="77777777" w:rsidR="00D4365D" w:rsidRDefault="00D4365D" w:rsidP="007D20D8">
            <w:pPr>
              <w:jc w:val="both"/>
              <w:rPr>
                <w:rFonts w:eastAsia="Calibri"/>
                <w:szCs w:val="24"/>
              </w:rPr>
            </w:pPr>
            <w:r>
              <w:rPr>
                <w:rFonts w:eastAsia="Calibri"/>
                <w:szCs w:val="24"/>
              </w:rPr>
              <w:t xml:space="preserve">4.3. įrangos ir įrenginių, kurie tiesiogiai susiję su projekto veiklomis ir būtini projektui sėkmingai įgyvendinti, </w:t>
            </w:r>
            <w:r>
              <w:rPr>
                <w:rFonts w:eastAsia="Calibri"/>
                <w:szCs w:val="24"/>
              </w:rPr>
              <w:lastRenderedPageBreak/>
              <w:t>įsigijimo išlaidos. Kita įranga ir įrenginiai gali būti įsigyjami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kita įranga ir įrenginiai iki projekto įgyvendinimo pabaigos turi tapti projekto vykdytojo nuosavybe;</w:t>
            </w:r>
          </w:p>
          <w:p w14:paraId="6EF988D6" w14:textId="77777777" w:rsidR="00D4365D" w:rsidRDefault="00D4365D" w:rsidP="007D20D8">
            <w:pPr>
              <w:jc w:val="both"/>
              <w:rPr>
                <w:szCs w:val="24"/>
                <w:lang w:eastAsia="lt-LT"/>
              </w:rPr>
            </w:pPr>
            <w:r>
              <w:rPr>
                <w:rFonts w:eastAsia="Calibri"/>
                <w:szCs w:val="24"/>
              </w:rPr>
              <w:t>4.4. ilgalaikio materialiojo turto draudimo išlaidos.</w:t>
            </w:r>
          </w:p>
        </w:tc>
      </w:tr>
      <w:tr w:rsidR="00D4365D" w14:paraId="7B05693C"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A76382E" w14:textId="77777777" w:rsidR="00D4365D" w:rsidRDefault="00D4365D" w:rsidP="007D20D8">
            <w:pPr>
              <w:rPr>
                <w:bCs/>
                <w:szCs w:val="24"/>
                <w:lang w:eastAsia="lt-LT"/>
              </w:rPr>
            </w:pPr>
            <w:r>
              <w:rPr>
                <w:bCs/>
                <w:szCs w:val="24"/>
                <w:lang w:eastAsia="lt-LT"/>
              </w:rPr>
              <w:lastRenderedPageBreak/>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563C51" w14:textId="77777777" w:rsidR="00D4365D" w:rsidRDefault="00D4365D" w:rsidP="007D20D8">
            <w:pPr>
              <w:rPr>
                <w:bCs/>
                <w:szCs w:val="24"/>
                <w:lang w:eastAsia="lt-LT"/>
              </w:rPr>
            </w:pPr>
            <w:r>
              <w:rPr>
                <w:bCs/>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1B54AFCB" w14:textId="77777777" w:rsidR="00D4365D" w:rsidRDefault="00D4365D" w:rsidP="007D20D8">
            <w:pPr>
              <w:jc w:val="both"/>
              <w:rPr>
                <w:szCs w:val="24"/>
                <w:lang w:eastAsia="lt-LT"/>
              </w:rPr>
            </w:pPr>
            <w:r>
              <w:rPr>
                <w:szCs w:val="24"/>
                <w:lang w:eastAsia="lt-LT"/>
              </w:rPr>
              <w:t>Tinkamomis finansuoti išlaidomis yra laikomos:</w:t>
            </w:r>
          </w:p>
          <w:p w14:paraId="1AE8B359" w14:textId="46F0C9C4" w:rsidR="00D4365D" w:rsidRDefault="00D4365D" w:rsidP="007D20D8">
            <w:pPr>
              <w:jc w:val="both"/>
              <w:rPr>
                <w:szCs w:val="24"/>
                <w:lang w:eastAsia="lt-LT"/>
              </w:rPr>
            </w:pPr>
            <w:r w:rsidRPr="005D2E38">
              <w:rPr>
                <w:szCs w:val="24"/>
                <w:lang w:eastAsia="lt-LT"/>
              </w:rPr>
              <w:t xml:space="preserve">5.1. </w:t>
            </w:r>
            <w:r w:rsidR="00A55CC1" w:rsidRPr="005D2E38">
              <w:rPr>
                <w:rFonts w:eastAsia="Calibri"/>
                <w:szCs w:val="24"/>
              </w:rPr>
              <w:t xml:space="preserve">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sausio 19 d. patvirtinta Kasmetinių atostogų ir papildomų poilsio dienų išmokų fiksuotųjų normų nustatymo tyrimo atskaita </w:t>
            </w:r>
            <w:r w:rsidR="00BF2399">
              <w:rPr>
                <w:rFonts w:eastAsia="Calibri"/>
                <w:szCs w:val="24"/>
              </w:rPr>
              <w:br/>
            </w:r>
            <w:r w:rsidR="00A55CC1" w:rsidRPr="005D2E38">
              <w:rPr>
                <w:rFonts w:eastAsia="Calibri"/>
                <w:szCs w:val="24"/>
              </w:rPr>
              <w:t>(2017 m. liepos 20 d. redakcija), paskelbta ES struktūrinių fondų svetainėje http://www.esinvesticijos.lt/lt/dokumentai/kasmetiniu-atostogu-ismoku-fiksuotuju-normu-nustatymo-tyrimo-ataskaita</w:t>
            </w:r>
            <w:r>
              <w:rPr>
                <w:szCs w:val="24"/>
                <w:lang w:eastAsia="lt-LT"/>
              </w:rPr>
              <w:t xml:space="preserve">; </w:t>
            </w:r>
          </w:p>
          <w:p w14:paraId="6C352470" w14:textId="619D2B90" w:rsidR="00D4365D" w:rsidRDefault="00D4365D" w:rsidP="007D20D8">
            <w:pPr>
              <w:jc w:val="both"/>
              <w:rPr>
                <w:szCs w:val="24"/>
                <w:lang w:eastAsia="lt-LT"/>
              </w:rPr>
            </w:pPr>
            <w:r>
              <w:rPr>
                <w:szCs w:val="24"/>
                <w:lang w:eastAsia="lt-LT"/>
              </w:rPr>
              <w:t>5.2. projektą vykdančio personalo komandiruočių išlaidos</w:t>
            </w:r>
            <w:r w:rsidR="005D2E38">
              <w:rPr>
                <w:szCs w:val="24"/>
                <w:lang w:eastAsia="lt-LT"/>
              </w:rPr>
              <w:t>,</w:t>
            </w:r>
            <w:r w:rsidR="00BC0377">
              <w:rPr>
                <w:szCs w:val="24"/>
                <w:lang w:eastAsia="lt-LT"/>
              </w:rPr>
              <w:t xml:space="preserve"> </w:t>
            </w:r>
            <w:r w:rsidRPr="005D2E38">
              <w:rPr>
                <w:szCs w:val="24"/>
                <w:lang w:eastAsia="lt-LT"/>
              </w:rPr>
              <w:t xml:space="preserve">apskaičiuotos </w:t>
            </w:r>
            <w:r w:rsidR="005D2E38" w:rsidRPr="00F92D34">
              <w:rPr>
                <w:szCs w:val="24"/>
                <w:lang w:eastAsia="lt-LT"/>
              </w:rPr>
              <w:t>komandiruočių išlaidas reguliuojančių teisės aktų nustatyta tvarka</w:t>
            </w:r>
            <w:r>
              <w:rPr>
                <w:szCs w:val="24"/>
                <w:lang w:eastAsia="lt-LT"/>
              </w:rPr>
              <w:t xml:space="preserve">. </w:t>
            </w:r>
            <w:r>
              <w:rPr>
                <w:rFonts w:eastAsia="Calibri"/>
                <w:szCs w:val="24"/>
              </w:rPr>
              <w:t>Projekto veikloms vykdyti (vykdančiojo personalo komandiruotės) reikalingos transporto Lietuvo</w:t>
            </w:r>
            <w:r w:rsidR="00900DF6">
              <w:rPr>
                <w:rFonts w:eastAsia="Calibri"/>
                <w:szCs w:val="24"/>
              </w:rPr>
              <w:t>s Respublikoje</w:t>
            </w:r>
            <w:r>
              <w:rPr>
                <w:rFonts w:eastAsia="Calibri"/>
                <w:szCs w:val="24"/>
              </w:rPr>
              <w:t xml:space="preserve"> ir kelionėms žemės transportu iš Lietuvos</w:t>
            </w:r>
            <w:r w:rsidR="00900DF6">
              <w:rPr>
                <w:rFonts w:eastAsia="Calibri"/>
                <w:szCs w:val="24"/>
              </w:rPr>
              <w:t xml:space="preserve"> Respublikos</w:t>
            </w:r>
            <w:r>
              <w:rPr>
                <w:rFonts w:eastAsia="Calibri"/>
                <w:szCs w:val="24"/>
              </w:rPr>
              <w:t xml:space="preserve"> į kitą valstybę (ir atgal) išlaidos apmokamos taikant maksimalius kuro</w:t>
            </w:r>
            <w:r w:rsidR="005F4356">
              <w:rPr>
                <w:rFonts w:eastAsia="Calibri"/>
                <w:szCs w:val="24"/>
              </w:rPr>
              <w:t xml:space="preserve"> ir viešojo transporto</w:t>
            </w:r>
            <w:r>
              <w:rPr>
                <w:rFonts w:eastAsia="Calibri"/>
                <w:szCs w:val="24"/>
              </w:rPr>
              <w:t xml:space="preserve"> išlaidų fiksuotuosius įkainius, kurie nustatomi vadovaujantis </w:t>
            </w:r>
            <w:r w:rsidR="005F4356">
              <w:rPr>
                <w:rFonts w:eastAsia="Calibri"/>
                <w:szCs w:val="24"/>
              </w:rPr>
              <w:t xml:space="preserve">Lietuvos Respublikos finansų ministerijos </w:t>
            </w:r>
            <w:r>
              <w:rPr>
                <w:rFonts w:eastAsia="Calibri"/>
                <w:szCs w:val="24"/>
              </w:rPr>
              <w:t xml:space="preserve">2015 m. balandžio 24 d. </w:t>
            </w:r>
            <w:r w:rsidR="005F4356">
              <w:rPr>
                <w:rFonts w:eastAsia="Calibri"/>
                <w:szCs w:val="24"/>
              </w:rPr>
              <w:t>patvirtinta</w:t>
            </w:r>
            <w:r w:rsidR="00BF2399">
              <w:rPr>
                <w:rFonts w:eastAsia="Calibri"/>
                <w:szCs w:val="24"/>
              </w:rPr>
              <w:t xml:space="preserve"> </w:t>
            </w:r>
            <w:r>
              <w:rPr>
                <w:rFonts w:eastAsia="Calibri"/>
                <w:szCs w:val="24"/>
              </w:rPr>
              <w:t>Kuro ir viešojo transporto išlaidų fiksuotųjų įka</w:t>
            </w:r>
            <w:r w:rsidR="00BF2399">
              <w:rPr>
                <w:rFonts w:eastAsia="Calibri"/>
                <w:szCs w:val="24"/>
              </w:rPr>
              <w:t>inių nustatymo tyrimo ataskaita</w:t>
            </w:r>
            <w:r>
              <w:rPr>
                <w:rFonts w:eastAsia="Calibri"/>
                <w:szCs w:val="24"/>
              </w:rPr>
              <w:t xml:space="preserve">, kuri paskelbta </w:t>
            </w:r>
            <w:r w:rsidR="005F4356">
              <w:rPr>
                <w:rFonts w:eastAsia="Calibri"/>
                <w:szCs w:val="24"/>
              </w:rPr>
              <w:t xml:space="preserve">ES struktūrinių fondų </w:t>
            </w:r>
            <w:r>
              <w:rPr>
                <w:rFonts w:eastAsia="Calibri"/>
                <w:szCs w:val="24"/>
              </w:rPr>
              <w:t xml:space="preserve">svetainėje </w:t>
            </w:r>
            <w:hyperlink r:id="rId11" w:history="1">
              <w:r w:rsidR="005F4356" w:rsidRPr="00442B1D">
                <w:rPr>
                  <w:szCs w:val="24"/>
                  <w:lang w:eastAsia="lt-LT"/>
                </w:rPr>
                <w:t>http://www.esinvesticijos.lt/lt/dokumentai/kuro-ir-viesojo-transporto-islaidu-fiksuotuju-ikainiu-nustatymo-tyrimo-ataskaita</w:t>
              </w:r>
            </w:hyperlink>
            <w:r>
              <w:rPr>
                <w:szCs w:val="24"/>
                <w:lang w:eastAsia="lt-LT"/>
              </w:rPr>
              <w:t>;</w:t>
            </w:r>
          </w:p>
          <w:p w14:paraId="4DC3C4FD" w14:textId="77777777" w:rsidR="00D4365D" w:rsidRDefault="00D4365D" w:rsidP="007D20D8">
            <w:pPr>
              <w:tabs>
                <w:tab w:val="left" w:pos="176"/>
                <w:tab w:val="left" w:pos="318"/>
              </w:tabs>
              <w:jc w:val="both"/>
              <w:rPr>
                <w:rFonts w:eastAsia="Calibri"/>
                <w:szCs w:val="24"/>
              </w:rPr>
            </w:pPr>
            <w:r>
              <w:rPr>
                <w:szCs w:val="24"/>
                <w:lang w:eastAsia="lt-LT"/>
              </w:rPr>
              <w:t>5.3. išlaidos t</w:t>
            </w:r>
            <w:r>
              <w:rPr>
                <w:rFonts w:eastAsia="Calibri"/>
                <w:szCs w:val="24"/>
              </w:rPr>
              <w:t>yrimams, studijoms, apžvalgoms ir panašioms paslaugoms įsigyti. Šios išlaidos gali sudaryti ne daugiau nei 15 proc. tinkamų finansuoti išlaidų sumos;</w:t>
            </w:r>
          </w:p>
          <w:p w14:paraId="6A68F1C1" w14:textId="77777777" w:rsidR="00D4365D" w:rsidRDefault="00D4365D" w:rsidP="007D20D8">
            <w:pPr>
              <w:tabs>
                <w:tab w:val="left" w:pos="176"/>
                <w:tab w:val="left" w:pos="318"/>
              </w:tabs>
              <w:jc w:val="both"/>
              <w:rPr>
                <w:rFonts w:eastAsia="Calibri"/>
                <w:szCs w:val="24"/>
              </w:rPr>
            </w:pPr>
            <w:r>
              <w:rPr>
                <w:rFonts w:eastAsia="Calibri"/>
                <w:szCs w:val="24"/>
              </w:rPr>
              <w:t>5.4. su renginių organizavimu susijusios išlaidos (pvz., renginiams reikalingų patalpų nuomos, renginiui reikalingos įrangos nuomos ir panašios) išlaidos, kai renginį organizuoja projekto vykdytojas, o ne perkama tokia paslauga;</w:t>
            </w:r>
          </w:p>
          <w:p w14:paraId="570F5CC4" w14:textId="77777777" w:rsidR="00D4365D" w:rsidRDefault="00D4365D" w:rsidP="007D20D8">
            <w:pPr>
              <w:tabs>
                <w:tab w:val="left" w:pos="176"/>
                <w:tab w:val="left" w:pos="318"/>
              </w:tabs>
              <w:jc w:val="both"/>
              <w:rPr>
                <w:rFonts w:eastAsia="Calibri"/>
                <w:szCs w:val="24"/>
              </w:rPr>
            </w:pPr>
            <w:r>
              <w:rPr>
                <w:rFonts w:eastAsia="Calibri"/>
                <w:szCs w:val="24"/>
              </w:rPr>
              <w:t>5.5. išlaidos kitoms su projekto veiklomis susijusioms paslaugoms (leidybos, vertimo, narystės organizacijose ir iniciatyvose mokestis, renginių dalyvio mokestis, rinkodaros, reklamos ir viešųjų ryšių, e. rinkodaros) įsigyti. Išlaidos rinkodaros, reklamos ir viešųjų ryšių, e. rinkodaros paslaugoms įsigyti gali sudaryti ne daugiau nei 15 proc. tinkamų finansuoti išlaidų sumos;</w:t>
            </w:r>
          </w:p>
          <w:p w14:paraId="0366BB60" w14:textId="77777777" w:rsidR="00D4365D" w:rsidRDefault="00D4365D" w:rsidP="007D20D8">
            <w:pPr>
              <w:tabs>
                <w:tab w:val="left" w:pos="176"/>
                <w:tab w:val="left" w:pos="318"/>
              </w:tabs>
              <w:jc w:val="both"/>
              <w:rPr>
                <w:rFonts w:eastAsia="Calibri"/>
                <w:szCs w:val="24"/>
              </w:rPr>
            </w:pPr>
            <w:r>
              <w:rPr>
                <w:rFonts w:eastAsia="Calibri"/>
                <w:szCs w:val="24"/>
              </w:rPr>
              <w:lastRenderedPageBreak/>
              <w:t>5.6. projekto veikloms vykdyti reikalingų transporto priemonių, patalpų eksploatavimo (komunalinių, ryšio paslaugų ir panašios) išlaidos;</w:t>
            </w:r>
          </w:p>
          <w:p w14:paraId="172F0222" w14:textId="77777777" w:rsidR="00D4365D" w:rsidRDefault="00D4365D" w:rsidP="007D20D8">
            <w:pPr>
              <w:tabs>
                <w:tab w:val="left" w:pos="176"/>
                <w:tab w:val="left" w:pos="318"/>
              </w:tabs>
              <w:jc w:val="both"/>
              <w:rPr>
                <w:rFonts w:eastAsia="Calibri"/>
                <w:szCs w:val="24"/>
              </w:rPr>
            </w:pPr>
            <w:r>
              <w:rPr>
                <w:rFonts w:eastAsia="Calibri"/>
                <w:szCs w:val="24"/>
              </w:rPr>
              <w:t>5.7. tarptautinių partnerių ir ekspertų kelionių ir apgyvendinimo išlaidos;</w:t>
            </w:r>
          </w:p>
          <w:p w14:paraId="017184EF" w14:textId="51906369" w:rsidR="00D4365D" w:rsidRDefault="00D4365D" w:rsidP="00BF2399">
            <w:pPr>
              <w:tabs>
                <w:tab w:val="left" w:pos="176"/>
                <w:tab w:val="left" w:pos="318"/>
              </w:tabs>
              <w:jc w:val="both"/>
              <w:rPr>
                <w:szCs w:val="24"/>
                <w:lang w:eastAsia="lt-LT"/>
              </w:rPr>
            </w:pPr>
            <w:r>
              <w:rPr>
                <w:rFonts w:eastAsia="Calibri"/>
                <w:szCs w:val="24"/>
              </w:rPr>
              <w:t>5.8. projekt</w:t>
            </w:r>
            <w:r w:rsidR="00BF2399">
              <w:rPr>
                <w:rFonts w:eastAsia="Calibri"/>
                <w:szCs w:val="24"/>
              </w:rPr>
              <w:t>ui vykdyti</w:t>
            </w:r>
            <w:r>
              <w:rPr>
                <w:rFonts w:eastAsia="Calibri"/>
                <w:szCs w:val="24"/>
              </w:rPr>
              <w:t xml:space="preserve"> reikalingų patalpų nuomos išlaidos.</w:t>
            </w:r>
          </w:p>
        </w:tc>
      </w:tr>
      <w:tr w:rsidR="00D4365D" w14:paraId="3BAB8472" w14:textId="77777777" w:rsidTr="007D20D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9A32DA5" w14:textId="77777777" w:rsidR="00D4365D" w:rsidRDefault="00D4365D" w:rsidP="007D20D8">
            <w:pPr>
              <w:rPr>
                <w:bCs/>
                <w:szCs w:val="24"/>
                <w:lang w:eastAsia="lt-LT"/>
              </w:rPr>
            </w:pPr>
            <w:r>
              <w:rPr>
                <w:bCs/>
                <w:szCs w:val="24"/>
                <w:lang w:eastAsia="lt-LT"/>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AC1EC" w14:textId="77777777" w:rsidR="00D4365D" w:rsidRDefault="00D4365D" w:rsidP="007D20D8">
            <w:pPr>
              <w:rPr>
                <w:bCs/>
                <w:szCs w:val="24"/>
                <w:lang w:eastAsia="lt-LT"/>
              </w:rPr>
            </w:pPr>
            <w:r>
              <w:rPr>
                <w:bCs/>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8E504E" w14:textId="686752DA" w:rsidR="00D4365D" w:rsidRDefault="00D4365D" w:rsidP="007D20D8">
            <w:pPr>
              <w:jc w:val="both"/>
              <w:rPr>
                <w:szCs w:val="24"/>
                <w:lang w:eastAsia="lt-LT"/>
              </w:rPr>
            </w:pPr>
            <w:r>
              <w:rPr>
                <w:szCs w:val="24"/>
                <w:lang w:eastAsia="lt-LT"/>
              </w:rPr>
              <w:t>Tinkamo</w:t>
            </w:r>
            <w:r w:rsidR="00900238">
              <w:rPr>
                <w:szCs w:val="24"/>
                <w:lang w:eastAsia="lt-LT"/>
              </w:rPr>
              <w:t>mis</w:t>
            </w:r>
            <w:r>
              <w:rPr>
                <w:szCs w:val="24"/>
                <w:lang w:eastAsia="lt-LT"/>
              </w:rPr>
              <w:t xml:space="preserve"> finansuoti išlaido</w:t>
            </w:r>
            <w:r w:rsidR="00900238">
              <w:rPr>
                <w:szCs w:val="24"/>
                <w:lang w:eastAsia="lt-LT"/>
              </w:rPr>
              <w:t>mis laikomos</w:t>
            </w:r>
            <w:r>
              <w:rPr>
                <w:szCs w:val="24"/>
                <w:lang w:eastAsia="lt-LT"/>
              </w:rPr>
              <w:t xml:space="preserve"> – išlaidos privalomiems informavimo apie projektą veiksmams, kurios gali sudaryti ne daugiau nei 5 proc. tinkamų finansuoti išlaidų sumos. </w:t>
            </w:r>
          </w:p>
        </w:tc>
      </w:tr>
      <w:tr w:rsidR="00D4365D" w14:paraId="74614F6D" w14:textId="77777777" w:rsidTr="00442B1D">
        <w:trPr>
          <w:trHeight w:val="1127"/>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E04E786" w14:textId="77777777" w:rsidR="00D4365D" w:rsidRDefault="00D4365D" w:rsidP="007D20D8">
            <w:pPr>
              <w:rPr>
                <w:bCs/>
                <w:szCs w:val="24"/>
                <w:lang w:eastAsia="lt-LT"/>
              </w:rPr>
            </w:pPr>
            <w:r>
              <w:rPr>
                <w:bCs/>
                <w:szCs w:val="24"/>
                <w:lang w:eastAsia="lt-LT"/>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2DEE9" w14:textId="77777777" w:rsidR="00D4365D" w:rsidRDefault="00D4365D" w:rsidP="007D20D8">
            <w:pPr>
              <w:rPr>
                <w:bCs/>
                <w:szCs w:val="24"/>
                <w:lang w:eastAsia="lt-LT"/>
              </w:rPr>
            </w:pPr>
            <w:r>
              <w:rPr>
                <w:bCs/>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039E8BAE" w14:textId="6D87F8FF" w:rsidR="00D4365D" w:rsidRDefault="00D4365D" w:rsidP="00442B1D">
            <w:pPr>
              <w:jc w:val="both"/>
              <w:rPr>
                <w:szCs w:val="24"/>
                <w:lang w:eastAsia="lt-LT"/>
              </w:rPr>
            </w:pPr>
            <w:r>
              <w:t>Netiesioginių projekto išlaidų suma pagal fiksuotąją normą apskaičiuojama vadovaujantis Projektų taisyklių 10</w:t>
            </w:r>
            <w:r w:rsidR="00442B1D">
              <w:t xml:space="preserve"> </w:t>
            </w:r>
            <w:r>
              <w:t>priedu</w:t>
            </w:r>
            <w:r>
              <w:rPr>
                <w:bCs/>
                <w:szCs w:val="24"/>
                <w:lang w:eastAsia="lt-LT"/>
              </w:rPr>
              <w:t>.“</w:t>
            </w:r>
          </w:p>
        </w:tc>
      </w:tr>
    </w:tbl>
    <w:p w14:paraId="5430F1CC" w14:textId="77777777" w:rsidR="00D4365D" w:rsidRPr="00DE2CCF" w:rsidRDefault="00D4365D" w:rsidP="007B5AEC">
      <w:pPr>
        <w:ind w:firstLine="709"/>
        <w:jc w:val="both"/>
        <w:rPr>
          <w:szCs w:val="24"/>
          <w:lang w:eastAsia="lt-LT"/>
        </w:rPr>
      </w:pPr>
    </w:p>
    <w:p w14:paraId="74B8F9D8" w14:textId="3E93CBCF" w:rsidR="007B5AEC" w:rsidRDefault="002B796A" w:rsidP="00C8771F">
      <w:pPr>
        <w:ind w:firstLine="709"/>
        <w:jc w:val="both"/>
        <w:rPr>
          <w:color w:val="000000"/>
          <w:szCs w:val="24"/>
        </w:rPr>
      </w:pPr>
      <w:r>
        <w:rPr>
          <w:color w:val="000000"/>
          <w:szCs w:val="24"/>
        </w:rPr>
        <w:t>2.</w:t>
      </w:r>
      <w:r w:rsidR="00D4365D">
        <w:rPr>
          <w:color w:val="000000"/>
          <w:szCs w:val="24"/>
        </w:rPr>
        <w:t>1</w:t>
      </w:r>
      <w:r>
        <w:rPr>
          <w:color w:val="000000"/>
          <w:szCs w:val="24"/>
        </w:rPr>
        <w:t>9</w:t>
      </w:r>
      <w:r w:rsidR="00D4365D">
        <w:rPr>
          <w:color w:val="000000"/>
          <w:szCs w:val="24"/>
        </w:rPr>
        <w:t>. Pakeičiu 38 punktą ir jį išdėstau taip:</w:t>
      </w:r>
    </w:p>
    <w:p w14:paraId="7755D265" w14:textId="09599656" w:rsidR="00D4365D" w:rsidRDefault="00D4365D" w:rsidP="00C8771F">
      <w:pPr>
        <w:ind w:firstLine="709"/>
        <w:jc w:val="both"/>
      </w:pPr>
      <w:r>
        <w:rPr>
          <w:color w:val="000000"/>
          <w:szCs w:val="24"/>
        </w:rPr>
        <w:t>„</w:t>
      </w:r>
      <w:r w:rsidRPr="00CA3744">
        <w:rPr>
          <w:rFonts w:eastAsia="Calibri"/>
          <w:szCs w:val="24"/>
        </w:rPr>
        <w:t>38. Projekto biudžetas sudaromas vadovaujantis Rekomendacijomis</w:t>
      </w:r>
      <w:r w:rsidR="00FE0A1D" w:rsidRPr="00FE0A1D">
        <w:rPr>
          <w:rFonts w:cs="Calibri"/>
          <w:szCs w:val="24"/>
        </w:rPr>
        <w:t xml:space="preserve"> dėl projektų išlaidų atitikties Europos Sąjungos struktūrinių fondų reikalavimams</w:t>
      </w:r>
      <w:r w:rsidRPr="00CA3744">
        <w:rPr>
          <w:rFonts w:eastAsia="Calibri"/>
          <w:szCs w:val="24"/>
        </w:rPr>
        <w:t xml:space="preserve">. </w:t>
      </w:r>
      <w:r w:rsidR="00FE0A1D" w:rsidRPr="00FE0A1D">
        <w:rPr>
          <w:rFonts w:cs="Arial"/>
          <w:szCs w:val="24"/>
          <w:lang w:eastAsia="lt-LT"/>
        </w:rPr>
        <w:t>Paraiškos formos projekto biudžeto lentelė pildoma vadovaujantis Projekto biudžeto formos pildym</w:t>
      </w:r>
      <w:r w:rsidR="00CD20B2">
        <w:rPr>
          <w:rFonts w:cs="Arial"/>
          <w:szCs w:val="24"/>
          <w:lang w:eastAsia="lt-LT"/>
        </w:rPr>
        <w:t>o instrukcija</w:t>
      </w:r>
      <w:r w:rsidR="00FE0A1D" w:rsidRPr="00FE0A1D">
        <w:rPr>
          <w:rFonts w:cs="Arial"/>
          <w:szCs w:val="24"/>
          <w:lang w:eastAsia="lt-LT"/>
        </w:rPr>
        <w:t>, pateikta Rekomendacijose dėl projektų išlaidų atitikties Europos Sąjungos struktūrinių fondų reikalavimams</w:t>
      </w:r>
      <w:r w:rsidR="00FE0A1D">
        <w:rPr>
          <w:rFonts w:cs="Arial"/>
          <w:szCs w:val="24"/>
          <w:lang w:eastAsia="lt-LT"/>
        </w:rPr>
        <w:t xml:space="preserve">. </w:t>
      </w:r>
      <w:r w:rsidRPr="00CA3744">
        <w:rPr>
          <w:rFonts w:eastAsia="Calibri"/>
          <w:szCs w:val="24"/>
        </w:rPr>
        <w:t>Išlaidos, apmokamos taikant Aprašo lentelės 5.1 papunktyje ir 7 punkte nustatytas fiksuotąsias normas bei 5.2 papunktyje nurodytus fiksuotuosius įkainius, turi atitikti Projektų taisyklių VI skyriaus trisdešimt penktajame skirsnyje nustatytus reikalavimus.</w:t>
      </w:r>
      <w:r>
        <w:rPr>
          <w:rFonts w:eastAsia="Calibri"/>
          <w:szCs w:val="24"/>
        </w:rPr>
        <w:t xml:space="preserve"> </w:t>
      </w:r>
      <w:r w:rsidR="00CD20B2">
        <w:rPr>
          <w:rFonts w:eastAsia="Calibri"/>
          <w:szCs w:val="24"/>
        </w:rPr>
        <w:t>Įgyvendinant p</w:t>
      </w:r>
      <w:r>
        <w:t>rojekt</w:t>
      </w:r>
      <w:r w:rsidR="00CD20B2">
        <w:t xml:space="preserve">ą </w:t>
      </w:r>
      <w:r>
        <w:t xml:space="preserve">vadovaujančiajai ar audito institucijoms nustačius, kad fiksuotasis įkainis </w:t>
      </w:r>
      <w:r w:rsidR="00E40101">
        <w:t>ir (arba)</w:t>
      </w:r>
      <w:r>
        <w:t xml:space="preserve"> fiksuotoji norma buvo netinkamai nustatyti, patikslintas dydis ar jo taikymo sąlygos taikomi projekto veiksmų, vykdomų nuo dydžio ar jo taikymo sąlygų patikslinimo įsigaliojimo dienos, išlaidoms apmokėti.“</w:t>
      </w:r>
    </w:p>
    <w:p w14:paraId="54C37E59" w14:textId="46FE8875" w:rsidR="00FD1F5F" w:rsidRDefault="002B796A" w:rsidP="00C8771F">
      <w:pPr>
        <w:ind w:firstLine="709"/>
        <w:jc w:val="both"/>
      </w:pPr>
      <w:r>
        <w:t>2.20</w:t>
      </w:r>
      <w:r w:rsidR="00FD1F5F">
        <w:t>. Pakeičiu 44 punktą ir jį išdėstau taip:</w:t>
      </w:r>
    </w:p>
    <w:p w14:paraId="2565BF4D" w14:textId="1E545213" w:rsidR="00FD1F5F" w:rsidRDefault="00FD1F5F" w:rsidP="00C8771F">
      <w:pPr>
        <w:ind w:firstLine="709"/>
        <w:jc w:val="both"/>
      </w:pPr>
      <w:r>
        <w:t xml:space="preserve">„44. </w:t>
      </w:r>
      <w:r w:rsidRPr="00FD1F5F">
        <w:t xml:space="preserve">Siekdamas gauti finansavimą pareiškėjas turi užpildyti paraišką, kurios iš dalies užpildyta forma PDF formatu skelbiama </w:t>
      </w:r>
      <w:r>
        <w:t>ES struktūrinių fondų svetainės</w:t>
      </w:r>
      <w:r w:rsidRPr="00FD1F5F">
        <w:t xml:space="preserve"> www.esinvesticijos.lt skiltyje „Finansavimas</w:t>
      </w:r>
      <w:r>
        <w:t>/Planuojami valstybės (regionų) projektai</w:t>
      </w:r>
      <w:r w:rsidRPr="00FD1F5F">
        <w:t xml:space="preserve">“ prie </w:t>
      </w:r>
      <w:r w:rsidR="00E64A50">
        <w:t>konkretaus planuojamo projekto</w:t>
      </w:r>
      <w:r w:rsidRPr="00FD1F5F">
        <w:t xml:space="preserve"> „Susijusių dokumentų“.</w:t>
      </w:r>
      <w:r w:rsidR="00E64A50">
        <w:t xml:space="preserve"> Paraiška ir jos priedai pildomi lietuvių kalba.“</w:t>
      </w:r>
    </w:p>
    <w:p w14:paraId="32756181" w14:textId="1AAAE438" w:rsidR="00D4365D" w:rsidRDefault="002B796A" w:rsidP="00C8771F">
      <w:pPr>
        <w:ind w:firstLine="709"/>
        <w:jc w:val="both"/>
      </w:pPr>
      <w:r>
        <w:t>2.21</w:t>
      </w:r>
      <w:r w:rsidR="00D4365D">
        <w:t>. Papildau 45</w:t>
      </w:r>
      <w:r w:rsidR="00D4365D">
        <w:rPr>
          <w:vertAlign w:val="superscript"/>
        </w:rPr>
        <w:t>3</w:t>
      </w:r>
      <w:r w:rsidR="00D4365D">
        <w:t xml:space="preserve"> punktu:</w:t>
      </w:r>
    </w:p>
    <w:p w14:paraId="5C2A7298" w14:textId="63650AD9" w:rsidR="00D4365D" w:rsidRDefault="00D4365D" w:rsidP="00D4365D">
      <w:pPr>
        <w:ind w:firstLine="709"/>
        <w:jc w:val="both"/>
      </w:pPr>
      <w:r>
        <w:t>„45</w:t>
      </w:r>
      <w:r w:rsidRPr="00AB3A3B">
        <w:rPr>
          <w:vertAlign w:val="superscript"/>
        </w:rPr>
        <w:t>3</w:t>
      </w:r>
      <w:r>
        <w:t xml:space="preserve">. </w:t>
      </w:r>
      <w:r w:rsidRPr="00665F58">
        <w:t xml:space="preserve">Jeigu vadovaujantis Aprašo </w:t>
      </w:r>
      <w:r w:rsidR="00656BD4">
        <w:t>45</w:t>
      </w:r>
      <w:r w:rsidRPr="00665F58">
        <w:t xml:space="preserve"> punktu paraiška teikiama raštu, ji gali būti teikiama vienu iš šių būdų:</w:t>
      </w:r>
    </w:p>
    <w:p w14:paraId="637B1E2A" w14:textId="77777777" w:rsidR="00D4365D" w:rsidRPr="00665F58" w:rsidRDefault="00D4365D" w:rsidP="00D4365D">
      <w:pPr>
        <w:ind w:firstLine="709"/>
        <w:jc w:val="both"/>
      </w:pPr>
      <w:r>
        <w:t>45</w:t>
      </w:r>
      <w:r>
        <w:rPr>
          <w:vertAlign w:val="superscript"/>
        </w:rPr>
        <w:t>3</w:t>
      </w:r>
      <w:r>
        <w:t xml:space="preserve">.1. </w:t>
      </w:r>
      <w:r w:rsidRPr="00665F58">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5410F26" w14:textId="77777777" w:rsidR="00D4365D" w:rsidRDefault="00D4365D" w:rsidP="00D4365D">
      <w:pPr>
        <w:ind w:firstLine="709"/>
        <w:jc w:val="both"/>
      </w:pPr>
      <w:r>
        <w:t>45</w:t>
      </w:r>
      <w:r>
        <w:rPr>
          <w:vertAlign w:val="superscript"/>
        </w:rPr>
        <w:t>3</w:t>
      </w:r>
      <w:r>
        <w:t xml:space="preserve">.2. </w:t>
      </w:r>
      <w:r w:rsidRPr="00665F58">
        <w:t xml:space="preserve">įgyvendinančiajai institucijai kvietime nurodytu elektroninio pašto adresu siunčiamas elektroninis dokumentas, pasirašytas </w:t>
      </w:r>
      <w:r>
        <w:t>kvalifikuotu</w:t>
      </w:r>
      <w:r w:rsidRPr="00665F58">
        <w:t xml:space="preserve"> elektroniniu parašu</w:t>
      </w:r>
      <w:r>
        <w:t>.“</w:t>
      </w:r>
    </w:p>
    <w:p w14:paraId="2BEEC8C6" w14:textId="2901E767" w:rsidR="00D4365D" w:rsidRDefault="002B796A" w:rsidP="00D4365D">
      <w:pPr>
        <w:ind w:firstLine="709"/>
        <w:jc w:val="both"/>
      </w:pPr>
      <w:r>
        <w:t>2.</w:t>
      </w:r>
      <w:r w:rsidR="00B7685A">
        <w:t>2</w:t>
      </w:r>
      <w:r>
        <w:t>2</w:t>
      </w:r>
      <w:r w:rsidR="00D4365D">
        <w:t xml:space="preserve">. </w:t>
      </w:r>
      <w:r w:rsidR="0077240F">
        <w:t>Pakeičiu 55 punktą ir jį išdėstau taip:</w:t>
      </w:r>
    </w:p>
    <w:p w14:paraId="02990E9A" w14:textId="77777777" w:rsidR="0077240F" w:rsidRDefault="0077240F" w:rsidP="00D4365D">
      <w:pPr>
        <w:ind w:firstLine="709"/>
        <w:jc w:val="both"/>
        <w:rPr>
          <w:szCs w:val="24"/>
          <w:lang w:eastAsia="lt-LT"/>
        </w:rPr>
      </w:pPr>
      <w:r>
        <w:t xml:space="preserve">„55. Įgyvendinančiajai institucijai baigus paraiškų vertinimą, </w:t>
      </w:r>
      <w:r>
        <w:rPr>
          <w:szCs w:val="24"/>
          <w:lang w:eastAsia="lt-LT"/>
        </w:rPr>
        <w:t>sprendimą dėl projekto finansavimo arba nefinansavimo priima Ministerija Projektų taisyklių III skyriaus septynioliktajame skirsnyje nustatyta tvarka.“</w:t>
      </w:r>
    </w:p>
    <w:p w14:paraId="44D1E60A" w14:textId="49171097" w:rsidR="0077240F" w:rsidRDefault="002B796A" w:rsidP="00D4365D">
      <w:pPr>
        <w:ind w:firstLine="709"/>
        <w:jc w:val="both"/>
        <w:rPr>
          <w:szCs w:val="24"/>
          <w:lang w:eastAsia="lt-LT"/>
        </w:rPr>
      </w:pPr>
      <w:r>
        <w:rPr>
          <w:szCs w:val="24"/>
          <w:lang w:eastAsia="lt-LT"/>
        </w:rPr>
        <w:t>2.</w:t>
      </w:r>
      <w:r w:rsidR="00B7685A">
        <w:rPr>
          <w:szCs w:val="24"/>
          <w:lang w:eastAsia="lt-LT"/>
        </w:rPr>
        <w:t>2</w:t>
      </w:r>
      <w:r>
        <w:rPr>
          <w:szCs w:val="24"/>
          <w:lang w:eastAsia="lt-LT"/>
        </w:rPr>
        <w:t>3</w:t>
      </w:r>
      <w:r w:rsidR="0077240F">
        <w:rPr>
          <w:szCs w:val="24"/>
          <w:lang w:eastAsia="lt-LT"/>
        </w:rPr>
        <w:t>. Pakeičiu 59 punktą ir jį išdėstau taip:</w:t>
      </w:r>
    </w:p>
    <w:p w14:paraId="4372DB09" w14:textId="77777777" w:rsidR="0077240F" w:rsidRDefault="0077240F" w:rsidP="0077240F">
      <w:pPr>
        <w:ind w:firstLine="709"/>
        <w:jc w:val="both"/>
        <w:rPr>
          <w:szCs w:val="24"/>
          <w:lang w:eastAsia="lt-LT"/>
        </w:rPr>
      </w:pPr>
      <w:r>
        <w:rPr>
          <w:szCs w:val="24"/>
          <w:lang w:eastAsia="lt-LT"/>
        </w:rPr>
        <w:t xml:space="preserve">„59. Projekto sutarties originalas gali būti rengiamas ir teikiamas: </w:t>
      </w:r>
    </w:p>
    <w:p w14:paraId="2849CB1A" w14:textId="6A0B9D58" w:rsidR="0077240F" w:rsidRDefault="0077240F" w:rsidP="0077240F">
      <w:pPr>
        <w:ind w:firstLine="709"/>
        <w:jc w:val="both"/>
        <w:rPr>
          <w:szCs w:val="24"/>
          <w:lang w:eastAsia="lt-LT"/>
        </w:rPr>
      </w:pPr>
      <w:r>
        <w:rPr>
          <w:szCs w:val="24"/>
          <w:lang w:eastAsia="lt-LT"/>
        </w:rPr>
        <w:t xml:space="preserve">59.1. pasirašytas </w:t>
      </w:r>
      <w:r w:rsidR="008239FB">
        <w:rPr>
          <w:szCs w:val="24"/>
          <w:lang w:eastAsia="lt-LT"/>
        </w:rPr>
        <w:t xml:space="preserve">raštu </w:t>
      </w:r>
      <w:r>
        <w:rPr>
          <w:szCs w:val="24"/>
          <w:lang w:eastAsia="lt-LT"/>
        </w:rPr>
        <w:t>popierin</w:t>
      </w:r>
      <w:r w:rsidR="008239FB">
        <w:rPr>
          <w:szCs w:val="24"/>
          <w:lang w:eastAsia="lt-LT"/>
        </w:rPr>
        <w:t>ėje laikmenoje</w:t>
      </w:r>
      <w:r>
        <w:rPr>
          <w:szCs w:val="24"/>
          <w:lang w:eastAsia="lt-LT"/>
        </w:rPr>
        <w:t xml:space="preserve"> arba</w:t>
      </w:r>
    </w:p>
    <w:p w14:paraId="32016E53" w14:textId="77777777" w:rsidR="0077240F" w:rsidRDefault="0077240F" w:rsidP="0077240F">
      <w:pPr>
        <w:ind w:firstLine="709"/>
        <w:jc w:val="both"/>
      </w:pPr>
      <w:r>
        <w:rPr>
          <w:szCs w:val="24"/>
          <w:lang w:eastAsia="lt-LT"/>
        </w:rPr>
        <w:t>59.2.</w:t>
      </w:r>
      <w:r w:rsidRPr="00660272">
        <w:t xml:space="preserve"> </w:t>
      </w:r>
      <w:r>
        <w:t>pasirašytas kvalifikuotu elektroniniu parašu (tik elektroninėje laikmenoje).“</w:t>
      </w:r>
    </w:p>
    <w:p w14:paraId="7BF243BC" w14:textId="14E45736" w:rsidR="0077240F" w:rsidRDefault="002B796A" w:rsidP="0077240F">
      <w:pPr>
        <w:ind w:firstLine="709"/>
        <w:jc w:val="both"/>
      </w:pPr>
      <w:r>
        <w:t>2.</w:t>
      </w:r>
      <w:r w:rsidR="00B7685A">
        <w:t>2</w:t>
      </w:r>
      <w:r>
        <w:t>4</w:t>
      </w:r>
      <w:r w:rsidR="0077240F">
        <w:t>. Pakeičiu 62 punktą ir jį išdėstau taip:</w:t>
      </w:r>
    </w:p>
    <w:p w14:paraId="181D7E7B" w14:textId="16F26ABE" w:rsidR="0077240F" w:rsidRDefault="0077240F" w:rsidP="0077240F">
      <w:pPr>
        <w:ind w:firstLine="709"/>
        <w:jc w:val="both"/>
      </w:pPr>
      <w:r>
        <w:lastRenderedPageBreak/>
        <w:t>„</w:t>
      </w:r>
      <w:r>
        <w:rPr>
          <w:szCs w:val="24"/>
          <w:lang w:eastAsia="lt-LT"/>
        </w:rPr>
        <w:t xml:space="preserve">62. </w:t>
      </w:r>
      <w:r w:rsidR="00480F2F" w:rsidRPr="00480F2F">
        <w:rPr>
          <w:rFonts w:cs="Arial"/>
          <w:szCs w:val="24"/>
          <w:lang w:eastAsia="lt-LT"/>
        </w:rPr>
        <w:t xml:space="preserve">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w:t>
      </w:r>
      <w:r w:rsidR="009F3042">
        <w:rPr>
          <w:rFonts w:cs="Arial"/>
          <w:szCs w:val="24"/>
          <w:lang w:eastAsia="lt-LT"/>
        </w:rPr>
        <w:t>ekonomikos ir inovacijų</w:t>
      </w:r>
      <w:r w:rsidR="009F3042" w:rsidRPr="00480F2F">
        <w:rPr>
          <w:rFonts w:cs="Arial"/>
          <w:szCs w:val="24"/>
          <w:lang w:eastAsia="lt-LT"/>
        </w:rPr>
        <w:t xml:space="preserve"> </w:t>
      </w:r>
      <w:r w:rsidR="00480F2F" w:rsidRPr="00480F2F">
        <w:rPr>
          <w:rFonts w:cs="Arial"/>
          <w:szCs w:val="24"/>
          <w:lang w:eastAsia="lt-LT"/>
        </w:rPr>
        <w:t>ministro įsakymu, o jo veiklos principai bus nustatyt</w:t>
      </w:r>
      <w:r w:rsidR="00480F2F">
        <w:rPr>
          <w:rFonts w:cs="Arial"/>
          <w:szCs w:val="24"/>
          <w:lang w:eastAsia="lt-LT"/>
        </w:rPr>
        <w:t>i šio komiteto darbo reglamente</w:t>
      </w:r>
      <w:r>
        <w:t>.“</w:t>
      </w:r>
    </w:p>
    <w:p w14:paraId="3E89FFD6" w14:textId="6CF5B05F" w:rsidR="0077240F" w:rsidRDefault="002B796A" w:rsidP="0077240F">
      <w:pPr>
        <w:ind w:firstLine="709"/>
        <w:jc w:val="both"/>
      </w:pPr>
      <w:r>
        <w:t>2.</w:t>
      </w:r>
      <w:r w:rsidR="0038164A">
        <w:t>2</w:t>
      </w:r>
      <w:r>
        <w:t>5</w:t>
      </w:r>
      <w:r w:rsidR="0077240F">
        <w:t xml:space="preserve">. </w:t>
      </w:r>
      <w:r w:rsidR="0038164A">
        <w:t>Pakeičiu 64 punktą ir jį išdėstau taip:</w:t>
      </w:r>
    </w:p>
    <w:p w14:paraId="4F2895B3" w14:textId="053FECE4" w:rsidR="0038164A" w:rsidRDefault="0038164A" w:rsidP="0077240F">
      <w:pPr>
        <w:ind w:firstLine="709"/>
        <w:jc w:val="both"/>
      </w:pPr>
      <w:r>
        <w:rPr>
          <w:szCs w:val="24"/>
          <w:lang w:eastAsia="lt-LT"/>
        </w:rPr>
        <w:t>„64.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finansavimo pabaigos</w:t>
      </w:r>
      <w:r w:rsidR="00A70905" w:rsidRPr="00A70905">
        <w:rPr>
          <w:rFonts w:eastAsia="Calibri"/>
          <w:color w:val="000000"/>
          <w:szCs w:val="24"/>
        </w:rPr>
        <w:t xml:space="preserve"> draudimo ir draudimo tarpininkavimo veiklą reguliuojančių </w:t>
      </w:r>
      <w:r>
        <w:rPr>
          <w:szCs w:val="24"/>
          <w:lang w:eastAsia="lt-LT"/>
        </w:rPr>
        <w:t>teisės aktų nustatyta tvarka.</w:t>
      </w:r>
      <w:r w:rsidRPr="00EF242E">
        <w:t xml:space="preserve"> </w:t>
      </w:r>
      <w:r>
        <w:t>Draudiminio įvykio atveju projekto vykdytojas turi atkurti prarastą turtą.“</w:t>
      </w:r>
    </w:p>
    <w:p w14:paraId="6303CF83" w14:textId="287C12F1" w:rsidR="00837637" w:rsidRDefault="002B796A" w:rsidP="0077240F">
      <w:pPr>
        <w:ind w:firstLine="709"/>
        <w:jc w:val="both"/>
      </w:pPr>
      <w:r>
        <w:t>2.</w:t>
      </w:r>
      <w:r w:rsidR="00837637">
        <w:t>2</w:t>
      </w:r>
      <w:r>
        <w:t>6</w:t>
      </w:r>
      <w:r w:rsidR="00837637">
        <w:t>. Pakeičiu 65 punktą ir jį išdėstau taip:</w:t>
      </w:r>
    </w:p>
    <w:p w14:paraId="243CCC7A" w14:textId="12BBC569" w:rsidR="00837637" w:rsidRDefault="00837637" w:rsidP="0077240F">
      <w:pPr>
        <w:ind w:firstLine="709"/>
        <w:jc w:val="both"/>
        <w:rPr>
          <w:szCs w:val="24"/>
          <w:lang w:eastAsia="lt-LT"/>
        </w:rPr>
      </w:pPr>
      <w:r>
        <w:t>„</w:t>
      </w:r>
      <w:r>
        <w:rPr>
          <w:szCs w:val="24"/>
          <w:lang w:eastAsia="lt-LT"/>
        </w:rPr>
        <w:t xml:space="preserve">65. Jei projekto veikla nepradėta </w:t>
      </w:r>
      <w:r w:rsidRPr="00EF242E">
        <w:rPr>
          <w:szCs w:val="24"/>
          <w:lang w:eastAsia="lt-LT"/>
        </w:rPr>
        <w:t xml:space="preserve">įgyvendinti per </w:t>
      </w:r>
      <w:r>
        <w:rPr>
          <w:szCs w:val="24"/>
          <w:lang w:eastAsia="lt-LT"/>
        </w:rPr>
        <w:t xml:space="preserve">3 </w:t>
      </w:r>
      <w:r w:rsidRPr="00EF242E">
        <w:rPr>
          <w:szCs w:val="24"/>
          <w:lang w:eastAsia="lt-LT"/>
        </w:rPr>
        <w:t>mėnesius</w:t>
      </w:r>
      <w:r>
        <w:rPr>
          <w:szCs w:val="24"/>
          <w:lang w:eastAsia="lt-LT"/>
        </w:rPr>
        <w:t xml:space="preserve"> nuo projekto sutarties pasirašymo dienos, įgyvendinančioji institucija, suderinusi su Ministerija, turi teisę vienašališkai nutraukti projekto sutartį</w:t>
      </w:r>
      <w:r w:rsidR="009C26C5">
        <w:rPr>
          <w:szCs w:val="24"/>
          <w:lang w:eastAsia="lt-LT"/>
        </w:rPr>
        <w:t xml:space="preserve">. </w:t>
      </w:r>
      <w:r w:rsidR="009C26C5" w:rsidRPr="009C26C5">
        <w:rPr>
          <w:szCs w:val="24"/>
        </w:rPr>
        <w:t>Jeigu įgyvendinančioji institucija nenutraukia projekto sutarties, ji nustato pareiškėjui ne ilgesnį kaip 2 mėnesių terminą pateikti informaciją dėl projekto</w:t>
      </w:r>
      <w:r w:rsidR="009C26C5">
        <w:rPr>
          <w:szCs w:val="24"/>
        </w:rPr>
        <w:t xml:space="preserve"> veiklos</w:t>
      </w:r>
      <w:r w:rsidR="009C26C5" w:rsidRPr="009C26C5">
        <w:rPr>
          <w:szCs w:val="24"/>
        </w:rPr>
        <w:t xml:space="preserve"> įgyvendinimo pradžios nukėlimo ir, įvertinusi priežastis, priima galutinį sprendimą dėl projekto sutarties pratęsimo (nepratęsimo)</w:t>
      </w:r>
      <w:r>
        <w:rPr>
          <w:szCs w:val="24"/>
          <w:lang w:eastAsia="lt-LT"/>
        </w:rPr>
        <w:t>.“</w:t>
      </w:r>
    </w:p>
    <w:p w14:paraId="1DAEF27A" w14:textId="3AEF66B7" w:rsidR="00311CAF" w:rsidRDefault="002B796A" w:rsidP="00F92B19">
      <w:pPr>
        <w:ind w:firstLine="709"/>
        <w:jc w:val="both"/>
        <w:rPr>
          <w:szCs w:val="24"/>
          <w:lang w:eastAsia="lt-LT"/>
        </w:rPr>
      </w:pPr>
      <w:r>
        <w:rPr>
          <w:szCs w:val="24"/>
          <w:lang w:eastAsia="lt-LT"/>
        </w:rPr>
        <w:t>2.</w:t>
      </w:r>
      <w:r w:rsidR="00837637">
        <w:rPr>
          <w:szCs w:val="24"/>
          <w:lang w:eastAsia="lt-LT"/>
        </w:rPr>
        <w:t>2</w:t>
      </w:r>
      <w:r>
        <w:rPr>
          <w:szCs w:val="24"/>
          <w:lang w:eastAsia="lt-LT"/>
        </w:rPr>
        <w:t>7</w:t>
      </w:r>
      <w:r w:rsidR="00837637">
        <w:rPr>
          <w:szCs w:val="24"/>
          <w:lang w:eastAsia="lt-LT"/>
        </w:rPr>
        <w:t xml:space="preserve">. </w:t>
      </w:r>
      <w:r w:rsidR="00BB165B">
        <w:rPr>
          <w:szCs w:val="24"/>
          <w:lang w:eastAsia="lt-LT"/>
        </w:rPr>
        <w:t xml:space="preserve">Pakeičiu 1 priedo 1 </w:t>
      </w:r>
      <w:r w:rsidR="00CC59AF">
        <w:rPr>
          <w:szCs w:val="24"/>
          <w:lang w:eastAsia="lt-LT"/>
        </w:rPr>
        <w:t>punktą</w:t>
      </w:r>
      <w:r w:rsidR="00BB165B">
        <w:rPr>
          <w:szCs w:val="24"/>
          <w:lang w:eastAsia="lt-LT"/>
        </w:rPr>
        <w:t xml:space="preserve">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410"/>
        <w:gridCol w:w="2126"/>
        <w:gridCol w:w="1701"/>
      </w:tblGrid>
      <w:tr w:rsidR="00311CAF" w14:paraId="1C8BD58D" w14:textId="77777777" w:rsidTr="00BC0377">
        <w:trPr>
          <w:trHeight w:val="21"/>
        </w:trPr>
        <w:tc>
          <w:tcPr>
            <w:tcW w:w="95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841BA10" w14:textId="7454914F" w:rsidR="00311CAF" w:rsidRDefault="00F92B19" w:rsidP="00381CD1">
            <w:pPr>
              <w:jc w:val="both"/>
              <w:rPr>
                <w:b/>
                <w:szCs w:val="24"/>
                <w:lang w:eastAsia="lt-LT"/>
              </w:rPr>
            </w:pPr>
            <w:r w:rsidRPr="00BC0377">
              <w:rPr>
                <w:bCs/>
                <w:szCs w:val="24"/>
                <w:lang w:eastAsia="lt-LT"/>
              </w:rPr>
              <w:t>„</w:t>
            </w:r>
            <w:r w:rsidR="00311CAF">
              <w:rPr>
                <w:b/>
                <w:bCs/>
                <w:szCs w:val="24"/>
                <w:lang w:eastAsia="lt-LT"/>
              </w:rPr>
              <w:t>1. P</w:t>
            </w:r>
            <w:r w:rsidR="00311CAF">
              <w:rPr>
                <w:b/>
                <w:szCs w:val="24"/>
                <w:lang w:eastAsia="lt-LT"/>
              </w:rPr>
              <w:t>lanuojamu</w:t>
            </w:r>
            <w:r w:rsidR="00311CAF">
              <w:rPr>
                <w:b/>
                <w:bCs/>
                <w:szCs w:val="24"/>
                <w:lang w:eastAsia="lt-LT"/>
              </w:rPr>
              <w:t xml:space="preserve"> </w:t>
            </w:r>
            <w:r w:rsidR="00311CAF">
              <w:rPr>
                <w:b/>
                <w:szCs w:val="24"/>
                <w:lang w:eastAsia="lt-LT"/>
              </w:rPr>
              <w:t xml:space="preserve">finansuoti projektu </w:t>
            </w:r>
            <w:r w:rsidR="00311CAF">
              <w:rPr>
                <w:b/>
                <w:bCs/>
                <w:szCs w:val="24"/>
                <w:lang w:eastAsia="lt-LT"/>
              </w:rPr>
              <w:t>prisidedama prie bent vieno 2014–2020 metų Europos Sąjungos fondų investicijų veiksmų programos (toliau – veiksmų programa)</w:t>
            </w:r>
            <w:r w:rsidR="00311CAF">
              <w:rPr>
                <w:b/>
                <w:szCs w:val="24"/>
                <w:lang w:eastAsia="lt-LT"/>
              </w:rPr>
              <w:t xml:space="preserve"> </w:t>
            </w:r>
            <w:r w:rsidR="00311CAF">
              <w:rPr>
                <w:b/>
                <w:bCs/>
                <w:szCs w:val="24"/>
                <w:lang w:eastAsia="lt-LT"/>
              </w:rPr>
              <w:t>prioriteto konkretaus uždavinio įgyvendinimo, rezultato pasiekimo ir įgyvendinama bent viena pagal projektų finansavimo sąlygų aprašą numatoma finansuoti veikla.</w:t>
            </w:r>
          </w:p>
        </w:tc>
      </w:tr>
      <w:tr w:rsidR="00F92B19" w14:paraId="60923B4F" w14:textId="77777777" w:rsidTr="00BC0377">
        <w:trPr>
          <w:trHeight w:val="20"/>
        </w:trPr>
        <w:tc>
          <w:tcPr>
            <w:tcW w:w="3289" w:type="dxa"/>
            <w:tcBorders>
              <w:top w:val="single" w:sz="4" w:space="0" w:color="auto"/>
              <w:left w:val="single" w:sz="4" w:space="0" w:color="auto"/>
              <w:bottom w:val="single" w:sz="4" w:space="0" w:color="auto"/>
              <w:right w:val="single" w:sz="4" w:space="0" w:color="auto"/>
            </w:tcBorders>
            <w:hideMark/>
          </w:tcPr>
          <w:p w14:paraId="3B8C3E9E" w14:textId="77777777" w:rsidR="00311CAF" w:rsidRDefault="00311CAF" w:rsidP="00381CD1">
            <w:pPr>
              <w:jc w:val="both"/>
              <w:rPr>
                <w:szCs w:val="24"/>
                <w:lang w:eastAsia="lt-LT"/>
              </w:rPr>
            </w:pPr>
            <w:r>
              <w:rPr>
                <w:szCs w:val="24"/>
                <w:lang w:eastAsia="lt-LT"/>
              </w:rPr>
              <w:t>1.1. Projekto tikslai ir uždaviniai atitinka bent vieną veiksmų programos prioriteto konkretų uždavinį ir siekiamą rezultatą.</w:t>
            </w:r>
          </w:p>
          <w:p w14:paraId="0E4AF650" w14:textId="77777777" w:rsidR="00311CAF" w:rsidRDefault="00311CAF" w:rsidP="00381CD1">
            <w:pPr>
              <w:rPr>
                <w:szCs w:val="24"/>
                <w:lang w:eastAsia="lt-LT"/>
              </w:rPr>
            </w:pPr>
          </w:p>
          <w:p w14:paraId="6CD81667" w14:textId="77777777" w:rsidR="00311CAF" w:rsidRDefault="00311CAF" w:rsidP="00381CD1">
            <w:pPr>
              <w:rPr>
                <w:szCs w:val="24"/>
                <w:lang w:eastAsia="lt-LT"/>
              </w:rPr>
            </w:pPr>
          </w:p>
        </w:tc>
        <w:tc>
          <w:tcPr>
            <w:tcW w:w="2410" w:type="dxa"/>
            <w:tcBorders>
              <w:top w:val="single" w:sz="4" w:space="0" w:color="auto"/>
              <w:left w:val="single" w:sz="4" w:space="0" w:color="auto"/>
              <w:bottom w:val="single" w:sz="4" w:space="0" w:color="auto"/>
              <w:right w:val="single" w:sz="4" w:space="0" w:color="auto"/>
            </w:tcBorders>
            <w:hideMark/>
          </w:tcPr>
          <w:p w14:paraId="0A1A76E9" w14:textId="405A1318" w:rsidR="00F92B19" w:rsidRDefault="00F92B19" w:rsidP="00F92B19">
            <w:pPr>
              <w:jc w:val="both"/>
              <w:rPr>
                <w:szCs w:val="24"/>
                <w:lang w:eastAsia="lt-LT"/>
              </w:rPr>
            </w:pPr>
            <w:r>
              <w:rPr>
                <w:szCs w:val="24"/>
                <w:lang w:eastAsia="lt-LT"/>
              </w:rPr>
              <w:t xml:space="preserve">Projekto tikslai ir uždaviniai turi atitikti veiksmų programos </w:t>
            </w:r>
            <w:r w:rsidR="00CD20B2">
              <w:rPr>
                <w:szCs w:val="24"/>
                <w:lang w:eastAsia="lt-LT"/>
              </w:rPr>
              <w:br/>
            </w:r>
            <w:r>
              <w:rPr>
                <w:rFonts w:eastAsia="Calibri"/>
                <w:szCs w:val="24"/>
              </w:rPr>
              <w:t xml:space="preserve">1 prioriteto </w:t>
            </w:r>
            <w:r>
              <w:rPr>
                <w:szCs w:val="24"/>
                <w:lang w:eastAsia="lt-LT"/>
              </w:rPr>
              <w:t xml:space="preserve">„Mokslinių tyrimų, eksperimentinės plėtros ir inovacijų skatinimas“ </w:t>
            </w:r>
            <w:r w:rsidR="00CD20B2">
              <w:rPr>
                <w:szCs w:val="24"/>
                <w:lang w:eastAsia="lt-LT"/>
              </w:rPr>
              <w:br/>
            </w:r>
            <w:r>
              <w:rPr>
                <w:szCs w:val="24"/>
                <w:lang w:eastAsia="lt-LT"/>
              </w:rPr>
              <w:t xml:space="preserve">1.2.1 konkretų uždavinį „Padidinti mokslinių tyrimų, eksperimentinės plėtros ir inovacijų veiklų aktyvumą privačiame sektoriuje“ ir siekiamą rezultatą. </w:t>
            </w:r>
          </w:p>
          <w:p w14:paraId="781E862D" w14:textId="77777777" w:rsidR="00807895" w:rsidRDefault="00807895" w:rsidP="00F92B19">
            <w:pPr>
              <w:jc w:val="both"/>
              <w:rPr>
                <w:szCs w:val="24"/>
                <w:lang w:eastAsia="lt-LT"/>
              </w:rPr>
            </w:pPr>
          </w:p>
          <w:p w14:paraId="0FCF1976" w14:textId="623DCE41" w:rsidR="00311CAF" w:rsidRDefault="00F92B19" w:rsidP="00F92B19">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r>
              <w:rPr>
                <w:szCs w:val="24"/>
                <w:lang w:eastAsia="lt-LT"/>
              </w:rPr>
              <w:t>.</w:t>
            </w:r>
          </w:p>
        </w:tc>
        <w:tc>
          <w:tcPr>
            <w:tcW w:w="2126" w:type="dxa"/>
            <w:tcBorders>
              <w:top w:val="single" w:sz="4" w:space="0" w:color="auto"/>
              <w:left w:val="single" w:sz="4" w:space="0" w:color="auto"/>
              <w:bottom w:val="single" w:sz="4" w:space="0" w:color="auto"/>
              <w:right w:val="single" w:sz="4" w:space="0" w:color="auto"/>
            </w:tcBorders>
          </w:tcPr>
          <w:p w14:paraId="17107300" w14:textId="1B32CB55" w:rsidR="00311CAF" w:rsidRDefault="00F92B19" w:rsidP="00381CD1">
            <w:pPr>
              <w:rPr>
                <w:szCs w:val="24"/>
                <w:lang w:eastAsia="lt-LT"/>
              </w:rPr>
            </w:pPr>
            <w:r>
              <w:rPr>
                <w:i/>
                <w:szCs w:val="24"/>
                <w:lang w:eastAsia="lt-LT"/>
              </w:rPr>
              <w:t xml:space="preserve">(Viešoji įstaiga Lietuvos verslo paramos agentūra (toliau – </w:t>
            </w:r>
            <w:r w:rsidR="005520F8">
              <w:rPr>
                <w:i/>
                <w:szCs w:val="24"/>
                <w:lang w:eastAsia="lt-LT"/>
              </w:rPr>
              <w:t>į</w:t>
            </w:r>
            <w:r>
              <w:rPr>
                <w:i/>
                <w:szCs w:val="24"/>
                <w:lang w:eastAsia="lt-LT"/>
              </w:rPr>
              <w:t xml:space="preserve">gyvendinančioji institucija), pildydama tinkamumo finansuoti vertinimo lentelę,  perkelia Lietuvos Respublikos ūkio ministerijos atlikto projektinio pasiūlymo vertinimo išvadą ir skiltyje „Komentarai“ nurodo </w:t>
            </w:r>
            <w:r w:rsidR="00B90557">
              <w:rPr>
                <w:i/>
                <w:szCs w:val="24"/>
                <w:lang w:eastAsia="lt-LT"/>
              </w:rPr>
              <w:t>šios išvados pavadinimą ir datą</w:t>
            </w:r>
            <w:r>
              <w:rPr>
                <w:i/>
                <w:szCs w:val="24"/>
                <w:lang w:eastAsia="lt-LT"/>
              </w:rPr>
              <w:t>)</w:t>
            </w:r>
            <w:r>
              <w:rPr>
                <w:szCs w:val="24"/>
                <w:lang w:eastAsia="lt-LT"/>
              </w:rPr>
              <w:t>“</w:t>
            </w:r>
          </w:p>
        </w:tc>
        <w:tc>
          <w:tcPr>
            <w:tcW w:w="1701" w:type="dxa"/>
            <w:tcBorders>
              <w:top w:val="single" w:sz="4" w:space="0" w:color="auto"/>
              <w:left w:val="single" w:sz="4" w:space="0" w:color="auto"/>
              <w:bottom w:val="single" w:sz="4" w:space="0" w:color="auto"/>
              <w:right w:val="single" w:sz="4" w:space="0" w:color="auto"/>
            </w:tcBorders>
          </w:tcPr>
          <w:p w14:paraId="6D188424" w14:textId="77777777" w:rsidR="00311CAF" w:rsidRDefault="00311CAF" w:rsidP="00381CD1">
            <w:pPr>
              <w:rPr>
                <w:szCs w:val="24"/>
                <w:lang w:eastAsia="lt-LT"/>
              </w:rPr>
            </w:pPr>
          </w:p>
        </w:tc>
      </w:tr>
      <w:tr w:rsidR="00F92B19" w14:paraId="6802575F" w14:textId="77777777" w:rsidTr="00BC0377">
        <w:trPr>
          <w:trHeight w:val="1475"/>
        </w:trPr>
        <w:tc>
          <w:tcPr>
            <w:tcW w:w="3289" w:type="dxa"/>
            <w:tcBorders>
              <w:top w:val="single" w:sz="4" w:space="0" w:color="auto"/>
              <w:left w:val="single" w:sz="4" w:space="0" w:color="000000"/>
              <w:right w:val="single" w:sz="4" w:space="0" w:color="000000"/>
            </w:tcBorders>
          </w:tcPr>
          <w:p w14:paraId="64FA24A2" w14:textId="77777777" w:rsidR="00311CAF" w:rsidRDefault="00311CAF" w:rsidP="00381CD1">
            <w:pPr>
              <w:jc w:val="both"/>
              <w:rPr>
                <w:szCs w:val="24"/>
                <w:lang w:eastAsia="lt-LT"/>
              </w:rPr>
            </w:pPr>
            <w:r>
              <w:rPr>
                <w:szCs w:val="24"/>
                <w:lang w:eastAsia="lt-LT"/>
              </w:rPr>
              <w:lastRenderedPageBreak/>
              <w:t>1.2. Projekto tikslai, uždaviniai ir veiklos atitinka bent vieną iš projektų finansavimo sąlygų apraše nurodytų veiklų.</w:t>
            </w:r>
          </w:p>
          <w:p w14:paraId="6B5C3A02" w14:textId="77777777" w:rsidR="00311CAF" w:rsidRDefault="00311CAF" w:rsidP="00381CD1">
            <w:pPr>
              <w:rPr>
                <w:szCs w:val="24"/>
                <w:lang w:eastAsia="lt-LT"/>
              </w:rPr>
            </w:pPr>
          </w:p>
          <w:p w14:paraId="4C2A52CA" w14:textId="77777777" w:rsidR="00311CAF" w:rsidRDefault="00311CAF" w:rsidP="00381CD1">
            <w:pPr>
              <w:rPr>
                <w:rFonts w:eastAsia="Calibri"/>
                <w:szCs w:val="24"/>
              </w:rPr>
            </w:pPr>
          </w:p>
        </w:tc>
        <w:tc>
          <w:tcPr>
            <w:tcW w:w="2410" w:type="dxa"/>
            <w:tcBorders>
              <w:top w:val="single" w:sz="4" w:space="0" w:color="auto"/>
              <w:left w:val="single" w:sz="4" w:space="0" w:color="000000"/>
              <w:right w:val="single" w:sz="4" w:space="0" w:color="000000"/>
            </w:tcBorders>
          </w:tcPr>
          <w:p w14:paraId="0EB6F729" w14:textId="2C9A310D" w:rsidR="00311CAF" w:rsidRDefault="00311CAF" w:rsidP="00381CD1">
            <w:pPr>
              <w:jc w:val="both"/>
              <w:rPr>
                <w:szCs w:val="24"/>
                <w:lang w:eastAsia="lt-LT"/>
              </w:rPr>
            </w:pPr>
            <w:r>
              <w:rPr>
                <w:rFonts w:eastAsia="Calibri"/>
                <w:szCs w:val="24"/>
              </w:rPr>
              <w:t xml:space="preserve">Projekto tikslai, uždaviniai ir veiklos turi atitikti </w:t>
            </w:r>
            <w:r w:rsidR="00750995" w:rsidRPr="002D2728">
              <w:rPr>
                <w:szCs w:val="24"/>
              </w:rPr>
              <w:t>2014–</w:t>
            </w:r>
            <w:r w:rsidR="00C1178B">
              <w:rPr>
                <w:szCs w:val="24"/>
              </w:rPr>
              <w:br/>
            </w:r>
            <w:r w:rsidR="00750995" w:rsidRPr="002D2728">
              <w:rPr>
                <w:szCs w:val="24"/>
              </w:rPr>
              <w:t>2020 metų Europos Sąjungos fondų</w:t>
            </w:r>
            <w:r w:rsidR="00750995">
              <w:rPr>
                <w:szCs w:val="24"/>
              </w:rPr>
              <w:t xml:space="preserve"> investicijų veiksmų programos 1</w:t>
            </w:r>
            <w:r w:rsidR="00750995" w:rsidRPr="002D2728">
              <w:rPr>
                <w:szCs w:val="24"/>
              </w:rPr>
              <w:t> prioriteto „</w:t>
            </w:r>
            <w:r w:rsidR="00750995" w:rsidRPr="001A0FD0">
              <w:rPr>
                <w:szCs w:val="24"/>
              </w:rPr>
              <w:t>Mokslinių tyrimų, eksperimentinės plėtros ir inovacijų skatinimas“ priemonės N</w:t>
            </w:r>
            <w:r w:rsidR="00750995">
              <w:rPr>
                <w:szCs w:val="24"/>
              </w:rPr>
              <w:t>r. 01.2.1-LVPA-V-822 „SmartInvest LT</w:t>
            </w:r>
            <w:r w:rsidR="00750995" w:rsidRPr="007D250B">
              <w:rPr>
                <w:szCs w:val="24"/>
              </w:rPr>
              <w:t>“</w:t>
            </w:r>
            <w:r w:rsidR="00750995" w:rsidRPr="002D2728">
              <w:rPr>
                <w:szCs w:val="24"/>
              </w:rPr>
              <w:t xml:space="preserve"> projektų</w:t>
            </w:r>
            <w:r w:rsidR="00750995">
              <w:rPr>
                <w:szCs w:val="24"/>
              </w:rPr>
              <w:t xml:space="preserve"> finansavimo sąlygų aprašo Nr. 1</w:t>
            </w:r>
            <w:r w:rsidR="00750995">
              <w:rPr>
                <w:rFonts w:eastAsia="Calibri"/>
                <w:szCs w:val="24"/>
              </w:rPr>
              <w:t xml:space="preserve"> </w:t>
            </w:r>
            <w:r>
              <w:rPr>
                <w:rFonts w:eastAsia="Calibri"/>
                <w:szCs w:val="24"/>
              </w:rPr>
              <w:t xml:space="preserve">(toliau – Aprašas) </w:t>
            </w:r>
            <w:r w:rsidR="00C1178B">
              <w:rPr>
                <w:rFonts w:eastAsia="Calibri"/>
                <w:szCs w:val="24"/>
              </w:rPr>
              <w:br/>
            </w:r>
            <w:r>
              <w:rPr>
                <w:rFonts w:eastAsia="Calibri"/>
                <w:szCs w:val="24"/>
              </w:rPr>
              <w:t>10</w:t>
            </w:r>
            <w:r w:rsidR="00750995">
              <w:rPr>
                <w:rFonts w:eastAsia="Calibri"/>
                <w:szCs w:val="24"/>
              </w:rPr>
              <w:t xml:space="preserve"> punkte </w:t>
            </w:r>
            <w:r>
              <w:rPr>
                <w:szCs w:val="24"/>
                <w:lang w:eastAsia="lt-LT"/>
              </w:rPr>
              <w:t xml:space="preserve">nurodytą veiklą. </w:t>
            </w:r>
          </w:p>
          <w:p w14:paraId="1C34A954" w14:textId="77777777" w:rsidR="00311CAF" w:rsidRDefault="00311CAF" w:rsidP="00381CD1">
            <w:pPr>
              <w:jc w:val="both"/>
              <w:rPr>
                <w:szCs w:val="24"/>
                <w:lang w:eastAsia="lt-LT"/>
              </w:rPr>
            </w:pPr>
          </w:p>
          <w:p w14:paraId="2B50AF4B" w14:textId="77777777" w:rsidR="00311CAF" w:rsidRDefault="00311CAF" w:rsidP="00381CD1">
            <w:pPr>
              <w:jc w:val="both"/>
              <w:rPr>
                <w:szCs w:val="24"/>
                <w:lang w:eastAsia="lt-LT"/>
              </w:rPr>
            </w:pPr>
            <w:r>
              <w:rPr>
                <w:szCs w:val="24"/>
                <w:lang w:eastAsia="lt-LT"/>
              </w:rPr>
              <w:t>Informacijos šaltinis – paraiška.</w:t>
            </w:r>
          </w:p>
        </w:tc>
        <w:tc>
          <w:tcPr>
            <w:tcW w:w="2126" w:type="dxa"/>
            <w:tcBorders>
              <w:top w:val="single" w:sz="4" w:space="0" w:color="auto"/>
              <w:left w:val="single" w:sz="4" w:space="0" w:color="000000"/>
              <w:right w:val="single" w:sz="4" w:space="0" w:color="000000"/>
            </w:tcBorders>
          </w:tcPr>
          <w:p w14:paraId="5161976D" w14:textId="77777777" w:rsidR="00311CAF" w:rsidRDefault="00311CAF" w:rsidP="00381CD1">
            <w:pPr>
              <w:jc w:val="center"/>
              <w:rPr>
                <w:szCs w:val="24"/>
                <w:lang w:eastAsia="lt-LT"/>
              </w:rPr>
            </w:pPr>
          </w:p>
        </w:tc>
        <w:tc>
          <w:tcPr>
            <w:tcW w:w="1701" w:type="dxa"/>
            <w:tcBorders>
              <w:top w:val="single" w:sz="4" w:space="0" w:color="auto"/>
              <w:left w:val="single" w:sz="4" w:space="0" w:color="000000"/>
              <w:right w:val="single" w:sz="4" w:space="0" w:color="000000"/>
            </w:tcBorders>
          </w:tcPr>
          <w:p w14:paraId="27FB1FDE" w14:textId="77777777" w:rsidR="00311CAF" w:rsidRDefault="00311CAF" w:rsidP="00381CD1">
            <w:pPr>
              <w:rPr>
                <w:szCs w:val="24"/>
                <w:lang w:eastAsia="lt-LT"/>
              </w:rPr>
            </w:pPr>
          </w:p>
        </w:tc>
      </w:tr>
      <w:tr w:rsidR="00F92B19" w14:paraId="4C738F0A" w14:textId="77777777" w:rsidTr="00BC0377">
        <w:trPr>
          <w:trHeight w:val="192"/>
        </w:trPr>
        <w:tc>
          <w:tcPr>
            <w:tcW w:w="3289" w:type="dxa"/>
            <w:tcBorders>
              <w:top w:val="single" w:sz="4" w:space="0" w:color="auto"/>
              <w:left w:val="single" w:sz="4" w:space="0" w:color="000000"/>
              <w:right w:val="single" w:sz="4" w:space="0" w:color="000000"/>
            </w:tcBorders>
          </w:tcPr>
          <w:p w14:paraId="3CDEBB8B" w14:textId="77777777" w:rsidR="00311CAF" w:rsidRDefault="00311CAF" w:rsidP="00381CD1">
            <w:pPr>
              <w:jc w:val="both"/>
              <w:rPr>
                <w:szCs w:val="24"/>
                <w:lang w:eastAsia="lt-LT"/>
              </w:rPr>
            </w:pPr>
            <w:r>
              <w:rPr>
                <w:szCs w:val="24"/>
                <w:lang w:eastAsia="lt-LT"/>
              </w:rPr>
              <w:t>1.3. Projektas atitinka kitus su projekto veiklomis susijusius projektų finansavimo sąlygų apraše nustatytus reikalavimus.</w:t>
            </w:r>
          </w:p>
        </w:tc>
        <w:tc>
          <w:tcPr>
            <w:tcW w:w="2410" w:type="dxa"/>
            <w:tcBorders>
              <w:top w:val="single" w:sz="4" w:space="0" w:color="auto"/>
              <w:left w:val="single" w:sz="4" w:space="0" w:color="000000"/>
              <w:right w:val="single" w:sz="4" w:space="0" w:color="000000"/>
            </w:tcBorders>
          </w:tcPr>
          <w:p w14:paraId="47CD89C7" w14:textId="4B2F0124" w:rsidR="00311CAF" w:rsidRDefault="00311CAF" w:rsidP="00381CD1">
            <w:pPr>
              <w:jc w:val="both"/>
              <w:rPr>
                <w:szCs w:val="24"/>
                <w:lang w:eastAsia="lt-LT"/>
              </w:rPr>
            </w:pPr>
            <w:r>
              <w:rPr>
                <w:rFonts w:eastAsia="Calibri"/>
                <w:szCs w:val="22"/>
              </w:rPr>
              <w:t xml:space="preserve">Projektas turi atitikti Aprašo </w:t>
            </w:r>
            <w:r w:rsidR="00C1178B">
              <w:rPr>
                <w:rFonts w:eastAsia="Calibri"/>
                <w:szCs w:val="22"/>
              </w:rPr>
              <w:br/>
            </w:r>
            <w:r w:rsidR="00750995">
              <w:rPr>
                <w:rFonts w:eastAsia="Calibri"/>
                <w:szCs w:val="22"/>
              </w:rPr>
              <w:t xml:space="preserve">14.2 papunktyje, 16, 17 ir 18 punktuose </w:t>
            </w:r>
            <w:r w:rsidR="00004623">
              <w:rPr>
                <w:rFonts w:eastAsia="Calibri"/>
                <w:szCs w:val="22"/>
              </w:rPr>
              <w:t xml:space="preserve">nustatytus </w:t>
            </w:r>
            <w:r>
              <w:rPr>
                <w:rFonts w:eastAsia="Calibri"/>
                <w:szCs w:val="22"/>
              </w:rPr>
              <w:t>reikalavimus</w:t>
            </w:r>
            <w:r>
              <w:rPr>
                <w:szCs w:val="24"/>
                <w:lang w:eastAsia="lt-LT"/>
              </w:rPr>
              <w:t>.</w:t>
            </w:r>
          </w:p>
          <w:p w14:paraId="332B7FAB" w14:textId="77777777" w:rsidR="00311CAF" w:rsidRDefault="00311CAF" w:rsidP="00381CD1">
            <w:pPr>
              <w:jc w:val="both"/>
              <w:rPr>
                <w:szCs w:val="24"/>
                <w:lang w:eastAsia="lt-LT"/>
              </w:rPr>
            </w:pPr>
          </w:p>
          <w:p w14:paraId="26CD9DF0" w14:textId="16F713B2" w:rsidR="00311CAF" w:rsidRDefault="00311CAF" w:rsidP="00B90557">
            <w:pPr>
              <w:jc w:val="both"/>
              <w:rPr>
                <w:szCs w:val="24"/>
                <w:lang w:eastAsia="lt-LT"/>
              </w:rPr>
            </w:pPr>
            <w:r>
              <w:rPr>
                <w:szCs w:val="24"/>
                <w:lang w:eastAsia="lt-LT"/>
              </w:rPr>
              <w:t xml:space="preserve">Informacijos šaltiniai: paraiška, Aprašo </w:t>
            </w:r>
            <w:r w:rsidR="00C1178B">
              <w:rPr>
                <w:szCs w:val="24"/>
                <w:lang w:eastAsia="lt-LT"/>
              </w:rPr>
              <w:br/>
            </w:r>
            <w:r w:rsidR="00B90557">
              <w:rPr>
                <w:szCs w:val="24"/>
                <w:lang w:eastAsia="lt-LT"/>
              </w:rPr>
              <w:t>3 priedas</w:t>
            </w:r>
            <w:r>
              <w:rPr>
                <w:szCs w:val="24"/>
                <w:lang w:eastAsia="lt-LT"/>
              </w:rPr>
              <w:t>.</w:t>
            </w:r>
            <w:r w:rsidR="00F15357">
              <w:rPr>
                <w:szCs w:val="24"/>
                <w:lang w:eastAsia="lt-LT"/>
              </w:rPr>
              <w:t>“</w:t>
            </w:r>
          </w:p>
        </w:tc>
        <w:tc>
          <w:tcPr>
            <w:tcW w:w="2126" w:type="dxa"/>
            <w:tcBorders>
              <w:top w:val="single" w:sz="4" w:space="0" w:color="auto"/>
              <w:left w:val="single" w:sz="4" w:space="0" w:color="000000"/>
              <w:right w:val="single" w:sz="4" w:space="0" w:color="000000"/>
            </w:tcBorders>
          </w:tcPr>
          <w:p w14:paraId="3930B95C" w14:textId="77777777" w:rsidR="00311CAF" w:rsidRDefault="00311CAF" w:rsidP="00381CD1">
            <w:pPr>
              <w:jc w:val="center"/>
              <w:rPr>
                <w:szCs w:val="24"/>
                <w:lang w:eastAsia="lt-LT"/>
              </w:rPr>
            </w:pPr>
          </w:p>
        </w:tc>
        <w:tc>
          <w:tcPr>
            <w:tcW w:w="1701" w:type="dxa"/>
            <w:tcBorders>
              <w:top w:val="single" w:sz="4" w:space="0" w:color="auto"/>
              <w:left w:val="single" w:sz="4" w:space="0" w:color="000000"/>
              <w:right w:val="single" w:sz="4" w:space="0" w:color="000000"/>
            </w:tcBorders>
          </w:tcPr>
          <w:p w14:paraId="1D43C89A" w14:textId="77777777" w:rsidR="00311CAF" w:rsidRDefault="00311CAF" w:rsidP="00381CD1">
            <w:pPr>
              <w:rPr>
                <w:szCs w:val="24"/>
                <w:lang w:eastAsia="lt-LT"/>
              </w:rPr>
            </w:pPr>
          </w:p>
        </w:tc>
      </w:tr>
    </w:tbl>
    <w:p w14:paraId="31DC3B6D" w14:textId="77777777" w:rsidR="00D33818" w:rsidRDefault="00D33818" w:rsidP="00BC0377">
      <w:pPr>
        <w:jc w:val="both"/>
        <w:rPr>
          <w:szCs w:val="24"/>
          <w:lang w:eastAsia="lt-LT"/>
        </w:rPr>
      </w:pPr>
    </w:p>
    <w:p w14:paraId="05D7F37A" w14:textId="0D44590B" w:rsidR="00AD6AFE" w:rsidRDefault="002B796A" w:rsidP="00BC0377">
      <w:pPr>
        <w:pStyle w:val="BodyText1"/>
        <w:spacing w:line="240" w:lineRule="auto"/>
        <w:ind w:firstLine="709"/>
        <w:rPr>
          <w:sz w:val="24"/>
          <w:szCs w:val="24"/>
        </w:rPr>
      </w:pPr>
      <w:r>
        <w:rPr>
          <w:sz w:val="24"/>
          <w:szCs w:val="24"/>
        </w:rPr>
        <w:t>2.</w:t>
      </w:r>
      <w:r w:rsidR="008647C9">
        <w:rPr>
          <w:sz w:val="24"/>
          <w:szCs w:val="24"/>
        </w:rPr>
        <w:t>2</w:t>
      </w:r>
      <w:r>
        <w:rPr>
          <w:sz w:val="24"/>
          <w:szCs w:val="24"/>
        </w:rPr>
        <w:t>8</w:t>
      </w:r>
      <w:r w:rsidR="008647C9">
        <w:rPr>
          <w:sz w:val="24"/>
          <w:szCs w:val="24"/>
        </w:rPr>
        <w:t>. Pakeičiu 1 priedo 2.2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410"/>
        <w:gridCol w:w="2127"/>
        <w:gridCol w:w="1700"/>
      </w:tblGrid>
      <w:tr w:rsidR="00C04B21" w14:paraId="120661A5" w14:textId="77777777" w:rsidTr="00C1178B">
        <w:trPr>
          <w:trHeight w:val="20"/>
        </w:trPr>
        <w:tc>
          <w:tcPr>
            <w:tcW w:w="3289" w:type="dxa"/>
          </w:tcPr>
          <w:p w14:paraId="48A44D70" w14:textId="2E02243F" w:rsidR="00C04B21" w:rsidRDefault="00C04B21" w:rsidP="007D20D8">
            <w:pPr>
              <w:jc w:val="both"/>
              <w:rPr>
                <w:szCs w:val="24"/>
                <w:lang w:eastAsia="lt-LT"/>
              </w:rPr>
            </w:pPr>
            <w:r>
              <w:rPr>
                <w:szCs w:val="24"/>
                <w:lang w:eastAsia="lt-LT"/>
              </w:rPr>
              <w:t xml:space="preserve">„2.2. </w:t>
            </w:r>
            <w:r w:rsidR="00004623" w:rsidRPr="00004623">
              <w:rPr>
                <w:rFonts w:cs="Arial"/>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sidR="00004623" w:rsidRPr="00004623">
              <w:rPr>
                <w:rFonts w:cs="Arial"/>
                <w:iCs/>
                <w:szCs w:val="24"/>
                <w:lang w:eastAsia="lt-LT"/>
              </w:rPr>
              <w:t xml:space="preserve">Nr. </w:t>
            </w:r>
            <w:r w:rsidR="00004623" w:rsidRPr="00004623">
              <w:rPr>
                <w:rFonts w:cs="Arial"/>
                <w:szCs w:val="24"/>
                <w:lang w:eastAsia="lt-LT"/>
              </w:rPr>
              <w:t xml:space="preserve"> SWD(2017) 118, numatytą politinę sritį, horizontalųjį </w:t>
            </w:r>
            <w:r w:rsidR="00004623">
              <w:rPr>
                <w:rFonts w:cs="Arial"/>
                <w:szCs w:val="24"/>
                <w:lang w:eastAsia="lt-LT"/>
              </w:rPr>
              <w:t>veiksmą ar įgyvendinimo pavyzdį</w:t>
            </w:r>
            <w:r>
              <w:rPr>
                <w:bCs/>
                <w:szCs w:val="24"/>
                <w:lang w:eastAsia="lt-LT"/>
              </w:rPr>
              <w:t xml:space="preserve">. </w:t>
            </w:r>
          </w:p>
        </w:tc>
        <w:tc>
          <w:tcPr>
            <w:tcW w:w="2410" w:type="dxa"/>
          </w:tcPr>
          <w:p w14:paraId="12C31571" w14:textId="1DD0144B" w:rsidR="00F15357" w:rsidRDefault="00C04B21" w:rsidP="004F61EB">
            <w:pPr>
              <w:jc w:val="both"/>
              <w:rPr>
                <w:rFonts w:eastAsia="Calibri"/>
                <w:szCs w:val="24"/>
              </w:rPr>
            </w:pPr>
            <w:r>
              <w:rPr>
                <w:rFonts w:eastAsia="Calibri"/>
                <w:szCs w:val="24"/>
              </w:rPr>
              <w:t xml:space="preserve">Projektas turi prisidėti </w:t>
            </w:r>
            <w:r>
              <w:rPr>
                <w:szCs w:val="24"/>
                <w:lang w:eastAsia="lt-LT"/>
              </w:rPr>
              <w:t xml:space="preserve">prie </w:t>
            </w:r>
            <w:r w:rsidR="00004623" w:rsidRPr="00004623">
              <w:rPr>
                <w:bCs/>
                <w:szCs w:val="24"/>
                <w:lang w:eastAsia="lt-LT"/>
              </w:rPr>
              <w:t>Europos Sąjungos Baltijos jūros regiono strategijos</w:t>
            </w:r>
            <w:r w:rsidR="00004623" w:rsidDel="00004623">
              <w:rPr>
                <w:bCs/>
                <w:szCs w:val="24"/>
                <w:lang w:eastAsia="lt-LT"/>
              </w:rPr>
              <w:t xml:space="preserve"> </w:t>
            </w:r>
            <w:r>
              <w:rPr>
                <w:bCs/>
                <w:szCs w:val="24"/>
                <w:lang w:eastAsia="lt-LT"/>
              </w:rPr>
              <w:t>tikslo įgyvendinimo</w:t>
            </w:r>
            <w:r>
              <w:rPr>
                <w:rFonts w:eastAsia="Calibri"/>
                <w:szCs w:val="24"/>
              </w:rPr>
              <w:t>, kaip tai nustatyta</w:t>
            </w:r>
            <w:r w:rsidR="004F61EB">
              <w:rPr>
                <w:rFonts w:eastAsia="Calibri"/>
                <w:szCs w:val="24"/>
              </w:rPr>
              <w:t xml:space="preserve"> </w:t>
            </w:r>
            <w:r>
              <w:rPr>
                <w:rFonts w:eastAsia="Calibri"/>
                <w:szCs w:val="24"/>
              </w:rPr>
              <w:t xml:space="preserve">Aprašo </w:t>
            </w:r>
            <w:r w:rsidR="00C1178B">
              <w:rPr>
                <w:rFonts w:eastAsia="Calibri"/>
                <w:szCs w:val="24"/>
              </w:rPr>
              <w:br/>
            </w:r>
            <w:r>
              <w:rPr>
                <w:rFonts w:eastAsia="Calibri"/>
                <w:szCs w:val="24"/>
              </w:rPr>
              <w:t>15 punkte.</w:t>
            </w:r>
          </w:p>
          <w:p w14:paraId="3DE804ED" w14:textId="77777777" w:rsidR="00F15357" w:rsidRDefault="00F15357" w:rsidP="004F61EB">
            <w:pPr>
              <w:jc w:val="both"/>
              <w:rPr>
                <w:rFonts w:eastAsia="Calibri"/>
                <w:szCs w:val="24"/>
              </w:rPr>
            </w:pPr>
          </w:p>
          <w:p w14:paraId="623B8B6A" w14:textId="1218B751" w:rsidR="00C04B21" w:rsidRDefault="00F15357" w:rsidP="004F61EB">
            <w:pPr>
              <w:jc w:val="both"/>
              <w:rPr>
                <w:rFonts w:eastAsia="Calibri"/>
                <w:szCs w:val="24"/>
              </w:rPr>
            </w:pPr>
            <w:r w:rsidRPr="00F15357">
              <w:rPr>
                <w:rFonts w:eastAsia="Calibri"/>
                <w:szCs w:val="24"/>
              </w:rPr>
              <w:t>Informacijos šaltinis – paraiška.“</w:t>
            </w:r>
          </w:p>
        </w:tc>
        <w:tc>
          <w:tcPr>
            <w:tcW w:w="2127" w:type="dxa"/>
          </w:tcPr>
          <w:p w14:paraId="21605786" w14:textId="77777777" w:rsidR="00C04B21" w:rsidRDefault="00C04B21" w:rsidP="007D20D8">
            <w:pPr>
              <w:jc w:val="center"/>
              <w:rPr>
                <w:szCs w:val="24"/>
                <w:lang w:eastAsia="lt-LT"/>
              </w:rPr>
            </w:pPr>
          </w:p>
        </w:tc>
        <w:tc>
          <w:tcPr>
            <w:tcW w:w="1700" w:type="dxa"/>
          </w:tcPr>
          <w:p w14:paraId="080A6662" w14:textId="77777777" w:rsidR="00C04B21" w:rsidRDefault="00C04B21" w:rsidP="007D20D8">
            <w:pPr>
              <w:rPr>
                <w:szCs w:val="24"/>
                <w:lang w:eastAsia="lt-LT"/>
              </w:rPr>
            </w:pPr>
          </w:p>
        </w:tc>
      </w:tr>
    </w:tbl>
    <w:p w14:paraId="19DCB895" w14:textId="77777777" w:rsidR="008647C9" w:rsidRDefault="008647C9" w:rsidP="00AD6AFE">
      <w:pPr>
        <w:pStyle w:val="BodyText1"/>
        <w:spacing w:line="240" w:lineRule="auto"/>
        <w:ind w:left="720" w:firstLine="0"/>
        <w:rPr>
          <w:sz w:val="24"/>
          <w:szCs w:val="24"/>
        </w:rPr>
      </w:pPr>
    </w:p>
    <w:p w14:paraId="43A1E41A" w14:textId="593D5A5E" w:rsidR="002C12C1" w:rsidRDefault="002B796A" w:rsidP="00AD6AFE">
      <w:pPr>
        <w:pStyle w:val="BodyText1"/>
        <w:spacing w:line="240" w:lineRule="auto"/>
        <w:ind w:left="720" w:firstLine="0"/>
        <w:rPr>
          <w:sz w:val="24"/>
          <w:szCs w:val="24"/>
        </w:rPr>
      </w:pPr>
      <w:r>
        <w:rPr>
          <w:sz w:val="24"/>
          <w:szCs w:val="24"/>
        </w:rPr>
        <w:t>2.</w:t>
      </w:r>
      <w:r w:rsidR="002C12C1">
        <w:rPr>
          <w:sz w:val="24"/>
          <w:szCs w:val="24"/>
        </w:rPr>
        <w:t>2</w:t>
      </w:r>
      <w:r>
        <w:rPr>
          <w:sz w:val="24"/>
          <w:szCs w:val="24"/>
        </w:rPr>
        <w:t>9</w:t>
      </w:r>
      <w:r w:rsidR="002C12C1">
        <w:rPr>
          <w:sz w:val="24"/>
          <w:szCs w:val="24"/>
        </w:rPr>
        <w:t>. Pakeičiu 1 priedo 5 p</w:t>
      </w:r>
      <w:r w:rsidR="004F61EB">
        <w:rPr>
          <w:sz w:val="24"/>
          <w:szCs w:val="24"/>
        </w:rPr>
        <w:t>unktą</w:t>
      </w:r>
      <w:r w:rsidR="002C12C1">
        <w:rPr>
          <w:sz w:val="24"/>
          <w:szCs w:val="24"/>
        </w:rPr>
        <w:t xml:space="preserve">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410"/>
        <w:gridCol w:w="2126"/>
        <w:gridCol w:w="1701"/>
      </w:tblGrid>
      <w:tr w:rsidR="004F61EB" w14:paraId="06A437AD" w14:textId="77777777" w:rsidTr="00BC0377">
        <w:trPr>
          <w:trHeight w:val="20"/>
        </w:trPr>
        <w:tc>
          <w:tcPr>
            <w:tcW w:w="9526" w:type="dxa"/>
            <w:gridSpan w:val="4"/>
            <w:tcBorders>
              <w:top w:val="single" w:sz="4" w:space="0" w:color="auto"/>
              <w:left w:val="single" w:sz="4" w:space="0" w:color="000000"/>
              <w:bottom w:val="single" w:sz="4" w:space="0" w:color="000000"/>
              <w:right w:val="single" w:sz="4" w:space="0" w:color="000000"/>
            </w:tcBorders>
            <w:shd w:val="clear" w:color="auto" w:fill="D9D9D9"/>
          </w:tcPr>
          <w:p w14:paraId="5EDE064A" w14:textId="0B206389" w:rsidR="004F61EB" w:rsidRDefault="00463026" w:rsidP="00381CD1">
            <w:pPr>
              <w:jc w:val="both"/>
              <w:rPr>
                <w:szCs w:val="24"/>
                <w:lang w:eastAsia="lt-LT"/>
              </w:rPr>
            </w:pPr>
            <w:r w:rsidRPr="00BC0377">
              <w:rPr>
                <w:bCs/>
                <w:szCs w:val="24"/>
                <w:lang w:eastAsia="lt-LT"/>
              </w:rPr>
              <w:t>„</w:t>
            </w:r>
            <w:r w:rsidR="004F61EB">
              <w:rPr>
                <w:b/>
                <w:bCs/>
                <w:szCs w:val="24"/>
                <w:lang w:eastAsia="lt-LT"/>
              </w:rPr>
              <w:t>5. Pareiškėjas ir partneris (-iai) organizaciniu požiūriu yra pajėgūs tinkamai ir laiku įgyvendinti teikiamą projektą ir atitinka jam (jiems) keliamus reikalavimus.</w:t>
            </w:r>
          </w:p>
        </w:tc>
      </w:tr>
      <w:tr w:rsidR="004F61EB" w14:paraId="26EB4BBF"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hideMark/>
          </w:tcPr>
          <w:p w14:paraId="64F8A5D0" w14:textId="77777777" w:rsidR="004F61EB" w:rsidRDefault="004F61EB" w:rsidP="00381CD1">
            <w:pPr>
              <w:jc w:val="both"/>
              <w:rPr>
                <w:b/>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kurie verčiasi ūkine </w:t>
            </w:r>
            <w:r w:rsidRPr="00AB5D2A">
              <w:rPr>
                <w:bCs/>
                <w:szCs w:val="24"/>
                <w:lang w:eastAsia="lt-LT"/>
              </w:rPr>
              <w:t xml:space="preserve">ir (arba) ekonomine </w:t>
            </w:r>
            <w:r>
              <w:rPr>
                <w:bCs/>
                <w:szCs w:val="24"/>
                <w:lang w:eastAsia="lt-LT"/>
              </w:rPr>
              <w:t>veikla (toliau – fizinis asmuo), kaip nustatyta projektų finansavimo sąlygų apraše.</w:t>
            </w:r>
          </w:p>
        </w:tc>
        <w:tc>
          <w:tcPr>
            <w:tcW w:w="2410" w:type="dxa"/>
            <w:tcBorders>
              <w:top w:val="single" w:sz="4" w:space="0" w:color="000000"/>
              <w:left w:val="single" w:sz="4" w:space="0" w:color="000000"/>
              <w:bottom w:val="single" w:sz="4" w:space="0" w:color="000000"/>
              <w:right w:val="single" w:sz="4" w:space="0" w:color="000000"/>
            </w:tcBorders>
            <w:hideMark/>
          </w:tcPr>
          <w:p w14:paraId="31FDFEB8" w14:textId="77777777" w:rsidR="004F61EB" w:rsidRPr="00C260E6" w:rsidRDefault="004F61EB" w:rsidP="00381CD1">
            <w:pPr>
              <w:jc w:val="both"/>
              <w:rPr>
                <w:szCs w:val="24"/>
                <w:lang w:eastAsia="lt-LT"/>
              </w:rPr>
            </w:pPr>
            <w:r w:rsidRPr="00C260E6">
              <w:rPr>
                <w:szCs w:val="24"/>
                <w:lang w:eastAsia="lt-LT"/>
              </w:rPr>
              <w:t>Informacijos šaltinis – paraiška.</w:t>
            </w:r>
          </w:p>
          <w:p w14:paraId="7821B0BB" w14:textId="77777777" w:rsidR="004F61EB" w:rsidRDefault="004F61EB" w:rsidP="00381CD1">
            <w:pPr>
              <w:rPr>
                <w:bCs/>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3F85F89C"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119F4A1F" w14:textId="77777777" w:rsidR="004F61EB" w:rsidRDefault="004F61EB" w:rsidP="00381CD1">
            <w:pPr>
              <w:rPr>
                <w:szCs w:val="24"/>
                <w:lang w:eastAsia="lt-LT"/>
              </w:rPr>
            </w:pPr>
          </w:p>
        </w:tc>
      </w:tr>
      <w:tr w:rsidR="004F61EB" w14:paraId="4A9EF165"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tcPr>
          <w:p w14:paraId="2BC5B8FA" w14:textId="77777777" w:rsidR="004F61EB" w:rsidRDefault="004F61EB" w:rsidP="00381CD1">
            <w:pPr>
              <w:jc w:val="both"/>
              <w:rPr>
                <w:rFonts w:eastAsia="Calibri"/>
                <w:szCs w:val="24"/>
              </w:rPr>
            </w:pPr>
            <w:r>
              <w:rPr>
                <w:szCs w:val="24"/>
                <w:lang w:eastAsia="lt-LT"/>
              </w:rPr>
              <w:t>5.2. Pareiškėjas ir partneris (-iai) atitinka tinkamų pareiškėjų sąrašą, nustatytą projektų finansavimo sąlygų apraše.</w:t>
            </w:r>
            <w:r>
              <w:rPr>
                <w:rFonts w:eastAsia="Calibri"/>
                <w:szCs w:val="24"/>
              </w:rPr>
              <w:t xml:space="preserve"> </w:t>
            </w:r>
          </w:p>
          <w:p w14:paraId="5B561973" w14:textId="77777777" w:rsidR="004F61EB" w:rsidRDefault="004F61EB" w:rsidP="00381CD1">
            <w:pPr>
              <w:rPr>
                <w:b/>
                <w:bCs/>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111B2753" w14:textId="60FE7DA5" w:rsidR="004F61EB" w:rsidRDefault="004F61EB" w:rsidP="00381CD1">
            <w:pPr>
              <w:jc w:val="both"/>
              <w:rPr>
                <w:rFonts w:eastAsia="Calibri"/>
                <w:szCs w:val="24"/>
              </w:rPr>
            </w:pPr>
            <w:r>
              <w:rPr>
                <w:rFonts w:eastAsia="Calibri"/>
                <w:szCs w:val="24"/>
              </w:rPr>
              <w:t xml:space="preserve">Tinkamų pareiškėjų </w:t>
            </w:r>
            <w:r w:rsidR="006D56BC">
              <w:rPr>
                <w:rFonts w:eastAsia="Calibri"/>
                <w:szCs w:val="24"/>
              </w:rPr>
              <w:t>sąrašas yra nurodytas Aprašo 12</w:t>
            </w:r>
            <w:r>
              <w:rPr>
                <w:rFonts w:eastAsia="Calibri"/>
                <w:szCs w:val="24"/>
              </w:rPr>
              <w:t> punkte.</w:t>
            </w:r>
          </w:p>
          <w:p w14:paraId="59C046C2" w14:textId="77777777" w:rsidR="004F61EB" w:rsidRDefault="004F61EB" w:rsidP="00381CD1">
            <w:pPr>
              <w:jc w:val="both"/>
              <w:rPr>
                <w:rFonts w:eastAsia="Calibri"/>
                <w:szCs w:val="24"/>
              </w:rPr>
            </w:pPr>
          </w:p>
          <w:p w14:paraId="406775BD" w14:textId="77777777" w:rsidR="004F61EB" w:rsidRPr="00381CD1" w:rsidRDefault="004F61EB" w:rsidP="00381CD1">
            <w:pPr>
              <w:jc w:val="both"/>
              <w:rPr>
                <w:rFonts w:eastAsia="Calibri"/>
                <w:szCs w:val="24"/>
              </w:rPr>
            </w:pPr>
            <w:r>
              <w:rPr>
                <w:rFonts w:eastAsia="Calibri"/>
                <w:szCs w:val="24"/>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5C1CB7C3"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54C2A774" w14:textId="77777777" w:rsidR="004F61EB" w:rsidRDefault="004F61EB" w:rsidP="00381CD1">
            <w:pPr>
              <w:rPr>
                <w:szCs w:val="24"/>
                <w:lang w:eastAsia="lt-LT"/>
              </w:rPr>
            </w:pPr>
          </w:p>
        </w:tc>
      </w:tr>
      <w:tr w:rsidR="004F61EB" w14:paraId="2D38735F"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vAlign w:val="center"/>
          </w:tcPr>
          <w:p w14:paraId="4E9F8AE1" w14:textId="77777777" w:rsidR="004F61EB" w:rsidRDefault="004F61EB" w:rsidP="00381CD1">
            <w:pPr>
              <w:jc w:val="both"/>
              <w:rPr>
                <w:rFonts w:eastAsia="Calibri"/>
                <w:szCs w:val="24"/>
              </w:rPr>
            </w:pPr>
            <w:r>
              <w:rPr>
                <w:rFonts w:eastAsia="Calibri"/>
                <w:szCs w:val="24"/>
              </w:rPr>
              <w:t xml:space="preserve">5.3. Pareiškėjas ir </w:t>
            </w:r>
            <w:r>
              <w:rPr>
                <w:bCs/>
                <w:szCs w:val="24"/>
                <w:lang w:eastAsia="lt-LT"/>
              </w:rPr>
              <w:t xml:space="preserve">partneris (-iai) </w:t>
            </w:r>
            <w:r>
              <w:rPr>
                <w:rFonts w:eastAsia="Calibri"/>
                <w:szCs w:val="24"/>
              </w:rPr>
              <w:t>turi teisinį pagrindą užsiimti ta veikla (atlikti funkcijas), kuriai pradėti ir (arba) vykdyti, ir (arba) plėtoti skirtas projektas.</w:t>
            </w:r>
          </w:p>
        </w:tc>
        <w:tc>
          <w:tcPr>
            <w:tcW w:w="2410" w:type="dxa"/>
            <w:tcBorders>
              <w:top w:val="single" w:sz="4" w:space="0" w:color="000000"/>
              <w:left w:val="single" w:sz="4" w:space="0" w:color="000000"/>
              <w:bottom w:val="single" w:sz="4" w:space="0" w:color="000000"/>
              <w:right w:val="single" w:sz="4" w:space="0" w:color="000000"/>
            </w:tcBorders>
          </w:tcPr>
          <w:p w14:paraId="599FB5C0" w14:textId="77777777" w:rsidR="004F61EB" w:rsidRDefault="004F61EB" w:rsidP="00381CD1">
            <w:pPr>
              <w:rPr>
                <w:rFonts w:eastAsia="Calibri"/>
                <w:szCs w:val="24"/>
              </w:rPr>
            </w:pPr>
            <w:r>
              <w:rPr>
                <w:rFonts w:eastAsia="Calibri"/>
                <w:szCs w:val="24"/>
              </w:rPr>
              <w:t>Netaikoma.</w:t>
            </w:r>
          </w:p>
        </w:tc>
        <w:tc>
          <w:tcPr>
            <w:tcW w:w="2126" w:type="dxa"/>
            <w:tcBorders>
              <w:top w:val="single" w:sz="4" w:space="0" w:color="000000"/>
              <w:left w:val="single" w:sz="4" w:space="0" w:color="000000"/>
              <w:bottom w:val="single" w:sz="4" w:space="0" w:color="000000"/>
              <w:right w:val="single" w:sz="4" w:space="0" w:color="000000"/>
            </w:tcBorders>
          </w:tcPr>
          <w:p w14:paraId="5F0C62AF"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7932CEE7" w14:textId="77777777" w:rsidR="004F61EB" w:rsidRDefault="004F61EB" w:rsidP="00381CD1">
            <w:pPr>
              <w:rPr>
                <w:szCs w:val="24"/>
                <w:lang w:eastAsia="lt-LT"/>
              </w:rPr>
            </w:pPr>
          </w:p>
        </w:tc>
      </w:tr>
      <w:tr w:rsidR="004F61EB" w14:paraId="11555307"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vAlign w:val="center"/>
          </w:tcPr>
          <w:p w14:paraId="69AEDC4D" w14:textId="77777777" w:rsidR="004F61EB" w:rsidRDefault="004F61EB" w:rsidP="00381CD1">
            <w:pPr>
              <w:jc w:val="both"/>
              <w:rPr>
                <w:szCs w:val="24"/>
                <w:lang w:eastAsia="lt-LT"/>
              </w:rPr>
            </w:pPr>
            <w:r>
              <w:rPr>
                <w:szCs w:val="24"/>
                <w:lang w:eastAsia="lt-LT"/>
              </w:rPr>
              <w:t>5.4. Pareiškėjui ir partneriui (-iams) nėra apribojimų gauti finansavimą:</w:t>
            </w:r>
          </w:p>
          <w:p w14:paraId="7446592D" w14:textId="77777777" w:rsidR="004F61EB" w:rsidRDefault="004F61EB" w:rsidP="00381CD1">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w:t>
            </w:r>
            <w:r w:rsidRPr="00AB5D2A">
              <w:rPr>
                <w:szCs w:val="24"/>
                <w:lang w:eastAsia="lt-LT"/>
              </w:rPr>
              <w:t>ir (arba) ekonomin</w:t>
            </w:r>
            <w:r>
              <w:rPr>
                <w:szCs w:val="24"/>
                <w:lang w:eastAsia="lt-LT"/>
              </w:rPr>
              <w:t>ės</w:t>
            </w:r>
            <w:r w:rsidRPr="00AB5D2A">
              <w:rPr>
                <w:szCs w:val="24"/>
                <w:lang w:eastAsia="lt-LT"/>
              </w:rPr>
              <w:t xml:space="preserve"> </w:t>
            </w:r>
            <w:r>
              <w:rPr>
                <w:szCs w:val="24"/>
                <w:lang w:eastAsia="lt-LT"/>
              </w:rPr>
              <w:t xml:space="preserve">veiklos arba jis (jie) nėra likviduojamas (-i), nėra priimtas kreditorių susirinkimo nutarimas bankroto procedūras vykdyti ne teismo tvarka </w:t>
            </w:r>
            <w:r w:rsidRPr="00381CD1">
              <w:rPr>
                <w:i/>
                <w:szCs w:val="24"/>
                <w:lang w:eastAsia="lt-LT"/>
              </w:rPr>
              <w:t>(ši nuostata netaikoma biudžetinėms įstaigoms)</w:t>
            </w:r>
            <w:r w:rsidRPr="00AB5D2A">
              <w:rPr>
                <w:szCs w:val="24"/>
                <w:lang w:eastAsia="lt-LT"/>
              </w:rPr>
              <w:t xml:space="preserve"> arba pareiškėjui ir partneriui (-iams), kurie yra fiziniai asmenys, nėra iškelta byla dėl bankroto, nėra pradėtas ikiteisminis tyrimas dėl ūkinės ir (arba) ekonominės veiklos</w:t>
            </w:r>
            <w:r>
              <w:rPr>
                <w:szCs w:val="24"/>
                <w:lang w:eastAsia="lt-LT"/>
              </w:rPr>
              <w:t>;</w:t>
            </w:r>
          </w:p>
          <w:p w14:paraId="49D80011" w14:textId="77777777" w:rsidR="004F61EB" w:rsidRDefault="004F61EB" w:rsidP="00381CD1">
            <w:pPr>
              <w:jc w:val="both"/>
              <w:rPr>
                <w:szCs w:val="24"/>
                <w:lang w:eastAsia="lt-LT"/>
              </w:rPr>
            </w:pPr>
            <w:r>
              <w:rPr>
                <w:szCs w:val="24"/>
                <w:lang w:eastAsia="lt-LT"/>
              </w:rPr>
              <w:t xml:space="preserve">5.4.2. paraiškos </w:t>
            </w:r>
            <w:r w:rsidRPr="007E2A8A">
              <w:rPr>
                <w:szCs w:val="24"/>
                <w:lang w:eastAsia="lt-LT"/>
              </w:rPr>
              <w:t xml:space="preserve">pateikimo dieną </w:t>
            </w:r>
            <w:r>
              <w:rPr>
                <w:szCs w:val="24"/>
                <w:lang w:eastAsia="lt-LT"/>
              </w:rPr>
              <w:t xml:space="preserve">pareiškėjas ir partneris (-iai) </w:t>
            </w:r>
            <w:r w:rsidRPr="007E2A8A">
              <w:rPr>
                <w:szCs w:val="24"/>
                <w:lang w:eastAsia="lt-LT"/>
              </w:rPr>
              <w:t xml:space="preserve">neturi </w:t>
            </w:r>
            <w:r>
              <w:rPr>
                <w:szCs w:val="24"/>
                <w:lang w:eastAsia="lt-LT"/>
              </w:rPr>
              <w:t xml:space="preserve">su mokesčių ir socialinio draudimo įmokų mokėjimu </w:t>
            </w:r>
            <w:r>
              <w:rPr>
                <w:szCs w:val="24"/>
                <w:lang w:eastAsia="lt-LT"/>
              </w:rPr>
              <w:lastRenderedPageBreak/>
              <w:t>susijusių skolų pagal Lietuvos Respublikos teisės aktus arba pagal kitos valstybės teisės aktus, jei pareiškėjas ir partneris (-iai) yra užsienyje registruotas juridinis asmuo (asmenys) ar fizinis (-iai) asmuo (asmenys) yra užsienio pilietis (-čiai),</w:t>
            </w:r>
            <w:r w:rsidRPr="00436548">
              <w:rPr>
                <w:color w:val="000000" w:themeColor="text1"/>
                <w:szCs w:val="24"/>
                <w:lang w:eastAsia="lt-LT"/>
              </w:rPr>
              <w:t xml:space="preserve"> arba kiekvienu atveju skola neviršija 50</w:t>
            </w:r>
            <w:r>
              <w:rPr>
                <w:color w:val="000000" w:themeColor="text1"/>
                <w:szCs w:val="24"/>
                <w:lang w:eastAsia="lt-LT"/>
              </w:rPr>
              <w:t xml:space="preserve"> Eur</w:t>
            </w:r>
            <w:r w:rsidRPr="00436548">
              <w:rPr>
                <w:color w:val="000000" w:themeColor="text1"/>
                <w:szCs w:val="24"/>
                <w:lang w:eastAsia="lt-LT"/>
              </w:rPr>
              <w:t xml:space="preserve"> </w:t>
            </w:r>
            <w:r>
              <w:rPr>
                <w:color w:val="000000" w:themeColor="text1"/>
                <w:szCs w:val="24"/>
                <w:lang w:eastAsia="lt-LT"/>
              </w:rPr>
              <w:t xml:space="preserve">(penkiasdešimt </w:t>
            </w:r>
            <w:r w:rsidRPr="00436548">
              <w:rPr>
                <w:color w:val="000000" w:themeColor="text1"/>
                <w:szCs w:val="24"/>
                <w:lang w:eastAsia="lt-LT"/>
              </w:rPr>
              <w:t>eurų</w:t>
            </w:r>
            <w:r>
              <w:rPr>
                <w:color w:val="000000" w:themeColor="text1"/>
                <w:szCs w:val="24"/>
                <w:lang w:eastAsia="lt-LT"/>
              </w:rPr>
              <w:t>)</w:t>
            </w:r>
            <w:r w:rsidRPr="00436548">
              <w:rPr>
                <w:color w:val="000000" w:themeColor="text1"/>
                <w:szCs w:val="24"/>
                <w:lang w:eastAsia="lt-LT"/>
              </w:rPr>
              <w:t> </w:t>
            </w:r>
            <w:r w:rsidRPr="00436548">
              <w:rPr>
                <w:i/>
                <w:iCs/>
                <w:color w:val="000000" w:themeColor="text1"/>
                <w:szCs w:val="24"/>
                <w:lang w:eastAsia="lt-LT"/>
              </w:rPr>
              <w:t>(tikrinama ne vėliau kaip per 7 dienas nuo paraiškos gavimo dienos; jei nustatoma, kad skola viršija 50</w:t>
            </w:r>
            <w:r>
              <w:rPr>
                <w:i/>
                <w:iCs/>
                <w:color w:val="000000" w:themeColor="text1"/>
                <w:szCs w:val="24"/>
                <w:lang w:eastAsia="lt-LT"/>
              </w:rPr>
              <w:t xml:space="preserve"> Eur (penkiasdešimt</w:t>
            </w:r>
            <w:r w:rsidRPr="00436548">
              <w:rPr>
                <w:i/>
                <w:iCs/>
                <w:color w:val="000000" w:themeColor="text1"/>
                <w:szCs w:val="24"/>
                <w:lang w:eastAsia="lt-LT"/>
              </w:rPr>
              <w:t xml:space="preserve"> eurų</w:t>
            </w:r>
            <w:r>
              <w:rPr>
                <w:i/>
                <w:iCs/>
                <w:color w:val="000000" w:themeColor="text1"/>
                <w:szCs w:val="24"/>
                <w:lang w:eastAsia="lt-LT"/>
              </w:rPr>
              <w:t>)</w:t>
            </w:r>
            <w:r w:rsidRPr="00436548">
              <w:rPr>
                <w:i/>
                <w:iCs/>
                <w:color w:val="000000" w:themeColor="text1"/>
                <w:szCs w:val="24"/>
                <w:lang w:eastAsia="lt-LT"/>
              </w:rPr>
              <w:t>, pareiškėjui leidžiama dokumentais pagrįsti, kad paraiškos pateikimo dieną skola neviršijo 50</w:t>
            </w:r>
            <w:r>
              <w:rPr>
                <w:i/>
                <w:iCs/>
                <w:color w:val="000000" w:themeColor="text1"/>
                <w:szCs w:val="24"/>
                <w:lang w:eastAsia="lt-LT"/>
              </w:rPr>
              <w:t xml:space="preserve"> Eur</w:t>
            </w:r>
            <w:r w:rsidRPr="00436548">
              <w:rPr>
                <w:i/>
                <w:iCs/>
                <w:color w:val="000000" w:themeColor="text1"/>
                <w:szCs w:val="24"/>
                <w:lang w:eastAsia="lt-LT"/>
              </w:rPr>
              <w:t xml:space="preserve"> </w:t>
            </w:r>
            <w:r>
              <w:rPr>
                <w:i/>
                <w:iCs/>
                <w:color w:val="000000" w:themeColor="text1"/>
                <w:szCs w:val="24"/>
                <w:lang w:eastAsia="lt-LT"/>
              </w:rPr>
              <w:t xml:space="preserve">(penkiasdešimt </w:t>
            </w:r>
            <w:r w:rsidRPr="00436548">
              <w:rPr>
                <w:i/>
                <w:iCs/>
                <w:color w:val="000000" w:themeColor="text1"/>
                <w:szCs w:val="24"/>
                <w:lang w:eastAsia="lt-LT"/>
              </w:rPr>
              <w:t>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7E877B97" w14:textId="77777777" w:rsidR="004F61EB" w:rsidRDefault="004F61EB" w:rsidP="00381CD1">
            <w:pPr>
              <w:jc w:val="both"/>
              <w:rPr>
                <w:szCs w:val="24"/>
                <w:lang w:eastAsia="lt-LT"/>
              </w:rPr>
            </w:pPr>
            <w:r>
              <w:rPr>
                <w:szCs w:val="24"/>
                <w:lang w:eastAsia="lt-LT"/>
              </w:rPr>
              <w:t>5.4.3.</w:t>
            </w:r>
            <w:r>
              <w:rPr>
                <w:rFonts w:eastAsia="Calibri"/>
                <w:szCs w:val="24"/>
              </w:rPr>
              <w:t xml:space="preserve"> paraiškos vertinimo metu pareiškėjas ir partneris (-iai), kurie yra fiziniai asmenys, arba pareiškėjo ir partnerio (-ių), kurie yra juridiniai asmenys, vadovas,</w:t>
            </w:r>
            <w:r>
              <w:t xml:space="preserve"> </w:t>
            </w:r>
            <w:r w:rsidRPr="006315CC">
              <w:rPr>
                <w:rFonts w:eastAsia="Calibri"/>
                <w:szCs w:val="24"/>
              </w:rPr>
              <w:t>pagrindinis akcininkas (turintis daugiau nei 50 proc. akcijų) ar savininkas,</w:t>
            </w:r>
            <w:r>
              <w:rPr>
                <w:rFonts w:eastAsia="Calibri"/>
                <w:b/>
                <w:bCs/>
                <w:szCs w:val="24"/>
              </w:rPr>
              <w:t xml:space="preserve"> </w:t>
            </w:r>
            <w:r>
              <w:rPr>
                <w:rFonts w:eastAsia="Calibri"/>
                <w:szCs w:val="24"/>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w:t>
            </w:r>
            <w:r>
              <w:rPr>
                <w:rFonts w:eastAsia="Calibri"/>
                <w:szCs w:val="24"/>
              </w:rPr>
              <w:lastRenderedPageBreak/>
              <w:t xml:space="preserve">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w:t>
            </w:r>
            <w:r>
              <w:rPr>
                <w:rFonts w:eastAsia="Calibri"/>
                <w:szCs w:val="24"/>
              </w:rPr>
              <w:lastRenderedPageBreak/>
              <w:t xml:space="preserve">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381CD1">
              <w:rPr>
                <w:rFonts w:eastAsia="Calibri"/>
                <w:iCs/>
                <w:szCs w:val="24"/>
              </w:rPr>
              <w:t>;</w:t>
            </w:r>
            <w:r>
              <w:rPr>
                <w:szCs w:val="24"/>
                <w:lang w:eastAsia="lt-LT"/>
              </w:rPr>
              <w:t xml:space="preserve"> </w:t>
            </w:r>
          </w:p>
          <w:p w14:paraId="2E9D53E1" w14:textId="77777777" w:rsidR="004F61EB" w:rsidRDefault="004F61EB" w:rsidP="00381CD1">
            <w:pPr>
              <w:jc w:val="both"/>
              <w:rPr>
                <w:szCs w:val="24"/>
                <w:lang w:eastAsia="lt-LT"/>
              </w:rPr>
            </w:pPr>
            <w:r>
              <w:rPr>
                <w:szCs w:val="24"/>
                <w:lang w:eastAsia="lt-LT"/>
              </w:rPr>
              <w:t>5.4.4. paraiškos vertinimo metu pareiškėjui ir partneriui (-iams), jei jie perkėlė gamybinę veiklą valstybėje narėje arba į kitą valstybę narę, nėra taikoma arba nebuvo taikoma išieškojimo procedūra</w:t>
            </w:r>
            <w:r w:rsidRPr="006607F4">
              <w:rPr>
                <w:szCs w:val="24"/>
                <w:lang w:eastAsia="lt-LT"/>
              </w:rPr>
              <w:t xml:space="preserve"> </w:t>
            </w:r>
            <w:r w:rsidRPr="00381CD1">
              <w:rPr>
                <w:i/>
                <w:szCs w:val="24"/>
                <w:lang w:eastAsia="lt-LT"/>
              </w:rPr>
              <w:t>(ši nuostata nėra taikoma viešiesiems juridiniams asmenims)</w:t>
            </w:r>
            <w:r>
              <w:rPr>
                <w:szCs w:val="24"/>
                <w:lang w:eastAsia="lt-LT"/>
              </w:rPr>
              <w:t>;</w:t>
            </w:r>
          </w:p>
          <w:p w14:paraId="64A7BAAC" w14:textId="77777777" w:rsidR="004F61EB" w:rsidRDefault="004F61EB" w:rsidP="00381CD1">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sidRPr="00381CD1">
              <w:rPr>
                <w:i/>
                <w:szCs w:val="24"/>
                <w:lang w:eastAsia="lt-LT"/>
              </w:rPr>
              <w:t>(ši nuostata nėra taikoma viešiesiems juridiniams asmenims)</w:t>
            </w:r>
            <w:r>
              <w:rPr>
                <w:szCs w:val="24"/>
                <w:lang w:eastAsia="lt-LT"/>
              </w:rPr>
              <w:t>;</w:t>
            </w:r>
          </w:p>
          <w:p w14:paraId="11B153D2" w14:textId="77777777" w:rsidR="004F61EB" w:rsidRDefault="004F61EB" w:rsidP="00381CD1">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381CD1">
              <w:rPr>
                <w:i/>
                <w:szCs w:val="24"/>
                <w:lang w:eastAsia="lt-LT"/>
              </w:rPr>
              <w:t xml:space="preserve">(šis apribojimas netaikomas įstaigoms, kurių veikla finansuojama iš Lietuvos Respublikos valstybės ir (arba) savivaldybių biudžetų ir (arba) valstybės pinigų fondų, </w:t>
            </w:r>
            <w:r w:rsidRPr="00381CD1">
              <w:rPr>
                <w:i/>
                <w:szCs w:val="24"/>
                <w:lang w:eastAsia="lt-LT"/>
              </w:rPr>
              <w:lastRenderedPageBreak/>
              <w:t>įstaigoms, kurių veiklai finansuoti yra skiriama 2007–2013 metų ES fondų ar 2014–2020 metų ES struktūrinių fondų techninė parama, Europos investicijų fondui ir Europos investicijų bankui)</w:t>
            </w:r>
            <w:r>
              <w:rPr>
                <w:szCs w:val="24"/>
                <w:lang w:eastAsia="lt-LT"/>
              </w:rPr>
              <w:t>;</w:t>
            </w:r>
          </w:p>
          <w:p w14:paraId="5AE95204" w14:textId="77777777" w:rsidR="004F61EB" w:rsidRDefault="004F61EB" w:rsidP="00381CD1">
            <w:pPr>
              <w:jc w:val="both"/>
              <w:rPr>
                <w:szCs w:val="24"/>
                <w:lang w:eastAsia="lt-LT"/>
              </w:rPr>
            </w:pPr>
            <w:r>
              <w:rPr>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Pr="006607F4">
              <w:rPr>
                <w:rFonts w:eastAsia="Calibri"/>
                <w:i/>
                <w:iCs/>
                <w:color w:val="000000" w:themeColor="text1"/>
                <w:szCs w:val="22"/>
              </w:rPr>
              <w:t xml:space="preserve"> </w:t>
            </w:r>
            <w:r w:rsidRPr="006607F4">
              <w:rPr>
                <w:rFonts w:eastAsia="Calibri"/>
                <w:i/>
                <w:iCs/>
                <w:szCs w:val="22"/>
              </w:rPr>
              <w:t>(ši nuostata netaikoma, kai pareiškėjas yra fizinis asmuo; ši nuostata taikoma tik tais atvejais, kai finansines ataskaitas būtina rengti pagal įstatymus, taikomus juridiniam asmeniui, užsienio juridiniam asmeniui ar kitai organizacijai)</w:t>
            </w:r>
            <w:r w:rsidRPr="00381CD1">
              <w:rPr>
                <w:rFonts w:eastAsia="Calibri"/>
                <w:iCs/>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3FC3C2B" w14:textId="239C64F8" w:rsidR="004F61EB" w:rsidRPr="00381CD1" w:rsidRDefault="004F61EB" w:rsidP="006D56BC">
            <w:pPr>
              <w:jc w:val="both"/>
              <w:rPr>
                <w:szCs w:val="24"/>
                <w:lang w:eastAsia="lt-LT"/>
              </w:rPr>
            </w:pPr>
            <w:r>
              <w:rPr>
                <w:szCs w:val="24"/>
                <w:lang w:eastAsia="lt-LT"/>
              </w:rPr>
              <w:lastRenderedPageBreak/>
              <w:t xml:space="preserve">Informacijos šaltiniai: paraiška, </w:t>
            </w:r>
            <w:r w:rsidR="006D56BC" w:rsidRPr="00BC0377">
              <w:rPr>
                <w:color w:val="000000"/>
                <w:szCs w:val="24"/>
              </w:rPr>
              <w:t>Juridinių asmenų registro duomenys.</w:t>
            </w:r>
          </w:p>
        </w:tc>
        <w:tc>
          <w:tcPr>
            <w:tcW w:w="2126" w:type="dxa"/>
            <w:tcBorders>
              <w:top w:val="single" w:sz="4" w:space="0" w:color="000000"/>
              <w:left w:val="single" w:sz="4" w:space="0" w:color="000000"/>
              <w:bottom w:val="single" w:sz="4" w:space="0" w:color="000000"/>
              <w:right w:val="single" w:sz="4" w:space="0" w:color="000000"/>
            </w:tcBorders>
          </w:tcPr>
          <w:p w14:paraId="3E9D19DC"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2BF5D767" w14:textId="77777777" w:rsidR="004F61EB" w:rsidRDefault="004F61EB" w:rsidP="00381CD1">
            <w:pPr>
              <w:rPr>
                <w:szCs w:val="24"/>
                <w:lang w:eastAsia="lt-LT"/>
              </w:rPr>
            </w:pPr>
          </w:p>
        </w:tc>
      </w:tr>
      <w:tr w:rsidR="004F61EB" w14:paraId="7A062D20"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tcPr>
          <w:p w14:paraId="115EE766" w14:textId="77777777" w:rsidR="004F61EB" w:rsidRDefault="004F61EB" w:rsidP="00381CD1">
            <w:pPr>
              <w:jc w:val="both"/>
              <w:rPr>
                <w:b/>
                <w:bCs/>
                <w:szCs w:val="24"/>
                <w:lang w:eastAsia="lt-LT"/>
              </w:rPr>
            </w:pPr>
            <w:r>
              <w:rPr>
                <w:szCs w:val="24"/>
                <w:lang w:eastAsia="lt-LT"/>
              </w:rPr>
              <w:lastRenderedPageBreak/>
              <w:t>5.5. Pareiškėjas ir partneris (-iai) turi (gali užtikrinti) pakankamus administravimo gebėjimus vykdyti projektą.</w:t>
            </w:r>
          </w:p>
        </w:tc>
        <w:tc>
          <w:tcPr>
            <w:tcW w:w="2410" w:type="dxa"/>
            <w:tcBorders>
              <w:top w:val="single" w:sz="4" w:space="0" w:color="000000"/>
              <w:left w:val="single" w:sz="4" w:space="0" w:color="000000"/>
              <w:bottom w:val="single" w:sz="4" w:space="0" w:color="000000"/>
              <w:right w:val="single" w:sz="4" w:space="0" w:color="000000"/>
            </w:tcBorders>
          </w:tcPr>
          <w:p w14:paraId="00DFDBD9" w14:textId="77777777" w:rsidR="004F61EB" w:rsidRPr="00381CD1" w:rsidRDefault="004F61EB" w:rsidP="00381CD1">
            <w:pPr>
              <w:jc w:val="both"/>
              <w:rPr>
                <w:szCs w:val="24"/>
                <w:lang w:eastAsia="lt-LT"/>
              </w:rPr>
            </w:pPr>
            <w:r>
              <w:rPr>
                <w:szCs w:val="24"/>
                <w:lang w:eastAsia="lt-LT"/>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2701B241"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072037B7" w14:textId="77777777" w:rsidR="004F61EB" w:rsidRDefault="004F61EB" w:rsidP="00381CD1">
            <w:pPr>
              <w:rPr>
                <w:szCs w:val="24"/>
                <w:lang w:eastAsia="lt-LT"/>
              </w:rPr>
            </w:pPr>
          </w:p>
        </w:tc>
      </w:tr>
      <w:tr w:rsidR="004F61EB" w14:paraId="0C36D6DB"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tcPr>
          <w:p w14:paraId="0204E6D7" w14:textId="21EF1287" w:rsidR="004F61EB" w:rsidRPr="00BC0377" w:rsidRDefault="004F61EB" w:rsidP="00381CD1">
            <w:pPr>
              <w:jc w:val="both"/>
              <w:rPr>
                <w:spacing w:val="-4"/>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tc>
        <w:tc>
          <w:tcPr>
            <w:tcW w:w="2410" w:type="dxa"/>
            <w:tcBorders>
              <w:top w:val="single" w:sz="4" w:space="0" w:color="000000"/>
              <w:left w:val="single" w:sz="4" w:space="0" w:color="000000"/>
              <w:bottom w:val="single" w:sz="4" w:space="0" w:color="000000"/>
              <w:right w:val="single" w:sz="4" w:space="0" w:color="000000"/>
            </w:tcBorders>
          </w:tcPr>
          <w:p w14:paraId="3225C5F1" w14:textId="521BA635" w:rsidR="004F61EB" w:rsidRDefault="00854046" w:rsidP="00381CD1">
            <w:pPr>
              <w:jc w:val="both"/>
              <w:rPr>
                <w:rFonts w:eastAsia="Calibri"/>
                <w:szCs w:val="24"/>
              </w:rPr>
            </w:pPr>
            <w:r>
              <w:rPr>
                <w:rFonts w:eastAsia="Calibri"/>
                <w:szCs w:val="24"/>
              </w:rPr>
              <w:t>Netaikoma.</w:t>
            </w:r>
          </w:p>
        </w:tc>
        <w:tc>
          <w:tcPr>
            <w:tcW w:w="2126" w:type="dxa"/>
            <w:tcBorders>
              <w:top w:val="single" w:sz="4" w:space="0" w:color="000000"/>
              <w:left w:val="single" w:sz="4" w:space="0" w:color="000000"/>
              <w:bottom w:val="single" w:sz="4" w:space="0" w:color="000000"/>
              <w:right w:val="single" w:sz="4" w:space="0" w:color="000000"/>
            </w:tcBorders>
          </w:tcPr>
          <w:p w14:paraId="6E277B0D"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7BA88D04" w14:textId="77777777" w:rsidR="004F61EB" w:rsidRDefault="004F61EB" w:rsidP="00381CD1">
            <w:pPr>
              <w:rPr>
                <w:szCs w:val="24"/>
                <w:lang w:eastAsia="lt-LT"/>
              </w:rPr>
            </w:pPr>
          </w:p>
        </w:tc>
      </w:tr>
      <w:tr w:rsidR="004F61EB" w14:paraId="5CD4D019" w14:textId="77777777" w:rsidTr="00BC0377">
        <w:trPr>
          <w:trHeight w:val="20"/>
        </w:trPr>
        <w:tc>
          <w:tcPr>
            <w:tcW w:w="3289" w:type="dxa"/>
            <w:tcBorders>
              <w:top w:val="single" w:sz="4" w:space="0" w:color="000000"/>
              <w:left w:val="single" w:sz="4" w:space="0" w:color="000000"/>
              <w:bottom w:val="single" w:sz="4" w:space="0" w:color="000000"/>
              <w:right w:val="single" w:sz="4" w:space="0" w:color="000000"/>
            </w:tcBorders>
          </w:tcPr>
          <w:p w14:paraId="79280486" w14:textId="2F2361E6" w:rsidR="004F61EB" w:rsidRPr="00BC0377" w:rsidRDefault="004F61EB" w:rsidP="00381CD1">
            <w:pPr>
              <w:jc w:val="both"/>
              <w:rPr>
                <w:szCs w:val="24"/>
              </w:rPr>
            </w:pPr>
            <w:r>
              <w:rPr>
                <w:rFonts w:eastAsia="Calibri"/>
                <w:szCs w:val="24"/>
              </w:rPr>
              <w:t>5.7. Partnerystė įgyvendinant projektą yra pagrįsta ir teikia naudą</w:t>
            </w:r>
            <w:r>
              <w:rPr>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F428E21" w14:textId="3969A7A8" w:rsidR="004F61EB" w:rsidRDefault="00854046" w:rsidP="00381CD1">
            <w:pPr>
              <w:jc w:val="both"/>
              <w:rPr>
                <w:rFonts w:eastAsia="Calibri"/>
                <w:szCs w:val="24"/>
              </w:rPr>
            </w:pPr>
            <w:r>
              <w:rPr>
                <w:szCs w:val="24"/>
              </w:rPr>
              <w:t>Netaikoma</w:t>
            </w:r>
            <w:r w:rsidR="004F61EB">
              <w:rPr>
                <w:szCs w:val="24"/>
              </w:rPr>
              <w:t>.</w:t>
            </w:r>
            <w:r w:rsidR="00953486">
              <w:rPr>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7534ECD" w14:textId="77777777" w:rsidR="004F61EB" w:rsidRDefault="004F61EB" w:rsidP="00381CD1">
            <w:pPr>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2202B48A" w14:textId="77777777" w:rsidR="004F61EB" w:rsidRDefault="004F61EB" w:rsidP="00381CD1">
            <w:pPr>
              <w:rPr>
                <w:szCs w:val="24"/>
                <w:lang w:eastAsia="lt-LT"/>
              </w:rPr>
            </w:pPr>
          </w:p>
        </w:tc>
      </w:tr>
    </w:tbl>
    <w:p w14:paraId="5B19B0BA" w14:textId="1FF3105A" w:rsidR="004F61EB" w:rsidRDefault="004F61EB" w:rsidP="00BC0377">
      <w:pPr>
        <w:pStyle w:val="BodyText1"/>
        <w:spacing w:line="240" w:lineRule="auto"/>
        <w:ind w:firstLine="0"/>
        <w:rPr>
          <w:sz w:val="24"/>
          <w:szCs w:val="24"/>
        </w:rPr>
      </w:pPr>
    </w:p>
    <w:p w14:paraId="31D8E0B9" w14:textId="77DF23E3" w:rsidR="009A1293" w:rsidRDefault="002B796A" w:rsidP="00AD6AFE">
      <w:pPr>
        <w:pStyle w:val="BodyText1"/>
        <w:spacing w:line="240" w:lineRule="auto"/>
        <w:ind w:left="720" w:firstLine="0"/>
        <w:rPr>
          <w:sz w:val="24"/>
          <w:szCs w:val="24"/>
        </w:rPr>
      </w:pPr>
      <w:r>
        <w:rPr>
          <w:sz w:val="24"/>
          <w:szCs w:val="24"/>
        </w:rPr>
        <w:t>2.30</w:t>
      </w:r>
      <w:r w:rsidR="009A1293">
        <w:rPr>
          <w:sz w:val="24"/>
          <w:szCs w:val="24"/>
        </w:rPr>
        <w:t>. Pakeičiu 1 priedo 6 punktą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410"/>
        <w:gridCol w:w="2126"/>
        <w:gridCol w:w="1701"/>
      </w:tblGrid>
      <w:tr w:rsidR="009C440B" w14:paraId="66631375" w14:textId="77777777" w:rsidTr="00BC0377">
        <w:trPr>
          <w:trHeight w:val="20"/>
        </w:trPr>
        <w:tc>
          <w:tcPr>
            <w:tcW w:w="9526" w:type="dxa"/>
            <w:gridSpan w:val="4"/>
            <w:tcBorders>
              <w:top w:val="single" w:sz="4" w:space="0" w:color="000000"/>
              <w:left w:val="single" w:sz="4" w:space="0" w:color="000000"/>
              <w:bottom w:val="single" w:sz="4" w:space="0" w:color="auto"/>
              <w:right w:val="single" w:sz="4" w:space="0" w:color="000000"/>
            </w:tcBorders>
            <w:shd w:val="clear" w:color="auto" w:fill="D9D9D9"/>
          </w:tcPr>
          <w:p w14:paraId="423E2D77" w14:textId="68B43AE2" w:rsidR="009C440B" w:rsidRDefault="009C440B" w:rsidP="00381CD1">
            <w:pPr>
              <w:jc w:val="both"/>
              <w:rPr>
                <w:szCs w:val="24"/>
                <w:lang w:eastAsia="lt-LT"/>
              </w:rPr>
            </w:pPr>
            <w:r>
              <w:rPr>
                <w:szCs w:val="24"/>
                <w:lang w:eastAsia="lt-LT"/>
              </w:rPr>
              <w:br w:type="page"/>
            </w:r>
            <w:r w:rsidR="00953486" w:rsidRPr="00953486">
              <w:rPr>
                <w:szCs w:val="24"/>
                <w:lang w:eastAsia="lt-LT"/>
              </w:rPr>
              <w:t>„</w:t>
            </w:r>
            <w:r>
              <w:rPr>
                <w:b/>
                <w:bCs/>
                <w:szCs w:val="24"/>
                <w:lang w:eastAsia="lt-LT"/>
              </w:rPr>
              <w:t>6. Projekto išlaidų finansavimo šaltiniai aiškiai nustatyti ir užtikrinti.</w:t>
            </w:r>
          </w:p>
        </w:tc>
      </w:tr>
      <w:tr w:rsidR="009C440B" w14:paraId="476EBF5F" w14:textId="77777777" w:rsidTr="00BC0377">
        <w:trPr>
          <w:trHeight w:val="20"/>
        </w:trPr>
        <w:tc>
          <w:tcPr>
            <w:tcW w:w="3289" w:type="dxa"/>
            <w:tcBorders>
              <w:top w:val="single" w:sz="4" w:space="0" w:color="000000"/>
              <w:left w:val="single" w:sz="4" w:space="0" w:color="000000"/>
              <w:bottom w:val="single" w:sz="4" w:space="0" w:color="auto"/>
              <w:right w:val="single" w:sz="4" w:space="0" w:color="000000"/>
            </w:tcBorders>
          </w:tcPr>
          <w:p w14:paraId="2FC80C64" w14:textId="77498589" w:rsidR="009C440B" w:rsidRPr="00BC0377" w:rsidRDefault="009C440B" w:rsidP="00381CD1">
            <w:pPr>
              <w:jc w:val="both"/>
              <w:rPr>
                <w:szCs w:val="24"/>
                <w:lang w:eastAsia="lt-LT"/>
              </w:rPr>
            </w:pPr>
            <w:r>
              <w:rPr>
                <w:szCs w:val="24"/>
                <w:lang w:eastAsia="lt-LT"/>
              </w:rPr>
              <w:t xml:space="preserve">6.1. Pareiškėjo ir (ar) partnerio (-ių) įnašas atitinka projektų finansavimo sąlygų apraše nustatytus reikalavimus ir yra užtikrintas įnašo finansavimas. </w:t>
            </w:r>
          </w:p>
        </w:tc>
        <w:tc>
          <w:tcPr>
            <w:tcW w:w="2410" w:type="dxa"/>
            <w:tcBorders>
              <w:top w:val="single" w:sz="4" w:space="0" w:color="000000"/>
              <w:left w:val="single" w:sz="4" w:space="0" w:color="000000"/>
              <w:bottom w:val="single" w:sz="4" w:space="0" w:color="auto"/>
              <w:right w:val="single" w:sz="4" w:space="0" w:color="000000"/>
            </w:tcBorders>
          </w:tcPr>
          <w:p w14:paraId="6F5DD7BE" w14:textId="22F147AB" w:rsidR="009C440B" w:rsidRDefault="00D36D93" w:rsidP="00381CD1">
            <w:pPr>
              <w:jc w:val="both"/>
              <w:rPr>
                <w:szCs w:val="24"/>
                <w:lang w:eastAsia="lt-LT"/>
              </w:rPr>
            </w:pPr>
            <w:r>
              <w:rPr>
                <w:rFonts w:eastAsia="Calibri"/>
                <w:szCs w:val="24"/>
              </w:rPr>
              <w:t>Netaikoma.</w:t>
            </w:r>
          </w:p>
        </w:tc>
        <w:tc>
          <w:tcPr>
            <w:tcW w:w="2126" w:type="dxa"/>
            <w:tcBorders>
              <w:top w:val="single" w:sz="4" w:space="0" w:color="000000"/>
              <w:left w:val="single" w:sz="4" w:space="0" w:color="000000"/>
              <w:bottom w:val="single" w:sz="4" w:space="0" w:color="auto"/>
              <w:right w:val="single" w:sz="4" w:space="0" w:color="000000"/>
            </w:tcBorders>
          </w:tcPr>
          <w:p w14:paraId="7E2A85E9" w14:textId="77777777" w:rsidR="009C440B" w:rsidRDefault="009C440B" w:rsidP="00381CD1">
            <w:pPr>
              <w:jc w:val="center"/>
              <w:rPr>
                <w:szCs w:val="24"/>
                <w:lang w:eastAsia="lt-LT"/>
              </w:rPr>
            </w:pPr>
          </w:p>
        </w:tc>
        <w:tc>
          <w:tcPr>
            <w:tcW w:w="1701" w:type="dxa"/>
            <w:tcBorders>
              <w:top w:val="single" w:sz="4" w:space="0" w:color="000000"/>
              <w:left w:val="single" w:sz="4" w:space="0" w:color="000000"/>
              <w:bottom w:val="single" w:sz="4" w:space="0" w:color="auto"/>
              <w:right w:val="single" w:sz="4" w:space="0" w:color="000000"/>
            </w:tcBorders>
          </w:tcPr>
          <w:p w14:paraId="40603F72" w14:textId="77777777" w:rsidR="009C440B" w:rsidRDefault="009C440B" w:rsidP="00381CD1">
            <w:pPr>
              <w:rPr>
                <w:szCs w:val="24"/>
                <w:lang w:eastAsia="lt-LT"/>
              </w:rPr>
            </w:pPr>
          </w:p>
        </w:tc>
      </w:tr>
      <w:tr w:rsidR="009C440B" w14:paraId="7426E4A5" w14:textId="77777777" w:rsidTr="00BC0377">
        <w:trPr>
          <w:trHeight w:val="20"/>
        </w:trPr>
        <w:tc>
          <w:tcPr>
            <w:tcW w:w="3289" w:type="dxa"/>
            <w:tcBorders>
              <w:top w:val="single" w:sz="4" w:space="0" w:color="000000"/>
              <w:left w:val="single" w:sz="4" w:space="0" w:color="000000"/>
              <w:bottom w:val="single" w:sz="4" w:space="0" w:color="auto"/>
              <w:right w:val="single" w:sz="4" w:space="0" w:color="000000"/>
            </w:tcBorders>
          </w:tcPr>
          <w:p w14:paraId="7EB079DF" w14:textId="77777777" w:rsidR="009C440B" w:rsidRDefault="009C440B" w:rsidP="00381CD1">
            <w:pPr>
              <w:jc w:val="both"/>
              <w:rPr>
                <w:b/>
                <w:bCs/>
                <w:szCs w:val="24"/>
                <w:lang w:eastAsia="lt-LT"/>
              </w:rPr>
            </w:pPr>
            <w:r>
              <w:rPr>
                <w:szCs w:val="24"/>
                <w:lang w:eastAsia="lt-LT"/>
              </w:rPr>
              <w:lastRenderedPageBreak/>
              <w:t>6.2. Užtikrintas netinkamų finansuoti su projektu susijusių išlaidų padengimas.</w:t>
            </w:r>
          </w:p>
        </w:tc>
        <w:tc>
          <w:tcPr>
            <w:tcW w:w="2410" w:type="dxa"/>
            <w:tcBorders>
              <w:top w:val="single" w:sz="4" w:space="0" w:color="000000"/>
              <w:left w:val="single" w:sz="4" w:space="0" w:color="000000"/>
              <w:bottom w:val="single" w:sz="4" w:space="0" w:color="auto"/>
              <w:right w:val="single" w:sz="4" w:space="0" w:color="000000"/>
            </w:tcBorders>
          </w:tcPr>
          <w:p w14:paraId="53406276" w14:textId="666A85E1" w:rsidR="009C440B" w:rsidRPr="00D36D93" w:rsidRDefault="00D36D93" w:rsidP="005520F8">
            <w:pPr>
              <w:jc w:val="both"/>
              <w:rPr>
                <w:szCs w:val="24"/>
                <w:lang w:eastAsia="lt-LT"/>
              </w:rPr>
            </w:pPr>
            <w:r w:rsidRPr="00BC0377">
              <w:rPr>
                <w:color w:val="000000"/>
                <w:szCs w:val="24"/>
              </w:rPr>
              <w:t xml:space="preserve">Informacijos šaltiniai: duomenys tikrinami pagal Juridinių asmenų registro duomenis, pareiškėjo kreditorių ir debitorių sąrašą (nurodomi kreditoriniai ir debitoriniai įsiskolinimai ir sąrašas, sudarytas ne vėliau kaip prieš </w:t>
            </w:r>
            <w:r w:rsidR="006730E6">
              <w:rPr>
                <w:color w:val="000000"/>
                <w:szCs w:val="24"/>
              </w:rPr>
              <w:br/>
            </w:r>
            <w:r w:rsidRPr="00BC0377">
              <w:rPr>
                <w:color w:val="000000"/>
                <w:szCs w:val="24"/>
              </w:rPr>
              <w:t xml:space="preserve">30 dienų iki paraiškos pateikimo </w:t>
            </w:r>
            <w:r w:rsidR="005520F8">
              <w:rPr>
                <w:color w:val="000000"/>
                <w:szCs w:val="24"/>
              </w:rPr>
              <w:t>įgyvendinančiajai institucijai</w:t>
            </w:r>
            <w:r w:rsidRPr="00BC0377">
              <w:rPr>
                <w:color w:val="000000"/>
                <w:szCs w:val="24"/>
              </w:rPr>
              <w:t xml:space="preserve">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 planuojamus finansavimo šaltinius (nuosavos lėšos, bankų ir kitų kredito įstaigų, juridinių asmenų </w:t>
            </w:r>
            <w:r w:rsidRPr="00BC0377">
              <w:rPr>
                <w:color w:val="000000"/>
                <w:szCs w:val="24"/>
              </w:rPr>
              <w:lastRenderedPageBreak/>
              <w:t>paskolos ir kiti šaltiniai); kitus dokumentus, įrodančius pareiškėjo gebėjimus užtikrinti savo veiklos tęstinumą per visą projekto įgyvendinimo laikotarpį ir prisidėti prie projekto finansavimo.</w:t>
            </w:r>
          </w:p>
        </w:tc>
        <w:tc>
          <w:tcPr>
            <w:tcW w:w="2126" w:type="dxa"/>
            <w:tcBorders>
              <w:top w:val="single" w:sz="4" w:space="0" w:color="000000"/>
              <w:left w:val="single" w:sz="4" w:space="0" w:color="000000"/>
              <w:bottom w:val="single" w:sz="4" w:space="0" w:color="auto"/>
              <w:right w:val="single" w:sz="4" w:space="0" w:color="000000"/>
            </w:tcBorders>
          </w:tcPr>
          <w:p w14:paraId="680E2BD8" w14:textId="77777777" w:rsidR="009C440B" w:rsidRDefault="009C440B" w:rsidP="00381CD1">
            <w:pPr>
              <w:jc w:val="center"/>
              <w:rPr>
                <w:szCs w:val="24"/>
                <w:lang w:eastAsia="lt-LT"/>
              </w:rPr>
            </w:pPr>
          </w:p>
        </w:tc>
        <w:tc>
          <w:tcPr>
            <w:tcW w:w="1701" w:type="dxa"/>
            <w:tcBorders>
              <w:top w:val="single" w:sz="4" w:space="0" w:color="000000"/>
              <w:left w:val="single" w:sz="4" w:space="0" w:color="000000"/>
              <w:bottom w:val="single" w:sz="4" w:space="0" w:color="auto"/>
              <w:right w:val="single" w:sz="4" w:space="0" w:color="000000"/>
            </w:tcBorders>
          </w:tcPr>
          <w:p w14:paraId="02B4FBA7" w14:textId="77777777" w:rsidR="009C440B" w:rsidRDefault="009C440B" w:rsidP="00381CD1">
            <w:pPr>
              <w:rPr>
                <w:szCs w:val="24"/>
                <w:lang w:eastAsia="lt-LT"/>
              </w:rPr>
            </w:pPr>
          </w:p>
        </w:tc>
      </w:tr>
      <w:tr w:rsidR="009C440B" w14:paraId="5497C853" w14:textId="77777777" w:rsidTr="00BC0377">
        <w:trPr>
          <w:trHeight w:val="20"/>
        </w:trPr>
        <w:tc>
          <w:tcPr>
            <w:tcW w:w="3289" w:type="dxa"/>
            <w:tcBorders>
              <w:top w:val="single" w:sz="4" w:space="0" w:color="000000"/>
              <w:left w:val="single" w:sz="4" w:space="0" w:color="000000"/>
              <w:bottom w:val="single" w:sz="4" w:space="0" w:color="auto"/>
              <w:right w:val="single" w:sz="4" w:space="0" w:color="000000"/>
            </w:tcBorders>
          </w:tcPr>
          <w:p w14:paraId="131E89E1" w14:textId="77777777" w:rsidR="009C440B" w:rsidRDefault="009C440B" w:rsidP="00381CD1">
            <w:pPr>
              <w:jc w:val="both"/>
              <w:rPr>
                <w:b/>
                <w:bCs/>
                <w:szCs w:val="24"/>
                <w:lang w:eastAsia="lt-LT"/>
              </w:rPr>
            </w:pPr>
            <w:r>
              <w:rPr>
                <w:szCs w:val="24"/>
                <w:lang w:eastAsia="lt-LT"/>
              </w:rPr>
              <w:t xml:space="preserve">6.3. Užtikrintas finansinis projekto (veiklų) rezultatų tęstinumas. </w:t>
            </w:r>
          </w:p>
        </w:tc>
        <w:tc>
          <w:tcPr>
            <w:tcW w:w="2410" w:type="dxa"/>
            <w:tcBorders>
              <w:top w:val="single" w:sz="4" w:space="0" w:color="000000"/>
              <w:left w:val="single" w:sz="4" w:space="0" w:color="000000"/>
              <w:bottom w:val="single" w:sz="4" w:space="0" w:color="auto"/>
              <w:right w:val="single" w:sz="4" w:space="0" w:color="000000"/>
            </w:tcBorders>
          </w:tcPr>
          <w:p w14:paraId="159C3191" w14:textId="506F683A" w:rsidR="009C440B" w:rsidRPr="00BC0377" w:rsidRDefault="00D36D93" w:rsidP="00381CD1">
            <w:pPr>
              <w:jc w:val="both"/>
              <w:rPr>
                <w:rFonts w:eastAsia="Calibri"/>
                <w:szCs w:val="24"/>
              </w:rPr>
            </w:pPr>
            <w:r>
              <w:rPr>
                <w:rFonts w:eastAsia="Calibri"/>
                <w:szCs w:val="24"/>
              </w:rPr>
              <w:t>Informacijos šaltinis – paraiška</w:t>
            </w:r>
            <w:r w:rsidR="009C440B">
              <w:rPr>
                <w:rFonts w:eastAsia="Calibri"/>
                <w:szCs w:val="24"/>
              </w:rPr>
              <w:t>.</w:t>
            </w:r>
          </w:p>
        </w:tc>
        <w:tc>
          <w:tcPr>
            <w:tcW w:w="2126" w:type="dxa"/>
            <w:tcBorders>
              <w:top w:val="single" w:sz="4" w:space="0" w:color="000000"/>
              <w:left w:val="single" w:sz="4" w:space="0" w:color="000000"/>
              <w:bottom w:val="single" w:sz="4" w:space="0" w:color="auto"/>
              <w:right w:val="single" w:sz="4" w:space="0" w:color="000000"/>
            </w:tcBorders>
          </w:tcPr>
          <w:p w14:paraId="24263D54" w14:textId="77777777" w:rsidR="009C440B" w:rsidRDefault="009C440B" w:rsidP="00381CD1">
            <w:pPr>
              <w:jc w:val="center"/>
              <w:rPr>
                <w:szCs w:val="24"/>
                <w:lang w:eastAsia="lt-LT"/>
              </w:rPr>
            </w:pPr>
          </w:p>
        </w:tc>
        <w:tc>
          <w:tcPr>
            <w:tcW w:w="1701" w:type="dxa"/>
            <w:tcBorders>
              <w:top w:val="single" w:sz="4" w:space="0" w:color="000000"/>
              <w:left w:val="single" w:sz="4" w:space="0" w:color="000000"/>
              <w:bottom w:val="single" w:sz="4" w:space="0" w:color="auto"/>
              <w:right w:val="single" w:sz="4" w:space="0" w:color="000000"/>
            </w:tcBorders>
          </w:tcPr>
          <w:p w14:paraId="6A0B7516" w14:textId="77777777" w:rsidR="009C440B" w:rsidRDefault="009C440B" w:rsidP="00381CD1">
            <w:pPr>
              <w:rPr>
                <w:szCs w:val="24"/>
                <w:lang w:eastAsia="lt-LT"/>
              </w:rPr>
            </w:pPr>
          </w:p>
        </w:tc>
      </w:tr>
      <w:tr w:rsidR="009C440B" w14:paraId="709AA75F" w14:textId="77777777" w:rsidTr="00BC0377">
        <w:trPr>
          <w:trHeight w:val="20"/>
        </w:trPr>
        <w:tc>
          <w:tcPr>
            <w:tcW w:w="3289" w:type="dxa"/>
            <w:tcBorders>
              <w:top w:val="single" w:sz="4" w:space="0" w:color="000000"/>
              <w:left w:val="single" w:sz="4" w:space="0" w:color="000000"/>
              <w:bottom w:val="single" w:sz="4" w:space="0" w:color="auto"/>
              <w:right w:val="single" w:sz="4" w:space="0" w:color="000000"/>
            </w:tcBorders>
          </w:tcPr>
          <w:p w14:paraId="5DECF13E" w14:textId="77777777" w:rsidR="009C440B" w:rsidRDefault="009C440B" w:rsidP="00381CD1">
            <w:pPr>
              <w:jc w:val="both"/>
              <w:rPr>
                <w:szCs w:val="24"/>
                <w:lang w:eastAsia="lt-LT"/>
              </w:rPr>
            </w:pPr>
            <w:r w:rsidRPr="006607F4">
              <w:rPr>
                <w:szCs w:val="24"/>
                <w:lang w:eastAsia="lt-LT"/>
              </w:rPr>
              <w:t>6.4. Projektas atitinka Europos investicijų banko nustatytas išlaidų tinkamumo finansuoti sąlygas.</w:t>
            </w:r>
          </w:p>
        </w:tc>
        <w:tc>
          <w:tcPr>
            <w:tcW w:w="2410" w:type="dxa"/>
            <w:tcBorders>
              <w:top w:val="single" w:sz="4" w:space="0" w:color="000000"/>
              <w:left w:val="single" w:sz="4" w:space="0" w:color="000000"/>
              <w:bottom w:val="single" w:sz="4" w:space="0" w:color="auto"/>
              <w:right w:val="single" w:sz="4" w:space="0" w:color="000000"/>
            </w:tcBorders>
          </w:tcPr>
          <w:p w14:paraId="65EFB03D" w14:textId="684D2C31" w:rsidR="009C440B" w:rsidRDefault="009C440B" w:rsidP="00381CD1">
            <w:pPr>
              <w:jc w:val="both"/>
              <w:rPr>
                <w:rFonts w:eastAsia="Calibri"/>
                <w:szCs w:val="24"/>
              </w:rPr>
            </w:pPr>
            <w:r w:rsidRPr="006607F4">
              <w:rPr>
                <w:rFonts w:eastAsia="Calibri"/>
                <w:szCs w:val="24"/>
              </w:rPr>
              <w:t>Netaikoma.</w:t>
            </w:r>
            <w:r w:rsidR="00953486">
              <w:rPr>
                <w:rFonts w:eastAsia="Calibri"/>
                <w:szCs w:val="24"/>
              </w:rPr>
              <w:t>“</w:t>
            </w:r>
          </w:p>
        </w:tc>
        <w:tc>
          <w:tcPr>
            <w:tcW w:w="2126" w:type="dxa"/>
            <w:tcBorders>
              <w:top w:val="single" w:sz="4" w:space="0" w:color="000000"/>
              <w:left w:val="single" w:sz="4" w:space="0" w:color="000000"/>
              <w:bottom w:val="single" w:sz="4" w:space="0" w:color="auto"/>
              <w:right w:val="single" w:sz="4" w:space="0" w:color="000000"/>
            </w:tcBorders>
          </w:tcPr>
          <w:p w14:paraId="3748F066" w14:textId="77777777" w:rsidR="009C440B" w:rsidRDefault="009C440B" w:rsidP="00381CD1">
            <w:pPr>
              <w:jc w:val="center"/>
              <w:rPr>
                <w:szCs w:val="24"/>
                <w:lang w:eastAsia="lt-LT"/>
              </w:rPr>
            </w:pPr>
          </w:p>
        </w:tc>
        <w:tc>
          <w:tcPr>
            <w:tcW w:w="1701" w:type="dxa"/>
            <w:tcBorders>
              <w:top w:val="single" w:sz="4" w:space="0" w:color="000000"/>
              <w:left w:val="single" w:sz="4" w:space="0" w:color="000000"/>
              <w:bottom w:val="single" w:sz="4" w:space="0" w:color="auto"/>
              <w:right w:val="single" w:sz="4" w:space="0" w:color="000000"/>
            </w:tcBorders>
          </w:tcPr>
          <w:p w14:paraId="043B438A" w14:textId="77777777" w:rsidR="009C440B" w:rsidRDefault="009C440B" w:rsidP="00381CD1">
            <w:pPr>
              <w:rPr>
                <w:szCs w:val="24"/>
                <w:lang w:eastAsia="lt-LT"/>
              </w:rPr>
            </w:pPr>
          </w:p>
        </w:tc>
      </w:tr>
    </w:tbl>
    <w:p w14:paraId="7796D113" w14:textId="77777777" w:rsidR="005517E3" w:rsidRDefault="005517E3" w:rsidP="00AD6AFE">
      <w:pPr>
        <w:pStyle w:val="BodyText1"/>
        <w:spacing w:line="240" w:lineRule="auto"/>
        <w:ind w:left="720" w:firstLine="0"/>
        <w:rPr>
          <w:sz w:val="24"/>
          <w:szCs w:val="24"/>
        </w:rPr>
      </w:pPr>
    </w:p>
    <w:p w14:paraId="6FDFBF82" w14:textId="4670B406" w:rsidR="005517E3" w:rsidRDefault="002B796A" w:rsidP="00AD6AFE">
      <w:pPr>
        <w:pStyle w:val="BodyText1"/>
        <w:spacing w:line="240" w:lineRule="auto"/>
        <w:ind w:left="720" w:firstLine="0"/>
        <w:rPr>
          <w:sz w:val="24"/>
          <w:szCs w:val="24"/>
        </w:rPr>
      </w:pPr>
      <w:r>
        <w:rPr>
          <w:sz w:val="24"/>
          <w:szCs w:val="24"/>
        </w:rPr>
        <w:t>2.31</w:t>
      </w:r>
      <w:r w:rsidR="005517E3">
        <w:rPr>
          <w:sz w:val="24"/>
          <w:szCs w:val="24"/>
        </w:rPr>
        <w:t>. Pakeičiu 1 priedo 7.5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410"/>
        <w:gridCol w:w="2127"/>
        <w:gridCol w:w="1700"/>
      </w:tblGrid>
      <w:tr w:rsidR="005517E3" w14:paraId="72A642D1" w14:textId="77777777" w:rsidTr="005517E3">
        <w:trPr>
          <w:trHeight w:val="1104"/>
        </w:trPr>
        <w:tc>
          <w:tcPr>
            <w:tcW w:w="3289" w:type="dxa"/>
            <w:tcBorders>
              <w:top w:val="single" w:sz="4" w:space="0" w:color="000000"/>
              <w:left w:val="single" w:sz="4" w:space="0" w:color="000000"/>
              <w:bottom w:val="single" w:sz="4" w:space="0" w:color="000000"/>
              <w:right w:val="single" w:sz="4" w:space="0" w:color="000000"/>
            </w:tcBorders>
            <w:hideMark/>
          </w:tcPr>
          <w:p w14:paraId="75C2D6EF" w14:textId="77777777" w:rsidR="005517E3" w:rsidRDefault="005517E3" w:rsidP="007D20D8">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w:t>
            </w:r>
            <w:r>
              <w:rPr>
                <w:spacing w:val="-4"/>
                <w:szCs w:val="24"/>
                <w:lang w:eastAsia="lt-LT"/>
              </w:rPr>
              <w:t>praše nustatytus reikalavimus.</w:t>
            </w:r>
          </w:p>
        </w:tc>
        <w:tc>
          <w:tcPr>
            <w:tcW w:w="2410" w:type="dxa"/>
            <w:tcBorders>
              <w:top w:val="single" w:sz="4" w:space="0" w:color="000000"/>
              <w:left w:val="single" w:sz="4" w:space="0" w:color="000000"/>
              <w:bottom w:val="single" w:sz="4" w:space="0" w:color="000000"/>
              <w:right w:val="single" w:sz="4" w:space="0" w:color="000000"/>
            </w:tcBorders>
          </w:tcPr>
          <w:p w14:paraId="4EBC80A4" w14:textId="7F1EDC70" w:rsidR="005517E3" w:rsidRDefault="005517E3" w:rsidP="007D20D8">
            <w:pPr>
              <w:jc w:val="both"/>
              <w:rPr>
                <w:rFonts w:eastAsia="Calibri"/>
                <w:szCs w:val="24"/>
              </w:rPr>
            </w:pPr>
            <w:r>
              <w:rPr>
                <w:rFonts w:eastAsia="Calibri"/>
                <w:szCs w:val="24"/>
              </w:rPr>
              <w:t>Projekto įgyvendinimo trukmė</w:t>
            </w:r>
            <w:r w:rsidR="0032749C">
              <w:rPr>
                <w:rFonts w:eastAsia="Calibri"/>
                <w:szCs w:val="24"/>
              </w:rPr>
              <w:t xml:space="preserve"> (</w:t>
            </w:r>
            <w:r>
              <w:rPr>
                <w:rFonts w:eastAsia="Calibri"/>
                <w:szCs w:val="24"/>
              </w:rPr>
              <w:t>terminas</w:t>
            </w:r>
            <w:r w:rsidR="0032749C">
              <w:rPr>
                <w:rFonts w:eastAsia="Calibri"/>
                <w:szCs w:val="24"/>
              </w:rPr>
              <w:t>)</w:t>
            </w:r>
            <w:r>
              <w:rPr>
                <w:rFonts w:eastAsia="Calibri"/>
                <w:szCs w:val="24"/>
              </w:rPr>
              <w:t xml:space="preserve"> turi atitikti</w:t>
            </w:r>
            <w:r w:rsidR="0032749C">
              <w:rPr>
                <w:rFonts w:eastAsia="Calibri"/>
                <w:szCs w:val="24"/>
              </w:rPr>
              <w:t xml:space="preserve"> </w:t>
            </w:r>
            <w:r>
              <w:rPr>
                <w:rFonts w:eastAsia="Calibri"/>
                <w:szCs w:val="24"/>
              </w:rPr>
              <w:t xml:space="preserve">Aprašo </w:t>
            </w:r>
            <w:r w:rsidR="006730E6">
              <w:rPr>
                <w:rFonts w:eastAsia="Calibri"/>
                <w:szCs w:val="24"/>
              </w:rPr>
              <w:br/>
            </w:r>
            <w:r>
              <w:rPr>
                <w:rFonts w:eastAsia="Calibri"/>
                <w:szCs w:val="24"/>
              </w:rPr>
              <w:t>19 punkte nustatytus reikalavimus.</w:t>
            </w:r>
          </w:p>
          <w:p w14:paraId="309FEA1F" w14:textId="77777777" w:rsidR="005517E3" w:rsidRDefault="005517E3" w:rsidP="007D20D8">
            <w:pPr>
              <w:jc w:val="both"/>
              <w:rPr>
                <w:szCs w:val="24"/>
                <w:lang w:eastAsia="lt-LT"/>
              </w:rPr>
            </w:pPr>
          </w:p>
          <w:p w14:paraId="01E5793D" w14:textId="77777777" w:rsidR="005517E3" w:rsidRPr="005517E3" w:rsidRDefault="005517E3" w:rsidP="007D20D8">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r>
              <w:rPr>
                <w:szCs w:val="24"/>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5B68C1B2" w14:textId="77777777" w:rsidR="005517E3" w:rsidRDefault="005517E3" w:rsidP="007D20D8">
            <w:pPr>
              <w:jc w:val="both"/>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CDBADC5" w14:textId="77777777" w:rsidR="005517E3" w:rsidRDefault="005517E3" w:rsidP="007D20D8">
            <w:pPr>
              <w:jc w:val="both"/>
              <w:rPr>
                <w:szCs w:val="24"/>
                <w:lang w:eastAsia="lt-LT"/>
              </w:rPr>
            </w:pPr>
          </w:p>
        </w:tc>
      </w:tr>
    </w:tbl>
    <w:p w14:paraId="631136C6" w14:textId="77777777" w:rsidR="00953486" w:rsidRDefault="00953486" w:rsidP="00FA1957">
      <w:pPr>
        <w:pStyle w:val="BodyText1"/>
        <w:spacing w:line="240" w:lineRule="auto"/>
        <w:ind w:firstLine="709"/>
        <w:rPr>
          <w:sz w:val="24"/>
          <w:szCs w:val="24"/>
        </w:rPr>
      </w:pPr>
    </w:p>
    <w:p w14:paraId="6F5E4D79" w14:textId="6CB72E0F" w:rsidR="00FA1957" w:rsidRDefault="002B796A" w:rsidP="00FA1957">
      <w:pPr>
        <w:pStyle w:val="BodyText1"/>
        <w:spacing w:line="240" w:lineRule="auto"/>
        <w:ind w:firstLine="709"/>
        <w:rPr>
          <w:sz w:val="24"/>
          <w:szCs w:val="24"/>
        </w:rPr>
      </w:pPr>
      <w:r>
        <w:rPr>
          <w:sz w:val="24"/>
          <w:szCs w:val="24"/>
        </w:rPr>
        <w:t>2.</w:t>
      </w:r>
      <w:r w:rsidR="00FA1957">
        <w:rPr>
          <w:sz w:val="24"/>
          <w:szCs w:val="24"/>
        </w:rPr>
        <w:t>3</w:t>
      </w:r>
      <w:r>
        <w:rPr>
          <w:sz w:val="24"/>
          <w:szCs w:val="24"/>
        </w:rPr>
        <w:t>2</w:t>
      </w:r>
      <w:r w:rsidR="00FA1957">
        <w:rPr>
          <w:sz w:val="24"/>
          <w:szCs w:val="24"/>
        </w:rPr>
        <w:t>. Pakeičiu 1 priedo 8 punktą</w:t>
      </w:r>
      <w:r w:rsidR="0032749C">
        <w:rPr>
          <w:sz w:val="24"/>
          <w:szCs w:val="24"/>
        </w:rPr>
        <w:t xml:space="preserve"> ir jį išdėstau taip</w:t>
      </w:r>
      <w:r w:rsidR="00FA1957">
        <w:rPr>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410"/>
        <w:gridCol w:w="2127"/>
        <w:gridCol w:w="1700"/>
      </w:tblGrid>
      <w:tr w:rsidR="00FA1957" w14:paraId="17A801C4" w14:textId="77777777" w:rsidTr="006730E6">
        <w:trPr>
          <w:trHeight w:val="20"/>
        </w:trPr>
        <w:tc>
          <w:tcPr>
            <w:tcW w:w="9526" w:type="dxa"/>
            <w:gridSpan w:val="4"/>
            <w:tcBorders>
              <w:top w:val="single" w:sz="4" w:space="0" w:color="000000"/>
              <w:left w:val="single" w:sz="4" w:space="0" w:color="000000"/>
              <w:bottom w:val="single" w:sz="4" w:space="0" w:color="auto"/>
              <w:right w:val="single" w:sz="4" w:space="0" w:color="000000"/>
            </w:tcBorders>
            <w:shd w:val="clear" w:color="auto" w:fill="D9D9D9"/>
          </w:tcPr>
          <w:p w14:paraId="0FCF1D69" w14:textId="77777777" w:rsidR="00FA1957" w:rsidRDefault="00FA1957" w:rsidP="007D20D8">
            <w:pPr>
              <w:rPr>
                <w:szCs w:val="24"/>
                <w:lang w:eastAsia="lt-LT"/>
              </w:rPr>
            </w:pPr>
            <w:r>
              <w:rPr>
                <w:bCs/>
                <w:szCs w:val="24"/>
                <w:lang w:eastAsia="lt-LT"/>
              </w:rPr>
              <w:t>„</w:t>
            </w:r>
            <w:r>
              <w:rPr>
                <w:b/>
                <w:bCs/>
                <w:szCs w:val="24"/>
                <w:lang w:eastAsia="lt-LT"/>
              </w:rPr>
              <w:t>8. Projekto veiklos vykdomos veiksmų programos įgyvendinimo teritorijoje.</w:t>
            </w:r>
          </w:p>
        </w:tc>
      </w:tr>
      <w:tr w:rsidR="00FA1957" w14:paraId="1583EE12" w14:textId="77777777" w:rsidTr="006730E6">
        <w:trPr>
          <w:trHeight w:val="20"/>
        </w:trPr>
        <w:tc>
          <w:tcPr>
            <w:tcW w:w="3289" w:type="dxa"/>
            <w:tcBorders>
              <w:top w:val="single" w:sz="4" w:space="0" w:color="auto"/>
              <w:left w:val="single" w:sz="4" w:space="0" w:color="auto"/>
              <w:bottom w:val="single" w:sz="4" w:space="0" w:color="auto"/>
              <w:right w:val="single" w:sz="4" w:space="0" w:color="auto"/>
            </w:tcBorders>
            <w:hideMark/>
          </w:tcPr>
          <w:p w14:paraId="23586DA8" w14:textId="77777777" w:rsidR="00FA1957" w:rsidRDefault="00FA1957" w:rsidP="007D20D8">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2739B61" w14:textId="77777777" w:rsidR="00FA1957" w:rsidRDefault="00FA1957" w:rsidP="007D20D8">
            <w:pPr>
              <w:jc w:val="both"/>
              <w:rPr>
                <w:szCs w:val="24"/>
                <w:lang w:eastAsia="lt-LT"/>
              </w:rPr>
            </w:pPr>
            <w:r>
              <w:rPr>
                <w:szCs w:val="24"/>
                <w:lang w:eastAsia="lt-LT"/>
              </w:rPr>
              <w:t xml:space="preserve">8.1.1. iš </w:t>
            </w:r>
            <w:r w:rsidRPr="00C37C15">
              <w:rPr>
                <w:szCs w:val="24"/>
                <w:lang w:eastAsia="lt-LT"/>
              </w:rPr>
              <w:t>E</w:t>
            </w:r>
            <w:r>
              <w:rPr>
                <w:szCs w:val="24"/>
                <w:lang w:eastAsia="lt-LT"/>
              </w:rPr>
              <w:t>uropos regioninės plėtros fondo</w:t>
            </w:r>
            <w:r w:rsidRPr="00C37C15">
              <w:rPr>
                <w:szCs w:val="24"/>
                <w:lang w:eastAsia="lt-LT"/>
              </w:rPr>
              <w:t xml:space="preserve"> ir S</w:t>
            </w:r>
            <w:r>
              <w:rPr>
                <w:szCs w:val="24"/>
                <w:lang w:eastAsia="lt-LT"/>
              </w:rPr>
              <w:t>anglaudos fondo</w:t>
            </w:r>
            <w:r w:rsidRPr="00C37C15">
              <w:rPr>
                <w:szCs w:val="24"/>
                <w:lang w:eastAsia="lt-LT"/>
              </w:rPr>
              <w:t xml:space="preserve"> </w:t>
            </w:r>
            <w:r>
              <w:rPr>
                <w:szCs w:val="24"/>
                <w:lang w:eastAsia="lt-LT"/>
              </w:rPr>
              <w:t>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781C8771" w14:textId="3E1661C1" w:rsidR="00FA1957" w:rsidRDefault="00FA1957" w:rsidP="007D20D8">
            <w:pPr>
              <w:jc w:val="both"/>
              <w:rPr>
                <w:szCs w:val="24"/>
                <w:lang w:eastAsia="lt-LT"/>
              </w:rPr>
            </w:pPr>
            <w:r>
              <w:rPr>
                <w:szCs w:val="24"/>
                <w:lang w:eastAsia="lt-LT"/>
              </w:rPr>
              <w:lastRenderedPageBreak/>
              <w:t xml:space="preserve">8.1.2. iš </w:t>
            </w:r>
            <w:r w:rsidR="0032749C" w:rsidRPr="0032749C">
              <w:rPr>
                <w:szCs w:val="24"/>
                <w:lang w:eastAsia="lt-LT"/>
              </w:rPr>
              <w:t>Europos socialinio fondo</w:t>
            </w:r>
            <w:r>
              <w:rPr>
                <w:szCs w:val="24"/>
                <w:lang w:eastAsia="lt-LT"/>
              </w:rPr>
              <w:t xml:space="preserve"> bendrai finansuojamo projekto veiklos vykdomos: </w:t>
            </w:r>
          </w:p>
          <w:p w14:paraId="7984E485" w14:textId="135C7030" w:rsidR="00FA1957" w:rsidRDefault="00DC6740" w:rsidP="007D20D8">
            <w:pPr>
              <w:jc w:val="both"/>
              <w:rPr>
                <w:szCs w:val="24"/>
                <w:lang w:eastAsia="lt-LT"/>
              </w:rPr>
            </w:pPr>
            <w:r>
              <w:rPr>
                <w:szCs w:val="24"/>
                <w:lang w:eastAsia="lt-LT"/>
              </w:rPr>
              <w:t xml:space="preserve">- </w:t>
            </w:r>
            <w:r w:rsidR="00FA1957">
              <w:rPr>
                <w:szCs w:val="24"/>
                <w:lang w:eastAsia="lt-LT"/>
              </w:rPr>
              <w:t>ES teritorijoje;</w:t>
            </w:r>
          </w:p>
          <w:p w14:paraId="7A3FC6DD" w14:textId="7BB0ED72" w:rsidR="00FA1957" w:rsidRDefault="00DC6740" w:rsidP="007D20D8">
            <w:pPr>
              <w:jc w:val="both"/>
              <w:rPr>
                <w:szCs w:val="24"/>
                <w:lang w:eastAsia="lt-LT"/>
              </w:rPr>
            </w:pPr>
            <w:r>
              <w:rPr>
                <w:szCs w:val="24"/>
                <w:lang w:eastAsia="lt-LT"/>
              </w:rPr>
              <w:t xml:space="preserve">- </w:t>
            </w:r>
            <w:r w:rsidR="00FA1957">
              <w:rPr>
                <w:szCs w:val="24"/>
                <w:lang w:eastAsia="lt-LT"/>
              </w:rPr>
              <w:t>ne ES teritorijoje, bet tokių veiklų išlaidos neviršija procento, nustatyto projektų finansavimo sąlygų apraše</w:t>
            </w:r>
            <w:r>
              <w:rPr>
                <w:szCs w:val="24"/>
                <w:lang w:eastAsia="lt-LT"/>
              </w:rPr>
              <w:t>;</w:t>
            </w:r>
          </w:p>
          <w:p w14:paraId="7BBCF28F" w14:textId="77777777" w:rsidR="00FA1957" w:rsidRDefault="00FA1957" w:rsidP="007D20D8">
            <w:pPr>
              <w:jc w:val="both"/>
              <w:rPr>
                <w:szCs w:val="24"/>
                <w:lang w:eastAsia="lt-LT"/>
              </w:rPr>
            </w:pPr>
            <w:r>
              <w:rPr>
                <w:szCs w:val="24"/>
                <w:lang w:eastAsia="lt-LT"/>
              </w:rPr>
              <w:t xml:space="preserve">8.1.3. vykdomos techninės paramos projektų veiklos. </w:t>
            </w:r>
          </w:p>
        </w:tc>
        <w:tc>
          <w:tcPr>
            <w:tcW w:w="2410" w:type="dxa"/>
            <w:tcBorders>
              <w:top w:val="single" w:sz="4" w:space="0" w:color="auto"/>
              <w:left w:val="single" w:sz="4" w:space="0" w:color="auto"/>
              <w:bottom w:val="single" w:sz="4" w:space="0" w:color="auto"/>
              <w:right w:val="single" w:sz="4" w:space="0" w:color="auto"/>
            </w:tcBorders>
          </w:tcPr>
          <w:p w14:paraId="1AB255E8" w14:textId="3EF16EB0" w:rsidR="00FA1957" w:rsidRDefault="00FA1957" w:rsidP="007D20D8">
            <w:pPr>
              <w:jc w:val="both"/>
              <w:rPr>
                <w:szCs w:val="24"/>
                <w:lang w:eastAsia="lt-LT"/>
              </w:rPr>
            </w:pPr>
            <w:r>
              <w:rPr>
                <w:rFonts w:eastAsia="Calibri"/>
                <w:szCs w:val="24"/>
              </w:rPr>
              <w:lastRenderedPageBreak/>
              <w:t xml:space="preserve">Projekto veiklų vykdymo teritorija turi atitikti Aprašo </w:t>
            </w:r>
            <w:r w:rsidR="006730E6">
              <w:rPr>
                <w:rFonts w:eastAsia="Calibri"/>
                <w:szCs w:val="24"/>
              </w:rPr>
              <w:br/>
            </w:r>
            <w:r>
              <w:rPr>
                <w:rFonts w:eastAsia="Calibri"/>
                <w:szCs w:val="24"/>
              </w:rPr>
              <w:t>21 punkte nustatytus  reikalavimus.</w:t>
            </w:r>
            <w:r>
              <w:rPr>
                <w:szCs w:val="24"/>
                <w:lang w:eastAsia="lt-LT"/>
              </w:rPr>
              <w:t xml:space="preserve"> </w:t>
            </w:r>
          </w:p>
          <w:p w14:paraId="469665CB" w14:textId="77777777" w:rsidR="00FA1957" w:rsidRDefault="00FA1957" w:rsidP="007D20D8">
            <w:pPr>
              <w:jc w:val="both"/>
              <w:rPr>
                <w:szCs w:val="24"/>
                <w:lang w:eastAsia="lt-LT"/>
              </w:rPr>
            </w:pPr>
          </w:p>
          <w:p w14:paraId="12CC05A6" w14:textId="77777777" w:rsidR="00FA1957" w:rsidRDefault="00FA1957" w:rsidP="007D20D8">
            <w:pPr>
              <w:jc w:val="both"/>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p>
          <w:p w14:paraId="3801702C" w14:textId="77777777" w:rsidR="00FA1957" w:rsidRDefault="00FA1957" w:rsidP="007D20D8">
            <w:pPr>
              <w:jc w:val="both"/>
              <w:rPr>
                <w:rFonts w:eastAsia="Calibri"/>
                <w:szCs w:val="24"/>
              </w:rPr>
            </w:pPr>
          </w:p>
          <w:p w14:paraId="2A390AAC" w14:textId="77777777" w:rsidR="00FA1957" w:rsidRDefault="00FA1957" w:rsidP="007D20D8">
            <w:pPr>
              <w:jc w:val="both"/>
              <w:rPr>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14:paraId="695B3549" w14:textId="77777777" w:rsidR="00FA1957" w:rsidRDefault="00FA1957" w:rsidP="007D20D8">
            <w:pPr>
              <w:jc w:val="both"/>
              <w:rPr>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14:paraId="6B181253" w14:textId="77777777" w:rsidR="00FA1957" w:rsidRDefault="00FA1957" w:rsidP="007D20D8">
            <w:pPr>
              <w:jc w:val="both"/>
              <w:rPr>
                <w:szCs w:val="24"/>
                <w:lang w:eastAsia="lt-LT"/>
              </w:rPr>
            </w:pPr>
          </w:p>
        </w:tc>
      </w:tr>
    </w:tbl>
    <w:p w14:paraId="0150DC05" w14:textId="77777777" w:rsidR="00FA1957" w:rsidRPr="00BA4EC4" w:rsidRDefault="00FA1957" w:rsidP="00FA1957">
      <w:pPr>
        <w:pStyle w:val="BodyText1"/>
        <w:spacing w:line="240" w:lineRule="auto"/>
        <w:ind w:firstLine="709"/>
        <w:rPr>
          <w:sz w:val="24"/>
          <w:szCs w:val="24"/>
        </w:rPr>
      </w:pPr>
    </w:p>
    <w:p w14:paraId="16155721" w14:textId="77777777" w:rsidR="00B72B13" w:rsidRDefault="00B72B13" w:rsidP="00E50C93">
      <w:pPr>
        <w:pStyle w:val="Footer"/>
        <w:ind w:firstLine="0"/>
        <w:rPr>
          <w:rFonts w:ascii="Times New Roman" w:hAnsi="Times New Roman" w:cs="Times New Roman"/>
          <w:sz w:val="24"/>
        </w:rPr>
      </w:pPr>
    </w:p>
    <w:p w14:paraId="4BBC4004" w14:textId="77777777" w:rsidR="00B72B13" w:rsidRDefault="00B72B13" w:rsidP="00E50C93">
      <w:pPr>
        <w:pStyle w:val="Footer"/>
        <w:ind w:firstLine="0"/>
        <w:rPr>
          <w:rFonts w:ascii="Times New Roman" w:hAnsi="Times New Roman" w:cs="Times New Roman"/>
          <w:sz w:val="24"/>
        </w:rPr>
      </w:pPr>
    </w:p>
    <w:p w14:paraId="0FF0B32F" w14:textId="4BFF1031" w:rsidR="00B9703B" w:rsidRPr="000A547B" w:rsidRDefault="00B56C62" w:rsidP="00E50C93">
      <w:pPr>
        <w:pStyle w:val="Footer"/>
        <w:ind w:firstLine="0"/>
        <w:rPr>
          <w:rFonts w:ascii="Times New Roman" w:hAnsi="Times New Roman" w:cs="Times New Roman"/>
          <w:sz w:val="24"/>
        </w:rPr>
      </w:pPr>
      <w:r>
        <w:rPr>
          <w:rFonts w:ascii="Times New Roman" w:hAnsi="Times New Roman" w:cs="Times New Roman"/>
          <w:sz w:val="24"/>
        </w:rPr>
        <w:t>Ekonomikos ir inovacijų</w:t>
      </w:r>
      <w:r w:rsidR="00B9703B" w:rsidRPr="000A547B">
        <w:rPr>
          <w:rFonts w:ascii="Times New Roman" w:hAnsi="Times New Roman" w:cs="Times New Roman"/>
          <w:sz w:val="24"/>
        </w:rPr>
        <w:t xml:space="preserve"> ministras </w:t>
      </w:r>
      <w:r w:rsidR="006730E6">
        <w:rPr>
          <w:rFonts w:ascii="Times New Roman" w:hAnsi="Times New Roman" w:cs="Times New Roman"/>
          <w:sz w:val="24"/>
        </w:rPr>
        <w:tab/>
      </w:r>
      <w:r w:rsidR="006730E6">
        <w:rPr>
          <w:rFonts w:ascii="Times New Roman" w:hAnsi="Times New Roman" w:cs="Times New Roman"/>
          <w:sz w:val="24"/>
        </w:rPr>
        <w:tab/>
        <w:t xml:space="preserve">Virginijus </w:t>
      </w:r>
      <w:r w:rsidR="000C43E0">
        <w:rPr>
          <w:rFonts w:ascii="Times New Roman" w:hAnsi="Times New Roman" w:cs="Times New Roman"/>
          <w:sz w:val="24"/>
        </w:rPr>
        <w:t>Sinkevičius</w:t>
      </w:r>
    </w:p>
    <w:p w14:paraId="2016C614" w14:textId="77777777" w:rsidR="00B9703B" w:rsidRDefault="00B9703B" w:rsidP="00E50C93">
      <w:pPr>
        <w:pStyle w:val="Footer"/>
        <w:ind w:firstLine="0"/>
        <w:rPr>
          <w:rFonts w:ascii="Times New Roman" w:hAnsi="Times New Roman" w:cs="Times New Roman"/>
          <w:szCs w:val="20"/>
        </w:rPr>
      </w:pPr>
    </w:p>
    <w:p w14:paraId="24B9A2FE" w14:textId="77777777" w:rsidR="00B9703B" w:rsidRDefault="00B9703B" w:rsidP="00E50C93">
      <w:pPr>
        <w:pStyle w:val="Footer"/>
        <w:ind w:firstLine="0"/>
        <w:rPr>
          <w:rFonts w:ascii="Times New Roman" w:hAnsi="Times New Roman" w:cs="Times New Roman"/>
          <w:sz w:val="18"/>
          <w:szCs w:val="18"/>
        </w:rPr>
      </w:pPr>
    </w:p>
    <w:p w14:paraId="00AEA6D2" w14:textId="77777777" w:rsidR="00B9703B" w:rsidRDefault="00B9703B" w:rsidP="00E50C93">
      <w:pPr>
        <w:pStyle w:val="Footer"/>
        <w:ind w:firstLine="0"/>
        <w:rPr>
          <w:rFonts w:ascii="Times New Roman" w:hAnsi="Times New Roman" w:cs="Times New Roman"/>
          <w:sz w:val="24"/>
        </w:rPr>
      </w:pPr>
    </w:p>
    <w:p w14:paraId="474270C6" w14:textId="77777777" w:rsidR="00CB4B74" w:rsidRDefault="00CB4B74" w:rsidP="00E50C93">
      <w:pPr>
        <w:pStyle w:val="Footer"/>
        <w:ind w:firstLine="0"/>
        <w:rPr>
          <w:rFonts w:ascii="Times New Roman" w:hAnsi="Times New Roman" w:cs="Times New Roman"/>
          <w:sz w:val="24"/>
        </w:rPr>
      </w:pPr>
    </w:p>
    <w:p w14:paraId="5AED3565" w14:textId="77777777" w:rsidR="00CB4B74" w:rsidRDefault="00CB4B74" w:rsidP="00E50C93">
      <w:pPr>
        <w:pStyle w:val="Footer"/>
        <w:ind w:firstLine="0"/>
        <w:rPr>
          <w:rFonts w:ascii="Times New Roman" w:hAnsi="Times New Roman" w:cs="Times New Roman"/>
          <w:sz w:val="24"/>
        </w:rPr>
      </w:pPr>
    </w:p>
    <w:p w14:paraId="59264459" w14:textId="77777777" w:rsidR="00B9703B" w:rsidRDefault="00B9703B" w:rsidP="00E50C93">
      <w:pPr>
        <w:pStyle w:val="Footer"/>
        <w:ind w:firstLine="0"/>
        <w:rPr>
          <w:rFonts w:ascii="Times New Roman" w:hAnsi="Times New Roman" w:cs="Times New Roman"/>
          <w:sz w:val="24"/>
        </w:rPr>
      </w:pPr>
    </w:p>
    <w:p w14:paraId="2C18F050" w14:textId="77777777" w:rsidR="00BC760F" w:rsidRDefault="00BC760F" w:rsidP="00E50C93">
      <w:pPr>
        <w:pStyle w:val="Footer"/>
        <w:ind w:firstLine="0"/>
        <w:rPr>
          <w:rFonts w:ascii="Times New Roman" w:hAnsi="Times New Roman" w:cs="Times New Roman"/>
          <w:sz w:val="24"/>
        </w:rPr>
      </w:pPr>
    </w:p>
    <w:p w14:paraId="53C7E8B4" w14:textId="77777777" w:rsidR="00BC760F" w:rsidRDefault="00BC760F" w:rsidP="00E50C93">
      <w:pPr>
        <w:pStyle w:val="Footer"/>
        <w:ind w:firstLine="0"/>
        <w:rPr>
          <w:rFonts w:ascii="Times New Roman" w:hAnsi="Times New Roman" w:cs="Times New Roman"/>
          <w:sz w:val="24"/>
        </w:rPr>
      </w:pPr>
    </w:p>
    <w:p w14:paraId="373731B6" w14:textId="77777777" w:rsidR="00BC760F" w:rsidRDefault="00BC760F" w:rsidP="00E50C93">
      <w:pPr>
        <w:pStyle w:val="Footer"/>
        <w:ind w:firstLine="0"/>
        <w:rPr>
          <w:rFonts w:ascii="Times New Roman" w:hAnsi="Times New Roman" w:cs="Times New Roman"/>
          <w:sz w:val="24"/>
        </w:rPr>
      </w:pPr>
    </w:p>
    <w:p w14:paraId="296ABA5E" w14:textId="77777777" w:rsidR="00DC6740" w:rsidRDefault="00DC6740" w:rsidP="00E50C93">
      <w:pPr>
        <w:pStyle w:val="Footer"/>
        <w:ind w:firstLine="0"/>
        <w:rPr>
          <w:rFonts w:ascii="Times New Roman" w:hAnsi="Times New Roman" w:cs="Times New Roman"/>
          <w:sz w:val="24"/>
        </w:rPr>
      </w:pPr>
    </w:p>
    <w:p w14:paraId="1C756E96" w14:textId="77777777" w:rsidR="00DC6740" w:rsidRDefault="00DC6740" w:rsidP="00E50C93">
      <w:pPr>
        <w:pStyle w:val="Footer"/>
        <w:ind w:firstLine="0"/>
        <w:rPr>
          <w:rFonts w:ascii="Times New Roman" w:hAnsi="Times New Roman" w:cs="Times New Roman"/>
          <w:sz w:val="24"/>
        </w:rPr>
      </w:pPr>
    </w:p>
    <w:p w14:paraId="7502F476" w14:textId="77777777" w:rsidR="00DC6740" w:rsidRDefault="00DC6740" w:rsidP="00E50C93">
      <w:pPr>
        <w:pStyle w:val="Footer"/>
        <w:ind w:firstLine="0"/>
        <w:rPr>
          <w:rFonts w:ascii="Times New Roman" w:hAnsi="Times New Roman" w:cs="Times New Roman"/>
          <w:sz w:val="24"/>
        </w:rPr>
      </w:pPr>
    </w:p>
    <w:p w14:paraId="1ECE41A5" w14:textId="77777777" w:rsidR="00DC6740" w:rsidRDefault="00DC6740" w:rsidP="00E50C93">
      <w:pPr>
        <w:pStyle w:val="Footer"/>
        <w:ind w:firstLine="0"/>
        <w:rPr>
          <w:rFonts w:ascii="Times New Roman" w:hAnsi="Times New Roman" w:cs="Times New Roman"/>
          <w:sz w:val="24"/>
        </w:rPr>
      </w:pPr>
    </w:p>
    <w:p w14:paraId="0C3BD680" w14:textId="77777777" w:rsidR="00DC6740" w:rsidRDefault="00DC6740" w:rsidP="00E50C93">
      <w:pPr>
        <w:pStyle w:val="Footer"/>
        <w:ind w:firstLine="0"/>
        <w:rPr>
          <w:rFonts w:ascii="Times New Roman" w:hAnsi="Times New Roman" w:cs="Times New Roman"/>
          <w:sz w:val="24"/>
        </w:rPr>
      </w:pPr>
    </w:p>
    <w:p w14:paraId="2354851B" w14:textId="77777777" w:rsidR="00DC6740" w:rsidRDefault="00DC6740" w:rsidP="00E50C93">
      <w:pPr>
        <w:pStyle w:val="Footer"/>
        <w:ind w:firstLine="0"/>
        <w:rPr>
          <w:rFonts w:ascii="Times New Roman" w:hAnsi="Times New Roman" w:cs="Times New Roman"/>
          <w:sz w:val="24"/>
        </w:rPr>
      </w:pPr>
    </w:p>
    <w:p w14:paraId="76C4FB2E" w14:textId="77777777" w:rsidR="00DC6740" w:rsidRDefault="00DC6740" w:rsidP="00E50C93">
      <w:pPr>
        <w:pStyle w:val="Footer"/>
        <w:ind w:firstLine="0"/>
        <w:rPr>
          <w:rFonts w:ascii="Times New Roman" w:hAnsi="Times New Roman" w:cs="Times New Roman"/>
          <w:sz w:val="24"/>
        </w:rPr>
      </w:pPr>
    </w:p>
    <w:p w14:paraId="4048ABF4" w14:textId="77777777" w:rsidR="00DC6740" w:rsidRDefault="00DC6740" w:rsidP="00E50C93">
      <w:pPr>
        <w:pStyle w:val="Footer"/>
        <w:ind w:firstLine="0"/>
        <w:rPr>
          <w:rFonts w:ascii="Times New Roman" w:hAnsi="Times New Roman" w:cs="Times New Roman"/>
          <w:sz w:val="24"/>
        </w:rPr>
      </w:pPr>
    </w:p>
    <w:p w14:paraId="4D6FCD95" w14:textId="77777777" w:rsidR="00DC6740" w:rsidRDefault="00DC6740" w:rsidP="00E50C93">
      <w:pPr>
        <w:pStyle w:val="Footer"/>
        <w:ind w:firstLine="0"/>
        <w:rPr>
          <w:rFonts w:ascii="Times New Roman" w:hAnsi="Times New Roman" w:cs="Times New Roman"/>
          <w:sz w:val="24"/>
        </w:rPr>
      </w:pPr>
    </w:p>
    <w:p w14:paraId="5A0ACAE3" w14:textId="77777777" w:rsidR="00DC6740" w:rsidRDefault="00DC6740" w:rsidP="00E50C93">
      <w:pPr>
        <w:pStyle w:val="Footer"/>
        <w:ind w:firstLine="0"/>
        <w:rPr>
          <w:rFonts w:ascii="Times New Roman" w:hAnsi="Times New Roman" w:cs="Times New Roman"/>
          <w:sz w:val="24"/>
        </w:rPr>
      </w:pPr>
    </w:p>
    <w:p w14:paraId="5DE496FF" w14:textId="77777777" w:rsidR="00DC6740" w:rsidRDefault="00DC6740" w:rsidP="00E50C93">
      <w:pPr>
        <w:pStyle w:val="Footer"/>
        <w:ind w:firstLine="0"/>
        <w:rPr>
          <w:rFonts w:ascii="Times New Roman" w:hAnsi="Times New Roman" w:cs="Times New Roman"/>
          <w:sz w:val="24"/>
        </w:rPr>
      </w:pPr>
    </w:p>
    <w:p w14:paraId="7136E764" w14:textId="77777777" w:rsidR="00DC6740" w:rsidRDefault="00DC6740" w:rsidP="00E50C93">
      <w:pPr>
        <w:pStyle w:val="Footer"/>
        <w:ind w:firstLine="0"/>
        <w:rPr>
          <w:rFonts w:ascii="Times New Roman" w:hAnsi="Times New Roman" w:cs="Times New Roman"/>
          <w:sz w:val="24"/>
        </w:rPr>
      </w:pPr>
    </w:p>
    <w:p w14:paraId="4A7EFC8A" w14:textId="77777777" w:rsidR="002A7E2D" w:rsidRDefault="002A7E2D" w:rsidP="00E50C93">
      <w:pPr>
        <w:pStyle w:val="Footer"/>
        <w:ind w:firstLine="0"/>
        <w:rPr>
          <w:rFonts w:ascii="Times New Roman" w:hAnsi="Times New Roman" w:cs="Times New Roman"/>
          <w:sz w:val="24"/>
        </w:rPr>
      </w:pPr>
    </w:p>
    <w:p w14:paraId="60599260" w14:textId="77777777" w:rsidR="002A7E2D" w:rsidRDefault="002A7E2D" w:rsidP="00E50C93">
      <w:pPr>
        <w:pStyle w:val="Footer"/>
        <w:ind w:firstLine="0"/>
        <w:rPr>
          <w:rFonts w:ascii="Times New Roman" w:hAnsi="Times New Roman" w:cs="Times New Roman"/>
          <w:sz w:val="24"/>
        </w:rPr>
      </w:pPr>
    </w:p>
    <w:p w14:paraId="664467D4" w14:textId="77777777" w:rsidR="002A7E2D" w:rsidRDefault="002A7E2D" w:rsidP="00E50C93">
      <w:pPr>
        <w:pStyle w:val="Footer"/>
        <w:ind w:firstLine="0"/>
        <w:rPr>
          <w:rFonts w:ascii="Times New Roman" w:hAnsi="Times New Roman" w:cs="Times New Roman"/>
          <w:sz w:val="24"/>
        </w:rPr>
      </w:pPr>
    </w:p>
    <w:p w14:paraId="0C8F9859" w14:textId="77777777" w:rsidR="002A7E2D" w:rsidRDefault="002A7E2D" w:rsidP="00E50C93">
      <w:pPr>
        <w:pStyle w:val="Footer"/>
        <w:ind w:firstLine="0"/>
        <w:rPr>
          <w:rFonts w:ascii="Times New Roman" w:hAnsi="Times New Roman" w:cs="Times New Roman"/>
          <w:sz w:val="24"/>
        </w:rPr>
      </w:pPr>
    </w:p>
    <w:p w14:paraId="56F229BB" w14:textId="77777777" w:rsidR="002A7E2D" w:rsidRDefault="002A7E2D" w:rsidP="00E50C93">
      <w:pPr>
        <w:pStyle w:val="Footer"/>
        <w:ind w:firstLine="0"/>
        <w:rPr>
          <w:rFonts w:ascii="Times New Roman" w:hAnsi="Times New Roman" w:cs="Times New Roman"/>
          <w:sz w:val="24"/>
        </w:rPr>
      </w:pPr>
    </w:p>
    <w:p w14:paraId="2852D547" w14:textId="77777777" w:rsidR="002A7E2D" w:rsidRDefault="002A7E2D" w:rsidP="00E50C93">
      <w:pPr>
        <w:pStyle w:val="Footer"/>
        <w:ind w:firstLine="0"/>
        <w:rPr>
          <w:rFonts w:ascii="Times New Roman" w:hAnsi="Times New Roman" w:cs="Times New Roman"/>
          <w:sz w:val="24"/>
        </w:rPr>
      </w:pPr>
    </w:p>
    <w:p w14:paraId="2A712926" w14:textId="77777777" w:rsidR="002A7E2D" w:rsidRDefault="002A7E2D" w:rsidP="00E50C93">
      <w:pPr>
        <w:pStyle w:val="Footer"/>
        <w:ind w:firstLine="0"/>
        <w:rPr>
          <w:rFonts w:ascii="Times New Roman" w:hAnsi="Times New Roman" w:cs="Times New Roman"/>
          <w:sz w:val="24"/>
        </w:rPr>
      </w:pPr>
    </w:p>
    <w:p w14:paraId="739E6636" w14:textId="77777777" w:rsidR="002A7E2D" w:rsidRDefault="002A7E2D" w:rsidP="00E50C93">
      <w:pPr>
        <w:pStyle w:val="Footer"/>
        <w:ind w:firstLine="0"/>
        <w:rPr>
          <w:rFonts w:ascii="Times New Roman" w:hAnsi="Times New Roman" w:cs="Times New Roman"/>
          <w:sz w:val="24"/>
        </w:rPr>
      </w:pPr>
    </w:p>
    <w:p w14:paraId="2C8A899A" w14:textId="77777777" w:rsidR="002A7E2D" w:rsidRDefault="002A7E2D" w:rsidP="00E50C93">
      <w:pPr>
        <w:pStyle w:val="Footer"/>
        <w:ind w:firstLine="0"/>
        <w:rPr>
          <w:rFonts w:ascii="Times New Roman" w:hAnsi="Times New Roman" w:cs="Times New Roman"/>
          <w:sz w:val="24"/>
        </w:rPr>
      </w:pPr>
    </w:p>
    <w:p w14:paraId="22C42D81" w14:textId="77777777" w:rsidR="002A7E2D" w:rsidRDefault="002A7E2D" w:rsidP="00E50C93">
      <w:pPr>
        <w:pStyle w:val="Footer"/>
        <w:ind w:firstLine="0"/>
        <w:rPr>
          <w:rFonts w:ascii="Times New Roman" w:hAnsi="Times New Roman" w:cs="Times New Roman"/>
          <w:sz w:val="24"/>
        </w:rPr>
      </w:pPr>
    </w:p>
    <w:p w14:paraId="1475D6EA" w14:textId="77777777" w:rsidR="002A7E2D" w:rsidRDefault="002A7E2D" w:rsidP="00E50C93">
      <w:pPr>
        <w:pStyle w:val="Footer"/>
        <w:ind w:firstLine="0"/>
        <w:rPr>
          <w:rFonts w:ascii="Times New Roman" w:hAnsi="Times New Roman" w:cs="Times New Roman"/>
          <w:sz w:val="24"/>
        </w:rPr>
      </w:pPr>
    </w:p>
    <w:p w14:paraId="5B7AD14E" w14:textId="19C04149" w:rsidR="00B9703B" w:rsidRPr="00A57033" w:rsidRDefault="00B9703B" w:rsidP="00E50C93">
      <w:pPr>
        <w:pStyle w:val="Footer"/>
        <w:ind w:firstLine="0"/>
        <w:rPr>
          <w:rFonts w:ascii="Times New Roman" w:hAnsi="Times New Roman" w:cs="Times New Roman"/>
          <w:sz w:val="24"/>
        </w:rPr>
      </w:pPr>
      <w:r w:rsidRPr="00A57033">
        <w:rPr>
          <w:rFonts w:ascii="Times New Roman" w:hAnsi="Times New Roman" w:cs="Times New Roman"/>
          <w:sz w:val="24"/>
        </w:rPr>
        <w:t xml:space="preserve">Parengė </w:t>
      </w:r>
    </w:p>
    <w:p w14:paraId="11BC9466" w14:textId="3781E00B" w:rsidR="00B9703B" w:rsidRPr="00A57033" w:rsidRDefault="00B56C62" w:rsidP="00E50C93">
      <w:pPr>
        <w:pStyle w:val="Footer"/>
        <w:ind w:firstLine="0"/>
        <w:rPr>
          <w:rFonts w:ascii="Times New Roman" w:hAnsi="Times New Roman" w:cs="Times New Roman"/>
          <w:sz w:val="24"/>
        </w:rPr>
      </w:pPr>
      <w:r>
        <w:rPr>
          <w:rFonts w:ascii="Times New Roman" w:hAnsi="Times New Roman" w:cs="Times New Roman"/>
          <w:sz w:val="24"/>
        </w:rPr>
        <w:t>Ekonomikos ir inovacijų</w:t>
      </w:r>
      <w:r w:rsidR="00B9703B" w:rsidRPr="00A57033">
        <w:rPr>
          <w:rFonts w:ascii="Times New Roman" w:hAnsi="Times New Roman" w:cs="Times New Roman"/>
          <w:sz w:val="24"/>
        </w:rPr>
        <w:t xml:space="preserve"> ministerijos Europos Sąjungos </w:t>
      </w:r>
    </w:p>
    <w:p w14:paraId="0A95D896" w14:textId="0C7CDB0B" w:rsidR="00B9703B" w:rsidRPr="00A57033" w:rsidRDefault="00B56C62" w:rsidP="00E50C93">
      <w:pPr>
        <w:pStyle w:val="Footer"/>
        <w:ind w:firstLine="0"/>
        <w:rPr>
          <w:rFonts w:ascii="Times New Roman" w:hAnsi="Times New Roman" w:cs="Times New Roman"/>
          <w:sz w:val="24"/>
        </w:rPr>
      </w:pPr>
      <w:r>
        <w:rPr>
          <w:rFonts w:ascii="Times New Roman" w:hAnsi="Times New Roman" w:cs="Times New Roman"/>
          <w:sz w:val="24"/>
        </w:rPr>
        <w:t>investicijų</w:t>
      </w:r>
      <w:r w:rsidR="00B9703B" w:rsidRPr="00A57033">
        <w:rPr>
          <w:rFonts w:ascii="Times New Roman" w:hAnsi="Times New Roman" w:cs="Times New Roman"/>
          <w:sz w:val="24"/>
        </w:rPr>
        <w:t xml:space="preserve"> koordinavimo departamento</w:t>
      </w:r>
    </w:p>
    <w:p w14:paraId="31A2A991" w14:textId="2CEBEEB1" w:rsidR="00B9703B" w:rsidRPr="00A57033" w:rsidRDefault="00B56C62" w:rsidP="00E50C93">
      <w:pPr>
        <w:pStyle w:val="Footer"/>
        <w:ind w:firstLine="0"/>
        <w:rPr>
          <w:rFonts w:ascii="Times New Roman" w:hAnsi="Times New Roman" w:cs="Times New Roman"/>
          <w:sz w:val="24"/>
        </w:rPr>
      </w:pPr>
      <w:r>
        <w:rPr>
          <w:rFonts w:ascii="Times New Roman" w:hAnsi="Times New Roman" w:cs="Times New Roman"/>
          <w:sz w:val="24"/>
        </w:rPr>
        <w:t>Europos Sąjungos investicijų planavimo</w:t>
      </w:r>
      <w:r w:rsidR="00B9703B" w:rsidRPr="00A57033">
        <w:rPr>
          <w:rFonts w:ascii="Times New Roman" w:hAnsi="Times New Roman" w:cs="Times New Roman"/>
          <w:sz w:val="24"/>
        </w:rPr>
        <w:t xml:space="preserve"> skyriaus </w:t>
      </w:r>
    </w:p>
    <w:p w14:paraId="484FE68F" w14:textId="77777777" w:rsidR="00B9703B" w:rsidRPr="00A57033" w:rsidRDefault="00B9703B" w:rsidP="00E50C93">
      <w:pPr>
        <w:pStyle w:val="Footer"/>
        <w:ind w:firstLine="0"/>
        <w:rPr>
          <w:rFonts w:ascii="Times New Roman" w:hAnsi="Times New Roman" w:cs="Times New Roman"/>
          <w:sz w:val="24"/>
        </w:rPr>
      </w:pPr>
      <w:r w:rsidRPr="00A57033">
        <w:rPr>
          <w:rFonts w:ascii="Times New Roman" w:hAnsi="Times New Roman" w:cs="Times New Roman"/>
          <w:sz w:val="24"/>
        </w:rPr>
        <w:t>vyriausioji specialistė</w:t>
      </w:r>
    </w:p>
    <w:p w14:paraId="3C4CCF58" w14:textId="77777777" w:rsidR="00FA1957" w:rsidRDefault="00FA1957" w:rsidP="00E50C93">
      <w:pPr>
        <w:pStyle w:val="Footer"/>
        <w:ind w:firstLine="0"/>
        <w:rPr>
          <w:rFonts w:ascii="Times New Roman" w:hAnsi="Times New Roman" w:cs="Times New Roman"/>
          <w:sz w:val="24"/>
        </w:rPr>
      </w:pPr>
    </w:p>
    <w:p w14:paraId="69BB432D" w14:textId="77777777" w:rsidR="001973B9" w:rsidRDefault="00FA1957" w:rsidP="00FA1957">
      <w:pPr>
        <w:pStyle w:val="Footer"/>
        <w:ind w:firstLine="0"/>
      </w:pPr>
      <w:r>
        <w:rPr>
          <w:rFonts w:ascii="Times New Roman" w:hAnsi="Times New Roman" w:cs="Times New Roman"/>
          <w:snapToGrid w:val="0"/>
          <w:sz w:val="24"/>
        </w:rPr>
        <w:t>Agnė Petrauskaitė</w:t>
      </w:r>
    </w:p>
    <w:sectPr w:rsidR="001973B9" w:rsidSect="00F94EBF">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C447F" w14:textId="77777777" w:rsidR="00B6375F" w:rsidRDefault="00B6375F" w:rsidP="00F94EBF">
      <w:r>
        <w:separator/>
      </w:r>
    </w:p>
  </w:endnote>
  <w:endnote w:type="continuationSeparator" w:id="0">
    <w:p w14:paraId="2D9BF590" w14:textId="77777777" w:rsidR="00B6375F" w:rsidRDefault="00B6375F"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21D6E" w14:textId="77777777" w:rsidR="00B6375F" w:rsidRDefault="00B6375F" w:rsidP="00F94EBF">
      <w:r>
        <w:separator/>
      </w:r>
    </w:p>
  </w:footnote>
  <w:footnote w:type="continuationSeparator" w:id="0">
    <w:p w14:paraId="59BAA57C" w14:textId="77777777" w:rsidR="00B6375F" w:rsidRDefault="00B6375F"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697419"/>
      <w:docPartObj>
        <w:docPartGallery w:val="Page Numbers (Top of Page)"/>
        <w:docPartUnique/>
      </w:docPartObj>
    </w:sdtPr>
    <w:sdtEndPr/>
    <w:sdtContent>
      <w:p w14:paraId="1EAFE8F0" w14:textId="2FE42B68" w:rsidR="00F94EBF" w:rsidRDefault="00F94EBF">
        <w:pPr>
          <w:pStyle w:val="Header"/>
          <w:jc w:val="center"/>
        </w:pPr>
        <w:r>
          <w:fldChar w:fldCharType="begin"/>
        </w:r>
        <w:r>
          <w:instrText>PAGE   \* MERGEFORMAT</w:instrText>
        </w:r>
        <w:r>
          <w:fldChar w:fldCharType="separate"/>
        </w:r>
        <w:r w:rsidR="00CE7FB4">
          <w:rPr>
            <w:noProof/>
          </w:rPr>
          <w:t>16</w:t>
        </w:r>
        <w:r>
          <w:fldChar w:fldCharType="end"/>
        </w:r>
      </w:p>
    </w:sdtContent>
  </w:sdt>
  <w:p w14:paraId="5D8812CE"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8"/>
  </w:num>
  <w:num w:numId="3">
    <w:abstractNumId w:val="6"/>
  </w:num>
  <w:num w:numId="4">
    <w:abstractNumId w:val="19"/>
  </w:num>
  <w:num w:numId="5">
    <w:abstractNumId w:val="17"/>
  </w:num>
  <w:num w:numId="6">
    <w:abstractNumId w:val="7"/>
  </w:num>
  <w:num w:numId="7">
    <w:abstractNumId w:val="3"/>
  </w:num>
  <w:num w:numId="8">
    <w:abstractNumId w:val="16"/>
  </w:num>
  <w:num w:numId="9">
    <w:abstractNumId w:val="14"/>
  </w:num>
  <w:num w:numId="10">
    <w:abstractNumId w:val="1"/>
  </w:num>
  <w:num w:numId="11">
    <w:abstractNumId w:val="8"/>
  </w:num>
  <w:num w:numId="12">
    <w:abstractNumId w:val="13"/>
  </w:num>
  <w:num w:numId="13">
    <w:abstractNumId w:val="2"/>
  </w:num>
  <w:num w:numId="14">
    <w:abstractNumId w:val="12"/>
  </w:num>
  <w:num w:numId="15">
    <w:abstractNumId w:val="9"/>
  </w:num>
  <w:num w:numId="16">
    <w:abstractNumId w:val="20"/>
  </w:num>
  <w:num w:numId="17">
    <w:abstractNumId w:val="0"/>
  </w:num>
  <w:num w:numId="18">
    <w:abstractNumId w:val="11"/>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623"/>
    <w:rsid w:val="0005054E"/>
    <w:rsid w:val="00055247"/>
    <w:rsid w:val="00091CD6"/>
    <w:rsid w:val="000A3C28"/>
    <w:rsid w:val="000C240E"/>
    <w:rsid w:val="000C43E0"/>
    <w:rsid w:val="000D00A8"/>
    <w:rsid w:val="000E1050"/>
    <w:rsid w:val="000E3DF2"/>
    <w:rsid w:val="00107667"/>
    <w:rsid w:val="00142DEA"/>
    <w:rsid w:val="001509E1"/>
    <w:rsid w:val="0016486F"/>
    <w:rsid w:val="00172EB2"/>
    <w:rsid w:val="001973B9"/>
    <w:rsid w:val="001A0FD0"/>
    <w:rsid w:val="001A38E8"/>
    <w:rsid w:val="001A75EB"/>
    <w:rsid w:val="001C3596"/>
    <w:rsid w:val="001C4727"/>
    <w:rsid w:val="001D020E"/>
    <w:rsid w:val="001D0504"/>
    <w:rsid w:val="001E770C"/>
    <w:rsid w:val="001F443A"/>
    <w:rsid w:val="001F46AB"/>
    <w:rsid w:val="00267F0B"/>
    <w:rsid w:val="00283292"/>
    <w:rsid w:val="002873AF"/>
    <w:rsid w:val="002A7E2D"/>
    <w:rsid w:val="002B1F51"/>
    <w:rsid w:val="002B796A"/>
    <w:rsid w:val="002C12C1"/>
    <w:rsid w:val="00311CAF"/>
    <w:rsid w:val="00322A10"/>
    <w:rsid w:val="0032749C"/>
    <w:rsid w:val="00341803"/>
    <w:rsid w:val="00366FEA"/>
    <w:rsid w:val="0038164A"/>
    <w:rsid w:val="00383328"/>
    <w:rsid w:val="003F1680"/>
    <w:rsid w:val="003F720C"/>
    <w:rsid w:val="00442B1D"/>
    <w:rsid w:val="0044730B"/>
    <w:rsid w:val="00463026"/>
    <w:rsid w:val="00470C86"/>
    <w:rsid w:val="00471E2A"/>
    <w:rsid w:val="00480F2F"/>
    <w:rsid w:val="00481DB1"/>
    <w:rsid w:val="0048748D"/>
    <w:rsid w:val="004A30B5"/>
    <w:rsid w:val="004C6B94"/>
    <w:rsid w:val="004D11E7"/>
    <w:rsid w:val="004E671D"/>
    <w:rsid w:val="004F3F0F"/>
    <w:rsid w:val="004F61EB"/>
    <w:rsid w:val="00536CC2"/>
    <w:rsid w:val="0054468B"/>
    <w:rsid w:val="005517E3"/>
    <w:rsid w:val="005520F8"/>
    <w:rsid w:val="00560854"/>
    <w:rsid w:val="00575687"/>
    <w:rsid w:val="005A04DE"/>
    <w:rsid w:val="005B768C"/>
    <w:rsid w:val="005C76FB"/>
    <w:rsid w:val="005D2E38"/>
    <w:rsid w:val="005E077C"/>
    <w:rsid w:val="005E6582"/>
    <w:rsid w:val="005F4356"/>
    <w:rsid w:val="00656799"/>
    <w:rsid w:val="00656BD4"/>
    <w:rsid w:val="006730E6"/>
    <w:rsid w:val="00681791"/>
    <w:rsid w:val="00684427"/>
    <w:rsid w:val="006C4D23"/>
    <w:rsid w:val="006D0B1B"/>
    <w:rsid w:val="006D50BF"/>
    <w:rsid w:val="006D56BC"/>
    <w:rsid w:val="006E3892"/>
    <w:rsid w:val="007052AF"/>
    <w:rsid w:val="00746299"/>
    <w:rsid w:val="00750995"/>
    <w:rsid w:val="00751261"/>
    <w:rsid w:val="00754DF5"/>
    <w:rsid w:val="0077240F"/>
    <w:rsid w:val="007A00CD"/>
    <w:rsid w:val="007A4D42"/>
    <w:rsid w:val="007B5AEC"/>
    <w:rsid w:val="007E4586"/>
    <w:rsid w:val="00807895"/>
    <w:rsid w:val="00812D41"/>
    <w:rsid w:val="008134C5"/>
    <w:rsid w:val="008239FB"/>
    <w:rsid w:val="00837637"/>
    <w:rsid w:val="00843282"/>
    <w:rsid w:val="00846CBF"/>
    <w:rsid w:val="00854046"/>
    <w:rsid w:val="008647C9"/>
    <w:rsid w:val="00873E04"/>
    <w:rsid w:val="0088126D"/>
    <w:rsid w:val="00893B42"/>
    <w:rsid w:val="008B181C"/>
    <w:rsid w:val="008B381E"/>
    <w:rsid w:val="00900238"/>
    <w:rsid w:val="00900DF6"/>
    <w:rsid w:val="00933D4B"/>
    <w:rsid w:val="00941229"/>
    <w:rsid w:val="00953486"/>
    <w:rsid w:val="0095632B"/>
    <w:rsid w:val="00982A68"/>
    <w:rsid w:val="00984B73"/>
    <w:rsid w:val="009A04CC"/>
    <w:rsid w:val="009A073E"/>
    <w:rsid w:val="009A1293"/>
    <w:rsid w:val="009B79F2"/>
    <w:rsid w:val="009C26C5"/>
    <w:rsid w:val="009C440B"/>
    <w:rsid w:val="009F3042"/>
    <w:rsid w:val="009F7117"/>
    <w:rsid w:val="00A03F43"/>
    <w:rsid w:val="00A13C2F"/>
    <w:rsid w:val="00A55CC1"/>
    <w:rsid w:val="00A653BA"/>
    <w:rsid w:val="00A70905"/>
    <w:rsid w:val="00A84DCE"/>
    <w:rsid w:val="00A86C0D"/>
    <w:rsid w:val="00A9058B"/>
    <w:rsid w:val="00A92DF8"/>
    <w:rsid w:val="00AA015E"/>
    <w:rsid w:val="00AD6AFE"/>
    <w:rsid w:val="00AF57F8"/>
    <w:rsid w:val="00B41266"/>
    <w:rsid w:val="00B56C62"/>
    <w:rsid w:val="00B6375F"/>
    <w:rsid w:val="00B72B13"/>
    <w:rsid w:val="00B7685A"/>
    <w:rsid w:val="00B8074A"/>
    <w:rsid w:val="00B90557"/>
    <w:rsid w:val="00B9703B"/>
    <w:rsid w:val="00BA25A8"/>
    <w:rsid w:val="00BA4EC4"/>
    <w:rsid w:val="00BB165B"/>
    <w:rsid w:val="00BC0377"/>
    <w:rsid w:val="00BC15B4"/>
    <w:rsid w:val="00BC760F"/>
    <w:rsid w:val="00BE04B5"/>
    <w:rsid w:val="00BE4524"/>
    <w:rsid w:val="00BF05C2"/>
    <w:rsid w:val="00BF2399"/>
    <w:rsid w:val="00BF7DA8"/>
    <w:rsid w:val="00C04B21"/>
    <w:rsid w:val="00C1178B"/>
    <w:rsid w:val="00C25029"/>
    <w:rsid w:val="00C42AEB"/>
    <w:rsid w:val="00C73EC4"/>
    <w:rsid w:val="00C77B3B"/>
    <w:rsid w:val="00C84DE8"/>
    <w:rsid w:val="00C8771F"/>
    <w:rsid w:val="00CB3D57"/>
    <w:rsid w:val="00CB4B74"/>
    <w:rsid w:val="00CC59AF"/>
    <w:rsid w:val="00CD20B2"/>
    <w:rsid w:val="00CE7FB4"/>
    <w:rsid w:val="00CF77C7"/>
    <w:rsid w:val="00D33818"/>
    <w:rsid w:val="00D36D93"/>
    <w:rsid w:val="00D42C6C"/>
    <w:rsid w:val="00D4365D"/>
    <w:rsid w:val="00D441A4"/>
    <w:rsid w:val="00D56C5E"/>
    <w:rsid w:val="00DA528E"/>
    <w:rsid w:val="00DC6740"/>
    <w:rsid w:val="00DC6E81"/>
    <w:rsid w:val="00DD7188"/>
    <w:rsid w:val="00E01490"/>
    <w:rsid w:val="00E0647C"/>
    <w:rsid w:val="00E2217F"/>
    <w:rsid w:val="00E26762"/>
    <w:rsid w:val="00E40101"/>
    <w:rsid w:val="00E4149D"/>
    <w:rsid w:val="00E50C93"/>
    <w:rsid w:val="00E53ECC"/>
    <w:rsid w:val="00E64A50"/>
    <w:rsid w:val="00E65E13"/>
    <w:rsid w:val="00EE2118"/>
    <w:rsid w:val="00EF6EFF"/>
    <w:rsid w:val="00F019D0"/>
    <w:rsid w:val="00F03A29"/>
    <w:rsid w:val="00F15357"/>
    <w:rsid w:val="00F373D3"/>
    <w:rsid w:val="00F373F9"/>
    <w:rsid w:val="00F46455"/>
    <w:rsid w:val="00F63D28"/>
    <w:rsid w:val="00F82F4E"/>
    <w:rsid w:val="00F92B19"/>
    <w:rsid w:val="00F94EBF"/>
    <w:rsid w:val="00FA1957"/>
    <w:rsid w:val="00FA3CB6"/>
    <w:rsid w:val="00FD1F5F"/>
    <w:rsid w:val="00FE0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BAC9"/>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kuro-ir-viesojo-transporto-islaidu-fiksuotuju-ikainiu-nustatymo-tyrimo-ataskaita"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862E-5C33-43D3-82C6-DC0A2BAE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23043</Words>
  <Characters>13136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2</cp:revision>
  <cp:lastPrinted>2019-01-07T08:36:00Z</cp:lastPrinted>
  <dcterms:created xsi:type="dcterms:W3CDTF">2019-01-22T12:15:00Z</dcterms:created>
  <dcterms:modified xsi:type="dcterms:W3CDTF">2019-01-22T12:15:00Z</dcterms:modified>
</cp:coreProperties>
</file>