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37C" w:rsidRDefault="006E7CE1" w:rsidP="00D13DEC">
      <w:pPr>
        <w:jc w:val="center"/>
        <w:rPr>
          <w:b/>
          <w:szCs w:val="24"/>
        </w:rPr>
      </w:pPr>
      <w:bookmarkStart w:id="0" w:name="_GoBack"/>
      <w:bookmarkEnd w:id="0"/>
      <w:r>
        <w:rPr>
          <w:b/>
          <w:szCs w:val="24"/>
        </w:rPr>
        <w:t>08.3.1-ESFA</w:t>
      </w:r>
      <w:proofErr w:type="gramStart"/>
      <w:r>
        <w:rPr>
          <w:b/>
          <w:szCs w:val="24"/>
        </w:rPr>
        <w:t>-</w:t>
      </w:r>
      <w:proofErr w:type="gramEnd"/>
      <w:r>
        <w:rPr>
          <w:b/>
          <w:szCs w:val="24"/>
        </w:rPr>
        <w:t>V-412</w:t>
      </w:r>
      <w:r w:rsidR="0047437C" w:rsidRPr="00310254">
        <w:rPr>
          <w:b/>
          <w:szCs w:val="24"/>
        </w:rPr>
        <w:t xml:space="preserve"> PRIEMONĖ</w:t>
      </w:r>
      <w:r w:rsidR="0084121A">
        <w:rPr>
          <w:b/>
          <w:szCs w:val="24"/>
        </w:rPr>
        <w:t>S</w:t>
      </w:r>
      <w:r w:rsidR="0047437C" w:rsidRPr="00310254">
        <w:rPr>
          <w:b/>
          <w:szCs w:val="24"/>
        </w:rPr>
        <w:t xml:space="preserve"> „</w:t>
      </w:r>
      <w:r>
        <w:rPr>
          <w:b/>
          <w:szCs w:val="24"/>
        </w:rPr>
        <w:t>ROMŲ</w:t>
      </w:r>
      <w:r w:rsidR="00D13DEC" w:rsidRPr="00D13DEC">
        <w:rPr>
          <w:b/>
          <w:szCs w:val="24"/>
        </w:rPr>
        <w:t xml:space="preserve"> SOCIALINĖ INTEGRACIJA</w:t>
      </w:r>
      <w:r w:rsidR="0047437C" w:rsidRPr="00310254">
        <w:rPr>
          <w:b/>
          <w:szCs w:val="24"/>
        </w:rPr>
        <w:t>“</w:t>
      </w:r>
      <w:r w:rsidR="0047437C">
        <w:rPr>
          <w:b/>
          <w:szCs w:val="24"/>
        </w:rPr>
        <w:t xml:space="preserve"> PROJEKTŲ FINANSAVIMO SĄLYGŲ APRAŠO Nr. 1 PROJE</w:t>
      </w:r>
      <w:r w:rsidR="0047437C" w:rsidRPr="00781CA4">
        <w:rPr>
          <w:b/>
          <w:szCs w:val="24"/>
        </w:rPr>
        <w:t>KT</w:t>
      </w:r>
      <w:r w:rsidR="0084121A">
        <w:rPr>
          <w:b/>
          <w:szCs w:val="24"/>
        </w:rPr>
        <w:t>AS: INFORMACIJA APIE DERINIMO METU GAUTUS PASIŪLYMUS IR PASTABAS BEI JŲ ĮVERTINIMAS</w:t>
      </w:r>
    </w:p>
    <w:p w:rsidR="0051500C" w:rsidRDefault="0051500C" w:rsidP="0047437C">
      <w:pPr>
        <w:jc w:val="center"/>
        <w:rPr>
          <w:b/>
          <w:szCs w:val="24"/>
        </w:rPr>
      </w:pPr>
    </w:p>
    <w:tbl>
      <w:tblPr>
        <w:tblStyle w:val="Lentelstinklelis"/>
        <w:tblW w:w="15451" w:type="dxa"/>
        <w:tblInd w:w="-459" w:type="dxa"/>
        <w:tblLayout w:type="fixed"/>
        <w:tblLook w:val="04A0" w:firstRow="1" w:lastRow="0" w:firstColumn="1" w:lastColumn="0" w:noHBand="0" w:noVBand="1"/>
      </w:tblPr>
      <w:tblGrid>
        <w:gridCol w:w="1701"/>
        <w:gridCol w:w="1276"/>
        <w:gridCol w:w="6521"/>
        <w:gridCol w:w="5953"/>
      </w:tblGrid>
      <w:tr w:rsidR="00C06AF7" w:rsidRPr="005140A1" w:rsidTr="007D1889">
        <w:tc>
          <w:tcPr>
            <w:tcW w:w="1701" w:type="dxa"/>
          </w:tcPr>
          <w:p w:rsidR="00C06AF7" w:rsidRPr="005140A1" w:rsidRDefault="00C06AF7" w:rsidP="006335BE">
            <w:pPr>
              <w:jc w:val="center"/>
              <w:rPr>
                <w:b/>
                <w:szCs w:val="24"/>
              </w:rPr>
            </w:pPr>
            <w:r w:rsidRPr="005140A1">
              <w:rPr>
                <w:b/>
                <w:szCs w:val="24"/>
              </w:rPr>
              <w:t>Institucija, pateikusi pasiūlymą, pastabą</w:t>
            </w:r>
          </w:p>
        </w:tc>
        <w:tc>
          <w:tcPr>
            <w:tcW w:w="1276" w:type="dxa"/>
          </w:tcPr>
          <w:p w:rsidR="00C06AF7" w:rsidRPr="005140A1" w:rsidRDefault="00C06AF7" w:rsidP="006335BE">
            <w:pPr>
              <w:jc w:val="center"/>
              <w:rPr>
                <w:b/>
                <w:szCs w:val="24"/>
              </w:rPr>
            </w:pPr>
            <w:r w:rsidRPr="005140A1">
              <w:rPr>
                <w:b/>
                <w:szCs w:val="24"/>
              </w:rPr>
              <w:t>Pateikimo data</w:t>
            </w:r>
          </w:p>
        </w:tc>
        <w:tc>
          <w:tcPr>
            <w:tcW w:w="6521" w:type="dxa"/>
          </w:tcPr>
          <w:p w:rsidR="00C06AF7" w:rsidRPr="005140A1" w:rsidRDefault="00C06AF7" w:rsidP="006335BE">
            <w:pPr>
              <w:jc w:val="center"/>
              <w:rPr>
                <w:b/>
                <w:szCs w:val="24"/>
              </w:rPr>
            </w:pPr>
            <w:r w:rsidRPr="005140A1">
              <w:rPr>
                <w:b/>
                <w:szCs w:val="24"/>
              </w:rPr>
              <w:t>Pasiūlymai, pastabos</w:t>
            </w:r>
          </w:p>
        </w:tc>
        <w:tc>
          <w:tcPr>
            <w:tcW w:w="5953" w:type="dxa"/>
          </w:tcPr>
          <w:p w:rsidR="00C06AF7" w:rsidRPr="005140A1" w:rsidRDefault="00C06AF7" w:rsidP="0084121A">
            <w:pPr>
              <w:jc w:val="center"/>
              <w:rPr>
                <w:b/>
                <w:szCs w:val="24"/>
              </w:rPr>
            </w:pPr>
            <w:r w:rsidRPr="005140A1">
              <w:rPr>
                <w:b/>
                <w:szCs w:val="24"/>
              </w:rPr>
              <w:t>Paaiškinimai, kodėl į pastabą/pasiūlymą neatsižvelgta</w:t>
            </w:r>
          </w:p>
        </w:tc>
      </w:tr>
      <w:tr w:rsidR="00815214" w:rsidRPr="005140A1" w:rsidTr="007D1889">
        <w:trPr>
          <w:trHeight w:val="878"/>
        </w:trPr>
        <w:tc>
          <w:tcPr>
            <w:tcW w:w="2977" w:type="dxa"/>
            <w:gridSpan w:val="2"/>
            <w:vMerge w:val="restart"/>
          </w:tcPr>
          <w:p w:rsidR="00815214" w:rsidRPr="005140A1" w:rsidRDefault="00815214" w:rsidP="006E7CE1">
            <w:pPr>
              <w:jc w:val="left"/>
              <w:rPr>
                <w:szCs w:val="24"/>
              </w:rPr>
            </w:pPr>
            <w:r w:rsidRPr="005140A1">
              <w:rPr>
                <w:szCs w:val="24"/>
              </w:rPr>
              <w:t xml:space="preserve">1. </w:t>
            </w:r>
            <w:r w:rsidR="006E7CE1" w:rsidRPr="005140A1">
              <w:rPr>
                <w:szCs w:val="24"/>
              </w:rPr>
              <w:t>Europos socialinio fondo agentūra</w:t>
            </w:r>
            <w:r w:rsidR="00EB3DCD" w:rsidRPr="005140A1">
              <w:rPr>
                <w:szCs w:val="24"/>
              </w:rPr>
              <w:t>,</w:t>
            </w:r>
            <w:r w:rsidR="006E7CE1" w:rsidRPr="005140A1">
              <w:rPr>
                <w:szCs w:val="24"/>
              </w:rPr>
              <w:t xml:space="preserve"> 2015 m. spalio 8 d. raštas Nr. SB-2015</w:t>
            </w:r>
            <w:proofErr w:type="gramStart"/>
            <w:r w:rsidR="006E7CE1" w:rsidRPr="005140A1">
              <w:rPr>
                <w:szCs w:val="24"/>
              </w:rPr>
              <w:t>-</w:t>
            </w:r>
            <w:proofErr w:type="gramEnd"/>
            <w:r w:rsidR="006E7CE1" w:rsidRPr="005140A1">
              <w:rPr>
                <w:szCs w:val="24"/>
              </w:rPr>
              <w:t>00462</w:t>
            </w:r>
          </w:p>
        </w:tc>
        <w:tc>
          <w:tcPr>
            <w:tcW w:w="6521" w:type="dxa"/>
          </w:tcPr>
          <w:p w:rsidR="00815214" w:rsidRPr="005140A1" w:rsidRDefault="00815214" w:rsidP="007D1889">
            <w:pPr>
              <w:rPr>
                <w:szCs w:val="24"/>
              </w:rPr>
            </w:pPr>
            <w:r w:rsidRPr="005140A1">
              <w:rPr>
                <w:szCs w:val="24"/>
              </w:rPr>
              <w:t xml:space="preserve">1. </w:t>
            </w:r>
            <w:r w:rsidR="006E7CE1" w:rsidRPr="005140A1">
              <w:rPr>
                <w:szCs w:val="24"/>
              </w:rPr>
              <w:t>Patikslinti</w:t>
            </w:r>
            <w:r w:rsidR="006E0270" w:rsidRPr="005140A1">
              <w:rPr>
                <w:szCs w:val="24"/>
              </w:rPr>
              <w:t xml:space="preserve"> aprašo</w:t>
            </w:r>
            <w:r w:rsidR="006E7CE1" w:rsidRPr="005140A1">
              <w:rPr>
                <w:szCs w:val="24"/>
              </w:rPr>
              <w:t xml:space="preserve"> projekto 31 punkte nurodytą transporto fiksuotąjį įkainį, vadovaujantis atnaujintu 2015 m. balandžio 24 d. kuro ir viešojo transporto išlaidų fiksuotųjų įkainių tyrimu</w:t>
            </w:r>
          </w:p>
        </w:tc>
        <w:tc>
          <w:tcPr>
            <w:tcW w:w="5953" w:type="dxa"/>
          </w:tcPr>
          <w:p w:rsidR="00815214" w:rsidRPr="005140A1" w:rsidRDefault="006E7CE1" w:rsidP="003D4ACA">
            <w:pPr>
              <w:pStyle w:val="Default"/>
              <w:jc w:val="both"/>
              <w:rPr>
                <w:color w:val="auto"/>
              </w:rPr>
            </w:pPr>
            <w:r w:rsidRPr="005140A1">
              <w:rPr>
                <w:rFonts w:eastAsia="Times New Roman"/>
                <w:color w:val="auto"/>
                <w:lang w:eastAsia="lt-LT"/>
              </w:rPr>
              <w:t>Atsižvelgta</w:t>
            </w:r>
          </w:p>
        </w:tc>
      </w:tr>
      <w:tr w:rsidR="00815214" w:rsidRPr="005140A1" w:rsidTr="007D1889">
        <w:tc>
          <w:tcPr>
            <w:tcW w:w="2977" w:type="dxa"/>
            <w:gridSpan w:val="2"/>
            <w:vMerge/>
          </w:tcPr>
          <w:p w:rsidR="00815214" w:rsidRPr="005140A1" w:rsidRDefault="00815214" w:rsidP="0051500C">
            <w:pPr>
              <w:jc w:val="center"/>
              <w:rPr>
                <w:szCs w:val="24"/>
              </w:rPr>
            </w:pPr>
          </w:p>
        </w:tc>
        <w:tc>
          <w:tcPr>
            <w:tcW w:w="6521" w:type="dxa"/>
          </w:tcPr>
          <w:p w:rsidR="00815214" w:rsidRPr="005140A1" w:rsidRDefault="00815214" w:rsidP="00142E7F">
            <w:pPr>
              <w:rPr>
                <w:szCs w:val="24"/>
              </w:rPr>
            </w:pPr>
            <w:r w:rsidRPr="005140A1">
              <w:rPr>
                <w:szCs w:val="24"/>
              </w:rPr>
              <w:t xml:space="preserve">2. </w:t>
            </w:r>
            <w:r w:rsidR="006E0270" w:rsidRPr="005140A1">
              <w:rPr>
                <w:szCs w:val="24"/>
              </w:rPr>
              <w:t>Aprašo p</w:t>
            </w:r>
            <w:r w:rsidR="006E7CE1" w:rsidRPr="005140A1">
              <w:rPr>
                <w:szCs w:val="24"/>
              </w:rPr>
              <w:t>rojekto 31 punkte nustatyti papildomus reikalavimus pr</w:t>
            </w:r>
            <w:r w:rsidR="006E0270" w:rsidRPr="005140A1">
              <w:rPr>
                <w:szCs w:val="24"/>
              </w:rPr>
              <w:t>ojektą vykdančiam personalui, įtraukiant nuostatą, kad projekto vykdytojas turi užtikrinti, kad projektą vykdantys darbuotojai turėtų išsilavinimą ir kvalifikaciją, atitinkančius projekte numatytas vykdyti funkcijas ir pareigas, o jeigu projekto veikloms vykdyti planuojama įdarbinti savanorius, su jais turi būti sudaromos savanoriško darbo sutartys</w:t>
            </w:r>
            <w:r w:rsidR="006E7CE1" w:rsidRPr="005140A1">
              <w:rPr>
                <w:szCs w:val="24"/>
              </w:rPr>
              <w:t xml:space="preserve"> </w:t>
            </w:r>
          </w:p>
        </w:tc>
        <w:tc>
          <w:tcPr>
            <w:tcW w:w="5953" w:type="dxa"/>
          </w:tcPr>
          <w:p w:rsidR="00815214" w:rsidRPr="005140A1" w:rsidRDefault="00815214" w:rsidP="006335BE">
            <w:pPr>
              <w:pStyle w:val="Default"/>
              <w:jc w:val="both"/>
              <w:rPr>
                <w:rFonts w:eastAsia="Times New Roman"/>
                <w:color w:val="auto"/>
                <w:lang w:eastAsia="lt-LT"/>
              </w:rPr>
            </w:pPr>
            <w:r w:rsidRPr="005140A1">
              <w:rPr>
                <w:rFonts w:eastAsia="Times New Roman"/>
                <w:color w:val="auto"/>
                <w:lang w:eastAsia="lt-LT"/>
              </w:rPr>
              <w:t>Atsižvelgta</w:t>
            </w:r>
          </w:p>
        </w:tc>
      </w:tr>
      <w:tr w:rsidR="00815214" w:rsidRPr="005140A1" w:rsidTr="007D1889">
        <w:tc>
          <w:tcPr>
            <w:tcW w:w="2977" w:type="dxa"/>
            <w:gridSpan w:val="2"/>
            <w:vMerge/>
          </w:tcPr>
          <w:p w:rsidR="00815214" w:rsidRPr="005140A1" w:rsidRDefault="00815214" w:rsidP="0051500C">
            <w:pPr>
              <w:jc w:val="center"/>
              <w:rPr>
                <w:szCs w:val="24"/>
              </w:rPr>
            </w:pPr>
          </w:p>
        </w:tc>
        <w:tc>
          <w:tcPr>
            <w:tcW w:w="6521" w:type="dxa"/>
          </w:tcPr>
          <w:p w:rsidR="00815214" w:rsidRPr="005140A1" w:rsidRDefault="00815214" w:rsidP="007D1889">
            <w:pPr>
              <w:rPr>
                <w:szCs w:val="24"/>
              </w:rPr>
            </w:pPr>
            <w:r w:rsidRPr="005140A1">
              <w:rPr>
                <w:szCs w:val="24"/>
              </w:rPr>
              <w:t xml:space="preserve">3. </w:t>
            </w:r>
            <w:r w:rsidR="006E0270" w:rsidRPr="005140A1">
              <w:rPr>
                <w:szCs w:val="24"/>
              </w:rPr>
              <w:t>Aprašo projekto 1 priedo 5.6 punkto skiltyje „Bendrojo reikalavimo/specialiojo kriterijaus detalizavimas“ pateikti nuorodą į aprašo 23 punktą</w:t>
            </w:r>
          </w:p>
        </w:tc>
        <w:tc>
          <w:tcPr>
            <w:tcW w:w="5953" w:type="dxa"/>
          </w:tcPr>
          <w:p w:rsidR="00815214" w:rsidRPr="005140A1" w:rsidRDefault="00815214" w:rsidP="006335BE">
            <w:pPr>
              <w:rPr>
                <w:szCs w:val="24"/>
              </w:rPr>
            </w:pPr>
            <w:r w:rsidRPr="005140A1">
              <w:rPr>
                <w:szCs w:val="24"/>
              </w:rPr>
              <w:t>Atsižvelgta</w:t>
            </w:r>
          </w:p>
        </w:tc>
      </w:tr>
      <w:tr w:rsidR="00EB3DCD" w:rsidRPr="005140A1" w:rsidTr="007D1889">
        <w:tc>
          <w:tcPr>
            <w:tcW w:w="2977" w:type="dxa"/>
            <w:gridSpan w:val="2"/>
            <w:vMerge w:val="restart"/>
          </w:tcPr>
          <w:p w:rsidR="00EB3DCD" w:rsidRPr="005140A1" w:rsidRDefault="00EB3DCD" w:rsidP="00EB3DCD">
            <w:pPr>
              <w:jc w:val="left"/>
              <w:rPr>
                <w:szCs w:val="24"/>
              </w:rPr>
            </w:pPr>
            <w:r w:rsidRPr="005140A1">
              <w:rPr>
                <w:szCs w:val="24"/>
              </w:rPr>
              <w:t>2. Lietuvos romų bendruomenė, el. paštu, 2015 m. spalio 9 d.</w:t>
            </w:r>
          </w:p>
        </w:tc>
        <w:tc>
          <w:tcPr>
            <w:tcW w:w="6521" w:type="dxa"/>
          </w:tcPr>
          <w:p w:rsidR="00EB3DCD" w:rsidRPr="005140A1" w:rsidRDefault="004610B4" w:rsidP="006E0270">
            <w:pPr>
              <w:rPr>
                <w:szCs w:val="24"/>
              </w:rPr>
            </w:pPr>
            <w:r w:rsidRPr="005140A1">
              <w:rPr>
                <w:szCs w:val="24"/>
              </w:rPr>
              <w:t>1. Siūloma aprašo projekto 10 punkte įtraukti naują veiklą: viešosios nuomonės formavimas</w:t>
            </w:r>
          </w:p>
        </w:tc>
        <w:tc>
          <w:tcPr>
            <w:tcW w:w="5953" w:type="dxa"/>
          </w:tcPr>
          <w:p w:rsidR="00EB3DCD" w:rsidRPr="005140A1" w:rsidRDefault="004610B4" w:rsidP="00C125DC">
            <w:pPr>
              <w:rPr>
                <w:szCs w:val="24"/>
              </w:rPr>
            </w:pPr>
            <w:r w:rsidRPr="005140A1">
              <w:rPr>
                <w:szCs w:val="24"/>
              </w:rPr>
              <w:t>2014–2020 metų Europos Sąjungos fondų investicijų veiksmų programos prioritetų įgyvendinimo priemonių įgyvendinimo plane</w:t>
            </w:r>
            <w:r w:rsidR="00621E6B" w:rsidRPr="005140A1">
              <w:rPr>
                <w:szCs w:val="24"/>
              </w:rPr>
              <w:t xml:space="preserve"> (toliau – PIP)</w:t>
            </w:r>
            <w:r w:rsidRPr="005140A1">
              <w:rPr>
                <w:szCs w:val="24"/>
              </w:rPr>
              <w:t xml:space="preserve">, patvirtintame Lietuvos Respublikos </w:t>
            </w:r>
            <w:proofErr w:type="gramStart"/>
            <w:r w:rsidRPr="005140A1">
              <w:rPr>
                <w:szCs w:val="24"/>
              </w:rPr>
              <w:t>socialinės apsaugos ir darbo ministro</w:t>
            </w:r>
            <w:proofErr w:type="gramEnd"/>
            <w:r w:rsidRPr="005140A1">
              <w:rPr>
                <w:szCs w:val="24"/>
              </w:rPr>
              <w:t xml:space="preserve"> 2015 m. vasario 24 d. įsakymu Nr. A1-90 „Dėl 2014–2020 metų Europos Sąjungos fondų investicijų veiksmų programos prioritetų priemonių įgyvendinimo plano ir nacionalinių stebėsenos rodiklių skaičiavimo aprašų patvirtinimo“, </w:t>
            </w:r>
            <w:r w:rsidR="00621E6B" w:rsidRPr="005140A1">
              <w:rPr>
                <w:szCs w:val="24"/>
              </w:rPr>
              <w:t xml:space="preserve">patvirtintas baigtinis finansuojamų veiklų sąrašas, kuriame </w:t>
            </w:r>
            <w:r w:rsidR="00C125DC">
              <w:rPr>
                <w:szCs w:val="24"/>
              </w:rPr>
              <w:t xml:space="preserve">siūloma veikla „viešosios nuomonės formavimas“ nėra numatyta. </w:t>
            </w:r>
            <w:r w:rsidR="00621E6B" w:rsidRPr="005140A1">
              <w:rPr>
                <w:szCs w:val="24"/>
              </w:rPr>
              <w:t xml:space="preserve"> Pažymėtina, kad PIP anksčiau jau buvo suderintas su romų bendruomeninėmis </w:t>
            </w:r>
            <w:r w:rsidR="00A62A88" w:rsidRPr="005140A1">
              <w:rPr>
                <w:szCs w:val="24"/>
              </w:rPr>
              <w:t>organizacijomis (tai pat</w:t>
            </w:r>
            <w:r w:rsidR="00621E6B" w:rsidRPr="005140A1">
              <w:rPr>
                <w:szCs w:val="24"/>
              </w:rPr>
              <w:t xml:space="preserve"> ir su Lietuvos romų bendruomene)</w:t>
            </w:r>
            <w:r w:rsidR="00C125DC">
              <w:rPr>
                <w:szCs w:val="24"/>
              </w:rPr>
              <w:t>. Esant būtinybei, svarstytinas PIP keitimo klausimas, bet tokiu atveju planuojamas projektas bus pradėtas įgyvendinti 1</w:t>
            </w:r>
            <w:proofErr w:type="gramStart"/>
            <w:r w:rsidR="00C125DC">
              <w:rPr>
                <w:szCs w:val="24"/>
              </w:rPr>
              <w:t>-</w:t>
            </w:r>
            <w:proofErr w:type="gramEnd"/>
            <w:r w:rsidR="00C125DC">
              <w:rPr>
                <w:szCs w:val="24"/>
              </w:rPr>
              <w:t xml:space="preserve">2 mėn. vėliau, t. y. ne anksčiau kaip 2016 m. II </w:t>
            </w:r>
            <w:proofErr w:type="spellStart"/>
            <w:r w:rsidR="00C125DC">
              <w:rPr>
                <w:szCs w:val="24"/>
              </w:rPr>
              <w:t>ketv</w:t>
            </w:r>
            <w:proofErr w:type="spellEnd"/>
            <w:r w:rsidR="00C125DC">
              <w:rPr>
                <w:szCs w:val="24"/>
              </w:rPr>
              <w:t xml:space="preserve">. </w:t>
            </w:r>
          </w:p>
        </w:tc>
      </w:tr>
      <w:tr w:rsidR="00EB3DCD" w:rsidRPr="005140A1" w:rsidTr="007D1889">
        <w:tc>
          <w:tcPr>
            <w:tcW w:w="2977" w:type="dxa"/>
            <w:gridSpan w:val="2"/>
            <w:vMerge/>
          </w:tcPr>
          <w:p w:rsidR="00EB3DCD" w:rsidRPr="005140A1" w:rsidRDefault="00EB3DCD" w:rsidP="00EB3DCD">
            <w:pPr>
              <w:jc w:val="left"/>
              <w:rPr>
                <w:szCs w:val="24"/>
              </w:rPr>
            </w:pPr>
          </w:p>
        </w:tc>
        <w:tc>
          <w:tcPr>
            <w:tcW w:w="6521" w:type="dxa"/>
          </w:tcPr>
          <w:p w:rsidR="00EB3DCD" w:rsidRPr="005140A1" w:rsidRDefault="00621E6B" w:rsidP="006E0270">
            <w:pPr>
              <w:rPr>
                <w:szCs w:val="24"/>
              </w:rPr>
            </w:pPr>
            <w:r w:rsidRPr="005140A1">
              <w:rPr>
                <w:szCs w:val="24"/>
              </w:rPr>
              <w:t xml:space="preserve">2. </w:t>
            </w:r>
            <w:r w:rsidR="003D2143" w:rsidRPr="005140A1">
              <w:rPr>
                <w:szCs w:val="24"/>
              </w:rPr>
              <w:t>Prašoma paaiškinti apie aprašo projekto 17 punkte paminėtus didelės apimties projektus</w:t>
            </w:r>
          </w:p>
        </w:tc>
        <w:tc>
          <w:tcPr>
            <w:tcW w:w="5953" w:type="dxa"/>
          </w:tcPr>
          <w:p w:rsidR="000E3BC0" w:rsidRPr="005140A1" w:rsidRDefault="000E3BC0" w:rsidP="006335BE">
            <w:pPr>
              <w:rPr>
                <w:szCs w:val="24"/>
              </w:rPr>
            </w:pPr>
            <w:r w:rsidRPr="005140A1">
              <w:rPr>
                <w:b/>
                <w:szCs w:val="24"/>
              </w:rPr>
              <w:t>Didelės apimties projektai</w:t>
            </w:r>
            <w:r w:rsidRPr="005140A1">
              <w:rPr>
                <w:szCs w:val="24"/>
              </w:rPr>
              <w:t xml:space="preserve"> yra tokie projektai, kurių bendros tinkamos finansuoti išlaidos yra didesnės kaip 50 000 000 EUR.</w:t>
            </w:r>
          </w:p>
          <w:p w:rsidR="00EB3DCD" w:rsidRPr="005140A1" w:rsidRDefault="000E3BC0" w:rsidP="006335BE">
            <w:pPr>
              <w:rPr>
                <w:szCs w:val="24"/>
              </w:rPr>
            </w:pPr>
            <w:r w:rsidRPr="005140A1">
              <w:rPr>
                <w:b/>
                <w:szCs w:val="24"/>
              </w:rPr>
              <w:t>Didelės apimties projektai</w:t>
            </w:r>
            <w:r w:rsidRPr="005140A1">
              <w:rPr>
                <w:szCs w:val="24"/>
              </w:rPr>
              <w:t xml:space="preserve"> apibrėžti 2013 m. gruodžio 17 d. Europos Parlamento ir Tarybos reglamento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 100 straipsnyje</w:t>
            </w:r>
          </w:p>
        </w:tc>
      </w:tr>
      <w:tr w:rsidR="00EB3DCD" w:rsidRPr="005140A1" w:rsidTr="007D1889">
        <w:tc>
          <w:tcPr>
            <w:tcW w:w="2977" w:type="dxa"/>
            <w:gridSpan w:val="2"/>
            <w:vMerge/>
          </w:tcPr>
          <w:p w:rsidR="00EB3DCD" w:rsidRPr="005140A1" w:rsidRDefault="00EB3DCD" w:rsidP="00EB3DCD">
            <w:pPr>
              <w:jc w:val="left"/>
              <w:rPr>
                <w:szCs w:val="24"/>
              </w:rPr>
            </w:pPr>
          </w:p>
        </w:tc>
        <w:tc>
          <w:tcPr>
            <w:tcW w:w="6521" w:type="dxa"/>
          </w:tcPr>
          <w:p w:rsidR="00EB3DCD" w:rsidRPr="005140A1" w:rsidRDefault="000E3BC0" w:rsidP="006E0270">
            <w:pPr>
              <w:rPr>
                <w:szCs w:val="24"/>
              </w:rPr>
            </w:pPr>
            <w:r w:rsidRPr="005140A1">
              <w:rPr>
                <w:szCs w:val="24"/>
              </w:rPr>
              <w:t>3. Klausiama, ar galima būtų finansuoti statybos, rekonstravimo, remonto ir kitus darbus, jeigu tai tiesiogiai susiję su galimybe įdarbinti romus</w:t>
            </w:r>
            <w:r w:rsidR="005140A1" w:rsidRPr="005140A1">
              <w:rPr>
                <w:szCs w:val="24"/>
              </w:rPr>
              <w:t xml:space="preserve"> </w:t>
            </w:r>
          </w:p>
        </w:tc>
        <w:tc>
          <w:tcPr>
            <w:tcW w:w="5953" w:type="dxa"/>
          </w:tcPr>
          <w:p w:rsidR="00EB3DCD" w:rsidRPr="005140A1" w:rsidRDefault="00C125DC" w:rsidP="00C125DC">
            <w:pPr>
              <w:rPr>
                <w:szCs w:val="24"/>
              </w:rPr>
            </w:pPr>
            <w:r>
              <w:rPr>
                <w:szCs w:val="24"/>
              </w:rPr>
              <w:t xml:space="preserve">Paaiškiname, kad patvirtintame PIP bei </w:t>
            </w:r>
            <w:r w:rsidR="005140A1" w:rsidRPr="005140A1">
              <w:rPr>
                <w:szCs w:val="24"/>
              </w:rPr>
              <w:t>aprašo projekt</w:t>
            </w:r>
            <w:r>
              <w:rPr>
                <w:szCs w:val="24"/>
              </w:rPr>
              <w:t xml:space="preserve">e tokios veiklos ir išlaidos nėra numatytos. Taip pat pažymėtina, kad tokių veiklų ir išlaidų poreikis ir paskirtis nebuvo svarstomi </w:t>
            </w:r>
            <w:r w:rsidR="00603483">
              <w:rPr>
                <w:szCs w:val="24"/>
              </w:rPr>
              <w:t xml:space="preserve">SADM </w:t>
            </w:r>
            <w:r>
              <w:rPr>
                <w:szCs w:val="24"/>
              </w:rPr>
              <w:t>susitikimuose su pareiškėju bei partneriais</w:t>
            </w:r>
            <w:r w:rsidR="00603483">
              <w:rPr>
                <w:szCs w:val="24"/>
              </w:rPr>
              <w:t xml:space="preserve">, aptariant priemonės </w:t>
            </w:r>
            <w:r w:rsidR="003765EE">
              <w:rPr>
                <w:szCs w:val="24"/>
              </w:rPr>
              <w:t xml:space="preserve">turinį ir jos </w:t>
            </w:r>
            <w:r w:rsidR="00603483">
              <w:rPr>
                <w:szCs w:val="24"/>
              </w:rPr>
              <w:t>įgyvendinimo planus.</w:t>
            </w:r>
            <w:r>
              <w:rPr>
                <w:szCs w:val="24"/>
              </w:rPr>
              <w:t xml:space="preserve">  </w:t>
            </w:r>
          </w:p>
        </w:tc>
      </w:tr>
      <w:tr w:rsidR="005140A1" w:rsidRPr="005140A1" w:rsidTr="007D1889">
        <w:tc>
          <w:tcPr>
            <w:tcW w:w="2977" w:type="dxa"/>
            <w:gridSpan w:val="2"/>
          </w:tcPr>
          <w:p w:rsidR="005140A1" w:rsidRPr="005140A1" w:rsidRDefault="005140A1" w:rsidP="00EB3DCD">
            <w:pPr>
              <w:jc w:val="left"/>
              <w:rPr>
                <w:szCs w:val="24"/>
              </w:rPr>
            </w:pPr>
          </w:p>
        </w:tc>
        <w:tc>
          <w:tcPr>
            <w:tcW w:w="6521" w:type="dxa"/>
          </w:tcPr>
          <w:p w:rsidR="005140A1" w:rsidRPr="005140A1" w:rsidRDefault="005140A1" w:rsidP="006E0270">
            <w:pPr>
              <w:rPr>
                <w:szCs w:val="24"/>
              </w:rPr>
            </w:pPr>
            <w:r w:rsidRPr="005140A1">
              <w:rPr>
                <w:szCs w:val="24"/>
              </w:rPr>
              <w:t xml:space="preserve">4. </w:t>
            </w:r>
            <w:r>
              <w:rPr>
                <w:szCs w:val="24"/>
              </w:rPr>
              <w:t>A</w:t>
            </w:r>
            <w:r w:rsidRPr="005140A1">
              <w:rPr>
                <w:szCs w:val="24"/>
              </w:rPr>
              <w:t xml:space="preserve">prašo projekto 31 punkte </w:t>
            </w:r>
            <w:r>
              <w:rPr>
                <w:szCs w:val="24"/>
              </w:rPr>
              <w:t>nustatyta, kad p</w:t>
            </w:r>
            <w:r w:rsidRPr="005140A1">
              <w:rPr>
                <w:szCs w:val="24"/>
              </w:rPr>
              <w:t>rojekto viešinimo išlaidos neturi sudaryti daugiau kaip 20 000 Eur</w:t>
            </w:r>
            <w:r>
              <w:rPr>
                <w:szCs w:val="24"/>
              </w:rPr>
              <w:t>.</w:t>
            </w:r>
          </w:p>
          <w:p w:rsidR="005140A1" w:rsidRPr="005140A1" w:rsidRDefault="005140A1" w:rsidP="005140A1">
            <w:pPr>
              <w:rPr>
                <w:szCs w:val="24"/>
              </w:rPr>
            </w:pPr>
            <w:r w:rsidRPr="005140A1">
              <w:rPr>
                <w:szCs w:val="24"/>
              </w:rPr>
              <w:t>Siūloma</w:t>
            </w:r>
            <w:r>
              <w:rPr>
                <w:szCs w:val="24"/>
              </w:rPr>
              <w:t xml:space="preserve"> šią sumą</w:t>
            </w:r>
            <w:r w:rsidRPr="005140A1">
              <w:rPr>
                <w:szCs w:val="24"/>
              </w:rPr>
              <w:t xml:space="preserve"> padidinti </w:t>
            </w:r>
          </w:p>
        </w:tc>
        <w:tc>
          <w:tcPr>
            <w:tcW w:w="5953" w:type="dxa"/>
          </w:tcPr>
          <w:p w:rsidR="005140A1" w:rsidRPr="005140A1" w:rsidRDefault="00603483" w:rsidP="00603483">
            <w:pPr>
              <w:rPr>
                <w:szCs w:val="24"/>
              </w:rPr>
            </w:pPr>
            <w:r>
              <w:rPr>
                <w:szCs w:val="24"/>
              </w:rPr>
              <w:t>Pasiūlymas svarstytinas,</w:t>
            </w:r>
            <w:proofErr w:type="gramStart"/>
            <w:r>
              <w:rPr>
                <w:szCs w:val="24"/>
              </w:rPr>
              <w:t xml:space="preserve">  </w:t>
            </w:r>
            <w:proofErr w:type="gramEnd"/>
            <w:r>
              <w:rPr>
                <w:szCs w:val="24"/>
              </w:rPr>
              <w:t xml:space="preserve">tačiau būtina aptarti pareiškėjo bei partnerių siūlymus dėl konkrečių viešinimo veiklų, priemonių, kurios būtų vykdomos projekto įgyvendinimo metu. </w:t>
            </w:r>
          </w:p>
        </w:tc>
      </w:tr>
    </w:tbl>
    <w:p w:rsidR="0047437C" w:rsidRPr="005140A1" w:rsidRDefault="0047437C" w:rsidP="0047437C">
      <w:pPr>
        <w:rPr>
          <w:szCs w:val="24"/>
        </w:rPr>
      </w:pPr>
    </w:p>
    <w:sectPr w:rsidR="0047437C" w:rsidRPr="005140A1" w:rsidSect="00C20B9C">
      <w:headerReference w:type="default" r:id="rId8"/>
      <w:pgSz w:w="16838" w:h="11906" w:orient="landscape"/>
      <w:pgMar w:top="1276" w:right="1560"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92B" w:rsidRDefault="00E8192B" w:rsidP="00252049">
      <w:r>
        <w:separator/>
      </w:r>
    </w:p>
  </w:endnote>
  <w:endnote w:type="continuationSeparator" w:id="0">
    <w:p w:rsidR="00E8192B" w:rsidRDefault="00E8192B" w:rsidP="0025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92B" w:rsidRDefault="00E8192B" w:rsidP="00252049">
      <w:r>
        <w:separator/>
      </w:r>
    </w:p>
  </w:footnote>
  <w:footnote w:type="continuationSeparator" w:id="0">
    <w:p w:rsidR="00E8192B" w:rsidRDefault="00E8192B" w:rsidP="00252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9591471"/>
      <w:docPartObj>
        <w:docPartGallery w:val="Page Numbers (Top of Page)"/>
        <w:docPartUnique/>
      </w:docPartObj>
    </w:sdtPr>
    <w:sdtEndPr/>
    <w:sdtContent>
      <w:p w:rsidR="00DE7DA1" w:rsidRDefault="00D42270">
        <w:pPr>
          <w:pStyle w:val="Antrats"/>
          <w:jc w:val="center"/>
        </w:pPr>
        <w:r>
          <w:fldChar w:fldCharType="begin"/>
        </w:r>
        <w:r w:rsidR="007A3226">
          <w:instrText>PAGE   \* MERGEFORMAT</w:instrText>
        </w:r>
        <w:r>
          <w:fldChar w:fldCharType="separate"/>
        </w:r>
        <w:r w:rsidR="00437281">
          <w:rPr>
            <w:noProof/>
          </w:rPr>
          <w:t>2</w:t>
        </w:r>
        <w:r>
          <w:fldChar w:fldCharType="end"/>
        </w:r>
      </w:p>
    </w:sdtContent>
  </w:sdt>
  <w:p w:rsidR="00DE7DA1" w:rsidRDefault="00E8192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gailė Biliūnaitė">
    <w15:presenceInfo w15:providerId="Windows Live" w15:userId="2b327224db18ea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37C"/>
    <w:rsid w:val="00017CA3"/>
    <w:rsid w:val="00071EAA"/>
    <w:rsid w:val="000E3BC0"/>
    <w:rsid w:val="001829B2"/>
    <w:rsid w:val="00252049"/>
    <w:rsid w:val="002D7596"/>
    <w:rsid w:val="003765EE"/>
    <w:rsid w:val="0038782C"/>
    <w:rsid w:val="003D2143"/>
    <w:rsid w:val="003D4ACA"/>
    <w:rsid w:val="00437281"/>
    <w:rsid w:val="004610B4"/>
    <w:rsid w:val="0047437C"/>
    <w:rsid w:val="00502CE8"/>
    <w:rsid w:val="0050332C"/>
    <w:rsid w:val="005140A1"/>
    <w:rsid w:val="0051500C"/>
    <w:rsid w:val="00547906"/>
    <w:rsid w:val="00603483"/>
    <w:rsid w:val="00612082"/>
    <w:rsid w:val="00621E6B"/>
    <w:rsid w:val="0063750B"/>
    <w:rsid w:val="0069420E"/>
    <w:rsid w:val="00697993"/>
    <w:rsid w:val="006E0270"/>
    <w:rsid w:val="006E7CE1"/>
    <w:rsid w:val="007A1B56"/>
    <w:rsid w:val="007A3226"/>
    <w:rsid w:val="007D1889"/>
    <w:rsid w:val="00815214"/>
    <w:rsid w:val="008232AD"/>
    <w:rsid w:val="00825D60"/>
    <w:rsid w:val="0084121A"/>
    <w:rsid w:val="008C4647"/>
    <w:rsid w:val="00923162"/>
    <w:rsid w:val="00995CB4"/>
    <w:rsid w:val="009D1D72"/>
    <w:rsid w:val="00A35F93"/>
    <w:rsid w:val="00A53196"/>
    <w:rsid w:val="00A542E9"/>
    <w:rsid w:val="00A62A88"/>
    <w:rsid w:val="00AF1487"/>
    <w:rsid w:val="00B4616A"/>
    <w:rsid w:val="00B9212B"/>
    <w:rsid w:val="00C06AF7"/>
    <w:rsid w:val="00C125DC"/>
    <w:rsid w:val="00C20B9C"/>
    <w:rsid w:val="00C55165"/>
    <w:rsid w:val="00CD7F81"/>
    <w:rsid w:val="00CE2C75"/>
    <w:rsid w:val="00CF72A1"/>
    <w:rsid w:val="00D13DEC"/>
    <w:rsid w:val="00D42270"/>
    <w:rsid w:val="00D93910"/>
    <w:rsid w:val="00E14E5E"/>
    <w:rsid w:val="00E248BB"/>
    <w:rsid w:val="00E44D2A"/>
    <w:rsid w:val="00E8192B"/>
    <w:rsid w:val="00EB3DCD"/>
    <w:rsid w:val="00EC07DD"/>
    <w:rsid w:val="00F71CA4"/>
    <w:rsid w:val="00F749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37C"/>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7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7437C"/>
    <w:pPr>
      <w:ind w:left="720"/>
      <w:contextualSpacing/>
    </w:pPr>
  </w:style>
  <w:style w:type="paragraph" w:customStyle="1" w:styleId="Default">
    <w:name w:val="Default"/>
    <w:rsid w:val="004743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47437C"/>
    <w:pPr>
      <w:tabs>
        <w:tab w:val="center" w:pos="4819"/>
        <w:tab w:val="right" w:pos="9638"/>
      </w:tabs>
    </w:pPr>
  </w:style>
  <w:style w:type="character" w:customStyle="1" w:styleId="AntratsDiagrama">
    <w:name w:val="Antraštės Diagrama"/>
    <w:basedOn w:val="Numatytasispastraiposriftas"/>
    <w:link w:val="Antrats"/>
    <w:uiPriority w:val="99"/>
    <w:rsid w:val="0047437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125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5DC"/>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37C"/>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4743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7437C"/>
    <w:pPr>
      <w:ind w:left="720"/>
      <w:contextualSpacing/>
    </w:pPr>
  </w:style>
  <w:style w:type="paragraph" w:customStyle="1" w:styleId="Default">
    <w:name w:val="Default"/>
    <w:rsid w:val="0047437C"/>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47437C"/>
    <w:pPr>
      <w:tabs>
        <w:tab w:val="center" w:pos="4819"/>
        <w:tab w:val="right" w:pos="9638"/>
      </w:tabs>
    </w:pPr>
  </w:style>
  <w:style w:type="character" w:customStyle="1" w:styleId="AntratsDiagrama">
    <w:name w:val="Antraštės Diagrama"/>
    <w:basedOn w:val="Numatytasispastraiposriftas"/>
    <w:link w:val="Antrats"/>
    <w:uiPriority w:val="99"/>
    <w:rsid w:val="0047437C"/>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C125D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25D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019010">
      <w:bodyDiv w:val="1"/>
      <w:marLeft w:val="0"/>
      <w:marRight w:val="0"/>
      <w:marTop w:val="0"/>
      <w:marBottom w:val="0"/>
      <w:divBdr>
        <w:top w:val="none" w:sz="0" w:space="0" w:color="auto"/>
        <w:left w:val="none" w:sz="0" w:space="0" w:color="auto"/>
        <w:bottom w:val="none" w:sz="0" w:space="0" w:color="auto"/>
        <w:right w:val="none" w:sz="0" w:space="0" w:color="auto"/>
      </w:divBdr>
    </w:div>
    <w:div w:id="206163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2408</Words>
  <Characters>1373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Vytenė Pivoraitė</dc:creator>
  <cp:lastModifiedBy>Rimantas Garbštas</cp:lastModifiedBy>
  <cp:revision>6</cp:revision>
  <cp:lastPrinted>2015-03-04T14:39:00Z</cp:lastPrinted>
  <dcterms:created xsi:type="dcterms:W3CDTF">2015-10-19T16:26:00Z</dcterms:created>
  <dcterms:modified xsi:type="dcterms:W3CDTF">2015-10-20T05:46:00Z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