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E0" w:rsidRPr="00CC14F6" w:rsidRDefault="000351E0" w:rsidP="005C1DF8">
      <w:pPr>
        <w:ind w:left="5954"/>
        <w:jc w:val="both"/>
        <w:rPr>
          <w:rFonts w:ascii="Times New Roman" w:hAnsi="Times New Roman" w:cs="Times New Roman"/>
          <w:color w:val="000000" w:themeColor="text1"/>
        </w:rPr>
      </w:pPr>
      <w:r w:rsidRPr="00CC14F6">
        <w:rPr>
          <w:rFonts w:ascii="Times New Roman" w:hAnsi="Times New Roman" w:cs="Times New Roman"/>
          <w:color w:val="000000" w:themeColor="text1"/>
        </w:rPr>
        <w:t>FORMAI PRITARTA</w:t>
      </w:r>
    </w:p>
    <w:p w:rsidR="000351E0" w:rsidRPr="00CC14F6" w:rsidRDefault="000351E0" w:rsidP="00A1111B">
      <w:pPr>
        <w:spacing w:after="0" w:line="240" w:lineRule="auto"/>
        <w:ind w:left="5954"/>
        <w:jc w:val="both"/>
        <w:rPr>
          <w:rFonts w:ascii="Times New Roman" w:hAnsi="Times New Roman" w:cs="Times New Roman"/>
          <w:color w:val="000000" w:themeColor="text1"/>
        </w:rPr>
      </w:pPr>
      <w:r w:rsidRPr="00CC14F6">
        <w:rPr>
          <w:rFonts w:ascii="Times New Roman" w:hAnsi="Times New Roman" w:cs="Times New Roman"/>
          <w:color w:val="000000" w:themeColor="text1"/>
        </w:rPr>
        <w:t xml:space="preserve">2014-2020 </w:t>
      </w:r>
      <w:r w:rsidR="00AF5001" w:rsidRPr="00CC14F6">
        <w:rPr>
          <w:rFonts w:ascii="Times New Roman" w:hAnsi="Times New Roman" w:cs="Times New Roman"/>
          <w:color w:val="000000" w:themeColor="text1"/>
        </w:rPr>
        <w:t>m. Europos Sąjungos struktūrinių</w:t>
      </w:r>
      <w:r w:rsidRPr="00CC14F6">
        <w:rPr>
          <w:rFonts w:ascii="Times New Roman" w:hAnsi="Times New Roman" w:cs="Times New Roman"/>
          <w:color w:val="000000" w:themeColor="text1"/>
        </w:rPr>
        <w:t xml:space="preserve"> </w:t>
      </w:r>
      <w:r w:rsidR="00AF5001" w:rsidRPr="00CC14F6">
        <w:rPr>
          <w:rFonts w:ascii="Times New Roman" w:hAnsi="Times New Roman" w:cs="Times New Roman"/>
          <w:color w:val="000000" w:themeColor="text1"/>
        </w:rPr>
        <w:t>fon</w:t>
      </w:r>
      <w:r w:rsidR="00110B03" w:rsidRPr="00CC14F6">
        <w:rPr>
          <w:rFonts w:ascii="Times New Roman" w:hAnsi="Times New Roman" w:cs="Times New Roman"/>
          <w:color w:val="000000" w:themeColor="text1"/>
        </w:rPr>
        <w:t>d</w:t>
      </w:r>
      <w:r w:rsidR="00AF5001" w:rsidRPr="00CC14F6">
        <w:rPr>
          <w:rFonts w:ascii="Times New Roman" w:hAnsi="Times New Roman" w:cs="Times New Roman"/>
          <w:color w:val="000000" w:themeColor="text1"/>
        </w:rPr>
        <w:t>ų</w:t>
      </w:r>
      <w:r w:rsidRPr="00CC14F6">
        <w:rPr>
          <w:rFonts w:ascii="Times New Roman" w:hAnsi="Times New Roman" w:cs="Times New Roman"/>
          <w:color w:val="000000" w:themeColor="text1"/>
        </w:rPr>
        <w:t xml:space="preserve"> administravimo darbo grupės, sudarytos Lietuvos Respublikos finansų ministro 2013 m. liepos 11 d. įsakymu Nr. 1K-243 „Dėl darbo grupės sudarymo“, 2015 m. </w:t>
      </w:r>
      <w:r w:rsidR="007D3DF5" w:rsidRPr="00CC14F6">
        <w:rPr>
          <w:rFonts w:ascii="Times New Roman" w:hAnsi="Times New Roman" w:cs="Times New Roman"/>
          <w:color w:val="000000" w:themeColor="text1"/>
        </w:rPr>
        <w:t>birželio 30</w:t>
      </w:r>
      <w:r w:rsidR="00AF5001" w:rsidRPr="00CC14F6">
        <w:rPr>
          <w:rFonts w:ascii="Times New Roman" w:hAnsi="Times New Roman" w:cs="Times New Roman"/>
          <w:color w:val="000000" w:themeColor="text1"/>
        </w:rPr>
        <w:t xml:space="preserve"> d. protokolu Nr. </w:t>
      </w:r>
      <w:r w:rsidR="007D3DF5" w:rsidRPr="00CC14F6">
        <w:rPr>
          <w:rFonts w:ascii="Times New Roman" w:hAnsi="Times New Roman" w:cs="Times New Roman"/>
          <w:color w:val="000000" w:themeColor="text1"/>
        </w:rPr>
        <w:t>20</w:t>
      </w:r>
    </w:p>
    <w:p w:rsidR="0058379D" w:rsidRPr="00CC14F6" w:rsidRDefault="0058379D" w:rsidP="00A1111B">
      <w:pPr>
        <w:spacing w:after="0" w:line="240" w:lineRule="auto"/>
        <w:ind w:left="5954"/>
        <w:rPr>
          <w:rFonts w:ascii="Times New Roman" w:hAnsi="Times New Roman"/>
          <w:color w:val="000000" w:themeColor="text1"/>
        </w:rPr>
      </w:pPr>
      <w:r w:rsidRPr="00CC14F6">
        <w:rPr>
          <w:rFonts w:ascii="Times New Roman" w:hAnsi="Times New Roman"/>
          <w:color w:val="000000" w:themeColor="text1"/>
        </w:rPr>
        <w:t>PFSA rengimo, derinimo ir tvirtinimo proceso priedas</w:t>
      </w:r>
    </w:p>
    <w:p w:rsidR="000351E0" w:rsidRPr="00CC14F6" w:rsidRDefault="000351E0" w:rsidP="005C1DF8">
      <w:pPr>
        <w:rPr>
          <w:color w:val="000000" w:themeColor="text1"/>
        </w:rPr>
      </w:pPr>
    </w:p>
    <w:tbl>
      <w:tblPr>
        <w:tblW w:w="0" w:type="auto"/>
        <w:jc w:val="center"/>
        <w:tblLook w:val="04A0"/>
      </w:tblPr>
      <w:tblGrid>
        <w:gridCol w:w="9854"/>
      </w:tblGrid>
      <w:tr w:rsidR="0038054A" w:rsidRPr="00CC14F6" w:rsidTr="00345425">
        <w:trPr>
          <w:jc w:val="center"/>
        </w:trPr>
        <w:tc>
          <w:tcPr>
            <w:tcW w:w="9854" w:type="dxa"/>
            <w:shd w:val="clear" w:color="auto" w:fill="auto"/>
          </w:tcPr>
          <w:p w:rsidR="0038054A" w:rsidRPr="00CC14F6" w:rsidRDefault="0038054A" w:rsidP="00A1111B">
            <w:pPr>
              <w:spacing w:after="0" w:line="240" w:lineRule="auto"/>
              <w:jc w:val="center"/>
              <w:rPr>
                <w:rFonts w:ascii="Times New Roman" w:hAnsi="Times New Roman"/>
                <w:b/>
                <w:color w:val="000000" w:themeColor="text1"/>
                <w:kern w:val="16"/>
                <w:sz w:val="24"/>
                <w:szCs w:val="24"/>
              </w:rPr>
            </w:pPr>
            <w:r w:rsidRPr="00CC14F6">
              <w:rPr>
                <w:rFonts w:ascii="Times New Roman" w:hAnsi="Times New Roman"/>
                <w:b/>
                <w:color w:val="000000" w:themeColor="text1"/>
                <w:kern w:val="16"/>
                <w:sz w:val="24"/>
                <w:szCs w:val="24"/>
              </w:rPr>
              <w:t>2014–2020 M. EUROPOS SĄJUNGOS FONDŲ INVESTICIJŲ VEIKSMŲ PROGRAMOS</w:t>
            </w:r>
            <w:r w:rsidR="00A1111B" w:rsidRPr="00CC14F6">
              <w:rPr>
                <w:rFonts w:ascii="Times New Roman" w:hAnsi="Times New Roman"/>
                <w:b/>
                <w:color w:val="000000" w:themeColor="text1"/>
                <w:kern w:val="16"/>
                <w:sz w:val="24"/>
                <w:szCs w:val="24"/>
              </w:rPr>
              <w:t>,</w:t>
            </w:r>
          </w:p>
        </w:tc>
      </w:tr>
      <w:tr w:rsidR="00A1111B" w:rsidRPr="00CC14F6" w:rsidTr="00345425">
        <w:trPr>
          <w:jc w:val="center"/>
        </w:trPr>
        <w:tc>
          <w:tcPr>
            <w:tcW w:w="9854" w:type="dxa"/>
            <w:shd w:val="clear" w:color="auto" w:fill="auto"/>
          </w:tcPr>
          <w:p w:rsidR="00A1111B" w:rsidRPr="00CC14F6" w:rsidRDefault="00A1111B" w:rsidP="00A1111B">
            <w:pPr>
              <w:spacing w:after="0" w:line="240" w:lineRule="auto"/>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PATVIRTINTOS 2014 M. RUGSĖJO 8 D. EUROPOS KOMISIJOS SPRENDIMU, </w:t>
            </w:r>
          </w:p>
          <w:p w:rsidR="00CE135D" w:rsidRPr="00CC14F6" w:rsidRDefault="00A1111B" w:rsidP="00A1111B">
            <w:pPr>
              <w:spacing w:after="0" w:line="240" w:lineRule="auto"/>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PRIEMONĖS Nr. J02-CPVA-V „TUBERKULIOZĖS PROFILAKTIKOS, DIAGNOSTIKOS IR GYDYMO PASLAUGŲ KOKYBĖS IR PRIEINAMUMO GERINIMAS“ </w:t>
            </w:r>
          </w:p>
          <w:p w:rsidR="00CE135D" w:rsidRPr="00CC14F6" w:rsidRDefault="00A1111B" w:rsidP="00A1111B">
            <w:pPr>
              <w:spacing w:after="0" w:line="240" w:lineRule="auto"/>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PROJEKTŲ FINANSAVIMO SĄLYGŲ APRAŠO </w:t>
            </w:r>
          </w:p>
          <w:p w:rsidR="00A1111B" w:rsidRPr="00CC14F6" w:rsidRDefault="00A1111B" w:rsidP="00A1111B">
            <w:pPr>
              <w:spacing w:after="0" w:line="240" w:lineRule="auto"/>
              <w:jc w:val="center"/>
              <w:rPr>
                <w:rFonts w:ascii="Times New Roman" w:hAnsi="Times New Roman" w:cs="Times New Roman"/>
                <w:b/>
                <w:color w:val="000000" w:themeColor="text1"/>
                <w:sz w:val="24"/>
                <w:szCs w:val="24"/>
              </w:rPr>
            </w:pPr>
            <w:r w:rsidRPr="00CC14F6">
              <w:rPr>
                <w:rFonts w:ascii="Times New Roman" w:hAnsi="Times New Roman"/>
                <w:b/>
                <w:color w:val="000000" w:themeColor="text1"/>
                <w:sz w:val="24"/>
                <w:szCs w:val="24"/>
              </w:rPr>
              <w:t>PAGRINDIMAS</w:t>
            </w:r>
          </w:p>
        </w:tc>
      </w:tr>
      <w:tr w:rsidR="00A1111B" w:rsidRPr="00CC14F6" w:rsidTr="00345425">
        <w:trPr>
          <w:jc w:val="center"/>
        </w:trPr>
        <w:tc>
          <w:tcPr>
            <w:tcW w:w="9854" w:type="dxa"/>
            <w:shd w:val="clear" w:color="auto" w:fill="auto"/>
          </w:tcPr>
          <w:p w:rsidR="00A1111B" w:rsidRPr="00CC14F6" w:rsidRDefault="00A1111B" w:rsidP="00A1111B">
            <w:pPr>
              <w:spacing w:after="0" w:line="240" w:lineRule="auto"/>
              <w:jc w:val="center"/>
              <w:rPr>
                <w:rFonts w:ascii="Times New Roman" w:hAnsi="Times New Roman" w:cs="Times New Roman"/>
                <w:b/>
                <w:color w:val="000000" w:themeColor="text1"/>
                <w:sz w:val="24"/>
                <w:szCs w:val="24"/>
              </w:rPr>
            </w:pPr>
          </w:p>
        </w:tc>
      </w:tr>
    </w:tbl>
    <w:p w:rsidR="00EB4A79" w:rsidRPr="00CC14F6" w:rsidRDefault="00EB4A79"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I. BENDRIEJI KLAUSIMAI</w:t>
      </w:r>
    </w:p>
    <w:tbl>
      <w:tblPr>
        <w:tblStyle w:val="TableGrid"/>
        <w:tblW w:w="0" w:type="auto"/>
        <w:tblLook w:val="04A0"/>
      </w:tblPr>
      <w:tblGrid>
        <w:gridCol w:w="675"/>
        <w:gridCol w:w="2977"/>
        <w:gridCol w:w="6202"/>
      </w:tblGrid>
      <w:tr w:rsidR="00EC48BF" w:rsidRPr="00CC14F6" w:rsidTr="00D706F5">
        <w:trPr>
          <w:tblHeader/>
        </w:trPr>
        <w:tc>
          <w:tcPr>
            <w:tcW w:w="675" w:type="dxa"/>
            <w:shd w:val="clear" w:color="auto" w:fill="BFBFBF" w:themeFill="background1" w:themeFillShade="BF"/>
          </w:tcPr>
          <w:p w:rsidR="00EC48BF" w:rsidRPr="00CC14F6" w:rsidRDefault="00EC48BF"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Nr.</w:t>
            </w:r>
          </w:p>
        </w:tc>
        <w:tc>
          <w:tcPr>
            <w:tcW w:w="2977" w:type="dxa"/>
            <w:shd w:val="clear" w:color="auto" w:fill="BFBFBF" w:themeFill="background1" w:themeFillShade="BF"/>
          </w:tcPr>
          <w:p w:rsidR="00EC48BF" w:rsidRPr="00CC14F6" w:rsidRDefault="00EC48BF"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Klausimas</w:t>
            </w:r>
          </w:p>
        </w:tc>
        <w:tc>
          <w:tcPr>
            <w:tcW w:w="6202" w:type="dxa"/>
            <w:shd w:val="clear" w:color="auto" w:fill="BFBFBF" w:themeFill="background1" w:themeFillShade="BF"/>
          </w:tcPr>
          <w:p w:rsidR="00EC48BF" w:rsidRPr="00CC14F6" w:rsidRDefault="00EC48BF"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Ministerijos pateikta informacija</w:t>
            </w:r>
          </w:p>
          <w:p w:rsidR="00EC48BF" w:rsidRPr="00CC14F6" w:rsidRDefault="00EC48BF"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(pildymo instrukcija)</w:t>
            </w:r>
          </w:p>
        </w:tc>
      </w:tr>
      <w:tr w:rsidR="00315EE6" w:rsidRPr="00CC14F6" w:rsidTr="00D706F5">
        <w:tc>
          <w:tcPr>
            <w:tcW w:w="675" w:type="dxa"/>
            <w:shd w:val="clear" w:color="auto" w:fill="auto"/>
          </w:tcPr>
          <w:p w:rsidR="00315EE6" w:rsidRPr="00CC14F6" w:rsidRDefault="00D706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1</w:t>
            </w:r>
            <w:r w:rsidR="00B1291D" w:rsidRPr="00CC14F6">
              <w:rPr>
                <w:rFonts w:ascii="Times New Roman" w:hAnsi="Times New Roman" w:cs="Times New Roman"/>
                <w:color w:val="000000" w:themeColor="text1"/>
                <w:sz w:val="24"/>
                <w:szCs w:val="24"/>
              </w:rPr>
              <w:t>.</w:t>
            </w:r>
          </w:p>
        </w:tc>
        <w:tc>
          <w:tcPr>
            <w:tcW w:w="2977" w:type="dxa"/>
            <w:shd w:val="clear" w:color="auto" w:fill="auto"/>
          </w:tcPr>
          <w:p w:rsidR="00315EE6" w:rsidRPr="00CC14F6" w:rsidRDefault="00EB4A79"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Pagal priemonę numatomi rengti PFSA</w:t>
            </w:r>
          </w:p>
          <w:p w:rsidR="007D3DF5" w:rsidRPr="00CC14F6" w:rsidRDefault="007D3DF5" w:rsidP="005C1DF8">
            <w:pPr>
              <w:rPr>
                <w:rFonts w:ascii="Times New Roman" w:hAnsi="Times New Roman" w:cs="Times New Roman"/>
                <w:color w:val="000000" w:themeColor="text1"/>
                <w:sz w:val="24"/>
                <w:szCs w:val="24"/>
              </w:rPr>
            </w:pPr>
          </w:p>
          <w:p w:rsidR="007D3DF5" w:rsidRPr="00CC14F6" w:rsidRDefault="007D3D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(Taikoma, kai pagal priemonę rengiamas daugiau nei vienas PFSA.)</w:t>
            </w:r>
          </w:p>
        </w:tc>
        <w:tc>
          <w:tcPr>
            <w:tcW w:w="6202" w:type="dxa"/>
            <w:shd w:val="clear" w:color="auto" w:fill="auto"/>
          </w:tcPr>
          <w:p w:rsidR="00E74D2C" w:rsidRPr="00CC14F6" w:rsidRDefault="0038054A" w:rsidP="0076419A">
            <w:pPr>
              <w:jc w:val="both"/>
              <w:rPr>
                <w:rFonts w:ascii="Times New Roman" w:hAnsi="Times New Roman"/>
                <w:color w:val="000000" w:themeColor="text1"/>
                <w:sz w:val="24"/>
                <w:szCs w:val="24"/>
              </w:rPr>
            </w:pPr>
            <w:r w:rsidRPr="00CC14F6">
              <w:rPr>
                <w:rFonts w:ascii="Times New Roman" w:hAnsi="Times New Roman"/>
                <w:color w:val="000000" w:themeColor="text1"/>
                <w:sz w:val="24"/>
                <w:szCs w:val="24"/>
              </w:rPr>
              <w:t>Netaikoma</w:t>
            </w:r>
          </w:p>
        </w:tc>
      </w:tr>
      <w:tr w:rsidR="009A5B20" w:rsidRPr="00CC14F6" w:rsidTr="00D706F5">
        <w:trPr>
          <w:trHeight w:val="66"/>
        </w:trPr>
        <w:tc>
          <w:tcPr>
            <w:tcW w:w="675" w:type="dxa"/>
            <w:shd w:val="clear" w:color="auto" w:fill="auto"/>
          </w:tcPr>
          <w:p w:rsidR="009A5B20" w:rsidRPr="00CC14F6" w:rsidRDefault="00D706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2</w:t>
            </w:r>
            <w:r w:rsidR="009A5B20" w:rsidRPr="00CC14F6">
              <w:rPr>
                <w:rFonts w:ascii="Times New Roman" w:hAnsi="Times New Roman" w:cs="Times New Roman"/>
                <w:color w:val="000000" w:themeColor="text1"/>
                <w:sz w:val="24"/>
                <w:szCs w:val="24"/>
              </w:rPr>
              <w:t>.</w:t>
            </w:r>
          </w:p>
        </w:tc>
        <w:tc>
          <w:tcPr>
            <w:tcW w:w="2977" w:type="dxa"/>
            <w:shd w:val="clear" w:color="auto" w:fill="auto"/>
          </w:tcPr>
          <w:p w:rsidR="009A5B20" w:rsidRPr="00CC14F6" w:rsidRDefault="009A5B20"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Dvigubo finansavimo rizikos įvertinimas</w:t>
            </w:r>
          </w:p>
        </w:tc>
        <w:tc>
          <w:tcPr>
            <w:tcW w:w="6202" w:type="dxa"/>
            <w:shd w:val="clear" w:color="auto" w:fill="auto"/>
          </w:tcPr>
          <w:p w:rsidR="009A5B20" w:rsidRPr="00CC14F6" w:rsidRDefault="0056462D" w:rsidP="0056462D">
            <w:pPr>
              <w:jc w:val="both"/>
              <w:rPr>
                <w:rFonts w:ascii="Times New Roman" w:hAnsi="Times New Roman"/>
                <w:color w:val="000000" w:themeColor="text1"/>
                <w:sz w:val="24"/>
                <w:szCs w:val="24"/>
              </w:rPr>
            </w:pPr>
            <w:r w:rsidRPr="00CC14F6">
              <w:rPr>
                <w:rFonts w:ascii="Times New Roman" w:hAnsi="Times New Roman" w:cs="Times New Roman"/>
                <w:color w:val="000000" w:themeColor="text1"/>
                <w:sz w:val="24"/>
                <w:szCs w:val="24"/>
              </w:rPr>
              <w:t>N</w:t>
            </w:r>
            <w:r w:rsidR="009A5B20" w:rsidRPr="00CC14F6">
              <w:rPr>
                <w:rFonts w:ascii="Times New Roman" w:hAnsi="Times New Roman" w:cs="Times New Roman"/>
                <w:color w:val="000000" w:themeColor="text1"/>
                <w:sz w:val="24"/>
                <w:szCs w:val="24"/>
              </w:rPr>
              <w:t xml:space="preserve">aujų sankirtų rizikų, kurios nebuvo </w:t>
            </w:r>
            <w:r w:rsidR="00C75DFD" w:rsidRPr="00CC14F6">
              <w:rPr>
                <w:rFonts w:ascii="Times New Roman" w:hAnsi="Times New Roman" w:cs="Times New Roman"/>
                <w:color w:val="000000" w:themeColor="text1"/>
                <w:sz w:val="24"/>
                <w:szCs w:val="24"/>
              </w:rPr>
              <w:t>identifikuotos</w:t>
            </w:r>
            <w:r w:rsidR="009A5B20" w:rsidRPr="00CC14F6">
              <w:rPr>
                <w:rFonts w:ascii="Times New Roman" w:hAnsi="Times New Roman" w:cs="Times New Roman"/>
                <w:color w:val="000000" w:themeColor="text1"/>
                <w:sz w:val="24"/>
                <w:szCs w:val="24"/>
              </w:rPr>
              <w:t xml:space="preserve"> </w:t>
            </w:r>
            <w:r w:rsidR="00A537BC" w:rsidRPr="00CC14F6">
              <w:rPr>
                <w:rFonts w:ascii="Times New Roman" w:hAnsi="Times New Roman" w:cs="Times New Roman"/>
                <w:color w:val="000000" w:themeColor="text1"/>
                <w:sz w:val="24"/>
                <w:szCs w:val="24"/>
              </w:rPr>
              <w:t xml:space="preserve">rengiant </w:t>
            </w:r>
            <w:r w:rsidR="00D706F5" w:rsidRPr="00CC14F6">
              <w:rPr>
                <w:rFonts w:ascii="Times New Roman" w:hAnsi="Times New Roman" w:cs="Times New Roman"/>
                <w:color w:val="000000" w:themeColor="text1"/>
                <w:sz w:val="24"/>
                <w:szCs w:val="24"/>
              </w:rPr>
              <w:t>PIP</w:t>
            </w:r>
            <w:r w:rsidRPr="00CC14F6">
              <w:rPr>
                <w:rFonts w:ascii="Times New Roman" w:hAnsi="Times New Roman" w:cs="Times New Roman"/>
                <w:color w:val="000000" w:themeColor="text1"/>
                <w:sz w:val="24"/>
                <w:szCs w:val="24"/>
              </w:rPr>
              <w:t>, neatsirado</w:t>
            </w:r>
            <w:r w:rsidR="00D706F5" w:rsidRPr="00CC14F6">
              <w:rPr>
                <w:rFonts w:ascii="Times New Roman" w:hAnsi="Times New Roman" w:cs="Times New Roman"/>
                <w:color w:val="000000" w:themeColor="text1"/>
                <w:sz w:val="24"/>
                <w:szCs w:val="24"/>
              </w:rPr>
              <w:t>.</w:t>
            </w:r>
          </w:p>
        </w:tc>
      </w:tr>
      <w:tr w:rsidR="00EC48BF" w:rsidRPr="00CC14F6" w:rsidTr="00D706F5">
        <w:tc>
          <w:tcPr>
            <w:tcW w:w="675" w:type="dxa"/>
            <w:shd w:val="clear" w:color="auto" w:fill="auto"/>
          </w:tcPr>
          <w:p w:rsidR="00EC48BF" w:rsidRPr="00CC14F6" w:rsidRDefault="00D706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3</w:t>
            </w:r>
            <w:r w:rsidR="00B1291D" w:rsidRPr="00CC14F6">
              <w:rPr>
                <w:rFonts w:ascii="Times New Roman" w:hAnsi="Times New Roman" w:cs="Times New Roman"/>
                <w:color w:val="000000" w:themeColor="text1"/>
                <w:sz w:val="24"/>
                <w:szCs w:val="24"/>
              </w:rPr>
              <w:t>.</w:t>
            </w:r>
          </w:p>
        </w:tc>
        <w:tc>
          <w:tcPr>
            <w:tcW w:w="2977" w:type="dxa"/>
            <w:shd w:val="clear" w:color="auto" w:fill="auto"/>
          </w:tcPr>
          <w:p w:rsidR="00EC48BF" w:rsidRPr="00CC14F6" w:rsidRDefault="00AC407C"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PFSA suderinimas su kitomis institucijomis</w:t>
            </w:r>
          </w:p>
          <w:p w:rsidR="002964ED" w:rsidRPr="00CC14F6" w:rsidRDefault="002964ED" w:rsidP="005C1DF8">
            <w:pPr>
              <w:rPr>
                <w:rFonts w:ascii="Times New Roman" w:hAnsi="Times New Roman" w:cs="Times New Roman"/>
                <w:color w:val="000000" w:themeColor="text1"/>
                <w:sz w:val="24"/>
                <w:szCs w:val="24"/>
              </w:rPr>
            </w:pPr>
          </w:p>
          <w:p w:rsidR="002964ED" w:rsidRPr="00CC14F6" w:rsidRDefault="002964ED"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(Taikoma, kai PFSA teikiamas derinti VI</w:t>
            </w:r>
            <w:r w:rsidR="00BC6F77" w:rsidRPr="00CC14F6">
              <w:rPr>
                <w:rFonts w:ascii="Times New Roman" w:hAnsi="Times New Roman" w:cs="Times New Roman"/>
                <w:color w:val="000000" w:themeColor="text1"/>
                <w:sz w:val="24"/>
                <w:szCs w:val="24"/>
              </w:rPr>
              <w:t xml:space="preserve"> ir ĮI</w:t>
            </w:r>
            <w:r w:rsidRPr="00CC14F6">
              <w:rPr>
                <w:rFonts w:ascii="Times New Roman" w:hAnsi="Times New Roman" w:cs="Times New Roman"/>
                <w:color w:val="000000" w:themeColor="text1"/>
                <w:sz w:val="24"/>
                <w:szCs w:val="24"/>
              </w:rPr>
              <w:t>)</w:t>
            </w:r>
          </w:p>
          <w:p w:rsidR="002964ED" w:rsidRPr="00CC14F6" w:rsidRDefault="002964ED" w:rsidP="005C1DF8">
            <w:pPr>
              <w:rPr>
                <w:rFonts w:ascii="Times New Roman" w:hAnsi="Times New Roman" w:cs="Times New Roman"/>
                <w:color w:val="000000" w:themeColor="text1"/>
                <w:sz w:val="24"/>
                <w:szCs w:val="24"/>
              </w:rPr>
            </w:pPr>
          </w:p>
        </w:tc>
        <w:tc>
          <w:tcPr>
            <w:tcW w:w="6202" w:type="dxa"/>
            <w:shd w:val="clear" w:color="auto" w:fill="auto"/>
          </w:tcPr>
          <w:p w:rsidR="00BC6F77" w:rsidRPr="00CC14F6" w:rsidRDefault="002964ED" w:rsidP="005C1DF8">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 xml:space="preserve">Vadovaujantis VPAT 68 punktu </w:t>
            </w:r>
            <w:r w:rsidR="00AC407C" w:rsidRPr="00CC14F6">
              <w:rPr>
                <w:rFonts w:ascii="Times New Roman" w:hAnsi="Times New Roman" w:cs="Times New Roman"/>
                <w:color w:val="000000" w:themeColor="text1"/>
                <w:sz w:val="24"/>
                <w:szCs w:val="24"/>
              </w:rPr>
              <w:t xml:space="preserve">PFSA </w:t>
            </w:r>
            <w:r w:rsidRPr="00CC14F6">
              <w:rPr>
                <w:rFonts w:ascii="Times New Roman" w:hAnsi="Times New Roman" w:cs="Times New Roman"/>
                <w:color w:val="000000" w:themeColor="text1"/>
                <w:sz w:val="24"/>
                <w:szCs w:val="24"/>
              </w:rPr>
              <w:t>buvo suderintas</w:t>
            </w:r>
            <w:r w:rsidR="0076419A" w:rsidRPr="00CC14F6">
              <w:rPr>
                <w:rFonts w:ascii="Times New Roman" w:hAnsi="Times New Roman" w:cs="Times New Roman"/>
                <w:color w:val="000000" w:themeColor="text1"/>
                <w:sz w:val="24"/>
                <w:szCs w:val="24"/>
              </w:rPr>
              <w:t xml:space="preserve"> su VI ir ĮI</w:t>
            </w:r>
          </w:p>
          <w:p w:rsidR="0076419A" w:rsidRPr="00CC14F6" w:rsidRDefault="0076419A" w:rsidP="005C1DF8">
            <w:pPr>
              <w:jc w:val="both"/>
              <w:rPr>
                <w:rFonts w:ascii="Times New Roman" w:hAnsi="Times New Roman" w:cs="Times New Roman"/>
                <w:color w:val="000000" w:themeColor="text1"/>
                <w:sz w:val="24"/>
                <w:szCs w:val="24"/>
              </w:rPr>
            </w:pPr>
          </w:p>
          <w:p w:rsidR="0076419A" w:rsidRPr="00CC14F6" w:rsidRDefault="0076419A" w:rsidP="005C1DF8">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SAM įsakymo projekte bus nurodyta aktuali informacija</w:t>
            </w:r>
          </w:p>
          <w:p w:rsidR="006E0148" w:rsidRPr="00CC14F6" w:rsidRDefault="002964ED" w:rsidP="00BC6F77">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 xml:space="preserve"> (nurodant raštų datas ir numerius)</w:t>
            </w:r>
            <w:r w:rsidR="00AC407C" w:rsidRPr="00CC14F6">
              <w:rPr>
                <w:rFonts w:ascii="Times New Roman" w:hAnsi="Times New Roman" w:cs="Times New Roman"/>
                <w:color w:val="000000" w:themeColor="text1"/>
                <w:sz w:val="24"/>
                <w:szCs w:val="24"/>
              </w:rPr>
              <w:t xml:space="preserve">, </w:t>
            </w:r>
            <w:r w:rsidRPr="00CC14F6">
              <w:rPr>
                <w:rFonts w:ascii="Times New Roman" w:hAnsi="Times New Roman" w:cs="Times New Roman"/>
                <w:color w:val="000000" w:themeColor="text1"/>
                <w:sz w:val="24"/>
                <w:szCs w:val="24"/>
              </w:rPr>
              <w:t xml:space="preserve">ar atsižvelgta į pastabas </w:t>
            </w:r>
            <w:r w:rsidR="00AC407C" w:rsidRPr="00CC14F6">
              <w:rPr>
                <w:rFonts w:ascii="Times New Roman" w:hAnsi="Times New Roman" w:cs="Times New Roman"/>
                <w:color w:val="000000" w:themeColor="text1"/>
                <w:sz w:val="24"/>
                <w:szCs w:val="24"/>
              </w:rPr>
              <w:t>ir</w:t>
            </w:r>
            <w:r w:rsidRPr="00CC14F6">
              <w:rPr>
                <w:rFonts w:ascii="Times New Roman" w:hAnsi="Times New Roman" w:cs="Times New Roman"/>
                <w:color w:val="000000" w:themeColor="text1"/>
                <w:sz w:val="24"/>
                <w:szCs w:val="24"/>
              </w:rPr>
              <w:t>,</w:t>
            </w:r>
            <w:r w:rsidR="00AC407C" w:rsidRPr="00CC14F6">
              <w:rPr>
                <w:rFonts w:ascii="Times New Roman" w:hAnsi="Times New Roman" w:cs="Times New Roman"/>
                <w:color w:val="000000" w:themeColor="text1"/>
                <w:sz w:val="24"/>
                <w:szCs w:val="24"/>
              </w:rPr>
              <w:t xml:space="preserve"> jei į dalį pastabų nebuvo at</w:t>
            </w:r>
            <w:r w:rsidR="00C37CC6" w:rsidRPr="00CC14F6">
              <w:rPr>
                <w:rFonts w:ascii="Times New Roman" w:hAnsi="Times New Roman" w:cs="Times New Roman"/>
                <w:color w:val="000000" w:themeColor="text1"/>
                <w:sz w:val="24"/>
                <w:szCs w:val="24"/>
              </w:rPr>
              <w:t>sižvelgta, nurodyti to priežasti</w:t>
            </w:r>
            <w:r w:rsidR="006226A5" w:rsidRPr="00CC14F6">
              <w:rPr>
                <w:rFonts w:ascii="Times New Roman" w:hAnsi="Times New Roman" w:cs="Times New Roman"/>
                <w:color w:val="000000" w:themeColor="text1"/>
                <w:sz w:val="24"/>
                <w:szCs w:val="24"/>
              </w:rPr>
              <w:t>s</w:t>
            </w:r>
            <w:r w:rsidR="00585CCB" w:rsidRPr="00CC14F6">
              <w:rPr>
                <w:rFonts w:ascii="Times New Roman" w:hAnsi="Times New Roman" w:cs="Times New Roman"/>
                <w:color w:val="000000" w:themeColor="text1"/>
                <w:sz w:val="24"/>
                <w:szCs w:val="24"/>
              </w:rPr>
              <w:t>.</w:t>
            </w:r>
            <w:r w:rsidR="006226A5" w:rsidRPr="00CC14F6">
              <w:rPr>
                <w:rFonts w:ascii="Times New Roman" w:hAnsi="Times New Roman" w:cs="Times New Roman"/>
                <w:color w:val="000000" w:themeColor="text1"/>
                <w:sz w:val="24"/>
                <w:szCs w:val="24"/>
              </w:rPr>
              <w:t xml:space="preserve"> (Jei pastabų daug, galima pateikti derinimo lentelę kaip šio pagrindimo priedą). </w:t>
            </w:r>
          </w:p>
          <w:p w:rsidR="0076419A" w:rsidRPr="00CC14F6" w:rsidRDefault="0076419A" w:rsidP="00BC6F77">
            <w:pPr>
              <w:jc w:val="both"/>
              <w:rPr>
                <w:rFonts w:ascii="Times New Roman" w:hAnsi="Times New Roman" w:cs="Times New Roman"/>
                <w:color w:val="000000" w:themeColor="text1"/>
                <w:sz w:val="24"/>
                <w:szCs w:val="24"/>
              </w:rPr>
            </w:pPr>
          </w:p>
          <w:p w:rsidR="0076419A" w:rsidRPr="00CC14F6" w:rsidRDefault="0076419A" w:rsidP="00BC6F77">
            <w:pPr>
              <w:jc w:val="both"/>
              <w:rPr>
                <w:rFonts w:ascii="Times New Roman" w:hAnsi="Times New Roman" w:cs="Times New Roman"/>
                <w:color w:val="000000" w:themeColor="text1"/>
                <w:sz w:val="24"/>
                <w:szCs w:val="24"/>
              </w:rPr>
            </w:pPr>
          </w:p>
        </w:tc>
      </w:tr>
      <w:tr w:rsidR="002964ED" w:rsidRPr="00CC14F6" w:rsidTr="00D706F5">
        <w:tc>
          <w:tcPr>
            <w:tcW w:w="675" w:type="dxa"/>
            <w:shd w:val="clear" w:color="auto" w:fill="auto"/>
          </w:tcPr>
          <w:p w:rsidR="002964ED" w:rsidRPr="00CC14F6" w:rsidRDefault="00D706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4.</w:t>
            </w:r>
          </w:p>
        </w:tc>
        <w:tc>
          <w:tcPr>
            <w:tcW w:w="2977" w:type="dxa"/>
            <w:shd w:val="clear" w:color="auto" w:fill="auto"/>
          </w:tcPr>
          <w:p w:rsidR="002964ED" w:rsidRPr="00CC14F6" w:rsidRDefault="002964ED"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PFSA suderinimas su socialiniais ekonominiais partneriais</w:t>
            </w:r>
          </w:p>
          <w:p w:rsidR="002964ED" w:rsidRPr="00CC14F6" w:rsidRDefault="002964ED" w:rsidP="005C1DF8">
            <w:pPr>
              <w:rPr>
                <w:rFonts w:ascii="Times New Roman" w:hAnsi="Times New Roman" w:cs="Times New Roman"/>
                <w:color w:val="000000" w:themeColor="text1"/>
                <w:sz w:val="24"/>
                <w:szCs w:val="24"/>
              </w:rPr>
            </w:pPr>
          </w:p>
          <w:p w:rsidR="002964ED" w:rsidRPr="00CC14F6" w:rsidRDefault="002964ED"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w:t>
            </w:r>
            <w:r w:rsidR="000C3B86" w:rsidRPr="00CC14F6">
              <w:rPr>
                <w:rFonts w:ascii="Times New Roman" w:hAnsi="Times New Roman" w:cs="Times New Roman"/>
                <w:color w:val="000000" w:themeColor="text1"/>
                <w:sz w:val="24"/>
                <w:szCs w:val="24"/>
              </w:rPr>
              <w:t>Pildoma</w:t>
            </w:r>
            <w:r w:rsidRPr="00CC14F6">
              <w:rPr>
                <w:rFonts w:ascii="Times New Roman" w:hAnsi="Times New Roman" w:cs="Times New Roman"/>
                <w:color w:val="000000" w:themeColor="text1"/>
                <w:sz w:val="24"/>
                <w:szCs w:val="24"/>
              </w:rPr>
              <w:t>, kai PFSA teikiamas derinti VI.)</w:t>
            </w:r>
          </w:p>
          <w:p w:rsidR="002964ED" w:rsidRPr="00CC14F6" w:rsidRDefault="002964ED" w:rsidP="005C1DF8">
            <w:pPr>
              <w:rPr>
                <w:rFonts w:ascii="Times New Roman" w:hAnsi="Times New Roman" w:cs="Times New Roman"/>
                <w:color w:val="000000" w:themeColor="text1"/>
                <w:sz w:val="24"/>
                <w:szCs w:val="24"/>
              </w:rPr>
            </w:pPr>
          </w:p>
        </w:tc>
        <w:tc>
          <w:tcPr>
            <w:tcW w:w="6202" w:type="dxa"/>
            <w:shd w:val="clear" w:color="auto" w:fill="auto"/>
          </w:tcPr>
          <w:p w:rsidR="002964ED" w:rsidRPr="00CC14F6" w:rsidRDefault="0076419A" w:rsidP="0076419A">
            <w:pPr>
              <w:jc w:val="both"/>
              <w:rPr>
                <w:rFonts w:ascii="Times New Roman" w:hAnsi="Times New Roman" w:cs="Times New Roman"/>
                <w:color w:val="000000" w:themeColor="text1"/>
                <w:sz w:val="24"/>
                <w:szCs w:val="24"/>
              </w:rPr>
            </w:pPr>
            <w:r w:rsidRPr="00CC14F6">
              <w:rPr>
                <w:rFonts w:ascii="Times New Roman" w:hAnsi="Times New Roman"/>
                <w:color w:val="000000" w:themeColor="text1"/>
                <w:sz w:val="24"/>
                <w:szCs w:val="24"/>
              </w:rPr>
              <w:t>Netaikoma</w:t>
            </w:r>
            <w:r w:rsidR="002964ED" w:rsidRPr="00CC14F6">
              <w:rPr>
                <w:rFonts w:ascii="Times New Roman" w:hAnsi="Times New Roman" w:cs="Times New Roman"/>
                <w:color w:val="000000" w:themeColor="text1"/>
                <w:sz w:val="24"/>
                <w:szCs w:val="24"/>
              </w:rPr>
              <w:t xml:space="preserve"> </w:t>
            </w:r>
          </w:p>
          <w:p w:rsidR="0076419A" w:rsidRPr="00CC14F6" w:rsidRDefault="0076419A" w:rsidP="0076419A">
            <w:pPr>
              <w:jc w:val="both"/>
              <w:rPr>
                <w:rFonts w:ascii="Times New Roman" w:hAnsi="Times New Roman" w:cs="Times New Roman"/>
                <w:color w:val="000000" w:themeColor="text1"/>
                <w:sz w:val="24"/>
                <w:szCs w:val="24"/>
              </w:rPr>
            </w:pPr>
          </w:p>
        </w:tc>
      </w:tr>
      <w:tr w:rsidR="006226A5" w:rsidRPr="00CC14F6" w:rsidTr="00D706F5">
        <w:tc>
          <w:tcPr>
            <w:tcW w:w="675" w:type="dxa"/>
            <w:shd w:val="clear" w:color="auto" w:fill="auto"/>
          </w:tcPr>
          <w:p w:rsidR="006226A5" w:rsidRPr="00CC14F6" w:rsidRDefault="00D706F5"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5</w:t>
            </w:r>
            <w:r w:rsidR="006226A5" w:rsidRPr="00CC14F6">
              <w:rPr>
                <w:rFonts w:ascii="Times New Roman" w:hAnsi="Times New Roman" w:cs="Times New Roman"/>
                <w:color w:val="000000" w:themeColor="text1"/>
                <w:sz w:val="24"/>
                <w:szCs w:val="24"/>
              </w:rPr>
              <w:t xml:space="preserve">. </w:t>
            </w:r>
          </w:p>
        </w:tc>
        <w:tc>
          <w:tcPr>
            <w:tcW w:w="2977" w:type="dxa"/>
            <w:shd w:val="clear" w:color="auto" w:fill="auto"/>
          </w:tcPr>
          <w:p w:rsidR="006226A5" w:rsidRPr="00CC14F6" w:rsidRDefault="006226A5"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Kita</w:t>
            </w:r>
          </w:p>
        </w:tc>
        <w:tc>
          <w:tcPr>
            <w:tcW w:w="6202" w:type="dxa"/>
            <w:shd w:val="clear" w:color="auto" w:fill="auto"/>
          </w:tcPr>
          <w:p w:rsidR="006226A5" w:rsidRPr="00CC14F6" w:rsidRDefault="00D706F5" w:rsidP="005C1DF8">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Jei būtina, nurodyti papildomą informaciją</w:t>
            </w:r>
            <w:r w:rsidR="006226A5" w:rsidRPr="00CC14F6">
              <w:rPr>
                <w:rFonts w:ascii="Times New Roman" w:hAnsi="Times New Roman" w:cs="Times New Roman"/>
                <w:color w:val="000000" w:themeColor="text1"/>
                <w:sz w:val="24"/>
                <w:szCs w:val="24"/>
              </w:rPr>
              <w:t>.</w:t>
            </w:r>
          </w:p>
        </w:tc>
      </w:tr>
    </w:tbl>
    <w:p w:rsidR="00EB4A79" w:rsidRPr="00CC14F6" w:rsidRDefault="00EB4A79" w:rsidP="005C1DF8">
      <w:pPr>
        <w:spacing w:after="0" w:line="240" w:lineRule="auto"/>
        <w:rPr>
          <w:rFonts w:ascii="Times New Roman" w:hAnsi="Times New Roman" w:cs="Times New Roman"/>
          <w:b/>
          <w:color w:val="000000" w:themeColor="text1"/>
          <w:sz w:val="24"/>
          <w:szCs w:val="24"/>
        </w:rPr>
      </w:pPr>
    </w:p>
    <w:p w:rsidR="00EB4A79" w:rsidRPr="00CC14F6" w:rsidRDefault="00EB4A79"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lastRenderedPageBreak/>
        <w:t>II. KAI VYKDOMAS KONKURSAS ARBA TĘSTINĖ ATRANKA</w:t>
      </w:r>
      <w:r w:rsidR="006C4CFA" w:rsidRPr="00CC14F6">
        <w:rPr>
          <w:rFonts w:ascii="Times New Roman" w:hAnsi="Times New Roman" w:cs="Times New Roman"/>
          <w:b/>
          <w:color w:val="000000" w:themeColor="text1"/>
          <w:sz w:val="24"/>
          <w:szCs w:val="24"/>
        </w:rPr>
        <w:t>:</w:t>
      </w:r>
    </w:p>
    <w:tbl>
      <w:tblPr>
        <w:tblStyle w:val="TableGrid"/>
        <w:tblW w:w="0" w:type="auto"/>
        <w:tblLook w:val="04A0"/>
      </w:tblPr>
      <w:tblGrid>
        <w:gridCol w:w="675"/>
        <w:gridCol w:w="2977"/>
        <w:gridCol w:w="6202"/>
      </w:tblGrid>
      <w:tr w:rsidR="00EB4A79" w:rsidRPr="00CC14F6" w:rsidTr="00D706F5">
        <w:trPr>
          <w:tblHeader/>
        </w:trPr>
        <w:tc>
          <w:tcPr>
            <w:tcW w:w="675" w:type="dxa"/>
            <w:shd w:val="clear" w:color="auto" w:fill="BFBFBF" w:themeFill="background1" w:themeFillShade="BF"/>
          </w:tcPr>
          <w:p w:rsidR="00EB4A79" w:rsidRPr="00CC14F6" w:rsidRDefault="00EB4A79" w:rsidP="005C1DF8">
            <w:pPr>
              <w:jc w:val="center"/>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Nr.</w:t>
            </w:r>
          </w:p>
        </w:tc>
        <w:tc>
          <w:tcPr>
            <w:tcW w:w="2977" w:type="dxa"/>
            <w:shd w:val="clear" w:color="auto" w:fill="BFBFBF" w:themeFill="background1" w:themeFillShade="BF"/>
          </w:tcPr>
          <w:p w:rsidR="00EB4A79" w:rsidRPr="00CC14F6" w:rsidRDefault="00EB4A79" w:rsidP="005C1DF8">
            <w:pPr>
              <w:jc w:val="center"/>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Klausimas</w:t>
            </w:r>
          </w:p>
        </w:tc>
        <w:tc>
          <w:tcPr>
            <w:tcW w:w="6202" w:type="dxa"/>
            <w:shd w:val="clear" w:color="auto" w:fill="BFBFBF" w:themeFill="background1" w:themeFillShade="BF"/>
          </w:tcPr>
          <w:p w:rsidR="00EB4A79" w:rsidRPr="00CC14F6" w:rsidRDefault="00EB4A79" w:rsidP="005C1DF8">
            <w:pPr>
              <w:jc w:val="center"/>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Ministerijos pateikta informacija</w:t>
            </w:r>
          </w:p>
          <w:p w:rsidR="00EB4A79" w:rsidRPr="00CC14F6" w:rsidRDefault="00EB4A79" w:rsidP="005C1DF8">
            <w:pPr>
              <w:jc w:val="center"/>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(pildymo instrukcija)</w:t>
            </w:r>
          </w:p>
        </w:tc>
      </w:tr>
      <w:tr w:rsidR="00785CA4" w:rsidRPr="00CC14F6" w:rsidTr="00D706F5">
        <w:tc>
          <w:tcPr>
            <w:tcW w:w="675" w:type="dxa"/>
          </w:tcPr>
          <w:p w:rsidR="00785CA4" w:rsidRPr="00CC14F6" w:rsidRDefault="00D706F5" w:rsidP="005C1DF8">
            <w:pPr>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6</w:t>
            </w:r>
            <w:r w:rsidR="00785CA4" w:rsidRPr="00CC14F6">
              <w:rPr>
                <w:rFonts w:ascii="Times New Roman" w:hAnsi="Times New Roman" w:cs="Times New Roman"/>
                <w:color w:val="000000" w:themeColor="text1"/>
                <w:sz w:val="23"/>
                <w:szCs w:val="23"/>
              </w:rPr>
              <w:t>.</w:t>
            </w:r>
          </w:p>
        </w:tc>
        <w:tc>
          <w:tcPr>
            <w:tcW w:w="2977" w:type="dxa"/>
          </w:tcPr>
          <w:p w:rsidR="00785CA4" w:rsidRPr="00CC14F6" w:rsidRDefault="00785CA4" w:rsidP="005C1DF8">
            <w:pPr>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Galimų pareiškėjų ir (ar) partnerių pasirinkimas</w:t>
            </w:r>
          </w:p>
          <w:p w:rsidR="00785CA4" w:rsidRPr="00CC14F6" w:rsidRDefault="00785CA4" w:rsidP="005C1DF8">
            <w:pPr>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 xml:space="preserve">(Taikoma, kai </w:t>
            </w:r>
            <w:r w:rsidRPr="00CC14F6">
              <w:rPr>
                <w:rFonts w:ascii="Times New Roman" w:hAnsi="Times New Roman"/>
                <w:color w:val="000000" w:themeColor="text1"/>
                <w:sz w:val="23"/>
                <w:szCs w:val="23"/>
              </w:rPr>
              <w:t xml:space="preserve">PFSA </w:t>
            </w:r>
            <w:r w:rsidRPr="00CC14F6">
              <w:rPr>
                <w:rFonts w:ascii="Times New Roman" w:hAnsi="Times New Roman" w:cs="Times New Roman"/>
                <w:color w:val="000000" w:themeColor="text1"/>
                <w:sz w:val="23"/>
                <w:szCs w:val="23"/>
              </w:rPr>
              <w:t>nurodyti ne visi PIP nurodyti pareiškėjai/ partneriai arba nurodyta siauresnė pareiškėjų / partnerių grupė, nei nurodyta PIP.)</w:t>
            </w:r>
          </w:p>
        </w:tc>
        <w:tc>
          <w:tcPr>
            <w:tcW w:w="6202" w:type="dxa"/>
          </w:tcPr>
          <w:p w:rsidR="00785CA4" w:rsidRPr="00CC14F6" w:rsidRDefault="009B7CAD" w:rsidP="009B7CAD">
            <w:pPr>
              <w:tabs>
                <w:tab w:val="left" w:pos="567"/>
              </w:tabs>
              <w:jc w:val="both"/>
              <w:rPr>
                <w:rFonts w:ascii="Times New Roman" w:eastAsia="Calibri" w:hAnsi="Times New Roman" w:cs="Times New Roman"/>
                <w:sz w:val="23"/>
                <w:szCs w:val="23"/>
              </w:rPr>
            </w:pPr>
            <w:r w:rsidRPr="00CC14F6">
              <w:rPr>
                <w:rFonts w:ascii="Times New Roman" w:hAnsi="Times New Roman" w:cs="Times New Roman"/>
                <w:color w:val="000000" w:themeColor="text1"/>
                <w:sz w:val="23"/>
                <w:szCs w:val="23"/>
              </w:rPr>
              <w:t xml:space="preserve">Galimi pareiškėjai  ir (ar) partneriai pasirinkti vadovaujantis </w:t>
            </w:r>
            <w:r w:rsidRPr="00CC14F6">
              <w:rPr>
                <w:rFonts w:ascii="Times New Roman" w:hAnsi="Times New Roman" w:cs="Times New Roman"/>
                <w:sz w:val="23"/>
                <w:szCs w:val="23"/>
              </w:rPr>
              <w:t xml:space="preserve">Sveikatos netolygumų mažinimo Lietuvoje 2014–2023 m. veiksmų plano, patvirtinto Lietuvos Respublikos sveikatos apsaugos ministro 2014 m. liepos 16 d. įsakymu Nr. V-815 ,,Dėl sveikatos netolygumų mažinimo Lietuvoje 2014–2023 m. veiksmų plano patvirtinimo“ </w:t>
            </w:r>
            <w:r w:rsidRPr="00CC14F6">
              <w:rPr>
                <w:rFonts w:ascii="Times New Roman" w:eastAsia="Calibri" w:hAnsi="Times New Roman" w:cs="Times New Roman"/>
                <w:sz w:val="23"/>
                <w:szCs w:val="23"/>
              </w:rPr>
              <w:t>1 priedu ,,</w:t>
            </w:r>
            <w:r w:rsidRPr="00CC14F6">
              <w:rPr>
                <w:rFonts w:ascii="Times New Roman" w:hAnsi="Times New Roman" w:cs="Times New Roman"/>
                <w:sz w:val="23"/>
                <w:szCs w:val="23"/>
              </w:rPr>
              <w:t>Tuberkuliozės profilaktikos, diagnostikos ir gydymo efektyvumo didinimo krypties aprašas</w:t>
            </w:r>
            <w:r w:rsidRPr="00CC14F6">
              <w:rPr>
                <w:rFonts w:ascii="Times New Roman" w:eastAsia="Calibri" w:hAnsi="Times New Roman" w:cs="Times New Roman"/>
                <w:sz w:val="23"/>
                <w:szCs w:val="23"/>
              </w:rPr>
              <w:t>“:</w:t>
            </w:r>
          </w:p>
          <w:p w:rsidR="009B7CAD" w:rsidRPr="00CC14F6" w:rsidRDefault="00F85DAC" w:rsidP="00F85DAC">
            <w:pPr>
              <w:pStyle w:val="ListParagraph"/>
              <w:numPr>
                <w:ilvl w:val="0"/>
                <w:numId w:val="4"/>
              </w:numPr>
              <w:tabs>
                <w:tab w:val="left" w:pos="459"/>
              </w:tabs>
              <w:ind w:left="34" w:firstLine="0"/>
              <w:rPr>
                <w:rFonts w:ascii="Times New Roman" w:hAnsi="Times New Roman" w:cs="Times New Roman"/>
                <w:color w:val="000000" w:themeColor="text1"/>
                <w:sz w:val="23"/>
                <w:szCs w:val="23"/>
              </w:rPr>
            </w:pPr>
            <w:r w:rsidRPr="00CC14F6">
              <w:rPr>
                <w:rFonts w:ascii="Times New Roman" w:hAnsi="Times New Roman" w:cs="Times New Roman"/>
                <w:sz w:val="23"/>
                <w:szCs w:val="23"/>
              </w:rPr>
              <w:t>Lietuvos Respublikos sveikatos apsaugos ministerija ir (ar) jai pavaldžios įstaigos;</w:t>
            </w:r>
          </w:p>
          <w:p w:rsidR="009B7CAD" w:rsidRPr="00CC14F6" w:rsidRDefault="00F85DAC" w:rsidP="00F85DAC">
            <w:pPr>
              <w:pStyle w:val="ListParagraph"/>
              <w:numPr>
                <w:ilvl w:val="0"/>
                <w:numId w:val="4"/>
              </w:numPr>
              <w:tabs>
                <w:tab w:val="left" w:pos="459"/>
              </w:tabs>
              <w:ind w:left="34" w:firstLine="0"/>
              <w:rPr>
                <w:rFonts w:ascii="Times New Roman" w:hAnsi="Times New Roman" w:cs="Times New Roman"/>
                <w:sz w:val="23"/>
                <w:szCs w:val="23"/>
              </w:rPr>
            </w:pPr>
            <w:r w:rsidRPr="00CC14F6">
              <w:rPr>
                <w:rFonts w:ascii="Times New Roman" w:hAnsi="Times New Roman" w:cs="Times New Roman"/>
                <w:sz w:val="23"/>
                <w:szCs w:val="23"/>
              </w:rPr>
              <w:t xml:space="preserve">TB stacionarai: </w:t>
            </w:r>
            <w:r w:rsidR="009B7CAD" w:rsidRPr="00CC14F6">
              <w:rPr>
                <w:rFonts w:ascii="Times New Roman" w:hAnsi="Times New Roman" w:cs="Times New Roman"/>
                <w:sz w:val="23"/>
                <w:szCs w:val="23"/>
              </w:rPr>
              <w:t>VšĮ Vilniaus universiteto ligoninės Santariškių klinikos, Lietuvos sveikatos mokslų universiteto ligoninė VšĮ Kauno klinikos, VšĮ Respublikinė Šiaulių ligoninė, VšĮ Respublikinė Klaipėdos ligoninė, VšĮ Respublikinė Panevėžio ligoninė, VšĮ Alytaus apskrities tuberkuliozės ligoninė, VšĮ Kauno klinikinė ligoninė</w:t>
            </w:r>
            <w:r w:rsidRPr="00CC14F6">
              <w:rPr>
                <w:rFonts w:ascii="Times New Roman" w:hAnsi="Times New Roman" w:cs="Times New Roman"/>
                <w:sz w:val="23"/>
                <w:szCs w:val="23"/>
              </w:rPr>
              <w:t>;</w:t>
            </w:r>
          </w:p>
          <w:p w:rsidR="00F85DAC" w:rsidRPr="00CC14F6" w:rsidRDefault="00F85DAC" w:rsidP="00F85DAC">
            <w:pPr>
              <w:pStyle w:val="ListParagraph"/>
              <w:numPr>
                <w:ilvl w:val="0"/>
                <w:numId w:val="4"/>
              </w:numPr>
              <w:tabs>
                <w:tab w:val="left" w:pos="459"/>
              </w:tabs>
              <w:ind w:left="34" w:firstLine="0"/>
              <w:rPr>
                <w:rFonts w:ascii="Times New Roman" w:hAnsi="Times New Roman" w:cs="Times New Roman"/>
                <w:sz w:val="23"/>
                <w:szCs w:val="23"/>
              </w:rPr>
            </w:pPr>
            <w:r w:rsidRPr="00CC14F6">
              <w:rPr>
                <w:rFonts w:ascii="Times New Roman" w:hAnsi="Times New Roman" w:cs="Times New Roman"/>
                <w:sz w:val="23"/>
                <w:szCs w:val="23"/>
              </w:rPr>
              <w:t>Asmens sveikatos priežiūros įstaigos, teikiančios viešąsias (ambulatorines) sveikatos priežiūros paslaugas tuberkuliozės srityje;</w:t>
            </w:r>
          </w:p>
          <w:p w:rsidR="00F85DAC" w:rsidRPr="00CC14F6" w:rsidRDefault="00F85DAC" w:rsidP="00F85DAC">
            <w:pPr>
              <w:pStyle w:val="ListParagraph"/>
              <w:numPr>
                <w:ilvl w:val="0"/>
                <w:numId w:val="4"/>
              </w:numPr>
              <w:tabs>
                <w:tab w:val="left" w:pos="459"/>
              </w:tabs>
              <w:ind w:left="34" w:firstLine="0"/>
              <w:rPr>
                <w:rFonts w:ascii="Times New Roman" w:hAnsi="Times New Roman" w:cs="Times New Roman"/>
                <w:sz w:val="23"/>
                <w:szCs w:val="23"/>
              </w:rPr>
            </w:pPr>
            <w:r w:rsidRPr="00CC14F6">
              <w:rPr>
                <w:rFonts w:ascii="Times New Roman" w:hAnsi="Times New Roman" w:cs="Times New Roman"/>
                <w:sz w:val="23"/>
                <w:szCs w:val="23"/>
              </w:rPr>
              <w:t xml:space="preserve">Asmens sveikatos priežiūros įstaigos, teikiančios viešąsias </w:t>
            </w:r>
            <w:proofErr w:type="spellStart"/>
            <w:r w:rsidRPr="00CC14F6">
              <w:rPr>
                <w:rFonts w:ascii="Times New Roman" w:hAnsi="Times New Roman" w:cs="Times New Roman"/>
                <w:sz w:val="23"/>
                <w:szCs w:val="23"/>
              </w:rPr>
              <w:t>paliatyviosios</w:t>
            </w:r>
            <w:proofErr w:type="spellEnd"/>
            <w:r w:rsidRPr="00CC14F6">
              <w:rPr>
                <w:rFonts w:ascii="Times New Roman" w:hAnsi="Times New Roman" w:cs="Times New Roman"/>
                <w:sz w:val="23"/>
                <w:szCs w:val="23"/>
              </w:rPr>
              <w:t xml:space="preserve"> pagalbos paslaugas tuberkuliozės srityje;</w:t>
            </w:r>
          </w:p>
          <w:p w:rsidR="00F85DAC" w:rsidRPr="00CC14F6" w:rsidRDefault="00F85DAC" w:rsidP="00F85DAC">
            <w:pPr>
              <w:pStyle w:val="ListParagraph"/>
              <w:numPr>
                <w:ilvl w:val="0"/>
                <w:numId w:val="4"/>
              </w:numPr>
              <w:tabs>
                <w:tab w:val="left" w:pos="459"/>
              </w:tabs>
              <w:ind w:left="34" w:firstLine="0"/>
              <w:rPr>
                <w:rFonts w:ascii="Times New Roman" w:hAnsi="Times New Roman" w:cs="Times New Roman"/>
                <w:sz w:val="23"/>
                <w:szCs w:val="23"/>
              </w:rPr>
            </w:pPr>
            <w:r w:rsidRPr="00CC14F6">
              <w:rPr>
                <w:rFonts w:ascii="Times New Roman" w:hAnsi="Times New Roman" w:cs="Times New Roman"/>
                <w:sz w:val="23"/>
                <w:szCs w:val="23"/>
              </w:rPr>
              <w:t>Asmens sveikatos priežiūros įstaigos, teikiančios viešąsias (laboratorinės diagnostikos) sveikatos priežiūros paslaugas tuberkuliozės srityje ir patvirtintos Lietuvos Respublikos sveikatos apsaugos ministro 2000 m. lapkričio 9 d. įsakymu Nr. 635 „Dėl Tuberkuliozės mikroskopijos centrų sąrašo patvirtinimo“;</w:t>
            </w:r>
          </w:p>
          <w:p w:rsidR="00F85DAC" w:rsidRPr="00CC14F6" w:rsidRDefault="00F85DAC" w:rsidP="00F85DAC">
            <w:pPr>
              <w:pStyle w:val="ListParagraph"/>
              <w:numPr>
                <w:ilvl w:val="0"/>
                <w:numId w:val="4"/>
              </w:numPr>
              <w:tabs>
                <w:tab w:val="left" w:pos="459"/>
              </w:tabs>
              <w:ind w:left="34" w:firstLine="0"/>
              <w:rPr>
                <w:rFonts w:ascii="Times New Roman" w:hAnsi="Times New Roman"/>
                <w:color w:val="000000" w:themeColor="text1"/>
                <w:sz w:val="23"/>
                <w:szCs w:val="23"/>
              </w:rPr>
            </w:pPr>
            <w:r w:rsidRPr="00CC14F6">
              <w:rPr>
                <w:rFonts w:ascii="Times New Roman" w:hAnsi="Times New Roman" w:cs="Times New Roman"/>
                <w:sz w:val="23"/>
                <w:szCs w:val="23"/>
              </w:rPr>
              <w:t>Lietuvos pulmonologų draugija, Lietuvos pulmonologų ir alergologų draugija, Lietuvos bendrosios praktikos gydytojų draugija, Lietuvos vaikų pulmonologų draugija, Lietuvos pediatrų draugija, Lietuvos slaugos specialistų draugija.</w:t>
            </w:r>
          </w:p>
        </w:tc>
      </w:tr>
      <w:tr w:rsidR="00785CA4" w:rsidRPr="00CC14F6" w:rsidTr="00D706F5">
        <w:tc>
          <w:tcPr>
            <w:tcW w:w="675" w:type="dxa"/>
            <w:shd w:val="clear" w:color="auto" w:fill="auto"/>
          </w:tcPr>
          <w:p w:rsidR="00785CA4" w:rsidRPr="00CC14F6" w:rsidRDefault="00D706F5" w:rsidP="005C1DF8">
            <w:pPr>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7</w:t>
            </w:r>
            <w:r w:rsidR="00785CA4" w:rsidRPr="00CC14F6">
              <w:rPr>
                <w:rFonts w:ascii="Times New Roman" w:hAnsi="Times New Roman" w:cs="Times New Roman"/>
                <w:color w:val="000000" w:themeColor="text1"/>
                <w:sz w:val="23"/>
                <w:szCs w:val="23"/>
              </w:rPr>
              <w:t>.</w:t>
            </w:r>
          </w:p>
        </w:tc>
        <w:tc>
          <w:tcPr>
            <w:tcW w:w="2977" w:type="dxa"/>
            <w:shd w:val="clear" w:color="auto" w:fill="auto"/>
          </w:tcPr>
          <w:p w:rsidR="00785CA4" w:rsidRPr="00CC14F6" w:rsidRDefault="00785CA4" w:rsidP="005C1DF8">
            <w:pPr>
              <w:jc w:val="both"/>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Projektų finansavimo sąlygos</w:t>
            </w:r>
          </w:p>
          <w:p w:rsidR="00785CA4" w:rsidRPr="00CC14F6" w:rsidRDefault="00785CA4" w:rsidP="00D40436">
            <w:pPr>
              <w:jc w:val="both"/>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 xml:space="preserve">(Taikoma, kai </w:t>
            </w:r>
            <w:r w:rsidRPr="00CC14F6">
              <w:rPr>
                <w:rFonts w:ascii="Times New Roman" w:hAnsi="Times New Roman"/>
                <w:color w:val="000000" w:themeColor="text1"/>
                <w:sz w:val="23"/>
                <w:szCs w:val="23"/>
              </w:rPr>
              <w:t xml:space="preserve">PFSA </w:t>
            </w:r>
            <w:r w:rsidRPr="00CC14F6">
              <w:rPr>
                <w:rFonts w:ascii="Times New Roman" w:hAnsi="Times New Roman" w:cs="Times New Roman"/>
                <w:color w:val="000000" w:themeColor="text1"/>
                <w:sz w:val="23"/>
                <w:szCs w:val="23"/>
              </w:rPr>
              <w:t>ribojamas projekto finansavimo dydis.)</w:t>
            </w:r>
          </w:p>
        </w:tc>
        <w:tc>
          <w:tcPr>
            <w:tcW w:w="6202" w:type="dxa"/>
            <w:shd w:val="clear" w:color="auto" w:fill="auto"/>
          </w:tcPr>
          <w:p w:rsidR="00785CA4" w:rsidRPr="00CC14F6" w:rsidRDefault="0056462D" w:rsidP="00D40436">
            <w:pPr>
              <w:jc w:val="both"/>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Netaikoma.</w:t>
            </w:r>
          </w:p>
        </w:tc>
      </w:tr>
      <w:tr w:rsidR="00785CA4" w:rsidRPr="00CC14F6" w:rsidTr="00D706F5">
        <w:tc>
          <w:tcPr>
            <w:tcW w:w="675" w:type="dxa"/>
          </w:tcPr>
          <w:p w:rsidR="00785CA4" w:rsidRPr="00CC14F6" w:rsidRDefault="00D706F5" w:rsidP="005C1DF8">
            <w:pPr>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8</w:t>
            </w:r>
            <w:r w:rsidR="00785CA4" w:rsidRPr="00CC14F6">
              <w:rPr>
                <w:rFonts w:ascii="Times New Roman" w:hAnsi="Times New Roman" w:cs="Times New Roman"/>
                <w:color w:val="000000" w:themeColor="text1"/>
                <w:sz w:val="23"/>
                <w:szCs w:val="23"/>
              </w:rPr>
              <w:t>.</w:t>
            </w:r>
          </w:p>
        </w:tc>
        <w:tc>
          <w:tcPr>
            <w:tcW w:w="2977" w:type="dxa"/>
          </w:tcPr>
          <w:p w:rsidR="00785CA4" w:rsidRPr="00CC14F6" w:rsidRDefault="00785CA4" w:rsidP="005C1DF8">
            <w:pPr>
              <w:jc w:val="both"/>
              <w:rPr>
                <w:rFonts w:ascii="Times New Roman" w:hAnsi="Times New Roman" w:cs="Times New Roman"/>
                <w:b/>
                <w:color w:val="000000" w:themeColor="text1"/>
                <w:sz w:val="23"/>
                <w:szCs w:val="23"/>
              </w:rPr>
            </w:pPr>
            <w:r w:rsidRPr="00CC14F6">
              <w:rPr>
                <w:rFonts w:ascii="Times New Roman" w:hAnsi="Times New Roman" w:cs="Times New Roman"/>
                <w:b/>
                <w:color w:val="000000" w:themeColor="text1"/>
                <w:sz w:val="23"/>
                <w:szCs w:val="23"/>
              </w:rPr>
              <w:t xml:space="preserve">Visų projektų atitiktis kai kuriems bendriesiems projektų reikalavimams </w:t>
            </w:r>
          </w:p>
          <w:p w:rsidR="00785CA4" w:rsidRPr="00CC14F6" w:rsidRDefault="00785CA4" w:rsidP="00BC6F77">
            <w:pPr>
              <w:jc w:val="both"/>
              <w:rPr>
                <w:rFonts w:ascii="Times New Roman" w:hAnsi="Times New Roman" w:cs="Times New Roman"/>
                <w:color w:val="000000" w:themeColor="text1"/>
                <w:sz w:val="23"/>
                <w:szCs w:val="23"/>
              </w:rPr>
            </w:pPr>
            <w:r w:rsidRPr="00CC14F6" w:rsidDel="00627D93">
              <w:rPr>
                <w:rFonts w:ascii="Times New Roman" w:hAnsi="Times New Roman" w:cs="Times New Roman"/>
                <w:color w:val="000000" w:themeColor="text1"/>
                <w:sz w:val="23"/>
                <w:szCs w:val="23"/>
              </w:rPr>
              <w:t xml:space="preserve"> </w:t>
            </w:r>
            <w:r w:rsidRPr="00CC14F6">
              <w:rPr>
                <w:rFonts w:ascii="Times New Roman" w:hAnsi="Times New Roman" w:cs="Times New Roman"/>
                <w:color w:val="000000" w:themeColor="text1"/>
                <w:sz w:val="23"/>
                <w:szCs w:val="23"/>
              </w:rPr>
              <w:t xml:space="preserve">(Taikoma </w:t>
            </w:r>
            <w:r w:rsidR="00D706F5" w:rsidRPr="00CC14F6">
              <w:rPr>
                <w:rFonts w:ascii="Times New Roman" w:hAnsi="Times New Roman" w:cs="Times New Roman"/>
                <w:b/>
                <w:color w:val="000000" w:themeColor="text1"/>
                <w:sz w:val="23"/>
                <w:szCs w:val="23"/>
              </w:rPr>
              <w:t xml:space="preserve">tik </w:t>
            </w:r>
            <w:r w:rsidRPr="00CC14F6">
              <w:rPr>
                <w:rFonts w:ascii="Times New Roman" w:hAnsi="Times New Roman"/>
                <w:b/>
                <w:color w:val="000000" w:themeColor="text1"/>
                <w:sz w:val="23"/>
                <w:szCs w:val="23"/>
              </w:rPr>
              <w:t xml:space="preserve">visuotinių dotacijų </w:t>
            </w:r>
            <w:r w:rsidR="006C4CFA" w:rsidRPr="00CC14F6">
              <w:rPr>
                <w:rFonts w:ascii="Times New Roman" w:hAnsi="Times New Roman"/>
                <w:b/>
                <w:color w:val="000000" w:themeColor="text1"/>
                <w:sz w:val="23"/>
                <w:szCs w:val="23"/>
              </w:rPr>
              <w:t>priemonėms</w:t>
            </w:r>
            <w:r w:rsidRPr="00CC14F6">
              <w:rPr>
                <w:rFonts w:ascii="Times New Roman" w:hAnsi="Times New Roman" w:cs="Times New Roman"/>
                <w:color w:val="000000" w:themeColor="text1"/>
                <w:sz w:val="23"/>
                <w:szCs w:val="23"/>
              </w:rPr>
              <w:t xml:space="preserve">, kai </w:t>
            </w:r>
            <w:r w:rsidRPr="00CC14F6">
              <w:rPr>
                <w:rFonts w:ascii="Times New Roman" w:hAnsi="Times New Roman"/>
                <w:color w:val="000000" w:themeColor="text1"/>
                <w:sz w:val="23"/>
                <w:szCs w:val="23"/>
              </w:rPr>
              <w:t xml:space="preserve">PFSA iš anksto </w:t>
            </w:r>
            <w:r w:rsidRPr="00CC14F6">
              <w:rPr>
                <w:rFonts w:ascii="Times New Roman" w:hAnsi="Times New Roman" w:cs="Times New Roman"/>
                <w:color w:val="000000" w:themeColor="text1"/>
                <w:sz w:val="23"/>
                <w:szCs w:val="23"/>
              </w:rPr>
              <w:t>nurodyta, jog kai kuriuos bendruosius reikalavimus atitinka visi projektai (pagal PAFT 352 punktą)</w:t>
            </w:r>
            <w:r w:rsidR="00D706F5" w:rsidRPr="00CC14F6">
              <w:rPr>
                <w:rFonts w:ascii="Times New Roman" w:hAnsi="Times New Roman" w:cs="Times New Roman"/>
                <w:color w:val="000000" w:themeColor="text1"/>
                <w:sz w:val="23"/>
                <w:szCs w:val="23"/>
              </w:rPr>
              <w:t>.)</w:t>
            </w:r>
          </w:p>
        </w:tc>
        <w:tc>
          <w:tcPr>
            <w:tcW w:w="6202" w:type="dxa"/>
          </w:tcPr>
          <w:p w:rsidR="00785CA4" w:rsidRPr="00CC14F6" w:rsidRDefault="0056462D" w:rsidP="005C1DF8">
            <w:pPr>
              <w:jc w:val="both"/>
              <w:rPr>
                <w:rFonts w:ascii="Times New Roman" w:hAnsi="Times New Roman" w:cs="Times New Roman"/>
                <w:color w:val="000000" w:themeColor="text1"/>
                <w:sz w:val="23"/>
                <w:szCs w:val="23"/>
              </w:rPr>
            </w:pPr>
            <w:r w:rsidRPr="00CC14F6">
              <w:rPr>
                <w:rFonts w:ascii="Times New Roman" w:hAnsi="Times New Roman" w:cs="Times New Roman"/>
                <w:color w:val="000000" w:themeColor="text1"/>
                <w:sz w:val="23"/>
                <w:szCs w:val="23"/>
              </w:rPr>
              <w:t>Netaikoma.</w:t>
            </w:r>
          </w:p>
          <w:p w:rsidR="00785CA4" w:rsidRPr="00CC14F6" w:rsidRDefault="00785CA4" w:rsidP="005C1DF8">
            <w:pPr>
              <w:jc w:val="both"/>
              <w:rPr>
                <w:rFonts w:ascii="Times New Roman" w:hAnsi="Times New Roman" w:cs="Times New Roman"/>
                <w:color w:val="000000" w:themeColor="text1"/>
                <w:sz w:val="23"/>
                <w:szCs w:val="23"/>
              </w:rPr>
            </w:pPr>
          </w:p>
        </w:tc>
      </w:tr>
    </w:tbl>
    <w:p w:rsidR="00EB4A79" w:rsidRPr="00CC14F6" w:rsidRDefault="00EB4A79" w:rsidP="005C1DF8">
      <w:pPr>
        <w:spacing w:after="0"/>
        <w:rPr>
          <w:rFonts w:ascii="Times New Roman" w:hAnsi="Times New Roman" w:cs="Times New Roman"/>
          <w:b/>
          <w:color w:val="000000" w:themeColor="text1"/>
          <w:sz w:val="24"/>
          <w:szCs w:val="24"/>
        </w:rPr>
      </w:pPr>
    </w:p>
    <w:p w:rsidR="00F85DAC" w:rsidRPr="00CC14F6" w:rsidRDefault="00F85DAC" w:rsidP="005C1DF8">
      <w:pPr>
        <w:spacing w:after="0"/>
        <w:rPr>
          <w:rFonts w:ascii="Times New Roman" w:hAnsi="Times New Roman" w:cs="Times New Roman"/>
          <w:b/>
          <w:color w:val="000000" w:themeColor="text1"/>
          <w:sz w:val="24"/>
          <w:szCs w:val="24"/>
        </w:rPr>
      </w:pPr>
    </w:p>
    <w:p w:rsidR="00EB4A79" w:rsidRPr="00CC14F6" w:rsidRDefault="00EB4A79"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lastRenderedPageBreak/>
        <w:t>III. KAI VYKDOMAS VALSTYBĖS IR REGIONŲ PROJEKTŲ PLANAVIMAS</w:t>
      </w:r>
      <w:r w:rsidR="006C4CFA" w:rsidRPr="00CC14F6">
        <w:rPr>
          <w:rFonts w:ascii="Times New Roman" w:hAnsi="Times New Roman" w:cs="Times New Roman"/>
          <w:b/>
          <w:color w:val="000000" w:themeColor="text1"/>
          <w:sz w:val="24"/>
          <w:szCs w:val="24"/>
        </w:rPr>
        <w:t>:</w:t>
      </w:r>
    </w:p>
    <w:tbl>
      <w:tblPr>
        <w:tblStyle w:val="TableGrid"/>
        <w:tblW w:w="0" w:type="auto"/>
        <w:tblLook w:val="04A0"/>
      </w:tblPr>
      <w:tblGrid>
        <w:gridCol w:w="675"/>
        <w:gridCol w:w="2977"/>
        <w:gridCol w:w="6202"/>
      </w:tblGrid>
      <w:tr w:rsidR="00785CA4" w:rsidRPr="00CC14F6" w:rsidTr="00D706F5">
        <w:trPr>
          <w:tblHeader/>
        </w:trPr>
        <w:tc>
          <w:tcPr>
            <w:tcW w:w="675" w:type="dxa"/>
            <w:shd w:val="clear" w:color="auto" w:fill="BFBFBF" w:themeFill="background1" w:themeFillShade="BF"/>
          </w:tcPr>
          <w:p w:rsidR="00785CA4" w:rsidRPr="00CC14F6" w:rsidRDefault="00785CA4"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Nr.</w:t>
            </w:r>
          </w:p>
        </w:tc>
        <w:tc>
          <w:tcPr>
            <w:tcW w:w="2977" w:type="dxa"/>
            <w:shd w:val="clear" w:color="auto" w:fill="BFBFBF" w:themeFill="background1" w:themeFillShade="BF"/>
          </w:tcPr>
          <w:p w:rsidR="00785CA4" w:rsidRPr="00CC14F6" w:rsidRDefault="00785CA4"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Klausimas</w:t>
            </w:r>
          </w:p>
        </w:tc>
        <w:tc>
          <w:tcPr>
            <w:tcW w:w="6202" w:type="dxa"/>
            <w:shd w:val="clear" w:color="auto" w:fill="BFBFBF" w:themeFill="background1" w:themeFillShade="BF"/>
          </w:tcPr>
          <w:p w:rsidR="00785CA4" w:rsidRPr="00CC14F6" w:rsidRDefault="00785CA4"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Ministerijos pateikta informacija</w:t>
            </w:r>
          </w:p>
          <w:p w:rsidR="00785CA4" w:rsidRPr="00CC14F6" w:rsidRDefault="00785CA4" w:rsidP="005C1DF8">
            <w:pPr>
              <w:jc w:val="cente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(pildymo instrukcija)</w:t>
            </w:r>
          </w:p>
        </w:tc>
      </w:tr>
      <w:tr w:rsidR="00785CA4" w:rsidRPr="00CC14F6" w:rsidTr="00D706F5">
        <w:tc>
          <w:tcPr>
            <w:tcW w:w="675" w:type="dxa"/>
          </w:tcPr>
          <w:p w:rsidR="00785CA4" w:rsidRPr="00CC14F6" w:rsidRDefault="00785CA4"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9.</w:t>
            </w:r>
          </w:p>
        </w:tc>
        <w:tc>
          <w:tcPr>
            <w:tcW w:w="2977" w:type="dxa"/>
          </w:tcPr>
          <w:p w:rsidR="00785CA4" w:rsidRPr="00CC14F6" w:rsidRDefault="00785CA4" w:rsidP="005C1DF8">
            <w:pPr>
              <w:jc w:val="both"/>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Projekto </w:t>
            </w:r>
            <w:proofErr w:type="spellStart"/>
            <w:r w:rsidRPr="00CC14F6">
              <w:rPr>
                <w:rFonts w:ascii="Times New Roman" w:hAnsi="Times New Roman" w:cs="Times New Roman"/>
                <w:b/>
                <w:color w:val="000000" w:themeColor="text1"/>
                <w:sz w:val="24"/>
                <w:szCs w:val="24"/>
              </w:rPr>
              <w:t>parengtumo</w:t>
            </w:r>
            <w:proofErr w:type="spellEnd"/>
            <w:r w:rsidRPr="00CC14F6">
              <w:rPr>
                <w:rFonts w:ascii="Times New Roman" w:hAnsi="Times New Roman" w:cs="Times New Roman"/>
                <w:b/>
                <w:color w:val="000000" w:themeColor="text1"/>
                <w:sz w:val="24"/>
                <w:szCs w:val="24"/>
              </w:rPr>
              <w:t xml:space="preserve"> reikalavimų taikymas</w:t>
            </w:r>
          </w:p>
          <w:p w:rsidR="00785CA4" w:rsidRPr="00CC14F6" w:rsidRDefault="00785CA4" w:rsidP="005C1DF8">
            <w:pPr>
              <w:jc w:val="both"/>
              <w:rPr>
                <w:rFonts w:ascii="Times New Roman" w:hAnsi="Times New Roman" w:cs="Times New Roman"/>
                <w:color w:val="000000" w:themeColor="text1"/>
                <w:sz w:val="24"/>
                <w:szCs w:val="24"/>
              </w:rPr>
            </w:pPr>
          </w:p>
          <w:p w:rsidR="00785CA4" w:rsidRPr="00CC14F6" w:rsidRDefault="00785CA4" w:rsidP="005C1DF8">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 xml:space="preserve">(Taikoma, kai PFSA nenumatyti </w:t>
            </w:r>
            <w:proofErr w:type="spellStart"/>
            <w:r w:rsidRPr="00CC14F6">
              <w:rPr>
                <w:rFonts w:ascii="Times New Roman" w:hAnsi="Times New Roman" w:cs="Times New Roman"/>
                <w:color w:val="000000" w:themeColor="text1"/>
                <w:sz w:val="24"/>
                <w:szCs w:val="24"/>
              </w:rPr>
              <w:t>parengtumo</w:t>
            </w:r>
            <w:proofErr w:type="spellEnd"/>
            <w:r w:rsidRPr="00CC14F6">
              <w:rPr>
                <w:rFonts w:ascii="Times New Roman" w:hAnsi="Times New Roman" w:cs="Times New Roman"/>
                <w:color w:val="000000" w:themeColor="text1"/>
                <w:sz w:val="24"/>
                <w:szCs w:val="24"/>
              </w:rPr>
              <w:t xml:space="preserve"> reikalavimai.)</w:t>
            </w:r>
          </w:p>
        </w:tc>
        <w:tc>
          <w:tcPr>
            <w:tcW w:w="6202" w:type="dxa"/>
          </w:tcPr>
          <w:p w:rsidR="00785CA4" w:rsidRPr="00CC14F6" w:rsidRDefault="001D66DB" w:rsidP="005C1DF8">
            <w:pPr>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Netaikoma</w:t>
            </w:r>
            <w:r w:rsidR="00785CA4" w:rsidRPr="00CC14F6">
              <w:rPr>
                <w:rFonts w:ascii="Times New Roman" w:hAnsi="Times New Roman" w:cs="Times New Roman"/>
                <w:color w:val="000000" w:themeColor="text1"/>
                <w:sz w:val="24"/>
                <w:szCs w:val="24"/>
              </w:rPr>
              <w:t>.</w:t>
            </w:r>
          </w:p>
        </w:tc>
      </w:tr>
      <w:tr w:rsidR="00785CA4" w:rsidRPr="00CC14F6" w:rsidTr="00D706F5">
        <w:tc>
          <w:tcPr>
            <w:tcW w:w="675" w:type="dxa"/>
          </w:tcPr>
          <w:p w:rsidR="00785CA4" w:rsidRPr="00CC14F6" w:rsidRDefault="00785CA4" w:rsidP="005C1DF8">
            <w:pPr>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1</w:t>
            </w:r>
            <w:r w:rsidR="00D706F5" w:rsidRPr="00CC14F6">
              <w:rPr>
                <w:rFonts w:ascii="Times New Roman" w:hAnsi="Times New Roman" w:cs="Times New Roman"/>
                <w:color w:val="000000" w:themeColor="text1"/>
                <w:sz w:val="24"/>
                <w:szCs w:val="24"/>
              </w:rPr>
              <w:t>0</w:t>
            </w:r>
            <w:r w:rsidRPr="00CC14F6">
              <w:rPr>
                <w:rFonts w:ascii="Times New Roman" w:hAnsi="Times New Roman" w:cs="Times New Roman"/>
                <w:color w:val="000000" w:themeColor="text1"/>
                <w:sz w:val="24"/>
                <w:szCs w:val="24"/>
              </w:rPr>
              <w:t>.</w:t>
            </w:r>
          </w:p>
        </w:tc>
        <w:tc>
          <w:tcPr>
            <w:tcW w:w="2977" w:type="dxa"/>
          </w:tcPr>
          <w:p w:rsidR="00785CA4" w:rsidRPr="00CC14F6" w:rsidRDefault="00785CA4" w:rsidP="005C1DF8">
            <w:pPr>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Trišalių sutarčių sudarymo pagrindimas </w:t>
            </w:r>
          </w:p>
          <w:p w:rsidR="00D706F5" w:rsidRPr="00CC14F6" w:rsidRDefault="00785CA4" w:rsidP="005C1DF8">
            <w:pPr>
              <w:rPr>
                <w:rFonts w:ascii="Times New Roman" w:hAnsi="Times New Roman"/>
                <w:color w:val="000000" w:themeColor="text1"/>
                <w:sz w:val="24"/>
                <w:szCs w:val="24"/>
              </w:rPr>
            </w:pPr>
            <w:r w:rsidRPr="00CC14F6">
              <w:rPr>
                <w:rFonts w:ascii="Times New Roman" w:hAnsi="Times New Roman" w:cs="Times New Roman"/>
                <w:color w:val="000000" w:themeColor="text1"/>
                <w:sz w:val="24"/>
                <w:szCs w:val="24"/>
              </w:rPr>
              <w:t>(Taikoma, kai PFSA numatyta sudaryti trišales sutartis</w:t>
            </w:r>
            <w:r w:rsidRPr="00CC14F6">
              <w:rPr>
                <w:rFonts w:ascii="Times New Roman" w:hAnsi="Times New Roman"/>
                <w:color w:val="000000" w:themeColor="text1"/>
                <w:sz w:val="24"/>
                <w:szCs w:val="24"/>
              </w:rPr>
              <w:t xml:space="preserve">. </w:t>
            </w:r>
          </w:p>
          <w:p w:rsidR="00785CA4" w:rsidRPr="00CC14F6" w:rsidRDefault="00785CA4" w:rsidP="005C1DF8">
            <w:pPr>
              <w:rPr>
                <w:rFonts w:ascii="Times New Roman" w:hAnsi="Times New Roman" w:cs="Times New Roman"/>
                <w:color w:val="000000" w:themeColor="text1"/>
                <w:sz w:val="24"/>
                <w:szCs w:val="24"/>
              </w:rPr>
            </w:pPr>
            <w:r w:rsidRPr="00CC14F6">
              <w:rPr>
                <w:rFonts w:ascii="Times New Roman" w:hAnsi="Times New Roman"/>
                <w:color w:val="000000" w:themeColor="text1"/>
                <w:sz w:val="24"/>
                <w:szCs w:val="24"/>
              </w:rPr>
              <w:t>Netaikoma</w:t>
            </w:r>
            <w:r w:rsidR="00D706F5" w:rsidRPr="00CC14F6">
              <w:rPr>
                <w:rFonts w:ascii="Times New Roman" w:hAnsi="Times New Roman"/>
                <w:color w:val="000000" w:themeColor="text1"/>
                <w:sz w:val="24"/>
                <w:szCs w:val="24"/>
              </w:rPr>
              <w:t xml:space="preserve"> didelės apimties projektam</w:t>
            </w:r>
            <w:r w:rsidRPr="00CC14F6">
              <w:rPr>
                <w:rFonts w:ascii="Times New Roman" w:hAnsi="Times New Roman"/>
                <w:color w:val="000000" w:themeColor="text1"/>
                <w:sz w:val="24"/>
                <w:szCs w:val="24"/>
              </w:rPr>
              <w:t xml:space="preserve">s ir tiesioginių užsienio investicijų </w:t>
            </w:r>
            <w:r w:rsidR="00D706F5" w:rsidRPr="00CC14F6">
              <w:rPr>
                <w:rFonts w:ascii="Times New Roman" w:hAnsi="Times New Roman"/>
                <w:color w:val="000000" w:themeColor="text1"/>
                <w:sz w:val="24"/>
                <w:szCs w:val="24"/>
              </w:rPr>
              <w:t>pritraukimui skirtų</w:t>
            </w:r>
            <w:r w:rsidRPr="00CC14F6">
              <w:rPr>
                <w:rFonts w:ascii="Times New Roman" w:hAnsi="Times New Roman"/>
                <w:color w:val="000000" w:themeColor="text1"/>
                <w:sz w:val="24"/>
                <w:szCs w:val="24"/>
              </w:rPr>
              <w:t xml:space="preserve"> </w:t>
            </w:r>
            <w:r w:rsidR="00D706F5" w:rsidRPr="00CC14F6">
              <w:rPr>
                <w:rFonts w:ascii="Times New Roman" w:hAnsi="Times New Roman"/>
                <w:color w:val="000000" w:themeColor="text1"/>
                <w:sz w:val="24"/>
                <w:szCs w:val="24"/>
              </w:rPr>
              <w:t>priemonių PFSA.</w:t>
            </w:r>
            <w:r w:rsidRPr="00CC14F6">
              <w:rPr>
                <w:rFonts w:ascii="Times New Roman" w:hAnsi="Times New Roman" w:cs="Times New Roman"/>
                <w:color w:val="000000" w:themeColor="text1"/>
                <w:sz w:val="24"/>
                <w:szCs w:val="24"/>
              </w:rPr>
              <w:t>)</w:t>
            </w:r>
          </w:p>
        </w:tc>
        <w:tc>
          <w:tcPr>
            <w:tcW w:w="6202" w:type="dxa"/>
          </w:tcPr>
          <w:p w:rsidR="00785CA4" w:rsidRPr="00CC14F6" w:rsidRDefault="001D66DB" w:rsidP="005C1DF8">
            <w:pPr>
              <w:jc w:val="both"/>
              <w:rPr>
                <w:rFonts w:ascii="Times New Roman" w:hAnsi="Times New Roman" w:cs="Times New Roman"/>
                <w:strike/>
                <w:color w:val="000000" w:themeColor="text1"/>
                <w:sz w:val="24"/>
                <w:szCs w:val="24"/>
              </w:rPr>
            </w:pPr>
            <w:r w:rsidRPr="00CC14F6">
              <w:rPr>
                <w:rFonts w:ascii="Times New Roman" w:hAnsi="Times New Roman" w:cs="Times New Roman"/>
                <w:color w:val="000000" w:themeColor="text1"/>
                <w:sz w:val="24"/>
                <w:szCs w:val="24"/>
              </w:rPr>
              <w:t>Netaikoma</w:t>
            </w:r>
            <w:r w:rsidR="00785CA4" w:rsidRPr="00CC14F6">
              <w:rPr>
                <w:rFonts w:ascii="Times New Roman" w:hAnsi="Times New Roman" w:cs="Times New Roman"/>
                <w:color w:val="000000" w:themeColor="text1"/>
                <w:sz w:val="24"/>
                <w:szCs w:val="24"/>
              </w:rPr>
              <w:t>.</w:t>
            </w:r>
            <w:r w:rsidR="00785CA4" w:rsidRPr="00CC14F6">
              <w:rPr>
                <w:color w:val="000000" w:themeColor="text1"/>
              </w:rPr>
              <w:t xml:space="preserve"> </w:t>
            </w:r>
          </w:p>
        </w:tc>
      </w:tr>
    </w:tbl>
    <w:p w:rsidR="00EB4A79" w:rsidRPr="00CC14F6" w:rsidRDefault="00EB4A79" w:rsidP="005C1DF8">
      <w:pPr>
        <w:spacing w:after="0" w:line="240" w:lineRule="auto"/>
        <w:rPr>
          <w:rFonts w:ascii="Times New Roman" w:hAnsi="Times New Roman" w:cs="Times New Roman"/>
          <w:b/>
          <w:color w:val="000000" w:themeColor="text1"/>
          <w:sz w:val="24"/>
          <w:szCs w:val="24"/>
        </w:rPr>
      </w:pPr>
    </w:p>
    <w:p w:rsidR="004F379F" w:rsidRPr="00CC14F6" w:rsidRDefault="00EB4A79" w:rsidP="005C1DF8">
      <w:pPr>
        <w:spacing w:after="0" w:line="240" w:lineRule="auto"/>
        <w:ind w:left="-142" w:right="-143"/>
        <w:jc w:val="both"/>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IV. PRIEDAI </w:t>
      </w:r>
      <w:r w:rsidR="00E14033" w:rsidRPr="00CC14F6">
        <w:rPr>
          <w:rFonts w:ascii="Times New Roman" w:hAnsi="Times New Roman" w:cs="Times New Roman"/>
          <w:b/>
          <w:color w:val="000000" w:themeColor="text1"/>
          <w:sz w:val="24"/>
          <w:szCs w:val="24"/>
        </w:rPr>
        <w:t>(privalomi)</w:t>
      </w:r>
      <w:r w:rsidR="00F13A6B" w:rsidRPr="00CC14F6">
        <w:rPr>
          <w:rFonts w:ascii="Times New Roman" w:hAnsi="Times New Roman" w:cs="Times New Roman"/>
          <w:b/>
          <w:color w:val="000000" w:themeColor="text1"/>
          <w:sz w:val="24"/>
          <w:szCs w:val="24"/>
        </w:rPr>
        <w:t>:</w:t>
      </w:r>
    </w:p>
    <w:p w:rsidR="00B607EC" w:rsidRPr="00CC14F6" w:rsidRDefault="00B607EC" w:rsidP="005C1DF8">
      <w:pPr>
        <w:spacing w:before="120" w:after="0" w:line="240" w:lineRule="auto"/>
        <w:ind w:left="-142" w:right="-143"/>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1. Horizontaliųjų principų taikymo analizė</w:t>
      </w:r>
      <w:r w:rsidR="003917D6" w:rsidRPr="00CC14F6">
        <w:rPr>
          <w:rFonts w:ascii="Times New Roman" w:hAnsi="Times New Roman" w:cs="Times New Roman"/>
          <w:color w:val="000000" w:themeColor="text1"/>
          <w:sz w:val="24"/>
          <w:szCs w:val="24"/>
        </w:rPr>
        <w:t xml:space="preserve"> (teikiama VI ir ĮI)</w:t>
      </w:r>
      <w:r w:rsidRPr="00CC14F6">
        <w:rPr>
          <w:rFonts w:ascii="Times New Roman" w:hAnsi="Times New Roman" w:cs="Times New Roman"/>
          <w:color w:val="000000" w:themeColor="text1"/>
          <w:sz w:val="24"/>
          <w:szCs w:val="24"/>
        </w:rPr>
        <w:t>.</w:t>
      </w:r>
    </w:p>
    <w:p w:rsidR="00F13A6B" w:rsidRPr="00CC14F6" w:rsidRDefault="00B607EC" w:rsidP="005C1DF8">
      <w:pPr>
        <w:spacing w:before="120" w:after="0" w:line="240" w:lineRule="auto"/>
        <w:ind w:left="-142" w:right="-143"/>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2</w:t>
      </w:r>
      <w:r w:rsidR="00F13A6B" w:rsidRPr="00CC14F6">
        <w:rPr>
          <w:rFonts w:ascii="Times New Roman" w:hAnsi="Times New Roman" w:cs="Times New Roman"/>
          <w:color w:val="000000" w:themeColor="text1"/>
          <w:sz w:val="24"/>
          <w:szCs w:val="24"/>
        </w:rPr>
        <w:t xml:space="preserve">. </w:t>
      </w:r>
      <w:r w:rsidRPr="00CC14F6">
        <w:rPr>
          <w:rFonts w:ascii="Times New Roman" w:hAnsi="Times New Roman" w:cs="Times New Roman"/>
          <w:color w:val="000000" w:themeColor="text1"/>
          <w:sz w:val="24"/>
          <w:szCs w:val="24"/>
        </w:rPr>
        <w:t>Patikros lapas dėl v</w:t>
      </w:r>
      <w:r w:rsidR="00F13A6B" w:rsidRPr="00CC14F6">
        <w:rPr>
          <w:rFonts w:ascii="Times New Roman" w:hAnsi="Times New Roman" w:cs="Times New Roman"/>
          <w:color w:val="000000" w:themeColor="text1"/>
          <w:sz w:val="24"/>
          <w:szCs w:val="24"/>
        </w:rPr>
        <w:t xml:space="preserve">alstybės pagalbos </w:t>
      </w:r>
      <w:r w:rsidRPr="00CC14F6">
        <w:rPr>
          <w:rFonts w:ascii="Times New Roman" w:hAnsi="Times New Roman" w:cs="Times New Roman"/>
          <w:color w:val="000000" w:themeColor="text1"/>
          <w:sz w:val="24"/>
          <w:szCs w:val="24"/>
        </w:rPr>
        <w:t xml:space="preserve">ir </w:t>
      </w:r>
      <w:proofErr w:type="spellStart"/>
      <w:r w:rsidRPr="00CC14F6">
        <w:rPr>
          <w:rFonts w:ascii="Times New Roman" w:hAnsi="Times New Roman" w:cs="Times New Roman"/>
          <w:color w:val="000000" w:themeColor="text1"/>
          <w:sz w:val="24"/>
          <w:szCs w:val="24"/>
        </w:rPr>
        <w:t>de</w:t>
      </w:r>
      <w:proofErr w:type="spellEnd"/>
      <w:r w:rsidRPr="00CC14F6">
        <w:rPr>
          <w:rFonts w:ascii="Times New Roman" w:hAnsi="Times New Roman" w:cs="Times New Roman"/>
          <w:color w:val="000000" w:themeColor="text1"/>
          <w:sz w:val="24"/>
          <w:szCs w:val="24"/>
        </w:rPr>
        <w:t xml:space="preserve"> </w:t>
      </w:r>
      <w:proofErr w:type="spellStart"/>
      <w:r w:rsidRPr="00CC14F6">
        <w:rPr>
          <w:rFonts w:ascii="Times New Roman" w:hAnsi="Times New Roman" w:cs="Times New Roman"/>
          <w:color w:val="000000" w:themeColor="text1"/>
          <w:sz w:val="24"/>
          <w:szCs w:val="24"/>
        </w:rPr>
        <w:t>minimis</w:t>
      </w:r>
      <w:proofErr w:type="spellEnd"/>
      <w:r w:rsidRPr="00CC14F6">
        <w:rPr>
          <w:rFonts w:ascii="Times New Roman" w:hAnsi="Times New Roman" w:cs="Times New Roman"/>
          <w:color w:val="000000" w:themeColor="text1"/>
          <w:sz w:val="24"/>
          <w:szCs w:val="24"/>
        </w:rPr>
        <w:t xml:space="preserve"> pagalbos </w:t>
      </w:r>
      <w:r w:rsidR="00315EE6" w:rsidRPr="00CC14F6">
        <w:rPr>
          <w:rFonts w:ascii="Times New Roman" w:hAnsi="Times New Roman" w:cs="Times New Roman"/>
          <w:color w:val="000000" w:themeColor="text1"/>
          <w:sz w:val="24"/>
          <w:szCs w:val="24"/>
        </w:rPr>
        <w:t>buvimo</w:t>
      </w:r>
      <w:r w:rsidR="006C4CFA" w:rsidRPr="00CC14F6">
        <w:rPr>
          <w:rFonts w:ascii="Times New Roman" w:hAnsi="Times New Roman" w:cs="Times New Roman"/>
          <w:color w:val="000000" w:themeColor="text1"/>
          <w:sz w:val="24"/>
          <w:szCs w:val="24"/>
        </w:rPr>
        <w:t>/</w:t>
      </w:r>
      <w:r w:rsidR="00315EE6" w:rsidRPr="00CC14F6">
        <w:rPr>
          <w:rFonts w:ascii="Times New Roman" w:hAnsi="Times New Roman" w:cs="Times New Roman"/>
          <w:color w:val="000000" w:themeColor="text1"/>
          <w:sz w:val="24"/>
          <w:szCs w:val="24"/>
        </w:rPr>
        <w:t xml:space="preserve">nebuvimo </w:t>
      </w:r>
      <w:r w:rsidR="00D370FF" w:rsidRPr="00CC14F6">
        <w:rPr>
          <w:rFonts w:ascii="Times New Roman" w:hAnsi="Times New Roman" w:cs="Times New Roman"/>
          <w:color w:val="000000" w:themeColor="text1"/>
          <w:sz w:val="24"/>
          <w:szCs w:val="24"/>
        </w:rPr>
        <w:t>(teikiama VI ir ĮI)</w:t>
      </w:r>
      <w:r w:rsidRPr="00CC14F6">
        <w:rPr>
          <w:rFonts w:ascii="Times New Roman" w:hAnsi="Times New Roman" w:cs="Times New Roman"/>
          <w:color w:val="000000" w:themeColor="text1"/>
          <w:sz w:val="24"/>
          <w:szCs w:val="24"/>
        </w:rPr>
        <w:t>.</w:t>
      </w:r>
    </w:p>
    <w:p w:rsidR="00E14033" w:rsidRPr="00CC14F6" w:rsidRDefault="00E14033" w:rsidP="005C1DF8">
      <w:pPr>
        <w:spacing w:after="0" w:line="240" w:lineRule="auto"/>
        <w:ind w:left="-142" w:right="-143"/>
        <w:jc w:val="both"/>
        <w:rPr>
          <w:rFonts w:ascii="Times New Roman" w:hAnsi="Times New Roman" w:cs="Times New Roman"/>
          <w:color w:val="000000" w:themeColor="text1"/>
          <w:sz w:val="24"/>
          <w:szCs w:val="24"/>
        </w:rPr>
      </w:pPr>
    </w:p>
    <w:p w:rsidR="00E14033" w:rsidRPr="00CC14F6" w:rsidRDefault="00EB4A79" w:rsidP="005C1DF8">
      <w:pPr>
        <w:spacing w:after="0" w:line="240" w:lineRule="auto"/>
        <w:ind w:left="-142" w:right="-143"/>
        <w:jc w:val="both"/>
        <w:rPr>
          <w:rFonts w:ascii="Times New Roman" w:hAnsi="Times New Roman" w:cs="Times New Roman"/>
          <w:b/>
          <w:color w:val="000000" w:themeColor="text1"/>
          <w:sz w:val="24"/>
          <w:szCs w:val="24"/>
        </w:rPr>
      </w:pPr>
      <w:r w:rsidRPr="00CC14F6">
        <w:rPr>
          <w:rFonts w:ascii="Times New Roman" w:hAnsi="Times New Roman" w:cs="Times New Roman"/>
          <w:b/>
          <w:color w:val="000000" w:themeColor="text1"/>
          <w:sz w:val="24"/>
          <w:szCs w:val="24"/>
        </w:rPr>
        <w:t xml:space="preserve">V. PRIEDAI </w:t>
      </w:r>
      <w:r w:rsidR="00B607EC" w:rsidRPr="00CC14F6">
        <w:rPr>
          <w:rFonts w:ascii="Times New Roman" w:hAnsi="Times New Roman" w:cs="Times New Roman"/>
          <w:b/>
          <w:color w:val="000000" w:themeColor="text1"/>
          <w:sz w:val="24"/>
          <w:szCs w:val="24"/>
        </w:rPr>
        <w:t>(jei taikoma):</w:t>
      </w:r>
    </w:p>
    <w:p w:rsidR="004F379F" w:rsidRPr="00CC14F6" w:rsidRDefault="001D33FE" w:rsidP="005C1DF8">
      <w:pPr>
        <w:spacing w:before="120" w:after="0" w:line="240" w:lineRule="auto"/>
        <w:ind w:left="-142" w:right="-143"/>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 xml:space="preserve">3. </w:t>
      </w:r>
      <w:r w:rsidR="00B607EC" w:rsidRPr="00CC14F6">
        <w:rPr>
          <w:rFonts w:ascii="Times New Roman" w:hAnsi="Times New Roman" w:cs="Times New Roman"/>
          <w:color w:val="000000" w:themeColor="text1"/>
          <w:sz w:val="24"/>
          <w:szCs w:val="24"/>
        </w:rPr>
        <w:t xml:space="preserve">Fiksuotųjų įkainių/ fiksuotųjų sumų/ fiksuotosios normos nustatymo tyrimo ataskaita / teisės akto analizė (teikiama </w:t>
      </w:r>
      <w:r w:rsidR="004E09D8" w:rsidRPr="00CC14F6">
        <w:rPr>
          <w:rFonts w:ascii="Times New Roman" w:hAnsi="Times New Roman" w:cs="Times New Roman"/>
          <w:color w:val="000000" w:themeColor="text1"/>
          <w:sz w:val="24"/>
          <w:szCs w:val="24"/>
        </w:rPr>
        <w:t>ĮI ir VI</w:t>
      </w:r>
      <w:r w:rsidR="00B607EC" w:rsidRPr="00CC14F6">
        <w:rPr>
          <w:rFonts w:ascii="Times New Roman" w:hAnsi="Times New Roman" w:cs="Times New Roman"/>
          <w:color w:val="000000" w:themeColor="text1"/>
          <w:sz w:val="24"/>
          <w:szCs w:val="24"/>
        </w:rPr>
        <w:t xml:space="preserve">). </w:t>
      </w:r>
      <w:r w:rsidR="001F4FD9" w:rsidRPr="00CC14F6">
        <w:rPr>
          <w:rFonts w:ascii="Times New Roman" w:hAnsi="Times New Roman" w:cs="Times New Roman"/>
          <w:color w:val="000000" w:themeColor="text1"/>
          <w:sz w:val="24"/>
          <w:szCs w:val="24"/>
        </w:rPr>
        <w:t>(</w:t>
      </w:r>
      <w:r w:rsidR="00B607EC" w:rsidRPr="00CC14F6">
        <w:rPr>
          <w:rFonts w:ascii="Times New Roman" w:hAnsi="Times New Roman" w:cs="Times New Roman"/>
          <w:color w:val="000000" w:themeColor="text1"/>
          <w:sz w:val="24"/>
          <w:szCs w:val="24"/>
        </w:rPr>
        <w:t>Teikiama, j</w:t>
      </w:r>
      <w:r w:rsidR="001F4FD9" w:rsidRPr="00CC14F6">
        <w:rPr>
          <w:rFonts w:ascii="Times New Roman" w:hAnsi="Times New Roman" w:cs="Times New Roman"/>
          <w:color w:val="000000" w:themeColor="text1"/>
          <w:sz w:val="24"/>
          <w:szCs w:val="24"/>
        </w:rPr>
        <w:t xml:space="preserve">ei </w:t>
      </w:r>
      <w:r w:rsidR="00B607EC" w:rsidRPr="00CC14F6">
        <w:rPr>
          <w:rFonts w:ascii="Times New Roman" w:hAnsi="Times New Roman" w:cs="Times New Roman"/>
          <w:color w:val="000000" w:themeColor="text1"/>
          <w:sz w:val="24"/>
          <w:szCs w:val="24"/>
        </w:rPr>
        <w:t xml:space="preserve">PFSA nustatomi </w:t>
      </w:r>
      <w:r w:rsidR="00B607EC" w:rsidRPr="00CC14F6">
        <w:rPr>
          <w:rFonts w:ascii="Times New Roman" w:hAnsi="Times New Roman" w:cs="Times New Roman"/>
          <w:b/>
          <w:color w:val="000000" w:themeColor="text1"/>
          <w:sz w:val="24"/>
          <w:szCs w:val="24"/>
        </w:rPr>
        <w:t>nauji</w:t>
      </w:r>
      <w:r w:rsidR="00B607EC" w:rsidRPr="00CC14F6">
        <w:rPr>
          <w:rFonts w:ascii="Times New Roman" w:hAnsi="Times New Roman" w:cs="Times New Roman"/>
          <w:color w:val="000000" w:themeColor="text1"/>
          <w:sz w:val="24"/>
          <w:szCs w:val="24"/>
        </w:rPr>
        <w:t xml:space="preserve"> fiksuotieji dydžiai.</w:t>
      </w:r>
      <w:r w:rsidR="001F4FD9" w:rsidRPr="00CC14F6">
        <w:rPr>
          <w:rFonts w:ascii="Times New Roman" w:hAnsi="Times New Roman" w:cs="Times New Roman"/>
          <w:color w:val="000000" w:themeColor="text1"/>
          <w:sz w:val="24"/>
          <w:szCs w:val="24"/>
        </w:rPr>
        <w:t xml:space="preserve">) </w:t>
      </w:r>
    </w:p>
    <w:p w:rsidR="00B607EC" w:rsidRPr="00D367E9" w:rsidRDefault="008A71FA" w:rsidP="005C1DF8">
      <w:pPr>
        <w:spacing w:before="120" w:after="0" w:line="240" w:lineRule="auto"/>
        <w:ind w:left="-142" w:right="-143"/>
        <w:jc w:val="both"/>
        <w:rPr>
          <w:rFonts w:ascii="Times New Roman" w:hAnsi="Times New Roman" w:cs="Times New Roman"/>
          <w:color w:val="000000" w:themeColor="text1"/>
          <w:sz w:val="24"/>
          <w:szCs w:val="24"/>
        </w:rPr>
      </w:pPr>
      <w:r w:rsidRPr="00CC14F6">
        <w:rPr>
          <w:rFonts w:ascii="Times New Roman" w:hAnsi="Times New Roman" w:cs="Times New Roman"/>
          <w:color w:val="000000" w:themeColor="text1"/>
          <w:sz w:val="24"/>
          <w:szCs w:val="24"/>
        </w:rPr>
        <w:t xml:space="preserve">4. </w:t>
      </w:r>
      <w:r w:rsidR="00B607EC" w:rsidRPr="00CC14F6">
        <w:rPr>
          <w:rFonts w:ascii="Times New Roman" w:hAnsi="Times New Roman" w:cs="Times New Roman"/>
          <w:color w:val="000000" w:themeColor="text1"/>
          <w:sz w:val="24"/>
          <w:szCs w:val="24"/>
        </w:rPr>
        <w:t xml:space="preserve">Kitų institucijų pateiktų pastabų derinimo lentelė (teikiama tik VI). </w:t>
      </w:r>
      <w:r w:rsidR="001F4FD9" w:rsidRPr="00CC14F6">
        <w:rPr>
          <w:rFonts w:ascii="Times New Roman" w:hAnsi="Times New Roman" w:cs="Times New Roman"/>
          <w:color w:val="000000" w:themeColor="text1"/>
          <w:sz w:val="24"/>
          <w:szCs w:val="24"/>
        </w:rPr>
        <w:t>(</w:t>
      </w:r>
      <w:r w:rsidR="00B607EC" w:rsidRPr="00CC14F6">
        <w:rPr>
          <w:rFonts w:ascii="Times New Roman" w:hAnsi="Times New Roman" w:cs="Times New Roman"/>
          <w:color w:val="000000" w:themeColor="text1"/>
          <w:sz w:val="24"/>
          <w:szCs w:val="24"/>
        </w:rPr>
        <w:t xml:space="preserve">Teikiama, jei derinant PFSA neatsižvelgta į kitų institucijų pastabas ir tai nepaaiškinta </w:t>
      </w:r>
      <w:r w:rsidR="006C4CFA" w:rsidRPr="00CC14F6">
        <w:rPr>
          <w:rFonts w:ascii="Times New Roman" w:hAnsi="Times New Roman" w:cs="Times New Roman"/>
          <w:color w:val="000000" w:themeColor="text1"/>
          <w:sz w:val="24"/>
          <w:szCs w:val="24"/>
        </w:rPr>
        <w:t>3</w:t>
      </w:r>
      <w:r w:rsidR="00B607EC" w:rsidRPr="00CC14F6">
        <w:rPr>
          <w:rFonts w:ascii="Times New Roman" w:hAnsi="Times New Roman" w:cs="Times New Roman"/>
          <w:color w:val="000000" w:themeColor="text1"/>
          <w:sz w:val="24"/>
          <w:szCs w:val="24"/>
        </w:rPr>
        <w:t xml:space="preserve"> klausime</w:t>
      </w:r>
      <w:r w:rsidR="001F4FD9" w:rsidRPr="00CC14F6">
        <w:rPr>
          <w:rFonts w:ascii="Times New Roman" w:hAnsi="Times New Roman" w:cs="Times New Roman"/>
          <w:color w:val="000000" w:themeColor="text1"/>
          <w:sz w:val="24"/>
          <w:szCs w:val="24"/>
        </w:rPr>
        <w:t>)</w:t>
      </w:r>
      <w:r w:rsidR="00B607EC" w:rsidRPr="00CC14F6">
        <w:rPr>
          <w:rFonts w:ascii="Times New Roman" w:hAnsi="Times New Roman" w:cs="Times New Roman"/>
          <w:color w:val="000000" w:themeColor="text1"/>
          <w:sz w:val="24"/>
          <w:szCs w:val="24"/>
        </w:rPr>
        <w:t>.</w:t>
      </w:r>
    </w:p>
    <w:sectPr w:rsidR="00B607EC" w:rsidRPr="00D367E9" w:rsidSect="00DD6512">
      <w:head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5ED" w:rsidRDefault="00E765ED" w:rsidP="00D33F84">
      <w:pPr>
        <w:spacing w:after="0" w:line="240" w:lineRule="auto"/>
      </w:pPr>
      <w:r>
        <w:separator/>
      </w:r>
    </w:p>
  </w:endnote>
  <w:endnote w:type="continuationSeparator" w:id="0">
    <w:p w:rsidR="00E765ED" w:rsidRDefault="00E765ED"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5ED" w:rsidRDefault="00E765ED" w:rsidP="00D33F84">
      <w:pPr>
        <w:spacing w:after="0" w:line="240" w:lineRule="auto"/>
      </w:pPr>
      <w:r>
        <w:separator/>
      </w:r>
    </w:p>
  </w:footnote>
  <w:footnote w:type="continuationSeparator" w:id="0">
    <w:p w:rsidR="00E765ED" w:rsidRDefault="00E765ED" w:rsidP="00D33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528986"/>
      <w:docPartObj>
        <w:docPartGallery w:val="Page Numbers (Top of Page)"/>
        <w:docPartUnique/>
      </w:docPartObj>
    </w:sdtPr>
    <w:sdtContent>
      <w:p w:rsidR="00DD6512" w:rsidRDefault="00446C3B">
        <w:pPr>
          <w:pStyle w:val="Header"/>
          <w:jc w:val="center"/>
        </w:pPr>
        <w:r>
          <w:fldChar w:fldCharType="begin"/>
        </w:r>
        <w:r w:rsidR="00DD6512">
          <w:instrText>PAGE   \* MERGEFORMAT</w:instrText>
        </w:r>
        <w:r>
          <w:fldChar w:fldCharType="separate"/>
        </w:r>
        <w:r w:rsidR="00CC14F6">
          <w:rPr>
            <w:noProof/>
          </w:rPr>
          <w:t>2</w:t>
        </w:r>
        <w:r>
          <w:fldChar w:fldCharType="end"/>
        </w:r>
      </w:p>
    </w:sdtContent>
  </w:sdt>
  <w:p w:rsidR="00DD6512" w:rsidRDefault="00DD65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890851"/>
    <w:multiLevelType w:val="hybridMultilevel"/>
    <w:tmpl w:val="53B81CDE"/>
    <w:lvl w:ilvl="0" w:tplc="EA042D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nsid w:val="7252770E"/>
    <w:multiLevelType w:val="hybridMultilevel"/>
    <w:tmpl w:val="3B103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1296"/>
  <w:hyphenationZone w:val="396"/>
  <w:characterSpacingControl w:val="doNotCompress"/>
  <w:hdrShapeDefaults>
    <o:shapedefaults v:ext="edit" spidmax="17410"/>
  </w:hdrShapeDefaults>
  <w:footnotePr>
    <w:footnote w:id="-1"/>
    <w:footnote w:id="0"/>
  </w:footnotePr>
  <w:endnotePr>
    <w:endnote w:id="-1"/>
    <w:endnote w:id="0"/>
  </w:endnotePr>
  <w:compat/>
  <w:rsids>
    <w:rsidRoot w:val="00BA578D"/>
    <w:rsid w:val="000160B1"/>
    <w:rsid w:val="000351E0"/>
    <w:rsid w:val="00071148"/>
    <w:rsid w:val="00082BEF"/>
    <w:rsid w:val="00097BEA"/>
    <w:rsid w:val="000C2AB4"/>
    <w:rsid w:val="000C3B86"/>
    <w:rsid w:val="000C6B32"/>
    <w:rsid w:val="000D41EC"/>
    <w:rsid w:val="000F0806"/>
    <w:rsid w:val="0010544A"/>
    <w:rsid w:val="00105F0E"/>
    <w:rsid w:val="001108C2"/>
    <w:rsid w:val="00110B03"/>
    <w:rsid w:val="00112157"/>
    <w:rsid w:val="00127B35"/>
    <w:rsid w:val="00132962"/>
    <w:rsid w:val="00147BBA"/>
    <w:rsid w:val="0017238F"/>
    <w:rsid w:val="00177810"/>
    <w:rsid w:val="001851F0"/>
    <w:rsid w:val="001A44A4"/>
    <w:rsid w:val="001A7388"/>
    <w:rsid w:val="001C5EAD"/>
    <w:rsid w:val="001D33FE"/>
    <w:rsid w:val="001D66DB"/>
    <w:rsid w:val="001F4FD9"/>
    <w:rsid w:val="0021746A"/>
    <w:rsid w:val="00217D8F"/>
    <w:rsid w:val="002348D8"/>
    <w:rsid w:val="002376D5"/>
    <w:rsid w:val="002704B3"/>
    <w:rsid w:val="002964ED"/>
    <w:rsid w:val="002A355F"/>
    <w:rsid w:val="002B75A8"/>
    <w:rsid w:val="002D65E0"/>
    <w:rsid w:val="002F188D"/>
    <w:rsid w:val="002F5E30"/>
    <w:rsid w:val="003008D9"/>
    <w:rsid w:val="003057A4"/>
    <w:rsid w:val="00315D15"/>
    <w:rsid w:val="00315EE6"/>
    <w:rsid w:val="00327096"/>
    <w:rsid w:val="00331A58"/>
    <w:rsid w:val="0035354C"/>
    <w:rsid w:val="00373915"/>
    <w:rsid w:val="0038054A"/>
    <w:rsid w:val="0038412F"/>
    <w:rsid w:val="00387272"/>
    <w:rsid w:val="003917D6"/>
    <w:rsid w:val="00391999"/>
    <w:rsid w:val="003A0FC4"/>
    <w:rsid w:val="003F249E"/>
    <w:rsid w:val="00414AA7"/>
    <w:rsid w:val="00420BE8"/>
    <w:rsid w:val="0042141E"/>
    <w:rsid w:val="004363A3"/>
    <w:rsid w:val="00446C3B"/>
    <w:rsid w:val="00455BC9"/>
    <w:rsid w:val="00462F67"/>
    <w:rsid w:val="004A25EA"/>
    <w:rsid w:val="004A7F74"/>
    <w:rsid w:val="004C1489"/>
    <w:rsid w:val="004C5C39"/>
    <w:rsid w:val="004E09D8"/>
    <w:rsid w:val="004F379F"/>
    <w:rsid w:val="005022A7"/>
    <w:rsid w:val="00554FD1"/>
    <w:rsid w:val="00560748"/>
    <w:rsid w:val="0056462D"/>
    <w:rsid w:val="00580094"/>
    <w:rsid w:val="0058379D"/>
    <w:rsid w:val="0058524E"/>
    <w:rsid w:val="00585CCB"/>
    <w:rsid w:val="005C1DF8"/>
    <w:rsid w:val="005C23E1"/>
    <w:rsid w:val="005C4B10"/>
    <w:rsid w:val="005E02D5"/>
    <w:rsid w:val="005E4A1D"/>
    <w:rsid w:val="006004E2"/>
    <w:rsid w:val="00612C74"/>
    <w:rsid w:val="006226A5"/>
    <w:rsid w:val="00627512"/>
    <w:rsid w:val="00627D93"/>
    <w:rsid w:val="006401F0"/>
    <w:rsid w:val="00640B97"/>
    <w:rsid w:val="00695424"/>
    <w:rsid w:val="006C4285"/>
    <w:rsid w:val="006C4CFA"/>
    <w:rsid w:val="006D1996"/>
    <w:rsid w:val="006E0148"/>
    <w:rsid w:val="0072235B"/>
    <w:rsid w:val="00723325"/>
    <w:rsid w:val="0076419A"/>
    <w:rsid w:val="00771E4C"/>
    <w:rsid w:val="00774149"/>
    <w:rsid w:val="00785CA4"/>
    <w:rsid w:val="00785D30"/>
    <w:rsid w:val="00787D69"/>
    <w:rsid w:val="0079429A"/>
    <w:rsid w:val="007B3054"/>
    <w:rsid w:val="007D3DF5"/>
    <w:rsid w:val="007D7615"/>
    <w:rsid w:val="007F75FB"/>
    <w:rsid w:val="007F7CD9"/>
    <w:rsid w:val="008037A4"/>
    <w:rsid w:val="00850CC8"/>
    <w:rsid w:val="00852216"/>
    <w:rsid w:val="00853977"/>
    <w:rsid w:val="008552F1"/>
    <w:rsid w:val="00872D8C"/>
    <w:rsid w:val="00880A08"/>
    <w:rsid w:val="008A71FA"/>
    <w:rsid w:val="008A7458"/>
    <w:rsid w:val="008C20DB"/>
    <w:rsid w:val="008C292D"/>
    <w:rsid w:val="008E23A0"/>
    <w:rsid w:val="008E4F6C"/>
    <w:rsid w:val="00901433"/>
    <w:rsid w:val="009761ED"/>
    <w:rsid w:val="00987F36"/>
    <w:rsid w:val="009A447F"/>
    <w:rsid w:val="009A5AB5"/>
    <w:rsid w:val="009A5B20"/>
    <w:rsid w:val="009A6BCB"/>
    <w:rsid w:val="009B7CAD"/>
    <w:rsid w:val="009C02EA"/>
    <w:rsid w:val="009C1A76"/>
    <w:rsid w:val="009C1E81"/>
    <w:rsid w:val="009E5E8F"/>
    <w:rsid w:val="00A01872"/>
    <w:rsid w:val="00A1111B"/>
    <w:rsid w:val="00A32A2D"/>
    <w:rsid w:val="00A537BC"/>
    <w:rsid w:val="00A96C8D"/>
    <w:rsid w:val="00AC407C"/>
    <w:rsid w:val="00AC7FBB"/>
    <w:rsid w:val="00AE4F03"/>
    <w:rsid w:val="00AE51D6"/>
    <w:rsid w:val="00AF310B"/>
    <w:rsid w:val="00AF5001"/>
    <w:rsid w:val="00AF5698"/>
    <w:rsid w:val="00B066F1"/>
    <w:rsid w:val="00B069EE"/>
    <w:rsid w:val="00B1291D"/>
    <w:rsid w:val="00B43611"/>
    <w:rsid w:val="00B54978"/>
    <w:rsid w:val="00B607EC"/>
    <w:rsid w:val="00B718FB"/>
    <w:rsid w:val="00B73D96"/>
    <w:rsid w:val="00B763F7"/>
    <w:rsid w:val="00B869B2"/>
    <w:rsid w:val="00B91330"/>
    <w:rsid w:val="00B957E1"/>
    <w:rsid w:val="00BA4C3C"/>
    <w:rsid w:val="00BA578D"/>
    <w:rsid w:val="00BA62DF"/>
    <w:rsid w:val="00BB5FE4"/>
    <w:rsid w:val="00BC6F77"/>
    <w:rsid w:val="00BD2B98"/>
    <w:rsid w:val="00BF209B"/>
    <w:rsid w:val="00C05FFE"/>
    <w:rsid w:val="00C1409E"/>
    <w:rsid w:val="00C34E2B"/>
    <w:rsid w:val="00C37CC6"/>
    <w:rsid w:val="00C41CA5"/>
    <w:rsid w:val="00C463F3"/>
    <w:rsid w:val="00C47BA5"/>
    <w:rsid w:val="00C67290"/>
    <w:rsid w:val="00C75DFD"/>
    <w:rsid w:val="00C75FA7"/>
    <w:rsid w:val="00CB6FCF"/>
    <w:rsid w:val="00CC14F6"/>
    <w:rsid w:val="00CE135D"/>
    <w:rsid w:val="00CF2FEB"/>
    <w:rsid w:val="00D218F9"/>
    <w:rsid w:val="00D254F3"/>
    <w:rsid w:val="00D2556E"/>
    <w:rsid w:val="00D33F84"/>
    <w:rsid w:val="00D35776"/>
    <w:rsid w:val="00D367E9"/>
    <w:rsid w:val="00D370FF"/>
    <w:rsid w:val="00D40436"/>
    <w:rsid w:val="00D706F5"/>
    <w:rsid w:val="00D95DBB"/>
    <w:rsid w:val="00DD6512"/>
    <w:rsid w:val="00DE1A86"/>
    <w:rsid w:val="00DE76E6"/>
    <w:rsid w:val="00E000E7"/>
    <w:rsid w:val="00E05345"/>
    <w:rsid w:val="00E1079D"/>
    <w:rsid w:val="00E14033"/>
    <w:rsid w:val="00E329E5"/>
    <w:rsid w:val="00E50B9B"/>
    <w:rsid w:val="00E57BDC"/>
    <w:rsid w:val="00E70DBB"/>
    <w:rsid w:val="00E74D2C"/>
    <w:rsid w:val="00E765ED"/>
    <w:rsid w:val="00E84B89"/>
    <w:rsid w:val="00EA4C2E"/>
    <w:rsid w:val="00EB4A79"/>
    <w:rsid w:val="00EB5F87"/>
    <w:rsid w:val="00EC357B"/>
    <w:rsid w:val="00EC48BF"/>
    <w:rsid w:val="00EC540A"/>
    <w:rsid w:val="00EE244B"/>
    <w:rsid w:val="00EF5C65"/>
    <w:rsid w:val="00F13A6B"/>
    <w:rsid w:val="00F354DF"/>
    <w:rsid w:val="00F500DB"/>
    <w:rsid w:val="00F6354C"/>
    <w:rsid w:val="00F702AC"/>
    <w:rsid w:val="00F72E76"/>
    <w:rsid w:val="00F85DAC"/>
    <w:rsid w:val="00F8700D"/>
    <w:rsid w:val="00F97025"/>
    <w:rsid w:val="00FA7B8B"/>
    <w:rsid w:val="00FB2515"/>
    <w:rsid w:val="00FB252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2216"/>
    <w:rPr>
      <w:sz w:val="16"/>
      <w:szCs w:val="16"/>
    </w:rPr>
  </w:style>
  <w:style w:type="paragraph" w:styleId="CommentText">
    <w:name w:val="annotation text"/>
    <w:basedOn w:val="Normal"/>
    <w:link w:val="CommentTextChar"/>
    <w:uiPriority w:val="99"/>
    <w:unhideWhenUsed/>
    <w:rsid w:val="00852216"/>
    <w:pPr>
      <w:spacing w:line="240" w:lineRule="auto"/>
    </w:pPr>
    <w:rPr>
      <w:sz w:val="20"/>
      <w:szCs w:val="20"/>
    </w:rPr>
  </w:style>
  <w:style w:type="character" w:customStyle="1" w:styleId="CommentTextChar">
    <w:name w:val="Comment Text Char"/>
    <w:basedOn w:val="DefaultParagraphFont"/>
    <w:link w:val="CommentText"/>
    <w:uiPriority w:val="99"/>
    <w:rsid w:val="00852216"/>
    <w:rPr>
      <w:sz w:val="20"/>
      <w:szCs w:val="20"/>
    </w:rPr>
  </w:style>
  <w:style w:type="paragraph" w:styleId="CommentSubject">
    <w:name w:val="annotation subject"/>
    <w:basedOn w:val="CommentText"/>
    <w:next w:val="CommentText"/>
    <w:link w:val="CommentSubjectChar"/>
    <w:uiPriority w:val="99"/>
    <w:semiHidden/>
    <w:unhideWhenUsed/>
    <w:rsid w:val="00852216"/>
    <w:rPr>
      <w:b/>
      <w:bCs/>
    </w:rPr>
  </w:style>
  <w:style w:type="character" w:customStyle="1" w:styleId="CommentSubjectChar">
    <w:name w:val="Comment Subject Char"/>
    <w:basedOn w:val="CommentTextChar"/>
    <w:link w:val="CommentSubject"/>
    <w:uiPriority w:val="99"/>
    <w:semiHidden/>
    <w:rsid w:val="00852216"/>
    <w:rPr>
      <w:b/>
      <w:bCs/>
      <w:sz w:val="20"/>
      <w:szCs w:val="20"/>
    </w:rPr>
  </w:style>
  <w:style w:type="paragraph" w:styleId="BalloonText">
    <w:name w:val="Balloon Text"/>
    <w:basedOn w:val="Normal"/>
    <w:link w:val="BalloonTextChar"/>
    <w:uiPriority w:val="99"/>
    <w:semiHidden/>
    <w:unhideWhenUsed/>
    <w:rsid w:val="00852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216"/>
    <w:rPr>
      <w:rFonts w:ascii="Tahoma" w:hAnsi="Tahoma" w:cs="Tahoma"/>
      <w:sz w:val="16"/>
      <w:szCs w:val="16"/>
    </w:rPr>
  </w:style>
  <w:style w:type="paragraph" w:styleId="ListParagraph">
    <w:name w:val="List Paragraph"/>
    <w:basedOn w:val="Normal"/>
    <w:uiPriority w:val="34"/>
    <w:qFormat/>
    <w:rsid w:val="009C1E81"/>
    <w:pPr>
      <w:ind w:left="720"/>
      <w:contextualSpacing/>
      <w:jc w:val="both"/>
    </w:pPr>
  </w:style>
  <w:style w:type="paragraph" w:styleId="Header">
    <w:name w:val="header"/>
    <w:basedOn w:val="Normal"/>
    <w:link w:val="HeaderChar"/>
    <w:uiPriority w:val="99"/>
    <w:unhideWhenUsed/>
    <w:rsid w:val="00D33F84"/>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3F84"/>
  </w:style>
  <w:style w:type="paragraph" w:styleId="Footer">
    <w:name w:val="footer"/>
    <w:basedOn w:val="Normal"/>
    <w:link w:val="FooterChar"/>
    <w:uiPriority w:val="99"/>
    <w:unhideWhenUsed/>
    <w:rsid w:val="00D33F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3F84"/>
  </w:style>
  <w:style w:type="paragraph" w:styleId="Revision">
    <w:name w:val="Revision"/>
    <w:hidden/>
    <w:uiPriority w:val="99"/>
    <w:semiHidden/>
    <w:rsid w:val="00E14033"/>
    <w:pPr>
      <w:spacing w:after="0" w:line="240" w:lineRule="auto"/>
    </w:pPr>
  </w:style>
  <w:style w:type="character" w:styleId="Hyperlink">
    <w:name w:val="Hyperlink"/>
    <w:basedOn w:val="DefaultParagraphFont"/>
    <w:uiPriority w:val="99"/>
    <w:unhideWhenUsed/>
    <w:rsid w:val="002964ED"/>
    <w:rPr>
      <w:color w:val="0000FF" w:themeColor="hyperlink"/>
      <w:u w:val="single"/>
    </w:rPr>
  </w:style>
  <w:style w:type="paragraph" w:styleId="Caption">
    <w:name w:val="caption"/>
    <w:basedOn w:val="Normal"/>
    <w:next w:val="Normal"/>
    <w:link w:val="CaptionChar"/>
    <w:uiPriority w:val="35"/>
    <w:unhideWhenUsed/>
    <w:qFormat/>
    <w:rsid w:val="005C1DF8"/>
    <w:pPr>
      <w:spacing w:line="240" w:lineRule="auto"/>
    </w:pPr>
    <w:rPr>
      <w:rFonts w:ascii="Times New Roman" w:hAnsi="Times New Roman" w:cs="Times New Roman"/>
      <w:b/>
      <w:bCs/>
      <w:sz w:val="18"/>
      <w:szCs w:val="18"/>
    </w:rPr>
  </w:style>
  <w:style w:type="character" w:customStyle="1" w:styleId="CaptionChar">
    <w:name w:val="Caption Char"/>
    <w:basedOn w:val="DefaultParagraphFont"/>
    <w:link w:val="Caption"/>
    <w:uiPriority w:val="35"/>
    <w:rsid w:val="005C1DF8"/>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 w:type="paragraph" w:styleId="Pataisymai">
    <w:name w:val="Revision"/>
    <w:hidden/>
    <w:uiPriority w:val="99"/>
    <w:semiHidden/>
    <w:rsid w:val="00E14033"/>
    <w:pPr>
      <w:spacing w:after="0" w:line="240" w:lineRule="auto"/>
    </w:pPr>
  </w:style>
  <w:style w:type="character" w:styleId="Hipersaitas">
    <w:name w:val="Hyperlink"/>
    <w:basedOn w:val="Numatytasispastraiposriftas"/>
    <w:uiPriority w:val="99"/>
    <w:unhideWhenUsed/>
    <w:rsid w:val="002964ED"/>
    <w:rPr>
      <w:color w:val="0000FF" w:themeColor="hyperlink"/>
      <w:u w:val="single"/>
    </w:rPr>
  </w:style>
  <w:style w:type="paragraph" w:styleId="Antrat">
    <w:name w:val="caption"/>
    <w:basedOn w:val="prastasis"/>
    <w:next w:val="prastasis"/>
    <w:link w:val="AntratDiagrama"/>
    <w:uiPriority w:val="35"/>
    <w:unhideWhenUsed/>
    <w:qFormat/>
    <w:rsid w:val="005C1DF8"/>
    <w:pPr>
      <w:spacing w:line="240" w:lineRule="auto"/>
    </w:pPr>
    <w:rPr>
      <w:rFonts w:ascii="Times New Roman" w:hAnsi="Times New Roman" w:cs="Times New Roman"/>
      <w:b/>
      <w:bCs/>
      <w:sz w:val="18"/>
      <w:szCs w:val="18"/>
    </w:rPr>
  </w:style>
  <w:style w:type="character" w:customStyle="1" w:styleId="AntratDiagrama">
    <w:name w:val="Antraštė Diagrama"/>
    <w:basedOn w:val="Numatytasispastraiposriftas"/>
    <w:link w:val="Antrat"/>
    <w:uiPriority w:val="35"/>
    <w:rsid w:val="005C1DF8"/>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1489706262">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5914-940B-4849-89FF-1C8555BA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3115</Words>
  <Characters>1776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vilimas</cp:lastModifiedBy>
  <cp:revision>11</cp:revision>
  <cp:lastPrinted>2015-07-28T13:10:00Z</cp:lastPrinted>
  <dcterms:created xsi:type="dcterms:W3CDTF">2015-07-28T07:15:00Z</dcterms:created>
  <dcterms:modified xsi:type="dcterms:W3CDTF">2015-08-14T06:38:00Z</dcterms:modified>
</cp:coreProperties>
</file>