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42" w:rsidRPr="006C122A" w:rsidRDefault="00DF0A42" w:rsidP="00343D06">
      <w:pPr>
        <w:ind w:left="9781"/>
        <w:rPr>
          <w:rFonts w:ascii="Times New Roman" w:hAnsi="Times New Roman" w:cs="Times New Roman"/>
          <w:sz w:val="24"/>
          <w:szCs w:val="24"/>
        </w:rPr>
      </w:pPr>
      <w:bookmarkStart w:id="0" w:name="_GoBack"/>
      <w:bookmarkEnd w:id="0"/>
      <w:r w:rsidRPr="006C122A">
        <w:rPr>
          <w:rFonts w:ascii="Times New Roman" w:hAnsi="Times New Roman" w:cs="Times New Roman"/>
          <w:sz w:val="24"/>
          <w:szCs w:val="24"/>
        </w:rPr>
        <w:t xml:space="preserve">FORMAI PRITARTA </w:t>
      </w:r>
    </w:p>
    <w:p w:rsidR="00DF0A42" w:rsidRPr="006C122A" w:rsidRDefault="00DF0A42" w:rsidP="00343D06">
      <w:pPr>
        <w:ind w:left="9781"/>
        <w:jc w:val="both"/>
        <w:rPr>
          <w:rFonts w:ascii="Times New Roman" w:hAnsi="Times New Roman" w:cs="Times New Roman"/>
          <w:sz w:val="24"/>
          <w:szCs w:val="24"/>
        </w:rPr>
      </w:pPr>
      <w:r w:rsidRPr="006C122A">
        <w:rPr>
          <w:rFonts w:ascii="Times New Roman" w:hAnsi="Times New Roman" w:cs="Times New Roman"/>
          <w:sz w:val="24"/>
          <w:szCs w:val="24"/>
        </w:rPr>
        <w:t>2014–2020 metų Europos Sąjungos struktūrin</w:t>
      </w:r>
      <w:r w:rsidR="001A34A1" w:rsidRPr="006C122A">
        <w:rPr>
          <w:rFonts w:ascii="Times New Roman" w:hAnsi="Times New Roman" w:cs="Times New Roman"/>
          <w:sz w:val="24"/>
          <w:szCs w:val="24"/>
        </w:rPr>
        <w:t>ių</w:t>
      </w:r>
      <w:r w:rsidRPr="006C122A">
        <w:rPr>
          <w:rFonts w:ascii="Times New Roman" w:hAnsi="Times New Roman" w:cs="Times New Roman"/>
          <w:sz w:val="24"/>
          <w:szCs w:val="24"/>
        </w:rPr>
        <w:t xml:space="preserve"> </w:t>
      </w:r>
      <w:r w:rsidR="001A34A1" w:rsidRPr="006C122A">
        <w:rPr>
          <w:rFonts w:ascii="Times New Roman" w:hAnsi="Times New Roman" w:cs="Times New Roman"/>
          <w:sz w:val="24"/>
          <w:szCs w:val="24"/>
        </w:rPr>
        <w:t>fondų</w:t>
      </w:r>
      <w:r w:rsidRPr="006C122A">
        <w:rPr>
          <w:rFonts w:ascii="Times New Roman" w:hAnsi="Times New Roman" w:cs="Times New Roman"/>
          <w:sz w:val="24"/>
          <w:szCs w:val="24"/>
        </w:rPr>
        <w:t xml:space="preserve"> administravimo darbo grupės, sudarytos Lietuvos Respublikos finansų ministro 2013</w:t>
      </w:r>
      <w:r w:rsidR="0084293A" w:rsidRPr="006C122A">
        <w:rPr>
          <w:rFonts w:ascii="Times New Roman" w:hAnsi="Times New Roman" w:cs="Times New Roman"/>
          <w:sz w:val="24"/>
          <w:szCs w:val="24"/>
        </w:rPr>
        <w:t xml:space="preserve"> m. liepos 11 d. įsakymu Nr. 1K–</w:t>
      </w:r>
      <w:r w:rsidRPr="006C122A">
        <w:rPr>
          <w:rFonts w:ascii="Times New Roman" w:hAnsi="Times New Roman" w:cs="Times New Roman"/>
          <w:sz w:val="24"/>
          <w:szCs w:val="24"/>
        </w:rPr>
        <w:t xml:space="preserve">243 „Dėl darbo grupės sudarymo“, 2015 m. </w:t>
      </w:r>
      <w:r w:rsidR="001A34A1" w:rsidRPr="006C122A">
        <w:rPr>
          <w:rFonts w:ascii="Times New Roman" w:hAnsi="Times New Roman" w:cs="Times New Roman"/>
          <w:sz w:val="24"/>
          <w:szCs w:val="24"/>
        </w:rPr>
        <w:t>gegužės 29</w:t>
      </w:r>
      <w:r w:rsidRPr="006C122A">
        <w:rPr>
          <w:rFonts w:ascii="Times New Roman" w:hAnsi="Times New Roman" w:cs="Times New Roman"/>
          <w:sz w:val="24"/>
          <w:szCs w:val="24"/>
        </w:rPr>
        <w:t xml:space="preserve"> d. posėdžio protokolu </w:t>
      </w:r>
      <w:r w:rsidR="009310AE" w:rsidRPr="006C122A">
        <w:rPr>
          <w:rFonts w:ascii="Times New Roman" w:hAnsi="Times New Roman" w:cs="Times New Roman"/>
          <w:sz w:val="24"/>
          <w:szCs w:val="24"/>
        </w:rPr>
        <w:t xml:space="preserve">Nr. </w:t>
      </w:r>
      <w:r w:rsidR="003246D0" w:rsidRPr="006C122A">
        <w:rPr>
          <w:rFonts w:ascii="Times New Roman" w:hAnsi="Times New Roman" w:cs="Times New Roman"/>
          <w:sz w:val="24"/>
          <w:szCs w:val="24"/>
        </w:rPr>
        <w:t>19</w:t>
      </w:r>
    </w:p>
    <w:p w:rsidR="00DF0A42" w:rsidRPr="006C122A" w:rsidRDefault="00DF0A42" w:rsidP="00811F6E">
      <w:pPr>
        <w:spacing w:after="0" w:line="240" w:lineRule="auto"/>
        <w:ind w:firstLine="9781"/>
        <w:rPr>
          <w:rFonts w:ascii="Times New Roman" w:eastAsia="Times New Roman" w:hAnsi="Times New Roman"/>
          <w:sz w:val="24"/>
          <w:szCs w:val="24"/>
          <w:lang w:eastAsia="lt-LT"/>
        </w:rPr>
      </w:pPr>
      <w:r w:rsidRPr="006C122A">
        <w:rPr>
          <w:rFonts w:ascii="Times New Roman" w:eastAsia="Times New Roman" w:hAnsi="Times New Roman"/>
          <w:sz w:val="24"/>
          <w:szCs w:val="24"/>
          <w:lang w:eastAsia="lt-LT"/>
        </w:rPr>
        <w:t>Paraiškų vertinimo proceso</w:t>
      </w:r>
      <w:r w:rsidR="00CF6AA9" w:rsidRPr="006C122A">
        <w:rPr>
          <w:rFonts w:ascii="Times New Roman" w:eastAsia="Times New Roman" w:hAnsi="Times New Roman"/>
          <w:sz w:val="24"/>
          <w:szCs w:val="24"/>
          <w:lang w:eastAsia="lt-LT"/>
        </w:rPr>
        <w:t xml:space="preserve"> priedas</w:t>
      </w:r>
      <w:r w:rsidRPr="006C122A">
        <w:rPr>
          <w:rFonts w:ascii="Times New Roman" w:eastAsia="Times New Roman" w:hAnsi="Times New Roman"/>
          <w:sz w:val="24"/>
          <w:szCs w:val="24"/>
          <w:lang w:eastAsia="lt-LT"/>
        </w:rPr>
        <w:t xml:space="preserve"> </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Default="00EB4717" w:rsidP="00EB4717">
      <w:pPr>
        <w:spacing w:after="0" w:line="240" w:lineRule="auto"/>
        <w:ind w:firstLine="680"/>
        <w:jc w:val="right"/>
        <w:rPr>
          <w:rFonts w:ascii="Times New Roman" w:eastAsia="Times New Roman" w:hAnsi="Times New Roman"/>
          <w:i/>
          <w:sz w:val="24"/>
          <w:szCs w:val="24"/>
          <w:lang w:eastAsia="lt-LT"/>
        </w:rPr>
      </w:pPr>
    </w:p>
    <w:p w:rsidR="00F92FCC" w:rsidRDefault="00F92FCC" w:rsidP="00EB4717">
      <w:pPr>
        <w:spacing w:after="0" w:line="240" w:lineRule="auto"/>
        <w:ind w:firstLine="680"/>
        <w:jc w:val="right"/>
        <w:rPr>
          <w:rFonts w:ascii="Times New Roman" w:eastAsia="Times New Roman" w:hAnsi="Times New Roman"/>
          <w:i/>
          <w:sz w:val="24"/>
          <w:szCs w:val="24"/>
          <w:lang w:eastAsia="lt-LT"/>
        </w:rPr>
      </w:pPr>
    </w:p>
    <w:p w:rsidR="00F92FCC" w:rsidRDefault="00F92FCC" w:rsidP="00EB4717">
      <w:pPr>
        <w:spacing w:after="0" w:line="240" w:lineRule="auto"/>
        <w:ind w:firstLine="680"/>
        <w:jc w:val="right"/>
        <w:rPr>
          <w:rFonts w:ascii="Times New Roman" w:eastAsia="Times New Roman" w:hAnsi="Times New Roman"/>
          <w:i/>
          <w:sz w:val="24"/>
          <w:szCs w:val="24"/>
          <w:lang w:eastAsia="lt-LT"/>
        </w:rPr>
      </w:pPr>
    </w:p>
    <w:p w:rsidR="00F92FCC" w:rsidRDefault="00F92FCC" w:rsidP="00EB4717">
      <w:pPr>
        <w:spacing w:after="0" w:line="240" w:lineRule="auto"/>
        <w:ind w:firstLine="680"/>
        <w:jc w:val="right"/>
        <w:rPr>
          <w:rFonts w:ascii="Times New Roman" w:eastAsia="Times New Roman" w:hAnsi="Times New Roman"/>
          <w:i/>
          <w:sz w:val="24"/>
          <w:szCs w:val="24"/>
          <w:lang w:eastAsia="lt-LT"/>
        </w:rPr>
      </w:pPr>
    </w:p>
    <w:p w:rsidR="00F92FCC" w:rsidRPr="006C122A" w:rsidRDefault="00F92FCC"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Default="00EE55A2">
      <w:pPr>
        <w:rPr>
          <w:rFonts w:ascii="Times New Roman" w:hAnsi="Times New Roman" w:cs="Times New Roman"/>
          <w:i/>
          <w:sz w:val="24"/>
          <w:szCs w:val="24"/>
        </w:rPr>
      </w:pPr>
    </w:p>
    <w:p w:rsidR="00F92FCC" w:rsidRPr="006C122A" w:rsidRDefault="00F92FCC">
      <w:pPr>
        <w:rPr>
          <w:rFonts w:ascii="Times New Roman" w:hAnsi="Times New Roman" w:cs="Times New Roman"/>
          <w:i/>
          <w:sz w:val="24"/>
          <w:szCs w:val="24"/>
        </w:rPr>
      </w:pPr>
    </w:p>
    <w:tbl>
      <w:tblPr>
        <w:tblStyle w:val="Lentelstinklelis"/>
        <w:tblW w:w="0" w:type="auto"/>
        <w:tblInd w:w="250" w:type="dxa"/>
        <w:tblLook w:val="04A0"/>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lastRenderedPageBreak/>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6B2A58" w:rsidRPr="006C122A"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6B2A58" w:rsidP="002E1345">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(Ministerija gali koreguoti kursyvu parašytą informaciją pagal priemonės specifiką, laikantis šiame stulpelyje nustatytos instrukcijos.</w:t>
            </w:r>
          </w:p>
          <w:p w:rsidR="006B2A58" w:rsidRPr="006C122A" w:rsidRDefault="002E1345" w:rsidP="002E1345">
            <w:pPr>
              <w:widowControl w:val="0"/>
              <w:shd w:val="clear" w:color="auto" w:fill="FFFFFF"/>
              <w:tabs>
                <w:tab w:val="left" w:pos="2943"/>
              </w:tabs>
              <w:spacing w:line="240" w:lineRule="auto"/>
              <w:rPr>
                <w:rFonts w:ascii="Times New Roman" w:hAnsi="Times New Roman"/>
                <w:i/>
              </w:rPr>
            </w:pPr>
            <w:r w:rsidRPr="006C122A">
              <w:rPr>
                <w:rFonts w:ascii="Times New Roman" w:eastAsia="Calibri" w:hAnsi="Times New Roman"/>
                <w:i/>
              </w:rPr>
              <w:t>Galimas simbolių skaičius – ne didesnis, nei jau įrašyta teksto lauke.</w:t>
            </w:r>
            <w:r w:rsidR="006B2A58" w:rsidRPr="006C122A">
              <w:rPr>
                <w:rFonts w:ascii="Times New Roman" w:eastAsia="Times New Roman" w:hAnsi="Times New Roman" w:cs="Times New Roman"/>
                <w:bCs/>
                <w:i/>
                <w:lang w:eastAsia="lt-LT"/>
              </w:rPr>
              <w:t>)</w:t>
            </w:r>
          </w:p>
        </w:tc>
        <w:tc>
          <w:tcPr>
            <w:tcW w:w="4677" w:type="dxa"/>
            <w:tcBorders>
              <w:left w:val="single" w:sz="4" w:space="0" w:color="000000"/>
              <w:bottom w:val="single" w:sz="4" w:space="0" w:color="000000"/>
              <w:right w:val="single" w:sz="4" w:space="0" w:color="000000"/>
            </w:tcBorders>
            <w:shd w:val="clear" w:color="auto" w:fill="auto"/>
          </w:tcPr>
          <w:p w:rsidR="002E1345" w:rsidRPr="006C122A" w:rsidRDefault="006B2A58" w:rsidP="002E1345">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(Ministerija gali pildyti ir tikslinti informaciją, esančią šiame stulpelyje. Taip pat šiame stulpelyje gali būti nurodoma „Netaikoma“, bet tik tuo atveju, jei pirmo stulpelio instrukcijoje (pateiktoje kursyvu) parašyta, kad bendrasis reikalavimas, specialusis kriterijus ar jų vertinimo aspektas tam tikrais atvejais gali būti netaikomas.</w:t>
            </w:r>
          </w:p>
          <w:p w:rsidR="006B2A58" w:rsidRPr="006C122A" w:rsidRDefault="002E1345" w:rsidP="002E1345">
            <w:pPr>
              <w:widowControl w:val="0"/>
              <w:shd w:val="clear" w:color="auto" w:fill="FFFFFF"/>
              <w:tabs>
                <w:tab w:val="left" w:pos="2943"/>
              </w:tabs>
              <w:spacing w:line="240" w:lineRule="auto"/>
              <w:rPr>
                <w:rFonts w:ascii="Times New Roman" w:hAnsi="Times New Roman"/>
                <w:i/>
              </w:rPr>
            </w:pPr>
            <w:r w:rsidRPr="006C122A">
              <w:rPr>
                <w:rFonts w:ascii="Times New Roman" w:eastAsia="Calibri" w:hAnsi="Times New Roman"/>
                <w:i/>
              </w:rPr>
              <w:t>Galimas simbolių skaičius – 500.</w:t>
            </w:r>
            <w:r w:rsidR="006B2A58" w:rsidRPr="006C122A">
              <w:rPr>
                <w:rFonts w:ascii="Times New Roman" w:eastAsia="Times New Roman" w:hAnsi="Times New Roman" w:cs="Times New Roman"/>
                <w:bCs/>
                <w:i/>
                <w:lang w:eastAsia="lt-LT"/>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2E1345" w:rsidP="002E1345">
            <w:pPr>
              <w:spacing w:after="0" w:line="240" w:lineRule="auto"/>
              <w:rPr>
                <w:rFonts w:ascii="Times New Roman" w:hAnsi="Times New Roman"/>
                <w:bCs/>
                <w:i/>
                <w:lang w:eastAsia="lt-LT"/>
              </w:rPr>
            </w:pPr>
            <w:r w:rsidRPr="006C122A">
              <w:rPr>
                <w:rFonts w:ascii="Times New Roman" w:hAnsi="Times New Roman"/>
                <w:b/>
                <w:bCs/>
                <w:i/>
                <w:lang w:eastAsia="lt-LT"/>
              </w:rPr>
              <w:t>(</w:t>
            </w:r>
            <w:r w:rsidRPr="006C122A">
              <w:rPr>
                <w:rFonts w:ascii="Times New Roman" w:hAnsi="Times New Roman"/>
                <w:i/>
              </w:rPr>
              <w:t>Pildoma projekto tinkamumo finansuoti vertinimo metu. Iš sąrašo pasirenkamas vienas iš atsakymo variantų.</w:t>
            </w:r>
            <w:r w:rsidRPr="006C122A">
              <w:rPr>
                <w:rFonts w:ascii="Times New Roman" w:eastAsia="Calibri" w:hAnsi="Times New Roman"/>
                <w:i/>
              </w:rPr>
              <w:t xml:space="preserve"> Galimas simbolių skaičius – 15.)</w:t>
            </w:r>
            <w:r w:rsidRPr="006C122A">
              <w:rPr>
                <w:rFonts w:ascii="Times New Roman" w:hAnsi="Times New Roman"/>
                <w:bCs/>
                <w:i/>
                <w:lang w:eastAsia="lt-LT"/>
              </w:rPr>
              <w:t xml:space="preserve"> </w:t>
            </w:r>
          </w:p>
          <w:p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6B2A58" w:rsidP="002E1345">
            <w:pPr>
              <w:widowControl w:val="0"/>
              <w:shd w:val="clear" w:color="auto" w:fill="FFFFFF"/>
              <w:tabs>
                <w:tab w:val="left" w:pos="2943"/>
              </w:tabs>
              <w:spacing w:after="0" w:line="240" w:lineRule="auto"/>
              <w:rPr>
                <w:rFonts w:ascii="Times New Roman" w:hAnsi="Times New Roman"/>
                <w:i/>
              </w:rPr>
            </w:pPr>
            <w:r w:rsidRPr="006C122A">
              <w:rPr>
                <w:rFonts w:ascii="Times New Roman" w:eastAsia="Times New Roman" w:hAnsi="Times New Roman" w:cs="Times New Roman"/>
                <w:bCs/>
                <w:i/>
                <w:lang w:eastAsia="lt-LT"/>
              </w:rPr>
              <w:t>(</w:t>
            </w:r>
            <w:r w:rsidR="002E1345" w:rsidRPr="006C122A">
              <w:rPr>
                <w:rFonts w:ascii="Times New Roman" w:hAnsi="Times New Roman"/>
                <w:b/>
                <w:bCs/>
                <w:i/>
                <w:lang w:eastAsia="lt-LT"/>
              </w:rPr>
              <w:t>(</w:t>
            </w:r>
            <w:r w:rsidR="002E1345" w:rsidRPr="006C122A">
              <w:rPr>
                <w:rFonts w:ascii="Times New Roman" w:hAnsi="Times New Roman"/>
                <w:i/>
              </w:rPr>
              <w:t xml:space="preserve">Pildoma projekto tinkamumo finansuoti vertinimo metu. </w:t>
            </w:r>
          </w:p>
          <w:p w:rsidR="002E1345" w:rsidRPr="006C122A" w:rsidRDefault="002E1345" w:rsidP="002E1345">
            <w:pPr>
              <w:spacing w:after="0" w:line="240" w:lineRule="auto"/>
              <w:rPr>
                <w:rFonts w:ascii="Times New Roman" w:hAnsi="Times New Roman"/>
                <w:bCs/>
                <w:i/>
                <w:lang w:eastAsia="lt-LT"/>
              </w:rPr>
            </w:pPr>
            <w:r w:rsidRPr="006C122A">
              <w:rPr>
                <w:rFonts w:ascii="Times New Roman" w:eastAsia="Calibri" w:hAnsi="Times New Roman"/>
                <w:i/>
              </w:rPr>
              <w:t>Galimas simbolių skaičius – 1000.)</w:t>
            </w:r>
            <w:r w:rsidRPr="006C122A">
              <w:rPr>
                <w:rFonts w:ascii="Times New Roman" w:hAnsi="Times New Roman"/>
                <w:bCs/>
                <w:i/>
                <w:lang w:eastAsia="lt-LT"/>
              </w:rPr>
              <w:t xml:space="preserve"> </w:t>
            </w:r>
          </w:p>
          <w:p w:rsidR="002E1345" w:rsidRPr="006C122A" w:rsidRDefault="002E1345" w:rsidP="002E1345">
            <w:pPr>
              <w:spacing w:after="0" w:line="240" w:lineRule="auto"/>
              <w:rPr>
                <w:rFonts w:ascii="Times New Roman" w:eastAsia="Times New Roman" w:hAnsi="Times New Roman" w:cs="Times New Roman"/>
                <w:bCs/>
                <w:i/>
                <w:lang w:eastAsia="lt-LT"/>
              </w:rPr>
            </w:pPr>
          </w:p>
          <w:p w:rsidR="006B2A58" w:rsidRPr="006C122A" w:rsidRDefault="006B2A58" w:rsidP="002E1345">
            <w:pPr>
              <w:spacing w:after="0" w:line="240" w:lineRule="auto"/>
              <w:rPr>
                <w:rFonts w:ascii="Times New Roman" w:hAnsi="Times New Roman" w:cs="Times New Roman"/>
                <w:b/>
                <w:bCs/>
              </w:rPr>
            </w:pPr>
            <w:r w:rsidRPr="006C122A">
              <w:rPr>
                <w:rFonts w:ascii="Times New Roman" w:eastAsia="Times New Roman" w:hAnsi="Times New Roman" w:cs="Times New Roman"/>
                <w:bCs/>
                <w:i/>
                <w:lang w:eastAsia="lt-LT"/>
              </w:rPr>
              <w:t>Šiame stulpelyje pagrindžiamas kiekvieno bendrojo reikalavimo</w:t>
            </w:r>
            <w:r w:rsidR="00037326" w:rsidRPr="006C122A">
              <w:rPr>
                <w:rFonts w:ascii="Times New Roman" w:eastAsia="Times New Roman" w:hAnsi="Times New Roman" w:cs="Times New Roman"/>
                <w:bCs/>
                <w:i/>
                <w:lang w:eastAsia="lt-LT"/>
              </w:rPr>
              <w:t>/ specialiojo kriterijaus ir jų vertinimo</w:t>
            </w:r>
            <w:r w:rsidRPr="006C122A">
              <w:rPr>
                <w:rFonts w:ascii="Times New Roman" w:eastAsia="Times New Roman" w:hAnsi="Times New Roman" w:cs="Times New Roman"/>
                <w:bCs/>
                <w:i/>
                <w:lang w:eastAsia="lt-LT"/>
              </w:rPr>
              <w:t xml:space="preserve"> aspekto įvertinimas; jei bendrąjį reikalavimą, specialųjį atrankos kriterijų ar jų vertinimo aspektą vertina ne įgyvendinančioji institucija, tai taip pat pažymima šiame stulpelyje.)</w:t>
            </w: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92FCC" w:rsidRPr="00D815E4" w:rsidRDefault="00F92FCC" w:rsidP="00F92FCC">
            <w:pPr>
              <w:spacing w:after="0" w:line="240" w:lineRule="auto"/>
              <w:rPr>
                <w:rFonts w:ascii="Times New Roman" w:eastAsia="Times New Roman" w:hAnsi="Times New Roman" w:cs="Times New Roman"/>
                <w:sz w:val="24"/>
                <w:szCs w:val="24"/>
                <w:lang w:eastAsia="lt-LT"/>
              </w:rPr>
            </w:pPr>
            <w:r w:rsidRPr="00D815E4">
              <w:rPr>
                <w:rFonts w:ascii="Times New Roman" w:eastAsia="Times New Roman" w:hAnsi="Times New Roman" w:cs="Times New Roman"/>
                <w:sz w:val="24"/>
                <w:szCs w:val="24"/>
                <w:lang w:eastAsia="lt-LT"/>
              </w:rPr>
              <w:t>Projekto tikslai ir uždaviniai turi atitikti veiksmų programos 8 prioriteto „</w:t>
            </w:r>
            <w:r w:rsidRPr="00D815E4">
              <w:rPr>
                <w:rFonts w:ascii="Times New Roman" w:hAnsi="Times New Roman" w:cs="Times New Roman"/>
                <w:bCs/>
                <w:sz w:val="24"/>
                <w:szCs w:val="24"/>
              </w:rPr>
              <w:t xml:space="preserve">Socialinės </w:t>
            </w:r>
            <w:proofErr w:type="spellStart"/>
            <w:r w:rsidRPr="00D815E4">
              <w:rPr>
                <w:rFonts w:ascii="Times New Roman" w:hAnsi="Times New Roman" w:cs="Times New Roman"/>
                <w:bCs/>
                <w:sz w:val="24"/>
                <w:szCs w:val="24"/>
              </w:rPr>
              <w:t>įtraukties</w:t>
            </w:r>
            <w:proofErr w:type="spellEnd"/>
            <w:r w:rsidRPr="00D815E4">
              <w:rPr>
                <w:rFonts w:ascii="Times New Roman" w:hAnsi="Times New Roman" w:cs="Times New Roman"/>
                <w:bCs/>
                <w:sz w:val="24"/>
                <w:szCs w:val="24"/>
              </w:rPr>
              <w:t xml:space="preserve"> didinimas ir kova su skurdu“</w:t>
            </w:r>
            <w:r w:rsidRPr="00D815E4">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8.4.2</w:t>
            </w:r>
            <w:r w:rsidRPr="00D815E4">
              <w:rPr>
                <w:rFonts w:ascii="Times New Roman" w:eastAsia="Times New Roman" w:hAnsi="Times New Roman" w:cs="Times New Roman"/>
                <w:sz w:val="24"/>
                <w:szCs w:val="24"/>
                <w:lang w:eastAsia="lt-LT"/>
              </w:rPr>
              <w:t xml:space="preserve"> uždavinį</w:t>
            </w:r>
            <w:r>
              <w:rPr>
                <w:rFonts w:ascii="Times New Roman" w:eastAsia="Times New Roman" w:hAnsi="Times New Roman" w:cs="Times New Roman"/>
                <w:sz w:val="24"/>
                <w:szCs w:val="24"/>
                <w:lang w:eastAsia="lt-LT"/>
              </w:rPr>
              <w:t xml:space="preserve"> „Sumažinti sveikatos netolygumus, gerinant sveikatos priežiūros kokybę ir prieinamumą tikslinėms gyventojų grupėms ir skatinti sveiką senėjimą“</w:t>
            </w:r>
            <w:r w:rsidRPr="00D815E4">
              <w:rPr>
                <w:rFonts w:ascii="Times New Roman" w:eastAsia="Times New Roman" w:hAnsi="Times New Roman" w:cs="Times New Roman"/>
                <w:sz w:val="24"/>
                <w:szCs w:val="24"/>
                <w:lang w:eastAsia="lt-LT"/>
              </w:rPr>
              <w:t xml:space="preserve"> ir siekiamą rezultatą.</w:t>
            </w:r>
          </w:p>
          <w:p w:rsidR="00F92FCC" w:rsidRPr="00D815E4" w:rsidRDefault="00F92FCC" w:rsidP="00F92FCC">
            <w:pPr>
              <w:spacing w:after="0" w:line="240" w:lineRule="auto"/>
              <w:rPr>
                <w:rFonts w:ascii="Times New Roman" w:eastAsia="Times New Roman" w:hAnsi="Times New Roman" w:cs="Times New Roman"/>
                <w:i/>
                <w:lang w:eastAsia="lt-LT"/>
              </w:rPr>
            </w:pPr>
            <w:r w:rsidRPr="00D815E4">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atlikto projektinio pasiūlymo dėl valstybės projekto įgyvendinimo vertinimo išvadą ir skiltyje „Komentarai“ nurodo šios išvados</w:t>
            </w:r>
          </w:p>
          <w:p w:rsidR="00F00DFC" w:rsidRPr="006C122A" w:rsidRDefault="00F92FCC" w:rsidP="00F92FCC">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i/>
                <w:lang w:eastAsia="lt-LT"/>
              </w:rPr>
              <w:t>pavadinimą ir datą</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9177DE" w:rsidRDefault="009177DE" w:rsidP="001C31B6">
            <w:pPr>
              <w:spacing w:after="0" w:line="240" w:lineRule="auto"/>
              <w:rPr>
                <w:rFonts w:ascii="Times New Roman" w:hAnsi="Times New Roman" w:cs="Times New Roman"/>
              </w:rPr>
            </w:pPr>
            <w:r w:rsidRPr="009177DE">
              <w:rPr>
                <w:rFonts w:ascii="Times New Roman" w:hAnsi="Times New Roman" w:cs="Times New Roman"/>
              </w:rPr>
              <w:t>Projekto tikslai, uždaviniai ir veiklos turi atitikti bent vieną iš veiklų, nurodytų šio Projektų finansavimo sąlygų aprašo (toliau – Aprašas) 9.1, 9.2, 9.3, 9.4, 9.5, 9.6 papunkčiuose.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9177DE" w:rsidRPr="009177DE" w:rsidRDefault="009177DE" w:rsidP="009177DE">
            <w:pPr>
              <w:spacing w:after="0" w:line="240" w:lineRule="auto"/>
              <w:rPr>
                <w:rFonts w:ascii="Times New Roman" w:hAnsi="Times New Roman" w:cs="Times New Roman"/>
              </w:rPr>
            </w:pPr>
            <w:r w:rsidRPr="009177DE">
              <w:rPr>
                <w:rFonts w:ascii="Times New Roman" w:hAnsi="Times New Roman" w:cs="Times New Roman"/>
              </w:rPr>
              <w:t>Projektas turi atitikti nacionalinį strateginio planavimo dokument</w:t>
            </w:r>
            <w:r>
              <w:rPr>
                <w:rFonts w:ascii="Times New Roman" w:hAnsi="Times New Roman" w:cs="Times New Roman"/>
              </w:rPr>
              <w:t>ą, nurodytą</w:t>
            </w:r>
            <w:r w:rsidRPr="009177DE">
              <w:rPr>
                <w:rFonts w:ascii="Times New Roman" w:hAnsi="Times New Roman" w:cs="Times New Roman"/>
              </w:rPr>
              <w:t xml:space="preserve"> Aprašo 2.5</w:t>
            </w:r>
            <w:r>
              <w:rPr>
                <w:rFonts w:ascii="Times New Roman" w:hAnsi="Times New Roman" w:cs="Times New Roman"/>
              </w:rPr>
              <w:t xml:space="preserve"> pa</w:t>
            </w:r>
            <w:r w:rsidRPr="009177DE">
              <w:rPr>
                <w:rFonts w:ascii="Times New Roman" w:hAnsi="Times New Roman" w:cs="Times New Roman"/>
              </w:rPr>
              <w:t>punkt</w:t>
            </w:r>
            <w:r>
              <w:rPr>
                <w:rFonts w:ascii="Times New Roman" w:hAnsi="Times New Roman" w:cs="Times New Roman"/>
              </w:rPr>
              <w:t>yje</w:t>
            </w:r>
            <w:r w:rsidRPr="009177DE">
              <w:rPr>
                <w:rFonts w:ascii="Times New Roman" w:hAnsi="Times New Roman" w:cs="Times New Roman"/>
              </w:rPr>
              <w:t>.</w:t>
            </w:r>
          </w:p>
          <w:p w:rsidR="009177DE" w:rsidRPr="009177DE" w:rsidRDefault="009177DE" w:rsidP="009177DE">
            <w:pPr>
              <w:spacing w:after="0" w:line="240" w:lineRule="auto"/>
              <w:rPr>
                <w:rFonts w:ascii="Times New Roman" w:hAnsi="Times New Roman" w:cs="Times New Roman"/>
                <w:i/>
              </w:rPr>
            </w:pPr>
            <w:r w:rsidRPr="009177DE">
              <w:rPr>
                <w:rFonts w:ascii="Times New Roman" w:hAnsi="Times New Roman" w:cs="Times New Roman"/>
                <w:i/>
              </w:rPr>
              <w:t>Atitiktį šiam reikalavimui vertina ministerija. Įgyvendinančioji institucija, pildydama tinkamumo finansuoti vertinimo lentelę, perkelia ministerijos atlikto projektinio pasiūlymo dėl valstybės projekto įgyvendinimo vertinimo išvadą ir skiltyje „Komentarai“ nurodo šios išvados</w:t>
            </w:r>
          </w:p>
          <w:p w:rsidR="00F00DFC" w:rsidRPr="006C122A" w:rsidRDefault="009177DE" w:rsidP="009177DE">
            <w:pPr>
              <w:spacing w:after="0" w:line="240" w:lineRule="auto"/>
              <w:rPr>
                <w:rFonts w:ascii="Times New Roman" w:eastAsia="Times New Roman" w:hAnsi="Times New Roman" w:cs="Times New Roman"/>
                <w:lang w:eastAsia="lt-LT"/>
              </w:rPr>
            </w:pPr>
            <w:r w:rsidRPr="009177DE">
              <w:rPr>
                <w:rFonts w:ascii="Times New Roman" w:hAnsi="Times New Roman" w:cs="Times New Roman"/>
                <w:i/>
              </w:rPr>
              <w:t>pavadinimą ir datą</w:t>
            </w:r>
            <w:r>
              <w:rPr>
                <w:rFonts w:ascii="Times New Roman" w:hAnsi="Times New Roman" w:cs="Times New Roman"/>
                <w:i/>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F00DFC" w:rsidRPr="006C122A" w:rsidRDefault="00F00DFC" w:rsidP="008E58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9177DE" w:rsidP="00037326">
            <w:pPr>
              <w:spacing w:after="0" w:line="240" w:lineRule="auto"/>
              <w:rPr>
                <w:rFonts w:ascii="Times New Roman" w:hAnsi="Times New Roman" w:cs="Times New Roman"/>
              </w:rPr>
            </w:pPr>
            <w:r w:rsidRPr="00D815E4">
              <w:rPr>
                <w:rFonts w:ascii="Times New Roman" w:hAnsi="Times New Roman" w:cs="Times New Roman"/>
              </w:rPr>
              <w:t>Netaikoma</w:t>
            </w:r>
            <w:r>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9177DE" w:rsidP="00987201">
            <w:pPr>
              <w:spacing w:after="0" w:line="240" w:lineRule="auto"/>
              <w:rPr>
                <w:rFonts w:ascii="Times New Roman" w:eastAsia="Times New Roman" w:hAnsi="Times New Roman" w:cs="Times New Roman"/>
                <w:lang w:eastAsia="lt-LT"/>
              </w:rPr>
            </w:pPr>
            <w:r w:rsidRPr="00D815E4">
              <w:rPr>
                <w:rFonts w:ascii="Times New Roman" w:hAnsi="Times New Roman" w:cs="Times New Roman"/>
              </w:rPr>
              <w:t>Projektas turi s</w:t>
            </w:r>
            <w:r w:rsidR="00987201">
              <w:rPr>
                <w:rFonts w:ascii="Times New Roman" w:hAnsi="Times New Roman" w:cs="Times New Roman"/>
              </w:rPr>
              <w:t>iekti stebėsenos rodiklio (-</w:t>
            </w:r>
            <w:proofErr w:type="spellStart"/>
            <w:r w:rsidR="00987201">
              <w:rPr>
                <w:rFonts w:ascii="Times New Roman" w:hAnsi="Times New Roman" w:cs="Times New Roman"/>
              </w:rPr>
              <w:t>ių</w:t>
            </w:r>
            <w:proofErr w:type="spellEnd"/>
            <w:r w:rsidR="00987201">
              <w:rPr>
                <w:rFonts w:ascii="Times New Roman" w:hAnsi="Times New Roman" w:cs="Times New Roman"/>
              </w:rPr>
              <w:t>)</w:t>
            </w:r>
            <w:r w:rsidRPr="00D815E4">
              <w:rPr>
                <w:rFonts w:ascii="Times New Roman" w:hAnsi="Times New Roman" w:cs="Times New Roman"/>
              </w:rPr>
              <w:t xml:space="preserve">, nurodytų šio Aprašo </w:t>
            </w:r>
            <w:r>
              <w:rPr>
                <w:rFonts w:ascii="Times New Roman" w:hAnsi="Times New Roman" w:cs="Times New Roman"/>
              </w:rPr>
              <w:t>2</w:t>
            </w:r>
            <w:r w:rsidR="00987201">
              <w:rPr>
                <w:rFonts w:ascii="Times New Roman" w:hAnsi="Times New Roman" w:cs="Times New Roman"/>
              </w:rPr>
              <w:t>3</w:t>
            </w:r>
            <w:r w:rsidRPr="00D815E4">
              <w:rPr>
                <w:rFonts w:ascii="Times New Roman" w:hAnsi="Times New Roman" w:cs="Times New Roman"/>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 xml:space="preserve">Projekto uždaviniai yra specifiniai (parodo </w:t>
            </w:r>
            <w:r w:rsidRPr="006C122A">
              <w:rPr>
                <w:rFonts w:ascii="Times New Roman" w:eastAsia="Times New Roman" w:hAnsi="Times New Roman" w:cs="Times New Roman"/>
                <w:bCs/>
                <w:lang w:eastAsia="lt-LT"/>
              </w:rPr>
              <w:lastRenderedPageBreak/>
              <w:t>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w:t>
            </w:r>
            <w:r w:rsidRPr="006C122A">
              <w:rPr>
                <w:rFonts w:ascii="Times New Roman" w:eastAsia="Times New Roman" w:hAnsi="Times New Roman"/>
                <w:bCs/>
                <w:i/>
                <w:lang w:eastAsia="lt-LT"/>
              </w:rPr>
              <w:lastRenderedPageBreak/>
              <w:t>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9177DE" w:rsidP="008E49EC">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9177DE" w:rsidP="00331EA0">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bCs/>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r w:rsidRPr="006C122A">
              <w:rPr>
                <w:rFonts w:ascii="Times New Roman" w:eastAsia="Times New Roman" w:hAnsi="Times New Roman"/>
                <w:bCs/>
                <w:i/>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F00DFC" w:rsidRPr="006C122A" w:rsidRDefault="00F00DFC" w:rsidP="00A51E33">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9177DE" w:rsidP="00331EA0">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 xml:space="preserve">dėl lyties, rasės, tautybės, kalbos,  kilmės, socialinės padėties,  tikėjimo, įsitikinimų ar pažiūrų, amžiaus, negalios, lytinės orientacijos, </w:t>
            </w:r>
            <w:r w:rsidRPr="006C122A">
              <w:rPr>
                <w:rFonts w:ascii="Times New Roman" w:eastAsia="Times New Roman" w:hAnsi="Times New Roman" w:cs="Times New Roman"/>
                <w:lang w:eastAsia="lt-LT"/>
              </w:rPr>
              <w:lastRenderedPageBreak/>
              <w:t>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r w:rsidRPr="006C122A">
              <w:rPr>
                <w:rFonts w:ascii="Times New Roman" w:eastAsia="Times New Roman" w:hAnsi="Times New Roman"/>
                <w:i/>
                <w:lang w:eastAsia="lt-LT"/>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6C122A">
              <w:rPr>
                <w:rFonts w:ascii="Times New Roman" w:eastAsia="Times New Roman" w:hAnsi="Times New Roman"/>
                <w:bCs/>
                <w:i/>
                <w:lang w:eastAsia="lt-LT"/>
              </w:rPr>
              <w:t>–</w:t>
            </w:r>
            <w:r w:rsidRPr="006C122A">
              <w:rPr>
                <w:rFonts w:ascii="Times New Roman" w:eastAsia="Times New Roman" w:hAnsi="Times New Roman"/>
                <w:i/>
                <w:lang w:eastAsia="lt-LT"/>
              </w:rPr>
              <w:t>2020 metų nacionalinėje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9177DE" w:rsidP="00331EA0">
            <w:pPr>
              <w:spacing w:after="0" w:line="240" w:lineRule="auto"/>
              <w:rPr>
                <w:rFonts w:ascii="Times New Roman" w:eastAsia="Times New Roman" w:hAnsi="Times New Roman" w:cs="Times New Roman"/>
                <w:lang w:val="pt-BR" w:eastAsia="lt-LT"/>
              </w:rPr>
            </w:pPr>
            <w:r w:rsidRPr="00D815E4">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projektui teikiama </w:t>
            </w:r>
            <w:proofErr w:type="spellStart"/>
            <w:r w:rsidRPr="006C122A">
              <w:rPr>
                <w:rFonts w:ascii="Times New Roman" w:eastAsia="Times New Roman" w:hAnsi="Times New Roman"/>
                <w:lang w:eastAsia="lt-LT"/>
              </w:rPr>
              <w:t>de</w:t>
            </w:r>
            <w:proofErr w:type="spellEnd"/>
            <w:r w:rsidRPr="006C122A">
              <w:rPr>
                <w:rFonts w:ascii="Times New Roman" w:eastAsia="Times New Roman" w:hAnsi="Times New Roman"/>
                <w:lang w:eastAsia="lt-LT"/>
              </w:rPr>
              <w:t xml:space="preserve"> </w:t>
            </w:r>
            <w:proofErr w:type="spellStart"/>
            <w:r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proofErr w:type="spellStart"/>
            <w:r w:rsidR="00504958" w:rsidRPr="006C122A">
              <w:rPr>
                <w:rFonts w:ascii="Times New Roman" w:eastAsia="Times New Roman" w:hAnsi="Times New Roman"/>
                <w:lang w:eastAsia="lt-LT"/>
              </w:rPr>
              <w:t>de</w:t>
            </w:r>
            <w:proofErr w:type="spellEnd"/>
            <w:r w:rsidR="00504958" w:rsidRPr="006C122A">
              <w:rPr>
                <w:rFonts w:ascii="Times New Roman" w:eastAsia="Times New Roman" w:hAnsi="Times New Roman"/>
                <w:lang w:eastAsia="lt-LT"/>
              </w:rPr>
              <w:t xml:space="preserve"> </w:t>
            </w:r>
            <w:proofErr w:type="spellStart"/>
            <w:r w:rsidR="00504958"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(taikoma, jei projektų finansavimo sąlygų apraše nurodyta, kad pagal jį valstybės pagalba ir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proofErr w:type="spellStart"/>
            <w:r w:rsidRPr="006C122A">
              <w:rPr>
                <w:rFonts w:ascii="Times New Roman" w:hAnsi="Times New Roman"/>
                <w:i/>
                <w:iCs/>
                <w:color w:val="000000"/>
              </w:rPr>
              <w:t>de</w:t>
            </w:r>
            <w:proofErr w:type="spellEnd"/>
            <w:r w:rsidRPr="006C122A">
              <w:rPr>
                <w:rFonts w:ascii="Times New Roman" w:hAnsi="Times New Roman"/>
                <w:i/>
                <w:iCs/>
                <w:color w:val="000000"/>
              </w:rPr>
              <w:t xml:space="preserve"> </w:t>
            </w:r>
            <w:proofErr w:type="spellStart"/>
            <w:r w:rsidRPr="006C122A">
              <w:rPr>
                <w:rFonts w:ascii="Times New Roman" w:hAnsi="Times New Roman"/>
                <w:i/>
                <w:iCs/>
                <w:color w:val="000000"/>
              </w:rPr>
              <w:t>minimis</w:t>
            </w:r>
            <w:proofErr w:type="spellEnd"/>
            <w:r w:rsidRPr="006C122A">
              <w:rPr>
                <w:rFonts w:ascii="Times New Roman" w:hAnsi="Times New Roman"/>
                <w:i/>
                <w:iCs/>
                <w:color w:val="000000"/>
              </w:rPr>
              <w:t>“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rsidR="00F00DFC" w:rsidRPr="006C122A" w:rsidRDefault="00F00DFC" w:rsidP="00A51E33">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(Vertinant techninės paramos projektus šių metodinių nurodymų 4.5 papunktyje nurodytas vertinimo aspektas  netaikomas.)</w:t>
            </w:r>
          </w:p>
          <w:p w:rsidR="006E2D6B" w:rsidRPr="006C122A" w:rsidRDefault="006E2D6B" w:rsidP="00A51E33">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9177DE" w:rsidP="00331EA0">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sidRPr="00865CB6">
              <w:rPr>
                <w:rFonts w:ascii="Times New Roman" w:hAnsi="Times New Roman" w:cs="Times New Roman"/>
              </w:rPr>
              <w:t xml:space="preserve">šio Aprašo </w:t>
            </w:r>
            <w:r>
              <w:rPr>
                <w:rFonts w:ascii="Times New Roman" w:hAnsi="Times New Roman" w:cs="Times New Roman"/>
              </w:rPr>
              <w:t>11</w:t>
            </w:r>
            <w:r w:rsidRPr="00865CB6">
              <w:rPr>
                <w:rFonts w:ascii="Times New Roman" w:hAnsi="Times New Roman" w:cs="Times New Roman"/>
                <w:i/>
              </w:rPr>
              <w:t xml:space="preserve"> </w:t>
            </w:r>
            <w:r>
              <w:rPr>
                <w:rFonts w:ascii="Times New Roman" w:hAnsi="Times New Roman" w:cs="Times New Roman"/>
              </w:rPr>
              <w:t>punkte</w:t>
            </w:r>
            <w:r w:rsidRPr="00865CB6">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iškelta </w:t>
            </w:r>
            <w:r w:rsidRPr="006C122A">
              <w:rPr>
                <w:rFonts w:ascii="Times New Roman" w:eastAsia="Times New Roman" w:hAnsi="Times New Roman"/>
                <w:lang w:eastAsia="lt-LT"/>
              </w:rPr>
              <w:lastRenderedPageBreak/>
              <w:t xml:space="preserve">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yra įvykdęs (-ę) su mokesčių ir socialinio draudimo įmokų mokėjimu susijusius įsipareigojimus pagal Lietuvos Respublikos teisės aktus arba pagal kitos valstybės teisės aktus, jei pareiškėjas ir partneris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F00DFC" w:rsidRPr="006C122A" w:rsidRDefault="00F00DFC" w:rsidP="004650EC">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w:t>
            </w:r>
            <w:r w:rsidRPr="006C122A">
              <w:rPr>
                <w:rFonts w:ascii="Times New Roman" w:eastAsia="Times New Roman" w:hAnsi="Times New Roman"/>
                <w:color w:val="000000"/>
                <w:lang w:eastAsia="lt-LT"/>
              </w:rPr>
              <w:lastRenderedPageBreak/>
              <w:t xml:space="preserve">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(jei pareiškėjo arba partnerio (-</w:t>
            </w:r>
            <w:proofErr w:type="spellStart"/>
            <w:r w:rsidRPr="006C122A">
              <w:rPr>
                <w:rFonts w:ascii="Times New Roman" w:eastAsia="Times New Roman" w:hAnsi="Times New Roman"/>
                <w:i/>
                <w:color w:val="000000"/>
                <w:lang w:eastAsia="lt-LT"/>
              </w:rPr>
              <w:t>ių</w:t>
            </w:r>
            <w:proofErr w:type="spellEnd"/>
            <w:r w:rsidRPr="006C122A">
              <w:rPr>
                <w:rFonts w:ascii="Times New Roman" w:eastAsia="Times New Roman" w:hAnsi="Times New Roman"/>
                <w:i/>
                <w:color w:val="000000"/>
                <w:lang w:eastAsia="lt-LT"/>
              </w:rPr>
              <w:t xml:space="preserve">) veikla yra finansuojama iš Lietuvos Respublikos valstybės biudžeto ir (arba) savivaldybių biudžetų, ir (arba) valstybės pinigų fondų, ši nuostata nėra taikoma);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jis (jie) yra įmonė (-ės), perkėlusi (-</w:t>
            </w:r>
            <w:proofErr w:type="spellStart"/>
            <w:r w:rsidRPr="006C122A">
              <w:rPr>
                <w:rFonts w:ascii="Times New Roman" w:eastAsia="Times New Roman" w:hAnsi="Times New Roman"/>
                <w:lang w:eastAsia="lt-LT"/>
              </w:rPr>
              <w:t>ios</w:t>
            </w:r>
            <w:proofErr w:type="spellEnd"/>
            <w:r w:rsidRPr="006C122A">
              <w:rPr>
                <w:rFonts w:ascii="Times New Roman" w:eastAsia="Times New Roman" w:hAnsi="Times New Roman"/>
                <w:lang w:eastAsia="lt-LT"/>
              </w:rPr>
              <w:t xml:space="preserve">)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5.4.7.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w:t>
            </w:r>
            <w:r w:rsidRPr="006C122A">
              <w:rPr>
                <w:rFonts w:ascii="Times New Roman" w:eastAsia="Times New Roman" w:hAnsi="Times New Roman"/>
                <w:lang w:eastAsia="lt-LT"/>
              </w:rPr>
              <w:lastRenderedPageBreak/>
              <w:t xml:space="preserve">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rsidR="00F00DFC" w:rsidRPr="006C122A" w:rsidRDefault="00F00DFC" w:rsidP="00897EC1">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rsidR="00F00DFC" w:rsidRPr="006C122A" w:rsidRDefault="006075F3" w:rsidP="00331EA0">
            <w:pPr>
              <w:spacing w:after="0" w:line="240" w:lineRule="auto"/>
              <w:rPr>
                <w:rFonts w:ascii="Times New Roman" w:eastAsia="Times New Roman" w:hAnsi="Times New Roman" w:cs="Times New Roman"/>
                <w:lang w:eastAsia="lt-LT"/>
              </w:rPr>
            </w:pPr>
            <w:r w:rsidRPr="00D815E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F00DFC" w:rsidRPr="006C122A" w:rsidRDefault="00F00DFC" w:rsidP="00A51E33">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F00DFC" w:rsidRPr="006C122A" w:rsidRDefault="00F00DFC" w:rsidP="00977805">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(Šis vertinimo aspektas taikomas tik tais atvejais, jei paraiškoje numatytas nuosavas įnašas ir (arba) </w:t>
            </w:r>
            <w:r w:rsidRPr="006C122A">
              <w:rPr>
                <w:rFonts w:ascii="Times New Roman" w:eastAsia="Times New Roman" w:hAnsi="Times New Roman" w:cs="Times New Roman"/>
                <w:i/>
                <w:lang w:eastAsia="lt-LT"/>
              </w:rPr>
              <w:lastRenderedPageBreak/>
              <w:t>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191FE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6.2. Užtikrintas netinkamų finansuoti su projektu susijusių išlaidų padengimas.</w:t>
            </w:r>
          </w:p>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191FEA" w:rsidRPr="00D815E4" w:rsidRDefault="00191FEA" w:rsidP="000F579F">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191FEA" w:rsidRPr="006C122A" w:rsidRDefault="00191FEA" w:rsidP="00331EA0">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rsidR="00191FEA" w:rsidRPr="006C122A" w:rsidRDefault="00191FEA"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91FEA" w:rsidRPr="00D815E4" w:rsidRDefault="00191FEA" w:rsidP="00191FEA">
            <w:pPr>
              <w:spacing w:after="0" w:line="240" w:lineRule="auto"/>
              <w:rPr>
                <w:rFonts w:ascii="Times New Roman" w:eastAsia="Times New Roman" w:hAnsi="Times New Roman" w:cs="Times New Roman"/>
                <w:i/>
                <w:lang w:eastAsia="lt-LT"/>
              </w:rPr>
            </w:pPr>
            <w:r w:rsidRPr="00D815E4">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atlikto projektinio pasiūlymo dėl valstybės projekto įgyvendinimo vertinimo išvadą ir skiltyje „Komentarai“ nurodo šios išvados</w:t>
            </w:r>
          </w:p>
          <w:p w:rsidR="00191FEA" w:rsidRPr="006C122A" w:rsidRDefault="00191FEA" w:rsidP="00191FEA">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i/>
                <w:lang w:eastAsia="lt-LT"/>
              </w:rPr>
              <w:t>pavadinimą ir datą</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191FEA" w:rsidRPr="006C122A" w:rsidRDefault="00191FEA"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191FEA" w:rsidRPr="006C122A" w:rsidRDefault="00191FEA"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191FEA" w:rsidRPr="006C122A" w:rsidRDefault="00191FEA"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7.1.4. optimali projekto įgyvendinimo alternatyva pasirinkta pagal projekto įgyvendinimo alternatyvų </w:t>
            </w:r>
            <w:r w:rsidRPr="006C122A">
              <w:rPr>
                <w:rFonts w:ascii="Times New Roman" w:eastAsia="Times New Roman" w:hAnsi="Times New Roman" w:cs="Times New Roman"/>
                <w:lang w:eastAsia="lt-LT"/>
              </w:rPr>
              <w:lastRenderedPageBreak/>
              <w:t>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191FEA" w:rsidRPr="006C122A" w:rsidRDefault="00191FEA"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191FEA" w:rsidRPr="006C122A" w:rsidRDefault="00191FEA"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rsidR="00191FEA" w:rsidRPr="006C122A" w:rsidRDefault="00191FEA" w:rsidP="00191FEA">
            <w:pPr>
              <w:spacing w:after="0" w:line="240" w:lineRule="auto"/>
              <w:rPr>
                <w:rFonts w:ascii="Times New Roman" w:eastAsia="Times New Roman" w:hAnsi="Times New Roman" w:cs="Times New Roman"/>
                <w:i/>
                <w:lang w:eastAsia="lt-LT"/>
              </w:rPr>
            </w:pPr>
          </w:p>
          <w:p w:rsidR="00191FEA" w:rsidRPr="006C122A" w:rsidRDefault="00191FEA" w:rsidP="00A51E33">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91FEA" w:rsidRPr="00D815E4" w:rsidRDefault="00191FEA" w:rsidP="00191FEA">
            <w:pPr>
              <w:spacing w:after="0" w:line="240" w:lineRule="auto"/>
              <w:rPr>
                <w:rFonts w:ascii="Times New Roman" w:eastAsia="Times New Roman" w:hAnsi="Times New Roman" w:cs="Times New Roman"/>
                <w:i/>
                <w:lang w:eastAsia="lt-LT"/>
              </w:rPr>
            </w:pPr>
            <w:r w:rsidRPr="00D815E4">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atlikto projektinio pasiūlymo dėl valstybės projekto įgyvendinimo vertinimo išvadą ir skiltyje „Komentarai“ nurodo šios išvados</w:t>
            </w:r>
          </w:p>
          <w:p w:rsidR="00191FEA" w:rsidRPr="006C122A" w:rsidRDefault="00191FEA" w:rsidP="00191FEA">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i/>
                <w:lang w:eastAsia="lt-LT"/>
              </w:rPr>
              <w:t>pavadinimą ir datą</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1FEA" w:rsidRPr="006C122A" w:rsidRDefault="00191FEA"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191FEA" w:rsidRPr="006C122A" w:rsidRDefault="00191FEA"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1FEA" w:rsidRPr="006C122A" w:rsidRDefault="00191FEA"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191FEA" w:rsidRPr="006C122A" w:rsidRDefault="00191FEA"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191FEA" w:rsidRDefault="00191FEA" w:rsidP="00331EA0">
            <w:pPr>
              <w:spacing w:after="0" w:line="240" w:lineRule="auto"/>
              <w:rPr>
                <w:rFonts w:ascii="Times New Roman" w:hAnsi="Times New Roman" w:cs="Times New Roman"/>
              </w:rPr>
            </w:pPr>
            <w:r w:rsidRPr="00191FEA">
              <w:rPr>
                <w:rFonts w:ascii="Times New Roman" w:hAnsi="Times New Roman" w:cs="Times New Roman"/>
              </w:rPr>
              <w:t xml:space="preserve">Projekto įgyvendinimo trukmė/ terminas ir vieta turi atitikti šio Aprašo </w:t>
            </w:r>
            <w:r w:rsidR="00987201">
              <w:rPr>
                <w:rFonts w:ascii="Times New Roman" w:hAnsi="Times New Roman" w:cs="Times New Roman"/>
              </w:rPr>
              <w:t xml:space="preserve">19, </w:t>
            </w:r>
            <w:r>
              <w:rPr>
                <w:rFonts w:ascii="Times New Roman" w:hAnsi="Times New Roman" w:cs="Times New Roman"/>
              </w:rPr>
              <w:t>20, 21</w:t>
            </w:r>
            <w:r w:rsidRPr="00191FEA">
              <w:rPr>
                <w:rFonts w:ascii="Times New Roman" w:hAnsi="Times New Roman" w:cs="Times New Roman"/>
              </w:rPr>
              <w:t xml:space="preserve"> punktuose nustatytus</w:t>
            </w:r>
            <w:proofErr w:type="gramStart"/>
            <w:r w:rsidRPr="00191FEA">
              <w:rPr>
                <w:rFonts w:ascii="Times New Roman" w:hAnsi="Times New Roman" w:cs="Times New Roman"/>
              </w:rPr>
              <w:t xml:space="preserve">  </w:t>
            </w:r>
            <w:proofErr w:type="gramEnd"/>
            <w:r w:rsidRPr="00191FEA">
              <w:rPr>
                <w:rFonts w:ascii="Times New Roman" w:hAnsi="Times New Roman" w:cs="Times New Roman"/>
              </w:rPr>
              <w:t>reikalavimus.</w:t>
            </w:r>
          </w:p>
          <w:p w:rsidR="00191FEA" w:rsidRPr="006C122A" w:rsidRDefault="00191FEA"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Taikoma tik tais atvejais, jei paraiškoje numatytas kryžminis finansavimas.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191FEA" w:rsidRPr="006C122A" w:rsidRDefault="00191FEA" w:rsidP="00987201">
            <w:pPr>
              <w:spacing w:after="0" w:line="240" w:lineRule="auto"/>
              <w:rPr>
                <w:rFonts w:ascii="Times New Roman" w:eastAsia="Times New Roman" w:hAnsi="Times New Roman" w:cs="Times New Roman"/>
                <w:lang w:eastAsia="lt-LT"/>
              </w:rPr>
            </w:pPr>
            <w:r w:rsidRPr="00D815E4">
              <w:rPr>
                <w:rFonts w:ascii="Times New Roman" w:hAnsi="Times New Roman" w:cs="Times New Roman"/>
              </w:rPr>
              <w:t xml:space="preserve">Projektas turi atitikti </w:t>
            </w:r>
            <w:r w:rsidRPr="00D815E4">
              <w:rPr>
                <w:rFonts w:ascii="Times New Roman" w:hAnsi="Times New Roman" w:cs="Times New Roman"/>
                <w:szCs w:val="24"/>
              </w:rPr>
              <w:t xml:space="preserve">šio Aprašo </w:t>
            </w:r>
            <w:r w:rsidR="00987201">
              <w:rPr>
                <w:rFonts w:ascii="Times New Roman" w:hAnsi="Times New Roman" w:cs="Times New Roman"/>
                <w:szCs w:val="24"/>
              </w:rPr>
              <w:t>30</w:t>
            </w:r>
            <w:r w:rsidRPr="00D815E4">
              <w:rPr>
                <w:rFonts w:ascii="Times New Roman" w:hAnsi="Times New Roman" w:cs="Times New Roman"/>
                <w:szCs w:val="24"/>
                <w:lang w:val="en-US"/>
              </w:rPr>
              <w:t xml:space="preserve"> </w:t>
            </w:r>
            <w:proofErr w:type="spellStart"/>
            <w:r w:rsidRPr="00D815E4">
              <w:rPr>
                <w:rFonts w:ascii="Times New Roman" w:hAnsi="Times New Roman" w:cs="Times New Roman"/>
                <w:szCs w:val="24"/>
                <w:lang w:val="en-US"/>
              </w:rPr>
              <w:t>ir</w:t>
            </w:r>
            <w:proofErr w:type="spellEnd"/>
            <w:r w:rsidRPr="00D815E4">
              <w:rPr>
                <w:rFonts w:ascii="Times New Roman" w:hAnsi="Times New Roman" w:cs="Times New Roman"/>
                <w:szCs w:val="24"/>
                <w:lang w:val="en-US"/>
              </w:rPr>
              <w:t xml:space="preserve"> 3</w:t>
            </w:r>
            <w:r w:rsidR="00987201">
              <w:rPr>
                <w:rFonts w:ascii="Times New Roman" w:hAnsi="Times New Roman" w:cs="Times New Roman"/>
                <w:szCs w:val="24"/>
                <w:lang w:val="en-US"/>
              </w:rPr>
              <w:t>4</w:t>
            </w:r>
            <w:r w:rsidRPr="00D815E4">
              <w:rPr>
                <w:rFonts w:ascii="Times New Roman" w:hAnsi="Times New Roman" w:cs="Times New Roman"/>
                <w:szCs w:val="24"/>
              </w:rPr>
              <w:t xml:space="preserve"> punktuose</w:t>
            </w:r>
            <w:r w:rsidRPr="00D815E4">
              <w:rPr>
                <w:rFonts w:ascii="Times New Roman" w:hAnsi="Times New Roman" w:cs="Times New Roman"/>
              </w:rPr>
              <w:t xml:space="preserve"> nustatytus</w:t>
            </w:r>
            <w:proofErr w:type="gramStart"/>
            <w:r w:rsidRPr="00D815E4">
              <w:rPr>
                <w:rFonts w:ascii="Times New Roman" w:hAnsi="Times New Roman" w:cs="Times New Roman"/>
              </w:rPr>
              <w:t xml:space="preserve">  </w:t>
            </w:r>
            <w:proofErr w:type="gramEnd"/>
            <w:r w:rsidRPr="00D815E4">
              <w:rPr>
                <w:rFonts w:ascii="Times New Roman" w:hAnsi="Times New Roman" w:cs="Times New Roman"/>
              </w:rPr>
              <w:t>reikalavimus.</w:t>
            </w: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w:t>
            </w:r>
            <w:r w:rsidRPr="006C122A">
              <w:rPr>
                <w:rFonts w:ascii="Times New Roman" w:hAnsi="Times New Roman" w:cs="Times New Roman"/>
              </w:rPr>
              <w:lastRenderedPageBreak/>
              <w:t>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191FEA" w:rsidRPr="006C122A" w:rsidRDefault="00944DB5" w:rsidP="00987201">
            <w:pPr>
              <w:spacing w:after="0" w:line="240" w:lineRule="auto"/>
              <w:rPr>
                <w:rFonts w:ascii="Times New Roman" w:eastAsia="Times New Roman" w:hAnsi="Times New Roman" w:cs="Times New Roman"/>
                <w:lang w:eastAsia="lt-LT"/>
              </w:rPr>
            </w:pPr>
            <w:r w:rsidRPr="00D815E4">
              <w:rPr>
                <w:rFonts w:ascii="Times New Roman" w:hAnsi="Times New Roman" w:cs="Times New Roman"/>
              </w:rPr>
              <w:lastRenderedPageBreak/>
              <w:t>Projektui taikoma fiksuotoji norma, fiksuotieji</w:t>
            </w:r>
            <w:r w:rsidRPr="00D815E4">
              <w:rPr>
                <w:rFonts w:ascii="Times New Roman" w:eastAsia="Times New Roman" w:hAnsi="Times New Roman" w:cs="Times New Roman"/>
                <w:lang w:eastAsia="lt-LT"/>
              </w:rPr>
              <w:t xml:space="preserve"> projekto išlaidų </w:t>
            </w:r>
            <w:r w:rsidRPr="00D815E4">
              <w:rPr>
                <w:rFonts w:ascii="Times New Roman" w:hAnsi="Times New Roman" w:cs="Times New Roman"/>
              </w:rPr>
              <w:t xml:space="preserve">vieneto įkainiai, fiksuotosios projekto išlaidų sumos ir (ar) apdovanojimai turi </w:t>
            </w:r>
            <w:r w:rsidRPr="00D815E4">
              <w:rPr>
                <w:rFonts w:ascii="Times New Roman" w:hAnsi="Times New Roman" w:cs="Times New Roman"/>
              </w:rPr>
              <w:lastRenderedPageBreak/>
              <w:t xml:space="preserve">atitikti reikalavimus, nustatytus </w:t>
            </w:r>
            <w:r w:rsidRPr="00D815E4">
              <w:rPr>
                <w:rFonts w:ascii="Times New Roman" w:hAnsi="Times New Roman" w:cs="Times New Roman"/>
                <w:szCs w:val="24"/>
              </w:rPr>
              <w:t>šio Aprašo 3</w:t>
            </w:r>
            <w:r w:rsidR="00987201">
              <w:rPr>
                <w:rFonts w:ascii="Times New Roman" w:hAnsi="Times New Roman" w:cs="Times New Roman"/>
                <w:szCs w:val="24"/>
              </w:rPr>
              <w:t>4 ir 38</w:t>
            </w:r>
            <w:r w:rsidRPr="00D815E4">
              <w:rPr>
                <w:rFonts w:ascii="Times New Roman" w:hAnsi="Times New Roman" w:cs="Times New Roman"/>
                <w:szCs w:val="24"/>
              </w:rPr>
              <w:t xml:space="preserve"> punktuose.</w:t>
            </w: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191FEA" w:rsidRPr="006C122A" w:rsidRDefault="00191FEA"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191FEA" w:rsidRPr="006C122A" w:rsidRDefault="00191FEA"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191FEA" w:rsidRPr="006C122A" w:rsidRDefault="00191FEA"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191FEA" w:rsidRPr="006C122A" w:rsidRDefault="00191FEA"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rsidR="00191FEA" w:rsidRPr="006C122A" w:rsidRDefault="00191FEA" w:rsidP="00CA54B8">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191FEA" w:rsidRPr="006C122A" w:rsidRDefault="00191FEA"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r w:rsidR="00191FEA"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191FEA"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1FEA" w:rsidRPr="006C122A" w:rsidRDefault="00191FEA"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191FEA" w:rsidRPr="006C122A" w:rsidRDefault="00191FEA"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iš ERPF ir SF bendrai finansuojamo projekto veiklų, vykdomų ne Lietuvos Respublikoje, bet ES </w:t>
            </w:r>
            <w:r w:rsidRPr="006C122A">
              <w:rPr>
                <w:rFonts w:ascii="Times New Roman" w:eastAsia="Times New Roman" w:hAnsi="Times New Roman" w:cs="Times New Roman"/>
                <w:lang w:eastAsia="lt-LT"/>
              </w:rPr>
              <w:lastRenderedPageBreak/>
              <w:t>teritorijoje, išlaidos neviršija procento, nustatyto projektų finansavimo sąlygų apraše; arba pagal projektų finansavimo sąlygų aprašą vykdomos reprezentacijai skirtos veiklos;</w:t>
            </w:r>
          </w:p>
          <w:p w:rsidR="00191FEA" w:rsidRPr="006C122A" w:rsidRDefault="00191FEA"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191FEA" w:rsidRPr="006C122A" w:rsidRDefault="00191FEA"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191FEA" w:rsidRPr="006C122A" w:rsidRDefault="00191FEA"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191FEA" w:rsidRPr="006C122A" w:rsidRDefault="00191FEA"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191FEA" w:rsidRPr="006C122A" w:rsidRDefault="00987201" w:rsidP="00987201">
            <w:pPr>
              <w:spacing w:after="0" w:line="240" w:lineRule="auto"/>
              <w:rPr>
                <w:rFonts w:ascii="Times New Roman" w:eastAsia="Times New Roman" w:hAnsi="Times New Roman" w:cs="Times New Roman"/>
                <w:lang w:eastAsia="lt-LT"/>
              </w:rPr>
            </w:pPr>
            <w:r w:rsidRPr="00D815E4">
              <w:rPr>
                <w:rFonts w:ascii="Times New Roman" w:hAnsi="Times New Roman" w:cs="Times New Roman"/>
                <w:szCs w:val="24"/>
              </w:rPr>
              <w:lastRenderedPageBreak/>
              <w:t>Projekto veiklų vykdymo teritorija turi atitikti šio Aprašo 2</w:t>
            </w:r>
            <w:r>
              <w:rPr>
                <w:rFonts w:ascii="Times New Roman" w:hAnsi="Times New Roman" w:cs="Times New Roman"/>
                <w:szCs w:val="24"/>
              </w:rPr>
              <w:t>1</w:t>
            </w:r>
            <w:r w:rsidRPr="00D815E4">
              <w:rPr>
                <w:rFonts w:ascii="Times New Roman" w:hAnsi="Times New Roman" w:cs="Times New Roman"/>
                <w:szCs w:val="24"/>
              </w:rPr>
              <w:t xml:space="preserve"> punkte </w:t>
            </w:r>
            <w:r w:rsidRPr="00D815E4">
              <w:rPr>
                <w:rFonts w:ascii="Times New Roman" w:hAnsi="Times New Roman" w:cs="Times New Roman"/>
              </w:rPr>
              <w:t>nustatytus</w:t>
            </w:r>
            <w:proofErr w:type="gramStart"/>
            <w:r w:rsidRPr="00D815E4">
              <w:rPr>
                <w:rFonts w:ascii="Times New Roman" w:hAnsi="Times New Roman" w:cs="Times New Roman"/>
              </w:rPr>
              <w:t xml:space="preserve">  </w:t>
            </w:r>
            <w:proofErr w:type="gramEnd"/>
            <w:r w:rsidRPr="00D815E4">
              <w:rPr>
                <w:rFonts w:ascii="Times New Roman" w:hAnsi="Times New Roman" w:cs="Times New Roman"/>
              </w:rPr>
              <w:t>reikalavimus.</w:t>
            </w:r>
          </w:p>
        </w:tc>
        <w:tc>
          <w:tcPr>
            <w:tcW w:w="2127"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1FEA" w:rsidRPr="006C122A" w:rsidRDefault="00191FEA" w:rsidP="00A51E33">
            <w:pPr>
              <w:spacing w:after="0" w:line="240" w:lineRule="auto"/>
              <w:rPr>
                <w:rFonts w:ascii="Times New Roman" w:eastAsia="Times New Roman" w:hAnsi="Times New Roman" w:cs="Times New Roman"/>
                <w:lang w:eastAsia="lt-LT"/>
              </w:rPr>
            </w:pPr>
          </w:p>
        </w:tc>
      </w:tr>
    </w:tbl>
    <w:p w:rsidR="00EB4717" w:rsidRPr="006C122A" w:rsidRDefault="00EB4717"/>
    <w:p w:rsidR="00EF66FE" w:rsidRDefault="00EF66F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987201">
      <w:pPr>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r w:rsidR="00DF3A1F">
              <w:rPr>
                <w:rFonts w:ascii="Times New Roman" w:hAnsi="Times New Roman"/>
                <w:b/>
                <w:sz w:val="20"/>
                <w:szCs w:val="20"/>
              </w:rPr>
              <w:t>.</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tblPr>
      <w:tblGrid>
        <w:gridCol w:w="15080"/>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asmens pareigų pavadinimas)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 xml:space="preserve">(data) </w:t>
      </w:r>
      <w:r w:rsidRPr="006C122A">
        <w:rPr>
          <w:rFonts w:ascii="Times New Roman" w:hAnsi="Times New Roman" w:cs="Times New Roman"/>
        </w:rPr>
        <w:tab/>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(vardas ir pavardė</w:t>
      </w:r>
      <w:r w:rsidR="00897EC1" w:rsidRPr="006C122A">
        <w:rPr>
          <w:rFonts w:ascii="Times New Roman" w:hAnsi="Times New Roman" w:cs="Times New Roman"/>
        </w:rPr>
        <w:t>, parašas</w:t>
      </w:r>
      <w:r w:rsidR="00897EC1" w:rsidRPr="00F92FCC">
        <w:rPr>
          <w:rFonts w:ascii="Times New Roman" w:hAnsi="Times New Roman" w:cs="Times New Roman"/>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F66FE">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2BC" w:rsidRDefault="007312BC" w:rsidP="00045B41">
      <w:pPr>
        <w:spacing w:after="0" w:line="240" w:lineRule="auto"/>
      </w:pPr>
      <w:r>
        <w:separator/>
      </w:r>
    </w:p>
  </w:endnote>
  <w:endnote w:type="continuationSeparator" w:id="0">
    <w:p w:rsidR="007312BC" w:rsidRDefault="007312BC"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2BC" w:rsidRDefault="007312BC" w:rsidP="00045B41">
      <w:pPr>
        <w:spacing w:after="0" w:line="240" w:lineRule="auto"/>
      </w:pPr>
      <w:r>
        <w:separator/>
      </w:r>
    </w:p>
  </w:footnote>
  <w:footnote w:type="continuationSeparator" w:id="0">
    <w:p w:rsidR="007312BC" w:rsidRDefault="007312BC"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7957"/>
      <w:docPartObj>
        <w:docPartGallery w:val="Page Numbers (Top of Page)"/>
        <w:docPartUnique/>
      </w:docPartObj>
    </w:sdtPr>
    <w:sdtContent>
      <w:p w:rsidR="00EF66FE" w:rsidRDefault="002A212D">
        <w:pPr>
          <w:pStyle w:val="Antrats"/>
          <w:jc w:val="center"/>
        </w:pPr>
        <w:r w:rsidRPr="00EF66FE">
          <w:rPr>
            <w:rFonts w:ascii="Times New Roman" w:hAnsi="Times New Roman" w:cs="Times New Roman"/>
          </w:rPr>
          <w:fldChar w:fldCharType="begin"/>
        </w:r>
        <w:r w:rsidR="00EF66FE" w:rsidRPr="00EF66FE">
          <w:rPr>
            <w:rFonts w:ascii="Times New Roman" w:hAnsi="Times New Roman" w:cs="Times New Roman"/>
          </w:rPr>
          <w:instrText xml:space="preserve"> PAGE   \* MERGEFORMAT </w:instrText>
        </w:r>
        <w:r w:rsidRPr="00EF66FE">
          <w:rPr>
            <w:rFonts w:ascii="Times New Roman" w:hAnsi="Times New Roman" w:cs="Times New Roman"/>
          </w:rPr>
          <w:fldChar w:fldCharType="separate"/>
        </w:r>
        <w:r w:rsidR="00477615">
          <w:rPr>
            <w:rFonts w:ascii="Times New Roman" w:hAnsi="Times New Roman" w:cs="Times New Roman"/>
            <w:noProof/>
          </w:rPr>
          <w:t>16</w:t>
        </w:r>
        <w:r w:rsidRPr="00EF66FE">
          <w:rPr>
            <w:rFonts w:ascii="Times New Roman" w:hAnsi="Times New Roman" w:cs="Times New Roman"/>
          </w:rPr>
          <w:fldChar w:fldCharType="end"/>
        </w:r>
      </w:p>
    </w:sdtContent>
  </w:sdt>
  <w:p w:rsidR="00EF66FE" w:rsidRDefault="00EF66FE">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1296"/>
  <w:hyphenationZone w:val="396"/>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C732C6"/>
    <w:rsid w:val="00037326"/>
    <w:rsid w:val="00044673"/>
    <w:rsid w:val="00045B41"/>
    <w:rsid w:val="000555C3"/>
    <w:rsid w:val="0005647F"/>
    <w:rsid w:val="00084BC7"/>
    <w:rsid w:val="0009063A"/>
    <w:rsid w:val="0012780E"/>
    <w:rsid w:val="00152DAF"/>
    <w:rsid w:val="00164BA9"/>
    <w:rsid w:val="00181225"/>
    <w:rsid w:val="00191FEA"/>
    <w:rsid w:val="00196A1E"/>
    <w:rsid w:val="001A06A0"/>
    <w:rsid w:val="001A34A1"/>
    <w:rsid w:val="001B7222"/>
    <w:rsid w:val="001C31B6"/>
    <w:rsid w:val="001E3B68"/>
    <w:rsid w:val="001E4061"/>
    <w:rsid w:val="00221111"/>
    <w:rsid w:val="002232CE"/>
    <w:rsid w:val="00244586"/>
    <w:rsid w:val="00247511"/>
    <w:rsid w:val="00262272"/>
    <w:rsid w:val="00273FEF"/>
    <w:rsid w:val="002854FE"/>
    <w:rsid w:val="002A212D"/>
    <w:rsid w:val="002B2891"/>
    <w:rsid w:val="002C53C0"/>
    <w:rsid w:val="002D68BB"/>
    <w:rsid w:val="002E1345"/>
    <w:rsid w:val="002E249A"/>
    <w:rsid w:val="002F79D0"/>
    <w:rsid w:val="003027F8"/>
    <w:rsid w:val="003168E0"/>
    <w:rsid w:val="00321B6E"/>
    <w:rsid w:val="003246D0"/>
    <w:rsid w:val="00331DE2"/>
    <w:rsid w:val="00331EA0"/>
    <w:rsid w:val="0033517D"/>
    <w:rsid w:val="00343D06"/>
    <w:rsid w:val="0035604F"/>
    <w:rsid w:val="0036275E"/>
    <w:rsid w:val="00382BF6"/>
    <w:rsid w:val="00391A1A"/>
    <w:rsid w:val="003F4E68"/>
    <w:rsid w:val="00426029"/>
    <w:rsid w:val="004309ED"/>
    <w:rsid w:val="00461951"/>
    <w:rsid w:val="004650EC"/>
    <w:rsid w:val="00477615"/>
    <w:rsid w:val="004A21B7"/>
    <w:rsid w:val="004D6FB4"/>
    <w:rsid w:val="00504958"/>
    <w:rsid w:val="005353B9"/>
    <w:rsid w:val="0056392D"/>
    <w:rsid w:val="0056515D"/>
    <w:rsid w:val="00571935"/>
    <w:rsid w:val="005778D7"/>
    <w:rsid w:val="005876FF"/>
    <w:rsid w:val="0059411E"/>
    <w:rsid w:val="005C3CAE"/>
    <w:rsid w:val="005E608C"/>
    <w:rsid w:val="005F59D9"/>
    <w:rsid w:val="00601EB6"/>
    <w:rsid w:val="006075F3"/>
    <w:rsid w:val="006222DB"/>
    <w:rsid w:val="006234EB"/>
    <w:rsid w:val="00694F6F"/>
    <w:rsid w:val="006A135E"/>
    <w:rsid w:val="006A3CE1"/>
    <w:rsid w:val="006B1E71"/>
    <w:rsid w:val="006B1EDF"/>
    <w:rsid w:val="006B2A58"/>
    <w:rsid w:val="006C122A"/>
    <w:rsid w:val="006D6266"/>
    <w:rsid w:val="006D6920"/>
    <w:rsid w:val="006D7B36"/>
    <w:rsid w:val="006E2D6B"/>
    <w:rsid w:val="00701473"/>
    <w:rsid w:val="0070637C"/>
    <w:rsid w:val="00710075"/>
    <w:rsid w:val="007312BC"/>
    <w:rsid w:val="00742415"/>
    <w:rsid w:val="00773E09"/>
    <w:rsid w:val="00785850"/>
    <w:rsid w:val="007B2EA3"/>
    <w:rsid w:val="007E17E6"/>
    <w:rsid w:val="00811F6E"/>
    <w:rsid w:val="00827E34"/>
    <w:rsid w:val="0084293A"/>
    <w:rsid w:val="00865CB6"/>
    <w:rsid w:val="00886260"/>
    <w:rsid w:val="00897EC1"/>
    <w:rsid w:val="008A2696"/>
    <w:rsid w:val="008E49EC"/>
    <w:rsid w:val="008E5881"/>
    <w:rsid w:val="00910667"/>
    <w:rsid w:val="00910B4A"/>
    <w:rsid w:val="009177DE"/>
    <w:rsid w:val="009310AE"/>
    <w:rsid w:val="00944DB5"/>
    <w:rsid w:val="00977805"/>
    <w:rsid w:val="00987201"/>
    <w:rsid w:val="009B55AD"/>
    <w:rsid w:val="009D735C"/>
    <w:rsid w:val="00A237DA"/>
    <w:rsid w:val="00A44719"/>
    <w:rsid w:val="00A80A5F"/>
    <w:rsid w:val="00AB7125"/>
    <w:rsid w:val="00AD273F"/>
    <w:rsid w:val="00AD5459"/>
    <w:rsid w:val="00B35F56"/>
    <w:rsid w:val="00B41BC7"/>
    <w:rsid w:val="00B613DA"/>
    <w:rsid w:val="00B62754"/>
    <w:rsid w:val="00B842EF"/>
    <w:rsid w:val="00BA3030"/>
    <w:rsid w:val="00BA3EE7"/>
    <w:rsid w:val="00BB18AF"/>
    <w:rsid w:val="00BF11A0"/>
    <w:rsid w:val="00C3063A"/>
    <w:rsid w:val="00C431CC"/>
    <w:rsid w:val="00C732C6"/>
    <w:rsid w:val="00C8320A"/>
    <w:rsid w:val="00C93905"/>
    <w:rsid w:val="00C95B27"/>
    <w:rsid w:val="00CA54B8"/>
    <w:rsid w:val="00CC2416"/>
    <w:rsid w:val="00CC7771"/>
    <w:rsid w:val="00CD4535"/>
    <w:rsid w:val="00CD4638"/>
    <w:rsid w:val="00CF6AA9"/>
    <w:rsid w:val="00D26984"/>
    <w:rsid w:val="00DA6996"/>
    <w:rsid w:val="00DC6CEC"/>
    <w:rsid w:val="00DE4F6A"/>
    <w:rsid w:val="00DF0A42"/>
    <w:rsid w:val="00DF3A1F"/>
    <w:rsid w:val="00E12B5B"/>
    <w:rsid w:val="00E527FE"/>
    <w:rsid w:val="00E871EF"/>
    <w:rsid w:val="00EA4C02"/>
    <w:rsid w:val="00EB4717"/>
    <w:rsid w:val="00EE55A2"/>
    <w:rsid w:val="00EF0575"/>
    <w:rsid w:val="00EF332C"/>
    <w:rsid w:val="00EF66FE"/>
    <w:rsid w:val="00F00DFC"/>
    <w:rsid w:val="00F92FCC"/>
    <w:rsid w:val="00FA459A"/>
    <w:rsid w:val="00FB217A"/>
    <w:rsid w:val="00FB3CE2"/>
    <w:rsid w:val="00FC2193"/>
    <w:rsid w:val="00FC2585"/>
    <w:rsid w:val="00FE0095"/>
    <w:rsid w:val="00FF70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F59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D7D9-1274-46BB-B79A-3EAAC7F8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19175</Words>
  <Characters>10931</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kovaliova</cp:lastModifiedBy>
  <cp:revision>2</cp:revision>
  <cp:lastPrinted>2016-01-11T14:31:00Z</cp:lastPrinted>
  <dcterms:created xsi:type="dcterms:W3CDTF">2016-01-22T08:09:00Z</dcterms:created>
  <dcterms:modified xsi:type="dcterms:W3CDTF">2016-01-22T08:09:00Z</dcterms:modified>
</cp:coreProperties>
</file>