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5CCB4" w14:textId="77777777" w:rsidR="00CB13D1" w:rsidRPr="00FC5EF5" w:rsidRDefault="00CB13D1" w:rsidP="00DE330A">
      <w:pPr>
        <w:pStyle w:val="statymopavad0"/>
        <w:spacing w:line="240" w:lineRule="auto"/>
        <w:rPr>
          <w:rFonts w:ascii="Times New Roman" w:hAnsi="Times New Roman"/>
          <w:b/>
          <w:szCs w:val="24"/>
        </w:rPr>
      </w:pPr>
      <w:bookmarkStart w:id="0" w:name="_GoBack"/>
      <w:bookmarkEnd w:id="0"/>
      <w:r w:rsidRPr="00FC5EF5">
        <w:rPr>
          <w:rFonts w:ascii="Times New Roman" w:hAnsi="Times New Roman"/>
          <w:b/>
          <w:szCs w:val="24"/>
        </w:rPr>
        <w:t xml:space="preserve">institucijų pateiktų pastabų derinimo lentelė </w:t>
      </w:r>
    </w:p>
    <w:p w14:paraId="5B6AC2A5" w14:textId="77777777" w:rsidR="00DE330A" w:rsidRPr="00FC5EF5" w:rsidRDefault="004264D6" w:rsidP="00DE330A">
      <w:pPr>
        <w:pStyle w:val="statymopavad0"/>
        <w:spacing w:line="240" w:lineRule="auto"/>
        <w:rPr>
          <w:rFonts w:ascii="Times New Roman" w:hAnsi="Times New Roman"/>
          <w:b/>
        </w:rPr>
      </w:pPr>
      <w:r w:rsidRPr="00FC5EF5">
        <w:rPr>
          <w:rFonts w:ascii="Times New Roman" w:hAnsi="Times New Roman"/>
          <w:b/>
        </w:rPr>
        <w:t>DĖL</w:t>
      </w:r>
      <w:r w:rsidR="00DE330A" w:rsidRPr="00FC5EF5">
        <w:rPr>
          <w:rFonts w:ascii="Times New Roman" w:hAnsi="Times New Roman"/>
          <w:b/>
        </w:rPr>
        <w:t>2014–2020 M. EUROPOS SĄJUNGOS FONDŲ INVESTICIJŲ VEIKSMŲ PROGRAMOS</w:t>
      </w:r>
    </w:p>
    <w:p w14:paraId="29BA290E" w14:textId="77777777" w:rsidR="00DE330A" w:rsidRPr="00FC5EF5" w:rsidRDefault="00DE330A" w:rsidP="00DE330A">
      <w:pPr>
        <w:pStyle w:val="statymopavad0"/>
        <w:spacing w:line="240" w:lineRule="auto"/>
        <w:rPr>
          <w:rFonts w:ascii="Times New Roman" w:hAnsi="Times New Roman"/>
          <w:b/>
        </w:rPr>
      </w:pPr>
      <w:r w:rsidRPr="00FC5EF5">
        <w:rPr>
          <w:rFonts w:ascii="Times New Roman" w:hAnsi="Times New Roman"/>
          <w:b/>
        </w:rPr>
        <w:t>10 PRIORITETO „VISUOMENĖS POREIKIUS ATITINKANTIS IR PAŽANGUS VIEŠASIS VALDYMAS“</w:t>
      </w:r>
    </w:p>
    <w:p w14:paraId="65C5D440" w14:textId="77777777" w:rsidR="004264D6" w:rsidRPr="00FC5EF5" w:rsidRDefault="00640EDB" w:rsidP="00DE330A">
      <w:pPr>
        <w:pStyle w:val="statymopavad0"/>
        <w:spacing w:line="240" w:lineRule="auto"/>
        <w:rPr>
          <w:rFonts w:ascii="Times New Roman" w:hAnsi="Times New Roman"/>
          <w:b/>
        </w:rPr>
      </w:pPr>
      <w:r w:rsidRPr="00FC5EF5">
        <w:rPr>
          <w:rFonts w:ascii="Times New Roman" w:hAnsi="Times New Roman"/>
          <w:b/>
        </w:rPr>
        <w:t xml:space="preserve">NR. </w:t>
      </w:r>
      <w:r w:rsidR="0062207E" w:rsidRPr="00FC5EF5">
        <w:rPr>
          <w:rFonts w:ascii="Times New Roman" w:hAnsi="Times New Roman"/>
          <w:b/>
          <w:szCs w:val="24"/>
        </w:rPr>
        <w:t>10.1.2-ESFA-V-915</w:t>
      </w:r>
      <w:r w:rsidR="00DF55BE" w:rsidRPr="00FC5EF5">
        <w:rPr>
          <w:rFonts w:ascii="Times New Roman" w:hAnsi="Times New Roman"/>
          <w:b/>
          <w:szCs w:val="24"/>
        </w:rPr>
        <w:t xml:space="preserve"> PRIEMONĖS ,,</w:t>
      </w:r>
      <w:r w:rsidR="00A21D2C" w:rsidRPr="00FC5EF5">
        <w:rPr>
          <w:rFonts w:ascii="Times New Roman" w:eastAsia="Calibri" w:hAnsi="Times New Roman"/>
          <w:b/>
          <w:caps w:val="0"/>
          <w:szCs w:val="24"/>
          <w:lang w:eastAsia="zh-CN"/>
        </w:rPr>
        <w:t>VIEŠOJO VALDYMO INSTITUCIJŲ ATVIRUMO DIDINIMAS</w:t>
      </w:r>
      <w:r w:rsidR="00A21D2C" w:rsidRPr="00FC5EF5" w:rsidDel="00A465E4">
        <w:rPr>
          <w:rFonts w:ascii="Times New Roman" w:eastAsia="Calibri" w:hAnsi="Times New Roman"/>
          <w:b/>
          <w:caps w:val="0"/>
          <w:szCs w:val="24"/>
          <w:lang w:eastAsia="zh-CN"/>
        </w:rPr>
        <w:t xml:space="preserve"> </w:t>
      </w:r>
      <w:r w:rsidR="00A21D2C" w:rsidRPr="00FC5EF5">
        <w:rPr>
          <w:rFonts w:ascii="Times New Roman" w:eastAsia="Calibri" w:hAnsi="Times New Roman"/>
          <w:b/>
          <w:caps w:val="0"/>
          <w:szCs w:val="24"/>
          <w:lang w:eastAsia="zh-CN"/>
        </w:rPr>
        <w:t xml:space="preserve"> IR VISUOMENĖS ĮSITRAUKIMO Į VIEŠOJO VALDYMO PROCESUS SKATINIMAS</w:t>
      </w:r>
      <w:r w:rsidR="00DF55BE" w:rsidRPr="00FC5EF5">
        <w:rPr>
          <w:rFonts w:ascii="Times New Roman" w:hAnsi="Times New Roman"/>
          <w:b/>
          <w:szCs w:val="24"/>
        </w:rPr>
        <w:t xml:space="preserve">“ </w:t>
      </w:r>
      <w:r w:rsidR="00DE330A" w:rsidRPr="00FC5EF5">
        <w:rPr>
          <w:rFonts w:ascii="Times New Roman" w:hAnsi="Times New Roman"/>
          <w:b/>
        </w:rPr>
        <w:t>PROJEKTŲ FINANSAVIMO SĄLYGŲ APRAŠO</w:t>
      </w:r>
      <w:r w:rsidR="00537714" w:rsidRPr="00FC5EF5">
        <w:rPr>
          <w:rFonts w:ascii="Times New Roman" w:hAnsi="Times New Roman"/>
          <w:b/>
        </w:rPr>
        <w:t xml:space="preserve"> projekto</w:t>
      </w:r>
      <w:r w:rsidR="00BA1FD8" w:rsidRPr="00FC5EF5">
        <w:rPr>
          <w:rFonts w:ascii="Times New Roman" w:hAnsi="Times New Roman"/>
          <w:b/>
        </w:rPr>
        <w:t xml:space="preserve"> </w:t>
      </w:r>
    </w:p>
    <w:p w14:paraId="716C971B" w14:textId="77777777" w:rsidR="004264D6" w:rsidRPr="00FC5EF5"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FC5EF5" w14:paraId="749CF8DE" w14:textId="77777777" w:rsidTr="00E20453">
        <w:tc>
          <w:tcPr>
            <w:tcW w:w="1526" w:type="dxa"/>
            <w:hideMark/>
          </w:tcPr>
          <w:p w14:paraId="6DEDCA50"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Institucijos pavadinimas</w:t>
            </w:r>
          </w:p>
        </w:tc>
        <w:tc>
          <w:tcPr>
            <w:tcW w:w="6379" w:type="dxa"/>
            <w:hideMark/>
          </w:tcPr>
          <w:p w14:paraId="5677414B"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Pastabos ir pasiūlymai</w:t>
            </w:r>
          </w:p>
        </w:tc>
        <w:tc>
          <w:tcPr>
            <w:tcW w:w="7087" w:type="dxa"/>
            <w:hideMark/>
          </w:tcPr>
          <w:p w14:paraId="3810B92E"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Pastabų ir pasiūlymų įvertinimas</w:t>
            </w:r>
          </w:p>
        </w:tc>
      </w:tr>
      <w:tr w:rsidR="00DE330A" w:rsidRPr="00FC5EF5" w14:paraId="0403D92E" w14:textId="77777777" w:rsidTr="00E20453">
        <w:tc>
          <w:tcPr>
            <w:tcW w:w="1526" w:type="dxa"/>
          </w:tcPr>
          <w:p w14:paraId="450450B6" w14:textId="3D706241" w:rsidR="00DE330A" w:rsidRPr="00FC5EF5" w:rsidRDefault="00DE330A" w:rsidP="00DE330A">
            <w:pPr>
              <w:pStyle w:val="Preformatted"/>
              <w:jc w:val="both"/>
              <w:rPr>
                <w:rFonts w:ascii="Times New Roman" w:hAnsi="Times New Roman"/>
                <w:sz w:val="24"/>
                <w:szCs w:val="24"/>
              </w:rPr>
            </w:pPr>
            <w:r w:rsidRPr="00FC5EF5">
              <w:rPr>
                <w:rFonts w:ascii="Times New Roman" w:hAnsi="Times New Roman"/>
                <w:sz w:val="24"/>
                <w:szCs w:val="24"/>
              </w:rPr>
              <w:t>Europos socialini</w:t>
            </w:r>
            <w:r w:rsidR="00F01FD5" w:rsidRPr="00FC5EF5">
              <w:rPr>
                <w:rFonts w:ascii="Times New Roman" w:hAnsi="Times New Roman"/>
                <w:sz w:val="24"/>
                <w:szCs w:val="24"/>
              </w:rPr>
              <w:t xml:space="preserve">o fondo agentūros </w:t>
            </w:r>
            <w:r w:rsidR="00DF2F49" w:rsidRPr="00FC5EF5">
              <w:rPr>
                <w:rFonts w:ascii="Times New Roman" w:hAnsi="Times New Roman"/>
                <w:sz w:val="24"/>
                <w:szCs w:val="24"/>
              </w:rPr>
              <w:t xml:space="preserve"> </w:t>
            </w:r>
            <w:r w:rsidR="00A21D2C" w:rsidRPr="00FC5EF5">
              <w:rPr>
                <w:rFonts w:ascii="Times New Roman" w:hAnsi="Times New Roman"/>
                <w:sz w:val="24"/>
                <w:szCs w:val="24"/>
              </w:rPr>
              <w:t>2016</w:t>
            </w:r>
            <w:r w:rsidR="00F01FD5" w:rsidRPr="00FC5EF5">
              <w:rPr>
                <w:rFonts w:ascii="Times New Roman" w:hAnsi="Times New Roman"/>
                <w:sz w:val="24"/>
                <w:szCs w:val="24"/>
              </w:rPr>
              <w:t xml:space="preserve"> m. </w:t>
            </w:r>
            <w:r w:rsidR="00A21D2C" w:rsidRPr="00FC5EF5">
              <w:rPr>
                <w:rFonts w:ascii="Times New Roman" w:hAnsi="Times New Roman"/>
                <w:sz w:val="24"/>
                <w:szCs w:val="24"/>
              </w:rPr>
              <w:t xml:space="preserve">sausio 15 </w:t>
            </w:r>
            <w:r w:rsidRPr="00FC5EF5">
              <w:rPr>
                <w:rFonts w:ascii="Times New Roman" w:hAnsi="Times New Roman"/>
                <w:sz w:val="24"/>
                <w:szCs w:val="24"/>
              </w:rPr>
              <w:t xml:space="preserve">d. raštu Nr. </w:t>
            </w:r>
            <w:r w:rsidR="00A21D2C" w:rsidRPr="00FC5EF5">
              <w:rPr>
                <w:rFonts w:ascii="Times New Roman" w:hAnsi="Times New Roman"/>
                <w:sz w:val="24"/>
                <w:szCs w:val="24"/>
              </w:rPr>
              <w:t>SB-2016-00040</w:t>
            </w:r>
            <w:r w:rsidRPr="00FC5EF5">
              <w:rPr>
                <w:rFonts w:ascii="Times New Roman" w:hAnsi="Times New Roman"/>
                <w:sz w:val="24"/>
                <w:szCs w:val="24"/>
              </w:rPr>
              <w:t xml:space="preserve"> pateiktos pastabos</w:t>
            </w:r>
          </w:p>
        </w:tc>
        <w:tc>
          <w:tcPr>
            <w:tcW w:w="6379" w:type="dxa"/>
          </w:tcPr>
          <w:p w14:paraId="51993DE4" w14:textId="77777777" w:rsidR="00DE330A" w:rsidRPr="00FC5EF5" w:rsidDel="0029535C" w:rsidRDefault="00DE330A" w:rsidP="00B2035A">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 xml:space="preserve">1. </w:t>
            </w:r>
            <w:r w:rsidR="00A21D2C" w:rsidRPr="00FC5EF5">
              <w:rPr>
                <w:rFonts w:ascii="Times New Roman" w:hAnsi="Times New Roman"/>
                <w:sz w:val="24"/>
                <w:szCs w:val="24"/>
              </w:rPr>
              <w:t xml:space="preserve">Patikslinti Aprašo 2.7 punkte interneto svetainės adresą į </w:t>
            </w:r>
            <w:hyperlink r:id="rId9" w:history="1">
              <w:r w:rsidR="00A21D2C" w:rsidRPr="00FC5EF5">
                <w:rPr>
                  <w:rStyle w:val="Hipersaitas"/>
                  <w:rFonts w:ascii="Times New Roman" w:hAnsi="Times New Roman"/>
                  <w:sz w:val="24"/>
                  <w:szCs w:val="24"/>
                </w:rPr>
                <w:t>www.esinvesticijos.lt</w:t>
              </w:r>
            </w:hyperlink>
          </w:p>
        </w:tc>
        <w:tc>
          <w:tcPr>
            <w:tcW w:w="7087" w:type="dxa"/>
          </w:tcPr>
          <w:p w14:paraId="7EE8439E" w14:textId="77777777" w:rsidR="00DE330A" w:rsidRPr="00FC5EF5" w:rsidRDefault="00454456" w:rsidP="00454456">
            <w:pPr>
              <w:jc w:val="both"/>
              <w:rPr>
                <w:rFonts w:ascii="Times New Roman" w:hAnsi="Times New Roman" w:cs="Times New Roman"/>
                <w:b/>
                <w:sz w:val="24"/>
                <w:szCs w:val="24"/>
              </w:rPr>
            </w:pPr>
            <w:r w:rsidRPr="00FC5EF5">
              <w:rPr>
                <w:rFonts w:ascii="Times New Roman" w:hAnsi="Times New Roman" w:cs="Times New Roman"/>
                <w:b/>
                <w:sz w:val="24"/>
                <w:szCs w:val="24"/>
              </w:rPr>
              <w:t>Atsižvelgta.</w:t>
            </w:r>
          </w:p>
          <w:p w14:paraId="2F7704E7" w14:textId="77777777" w:rsidR="00454456" w:rsidRPr="00FC5EF5" w:rsidDel="00B4643D" w:rsidRDefault="00454456" w:rsidP="00A21D2C">
            <w:pPr>
              <w:jc w:val="both"/>
              <w:rPr>
                <w:rFonts w:ascii="Times New Roman" w:hAnsi="Times New Roman" w:cs="Times New Roman"/>
                <w:sz w:val="24"/>
                <w:szCs w:val="24"/>
              </w:rPr>
            </w:pPr>
          </w:p>
        </w:tc>
      </w:tr>
      <w:tr w:rsidR="00DE330A" w:rsidRPr="00FC5EF5" w14:paraId="177287E3" w14:textId="77777777" w:rsidTr="00E20453">
        <w:tc>
          <w:tcPr>
            <w:tcW w:w="1526" w:type="dxa"/>
          </w:tcPr>
          <w:p w14:paraId="22AF6339" w14:textId="77777777" w:rsidR="00DE330A" w:rsidRPr="00FC5EF5" w:rsidDel="00E75A99" w:rsidRDefault="00DE330A" w:rsidP="004264D6">
            <w:pPr>
              <w:pStyle w:val="Preformatted"/>
              <w:jc w:val="both"/>
              <w:rPr>
                <w:rFonts w:ascii="Times New Roman" w:hAnsi="Times New Roman"/>
                <w:sz w:val="24"/>
                <w:szCs w:val="24"/>
              </w:rPr>
            </w:pPr>
          </w:p>
        </w:tc>
        <w:tc>
          <w:tcPr>
            <w:tcW w:w="6379" w:type="dxa"/>
          </w:tcPr>
          <w:p w14:paraId="3D7E4D4F" w14:textId="77777777" w:rsidR="00DE330A" w:rsidRPr="00FC5EF5" w:rsidRDefault="009D3215" w:rsidP="00530324">
            <w:pPr>
              <w:pStyle w:val="Preformatted"/>
              <w:tabs>
                <w:tab w:val="left" w:pos="1276"/>
              </w:tabs>
              <w:rPr>
                <w:rFonts w:ascii="Times New Roman" w:hAnsi="Times New Roman"/>
                <w:bCs/>
                <w:iCs/>
                <w:sz w:val="24"/>
                <w:szCs w:val="24"/>
              </w:rPr>
            </w:pPr>
            <w:r w:rsidRPr="00FC5EF5">
              <w:rPr>
                <w:rFonts w:ascii="Times New Roman" w:hAnsi="Times New Roman"/>
                <w:sz w:val="24"/>
                <w:szCs w:val="24"/>
              </w:rPr>
              <w:t xml:space="preserve">2. </w:t>
            </w:r>
            <w:r w:rsidR="005E50CB" w:rsidRPr="00FC5EF5">
              <w:rPr>
                <w:rFonts w:ascii="Times New Roman" w:hAnsi="Times New Roman"/>
                <w:bCs/>
                <w:iCs/>
                <w:sz w:val="24"/>
                <w:szCs w:val="24"/>
              </w:rPr>
              <w:t>P</w:t>
            </w:r>
            <w:r w:rsidR="00A21D2C" w:rsidRPr="00FC5EF5">
              <w:rPr>
                <w:rFonts w:ascii="Times New Roman" w:hAnsi="Times New Roman"/>
                <w:bCs/>
                <w:iCs/>
                <w:sz w:val="24"/>
                <w:szCs w:val="24"/>
              </w:rPr>
              <w:t>atvirtintame priemonių įgyvendinimo plane</w:t>
            </w:r>
            <w:r w:rsidR="00D84D2A" w:rsidRPr="00FC5EF5">
              <w:rPr>
                <w:rFonts w:ascii="Times New Roman" w:hAnsi="Times New Roman"/>
                <w:bCs/>
                <w:iCs/>
                <w:sz w:val="24"/>
                <w:szCs w:val="24"/>
              </w:rPr>
              <w:t xml:space="preserve"> (toliau – PIP)</w:t>
            </w:r>
            <w:r w:rsidR="00A21D2C" w:rsidRPr="00FC5EF5">
              <w:rPr>
                <w:rFonts w:ascii="Times New Roman" w:hAnsi="Times New Roman"/>
                <w:bCs/>
                <w:iCs/>
                <w:sz w:val="24"/>
                <w:szCs w:val="24"/>
              </w:rPr>
              <w:t xml:space="preserve"> veikloje Nr. 1.3.1 numatytas tik pasiūlymų dėl teisinio reglamentavimo tobulinimo rengimas, o Apraše papildomai nurodomas ir pasiūlymų dėl naujo teisinio reglamentavimo rengimas.</w:t>
            </w:r>
          </w:p>
        </w:tc>
        <w:tc>
          <w:tcPr>
            <w:tcW w:w="7087" w:type="dxa"/>
          </w:tcPr>
          <w:p w14:paraId="27FE709E" w14:textId="65CDAF35" w:rsidR="00C870C6" w:rsidRDefault="005E50CB" w:rsidP="00D31466">
            <w:pPr>
              <w:jc w:val="both"/>
              <w:rPr>
                <w:rFonts w:ascii="Times New Roman" w:eastAsia="Calibri" w:hAnsi="Times New Roman" w:cs="Times New Roman"/>
                <w:bCs/>
                <w:iCs/>
                <w:sz w:val="24"/>
                <w:szCs w:val="24"/>
                <w:lang w:eastAsia="zh-CN"/>
              </w:rPr>
            </w:pPr>
            <w:r w:rsidRPr="00FC5EF5">
              <w:rPr>
                <w:rFonts w:ascii="Times New Roman" w:hAnsi="Times New Roman" w:cs="Times New Roman"/>
                <w:sz w:val="24"/>
                <w:szCs w:val="24"/>
              </w:rPr>
              <w:t>Apraš</w:t>
            </w:r>
            <w:r w:rsidR="002F6619">
              <w:rPr>
                <w:rFonts w:ascii="Times New Roman" w:eastAsia="Calibri" w:hAnsi="Times New Roman" w:cs="Times New Roman"/>
                <w:bCs/>
                <w:iCs/>
                <w:sz w:val="24"/>
                <w:szCs w:val="24"/>
                <w:lang w:eastAsia="zh-CN"/>
              </w:rPr>
              <w:t>e yra</w:t>
            </w:r>
            <w:r w:rsidR="00C52668" w:rsidRPr="00FC5EF5">
              <w:rPr>
                <w:rFonts w:ascii="Times New Roman" w:eastAsia="Calibri" w:hAnsi="Times New Roman" w:cs="Times New Roman"/>
                <w:bCs/>
                <w:iCs/>
                <w:sz w:val="24"/>
                <w:szCs w:val="24"/>
                <w:lang w:eastAsia="zh-CN"/>
              </w:rPr>
              <w:t xml:space="preserve"> </w:t>
            </w:r>
            <w:r w:rsidR="00C52668">
              <w:rPr>
                <w:rFonts w:ascii="Times New Roman" w:eastAsia="Calibri" w:hAnsi="Times New Roman" w:cs="Times New Roman"/>
                <w:bCs/>
                <w:iCs/>
                <w:sz w:val="24"/>
                <w:szCs w:val="24"/>
                <w:lang w:eastAsia="zh-CN"/>
              </w:rPr>
              <w:t>det</w:t>
            </w:r>
            <w:r w:rsidR="002F6619">
              <w:rPr>
                <w:rFonts w:ascii="Times New Roman" w:eastAsia="Calibri" w:hAnsi="Times New Roman" w:cs="Times New Roman"/>
                <w:bCs/>
                <w:iCs/>
                <w:sz w:val="24"/>
                <w:szCs w:val="24"/>
                <w:lang w:eastAsia="zh-CN"/>
              </w:rPr>
              <w:t xml:space="preserve">alizuojamos, bet nekeičiamos PIP nuostatos. </w:t>
            </w:r>
            <w:r w:rsidR="00547B36">
              <w:rPr>
                <w:rFonts w:ascii="Times New Roman" w:eastAsia="Calibri" w:hAnsi="Times New Roman" w:cs="Times New Roman"/>
                <w:bCs/>
                <w:iCs/>
                <w:sz w:val="24"/>
                <w:szCs w:val="24"/>
                <w:lang w:eastAsia="zh-CN"/>
              </w:rPr>
              <w:t xml:space="preserve">PIP </w:t>
            </w:r>
            <w:r w:rsidR="00C870C6">
              <w:rPr>
                <w:rFonts w:ascii="Times New Roman" w:eastAsia="Calibri" w:hAnsi="Times New Roman" w:cs="Times New Roman"/>
                <w:bCs/>
                <w:iCs/>
                <w:sz w:val="24"/>
                <w:szCs w:val="24"/>
                <w:lang w:eastAsia="zh-CN"/>
              </w:rPr>
              <w:t xml:space="preserve">veikla Nr. </w:t>
            </w:r>
            <w:r w:rsidR="00C870C6" w:rsidRPr="00C870C6">
              <w:rPr>
                <w:rFonts w:ascii="Times New Roman" w:eastAsia="Calibri" w:hAnsi="Times New Roman" w:cs="Times New Roman"/>
                <w:bCs/>
                <w:iCs/>
                <w:sz w:val="24"/>
                <w:szCs w:val="24"/>
                <w:lang w:eastAsia="zh-CN"/>
              </w:rPr>
              <w:t xml:space="preserve">1.3.1. </w:t>
            </w:r>
            <w:r w:rsidR="00C870C6">
              <w:rPr>
                <w:rFonts w:ascii="Times New Roman" w:eastAsia="Calibri" w:hAnsi="Times New Roman" w:cs="Times New Roman"/>
                <w:bCs/>
                <w:iCs/>
                <w:sz w:val="24"/>
                <w:szCs w:val="24"/>
                <w:lang w:eastAsia="zh-CN"/>
              </w:rPr>
              <w:t>„</w:t>
            </w:r>
            <w:r w:rsidR="00C870C6" w:rsidRPr="00C870C6">
              <w:rPr>
                <w:rFonts w:ascii="Times New Roman" w:eastAsia="Calibri" w:hAnsi="Times New Roman" w:cs="Times New Roman"/>
                <w:bCs/>
                <w:iCs/>
                <w:sz w:val="24"/>
                <w:szCs w:val="24"/>
                <w:lang w:eastAsia="zh-CN"/>
              </w:rPr>
              <w:t>viešojo valdymo institucijų konsultavimosi su visuomene mechanizmo tobulinimas (pasiūlymų dėl teisinio reglamentavimo tobulinimo, taip pat metodinių dokumentų ir kitų metodinės pagalbos priemonių, reikalingų didinti viešojo valdymo institucijų konsultavimosi su visuomene aktyvumą ir veiksmingumą,</w:t>
            </w:r>
            <w:r w:rsidR="00C870C6" w:rsidRPr="00C870C6">
              <w:rPr>
                <w:rFonts w:ascii="Times New Roman" w:eastAsia="Calibri" w:hAnsi="Times New Roman" w:cs="Times New Roman"/>
                <w:bCs/>
                <w:i/>
                <w:iCs/>
                <w:sz w:val="24"/>
                <w:szCs w:val="24"/>
                <w:lang w:eastAsia="zh-CN"/>
              </w:rPr>
              <w:t xml:space="preserve"> </w:t>
            </w:r>
            <w:r w:rsidR="00C870C6">
              <w:rPr>
                <w:rFonts w:ascii="Times New Roman" w:eastAsia="Calibri" w:hAnsi="Times New Roman" w:cs="Times New Roman"/>
                <w:bCs/>
                <w:iCs/>
                <w:sz w:val="24"/>
                <w:szCs w:val="24"/>
                <w:lang w:eastAsia="zh-CN"/>
              </w:rPr>
              <w:t>rengimas)“ yra detalizuojama Aprašo 9.1 papunktyje.</w:t>
            </w:r>
          </w:p>
          <w:p w14:paraId="52EADECF" w14:textId="432303C3" w:rsidR="00F30549" w:rsidRPr="00FC5EF5" w:rsidRDefault="00F30549" w:rsidP="00D31466">
            <w:pPr>
              <w:jc w:val="both"/>
              <w:rPr>
                <w:rFonts w:ascii="Times New Roman" w:hAnsi="Times New Roman" w:cs="Times New Roman"/>
                <w:b/>
                <w:sz w:val="24"/>
                <w:szCs w:val="24"/>
              </w:rPr>
            </w:pPr>
          </w:p>
        </w:tc>
      </w:tr>
      <w:tr w:rsidR="00DE330A" w:rsidRPr="00FC5EF5" w14:paraId="60B6D84D" w14:textId="77777777" w:rsidTr="00E20453">
        <w:tc>
          <w:tcPr>
            <w:tcW w:w="1526" w:type="dxa"/>
          </w:tcPr>
          <w:p w14:paraId="1FD3DD64" w14:textId="77777777" w:rsidR="00DE330A" w:rsidRPr="00FC5EF5" w:rsidRDefault="00DE330A" w:rsidP="004264D6">
            <w:pPr>
              <w:pStyle w:val="Preformatted"/>
              <w:jc w:val="both"/>
              <w:rPr>
                <w:rFonts w:ascii="Times New Roman" w:hAnsi="Times New Roman"/>
                <w:sz w:val="24"/>
                <w:szCs w:val="24"/>
              </w:rPr>
            </w:pPr>
          </w:p>
        </w:tc>
        <w:tc>
          <w:tcPr>
            <w:tcW w:w="6379" w:type="dxa"/>
          </w:tcPr>
          <w:p w14:paraId="1DE11B93" w14:textId="77777777" w:rsidR="005D6AC5" w:rsidRPr="00C870C6" w:rsidRDefault="009D3215" w:rsidP="005D6AC5">
            <w:pPr>
              <w:pStyle w:val="Preformatted"/>
              <w:tabs>
                <w:tab w:val="left" w:pos="1276"/>
              </w:tabs>
              <w:rPr>
                <w:rFonts w:ascii="Times New Roman" w:hAnsi="Times New Roman"/>
                <w:bCs/>
                <w:iCs/>
                <w:sz w:val="24"/>
                <w:szCs w:val="24"/>
              </w:rPr>
            </w:pPr>
            <w:r w:rsidRPr="00C870C6">
              <w:rPr>
                <w:rFonts w:ascii="Times New Roman" w:hAnsi="Times New Roman"/>
                <w:sz w:val="24"/>
                <w:szCs w:val="24"/>
              </w:rPr>
              <w:t>3.</w:t>
            </w:r>
            <w:r w:rsidRPr="00C870C6">
              <w:rPr>
                <w:rFonts w:ascii="Times New Roman" w:hAnsi="Times New Roman"/>
                <w:bCs/>
                <w:iCs/>
                <w:sz w:val="24"/>
                <w:szCs w:val="24"/>
              </w:rPr>
              <w:t xml:space="preserve"> </w:t>
            </w:r>
            <w:r w:rsidR="005D6AC5" w:rsidRPr="00C870C6">
              <w:rPr>
                <w:rFonts w:ascii="Times New Roman" w:hAnsi="Times New Roman"/>
                <w:bCs/>
                <w:iCs/>
                <w:sz w:val="24"/>
                <w:szCs w:val="24"/>
              </w:rPr>
              <w:t xml:space="preserve">Aprašo 9.4 punkte yra numatyta veikla „Viešosios informacijos prieinamumui ir (ar) pakartotiniam panaudojimui didinti reikalingų priemonių kūrimas, tobulinimas, diegimas, vykdymas“. Siūlome pateikti sąvokos „pakartotinis panaudojimas“ išaiškinimą. </w:t>
            </w:r>
          </w:p>
          <w:p w14:paraId="5FEB8C80" w14:textId="77777777" w:rsidR="00DE330A" w:rsidRPr="00C870C6" w:rsidRDefault="00DE330A" w:rsidP="0042373B">
            <w:pPr>
              <w:pStyle w:val="Preformatted"/>
              <w:tabs>
                <w:tab w:val="left" w:pos="1276"/>
              </w:tabs>
              <w:rPr>
                <w:rFonts w:ascii="Times New Roman" w:hAnsi="Times New Roman"/>
                <w:bCs/>
                <w:iCs/>
                <w:sz w:val="24"/>
                <w:szCs w:val="24"/>
              </w:rPr>
            </w:pPr>
          </w:p>
        </w:tc>
        <w:tc>
          <w:tcPr>
            <w:tcW w:w="7087" w:type="dxa"/>
          </w:tcPr>
          <w:p w14:paraId="6A79E9E2" w14:textId="77777777" w:rsidR="00DE330A" w:rsidRPr="00C870C6" w:rsidRDefault="00037344" w:rsidP="00EA4001">
            <w:pPr>
              <w:jc w:val="both"/>
              <w:rPr>
                <w:rFonts w:ascii="Times New Roman" w:hAnsi="Times New Roman" w:cs="Times New Roman"/>
                <w:sz w:val="24"/>
                <w:szCs w:val="24"/>
              </w:rPr>
            </w:pPr>
            <w:r w:rsidRPr="00C870C6">
              <w:rPr>
                <w:rFonts w:ascii="Times New Roman" w:hAnsi="Times New Roman" w:cs="Times New Roman"/>
                <w:sz w:val="24"/>
                <w:szCs w:val="24"/>
              </w:rPr>
              <w:t>Neatsižvelgta.</w:t>
            </w:r>
          </w:p>
          <w:p w14:paraId="6500B97B" w14:textId="025D2614" w:rsidR="0033652E" w:rsidRPr="0033652E" w:rsidRDefault="005D6AC5" w:rsidP="0033652E">
            <w:pPr>
              <w:jc w:val="both"/>
              <w:rPr>
                <w:rFonts w:ascii="Times New Roman" w:hAnsi="Times New Roman" w:cs="Times New Roman"/>
                <w:bCs/>
                <w:iCs/>
                <w:sz w:val="24"/>
                <w:szCs w:val="24"/>
              </w:rPr>
            </w:pPr>
            <w:r w:rsidRPr="00C870C6">
              <w:rPr>
                <w:rFonts w:ascii="Times New Roman" w:hAnsi="Times New Roman" w:cs="Times New Roman"/>
                <w:sz w:val="24"/>
                <w:szCs w:val="24"/>
              </w:rPr>
              <w:t xml:space="preserve">Sąvokos </w:t>
            </w:r>
            <w:r w:rsidRPr="00C870C6">
              <w:rPr>
                <w:rFonts w:ascii="Times New Roman" w:hAnsi="Times New Roman" w:cs="Times New Roman"/>
                <w:bCs/>
                <w:iCs/>
                <w:sz w:val="24"/>
                <w:szCs w:val="24"/>
              </w:rPr>
              <w:t xml:space="preserve">„pakartotinis panaudojimas“ apibrėžimas yra pateiktas Priemonės Nacionalinių stebėsenos rodiklių skaičiavimo apraše ties Priemonės įgyvendinimo stebėsenos produkto </w:t>
            </w:r>
            <w:r w:rsidR="00530324" w:rsidRPr="00C870C6">
              <w:rPr>
                <w:rFonts w:ascii="Times New Roman" w:hAnsi="Times New Roman" w:cs="Times New Roman"/>
                <w:bCs/>
                <w:iCs/>
                <w:sz w:val="24"/>
                <w:szCs w:val="24"/>
              </w:rPr>
              <w:t>rodiklio</w:t>
            </w:r>
            <w:r w:rsidRPr="00C870C6">
              <w:rPr>
                <w:rFonts w:ascii="Times New Roman" w:hAnsi="Times New Roman" w:cs="Times New Roman"/>
                <w:bCs/>
                <w:iCs/>
                <w:sz w:val="24"/>
                <w:szCs w:val="24"/>
              </w:rPr>
              <w:t xml:space="preserve"> „Viešojo valdymo institucijos, įgyvendinusios priemones, skirtas didinti visuomenės dalyvavimą viešajame valdyme ir (ar) viešosios informacijos prieinamumą ar pakartotinį panaudojimą“</w:t>
            </w:r>
            <w:r w:rsidR="00530324" w:rsidRPr="00C870C6">
              <w:rPr>
                <w:rFonts w:ascii="Times New Roman" w:hAnsi="Times New Roman" w:cs="Times New Roman"/>
                <w:bCs/>
                <w:iCs/>
                <w:sz w:val="24"/>
                <w:szCs w:val="24"/>
              </w:rPr>
              <w:t xml:space="preserve"> aprašymu.</w:t>
            </w:r>
            <w:r w:rsidR="00DF2F49" w:rsidRPr="00C870C6">
              <w:rPr>
                <w:rFonts w:ascii="Times New Roman" w:hAnsi="Times New Roman" w:cs="Times New Roman"/>
                <w:bCs/>
                <w:iCs/>
                <w:sz w:val="24"/>
                <w:szCs w:val="24"/>
              </w:rPr>
              <w:t xml:space="preserve"> </w:t>
            </w:r>
            <w:r w:rsidR="00C52668" w:rsidRPr="00D718F5">
              <w:rPr>
                <w:rFonts w:ascii="Times New Roman" w:hAnsi="Times New Roman" w:cs="Times New Roman"/>
                <w:bCs/>
                <w:iCs/>
                <w:sz w:val="24"/>
                <w:szCs w:val="24"/>
              </w:rPr>
              <w:t>Aprašo</w:t>
            </w:r>
            <w:r w:rsidR="00B12A6B" w:rsidRPr="00D718F5">
              <w:rPr>
                <w:rFonts w:ascii="Times New Roman" w:hAnsi="Times New Roman" w:cs="Times New Roman"/>
                <w:bCs/>
                <w:iCs/>
                <w:sz w:val="24"/>
                <w:szCs w:val="24"/>
              </w:rPr>
              <w:t xml:space="preserve"> 2.6 papunktyje </w:t>
            </w:r>
            <w:r w:rsidR="00C52668" w:rsidRPr="00D718F5">
              <w:rPr>
                <w:rFonts w:ascii="Times New Roman" w:hAnsi="Times New Roman" w:cs="Times New Roman"/>
                <w:bCs/>
                <w:iCs/>
                <w:sz w:val="24"/>
                <w:szCs w:val="24"/>
              </w:rPr>
              <w:t xml:space="preserve">yra </w:t>
            </w:r>
            <w:r w:rsidR="00B12A6B" w:rsidRPr="00D718F5">
              <w:rPr>
                <w:rFonts w:ascii="Times New Roman" w:hAnsi="Times New Roman" w:cs="Times New Roman"/>
                <w:bCs/>
                <w:iCs/>
                <w:sz w:val="24"/>
                <w:szCs w:val="24"/>
              </w:rPr>
              <w:t xml:space="preserve">nurodytas </w:t>
            </w:r>
            <w:r w:rsidR="00D16558" w:rsidRPr="00C870C6">
              <w:rPr>
                <w:rFonts w:ascii="Times New Roman" w:hAnsi="Times New Roman" w:cs="Times New Roman"/>
                <w:bCs/>
                <w:iCs/>
                <w:sz w:val="24"/>
                <w:szCs w:val="24"/>
              </w:rPr>
              <w:t xml:space="preserve">Lietuvos Respublikos vidaus reikalų ministerijos 2014–2020 metų Europos Sąjungos struktūrinių </w:t>
            </w:r>
            <w:r w:rsidR="00D16558" w:rsidRPr="00C870C6">
              <w:rPr>
                <w:rFonts w:ascii="Times New Roman" w:hAnsi="Times New Roman" w:cs="Times New Roman"/>
                <w:bCs/>
                <w:iCs/>
                <w:sz w:val="24"/>
                <w:szCs w:val="24"/>
              </w:rPr>
              <w:lastRenderedPageBreak/>
              <w:t>fondų investicijų veiksmų programos prioriteto įgyvendin</w:t>
            </w:r>
            <w:r w:rsidR="0033652E" w:rsidRPr="00C870C6">
              <w:rPr>
                <w:rFonts w:ascii="Times New Roman" w:hAnsi="Times New Roman" w:cs="Times New Roman"/>
                <w:bCs/>
                <w:iCs/>
                <w:sz w:val="24"/>
                <w:szCs w:val="24"/>
              </w:rPr>
              <w:t>imo priemonių įgyvendinimo planas, patvirtintas</w:t>
            </w:r>
            <w:r w:rsidR="00D16558" w:rsidRPr="00C870C6">
              <w:rPr>
                <w:rFonts w:ascii="Times New Roman" w:hAnsi="Times New Roman" w:cs="Times New Roman"/>
                <w:bCs/>
                <w:iCs/>
                <w:sz w:val="24"/>
                <w:szCs w:val="24"/>
              </w:rPr>
              <w:t xml:space="preserve">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33652E" w:rsidRPr="00C870C6">
              <w:rPr>
                <w:rFonts w:ascii="Times New Roman" w:hAnsi="Times New Roman" w:cs="Times New Roman"/>
                <w:bCs/>
                <w:iCs/>
                <w:sz w:val="24"/>
                <w:szCs w:val="24"/>
              </w:rPr>
              <w:t>. Aprašo 3 punkte nurodoma, kad   Apraše vartojamos sąvokos suprantamos taip, kaip jos apibrėžtos Aprašo 2 pu</w:t>
            </w:r>
            <w:r w:rsidR="00B12A6B" w:rsidRPr="00D718F5">
              <w:rPr>
                <w:rFonts w:ascii="Times New Roman" w:hAnsi="Times New Roman" w:cs="Times New Roman"/>
                <w:bCs/>
                <w:iCs/>
                <w:sz w:val="24"/>
                <w:szCs w:val="24"/>
              </w:rPr>
              <w:t>nkte nurodytuose teisės aktuose bei</w:t>
            </w:r>
            <w:r w:rsidR="0033652E" w:rsidRPr="00C870C6">
              <w:rPr>
                <w:rFonts w:ascii="Times New Roman" w:hAnsi="Times New Roman" w:cs="Times New Roman"/>
                <w:bCs/>
                <w:iCs/>
                <w:sz w:val="24"/>
                <w:szCs w:val="24"/>
              </w:rPr>
              <w:t xml:space="preserve"> Lietuvos Respublikos valstybės informacinių išteklių įstatyme, Atsakomybės ir funkcijų paskirstymo tarp institucijų, įgyvendinant 2014–2020 metų Europos Sąjungos struktūrinių fondų veiksmų programą, taisyklėse</w:t>
            </w:r>
            <w:r w:rsidR="00B12A6B" w:rsidRPr="00D718F5">
              <w:rPr>
                <w:rFonts w:ascii="Times New Roman" w:hAnsi="Times New Roman" w:cs="Times New Roman"/>
                <w:bCs/>
                <w:iCs/>
                <w:sz w:val="24"/>
                <w:szCs w:val="24"/>
              </w:rPr>
              <w:t>.</w:t>
            </w:r>
          </w:p>
          <w:p w14:paraId="5D60AC17" w14:textId="77777777" w:rsidR="00037344" w:rsidRPr="00FC5EF5" w:rsidRDefault="00037344" w:rsidP="00EA4001">
            <w:pPr>
              <w:jc w:val="both"/>
              <w:rPr>
                <w:rFonts w:ascii="Times New Roman" w:hAnsi="Times New Roman" w:cs="Times New Roman"/>
                <w:sz w:val="24"/>
                <w:szCs w:val="24"/>
              </w:rPr>
            </w:pPr>
          </w:p>
        </w:tc>
      </w:tr>
      <w:tr w:rsidR="00DE330A" w:rsidRPr="00FC5EF5" w14:paraId="55E04D7A" w14:textId="77777777" w:rsidTr="00E20453">
        <w:tc>
          <w:tcPr>
            <w:tcW w:w="1526" w:type="dxa"/>
          </w:tcPr>
          <w:p w14:paraId="6194FC07" w14:textId="77777777" w:rsidR="00DE330A" w:rsidRPr="00FC5EF5" w:rsidRDefault="00DE330A" w:rsidP="004264D6">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2B9594A0" w14:textId="77777777" w:rsidR="00DF2F49" w:rsidRPr="00FC5EF5" w:rsidRDefault="009D3215" w:rsidP="00DF2F49">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4. </w:t>
            </w:r>
            <w:r w:rsidR="00DF2F49" w:rsidRPr="00FC5EF5">
              <w:rPr>
                <w:rFonts w:ascii="Times New Roman" w:hAnsi="Times New Roman"/>
                <w:sz w:val="24"/>
                <w:szCs w:val="24"/>
              </w:rPr>
              <w:t xml:space="preserve">Atkreipiame dėmesį, kad Aprašo 10.6 punkte yra nurodytos nefinansuojamos veiklos, kurios nėra numatytos PIP. </w:t>
            </w:r>
          </w:p>
          <w:p w14:paraId="2473902C" w14:textId="77777777" w:rsidR="0042373B" w:rsidRPr="00FC5EF5" w:rsidRDefault="0042373B" w:rsidP="0042373B">
            <w:pPr>
              <w:pStyle w:val="Preformatted"/>
              <w:tabs>
                <w:tab w:val="left" w:pos="1276"/>
              </w:tabs>
              <w:rPr>
                <w:rFonts w:ascii="Times New Roman" w:hAnsi="Times New Roman"/>
                <w:sz w:val="24"/>
                <w:szCs w:val="24"/>
              </w:rPr>
            </w:pPr>
          </w:p>
        </w:tc>
        <w:tc>
          <w:tcPr>
            <w:tcW w:w="7087" w:type="dxa"/>
          </w:tcPr>
          <w:p w14:paraId="006EBDDB" w14:textId="4A8A9053" w:rsidR="00D84D2A" w:rsidRPr="00FC5EF5" w:rsidRDefault="00D84D2A" w:rsidP="00D84D2A">
            <w:pPr>
              <w:jc w:val="both"/>
              <w:rPr>
                <w:rFonts w:ascii="Times New Roman" w:hAnsi="Times New Roman" w:cs="Times New Roman"/>
                <w:sz w:val="24"/>
                <w:szCs w:val="24"/>
              </w:rPr>
            </w:pPr>
            <w:r w:rsidRPr="00FC5EF5">
              <w:rPr>
                <w:rFonts w:ascii="Times New Roman" w:hAnsi="Times New Roman" w:cs="Times New Roman"/>
                <w:sz w:val="24"/>
                <w:szCs w:val="24"/>
              </w:rPr>
              <w:t>Priem</w:t>
            </w:r>
            <w:r w:rsidR="00F30549">
              <w:rPr>
                <w:rFonts w:ascii="Times New Roman" w:hAnsi="Times New Roman" w:cs="Times New Roman"/>
                <w:sz w:val="24"/>
                <w:szCs w:val="24"/>
              </w:rPr>
              <w:t>o</w:t>
            </w:r>
            <w:r w:rsidRPr="00FC5EF5">
              <w:rPr>
                <w:rFonts w:ascii="Times New Roman" w:hAnsi="Times New Roman" w:cs="Times New Roman"/>
                <w:sz w:val="24"/>
                <w:szCs w:val="24"/>
              </w:rPr>
              <w:t xml:space="preserve">nės PIP 5 dalyje yra nurodomi </w:t>
            </w:r>
            <w:r w:rsidRPr="00FC5EF5">
              <w:rPr>
                <w:rFonts w:ascii="Times New Roman" w:hAnsi="Times New Roman" w:cs="Times New Roman"/>
                <w:i/>
                <w:sz w:val="24"/>
                <w:szCs w:val="24"/>
              </w:rPr>
              <w:t>reikalavimai, taikomi priemonei atskirti</w:t>
            </w:r>
            <w:r w:rsidRPr="00FC5EF5">
              <w:rPr>
                <w:rFonts w:ascii="Times New Roman" w:hAnsi="Times New Roman" w:cs="Times New Roman"/>
                <w:sz w:val="24"/>
                <w:szCs w:val="24"/>
              </w:rPr>
              <w:t xml:space="preserve"> nuo kitų iš ES bei kitos tarptautinės finansinės paramos finansuojamų programų priemonių.</w:t>
            </w:r>
          </w:p>
          <w:p w14:paraId="3376342E" w14:textId="3583D1C9" w:rsidR="00075114" w:rsidRPr="00FC5EF5" w:rsidRDefault="00D84D2A" w:rsidP="00075114">
            <w:pPr>
              <w:jc w:val="both"/>
              <w:rPr>
                <w:rFonts w:ascii="Times New Roman" w:hAnsi="Times New Roman" w:cs="Times New Roman"/>
                <w:sz w:val="24"/>
                <w:szCs w:val="24"/>
              </w:rPr>
            </w:pPr>
            <w:r w:rsidRPr="00FC5EF5">
              <w:rPr>
                <w:rFonts w:ascii="Times New Roman" w:hAnsi="Times New Roman" w:cs="Times New Roman"/>
                <w:sz w:val="24"/>
                <w:szCs w:val="24"/>
              </w:rPr>
              <w:t xml:space="preserve">Aprašo 10.6 papunktyje </w:t>
            </w:r>
            <w:r w:rsidR="00F30549">
              <w:rPr>
                <w:rFonts w:ascii="Times New Roman" w:hAnsi="Times New Roman" w:cs="Times New Roman"/>
                <w:sz w:val="24"/>
                <w:szCs w:val="24"/>
              </w:rPr>
              <w:t xml:space="preserve">nustatomi papildomi reikalavimai projektams, </w:t>
            </w:r>
            <w:r w:rsidRPr="00FC5EF5">
              <w:rPr>
                <w:rFonts w:ascii="Times New Roman" w:hAnsi="Times New Roman" w:cs="Times New Roman"/>
                <w:sz w:val="24"/>
                <w:szCs w:val="24"/>
              </w:rPr>
              <w:t>nurod</w:t>
            </w:r>
            <w:r w:rsidR="00F30549">
              <w:rPr>
                <w:rFonts w:ascii="Times New Roman" w:hAnsi="Times New Roman" w:cs="Times New Roman"/>
                <w:sz w:val="24"/>
                <w:szCs w:val="24"/>
              </w:rPr>
              <w:t>ant</w:t>
            </w:r>
            <w:r w:rsidRPr="00FC5EF5">
              <w:rPr>
                <w:rFonts w:ascii="Times New Roman" w:hAnsi="Times New Roman" w:cs="Times New Roman"/>
                <w:sz w:val="24"/>
                <w:szCs w:val="24"/>
              </w:rPr>
              <w:t xml:space="preserve"> projekt</w:t>
            </w:r>
            <w:r w:rsidR="00F30549">
              <w:rPr>
                <w:rFonts w:ascii="Times New Roman" w:hAnsi="Times New Roman" w:cs="Times New Roman"/>
                <w:sz w:val="24"/>
                <w:szCs w:val="24"/>
              </w:rPr>
              <w:t>us</w:t>
            </w:r>
            <w:r w:rsidRPr="00FC5EF5">
              <w:rPr>
                <w:rFonts w:ascii="Times New Roman" w:hAnsi="Times New Roman" w:cs="Times New Roman"/>
                <w:sz w:val="24"/>
                <w:szCs w:val="24"/>
              </w:rPr>
              <w:t>, kurie pagal Priemonę nefinansuojami.</w:t>
            </w:r>
            <w:r w:rsidR="00F30549">
              <w:rPr>
                <w:rFonts w:ascii="Times New Roman" w:hAnsi="Times New Roman" w:cs="Times New Roman"/>
                <w:sz w:val="24"/>
                <w:szCs w:val="24"/>
              </w:rPr>
              <w:t xml:space="preserve"> Šie reikalavimai nėra skirti </w:t>
            </w:r>
            <w:r w:rsidR="00F30549">
              <w:rPr>
                <w:rFonts w:ascii="Times New Roman" w:hAnsi="Times New Roman" w:cs="Times New Roman"/>
                <w:i/>
                <w:sz w:val="24"/>
                <w:szCs w:val="24"/>
              </w:rPr>
              <w:t>priemonės atsky</w:t>
            </w:r>
            <w:r w:rsidR="00E97E8A">
              <w:rPr>
                <w:rFonts w:ascii="Times New Roman" w:hAnsi="Times New Roman" w:cs="Times New Roman"/>
                <w:i/>
                <w:sz w:val="24"/>
                <w:szCs w:val="24"/>
              </w:rPr>
              <w:t>ri</w:t>
            </w:r>
            <w:r w:rsidR="00F30549">
              <w:rPr>
                <w:rFonts w:ascii="Times New Roman" w:hAnsi="Times New Roman" w:cs="Times New Roman"/>
                <w:i/>
                <w:sz w:val="24"/>
                <w:szCs w:val="24"/>
              </w:rPr>
              <w:t>mui</w:t>
            </w:r>
            <w:r w:rsidR="00F30549" w:rsidRPr="00FC5EF5">
              <w:rPr>
                <w:rFonts w:ascii="Times New Roman" w:hAnsi="Times New Roman" w:cs="Times New Roman"/>
                <w:sz w:val="24"/>
                <w:szCs w:val="24"/>
              </w:rPr>
              <w:t xml:space="preserve"> nuo kitų iš ES bei kitos tarptautinės finansinės paramos finansuojamų programų priemonių</w:t>
            </w:r>
            <w:r w:rsidR="00E97E8A">
              <w:rPr>
                <w:rFonts w:ascii="Times New Roman" w:hAnsi="Times New Roman" w:cs="Times New Roman"/>
                <w:sz w:val="24"/>
                <w:szCs w:val="24"/>
              </w:rPr>
              <w:t>.</w:t>
            </w:r>
          </w:p>
          <w:p w14:paraId="58BC9656" w14:textId="77777777" w:rsidR="00DE330A" w:rsidRPr="00FC5EF5" w:rsidRDefault="00DE330A" w:rsidP="00E20453">
            <w:pPr>
              <w:jc w:val="both"/>
              <w:rPr>
                <w:rFonts w:ascii="Times New Roman" w:hAnsi="Times New Roman" w:cs="Times New Roman"/>
                <w:sz w:val="24"/>
                <w:szCs w:val="24"/>
              </w:rPr>
            </w:pPr>
          </w:p>
        </w:tc>
      </w:tr>
      <w:tr w:rsidR="00DE330A" w:rsidRPr="00FC5EF5" w14:paraId="77FDA8A9" w14:textId="77777777" w:rsidTr="00E20453">
        <w:tc>
          <w:tcPr>
            <w:tcW w:w="1526" w:type="dxa"/>
          </w:tcPr>
          <w:p w14:paraId="19091697" w14:textId="77777777" w:rsidR="00DE330A" w:rsidRPr="00FC5EF5"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0CB46D75" w14:textId="77777777" w:rsidR="00DE330A" w:rsidRPr="00FC5EF5" w:rsidRDefault="009D3215" w:rsidP="0042373B">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5. </w:t>
            </w:r>
            <w:r w:rsidR="00EC30CE" w:rsidRPr="00FC5EF5">
              <w:rPr>
                <w:rFonts w:ascii="Times New Roman" w:hAnsi="Times New Roman"/>
                <w:sz w:val="24"/>
                <w:szCs w:val="24"/>
              </w:rPr>
              <w:t>Aprašo 22, 23.1 ir 24 punktuose patikslinti nurodytus rodiklių kodus.</w:t>
            </w:r>
          </w:p>
        </w:tc>
        <w:tc>
          <w:tcPr>
            <w:tcW w:w="7087" w:type="dxa"/>
          </w:tcPr>
          <w:p w14:paraId="00D7E9BD" w14:textId="77777777" w:rsidR="002A280F" w:rsidRPr="00FC5EF5" w:rsidRDefault="002A280F" w:rsidP="002A280F">
            <w:pPr>
              <w:jc w:val="both"/>
              <w:rPr>
                <w:rFonts w:ascii="Times New Roman" w:hAnsi="Times New Roman" w:cs="Times New Roman"/>
                <w:b/>
                <w:sz w:val="24"/>
                <w:szCs w:val="24"/>
              </w:rPr>
            </w:pPr>
            <w:r w:rsidRPr="00FC5EF5">
              <w:rPr>
                <w:rFonts w:ascii="Times New Roman" w:hAnsi="Times New Roman" w:cs="Times New Roman"/>
                <w:b/>
                <w:sz w:val="24"/>
                <w:szCs w:val="24"/>
              </w:rPr>
              <w:t>Atsižvelgta.</w:t>
            </w:r>
          </w:p>
          <w:p w14:paraId="762EAF07" w14:textId="77777777" w:rsidR="00DE330A" w:rsidRPr="00FC5EF5" w:rsidRDefault="00DE330A" w:rsidP="00746C01">
            <w:pPr>
              <w:jc w:val="both"/>
              <w:rPr>
                <w:rFonts w:ascii="Times New Roman" w:hAnsi="Times New Roman" w:cs="Times New Roman"/>
                <w:sz w:val="24"/>
                <w:szCs w:val="24"/>
              </w:rPr>
            </w:pPr>
          </w:p>
        </w:tc>
      </w:tr>
      <w:tr w:rsidR="00DE330A" w:rsidRPr="00FC5EF5" w14:paraId="6EE7D576" w14:textId="77777777" w:rsidTr="00E20453">
        <w:tc>
          <w:tcPr>
            <w:tcW w:w="1526" w:type="dxa"/>
          </w:tcPr>
          <w:p w14:paraId="593C5035" w14:textId="77777777" w:rsidR="00DE330A" w:rsidRPr="00FC5EF5"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79DDE1FC" w14:textId="77777777" w:rsidR="00DE330A" w:rsidRPr="00FC5EF5" w:rsidRDefault="009D3215" w:rsidP="00EC30CE">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6. </w:t>
            </w:r>
            <w:r w:rsidR="00EC30CE" w:rsidRPr="00FC5EF5">
              <w:rPr>
                <w:rFonts w:ascii="Times New Roman" w:hAnsi="Times New Roman"/>
                <w:sz w:val="24"/>
                <w:szCs w:val="24"/>
              </w:rPr>
              <w:t xml:space="preserve">Siūlome patikslinti Aprašo 23.2 punktą nurodant, kad tuo atveju, jei vykdoma Aprašo 9.5 veikla, projektas privalo, o ne gali siekti numatyto rodiklio. </w:t>
            </w:r>
          </w:p>
        </w:tc>
        <w:tc>
          <w:tcPr>
            <w:tcW w:w="7087" w:type="dxa"/>
          </w:tcPr>
          <w:p w14:paraId="50336D7E" w14:textId="28AECB1A" w:rsidR="00DB296D" w:rsidRPr="00FC5EF5" w:rsidRDefault="00DB296D" w:rsidP="001B01CD">
            <w:pPr>
              <w:jc w:val="both"/>
              <w:rPr>
                <w:rFonts w:ascii="Times New Roman" w:hAnsi="Times New Roman" w:cs="Times New Roman"/>
                <w:b/>
                <w:sz w:val="24"/>
                <w:szCs w:val="24"/>
              </w:rPr>
            </w:pPr>
            <w:r w:rsidRPr="00FC5EF5">
              <w:rPr>
                <w:rFonts w:ascii="Times New Roman" w:hAnsi="Times New Roman" w:cs="Times New Roman"/>
                <w:b/>
                <w:sz w:val="24"/>
                <w:szCs w:val="24"/>
              </w:rPr>
              <w:t>Atsižvelgta.</w:t>
            </w:r>
            <w:r w:rsidR="00EC30CE" w:rsidRPr="00FC5EF5">
              <w:rPr>
                <w:rFonts w:ascii="Times New Roman" w:hAnsi="Times New Roman" w:cs="Times New Roman"/>
                <w:b/>
                <w:sz w:val="24"/>
                <w:szCs w:val="24"/>
              </w:rPr>
              <w:t xml:space="preserve"> </w:t>
            </w:r>
            <w:r w:rsidR="00EC30CE" w:rsidRPr="00071BB5">
              <w:rPr>
                <w:rFonts w:ascii="Times New Roman" w:hAnsi="Times New Roman" w:cs="Times New Roman"/>
                <w:sz w:val="24"/>
                <w:szCs w:val="24"/>
              </w:rPr>
              <w:t xml:space="preserve">Aprašo </w:t>
            </w:r>
            <w:r w:rsidR="00530324" w:rsidRPr="00071BB5">
              <w:rPr>
                <w:rFonts w:ascii="Times New Roman" w:hAnsi="Times New Roman" w:cs="Times New Roman"/>
                <w:sz w:val="24"/>
                <w:szCs w:val="24"/>
              </w:rPr>
              <w:t>23.2 papunkt</w:t>
            </w:r>
            <w:r w:rsidR="00071BB5" w:rsidRPr="00D718F5">
              <w:rPr>
                <w:rFonts w:ascii="Times New Roman" w:hAnsi="Times New Roman" w:cs="Times New Roman"/>
                <w:sz w:val="24"/>
                <w:szCs w:val="24"/>
              </w:rPr>
              <w:t>is</w:t>
            </w:r>
            <w:r w:rsidR="00EC30CE" w:rsidRPr="00071BB5">
              <w:rPr>
                <w:rFonts w:ascii="Times New Roman" w:hAnsi="Times New Roman" w:cs="Times New Roman"/>
                <w:sz w:val="24"/>
                <w:szCs w:val="24"/>
              </w:rPr>
              <w:t xml:space="preserve"> </w:t>
            </w:r>
            <w:r w:rsidR="00071BB5" w:rsidRPr="00071BB5">
              <w:rPr>
                <w:rFonts w:ascii="Times New Roman" w:hAnsi="Times New Roman" w:cs="Times New Roman"/>
                <w:sz w:val="24"/>
                <w:szCs w:val="24"/>
              </w:rPr>
              <w:t>pakoreguotas.</w:t>
            </w:r>
          </w:p>
          <w:p w14:paraId="5FFC58CF" w14:textId="77777777" w:rsidR="00DE330A" w:rsidRPr="00FC5EF5" w:rsidRDefault="00DE330A" w:rsidP="00E20453">
            <w:pPr>
              <w:jc w:val="both"/>
              <w:rPr>
                <w:rFonts w:ascii="Times New Roman" w:hAnsi="Times New Roman" w:cs="Times New Roman"/>
                <w:sz w:val="24"/>
                <w:szCs w:val="24"/>
              </w:rPr>
            </w:pPr>
          </w:p>
        </w:tc>
      </w:tr>
      <w:tr w:rsidR="00DE330A" w:rsidRPr="00FC5EF5" w14:paraId="119E346F" w14:textId="77777777" w:rsidTr="00E20453">
        <w:tc>
          <w:tcPr>
            <w:tcW w:w="1526" w:type="dxa"/>
          </w:tcPr>
          <w:p w14:paraId="4EF50F05" w14:textId="77777777" w:rsidR="00DE330A" w:rsidRPr="00FC5EF5" w:rsidRDefault="00DE330A" w:rsidP="009124DE">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2A4E1619" w14:textId="77777777" w:rsidR="00DE330A" w:rsidRPr="00FC5EF5" w:rsidRDefault="00C706EE" w:rsidP="00DD37C4">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7. </w:t>
            </w:r>
            <w:r w:rsidR="00DD37C4" w:rsidRPr="00FC5EF5">
              <w:rPr>
                <w:rFonts w:ascii="Times New Roman" w:hAnsi="Times New Roman"/>
                <w:sz w:val="24"/>
                <w:szCs w:val="24"/>
              </w:rPr>
              <w:t xml:space="preserve">Aprašo 38.1.2 punkte yra numatytos nuomos išlaidos, kurios vadovaujantis Rekomendacijų dėl projektų išlaidų atitikties Europos Sąjungos struktūrinių fondų reikalavimais, galimos tik 5 biudžeto kategorijoje „Projekto vykdymas“. </w:t>
            </w:r>
          </w:p>
        </w:tc>
        <w:tc>
          <w:tcPr>
            <w:tcW w:w="7087" w:type="dxa"/>
          </w:tcPr>
          <w:p w14:paraId="10B28A69" w14:textId="77777777" w:rsidR="002F470E" w:rsidRPr="00FC5EF5" w:rsidRDefault="002F470E" w:rsidP="002F470E">
            <w:pPr>
              <w:jc w:val="both"/>
              <w:rPr>
                <w:rFonts w:ascii="Times New Roman" w:hAnsi="Times New Roman" w:cs="Times New Roman"/>
                <w:sz w:val="24"/>
                <w:szCs w:val="24"/>
              </w:rPr>
            </w:pPr>
            <w:r w:rsidRPr="00FC5EF5">
              <w:rPr>
                <w:rFonts w:ascii="Times New Roman" w:hAnsi="Times New Roman" w:cs="Times New Roman"/>
                <w:b/>
                <w:sz w:val="24"/>
                <w:szCs w:val="24"/>
              </w:rPr>
              <w:t>Atsižvelgta.</w:t>
            </w:r>
            <w:r w:rsidR="00DD37C4" w:rsidRPr="00FC5EF5">
              <w:rPr>
                <w:rFonts w:ascii="Times New Roman" w:hAnsi="Times New Roman"/>
                <w:sz w:val="24"/>
                <w:szCs w:val="24"/>
              </w:rPr>
              <w:t xml:space="preserve"> </w:t>
            </w:r>
            <w:r w:rsidR="00DD37C4" w:rsidRPr="00FC5EF5">
              <w:rPr>
                <w:rFonts w:ascii="Times New Roman" w:hAnsi="Times New Roman" w:cs="Times New Roman"/>
                <w:sz w:val="24"/>
                <w:szCs w:val="24"/>
              </w:rPr>
              <w:t xml:space="preserve">Aprašo 38.1.2 papunktyje nurodytos nuomos išlaidos yra </w:t>
            </w:r>
            <w:r w:rsidR="001C595B" w:rsidRPr="00FC5EF5">
              <w:rPr>
                <w:rFonts w:ascii="Times New Roman" w:hAnsi="Times New Roman" w:cs="Times New Roman"/>
                <w:sz w:val="24"/>
                <w:szCs w:val="24"/>
              </w:rPr>
              <w:t xml:space="preserve">išskirtos Aprašo 38.2.8 </w:t>
            </w:r>
            <w:r w:rsidR="005424D3" w:rsidRPr="00FC5EF5">
              <w:rPr>
                <w:rFonts w:ascii="Times New Roman" w:hAnsi="Times New Roman" w:cs="Times New Roman"/>
                <w:sz w:val="24"/>
                <w:szCs w:val="24"/>
              </w:rPr>
              <w:t>papu</w:t>
            </w:r>
            <w:r w:rsidR="001C595B" w:rsidRPr="00FC5EF5">
              <w:rPr>
                <w:rFonts w:ascii="Times New Roman" w:hAnsi="Times New Roman" w:cs="Times New Roman"/>
                <w:sz w:val="24"/>
                <w:szCs w:val="24"/>
              </w:rPr>
              <w:t>nktyje.</w:t>
            </w:r>
          </w:p>
          <w:p w14:paraId="2C74A301" w14:textId="77777777" w:rsidR="00DE330A" w:rsidRPr="00FC5EF5" w:rsidRDefault="00DE330A" w:rsidP="006A7434">
            <w:pPr>
              <w:jc w:val="both"/>
              <w:rPr>
                <w:rFonts w:ascii="Times New Roman" w:hAnsi="Times New Roman" w:cs="Times New Roman"/>
                <w:sz w:val="24"/>
                <w:szCs w:val="24"/>
              </w:rPr>
            </w:pPr>
          </w:p>
        </w:tc>
      </w:tr>
      <w:tr w:rsidR="00C706EE" w:rsidRPr="00FC5EF5" w14:paraId="15F62B80" w14:textId="77777777" w:rsidTr="00E20453">
        <w:tc>
          <w:tcPr>
            <w:tcW w:w="1526" w:type="dxa"/>
          </w:tcPr>
          <w:p w14:paraId="7D4E3C58" w14:textId="77777777" w:rsidR="00C706EE" w:rsidRPr="00FC5EF5" w:rsidRDefault="00C706EE" w:rsidP="009124DE">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3D6DFABF" w14:textId="77777777" w:rsidR="00C706EE" w:rsidRPr="00FC5EF5" w:rsidRDefault="00C706EE" w:rsidP="0042373B">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8. </w:t>
            </w:r>
            <w:r w:rsidR="005424D3" w:rsidRPr="00FC5EF5">
              <w:rPr>
                <w:rFonts w:ascii="Times New Roman" w:hAnsi="Times New Roman"/>
                <w:sz w:val="24"/>
                <w:szCs w:val="24"/>
              </w:rPr>
              <w:t>Vadovaujantis patvirtintos pavyzdinės projektų finansavimo sąlygų aprašo formos 59 punktu, siūlome patikslinti Aprašo 49 punktą.</w:t>
            </w:r>
          </w:p>
        </w:tc>
        <w:tc>
          <w:tcPr>
            <w:tcW w:w="7087" w:type="dxa"/>
          </w:tcPr>
          <w:p w14:paraId="3F39581D" w14:textId="77777777" w:rsidR="00C706EE" w:rsidRPr="00FC5EF5" w:rsidRDefault="006C02FD" w:rsidP="005424D3">
            <w:pPr>
              <w:jc w:val="both"/>
              <w:rPr>
                <w:rFonts w:ascii="Times New Roman" w:hAnsi="Times New Roman" w:cs="Times New Roman"/>
                <w:sz w:val="24"/>
                <w:szCs w:val="24"/>
              </w:rPr>
            </w:pPr>
            <w:r w:rsidRPr="00FC5EF5">
              <w:rPr>
                <w:rFonts w:ascii="Times New Roman" w:hAnsi="Times New Roman" w:cs="Times New Roman"/>
                <w:b/>
                <w:sz w:val="24"/>
                <w:szCs w:val="24"/>
              </w:rPr>
              <w:t>Atsižvelgta.</w:t>
            </w:r>
            <w:r w:rsidR="005424D3" w:rsidRPr="00FC5EF5">
              <w:rPr>
                <w:rFonts w:ascii="Times New Roman" w:hAnsi="Times New Roman" w:cs="Times New Roman"/>
                <w:b/>
                <w:sz w:val="24"/>
                <w:szCs w:val="24"/>
              </w:rPr>
              <w:t xml:space="preserve"> </w:t>
            </w:r>
            <w:r w:rsidR="005424D3" w:rsidRPr="00FC5EF5">
              <w:rPr>
                <w:rFonts w:ascii="Times New Roman" w:hAnsi="Times New Roman" w:cs="Times New Roman"/>
                <w:sz w:val="24"/>
                <w:szCs w:val="24"/>
              </w:rPr>
              <w:t>Aprašo 49.3 papunktis papildytas nuoroda.</w:t>
            </w:r>
          </w:p>
        </w:tc>
      </w:tr>
      <w:tr w:rsidR="00C706EE" w:rsidRPr="00FC5EF5" w14:paraId="649D9B79" w14:textId="77777777" w:rsidTr="00E20453">
        <w:tc>
          <w:tcPr>
            <w:tcW w:w="1526" w:type="dxa"/>
          </w:tcPr>
          <w:p w14:paraId="1FEF949C" w14:textId="77777777" w:rsidR="00C706EE" w:rsidRPr="00FC5EF5" w:rsidRDefault="00C706EE" w:rsidP="009124DE">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4524E69C" w14:textId="77777777" w:rsidR="00C706EE" w:rsidRPr="00FC5EF5" w:rsidRDefault="00C706EE" w:rsidP="0042373B">
            <w:pPr>
              <w:pStyle w:val="Preformatted"/>
              <w:tabs>
                <w:tab w:val="left" w:pos="1276"/>
              </w:tabs>
              <w:rPr>
                <w:rFonts w:ascii="Times New Roman" w:hAnsi="Times New Roman"/>
                <w:sz w:val="24"/>
                <w:szCs w:val="24"/>
              </w:rPr>
            </w:pPr>
            <w:r w:rsidRPr="00FC5EF5">
              <w:rPr>
                <w:rFonts w:ascii="Times New Roman" w:hAnsi="Times New Roman"/>
                <w:sz w:val="24"/>
                <w:szCs w:val="24"/>
              </w:rPr>
              <w:t xml:space="preserve">9. </w:t>
            </w:r>
            <w:r w:rsidR="005424D3" w:rsidRPr="00FC5EF5">
              <w:rPr>
                <w:rFonts w:ascii="Times New Roman" w:hAnsi="Times New Roman"/>
                <w:sz w:val="24"/>
                <w:szCs w:val="24"/>
              </w:rPr>
              <w:t xml:space="preserve">Aprašo 49.1 punkte yra numatyta, kad tuo atveju, jeigu </w:t>
            </w:r>
            <w:r w:rsidR="005424D3" w:rsidRPr="00FC5EF5">
              <w:rPr>
                <w:rFonts w:ascii="Times New Roman" w:hAnsi="Times New Roman"/>
                <w:sz w:val="24"/>
                <w:szCs w:val="24"/>
              </w:rPr>
              <w:lastRenderedPageBreak/>
              <w:t xml:space="preserve">projektą numatyta įgyvendinti kartu su partneriu – nevyriausybine organizacija, partnerio deklaracija turi būti papildyta atitinkamu punktu. Siūlome taikyti vienodą praktiką ir numatyti papildomą priedą, kaip yra numatyta derinamame priemonės 10.1.3-ESFA-V-918 Apraše. </w:t>
            </w:r>
          </w:p>
        </w:tc>
        <w:tc>
          <w:tcPr>
            <w:tcW w:w="7087" w:type="dxa"/>
          </w:tcPr>
          <w:p w14:paraId="33AFC285" w14:textId="77777777" w:rsidR="006C02FD" w:rsidRPr="00FC5EF5" w:rsidRDefault="006C02FD" w:rsidP="006C02FD">
            <w:pPr>
              <w:jc w:val="both"/>
              <w:rPr>
                <w:rFonts w:ascii="Times New Roman" w:hAnsi="Times New Roman" w:cs="Times New Roman"/>
                <w:sz w:val="24"/>
                <w:szCs w:val="24"/>
              </w:rPr>
            </w:pPr>
            <w:r w:rsidRPr="00FC5EF5">
              <w:rPr>
                <w:rFonts w:ascii="Times New Roman" w:hAnsi="Times New Roman" w:cs="Times New Roman"/>
                <w:b/>
                <w:sz w:val="24"/>
                <w:szCs w:val="24"/>
              </w:rPr>
              <w:lastRenderedPageBreak/>
              <w:t>Atsižvelgta.</w:t>
            </w:r>
            <w:r w:rsidR="005424D3" w:rsidRPr="00FC5EF5">
              <w:rPr>
                <w:rFonts w:ascii="Times New Roman" w:hAnsi="Times New Roman" w:cs="Times New Roman"/>
                <w:b/>
                <w:sz w:val="24"/>
                <w:szCs w:val="24"/>
              </w:rPr>
              <w:t xml:space="preserve"> </w:t>
            </w:r>
            <w:r w:rsidR="005424D3" w:rsidRPr="00FC5EF5">
              <w:rPr>
                <w:rFonts w:ascii="Times New Roman" w:hAnsi="Times New Roman" w:cs="Times New Roman"/>
                <w:sz w:val="24"/>
                <w:szCs w:val="24"/>
              </w:rPr>
              <w:t xml:space="preserve">Aprašo 49.2 papunktyje yra nurodytas Aprašo 2 priedas </w:t>
            </w:r>
            <w:r w:rsidR="005424D3" w:rsidRPr="00FC5EF5">
              <w:rPr>
                <w:rFonts w:ascii="Times New Roman" w:hAnsi="Times New Roman" w:cs="Times New Roman"/>
                <w:sz w:val="24"/>
                <w:szCs w:val="24"/>
              </w:rPr>
              <w:lastRenderedPageBreak/>
              <w:t>„Partnerio – nevyriausybinės  organizacijos deklaracija“.</w:t>
            </w:r>
          </w:p>
          <w:p w14:paraId="78C6259B" w14:textId="77777777" w:rsidR="00C706EE" w:rsidRPr="00FC5EF5" w:rsidRDefault="00C706EE" w:rsidP="00454456">
            <w:pPr>
              <w:jc w:val="both"/>
              <w:rPr>
                <w:rFonts w:ascii="Times New Roman" w:hAnsi="Times New Roman" w:cs="Times New Roman"/>
                <w:sz w:val="24"/>
                <w:szCs w:val="24"/>
              </w:rPr>
            </w:pPr>
          </w:p>
        </w:tc>
      </w:tr>
      <w:tr w:rsidR="00C706EE" w:rsidRPr="00FC5EF5" w14:paraId="2476DAAD" w14:textId="77777777" w:rsidTr="00E20453">
        <w:tc>
          <w:tcPr>
            <w:tcW w:w="1526" w:type="dxa"/>
          </w:tcPr>
          <w:p w14:paraId="0D626E04" w14:textId="33C11C66" w:rsidR="00C706EE" w:rsidRPr="00FC5EF5" w:rsidRDefault="00AE090E" w:rsidP="009124DE">
            <w:pPr>
              <w:pStyle w:val="Preformatted"/>
              <w:tabs>
                <w:tab w:val="clear" w:pos="0"/>
                <w:tab w:val="clear" w:pos="1918"/>
                <w:tab w:val="left" w:pos="851"/>
                <w:tab w:val="left" w:pos="1276"/>
              </w:tabs>
              <w:jc w:val="both"/>
              <w:rPr>
                <w:rFonts w:ascii="Times New Roman" w:hAnsi="Times New Roman"/>
                <w:sz w:val="24"/>
                <w:szCs w:val="24"/>
              </w:rPr>
            </w:pPr>
            <w:r w:rsidRPr="00FC5EF5">
              <w:rPr>
                <w:rFonts w:ascii="Times New Roman" w:hAnsi="Times New Roman"/>
                <w:sz w:val="24"/>
                <w:szCs w:val="24"/>
              </w:rPr>
              <w:lastRenderedPageBreak/>
              <w:t xml:space="preserve">Lietuvos Respublikos finansų ministerijos </w:t>
            </w:r>
            <w:r w:rsidR="00086D5E" w:rsidRPr="00FC5EF5">
              <w:rPr>
                <w:rFonts w:ascii="Times New Roman" w:hAnsi="Times New Roman"/>
                <w:sz w:val="24"/>
                <w:szCs w:val="24"/>
              </w:rPr>
              <w:t>201</w:t>
            </w:r>
            <w:r w:rsidR="00527942">
              <w:rPr>
                <w:rFonts w:ascii="Times New Roman" w:hAnsi="Times New Roman"/>
                <w:sz w:val="24"/>
                <w:szCs w:val="24"/>
              </w:rPr>
              <w:t>6</w:t>
            </w:r>
            <w:r w:rsidR="00086D5E" w:rsidRPr="00FC5EF5">
              <w:rPr>
                <w:rFonts w:ascii="Times New Roman" w:hAnsi="Times New Roman"/>
                <w:sz w:val="24"/>
                <w:szCs w:val="24"/>
              </w:rPr>
              <w:t> m. sausio 11</w:t>
            </w:r>
            <w:r w:rsidRPr="00FC5EF5">
              <w:rPr>
                <w:rFonts w:ascii="Times New Roman" w:hAnsi="Times New Roman"/>
                <w:sz w:val="24"/>
                <w:szCs w:val="24"/>
                <w:lang w:val="en-GB"/>
              </w:rPr>
              <w:t xml:space="preserve"> </w:t>
            </w:r>
            <w:r w:rsidRPr="00FC5EF5">
              <w:rPr>
                <w:rFonts w:ascii="Times New Roman" w:hAnsi="Times New Roman"/>
                <w:sz w:val="24"/>
                <w:szCs w:val="24"/>
              </w:rPr>
              <w:t>d. raštu Nr. ((4.59-2408)-5K-</w:t>
            </w:r>
            <w:r w:rsidR="00086D5E" w:rsidRPr="00FC5EF5">
              <w:rPr>
                <w:rFonts w:ascii="Times New Roman" w:hAnsi="Times New Roman"/>
                <w:sz w:val="24"/>
                <w:szCs w:val="24"/>
              </w:rPr>
              <w:t>1527633</w:t>
            </w:r>
            <w:r w:rsidRPr="00FC5EF5">
              <w:rPr>
                <w:rFonts w:ascii="Times New Roman" w:hAnsi="Times New Roman"/>
                <w:sz w:val="24"/>
                <w:szCs w:val="24"/>
              </w:rPr>
              <w:t>)</w:t>
            </w:r>
            <w:r w:rsidR="00086D5E" w:rsidRPr="00FC5EF5">
              <w:rPr>
                <w:rFonts w:ascii="Times New Roman" w:hAnsi="Times New Roman"/>
                <w:sz w:val="24"/>
                <w:szCs w:val="24"/>
              </w:rPr>
              <w:t>-6K-1600182</w:t>
            </w:r>
            <w:r w:rsidRPr="00FC5EF5">
              <w:rPr>
                <w:rFonts w:ascii="Times New Roman" w:hAnsi="Times New Roman"/>
                <w:sz w:val="24"/>
                <w:szCs w:val="24"/>
              </w:rPr>
              <w:t xml:space="preserve">  pateiktos pastabos</w:t>
            </w:r>
          </w:p>
        </w:tc>
        <w:tc>
          <w:tcPr>
            <w:tcW w:w="6379" w:type="dxa"/>
          </w:tcPr>
          <w:p w14:paraId="14234900" w14:textId="54B26B7A" w:rsidR="00C706EE" w:rsidRPr="00FC5EF5" w:rsidRDefault="00F46545" w:rsidP="005D5E0D">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lang w:val="en-GB"/>
              </w:rPr>
              <w:t xml:space="preserve">10. </w:t>
            </w:r>
            <w:r w:rsidRPr="00FC5EF5">
              <w:rPr>
                <w:rFonts w:ascii="Times New Roman" w:hAnsi="Times New Roman"/>
                <w:sz w:val="24"/>
                <w:szCs w:val="24"/>
              </w:rPr>
              <w:t xml:space="preserve">Patikslinti Apraše vartojamas sąvokas, jas suvienodinant su Atsakomybės ir funkcijų pasiskirstymo tarp institucijų, </w:t>
            </w:r>
            <w:r w:rsidR="00B43609" w:rsidRPr="00FC5EF5">
              <w:rPr>
                <w:rFonts w:ascii="Times New Roman" w:hAnsi="Times New Roman"/>
                <w:sz w:val="24"/>
                <w:szCs w:val="24"/>
              </w:rPr>
              <w:t>įgyvendinant</w:t>
            </w:r>
            <w:r w:rsidRPr="00FC5EF5">
              <w:rPr>
                <w:rFonts w:ascii="Times New Roman" w:hAnsi="Times New Roman"/>
                <w:sz w:val="24"/>
                <w:szCs w:val="24"/>
              </w:rPr>
              <w:t xml:space="preserve"> 201</w:t>
            </w:r>
            <w:r w:rsidRPr="00FC5EF5">
              <w:rPr>
                <w:rFonts w:ascii="Times New Roman" w:hAnsi="Times New Roman"/>
                <w:sz w:val="24"/>
                <w:szCs w:val="24"/>
                <w:lang w:val="en-GB"/>
              </w:rPr>
              <w:t xml:space="preserve">4 - </w:t>
            </w:r>
            <w:r w:rsidRPr="00FC5EF5">
              <w:rPr>
                <w:rFonts w:ascii="Times New Roman" w:hAnsi="Times New Roman"/>
                <w:sz w:val="24"/>
                <w:szCs w:val="24"/>
              </w:rPr>
              <w:t xml:space="preserve">2020 metų Europos Sąjungos struktūrinių fondų investicijų veiksmų programą, taisyklių, patvirtintų LRV 2014 m. birželio </w:t>
            </w:r>
            <w:r w:rsidRPr="00FC5EF5">
              <w:rPr>
                <w:rFonts w:ascii="Times New Roman" w:hAnsi="Times New Roman"/>
                <w:sz w:val="24"/>
                <w:szCs w:val="24"/>
                <w:lang w:val="en-GB"/>
              </w:rPr>
              <w:t>4 d.</w:t>
            </w:r>
            <w:r w:rsidRPr="00FC5EF5">
              <w:rPr>
                <w:rFonts w:ascii="Times New Roman" w:hAnsi="Times New Roman"/>
                <w:sz w:val="24"/>
                <w:szCs w:val="24"/>
              </w:rPr>
              <w:t xml:space="preserve"> nutarimu Nr. 528 2 punkte nustatytomis sąvokomis</w:t>
            </w:r>
            <w:r w:rsidR="005D5E0D" w:rsidRPr="00FC5EF5">
              <w:rPr>
                <w:rFonts w:ascii="Times New Roman" w:hAnsi="Times New Roman"/>
                <w:sz w:val="24"/>
                <w:szCs w:val="24"/>
              </w:rPr>
              <w:t>.</w:t>
            </w:r>
          </w:p>
        </w:tc>
        <w:tc>
          <w:tcPr>
            <w:tcW w:w="7087" w:type="dxa"/>
          </w:tcPr>
          <w:p w14:paraId="28B44BA9" w14:textId="77777777" w:rsidR="0032218E" w:rsidRPr="00FC5EF5" w:rsidRDefault="0032218E" w:rsidP="0032218E">
            <w:pPr>
              <w:jc w:val="both"/>
              <w:rPr>
                <w:rFonts w:ascii="Times New Roman" w:hAnsi="Times New Roman" w:cs="Times New Roman"/>
                <w:sz w:val="24"/>
                <w:szCs w:val="24"/>
              </w:rPr>
            </w:pPr>
            <w:r w:rsidRPr="00FC5EF5">
              <w:rPr>
                <w:rFonts w:ascii="Times New Roman" w:hAnsi="Times New Roman" w:cs="Times New Roman"/>
                <w:b/>
                <w:sz w:val="24"/>
                <w:szCs w:val="24"/>
              </w:rPr>
              <w:t>Atsižvelgta.</w:t>
            </w:r>
          </w:p>
          <w:p w14:paraId="27C750E3" w14:textId="77777777" w:rsidR="00C706EE" w:rsidRPr="00FC5EF5" w:rsidRDefault="00C706EE" w:rsidP="005C667B">
            <w:pPr>
              <w:spacing w:line="360" w:lineRule="auto"/>
              <w:jc w:val="both"/>
              <w:rPr>
                <w:rFonts w:ascii="Times New Roman" w:hAnsi="Times New Roman" w:cs="Times New Roman"/>
                <w:b/>
                <w:sz w:val="24"/>
                <w:szCs w:val="24"/>
              </w:rPr>
            </w:pPr>
          </w:p>
        </w:tc>
      </w:tr>
      <w:tr w:rsidR="00C706EE" w:rsidRPr="00FC5EF5" w14:paraId="3774B392" w14:textId="77777777" w:rsidTr="00E20453">
        <w:tc>
          <w:tcPr>
            <w:tcW w:w="1526" w:type="dxa"/>
          </w:tcPr>
          <w:p w14:paraId="7EAFD9E3" w14:textId="6FF4F731" w:rsidR="00C706EE" w:rsidRPr="00FC5EF5" w:rsidRDefault="00901333" w:rsidP="009124DE">
            <w:pPr>
              <w:pStyle w:val="Preformatted"/>
              <w:tabs>
                <w:tab w:val="clear" w:pos="0"/>
                <w:tab w:val="clear" w:pos="1918"/>
                <w:tab w:val="left" w:pos="851"/>
                <w:tab w:val="left" w:pos="1276"/>
              </w:tabs>
              <w:jc w:val="both"/>
              <w:rPr>
                <w:rFonts w:ascii="Times New Roman" w:hAnsi="Times New Roman"/>
                <w:sz w:val="24"/>
                <w:szCs w:val="24"/>
              </w:rPr>
            </w:pPr>
            <w:r w:rsidRPr="00FC5EF5">
              <w:rPr>
                <w:rFonts w:ascii="Times New Roman" w:hAnsi="Times New Roman"/>
                <w:sz w:val="24"/>
                <w:szCs w:val="24"/>
              </w:rPr>
              <w:t>Informacinės visu</w:t>
            </w:r>
            <w:r w:rsidR="008820A5" w:rsidRPr="00FC5EF5">
              <w:rPr>
                <w:rFonts w:ascii="Times New Roman" w:hAnsi="Times New Roman"/>
                <w:sz w:val="24"/>
                <w:szCs w:val="24"/>
              </w:rPr>
              <w:t>omenės plėtros komiteto</w:t>
            </w:r>
            <w:r w:rsidRPr="00FC5EF5">
              <w:rPr>
                <w:rFonts w:ascii="Times New Roman" w:hAnsi="Times New Roman"/>
                <w:sz w:val="24"/>
                <w:szCs w:val="24"/>
              </w:rPr>
              <w:t xml:space="preserve"> prie Susisiekimo ministerijos 2016 m. sausio 14 d. ra</w:t>
            </w:r>
            <w:r w:rsidR="00126C94">
              <w:rPr>
                <w:rFonts w:ascii="Times New Roman" w:hAnsi="Times New Roman"/>
                <w:sz w:val="24"/>
                <w:szCs w:val="24"/>
              </w:rPr>
              <w:t>š</w:t>
            </w:r>
            <w:r w:rsidRPr="00FC5EF5">
              <w:rPr>
                <w:rFonts w:ascii="Times New Roman" w:hAnsi="Times New Roman"/>
                <w:sz w:val="24"/>
                <w:szCs w:val="24"/>
              </w:rPr>
              <w:t>tu Nr. S- 40 pateiktos pastabos</w:t>
            </w:r>
          </w:p>
        </w:tc>
        <w:tc>
          <w:tcPr>
            <w:tcW w:w="6379" w:type="dxa"/>
          </w:tcPr>
          <w:p w14:paraId="3B46DEC3" w14:textId="77777777" w:rsidR="00C706EE" w:rsidRPr="00FC5EF5" w:rsidRDefault="00901333" w:rsidP="00CC7104">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11.</w:t>
            </w:r>
            <w:r w:rsidR="00CC7104" w:rsidRPr="00FC5EF5">
              <w:rPr>
                <w:rFonts w:ascii="Times New Roman" w:hAnsi="Times New Roman"/>
                <w:sz w:val="24"/>
                <w:szCs w:val="24"/>
              </w:rPr>
              <w:t xml:space="preserve"> Patikslinti Aprašo 38.1.2. papunktį, nurodant kad šiame papunktyje minimos išlaidos yra tin</w:t>
            </w:r>
            <w:r w:rsidR="008820A5" w:rsidRPr="00FC5EF5">
              <w:rPr>
                <w:rFonts w:ascii="Times New Roman" w:hAnsi="Times New Roman"/>
                <w:sz w:val="24"/>
                <w:szCs w:val="24"/>
              </w:rPr>
              <w:t xml:space="preserve">kamos finansuoti tik tuo atveju </w:t>
            </w:r>
            <w:r w:rsidR="00CC7104" w:rsidRPr="00FC5EF5">
              <w:rPr>
                <w:rFonts w:ascii="Times New Roman" w:hAnsi="Times New Roman"/>
                <w:sz w:val="24"/>
                <w:szCs w:val="24"/>
              </w:rPr>
              <w:t>„</w:t>
            </w:r>
            <w:r w:rsidR="00CC7104" w:rsidRPr="00FC5EF5">
              <w:rPr>
                <w:rFonts w:ascii="Times New Roman" w:hAnsi="Times New Roman"/>
                <w:i/>
                <w:sz w:val="24"/>
                <w:szCs w:val="24"/>
              </w:rPr>
              <w:t>jei projektų vykdytojai, vadovaujantis Vyriausybės nutarimo Nr. 498 4.5 papunktyje nustatytais pagrindais, numato valstybės informacinių išteklių infrastruktūrą tvarkyti savarankiškai</w:t>
            </w:r>
            <w:r w:rsidR="00CC7104" w:rsidRPr="00FC5EF5">
              <w:rPr>
                <w:rFonts w:ascii="Times New Roman" w:hAnsi="Times New Roman"/>
                <w:sz w:val="24"/>
                <w:szCs w:val="24"/>
              </w:rPr>
              <w:t>“.</w:t>
            </w:r>
          </w:p>
        </w:tc>
        <w:tc>
          <w:tcPr>
            <w:tcW w:w="7087" w:type="dxa"/>
          </w:tcPr>
          <w:p w14:paraId="28DCBE13" w14:textId="77777777" w:rsidR="00C706EE" w:rsidRPr="00FC5EF5" w:rsidRDefault="00CC7104" w:rsidP="00454456">
            <w:pPr>
              <w:jc w:val="both"/>
              <w:rPr>
                <w:rFonts w:ascii="Times New Roman" w:hAnsi="Times New Roman" w:cs="Times New Roman"/>
                <w:b/>
                <w:sz w:val="24"/>
                <w:szCs w:val="24"/>
              </w:rPr>
            </w:pPr>
            <w:r w:rsidRPr="00FC5EF5">
              <w:rPr>
                <w:rFonts w:ascii="Times New Roman" w:hAnsi="Times New Roman" w:cs="Times New Roman"/>
                <w:b/>
                <w:sz w:val="24"/>
                <w:szCs w:val="24"/>
              </w:rPr>
              <w:t>Atsižvelgta.</w:t>
            </w:r>
          </w:p>
        </w:tc>
      </w:tr>
      <w:tr w:rsidR="00901333" w:rsidRPr="00FC5EF5" w14:paraId="2271A825" w14:textId="77777777" w:rsidTr="00E20453">
        <w:tc>
          <w:tcPr>
            <w:tcW w:w="1526" w:type="dxa"/>
          </w:tcPr>
          <w:p w14:paraId="1319CB9F" w14:textId="77777777" w:rsidR="00901333" w:rsidRPr="00FC5EF5" w:rsidRDefault="00901333" w:rsidP="009124DE">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5FA55599" w14:textId="77777777" w:rsidR="00901333" w:rsidRPr="00FC5EF5" w:rsidRDefault="00901333" w:rsidP="008E4770">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12.</w:t>
            </w:r>
            <w:r w:rsidR="00CC7104" w:rsidRPr="00FC5EF5">
              <w:rPr>
                <w:rFonts w:ascii="Times New Roman" w:hAnsi="Times New Roman"/>
                <w:sz w:val="24"/>
                <w:szCs w:val="24"/>
              </w:rPr>
              <w:t xml:space="preserve"> Jeigu yra planuojamos investicijos į informacinės sistemos kūrimą ir/ar modernizavimą, Aprašo projekte numatyti šias netinkamas išlaidas:</w:t>
            </w:r>
          </w:p>
          <w:p w14:paraId="64D1A951" w14:textId="77777777" w:rsidR="00CC7104" w:rsidRPr="00FC5EF5" w:rsidRDefault="00CC7104" w:rsidP="00CC7104">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 informacinės sistemos nuostatų ir informacinės sistemos duomenų saugos nuostatų parengimo išlaidos;</w:t>
            </w:r>
          </w:p>
          <w:p w14:paraId="5A59875A" w14:textId="77777777" w:rsidR="00CC7104" w:rsidRPr="00FC5EF5" w:rsidRDefault="00CC7104" w:rsidP="00CC7104">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lastRenderedPageBreak/>
              <w:t>- apmokėjimo už valstybės IT paslaugų teikėjų teikiamas IT paslaugas, numatytas Vyriausybės 2015 nutarime Nr. 498,  išlaidos.</w:t>
            </w:r>
          </w:p>
        </w:tc>
        <w:tc>
          <w:tcPr>
            <w:tcW w:w="7087" w:type="dxa"/>
          </w:tcPr>
          <w:p w14:paraId="37AA7C5C" w14:textId="77777777" w:rsidR="00901333" w:rsidRPr="00FC5EF5" w:rsidRDefault="00CC7104" w:rsidP="00CC7104">
            <w:pPr>
              <w:jc w:val="both"/>
              <w:rPr>
                <w:rFonts w:ascii="Times New Roman" w:hAnsi="Times New Roman" w:cs="Times New Roman"/>
                <w:b/>
                <w:sz w:val="24"/>
                <w:szCs w:val="24"/>
              </w:rPr>
            </w:pPr>
            <w:r w:rsidRPr="00FC5EF5">
              <w:rPr>
                <w:rFonts w:ascii="Times New Roman" w:hAnsi="Times New Roman" w:cs="Times New Roman"/>
                <w:b/>
                <w:sz w:val="24"/>
                <w:szCs w:val="24"/>
              </w:rPr>
              <w:lastRenderedPageBreak/>
              <w:t xml:space="preserve">Atsižvelgta. </w:t>
            </w:r>
            <w:r w:rsidRPr="00FC5EF5">
              <w:rPr>
                <w:rFonts w:ascii="Times New Roman" w:hAnsi="Times New Roman" w:cs="Times New Roman"/>
                <w:sz w:val="24"/>
                <w:szCs w:val="24"/>
              </w:rPr>
              <w:t>Apraše papildomai išskirti 40.3 ir 40.4 papunkčiai.</w:t>
            </w:r>
          </w:p>
        </w:tc>
      </w:tr>
      <w:tr w:rsidR="00C706EE" w:rsidRPr="00FC5EF5" w14:paraId="58DE2D28" w14:textId="77777777" w:rsidTr="00E20453">
        <w:tc>
          <w:tcPr>
            <w:tcW w:w="1526" w:type="dxa"/>
          </w:tcPr>
          <w:p w14:paraId="7D4C5B4B" w14:textId="77777777" w:rsidR="00C706EE" w:rsidRPr="00FC5EF5" w:rsidRDefault="008D592A" w:rsidP="009124DE">
            <w:pPr>
              <w:pStyle w:val="Preformatted"/>
              <w:tabs>
                <w:tab w:val="clear" w:pos="0"/>
                <w:tab w:val="clear" w:pos="1918"/>
                <w:tab w:val="left" w:pos="851"/>
                <w:tab w:val="left" w:pos="1276"/>
              </w:tabs>
              <w:jc w:val="both"/>
              <w:rPr>
                <w:rFonts w:ascii="Times New Roman" w:hAnsi="Times New Roman"/>
                <w:sz w:val="24"/>
                <w:szCs w:val="24"/>
              </w:rPr>
            </w:pPr>
            <w:r w:rsidRPr="00FC5EF5">
              <w:rPr>
                <w:rFonts w:ascii="Times New Roman" w:hAnsi="Times New Roman"/>
                <w:sz w:val="24"/>
                <w:szCs w:val="24"/>
              </w:rPr>
              <w:lastRenderedPageBreak/>
              <w:t>Lietuvos Respublikos susisiekimo ministerijos 2016 m. sausio 6 d. raštas Nr. 2-38 (131)</w:t>
            </w:r>
          </w:p>
        </w:tc>
        <w:tc>
          <w:tcPr>
            <w:tcW w:w="6379" w:type="dxa"/>
          </w:tcPr>
          <w:p w14:paraId="755753DD" w14:textId="77777777" w:rsidR="00C706EE" w:rsidRPr="00FC5EF5" w:rsidRDefault="008D592A" w:rsidP="00E81A6E">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Pastabų ir pasiūlymų nepateikė.</w:t>
            </w:r>
          </w:p>
        </w:tc>
        <w:tc>
          <w:tcPr>
            <w:tcW w:w="7087" w:type="dxa"/>
          </w:tcPr>
          <w:p w14:paraId="32393CCC" w14:textId="77777777" w:rsidR="00C706EE" w:rsidRPr="00FC5EF5" w:rsidRDefault="00C706EE" w:rsidP="00C421E1">
            <w:pPr>
              <w:jc w:val="both"/>
              <w:rPr>
                <w:rFonts w:ascii="Times New Roman" w:hAnsi="Times New Roman" w:cs="Times New Roman"/>
                <w:b/>
                <w:sz w:val="24"/>
                <w:szCs w:val="24"/>
              </w:rPr>
            </w:pPr>
          </w:p>
        </w:tc>
      </w:tr>
      <w:tr w:rsidR="00C706EE" w:rsidRPr="00FC5EF5" w14:paraId="1BA99BF4" w14:textId="77777777" w:rsidTr="00E20453">
        <w:tc>
          <w:tcPr>
            <w:tcW w:w="1526" w:type="dxa"/>
          </w:tcPr>
          <w:p w14:paraId="5E774992" w14:textId="77777777" w:rsidR="008D592A" w:rsidRPr="00FC5EF5" w:rsidRDefault="008D592A" w:rsidP="008D592A">
            <w:pPr>
              <w:pStyle w:val="Preformatted"/>
              <w:tabs>
                <w:tab w:val="clear" w:pos="0"/>
                <w:tab w:val="clear" w:pos="1918"/>
                <w:tab w:val="left" w:pos="851"/>
                <w:tab w:val="left" w:pos="1276"/>
              </w:tabs>
              <w:jc w:val="both"/>
              <w:rPr>
                <w:rFonts w:ascii="Times New Roman" w:hAnsi="Times New Roman"/>
                <w:sz w:val="24"/>
                <w:szCs w:val="24"/>
              </w:rPr>
            </w:pPr>
            <w:r w:rsidRPr="00FC5EF5">
              <w:rPr>
                <w:rFonts w:ascii="Times New Roman" w:hAnsi="Times New Roman"/>
                <w:sz w:val="24"/>
                <w:szCs w:val="24"/>
              </w:rPr>
              <w:t>Lietuvos Respublikos švietimo ir mokslo ministerijos 2016 m. sausio 15 d. raštas</w:t>
            </w:r>
            <w:r w:rsidRPr="00FC5EF5">
              <w:rPr>
                <w:rFonts w:ascii="Times New Roman" w:eastAsiaTheme="minorEastAsia" w:hAnsi="Times New Roman" w:cstheme="minorBidi"/>
                <w:sz w:val="24"/>
                <w:szCs w:val="24"/>
              </w:rPr>
              <w:t xml:space="preserve"> </w:t>
            </w:r>
            <w:r w:rsidRPr="00FC5EF5">
              <w:rPr>
                <w:rFonts w:ascii="Times New Roman" w:hAnsi="Times New Roman"/>
                <w:sz w:val="24"/>
                <w:szCs w:val="24"/>
              </w:rPr>
              <w:t>Nr. SR - 217</w:t>
            </w:r>
          </w:p>
        </w:tc>
        <w:tc>
          <w:tcPr>
            <w:tcW w:w="6379" w:type="dxa"/>
          </w:tcPr>
          <w:p w14:paraId="214E516A" w14:textId="77777777" w:rsidR="00C706EE" w:rsidRPr="00FC5EF5" w:rsidRDefault="008D592A" w:rsidP="008D592A">
            <w:pPr>
              <w:pStyle w:val="Preformatted"/>
              <w:tabs>
                <w:tab w:val="clear" w:pos="959"/>
                <w:tab w:val="clear" w:pos="1918"/>
                <w:tab w:val="left" w:pos="1276"/>
              </w:tabs>
              <w:snapToGrid/>
              <w:jc w:val="both"/>
              <w:rPr>
                <w:rFonts w:ascii="Times New Roman" w:hAnsi="Times New Roman"/>
                <w:sz w:val="24"/>
                <w:szCs w:val="24"/>
              </w:rPr>
            </w:pPr>
            <w:r w:rsidRPr="00FC5EF5">
              <w:rPr>
                <w:rFonts w:ascii="Times New Roman" w:hAnsi="Times New Roman"/>
                <w:sz w:val="24"/>
                <w:szCs w:val="24"/>
              </w:rPr>
              <w:t>Pastabų ir pasiūlymų nepateikė.</w:t>
            </w:r>
          </w:p>
        </w:tc>
        <w:tc>
          <w:tcPr>
            <w:tcW w:w="7087" w:type="dxa"/>
          </w:tcPr>
          <w:p w14:paraId="54960E26" w14:textId="77777777" w:rsidR="00C706EE" w:rsidRPr="00FC5EF5" w:rsidRDefault="00C706EE" w:rsidP="00B777A3">
            <w:pPr>
              <w:rPr>
                <w:rFonts w:ascii="Times New Roman" w:hAnsi="Times New Roman"/>
                <w:sz w:val="24"/>
                <w:szCs w:val="24"/>
              </w:rPr>
            </w:pPr>
          </w:p>
        </w:tc>
      </w:tr>
    </w:tbl>
    <w:p w14:paraId="54D09271" w14:textId="77777777" w:rsidR="00CF5CF4" w:rsidRPr="00BE57EC" w:rsidRDefault="0062207E" w:rsidP="0062207E">
      <w:pPr>
        <w:tabs>
          <w:tab w:val="center" w:pos="7426"/>
          <w:tab w:val="left" w:pos="9495"/>
        </w:tabs>
        <w:rPr>
          <w:rFonts w:ascii="Times New Roman" w:hAnsi="Times New Roman" w:cs="Times New Roman"/>
          <w:sz w:val="24"/>
          <w:szCs w:val="24"/>
        </w:rPr>
      </w:pPr>
      <w:r w:rsidRPr="00FC5EF5">
        <w:rPr>
          <w:rFonts w:ascii="Times New Roman" w:hAnsi="Times New Roman" w:cs="Times New Roman"/>
          <w:sz w:val="24"/>
          <w:szCs w:val="24"/>
        </w:rPr>
        <w:tab/>
      </w:r>
      <w:r w:rsidR="00284661" w:rsidRPr="00FC5EF5">
        <w:rPr>
          <w:rFonts w:ascii="Times New Roman" w:hAnsi="Times New Roman" w:cs="Times New Roman"/>
          <w:sz w:val="24"/>
          <w:szCs w:val="24"/>
        </w:rPr>
        <w:t>____________________________</w:t>
      </w:r>
      <w:r>
        <w:rPr>
          <w:rFonts w:ascii="Times New Roman" w:hAnsi="Times New Roman" w:cs="Times New Roman"/>
          <w:sz w:val="24"/>
          <w:szCs w:val="24"/>
        </w:rPr>
        <w:tab/>
      </w:r>
    </w:p>
    <w:sectPr w:rsidR="00CF5CF4" w:rsidRPr="00BE57EC" w:rsidSect="004264D6">
      <w:headerReference w:type="default" r:id="rId10"/>
      <w:footerReference w:type="default" r:id="rId11"/>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CD601" w14:textId="77777777" w:rsidR="00AB1227" w:rsidRDefault="00AB1227" w:rsidP="00CF5CF4">
      <w:pPr>
        <w:spacing w:after="0" w:line="240" w:lineRule="auto"/>
      </w:pPr>
      <w:r>
        <w:separator/>
      </w:r>
    </w:p>
  </w:endnote>
  <w:endnote w:type="continuationSeparator" w:id="0">
    <w:p w14:paraId="03B5B514" w14:textId="77777777" w:rsidR="00AB1227" w:rsidRDefault="00AB1227"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4934" w14:textId="77777777" w:rsidR="00454456" w:rsidRDefault="00454456">
    <w:pPr>
      <w:pStyle w:val="Porat"/>
    </w:pPr>
  </w:p>
  <w:p w14:paraId="79D2F50D" w14:textId="77777777" w:rsidR="00454456" w:rsidRDefault="004544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2499" w14:textId="77777777" w:rsidR="00AB1227" w:rsidRDefault="00AB1227" w:rsidP="00CF5CF4">
      <w:pPr>
        <w:spacing w:after="0" w:line="240" w:lineRule="auto"/>
      </w:pPr>
      <w:r>
        <w:separator/>
      </w:r>
    </w:p>
  </w:footnote>
  <w:footnote w:type="continuationSeparator" w:id="0">
    <w:p w14:paraId="688B1684" w14:textId="77777777" w:rsidR="00AB1227" w:rsidRDefault="00AB1227" w:rsidP="00CF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3"/>
      <w:docPartObj>
        <w:docPartGallery w:val="Page Numbers (Top of Page)"/>
        <w:docPartUnique/>
      </w:docPartObj>
    </w:sdtPr>
    <w:sdtEndPr>
      <w:rPr>
        <w:rFonts w:ascii="Times New Roman" w:hAnsi="Times New Roman" w:cs="Times New Roman"/>
        <w:noProof/>
      </w:rPr>
    </w:sdtEndPr>
    <w:sdtContent>
      <w:p w14:paraId="42E7A4DE" w14:textId="77777777"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09211D">
          <w:rPr>
            <w:rFonts w:ascii="Times New Roman" w:hAnsi="Times New Roman" w:cs="Times New Roman"/>
            <w:noProof/>
          </w:rPr>
          <w:t>4</w:t>
        </w:r>
        <w:r w:rsidRPr="00CF5CF4">
          <w:rPr>
            <w:rFonts w:ascii="Times New Roman" w:hAnsi="Times New Roman" w:cs="Times New Roman"/>
            <w:noProof/>
          </w:rPr>
          <w:fldChar w:fldCharType="end"/>
        </w:r>
      </w:p>
    </w:sdtContent>
  </w:sdt>
  <w:p w14:paraId="4BACA29A" w14:textId="77777777" w:rsidR="00454456" w:rsidRDefault="004544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30C0C13"/>
    <w:multiLevelType w:val="hybridMultilevel"/>
    <w:tmpl w:val="340AC37C"/>
    <w:lvl w:ilvl="0" w:tplc="203868F6">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4"/>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5"/>
  </w:num>
  <w:num w:numId="16">
    <w:abstractNumId w:val="21"/>
  </w:num>
  <w:num w:numId="17">
    <w:abstractNumId w:val="3"/>
  </w:num>
  <w:num w:numId="18">
    <w:abstractNumId w:val="7"/>
  </w:num>
  <w:num w:numId="19">
    <w:abstractNumId w:val="18"/>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6"/>
    <w:rsid w:val="00004D55"/>
    <w:rsid w:val="0003567D"/>
    <w:rsid w:val="00037344"/>
    <w:rsid w:val="00044BD9"/>
    <w:rsid w:val="00053414"/>
    <w:rsid w:val="0005508C"/>
    <w:rsid w:val="00064347"/>
    <w:rsid w:val="00071BB5"/>
    <w:rsid w:val="00071D32"/>
    <w:rsid w:val="00075114"/>
    <w:rsid w:val="0007515F"/>
    <w:rsid w:val="000817DF"/>
    <w:rsid w:val="00086D5E"/>
    <w:rsid w:val="000916AF"/>
    <w:rsid w:val="0009211D"/>
    <w:rsid w:val="000979E3"/>
    <w:rsid w:val="000A3C6E"/>
    <w:rsid w:val="000A4628"/>
    <w:rsid w:val="000A6215"/>
    <w:rsid w:val="000B5481"/>
    <w:rsid w:val="000B6124"/>
    <w:rsid w:val="000C6952"/>
    <w:rsid w:val="000D00E5"/>
    <w:rsid w:val="000D3DFD"/>
    <w:rsid w:val="000E264B"/>
    <w:rsid w:val="000F6ECA"/>
    <w:rsid w:val="00113DC1"/>
    <w:rsid w:val="001256E0"/>
    <w:rsid w:val="00126C94"/>
    <w:rsid w:val="00126E1B"/>
    <w:rsid w:val="00130BFB"/>
    <w:rsid w:val="00133403"/>
    <w:rsid w:val="00133F3C"/>
    <w:rsid w:val="00144ED2"/>
    <w:rsid w:val="00153DCB"/>
    <w:rsid w:val="001541E0"/>
    <w:rsid w:val="00160AE2"/>
    <w:rsid w:val="00164B9C"/>
    <w:rsid w:val="00165DAB"/>
    <w:rsid w:val="00171A25"/>
    <w:rsid w:val="001772EB"/>
    <w:rsid w:val="00187398"/>
    <w:rsid w:val="001954FD"/>
    <w:rsid w:val="0019635B"/>
    <w:rsid w:val="001A1195"/>
    <w:rsid w:val="001A6056"/>
    <w:rsid w:val="001B01CD"/>
    <w:rsid w:val="001B2112"/>
    <w:rsid w:val="001C595B"/>
    <w:rsid w:val="001D53BD"/>
    <w:rsid w:val="00210443"/>
    <w:rsid w:val="00212785"/>
    <w:rsid w:val="00214271"/>
    <w:rsid w:val="00220565"/>
    <w:rsid w:val="00224380"/>
    <w:rsid w:val="00227F3C"/>
    <w:rsid w:val="00232B0A"/>
    <w:rsid w:val="00237404"/>
    <w:rsid w:val="002421B6"/>
    <w:rsid w:val="0025298C"/>
    <w:rsid w:val="00262310"/>
    <w:rsid w:val="00263A34"/>
    <w:rsid w:val="00267226"/>
    <w:rsid w:val="0027410A"/>
    <w:rsid w:val="002757D8"/>
    <w:rsid w:val="00275939"/>
    <w:rsid w:val="00284661"/>
    <w:rsid w:val="00285B63"/>
    <w:rsid w:val="00287B4D"/>
    <w:rsid w:val="002924C1"/>
    <w:rsid w:val="0029535C"/>
    <w:rsid w:val="002A280F"/>
    <w:rsid w:val="002B161A"/>
    <w:rsid w:val="002D1A81"/>
    <w:rsid w:val="002D4B59"/>
    <w:rsid w:val="002D5539"/>
    <w:rsid w:val="002E06DA"/>
    <w:rsid w:val="002F470E"/>
    <w:rsid w:val="002F6619"/>
    <w:rsid w:val="003104D6"/>
    <w:rsid w:val="00310624"/>
    <w:rsid w:val="0032218E"/>
    <w:rsid w:val="0033160A"/>
    <w:rsid w:val="003347C5"/>
    <w:rsid w:val="003363EB"/>
    <w:rsid w:val="0033652E"/>
    <w:rsid w:val="0034578A"/>
    <w:rsid w:val="00357005"/>
    <w:rsid w:val="003702EB"/>
    <w:rsid w:val="003A0F55"/>
    <w:rsid w:val="003A15C8"/>
    <w:rsid w:val="003A2EC2"/>
    <w:rsid w:val="003A432A"/>
    <w:rsid w:val="003A713B"/>
    <w:rsid w:val="003B16A5"/>
    <w:rsid w:val="003B2A52"/>
    <w:rsid w:val="003B569F"/>
    <w:rsid w:val="003B73C5"/>
    <w:rsid w:val="003C5134"/>
    <w:rsid w:val="003C5CB9"/>
    <w:rsid w:val="003D0474"/>
    <w:rsid w:val="003D5C5B"/>
    <w:rsid w:val="003E21AB"/>
    <w:rsid w:val="003E5501"/>
    <w:rsid w:val="003E658E"/>
    <w:rsid w:val="003E760D"/>
    <w:rsid w:val="003F223A"/>
    <w:rsid w:val="00412100"/>
    <w:rsid w:val="00412835"/>
    <w:rsid w:val="00421684"/>
    <w:rsid w:val="0042373B"/>
    <w:rsid w:val="004264D6"/>
    <w:rsid w:val="0042777F"/>
    <w:rsid w:val="004347D4"/>
    <w:rsid w:val="00445126"/>
    <w:rsid w:val="00454456"/>
    <w:rsid w:val="00462961"/>
    <w:rsid w:val="00481E6C"/>
    <w:rsid w:val="004A29D1"/>
    <w:rsid w:val="004C75B5"/>
    <w:rsid w:val="004D0673"/>
    <w:rsid w:val="004D24A9"/>
    <w:rsid w:val="004D43D5"/>
    <w:rsid w:val="004E2FA6"/>
    <w:rsid w:val="004E6F1D"/>
    <w:rsid w:val="004F01C5"/>
    <w:rsid w:val="004F1BCE"/>
    <w:rsid w:val="004F30A2"/>
    <w:rsid w:val="0050693C"/>
    <w:rsid w:val="00521DF1"/>
    <w:rsid w:val="00527942"/>
    <w:rsid w:val="00530324"/>
    <w:rsid w:val="005310C4"/>
    <w:rsid w:val="00531A88"/>
    <w:rsid w:val="00537714"/>
    <w:rsid w:val="00541D70"/>
    <w:rsid w:val="005424D3"/>
    <w:rsid w:val="00543D8C"/>
    <w:rsid w:val="0054609A"/>
    <w:rsid w:val="00547B36"/>
    <w:rsid w:val="0057253D"/>
    <w:rsid w:val="00572E65"/>
    <w:rsid w:val="005736A1"/>
    <w:rsid w:val="005A4804"/>
    <w:rsid w:val="005B1CF8"/>
    <w:rsid w:val="005B327C"/>
    <w:rsid w:val="005C667B"/>
    <w:rsid w:val="005C738A"/>
    <w:rsid w:val="005D5E0D"/>
    <w:rsid w:val="005D6AC5"/>
    <w:rsid w:val="005E4C0E"/>
    <w:rsid w:val="005E50CB"/>
    <w:rsid w:val="005E7E30"/>
    <w:rsid w:val="005F32EE"/>
    <w:rsid w:val="005F6EDF"/>
    <w:rsid w:val="005F7D75"/>
    <w:rsid w:val="0061735B"/>
    <w:rsid w:val="0062089A"/>
    <w:rsid w:val="0062207E"/>
    <w:rsid w:val="006239EB"/>
    <w:rsid w:val="00640EDB"/>
    <w:rsid w:val="00643DEB"/>
    <w:rsid w:val="00644054"/>
    <w:rsid w:val="00650989"/>
    <w:rsid w:val="00653C6A"/>
    <w:rsid w:val="006549E6"/>
    <w:rsid w:val="00665DAE"/>
    <w:rsid w:val="006770A6"/>
    <w:rsid w:val="006900D8"/>
    <w:rsid w:val="006A0540"/>
    <w:rsid w:val="006A10F9"/>
    <w:rsid w:val="006A2B1F"/>
    <w:rsid w:val="006A4E4D"/>
    <w:rsid w:val="006A7434"/>
    <w:rsid w:val="006B60B8"/>
    <w:rsid w:val="006B6DA6"/>
    <w:rsid w:val="006B79E6"/>
    <w:rsid w:val="006C02FD"/>
    <w:rsid w:val="006C2D4D"/>
    <w:rsid w:val="006C2F47"/>
    <w:rsid w:val="006C75CC"/>
    <w:rsid w:val="006D6609"/>
    <w:rsid w:val="006E1CD1"/>
    <w:rsid w:val="006F27CF"/>
    <w:rsid w:val="006F5698"/>
    <w:rsid w:val="007134BB"/>
    <w:rsid w:val="00727B1F"/>
    <w:rsid w:val="00734363"/>
    <w:rsid w:val="007463B8"/>
    <w:rsid w:val="00746C01"/>
    <w:rsid w:val="00751EBB"/>
    <w:rsid w:val="00763781"/>
    <w:rsid w:val="00786CC3"/>
    <w:rsid w:val="007A1C66"/>
    <w:rsid w:val="007A6C01"/>
    <w:rsid w:val="007B21A9"/>
    <w:rsid w:val="007B7688"/>
    <w:rsid w:val="007C3D50"/>
    <w:rsid w:val="007D78BA"/>
    <w:rsid w:val="007E17CE"/>
    <w:rsid w:val="007E1A49"/>
    <w:rsid w:val="007E28DF"/>
    <w:rsid w:val="00803808"/>
    <w:rsid w:val="008039C9"/>
    <w:rsid w:val="00805F50"/>
    <w:rsid w:val="008061B0"/>
    <w:rsid w:val="00833ECF"/>
    <w:rsid w:val="008375C2"/>
    <w:rsid w:val="008525B1"/>
    <w:rsid w:val="00856A67"/>
    <w:rsid w:val="00862189"/>
    <w:rsid w:val="00862B1F"/>
    <w:rsid w:val="0086591E"/>
    <w:rsid w:val="008705AE"/>
    <w:rsid w:val="00872478"/>
    <w:rsid w:val="008820A5"/>
    <w:rsid w:val="008824CC"/>
    <w:rsid w:val="0088269E"/>
    <w:rsid w:val="008903B6"/>
    <w:rsid w:val="008919CD"/>
    <w:rsid w:val="0089367C"/>
    <w:rsid w:val="0089382A"/>
    <w:rsid w:val="00897B87"/>
    <w:rsid w:val="008A2B95"/>
    <w:rsid w:val="008A5A12"/>
    <w:rsid w:val="008B0496"/>
    <w:rsid w:val="008B64AE"/>
    <w:rsid w:val="008C0F19"/>
    <w:rsid w:val="008C322C"/>
    <w:rsid w:val="008D592A"/>
    <w:rsid w:val="008E4770"/>
    <w:rsid w:val="00901333"/>
    <w:rsid w:val="009124DE"/>
    <w:rsid w:val="00912A9E"/>
    <w:rsid w:val="0093542F"/>
    <w:rsid w:val="0095514B"/>
    <w:rsid w:val="00957DFF"/>
    <w:rsid w:val="009712BE"/>
    <w:rsid w:val="00974A36"/>
    <w:rsid w:val="00975417"/>
    <w:rsid w:val="00976532"/>
    <w:rsid w:val="00985BA9"/>
    <w:rsid w:val="009903DB"/>
    <w:rsid w:val="009962DD"/>
    <w:rsid w:val="009C2DA0"/>
    <w:rsid w:val="009C699D"/>
    <w:rsid w:val="009C6EAA"/>
    <w:rsid w:val="009D0A8E"/>
    <w:rsid w:val="009D3215"/>
    <w:rsid w:val="009D4278"/>
    <w:rsid w:val="009E5899"/>
    <w:rsid w:val="009F35E8"/>
    <w:rsid w:val="009F4EA1"/>
    <w:rsid w:val="009F620D"/>
    <w:rsid w:val="009F7B62"/>
    <w:rsid w:val="00A04780"/>
    <w:rsid w:val="00A0788E"/>
    <w:rsid w:val="00A11FF7"/>
    <w:rsid w:val="00A12C1E"/>
    <w:rsid w:val="00A20E0F"/>
    <w:rsid w:val="00A21D2C"/>
    <w:rsid w:val="00A222B4"/>
    <w:rsid w:val="00A2326D"/>
    <w:rsid w:val="00A245DD"/>
    <w:rsid w:val="00A34238"/>
    <w:rsid w:val="00A3647F"/>
    <w:rsid w:val="00A4234E"/>
    <w:rsid w:val="00A4476D"/>
    <w:rsid w:val="00A4712A"/>
    <w:rsid w:val="00A93896"/>
    <w:rsid w:val="00A93A16"/>
    <w:rsid w:val="00A95A9F"/>
    <w:rsid w:val="00AA22B2"/>
    <w:rsid w:val="00AA6AEE"/>
    <w:rsid w:val="00AA7E71"/>
    <w:rsid w:val="00AB1227"/>
    <w:rsid w:val="00AE090E"/>
    <w:rsid w:val="00AE704D"/>
    <w:rsid w:val="00AF0A23"/>
    <w:rsid w:val="00B00017"/>
    <w:rsid w:val="00B036DB"/>
    <w:rsid w:val="00B12A6B"/>
    <w:rsid w:val="00B141D2"/>
    <w:rsid w:val="00B2035A"/>
    <w:rsid w:val="00B34399"/>
    <w:rsid w:val="00B43609"/>
    <w:rsid w:val="00B4643D"/>
    <w:rsid w:val="00B52046"/>
    <w:rsid w:val="00B56B5D"/>
    <w:rsid w:val="00B61BBC"/>
    <w:rsid w:val="00B777A3"/>
    <w:rsid w:val="00B8766A"/>
    <w:rsid w:val="00BA1FD8"/>
    <w:rsid w:val="00BA33DC"/>
    <w:rsid w:val="00BA69B6"/>
    <w:rsid w:val="00BC1A51"/>
    <w:rsid w:val="00BC2F49"/>
    <w:rsid w:val="00BC4B5E"/>
    <w:rsid w:val="00BE3D7F"/>
    <w:rsid w:val="00BE57EC"/>
    <w:rsid w:val="00BE5CE7"/>
    <w:rsid w:val="00BF4D8F"/>
    <w:rsid w:val="00C0240B"/>
    <w:rsid w:val="00C057BF"/>
    <w:rsid w:val="00C35D53"/>
    <w:rsid w:val="00C421E1"/>
    <w:rsid w:val="00C42F28"/>
    <w:rsid w:val="00C453D2"/>
    <w:rsid w:val="00C457AD"/>
    <w:rsid w:val="00C52668"/>
    <w:rsid w:val="00C64040"/>
    <w:rsid w:val="00C66BA8"/>
    <w:rsid w:val="00C702D0"/>
    <w:rsid w:val="00C706EE"/>
    <w:rsid w:val="00C72583"/>
    <w:rsid w:val="00C870C6"/>
    <w:rsid w:val="00C931C1"/>
    <w:rsid w:val="00C97BF9"/>
    <w:rsid w:val="00CA7143"/>
    <w:rsid w:val="00CB13D1"/>
    <w:rsid w:val="00CB4D3A"/>
    <w:rsid w:val="00CC02DB"/>
    <w:rsid w:val="00CC0A8A"/>
    <w:rsid w:val="00CC7104"/>
    <w:rsid w:val="00CD5CE5"/>
    <w:rsid w:val="00CE2C59"/>
    <w:rsid w:val="00CE35D1"/>
    <w:rsid w:val="00CE74A4"/>
    <w:rsid w:val="00CF4E52"/>
    <w:rsid w:val="00CF5CF4"/>
    <w:rsid w:val="00CF628D"/>
    <w:rsid w:val="00CF7C64"/>
    <w:rsid w:val="00D12938"/>
    <w:rsid w:val="00D16558"/>
    <w:rsid w:val="00D1742D"/>
    <w:rsid w:val="00D232F6"/>
    <w:rsid w:val="00D23ABA"/>
    <w:rsid w:val="00D31466"/>
    <w:rsid w:val="00D444F9"/>
    <w:rsid w:val="00D52D19"/>
    <w:rsid w:val="00D66D5E"/>
    <w:rsid w:val="00D718F5"/>
    <w:rsid w:val="00D77B5F"/>
    <w:rsid w:val="00D83645"/>
    <w:rsid w:val="00D845B1"/>
    <w:rsid w:val="00D84D2A"/>
    <w:rsid w:val="00D852D2"/>
    <w:rsid w:val="00D86EB2"/>
    <w:rsid w:val="00D87902"/>
    <w:rsid w:val="00D87DEF"/>
    <w:rsid w:val="00D924E8"/>
    <w:rsid w:val="00D92733"/>
    <w:rsid w:val="00D930BF"/>
    <w:rsid w:val="00DA0E87"/>
    <w:rsid w:val="00DA1B54"/>
    <w:rsid w:val="00DA28F6"/>
    <w:rsid w:val="00DA6DEC"/>
    <w:rsid w:val="00DB0C49"/>
    <w:rsid w:val="00DB296D"/>
    <w:rsid w:val="00DB37B3"/>
    <w:rsid w:val="00DB7572"/>
    <w:rsid w:val="00DD37C4"/>
    <w:rsid w:val="00DD4D65"/>
    <w:rsid w:val="00DE1BB7"/>
    <w:rsid w:val="00DE330A"/>
    <w:rsid w:val="00DE5980"/>
    <w:rsid w:val="00DF2F49"/>
    <w:rsid w:val="00DF55BE"/>
    <w:rsid w:val="00E079BC"/>
    <w:rsid w:val="00E15751"/>
    <w:rsid w:val="00E20453"/>
    <w:rsid w:val="00E20CD7"/>
    <w:rsid w:val="00E32D27"/>
    <w:rsid w:val="00E36B9A"/>
    <w:rsid w:val="00E44149"/>
    <w:rsid w:val="00E45E72"/>
    <w:rsid w:val="00E53833"/>
    <w:rsid w:val="00E54A91"/>
    <w:rsid w:val="00E564DC"/>
    <w:rsid w:val="00E6585A"/>
    <w:rsid w:val="00E7457A"/>
    <w:rsid w:val="00E74C99"/>
    <w:rsid w:val="00E75A99"/>
    <w:rsid w:val="00E81A6E"/>
    <w:rsid w:val="00E841F7"/>
    <w:rsid w:val="00E94248"/>
    <w:rsid w:val="00E9489F"/>
    <w:rsid w:val="00E951F4"/>
    <w:rsid w:val="00E9714B"/>
    <w:rsid w:val="00E97E8A"/>
    <w:rsid w:val="00EA4001"/>
    <w:rsid w:val="00EA5EAF"/>
    <w:rsid w:val="00EB5617"/>
    <w:rsid w:val="00EC30CE"/>
    <w:rsid w:val="00EC51C1"/>
    <w:rsid w:val="00ED5268"/>
    <w:rsid w:val="00EE4780"/>
    <w:rsid w:val="00F01FD5"/>
    <w:rsid w:val="00F0258F"/>
    <w:rsid w:val="00F2066E"/>
    <w:rsid w:val="00F238BB"/>
    <w:rsid w:val="00F257FE"/>
    <w:rsid w:val="00F30549"/>
    <w:rsid w:val="00F45203"/>
    <w:rsid w:val="00F46545"/>
    <w:rsid w:val="00F641D9"/>
    <w:rsid w:val="00F6599B"/>
    <w:rsid w:val="00F6701A"/>
    <w:rsid w:val="00F7264D"/>
    <w:rsid w:val="00F74017"/>
    <w:rsid w:val="00F752C0"/>
    <w:rsid w:val="00F85A81"/>
    <w:rsid w:val="00F912D9"/>
    <w:rsid w:val="00F92A13"/>
    <w:rsid w:val="00F92C90"/>
    <w:rsid w:val="00F94171"/>
    <w:rsid w:val="00F9572D"/>
    <w:rsid w:val="00F963CA"/>
    <w:rsid w:val="00FA697F"/>
    <w:rsid w:val="00FB06AD"/>
    <w:rsid w:val="00FB655F"/>
    <w:rsid w:val="00FC3BE5"/>
    <w:rsid w:val="00FC5EF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19DED-D11B-4398-9BC1-59B17A30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4082</Words>
  <Characters>2328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Silvestra Miškinienė</cp:lastModifiedBy>
  <cp:revision>2</cp:revision>
  <cp:lastPrinted>2015-11-13T08:25:00Z</cp:lastPrinted>
  <dcterms:created xsi:type="dcterms:W3CDTF">2016-01-22T07:30:00Z</dcterms:created>
  <dcterms:modified xsi:type="dcterms:W3CDTF">2016-01-22T07:30:00Z</dcterms:modified>
</cp:coreProperties>
</file>