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D1" w:rsidRDefault="00CB13D1" w:rsidP="00DE330A">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 xml:space="preserve">institucijų pateiktų pastabų derinimo lentelė </w:t>
      </w:r>
    </w:p>
    <w:p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537714" w:rsidRPr="00537714">
        <w:t xml:space="preserve"> </w:t>
      </w:r>
      <w:r w:rsidR="00DE330A" w:rsidRPr="00DE330A">
        <w:rPr>
          <w:rFonts w:ascii="Times New Roman" w:hAnsi="Times New Roman"/>
          <w:b/>
        </w:rPr>
        <w:t>2014–2020 M. EUROPOS SĄJUNGOS FONDŲ INVESTICIJŲ VEIKSMŲ PROGRAMOS</w:t>
      </w:r>
    </w:p>
    <w:p w:rsidR="00DE330A" w:rsidRPr="00DE330A" w:rsidRDefault="00DE330A" w:rsidP="00DE330A">
      <w:pPr>
        <w:pStyle w:val="statymopavad0"/>
        <w:spacing w:line="240" w:lineRule="auto"/>
        <w:rPr>
          <w:rFonts w:ascii="Times New Roman" w:hAnsi="Times New Roman"/>
          <w:b/>
        </w:rPr>
      </w:pPr>
      <w:r w:rsidRPr="00DE330A">
        <w:rPr>
          <w:rFonts w:ascii="Times New Roman" w:hAnsi="Times New Roman"/>
          <w:b/>
        </w:rPr>
        <w:t>10 PRIORITETO „VISUOMENĖS POREIKIUS ATITINKANTIS IR PAŽANGUS VIEŠASIS VALDYMAS“</w:t>
      </w:r>
    </w:p>
    <w:p w:rsidR="004264D6" w:rsidRPr="004264D6" w:rsidRDefault="00291534" w:rsidP="00DE330A">
      <w:pPr>
        <w:pStyle w:val="statymopavad0"/>
        <w:spacing w:line="240" w:lineRule="auto"/>
        <w:rPr>
          <w:rFonts w:ascii="Times New Roman" w:hAnsi="Times New Roman"/>
          <w:b/>
        </w:rPr>
      </w:pPr>
      <w:r>
        <w:rPr>
          <w:rFonts w:ascii="Times New Roman" w:hAnsi="Times New Roman"/>
          <w:b/>
        </w:rPr>
        <w:t>NR. 10.1.5-ESFA-V-924</w:t>
      </w:r>
      <w:r w:rsidR="00DE330A" w:rsidRPr="00DE330A">
        <w:rPr>
          <w:rFonts w:ascii="Times New Roman" w:hAnsi="Times New Roman"/>
          <w:b/>
        </w:rPr>
        <w:t xml:space="preserve"> PRIEMONĖS „</w:t>
      </w:r>
      <w:r>
        <w:rPr>
          <w:rFonts w:ascii="Times New Roman" w:hAnsi="Times New Roman"/>
          <w:b/>
        </w:rPr>
        <w:t>VALSTYBĖS IR SAVIVALDYBIŲ INSTITUCIJŲ IR ĮSTAIGŲ DIRBANČIŲJŲ STRATEGINIŲ KOMPETENCIJŲ CENTRALIZUOTAS STIPRINIMAS</w:t>
      </w:r>
      <w:r w:rsidR="00DE330A">
        <w:rPr>
          <w:rFonts w:ascii="Times New Roman" w:hAnsi="Times New Roman"/>
          <w:b/>
        </w:rPr>
        <w:t xml:space="preserve">“ </w:t>
      </w:r>
      <w:r w:rsidR="00DE330A" w:rsidRPr="00DE330A">
        <w:rPr>
          <w:rFonts w:ascii="Times New Roman" w:hAnsi="Times New Roman"/>
          <w:b/>
        </w:rPr>
        <w:t>PROJEKTŲ FINANSAVIMO SĄLYGŲ APRAŠO</w:t>
      </w:r>
      <w:r w:rsidR="00537714">
        <w:rPr>
          <w:rFonts w:ascii="Times New Roman" w:hAnsi="Times New Roman"/>
          <w:b/>
        </w:rPr>
        <w:t xml:space="preserve"> projekto</w:t>
      </w:r>
    </w:p>
    <w:p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526"/>
        <w:gridCol w:w="2977"/>
        <w:gridCol w:w="10489"/>
      </w:tblGrid>
      <w:tr w:rsidR="009F7B62" w:rsidRPr="00CB4D3A" w:rsidTr="00543D8C">
        <w:tc>
          <w:tcPr>
            <w:tcW w:w="1526"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Institucijos pavadinimas</w:t>
            </w:r>
          </w:p>
        </w:tc>
        <w:tc>
          <w:tcPr>
            <w:tcW w:w="2977"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10489"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Pastabų ir pasiūlymų įvertinimas</w:t>
            </w:r>
          </w:p>
        </w:tc>
      </w:tr>
      <w:tr w:rsidR="00DE330A" w:rsidRPr="00CB4D3A" w:rsidTr="00543D8C">
        <w:tc>
          <w:tcPr>
            <w:tcW w:w="1526" w:type="dxa"/>
          </w:tcPr>
          <w:p w:rsidR="00DE330A" w:rsidRPr="00F2066E" w:rsidRDefault="00DE330A" w:rsidP="00DE330A">
            <w:pPr>
              <w:pStyle w:val="Preformatted"/>
              <w:jc w:val="both"/>
              <w:rPr>
                <w:rFonts w:ascii="Times New Roman" w:hAnsi="Times New Roman"/>
                <w:sz w:val="24"/>
                <w:szCs w:val="24"/>
              </w:rPr>
            </w:pPr>
            <w:r>
              <w:rPr>
                <w:rFonts w:ascii="Times New Roman" w:hAnsi="Times New Roman"/>
                <w:sz w:val="24"/>
                <w:szCs w:val="24"/>
              </w:rPr>
              <w:t>Europos socialinio f</w:t>
            </w:r>
            <w:r w:rsidR="00A76C84">
              <w:rPr>
                <w:rFonts w:ascii="Times New Roman" w:hAnsi="Times New Roman"/>
                <w:sz w:val="24"/>
                <w:szCs w:val="24"/>
              </w:rPr>
              <w:t>ondo agentūros 2016 m. sausio 19</w:t>
            </w:r>
            <w:r>
              <w:rPr>
                <w:rFonts w:ascii="Times New Roman" w:hAnsi="Times New Roman"/>
                <w:sz w:val="24"/>
                <w:szCs w:val="24"/>
              </w:rPr>
              <w:t xml:space="preserve"> d. raštu Nr.  S</w:t>
            </w:r>
            <w:r w:rsidR="00A76C84">
              <w:rPr>
                <w:rFonts w:ascii="Times New Roman" w:hAnsi="Times New Roman"/>
                <w:sz w:val="24"/>
                <w:szCs w:val="24"/>
              </w:rPr>
              <w:t>B-2016-00051</w:t>
            </w:r>
            <w:r>
              <w:rPr>
                <w:rFonts w:ascii="Times New Roman" w:hAnsi="Times New Roman"/>
                <w:sz w:val="24"/>
                <w:szCs w:val="24"/>
              </w:rPr>
              <w:t xml:space="preserve"> pateiktos pastabos</w:t>
            </w:r>
          </w:p>
        </w:tc>
        <w:tc>
          <w:tcPr>
            <w:tcW w:w="2977" w:type="dxa"/>
          </w:tcPr>
          <w:p w:rsidR="00DE330A" w:rsidDel="0029535C" w:rsidRDefault="00DE330A" w:rsidP="002A24C0">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1. </w:t>
            </w:r>
            <w:r w:rsidR="002A24C0" w:rsidRPr="002A24C0">
              <w:rPr>
                <w:rFonts w:ascii="Times New Roman" w:hAnsi="Times New Roman"/>
                <w:sz w:val="24"/>
                <w:szCs w:val="24"/>
              </w:rPr>
              <w:t>Prašome patikslinti Aprašo 33 punkte pateiktą lentelę, įtraukiant 2 biudžeto kategoriją „Nekilnojamasis turtas“.</w:t>
            </w:r>
          </w:p>
        </w:tc>
        <w:tc>
          <w:tcPr>
            <w:tcW w:w="10489" w:type="dxa"/>
          </w:tcPr>
          <w:p w:rsidR="00432FD5" w:rsidRDefault="00432FD5" w:rsidP="000D40E4">
            <w:pPr>
              <w:rPr>
                <w:rFonts w:ascii="Times New Roman" w:hAnsi="Times New Roman" w:cs="Times New Roman"/>
                <w:b/>
                <w:sz w:val="24"/>
                <w:szCs w:val="24"/>
              </w:rPr>
            </w:pPr>
            <w:r>
              <w:rPr>
                <w:rFonts w:ascii="Times New Roman" w:hAnsi="Times New Roman" w:cs="Times New Roman"/>
                <w:b/>
                <w:sz w:val="24"/>
                <w:szCs w:val="24"/>
              </w:rPr>
              <w:t>Atsižvelgta.</w:t>
            </w:r>
          </w:p>
          <w:p w:rsidR="00DE330A" w:rsidRPr="00D86EB2" w:rsidDel="00B4643D" w:rsidRDefault="00602BE9" w:rsidP="00602BE9">
            <w:pPr>
              <w:rPr>
                <w:rFonts w:ascii="Times New Roman" w:hAnsi="Times New Roman" w:cs="Times New Roman"/>
                <w:sz w:val="24"/>
                <w:szCs w:val="24"/>
              </w:rPr>
            </w:pPr>
            <w:r>
              <w:rPr>
                <w:rFonts w:ascii="Times New Roman" w:hAnsi="Times New Roman"/>
                <w:sz w:val="24"/>
                <w:szCs w:val="24"/>
              </w:rPr>
              <w:t>Aprašo 33 punkte pateiktoje lentelėje įtraukta 2 biudžeto kategorija</w:t>
            </w:r>
            <w:r w:rsidRPr="002A24C0">
              <w:rPr>
                <w:rFonts w:ascii="Times New Roman" w:hAnsi="Times New Roman"/>
                <w:sz w:val="24"/>
                <w:szCs w:val="24"/>
              </w:rPr>
              <w:t xml:space="preserve"> „Nekilnojamasis turtas“.</w:t>
            </w:r>
          </w:p>
        </w:tc>
      </w:tr>
      <w:tr w:rsidR="00DE330A" w:rsidRPr="00CB4D3A" w:rsidTr="00543D8C">
        <w:tc>
          <w:tcPr>
            <w:tcW w:w="1526" w:type="dxa"/>
          </w:tcPr>
          <w:p w:rsidR="00DE330A" w:rsidRPr="00F2066E" w:rsidDel="00E75A99" w:rsidRDefault="00DE330A" w:rsidP="004264D6">
            <w:pPr>
              <w:pStyle w:val="Preformatted"/>
              <w:jc w:val="both"/>
              <w:rPr>
                <w:rFonts w:ascii="Times New Roman" w:hAnsi="Times New Roman"/>
                <w:sz w:val="24"/>
                <w:szCs w:val="24"/>
              </w:rPr>
            </w:pPr>
          </w:p>
        </w:tc>
        <w:tc>
          <w:tcPr>
            <w:tcW w:w="2977" w:type="dxa"/>
          </w:tcPr>
          <w:p w:rsidR="00DE330A" w:rsidRDefault="0013333A" w:rsidP="002A24C0">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2. </w:t>
            </w:r>
            <w:r w:rsidR="002A24C0" w:rsidRPr="002A24C0">
              <w:rPr>
                <w:rFonts w:ascii="Times New Roman" w:hAnsi="Times New Roman"/>
                <w:sz w:val="24"/>
                <w:szCs w:val="24"/>
              </w:rPr>
              <w:t>Aprašo 33 punkto 3 kategorijoje „Įranga, įrenginiai ir kitas turtas“ yra numatytos nuomos išlaidos, kurios, vadovaujantis Rekomendacijų dėl projektų išlaidų atitikties Europos Sąjungos struktūrinių fondų reikalavimais, galimos tik 5 biudžeto kategorijoje „Projekto vykdymas“. Atžvelgdami į tai, prašome patikslinti minėtą punktą.</w:t>
            </w:r>
          </w:p>
        </w:tc>
        <w:tc>
          <w:tcPr>
            <w:tcW w:w="10489" w:type="dxa"/>
          </w:tcPr>
          <w:p w:rsidR="0013333A" w:rsidRDefault="0013333A" w:rsidP="000D40E4">
            <w:pPr>
              <w:rPr>
                <w:rFonts w:ascii="Times New Roman" w:hAnsi="Times New Roman" w:cs="Times New Roman"/>
                <w:b/>
                <w:sz w:val="24"/>
                <w:szCs w:val="24"/>
              </w:rPr>
            </w:pPr>
            <w:r>
              <w:rPr>
                <w:rFonts w:ascii="Times New Roman" w:hAnsi="Times New Roman" w:cs="Times New Roman"/>
                <w:b/>
                <w:sz w:val="24"/>
                <w:szCs w:val="24"/>
              </w:rPr>
              <w:t>Atsižvelgta.</w:t>
            </w:r>
          </w:p>
          <w:p w:rsidR="0013333A" w:rsidRPr="0013333A" w:rsidRDefault="0013333A" w:rsidP="000D40E4">
            <w:pPr>
              <w:rPr>
                <w:rFonts w:ascii="Times New Roman" w:hAnsi="Times New Roman" w:cs="Times New Roman"/>
                <w:sz w:val="24"/>
                <w:szCs w:val="24"/>
              </w:rPr>
            </w:pPr>
            <w:r w:rsidRPr="0013333A">
              <w:rPr>
                <w:rFonts w:ascii="Times New Roman" w:hAnsi="Times New Roman" w:cs="Times New Roman"/>
                <w:sz w:val="24"/>
                <w:szCs w:val="24"/>
              </w:rPr>
              <w:t xml:space="preserve">Patalpų nuomos išlaidos </w:t>
            </w:r>
            <w:r w:rsidR="00221936">
              <w:rPr>
                <w:rFonts w:ascii="Times New Roman" w:hAnsi="Times New Roman" w:cs="Times New Roman"/>
                <w:sz w:val="24"/>
                <w:szCs w:val="24"/>
              </w:rPr>
              <w:t>perkeltos į Aprašo 33</w:t>
            </w:r>
            <w:r w:rsidR="00602BE9">
              <w:rPr>
                <w:rFonts w:ascii="Times New Roman" w:hAnsi="Times New Roman" w:cs="Times New Roman"/>
                <w:sz w:val="24"/>
                <w:szCs w:val="24"/>
              </w:rPr>
              <w:t xml:space="preserve"> punkto į 5</w:t>
            </w:r>
            <w:r w:rsidRPr="0013333A">
              <w:rPr>
                <w:rFonts w:ascii="Times New Roman" w:hAnsi="Times New Roman" w:cs="Times New Roman"/>
                <w:sz w:val="24"/>
                <w:szCs w:val="24"/>
              </w:rPr>
              <w:t xml:space="preserve"> išlaidų</w:t>
            </w:r>
            <w:r w:rsidR="00221936">
              <w:rPr>
                <w:rFonts w:ascii="Times New Roman" w:hAnsi="Times New Roman" w:cs="Times New Roman"/>
                <w:sz w:val="24"/>
                <w:szCs w:val="24"/>
              </w:rPr>
              <w:t xml:space="preserve"> kategoriją „Projekto vykdymas“, 5.1 papunktį.</w:t>
            </w:r>
          </w:p>
          <w:p w:rsidR="00DE330A" w:rsidRPr="003347C5" w:rsidRDefault="00DE330A" w:rsidP="00FE5962">
            <w:pPr>
              <w:jc w:val="both"/>
              <w:rPr>
                <w:rFonts w:ascii="Times New Roman" w:hAnsi="Times New Roman" w:cs="Times New Roman"/>
                <w:sz w:val="24"/>
                <w:szCs w:val="24"/>
              </w:rPr>
            </w:pPr>
          </w:p>
        </w:tc>
      </w:tr>
      <w:tr w:rsidR="00DE330A" w:rsidRPr="00CB4D3A" w:rsidTr="00543D8C">
        <w:tc>
          <w:tcPr>
            <w:tcW w:w="1526" w:type="dxa"/>
          </w:tcPr>
          <w:p w:rsidR="00DE330A" w:rsidRDefault="00AC6BFD" w:rsidP="004264D6">
            <w:pPr>
              <w:pStyle w:val="Preformatted"/>
              <w:jc w:val="both"/>
              <w:rPr>
                <w:rFonts w:ascii="Times New Roman" w:hAnsi="Times New Roman"/>
                <w:sz w:val="24"/>
                <w:szCs w:val="24"/>
              </w:rPr>
            </w:pPr>
            <w:r w:rsidRPr="00AC6BFD">
              <w:rPr>
                <w:rFonts w:ascii="Times New Roman" w:hAnsi="Times New Roman"/>
                <w:sz w:val="24"/>
                <w:szCs w:val="24"/>
              </w:rPr>
              <w:t xml:space="preserve">Europos socialinio fondo </w:t>
            </w:r>
            <w:r w:rsidRPr="00AC6BFD">
              <w:rPr>
                <w:rFonts w:ascii="Times New Roman" w:hAnsi="Times New Roman"/>
                <w:sz w:val="24"/>
                <w:szCs w:val="24"/>
              </w:rPr>
              <w:lastRenderedPageBreak/>
              <w:t>agentūros 2016 m. sausio 19 d. raštu Nr.  SB-2016-00051 pateiktos pastabos</w:t>
            </w:r>
            <w:r>
              <w:rPr>
                <w:rFonts w:ascii="Times New Roman" w:hAnsi="Times New Roman"/>
                <w:sz w:val="24"/>
                <w:szCs w:val="24"/>
              </w:rPr>
              <w:t>;</w:t>
            </w:r>
          </w:p>
          <w:p w:rsidR="00AC6BFD" w:rsidRPr="00F2066E" w:rsidRDefault="00AC6BFD" w:rsidP="00AC6BFD">
            <w:pPr>
              <w:pStyle w:val="Preformatted"/>
              <w:jc w:val="both"/>
              <w:rPr>
                <w:rFonts w:ascii="Times New Roman" w:hAnsi="Times New Roman"/>
                <w:sz w:val="24"/>
                <w:szCs w:val="24"/>
              </w:rPr>
            </w:pPr>
            <w:r w:rsidRPr="00AC6BFD">
              <w:rPr>
                <w:rFonts w:ascii="Times New Roman" w:hAnsi="Times New Roman"/>
                <w:sz w:val="24"/>
                <w:szCs w:val="24"/>
              </w:rPr>
              <w:t>Europos socialinio f</w:t>
            </w:r>
            <w:r>
              <w:rPr>
                <w:rFonts w:ascii="Times New Roman" w:hAnsi="Times New Roman"/>
                <w:sz w:val="24"/>
                <w:szCs w:val="24"/>
              </w:rPr>
              <w:t>ondo agentūros 2016 m. sausio 26</w:t>
            </w:r>
            <w:r w:rsidRPr="00AC6BFD">
              <w:rPr>
                <w:rFonts w:ascii="Times New Roman" w:hAnsi="Times New Roman"/>
                <w:sz w:val="24"/>
                <w:szCs w:val="24"/>
              </w:rPr>
              <w:t xml:space="preserve"> d. raštu Nr.  SB-2016-00071 pateiktos pastabos</w:t>
            </w:r>
            <w:r w:rsidR="003C3173">
              <w:rPr>
                <w:rFonts w:ascii="Times New Roman" w:hAnsi="Times New Roman"/>
                <w:sz w:val="24"/>
                <w:szCs w:val="24"/>
              </w:rPr>
              <w:t>.</w:t>
            </w:r>
          </w:p>
        </w:tc>
        <w:tc>
          <w:tcPr>
            <w:tcW w:w="2977" w:type="dxa"/>
          </w:tcPr>
          <w:p w:rsidR="00AC6BFD" w:rsidRDefault="002A24C0" w:rsidP="002A24C0">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lastRenderedPageBreak/>
              <w:t>3.</w:t>
            </w:r>
            <w:r>
              <w:t xml:space="preserve"> </w:t>
            </w:r>
            <w:r w:rsidRPr="002A24C0">
              <w:rPr>
                <w:rFonts w:ascii="Times New Roman" w:hAnsi="Times New Roman"/>
                <w:sz w:val="24"/>
                <w:szCs w:val="24"/>
              </w:rPr>
              <w:t xml:space="preserve">Aprašo 33 punkto 4 kategorijoje „Projekto vykdymas“ yra numatytos </w:t>
            </w:r>
            <w:r w:rsidRPr="002A24C0">
              <w:rPr>
                <w:rFonts w:ascii="Times New Roman" w:hAnsi="Times New Roman"/>
                <w:sz w:val="24"/>
                <w:szCs w:val="24"/>
              </w:rPr>
              <w:lastRenderedPageBreak/>
              <w:t>projekto veikloms vykdyti naudojamų projekto vykdytojui ar partneriui priklausančių patalpų eksploatavimo išlaidos. Siūlome atsisakyti šių išlaidų</w:t>
            </w:r>
            <w:r>
              <w:rPr>
                <w:rFonts w:ascii="Times New Roman" w:hAnsi="Times New Roman"/>
                <w:sz w:val="24"/>
                <w:szCs w:val="24"/>
              </w:rPr>
              <w:t>.</w:t>
            </w:r>
          </w:p>
          <w:p w:rsidR="00DD318E" w:rsidRDefault="00DD318E" w:rsidP="002A24C0">
            <w:pPr>
              <w:pStyle w:val="Preformatted"/>
              <w:tabs>
                <w:tab w:val="clear" w:pos="959"/>
                <w:tab w:val="clear" w:pos="1918"/>
                <w:tab w:val="left" w:pos="1276"/>
              </w:tabs>
              <w:snapToGrid/>
              <w:jc w:val="both"/>
              <w:rPr>
                <w:rFonts w:ascii="Times New Roman" w:hAnsi="Times New Roman"/>
                <w:sz w:val="24"/>
                <w:szCs w:val="24"/>
              </w:rPr>
            </w:pPr>
          </w:p>
          <w:p w:rsidR="00DD318E" w:rsidRPr="00DD318E" w:rsidRDefault="00DD318E" w:rsidP="00DD318E">
            <w:pPr>
              <w:pStyle w:val="Preformatted"/>
              <w:tabs>
                <w:tab w:val="left" w:pos="1276"/>
              </w:tabs>
              <w:jc w:val="both"/>
              <w:rPr>
                <w:rFonts w:ascii="Times New Roman" w:hAnsi="Times New Roman"/>
                <w:sz w:val="24"/>
                <w:szCs w:val="24"/>
              </w:rPr>
            </w:pPr>
            <w:r w:rsidRPr="00DD318E">
              <w:rPr>
                <w:rFonts w:ascii="Times New Roman" w:hAnsi="Times New Roman"/>
                <w:sz w:val="24"/>
                <w:szCs w:val="24"/>
              </w:rPr>
              <w:t>Aprašo 33 punkte numatyta, kad projekto veikloms vykdyti naudojamų projekto vykdytojui ar partneriui priklausančių patalpų eksploatavimo išlaidos yra tinkamos finansuoti (išlaidos tinkamos, kai projekto vykdytojas veiklas (ar dalį jų) įgyvendina pats).</w:t>
            </w:r>
          </w:p>
          <w:p w:rsidR="00DD318E" w:rsidRDefault="00DD318E" w:rsidP="00DD318E">
            <w:pPr>
              <w:pStyle w:val="Preformatted"/>
              <w:tabs>
                <w:tab w:val="left" w:pos="1276"/>
              </w:tabs>
              <w:jc w:val="both"/>
            </w:pPr>
            <w:r w:rsidRPr="00DD318E">
              <w:rPr>
                <w:rFonts w:ascii="Times New Roman" w:hAnsi="Times New Roman"/>
                <w:sz w:val="24"/>
                <w:szCs w:val="24"/>
              </w:rPr>
              <w:t xml:space="preserve">Atsižvelgdami į tai, kad partneriu bus </w:t>
            </w:r>
            <w:proofErr w:type="spellStart"/>
            <w:r w:rsidRPr="00DD318E">
              <w:rPr>
                <w:rFonts w:ascii="Times New Roman" w:hAnsi="Times New Roman"/>
                <w:sz w:val="24"/>
                <w:szCs w:val="24"/>
              </w:rPr>
              <w:t>VšĮ</w:t>
            </w:r>
            <w:proofErr w:type="spellEnd"/>
            <w:r w:rsidRPr="00DD318E">
              <w:rPr>
                <w:rFonts w:ascii="Times New Roman" w:hAnsi="Times New Roman"/>
                <w:sz w:val="24"/>
                <w:szCs w:val="24"/>
              </w:rPr>
              <w:t xml:space="preserve"> Valstybės ir savivaldybių tarnautojų mokymo centras „Dainava“ (toliau – Partneris) įžvelgiame didelę riziką, kad kompensavus lėšas pagal pasirinktą modelį, kompensuotos lėšos gali tapti Partnerio gauta valstybės pagalba, kuri pa</w:t>
            </w:r>
            <w:r>
              <w:rPr>
                <w:rFonts w:ascii="Times New Roman" w:hAnsi="Times New Roman"/>
                <w:sz w:val="24"/>
                <w:szCs w:val="24"/>
              </w:rPr>
              <w:t>gal Aprašo 26 punktą neteikiama.</w:t>
            </w:r>
          </w:p>
          <w:p w:rsidR="00DD318E" w:rsidRPr="00DD318E" w:rsidRDefault="00DD318E" w:rsidP="00DD318E">
            <w:pPr>
              <w:pStyle w:val="Preformatted"/>
              <w:tabs>
                <w:tab w:val="left" w:pos="1276"/>
              </w:tabs>
              <w:jc w:val="both"/>
              <w:rPr>
                <w:rFonts w:ascii="Times New Roman" w:hAnsi="Times New Roman"/>
                <w:sz w:val="24"/>
                <w:szCs w:val="24"/>
              </w:rPr>
            </w:pPr>
            <w:r w:rsidRPr="00DD318E">
              <w:rPr>
                <w:rFonts w:ascii="Times New Roman" w:hAnsi="Times New Roman"/>
                <w:sz w:val="24"/>
                <w:szCs w:val="24"/>
              </w:rPr>
              <w:t xml:space="preserve">Agentūra įvertinusi, kad tenkinami visi valstybės pagalbos kriterijai, įžvelgia </w:t>
            </w:r>
            <w:r w:rsidRPr="00DD318E">
              <w:rPr>
                <w:rFonts w:ascii="Times New Roman" w:hAnsi="Times New Roman"/>
                <w:sz w:val="24"/>
                <w:szCs w:val="24"/>
              </w:rPr>
              <w:lastRenderedPageBreak/>
              <w:t xml:space="preserve">didelę riziką, kad pasirinkta Partnerio finansavimo schema reikš, kad Partneriui yra teikiama valstybės pagalba. </w:t>
            </w:r>
          </w:p>
          <w:p w:rsidR="00DD318E" w:rsidRPr="00F2066E" w:rsidRDefault="00DD318E" w:rsidP="00DD318E">
            <w:pPr>
              <w:pStyle w:val="Preformatted"/>
              <w:tabs>
                <w:tab w:val="clear" w:pos="959"/>
                <w:tab w:val="clear" w:pos="1918"/>
                <w:tab w:val="left" w:pos="1276"/>
              </w:tabs>
              <w:snapToGrid/>
              <w:jc w:val="both"/>
              <w:rPr>
                <w:rFonts w:ascii="Times New Roman" w:hAnsi="Times New Roman"/>
                <w:sz w:val="24"/>
                <w:szCs w:val="24"/>
              </w:rPr>
            </w:pPr>
            <w:r w:rsidRPr="00DD318E">
              <w:rPr>
                <w:rFonts w:ascii="Times New Roman" w:hAnsi="Times New Roman"/>
                <w:sz w:val="24"/>
                <w:szCs w:val="24"/>
              </w:rPr>
              <w:t>Siekdami eliminuoti galimą valstybės pagalbos pasireiškimo riziką, siūlome nurodyti, kad patalpų eksploatavimo išlaidos būtų perkamos vadovaujantis viešųjų pirkimų įstatymu. Perkant paslaugas/prekes pagal viešųjų pirkimų įstatymą yra laikoma, kad valstybės pagalba paslaugas/prekes teikiančiam ūkio subjektui yra neteikiama.</w:t>
            </w:r>
          </w:p>
        </w:tc>
        <w:tc>
          <w:tcPr>
            <w:tcW w:w="10489" w:type="dxa"/>
          </w:tcPr>
          <w:p w:rsidR="003C3173" w:rsidRPr="006C0814" w:rsidRDefault="00285354" w:rsidP="003C3173">
            <w:pPr>
              <w:jc w:val="both"/>
              <w:rPr>
                <w:rFonts w:ascii="Times New Roman" w:hAnsi="Times New Roman" w:cs="Times New Roman"/>
                <w:b/>
                <w:sz w:val="24"/>
                <w:szCs w:val="24"/>
              </w:rPr>
            </w:pPr>
            <w:r w:rsidRPr="006C0814">
              <w:rPr>
                <w:rFonts w:ascii="Times New Roman" w:hAnsi="Times New Roman" w:cs="Times New Roman"/>
                <w:b/>
                <w:sz w:val="24"/>
                <w:szCs w:val="24"/>
              </w:rPr>
              <w:lastRenderedPageBreak/>
              <w:t>Atsižvelgta iš dalies</w:t>
            </w:r>
            <w:r w:rsidR="003C3173" w:rsidRPr="006C0814">
              <w:rPr>
                <w:rFonts w:ascii="Times New Roman" w:hAnsi="Times New Roman" w:cs="Times New Roman"/>
                <w:b/>
                <w:sz w:val="24"/>
                <w:szCs w:val="24"/>
              </w:rPr>
              <w:t xml:space="preserve"> į Europos socialinio fondo agentūros</w:t>
            </w:r>
            <w:r w:rsidRPr="006C0814">
              <w:rPr>
                <w:rFonts w:ascii="Times New Roman" w:hAnsi="Times New Roman" w:cs="Times New Roman"/>
                <w:b/>
                <w:sz w:val="24"/>
                <w:szCs w:val="24"/>
              </w:rPr>
              <w:t xml:space="preserve"> 2016 m. sausio 19 d. raštu Nr.</w:t>
            </w:r>
            <w:r w:rsidR="003C3173" w:rsidRPr="006C0814">
              <w:rPr>
                <w:rFonts w:ascii="Times New Roman" w:hAnsi="Times New Roman" w:cs="Times New Roman"/>
                <w:b/>
                <w:sz w:val="24"/>
                <w:szCs w:val="24"/>
              </w:rPr>
              <w:t xml:space="preserve"> SB-2016-00051 pateiktą pastabą Nr.3 </w:t>
            </w:r>
            <w:r w:rsidR="00DD318E" w:rsidRPr="006C0814">
              <w:rPr>
                <w:rFonts w:ascii="Times New Roman" w:hAnsi="Times New Roman" w:cs="Times New Roman"/>
                <w:b/>
                <w:sz w:val="24"/>
                <w:szCs w:val="24"/>
              </w:rPr>
              <w:t>ir 2016 m. sausio 26 d. raštu Nr.  SB-2016-00071 pateiktas pastabas.</w:t>
            </w:r>
          </w:p>
          <w:p w:rsidR="006C0814" w:rsidRPr="006C0814" w:rsidRDefault="00AC6BFD" w:rsidP="00170887">
            <w:pPr>
              <w:jc w:val="both"/>
              <w:rPr>
                <w:rFonts w:ascii="Times New Roman" w:hAnsi="Times New Roman" w:cs="Times New Roman"/>
                <w:sz w:val="24"/>
                <w:szCs w:val="24"/>
              </w:rPr>
            </w:pPr>
            <w:r w:rsidRPr="006C0814">
              <w:rPr>
                <w:rFonts w:ascii="Times New Roman" w:hAnsi="Times New Roman" w:cs="Times New Roman"/>
                <w:sz w:val="24"/>
                <w:szCs w:val="24"/>
              </w:rPr>
              <w:t>Projekto veikloms vykdyti naudojamų projekto vykdytojui ar partneriui priklausanči</w:t>
            </w:r>
            <w:r w:rsidR="003C3173" w:rsidRPr="006C0814">
              <w:rPr>
                <w:rFonts w:ascii="Times New Roman" w:hAnsi="Times New Roman" w:cs="Times New Roman"/>
                <w:sz w:val="24"/>
                <w:szCs w:val="24"/>
              </w:rPr>
              <w:t xml:space="preserve">ų patalpų </w:t>
            </w:r>
            <w:r w:rsidR="003C3173" w:rsidRPr="006C0814">
              <w:rPr>
                <w:rFonts w:ascii="Times New Roman" w:hAnsi="Times New Roman" w:cs="Times New Roman"/>
                <w:sz w:val="24"/>
                <w:szCs w:val="24"/>
              </w:rPr>
              <w:lastRenderedPageBreak/>
              <w:t>eks</w:t>
            </w:r>
            <w:r w:rsidR="00217706" w:rsidRPr="006C0814">
              <w:rPr>
                <w:rFonts w:ascii="Times New Roman" w:hAnsi="Times New Roman" w:cs="Times New Roman"/>
                <w:sz w:val="24"/>
                <w:szCs w:val="24"/>
              </w:rPr>
              <w:t>ploatavimo išlaidų neatsisakyta, kadangi šios išlaidos vykdant projektą bus reikalingos.</w:t>
            </w:r>
            <w:r w:rsidR="00C70137">
              <w:rPr>
                <w:rFonts w:ascii="Times New Roman" w:hAnsi="Times New Roman" w:cs="Times New Roman"/>
                <w:sz w:val="24"/>
                <w:szCs w:val="24"/>
              </w:rPr>
              <w:t xml:space="preserve"> Įvertinus</w:t>
            </w:r>
            <w:r w:rsidR="00C05E20" w:rsidRPr="006C0814">
              <w:rPr>
                <w:rFonts w:ascii="Times New Roman" w:hAnsi="Times New Roman" w:cs="Times New Roman"/>
                <w:sz w:val="24"/>
                <w:szCs w:val="24"/>
              </w:rPr>
              <w:t xml:space="preserve"> tai, kad kompensavus minėtas lėšas, tokios lėšos gali tapti partnerio gauta valstyb</w:t>
            </w:r>
            <w:r w:rsidR="00C70137">
              <w:rPr>
                <w:rFonts w:ascii="Times New Roman" w:hAnsi="Times New Roman" w:cs="Times New Roman"/>
                <w:sz w:val="24"/>
                <w:szCs w:val="24"/>
              </w:rPr>
              <w:t>ės pagalba, Aprašą papildytas</w:t>
            </w:r>
            <w:r w:rsidR="00C05E20" w:rsidRPr="006C0814">
              <w:rPr>
                <w:rFonts w:ascii="Times New Roman" w:hAnsi="Times New Roman" w:cs="Times New Roman"/>
                <w:sz w:val="24"/>
                <w:szCs w:val="24"/>
              </w:rPr>
              <w:t xml:space="preserve"> 14 </w:t>
            </w:r>
            <w:r w:rsidR="006C0814" w:rsidRPr="006C0814">
              <w:rPr>
                <w:rFonts w:ascii="Times New Roman" w:hAnsi="Times New Roman" w:cs="Times New Roman"/>
                <w:sz w:val="24"/>
                <w:szCs w:val="24"/>
              </w:rPr>
              <w:t>punktu</w:t>
            </w:r>
            <w:r w:rsidR="00BD4738">
              <w:rPr>
                <w:rFonts w:ascii="Times New Roman" w:hAnsi="Times New Roman" w:cs="Times New Roman"/>
                <w:sz w:val="24"/>
                <w:szCs w:val="24"/>
              </w:rPr>
              <w:t>, kuriame nurodyta</w:t>
            </w:r>
            <w:r w:rsidR="00F00522" w:rsidRPr="006C0814">
              <w:rPr>
                <w:rFonts w:ascii="Times New Roman" w:hAnsi="Times New Roman" w:cs="Times New Roman"/>
                <w:sz w:val="24"/>
                <w:szCs w:val="24"/>
              </w:rPr>
              <w:t>, kad vykdant Aprašo 9 punkte nurodytą veiklą, valstyb</w:t>
            </w:r>
            <w:r w:rsidR="006C0814" w:rsidRPr="006C0814">
              <w:rPr>
                <w:rFonts w:ascii="Times New Roman" w:hAnsi="Times New Roman" w:cs="Times New Roman"/>
                <w:sz w:val="24"/>
                <w:szCs w:val="24"/>
              </w:rPr>
              <w:t xml:space="preserve">ės pagalba ir </w:t>
            </w:r>
            <w:proofErr w:type="spellStart"/>
            <w:r w:rsidR="006C0814" w:rsidRPr="006C0814">
              <w:rPr>
                <w:rFonts w:ascii="Times New Roman" w:hAnsi="Times New Roman" w:cs="Times New Roman"/>
                <w:sz w:val="24"/>
                <w:szCs w:val="24"/>
              </w:rPr>
              <w:t>de</w:t>
            </w:r>
            <w:proofErr w:type="spellEnd"/>
            <w:r w:rsidR="006C0814" w:rsidRPr="006C0814">
              <w:rPr>
                <w:rFonts w:ascii="Times New Roman" w:hAnsi="Times New Roman" w:cs="Times New Roman"/>
                <w:sz w:val="24"/>
                <w:szCs w:val="24"/>
              </w:rPr>
              <w:t xml:space="preserve"> </w:t>
            </w:r>
            <w:proofErr w:type="spellStart"/>
            <w:r w:rsidR="006C0814" w:rsidRPr="006C0814">
              <w:rPr>
                <w:rFonts w:ascii="Times New Roman" w:hAnsi="Times New Roman" w:cs="Times New Roman"/>
                <w:sz w:val="24"/>
                <w:szCs w:val="24"/>
              </w:rPr>
              <w:t>minimis</w:t>
            </w:r>
            <w:proofErr w:type="spellEnd"/>
            <w:r w:rsidR="006C0814" w:rsidRPr="006C0814">
              <w:rPr>
                <w:rFonts w:ascii="Times New Roman" w:hAnsi="Times New Roman" w:cs="Times New Roman"/>
                <w:sz w:val="24"/>
                <w:szCs w:val="24"/>
              </w:rPr>
              <w:t xml:space="preserve"> pagalba</w:t>
            </w:r>
            <w:r w:rsidR="00170887" w:rsidRPr="006C0814">
              <w:rPr>
                <w:rFonts w:ascii="Times New Roman" w:hAnsi="Times New Roman" w:cs="Times New Roman"/>
                <w:sz w:val="24"/>
                <w:szCs w:val="24"/>
              </w:rPr>
              <w:t xml:space="preserve"> </w:t>
            </w:r>
            <w:r w:rsidR="006C0814" w:rsidRPr="006C0814">
              <w:rPr>
                <w:rFonts w:ascii="Times New Roman" w:hAnsi="Times New Roman" w:cs="Times New Roman"/>
                <w:sz w:val="24"/>
                <w:szCs w:val="24"/>
              </w:rPr>
              <w:t xml:space="preserve">neteikiama. Pareiškėjas ir partneris negali gauti jokios ekonominės naudos - pagal Aprašą gali būti padengiamos tik faktinės pareiškėjo ir (ar) partnerio sąnaudos.  </w:t>
            </w:r>
          </w:p>
          <w:p w:rsidR="003C3173" w:rsidRPr="00F00522" w:rsidRDefault="003C3173" w:rsidP="00170887">
            <w:pPr>
              <w:jc w:val="both"/>
              <w:rPr>
                <w:rFonts w:ascii="Times New Roman" w:hAnsi="Times New Roman" w:cs="Times New Roman"/>
                <w:sz w:val="24"/>
                <w:szCs w:val="24"/>
                <w:highlight w:val="yellow"/>
              </w:rPr>
            </w:pPr>
          </w:p>
        </w:tc>
      </w:tr>
      <w:tr w:rsidR="00DE330A" w:rsidRPr="00CB4D3A" w:rsidTr="00543D8C">
        <w:tc>
          <w:tcPr>
            <w:tcW w:w="1526" w:type="dxa"/>
          </w:tcPr>
          <w:p w:rsidR="00DE330A" w:rsidRPr="00F2066E" w:rsidRDefault="00DE330A" w:rsidP="004264D6">
            <w:pPr>
              <w:pStyle w:val="Preformatted"/>
              <w:tabs>
                <w:tab w:val="clear" w:pos="0"/>
                <w:tab w:val="clear" w:pos="1918"/>
                <w:tab w:val="left" w:pos="851"/>
                <w:tab w:val="left" w:pos="1276"/>
              </w:tabs>
              <w:jc w:val="both"/>
              <w:rPr>
                <w:rFonts w:ascii="Times New Roman" w:hAnsi="Times New Roman"/>
                <w:sz w:val="24"/>
                <w:szCs w:val="24"/>
              </w:rPr>
            </w:pPr>
          </w:p>
        </w:tc>
        <w:tc>
          <w:tcPr>
            <w:tcW w:w="2977" w:type="dxa"/>
          </w:tcPr>
          <w:p w:rsidR="00DE330A" w:rsidRPr="00F2066E" w:rsidRDefault="002A24C0" w:rsidP="002A24C0">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4.</w:t>
            </w:r>
            <w:r>
              <w:t xml:space="preserve"> </w:t>
            </w:r>
            <w:r w:rsidRPr="002A24C0">
              <w:rPr>
                <w:rFonts w:ascii="Times New Roman" w:hAnsi="Times New Roman"/>
                <w:sz w:val="24"/>
                <w:szCs w:val="24"/>
              </w:rPr>
              <w:t>Vadovaudamiesi patvirtintos pavyzdinės projektų finansavimo sąlygų aprašo formos 54 punktu, siūlome patikslinti Aprašo 41 punktą.</w:t>
            </w:r>
          </w:p>
        </w:tc>
        <w:tc>
          <w:tcPr>
            <w:tcW w:w="10489" w:type="dxa"/>
          </w:tcPr>
          <w:p w:rsidR="00432FD5" w:rsidRDefault="00432FD5" w:rsidP="00EA4001">
            <w:pPr>
              <w:jc w:val="both"/>
              <w:rPr>
                <w:rFonts w:ascii="Times New Roman" w:hAnsi="Times New Roman" w:cs="Times New Roman"/>
                <w:b/>
                <w:sz w:val="24"/>
                <w:szCs w:val="24"/>
              </w:rPr>
            </w:pPr>
            <w:r>
              <w:rPr>
                <w:rFonts w:ascii="Times New Roman" w:hAnsi="Times New Roman" w:cs="Times New Roman"/>
                <w:b/>
                <w:sz w:val="24"/>
                <w:szCs w:val="24"/>
              </w:rPr>
              <w:t>Atsižvelgta.</w:t>
            </w:r>
          </w:p>
          <w:p w:rsidR="00DA2543" w:rsidRDefault="008C1C52" w:rsidP="00EA4001">
            <w:pPr>
              <w:jc w:val="both"/>
              <w:rPr>
                <w:rFonts w:ascii="Times New Roman" w:hAnsi="Times New Roman" w:cs="Times New Roman"/>
                <w:sz w:val="24"/>
                <w:szCs w:val="24"/>
              </w:rPr>
            </w:pPr>
            <w:r>
              <w:rPr>
                <w:rFonts w:ascii="Times New Roman" w:hAnsi="Times New Roman" w:cs="Times New Roman"/>
                <w:sz w:val="24"/>
                <w:szCs w:val="24"/>
              </w:rPr>
              <w:t xml:space="preserve">Aprašo </w:t>
            </w:r>
            <w:r w:rsidR="00DA2543">
              <w:rPr>
                <w:rFonts w:ascii="Times New Roman" w:hAnsi="Times New Roman" w:cs="Times New Roman"/>
                <w:sz w:val="24"/>
                <w:szCs w:val="24"/>
              </w:rPr>
              <w:t>41 punktas patikslintas pagal pavyzdinę</w:t>
            </w:r>
            <w:r w:rsidR="00DA2543" w:rsidRPr="00DA2543">
              <w:rPr>
                <w:rFonts w:ascii="Times New Roman" w:hAnsi="Times New Roman" w:cs="Times New Roman"/>
                <w:sz w:val="24"/>
                <w:szCs w:val="24"/>
              </w:rPr>
              <w:t xml:space="preserve"> projektų finansavim</w:t>
            </w:r>
            <w:r w:rsidR="00DA2543">
              <w:rPr>
                <w:rFonts w:ascii="Times New Roman" w:hAnsi="Times New Roman" w:cs="Times New Roman"/>
                <w:sz w:val="24"/>
                <w:szCs w:val="24"/>
              </w:rPr>
              <w:t>o sąlygų aprašo formą.</w:t>
            </w:r>
          </w:p>
          <w:p w:rsidR="00DE330A" w:rsidRPr="00F238BB" w:rsidRDefault="00DE330A" w:rsidP="00EA4001">
            <w:pPr>
              <w:jc w:val="both"/>
              <w:rPr>
                <w:rFonts w:ascii="Times New Roman" w:hAnsi="Times New Roman" w:cs="Times New Roman"/>
                <w:sz w:val="24"/>
                <w:szCs w:val="24"/>
              </w:rPr>
            </w:pPr>
          </w:p>
        </w:tc>
      </w:tr>
      <w:tr w:rsidR="00DE330A" w:rsidRPr="00CB4D3A" w:rsidTr="00543D8C">
        <w:tc>
          <w:tcPr>
            <w:tcW w:w="1526" w:type="dxa"/>
          </w:tcPr>
          <w:p w:rsidR="00DE330A" w:rsidRPr="00F2066E" w:rsidRDefault="00DE330A" w:rsidP="00284661">
            <w:pPr>
              <w:pStyle w:val="Preformatted"/>
              <w:tabs>
                <w:tab w:val="clear" w:pos="0"/>
                <w:tab w:val="clear" w:pos="1918"/>
                <w:tab w:val="left" w:pos="851"/>
                <w:tab w:val="left" w:pos="1276"/>
              </w:tabs>
              <w:jc w:val="both"/>
              <w:rPr>
                <w:rFonts w:ascii="Times New Roman" w:hAnsi="Times New Roman"/>
                <w:sz w:val="24"/>
                <w:szCs w:val="24"/>
              </w:rPr>
            </w:pPr>
          </w:p>
        </w:tc>
        <w:tc>
          <w:tcPr>
            <w:tcW w:w="2977" w:type="dxa"/>
          </w:tcPr>
          <w:p w:rsidR="00DE330A" w:rsidRPr="00F2066E" w:rsidRDefault="002A24C0" w:rsidP="002A24C0">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5.</w:t>
            </w:r>
            <w:r>
              <w:t xml:space="preserve"> </w:t>
            </w:r>
            <w:r w:rsidRPr="002A24C0">
              <w:rPr>
                <w:rFonts w:ascii="Times New Roman" w:hAnsi="Times New Roman"/>
                <w:sz w:val="24"/>
                <w:szCs w:val="24"/>
              </w:rPr>
              <w:t>Vadovaudamiesi patvirtintos pavyzdinės projektų finansavimo sąlygų aprašo formos 59 punktu, siūlome patikslinti Aprašo 44 punktą.</w:t>
            </w:r>
          </w:p>
        </w:tc>
        <w:tc>
          <w:tcPr>
            <w:tcW w:w="10489" w:type="dxa"/>
          </w:tcPr>
          <w:p w:rsidR="00DE330A" w:rsidRDefault="00170F59" w:rsidP="00746C01">
            <w:pPr>
              <w:jc w:val="both"/>
              <w:rPr>
                <w:rFonts w:ascii="Times New Roman" w:hAnsi="Times New Roman" w:cs="Times New Roman"/>
                <w:b/>
                <w:sz w:val="24"/>
                <w:szCs w:val="24"/>
              </w:rPr>
            </w:pPr>
            <w:r>
              <w:rPr>
                <w:rFonts w:ascii="Times New Roman" w:hAnsi="Times New Roman" w:cs="Times New Roman"/>
                <w:b/>
                <w:sz w:val="24"/>
                <w:szCs w:val="24"/>
              </w:rPr>
              <w:t>A</w:t>
            </w:r>
            <w:r w:rsidR="00DE330A" w:rsidRPr="00DE330A">
              <w:rPr>
                <w:rFonts w:ascii="Times New Roman" w:hAnsi="Times New Roman" w:cs="Times New Roman"/>
                <w:b/>
                <w:sz w:val="24"/>
                <w:szCs w:val="24"/>
              </w:rPr>
              <w:t xml:space="preserve">tsižvelgta. </w:t>
            </w:r>
          </w:p>
          <w:p w:rsidR="00DE330A" w:rsidRPr="00144ED2" w:rsidRDefault="009478E1" w:rsidP="009478E1">
            <w:pPr>
              <w:jc w:val="both"/>
              <w:rPr>
                <w:rFonts w:ascii="Times New Roman" w:hAnsi="Times New Roman" w:cs="Times New Roman"/>
                <w:sz w:val="24"/>
                <w:szCs w:val="24"/>
              </w:rPr>
            </w:pPr>
            <w:r>
              <w:rPr>
                <w:rFonts w:ascii="Times New Roman" w:hAnsi="Times New Roman" w:cs="Times New Roman"/>
                <w:sz w:val="24"/>
                <w:szCs w:val="24"/>
              </w:rPr>
              <w:t>Aprašo 44</w:t>
            </w:r>
            <w:r w:rsidRPr="009478E1">
              <w:rPr>
                <w:rFonts w:ascii="Times New Roman" w:hAnsi="Times New Roman" w:cs="Times New Roman"/>
                <w:sz w:val="24"/>
                <w:szCs w:val="24"/>
              </w:rPr>
              <w:t xml:space="preserve"> punktas patikslintas pagal pavyzdinę projektų finansavimo sąlygų aprašo formą.</w:t>
            </w:r>
          </w:p>
        </w:tc>
      </w:tr>
      <w:tr w:rsidR="00DE330A" w:rsidRPr="00CB4D3A" w:rsidTr="00543D8C">
        <w:tc>
          <w:tcPr>
            <w:tcW w:w="1526" w:type="dxa"/>
          </w:tcPr>
          <w:p w:rsidR="00DE330A" w:rsidRPr="00F2066E" w:rsidRDefault="00DE330A" w:rsidP="00284661">
            <w:pPr>
              <w:pStyle w:val="Preformatted"/>
              <w:tabs>
                <w:tab w:val="clear" w:pos="0"/>
                <w:tab w:val="clear" w:pos="1918"/>
                <w:tab w:val="left" w:pos="851"/>
                <w:tab w:val="left" w:pos="1276"/>
              </w:tabs>
              <w:jc w:val="both"/>
              <w:rPr>
                <w:rFonts w:ascii="Times New Roman" w:hAnsi="Times New Roman"/>
                <w:sz w:val="24"/>
                <w:szCs w:val="24"/>
              </w:rPr>
            </w:pPr>
          </w:p>
        </w:tc>
        <w:tc>
          <w:tcPr>
            <w:tcW w:w="2977" w:type="dxa"/>
          </w:tcPr>
          <w:p w:rsidR="00DE330A" w:rsidRPr="00F2066E" w:rsidRDefault="00432FD5" w:rsidP="002A24C0">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6</w:t>
            </w:r>
            <w:r w:rsidR="002A24C0">
              <w:rPr>
                <w:rFonts w:ascii="Times New Roman" w:hAnsi="Times New Roman"/>
                <w:sz w:val="24"/>
                <w:szCs w:val="24"/>
              </w:rPr>
              <w:t>.</w:t>
            </w:r>
            <w:r w:rsidR="00291534">
              <w:rPr>
                <w:rFonts w:ascii="Times New Roman" w:hAnsi="Times New Roman"/>
                <w:sz w:val="24"/>
                <w:szCs w:val="24"/>
              </w:rPr>
              <w:t xml:space="preserve"> </w:t>
            </w:r>
            <w:r w:rsidR="002A24C0" w:rsidRPr="002A24C0">
              <w:rPr>
                <w:rFonts w:ascii="Times New Roman" w:hAnsi="Times New Roman"/>
                <w:sz w:val="24"/>
                <w:szCs w:val="24"/>
              </w:rPr>
              <w:t xml:space="preserve">Vadovaudamiesi patvirtintos pavyzdinės projektų finansavimo sąlygų </w:t>
            </w:r>
            <w:r w:rsidR="002A24C0" w:rsidRPr="002A24C0">
              <w:rPr>
                <w:rFonts w:ascii="Times New Roman" w:hAnsi="Times New Roman"/>
                <w:sz w:val="24"/>
                <w:szCs w:val="24"/>
              </w:rPr>
              <w:lastRenderedPageBreak/>
              <w:t>aprašo formos 59.2 punktu, siūlome patikslinti Aprašo 44.2 punktą.</w:t>
            </w:r>
          </w:p>
        </w:tc>
        <w:tc>
          <w:tcPr>
            <w:tcW w:w="10489" w:type="dxa"/>
          </w:tcPr>
          <w:p w:rsidR="00DE330A" w:rsidRDefault="002A24C0" w:rsidP="002A24C0">
            <w:pPr>
              <w:rPr>
                <w:rFonts w:ascii="Times New Roman" w:hAnsi="Times New Roman" w:cs="Times New Roman"/>
                <w:b/>
                <w:sz w:val="24"/>
                <w:szCs w:val="24"/>
              </w:rPr>
            </w:pPr>
            <w:r w:rsidRPr="002A24C0">
              <w:rPr>
                <w:rFonts w:ascii="Times New Roman" w:hAnsi="Times New Roman" w:cs="Times New Roman"/>
                <w:b/>
                <w:sz w:val="24"/>
                <w:szCs w:val="24"/>
              </w:rPr>
              <w:lastRenderedPageBreak/>
              <w:t>Atsižvelgta.</w:t>
            </w:r>
          </w:p>
          <w:p w:rsidR="009478E1" w:rsidRPr="009478E1" w:rsidRDefault="009478E1" w:rsidP="002A24C0">
            <w:pPr>
              <w:rPr>
                <w:rFonts w:ascii="Times New Roman" w:hAnsi="Times New Roman" w:cs="Times New Roman"/>
                <w:sz w:val="24"/>
                <w:szCs w:val="24"/>
              </w:rPr>
            </w:pPr>
            <w:r w:rsidRPr="009478E1">
              <w:rPr>
                <w:rFonts w:ascii="Times New Roman" w:hAnsi="Times New Roman" w:cs="Times New Roman"/>
                <w:sz w:val="24"/>
                <w:szCs w:val="24"/>
              </w:rPr>
              <w:t>Aprašo 44.2 punktas patikslintas pagal pavyzdinę projektų finansavimo sąlygų aprašo formą.</w:t>
            </w:r>
          </w:p>
        </w:tc>
      </w:tr>
      <w:tr w:rsidR="002A24C0" w:rsidRPr="00CB4D3A" w:rsidTr="00543D8C">
        <w:tc>
          <w:tcPr>
            <w:tcW w:w="1526" w:type="dxa"/>
          </w:tcPr>
          <w:p w:rsidR="002A24C0" w:rsidRPr="00F2066E" w:rsidRDefault="002A24C0" w:rsidP="00284661">
            <w:pPr>
              <w:pStyle w:val="Preformatted"/>
              <w:tabs>
                <w:tab w:val="clear" w:pos="0"/>
                <w:tab w:val="clear" w:pos="1918"/>
                <w:tab w:val="left" w:pos="851"/>
                <w:tab w:val="left" w:pos="1276"/>
              </w:tabs>
              <w:jc w:val="both"/>
              <w:rPr>
                <w:rFonts w:ascii="Times New Roman" w:hAnsi="Times New Roman"/>
                <w:sz w:val="24"/>
                <w:szCs w:val="24"/>
              </w:rPr>
            </w:pPr>
          </w:p>
        </w:tc>
        <w:tc>
          <w:tcPr>
            <w:tcW w:w="2977" w:type="dxa"/>
          </w:tcPr>
          <w:p w:rsidR="002A24C0" w:rsidRDefault="002A24C0" w:rsidP="002A24C0">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7. </w:t>
            </w:r>
            <w:r w:rsidRPr="002A24C0">
              <w:rPr>
                <w:rFonts w:ascii="Times New Roman" w:hAnsi="Times New Roman"/>
                <w:sz w:val="24"/>
                <w:szCs w:val="24"/>
              </w:rPr>
              <w:t>Aprašo 1 priede prie kriterijaus 6.1 nurodyta, kad jis netaikomas. Atsižvelgdami į Aprašo 29 punktą siūlome, kad šis kriterijus būtų vertinamas.</w:t>
            </w:r>
          </w:p>
        </w:tc>
        <w:tc>
          <w:tcPr>
            <w:tcW w:w="10489" w:type="dxa"/>
          </w:tcPr>
          <w:p w:rsidR="009E73DC" w:rsidRDefault="009E73DC" w:rsidP="000D40E4">
            <w:pPr>
              <w:rPr>
                <w:rFonts w:ascii="Times New Roman" w:hAnsi="Times New Roman" w:cs="Times New Roman"/>
                <w:b/>
                <w:sz w:val="24"/>
                <w:szCs w:val="24"/>
              </w:rPr>
            </w:pPr>
            <w:r>
              <w:rPr>
                <w:rFonts w:ascii="Times New Roman" w:hAnsi="Times New Roman" w:cs="Times New Roman"/>
                <w:b/>
                <w:sz w:val="24"/>
                <w:szCs w:val="24"/>
              </w:rPr>
              <w:t>Atsižvelgta</w:t>
            </w:r>
            <w:r w:rsidR="009E236B">
              <w:rPr>
                <w:rFonts w:ascii="Times New Roman" w:hAnsi="Times New Roman" w:cs="Times New Roman"/>
                <w:b/>
                <w:sz w:val="24"/>
                <w:szCs w:val="24"/>
              </w:rPr>
              <w:t>.</w:t>
            </w:r>
          </w:p>
          <w:p w:rsidR="009E73DC" w:rsidRDefault="009E73DC" w:rsidP="000D40E4">
            <w:pPr>
              <w:rPr>
                <w:rFonts w:ascii="Times New Roman" w:hAnsi="Times New Roman" w:cs="Times New Roman"/>
                <w:b/>
                <w:sz w:val="24"/>
                <w:szCs w:val="24"/>
              </w:rPr>
            </w:pPr>
            <w:r>
              <w:rPr>
                <w:rFonts w:ascii="Times New Roman" w:hAnsi="Times New Roman" w:cs="Times New Roman"/>
                <w:sz w:val="24"/>
                <w:szCs w:val="24"/>
              </w:rPr>
              <w:t>Aprašo 1 priedo</w:t>
            </w:r>
            <w:r w:rsidRPr="009E73DC">
              <w:rPr>
                <w:rFonts w:ascii="Times New Roman" w:hAnsi="Times New Roman" w:cs="Times New Roman"/>
                <w:sz w:val="24"/>
                <w:szCs w:val="24"/>
              </w:rPr>
              <w:t xml:space="preserve"> </w:t>
            </w:r>
            <w:r>
              <w:rPr>
                <w:rFonts w:ascii="Times New Roman" w:hAnsi="Times New Roman" w:cs="Times New Roman"/>
                <w:sz w:val="24"/>
                <w:szCs w:val="24"/>
              </w:rPr>
              <w:t>kriterijus 6.1 buvo įvertintas.</w:t>
            </w:r>
          </w:p>
        </w:tc>
      </w:tr>
      <w:tr w:rsidR="002A24C0" w:rsidRPr="00CB4D3A" w:rsidTr="00543D8C">
        <w:tc>
          <w:tcPr>
            <w:tcW w:w="1526" w:type="dxa"/>
          </w:tcPr>
          <w:p w:rsidR="002A24C0" w:rsidRPr="00F2066E" w:rsidRDefault="002A24C0" w:rsidP="002A24C0">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t xml:space="preserve">Lietuvos Respublikos finansų ministerijos 2016 m. sausio 4 d. raštu Nr. ((4.59-2408)-5K-1526804)-6K-1600007 </w:t>
            </w:r>
            <w:r w:rsidRPr="002A24C0">
              <w:rPr>
                <w:rFonts w:ascii="Times New Roman" w:hAnsi="Times New Roman"/>
                <w:sz w:val="24"/>
                <w:szCs w:val="24"/>
              </w:rPr>
              <w:t>pateiktos pastabos</w:t>
            </w:r>
          </w:p>
        </w:tc>
        <w:tc>
          <w:tcPr>
            <w:tcW w:w="2977" w:type="dxa"/>
          </w:tcPr>
          <w:p w:rsidR="002A24C0" w:rsidRDefault="00A22605" w:rsidP="00A22605">
            <w:pPr>
              <w:pStyle w:val="Preformatted"/>
              <w:tabs>
                <w:tab w:val="clear" w:pos="959"/>
                <w:tab w:val="clear" w:pos="1918"/>
                <w:tab w:val="left" w:pos="1276"/>
              </w:tabs>
              <w:snapToGrid/>
              <w:jc w:val="both"/>
              <w:rPr>
                <w:rFonts w:ascii="Times New Roman" w:hAnsi="Times New Roman"/>
                <w:sz w:val="24"/>
                <w:szCs w:val="24"/>
              </w:rPr>
            </w:pPr>
            <w:r w:rsidRPr="00A22605">
              <w:rPr>
                <w:rFonts w:ascii="Times New Roman" w:hAnsi="Times New Roman"/>
                <w:sz w:val="24"/>
                <w:szCs w:val="24"/>
              </w:rPr>
              <w:t>1.</w:t>
            </w:r>
            <w:r>
              <w:rPr>
                <w:rFonts w:ascii="Times New Roman" w:hAnsi="Times New Roman"/>
                <w:sz w:val="24"/>
                <w:szCs w:val="24"/>
              </w:rPr>
              <w:t xml:space="preserve"> </w:t>
            </w:r>
            <w:r w:rsidR="009E236B">
              <w:rPr>
                <w:rFonts w:ascii="Times New Roman" w:hAnsi="Times New Roman"/>
                <w:sz w:val="24"/>
                <w:szCs w:val="24"/>
              </w:rPr>
              <w:t xml:space="preserve">Atsižvelgdami į 2014-2020 metų Europos Sąjungos fondų investicijų veiksmų programos administravimo taisyklių, patvirtintų Lietuvos Respublikos Vyriausybės (toliau – LRV) 2014 m. spalio 3 d. nutarimu Nr. 1090 „Dėl </w:t>
            </w:r>
            <w:r w:rsidR="009E236B" w:rsidRPr="009E236B">
              <w:rPr>
                <w:rFonts w:ascii="Times New Roman" w:hAnsi="Times New Roman"/>
                <w:sz w:val="24"/>
                <w:szCs w:val="24"/>
              </w:rPr>
              <w:t>2014-2020 metų Europos Sąjungos fondų investicijų veiksmų programos admin</w:t>
            </w:r>
            <w:r w:rsidR="009E236B">
              <w:rPr>
                <w:rFonts w:ascii="Times New Roman" w:hAnsi="Times New Roman"/>
                <w:sz w:val="24"/>
                <w:szCs w:val="24"/>
              </w:rPr>
              <w:t>istravimo taisyklių patvirtinimo“, 71 punktą, siūlome papildyti Aprašo 1 punktą, nurodant, jog Aprašas taikomas ir iš Europos Sąjungos struktūrinių fondų lėšų bendrai finansuojamų projektų (toliau – projektas) vykdytojams.</w:t>
            </w:r>
          </w:p>
        </w:tc>
        <w:tc>
          <w:tcPr>
            <w:tcW w:w="10489" w:type="dxa"/>
          </w:tcPr>
          <w:p w:rsidR="009E236B" w:rsidRDefault="009E236B" w:rsidP="000D40E4">
            <w:pPr>
              <w:rPr>
                <w:rFonts w:ascii="Times New Roman" w:hAnsi="Times New Roman" w:cs="Times New Roman"/>
                <w:b/>
                <w:sz w:val="24"/>
                <w:szCs w:val="24"/>
              </w:rPr>
            </w:pPr>
            <w:r>
              <w:rPr>
                <w:rFonts w:ascii="Times New Roman" w:hAnsi="Times New Roman" w:cs="Times New Roman"/>
                <w:b/>
                <w:sz w:val="24"/>
                <w:szCs w:val="24"/>
              </w:rPr>
              <w:t>Atsižvelgta.</w:t>
            </w:r>
          </w:p>
          <w:p w:rsidR="009E236B" w:rsidRPr="009E236B" w:rsidRDefault="009E236B" w:rsidP="000D40E4">
            <w:pPr>
              <w:rPr>
                <w:rFonts w:ascii="Times New Roman" w:hAnsi="Times New Roman" w:cs="Times New Roman"/>
                <w:sz w:val="24"/>
                <w:szCs w:val="24"/>
              </w:rPr>
            </w:pPr>
            <w:r w:rsidRPr="009E236B">
              <w:rPr>
                <w:rFonts w:ascii="Times New Roman" w:hAnsi="Times New Roman" w:cs="Times New Roman"/>
                <w:sz w:val="24"/>
                <w:szCs w:val="24"/>
              </w:rPr>
              <w:t>Patikslintas Aprašo 1 punktas.</w:t>
            </w:r>
          </w:p>
        </w:tc>
      </w:tr>
      <w:tr w:rsidR="00314A9C" w:rsidRPr="00CB4D3A" w:rsidTr="00543D8C">
        <w:tc>
          <w:tcPr>
            <w:tcW w:w="1526" w:type="dxa"/>
          </w:tcPr>
          <w:p w:rsidR="00314A9C" w:rsidRDefault="00314A9C" w:rsidP="002A24C0">
            <w:pPr>
              <w:pStyle w:val="Preformatted"/>
              <w:tabs>
                <w:tab w:val="clear" w:pos="0"/>
                <w:tab w:val="clear" w:pos="1918"/>
                <w:tab w:val="left" w:pos="851"/>
                <w:tab w:val="left" w:pos="1276"/>
              </w:tabs>
              <w:jc w:val="both"/>
              <w:rPr>
                <w:rFonts w:ascii="Times New Roman" w:hAnsi="Times New Roman"/>
                <w:sz w:val="24"/>
                <w:szCs w:val="24"/>
              </w:rPr>
            </w:pPr>
          </w:p>
        </w:tc>
        <w:tc>
          <w:tcPr>
            <w:tcW w:w="2977" w:type="dxa"/>
          </w:tcPr>
          <w:p w:rsidR="00314A9C" w:rsidRPr="00A22605" w:rsidRDefault="00314A9C" w:rsidP="00A22605">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2. </w:t>
            </w:r>
            <w:r w:rsidR="00365B0D">
              <w:rPr>
                <w:rFonts w:ascii="Times New Roman" w:hAnsi="Times New Roman"/>
                <w:sz w:val="24"/>
                <w:szCs w:val="24"/>
              </w:rPr>
              <w:t xml:space="preserve">Prašome patikslinti Apraše vartojamas sąvokas, jas suvienodinant su </w:t>
            </w:r>
            <w:r w:rsidR="00365B0D">
              <w:rPr>
                <w:rFonts w:ascii="Times New Roman" w:hAnsi="Times New Roman"/>
                <w:sz w:val="24"/>
                <w:szCs w:val="24"/>
              </w:rPr>
              <w:lastRenderedPageBreak/>
              <w:t xml:space="preserve">Atsakomybės ir funkcijų pasiskirstymo tarp institucijų, įgyvendinant 2014-2020 metų Europos Sąjungos struktūrinių fondų investicijų programą, taisyklių, patvirtintų LRV 2014 m. birželio 4 d. nutarimu Nr. 528 „Dėl Atsakomybės </w:t>
            </w:r>
            <w:r w:rsidR="00365B0D" w:rsidRPr="00365B0D">
              <w:rPr>
                <w:rFonts w:ascii="Times New Roman" w:hAnsi="Times New Roman"/>
                <w:sz w:val="24"/>
                <w:szCs w:val="24"/>
              </w:rPr>
              <w:t>ir funkcijų pasiskirstymo tarp institucijų, įgyvendinant 2014-2020 metų Europos Sąjungos struktūrinių fondų investicijų program</w:t>
            </w:r>
            <w:r w:rsidR="00365B0D">
              <w:rPr>
                <w:rFonts w:ascii="Times New Roman" w:hAnsi="Times New Roman"/>
                <w:sz w:val="24"/>
                <w:szCs w:val="24"/>
              </w:rPr>
              <w:t xml:space="preserve">ą“, 2 punkte nustatytomis sąvokomis (pvz., Aprašo 2.7 papunktyje vartojamą sąvoką „interneto svetainė </w:t>
            </w:r>
            <w:hyperlink r:id="rId9" w:history="1">
              <w:r w:rsidR="00365B0D" w:rsidRPr="002C234A">
                <w:rPr>
                  <w:rStyle w:val="Hipersaitas"/>
                  <w:rFonts w:ascii="Times New Roman" w:hAnsi="Times New Roman"/>
                  <w:sz w:val="24"/>
                  <w:szCs w:val="24"/>
                </w:rPr>
                <w:t>www.esinvesticijos.lt</w:t>
              </w:r>
            </w:hyperlink>
            <w:r w:rsidR="00365B0D">
              <w:rPr>
                <w:rFonts w:ascii="Times New Roman" w:hAnsi="Times New Roman"/>
                <w:sz w:val="24"/>
                <w:szCs w:val="24"/>
              </w:rPr>
              <w:t>“, taip pat sąvokas, vartojamas Aprašo 7, 55 ir kituose punktuose).</w:t>
            </w:r>
          </w:p>
        </w:tc>
        <w:tc>
          <w:tcPr>
            <w:tcW w:w="10489" w:type="dxa"/>
          </w:tcPr>
          <w:p w:rsidR="00314A9C" w:rsidRDefault="00365B0D" w:rsidP="000D40E4">
            <w:pPr>
              <w:rPr>
                <w:rFonts w:ascii="Times New Roman" w:hAnsi="Times New Roman" w:cs="Times New Roman"/>
                <w:b/>
                <w:sz w:val="24"/>
                <w:szCs w:val="24"/>
              </w:rPr>
            </w:pPr>
            <w:r>
              <w:rPr>
                <w:rFonts w:ascii="Times New Roman" w:hAnsi="Times New Roman" w:cs="Times New Roman"/>
                <w:b/>
                <w:sz w:val="24"/>
                <w:szCs w:val="24"/>
              </w:rPr>
              <w:lastRenderedPageBreak/>
              <w:t xml:space="preserve">Atsižvelgta iš dalies. </w:t>
            </w:r>
          </w:p>
          <w:p w:rsidR="00365B0D" w:rsidRPr="00365B0D" w:rsidRDefault="00365B0D" w:rsidP="000D40E4">
            <w:pPr>
              <w:rPr>
                <w:rFonts w:ascii="Times New Roman" w:hAnsi="Times New Roman" w:cs="Times New Roman"/>
                <w:sz w:val="24"/>
                <w:szCs w:val="24"/>
              </w:rPr>
            </w:pPr>
            <w:r w:rsidRPr="00365B0D">
              <w:rPr>
                <w:rFonts w:ascii="Times New Roman" w:hAnsi="Times New Roman" w:cs="Times New Roman"/>
                <w:sz w:val="24"/>
                <w:szCs w:val="24"/>
              </w:rPr>
              <w:t>Patikslintos sąvokos Aprašo 2, 55 punktuose.</w:t>
            </w:r>
          </w:p>
        </w:tc>
      </w:tr>
      <w:tr w:rsidR="00314A9C" w:rsidRPr="00CB4D3A" w:rsidTr="00543D8C">
        <w:tc>
          <w:tcPr>
            <w:tcW w:w="1526" w:type="dxa"/>
          </w:tcPr>
          <w:p w:rsidR="00314A9C" w:rsidRDefault="00314A9C" w:rsidP="002A24C0">
            <w:pPr>
              <w:pStyle w:val="Preformatted"/>
              <w:tabs>
                <w:tab w:val="clear" w:pos="0"/>
                <w:tab w:val="clear" w:pos="1918"/>
                <w:tab w:val="left" w:pos="851"/>
                <w:tab w:val="left" w:pos="1276"/>
              </w:tabs>
              <w:jc w:val="both"/>
              <w:rPr>
                <w:rFonts w:ascii="Times New Roman" w:hAnsi="Times New Roman"/>
                <w:sz w:val="24"/>
                <w:szCs w:val="24"/>
              </w:rPr>
            </w:pPr>
          </w:p>
        </w:tc>
        <w:tc>
          <w:tcPr>
            <w:tcW w:w="2977" w:type="dxa"/>
          </w:tcPr>
          <w:p w:rsidR="00314A9C" w:rsidRDefault="00314A9C" w:rsidP="00A22605">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3.</w:t>
            </w:r>
            <w:r w:rsidR="003E7EA3">
              <w:rPr>
                <w:rFonts w:ascii="Times New Roman" w:hAnsi="Times New Roman"/>
                <w:sz w:val="24"/>
                <w:szCs w:val="24"/>
              </w:rPr>
              <w:t xml:space="preserve"> </w:t>
            </w:r>
            <w:r w:rsidR="00C11064">
              <w:rPr>
                <w:rFonts w:ascii="Times New Roman" w:hAnsi="Times New Roman"/>
                <w:sz w:val="24"/>
                <w:szCs w:val="24"/>
              </w:rPr>
              <w:t xml:space="preserve">Priemonės Nr. 924 įgyvendinimo plano pagrindimo, kuriam buvo pritarta Finansų ministerijos 2015 m. rugpjūčio 17 d. raštu Nr. (24.39)-5K-1508791-5K-1509378-6K-1505326-5K-1516290-5K-1517103)-6K-1506123 „Dėl priemonių įgyvendinimo plano ir projekto derinimo ir </w:t>
            </w:r>
            <w:r w:rsidR="00C11064">
              <w:rPr>
                <w:rFonts w:ascii="Times New Roman" w:hAnsi="Times New Roman"/>
                <w:sz w:val="24"/>
                <w:szCs w:val="24"/>
              </w:rPr>
              <w:lastRenderedPageBreak/>
              <w:t xml:space="preserve">projektų atrankos kriterijų nustatymo“ 19 punkte nurodyta, kad siekiant sumažinti dvigubo finansavimo riziką, susitarta, kad projektų paraiškų rengimo stadijoje, pareiškėjai bendradarbiaus su Finansų ministerija derinant mokymų programas (temas ir (ar) tikslines grupes), o Vidaus reikalų ministerija informuos Finansų ministeriją apie priemonės Nr. 924 valstybės projektų sąrašo sudarymą ir nusiųs projektinius pasiūlymus. Siekdami </w:t>
            </w:r>
            <w:r w:rsidR="007928E4">
              <w:rPr>
                <w:rFonts w:ascii="Times New Roman" w:hAnsi="Times New Roman"/>
                <w:sz w:val="24"/>
                <w:szCs w:val="24"/>
              </w:rPr>
              <w:t xml:space="preserve">užtikrinti tinkamą pagal priemonę Nr. 924 ir priemonę Nr. 210 finansuojamų veiklų atskyrimą, siūlome Aprašo 6 skyriuje ‚Projektų įgyvendinimo reikalavimai“ nustatyti reikalavimą projektų vykdytojams paraiškų rengimo stadijoje ir įgyvendinant projektus, t.y. planuojant konkrečias mokymo veiklas, bendradarbiauti su Finansų ministerija derinant mokymo programas (temas </w:t>
            </w:r>
            <w:r w:rsidR="007928E4">
              <w:rPr>
                <w:rFonts w:ascii="Times New Roman" w:hAnsi="Times New Roman"/>
                <w:sz w:val="24"/>
                <w:szCs w:val="24"/>
              </w:rPr>
              <w:lastRenderedPageBreak/>
              <w:t>ir (ar) tikslines grupes).</w:t>
            </w:r>
          </w:p>
        </w:tc>
        <w:tc>
          <w:tcPr>
            <w:tcW w:w="10489" w:type="dxa"/>
          </w:tcPr>
          <w:p w:rsidR="00314A9C" w:rsidRDefault="003F019C" w:rsidP="000D40E4">
            <w:pPr>
              <w:rPr>
                <w:rFonts w:ascii="Times New Roman" w:hAnsi="Times New Roman" w:cs="Times New Roman"/>
                <w:b/>
                <w:sz w:val="24"/>
                <w:szCs w:val="24"/>
              </w:rPr>
            </w:pPr>
            <w:r>
              <w:rPr>
                <w:rFonts w:ascii="Times New Roman" w:hAnsi="Times New Roman" w:cs="Times New Roman"/>
                <w:b/>
                <w:sz w:val="24"/>
                <w:szCs w:val="24"/>
              </w:rPr>
              <w:lastRenderedPageBreak/>
              <w:t>Atsižvelgta.</w:t>
            </w:r>
          </w:p>
          <w:p w:rsidR="00A870DB" w:rsidRPr="00A870DB" w:rsidRDefault="00A870DB" w:rsidP="000D40E4">
            <w:pPr>
              <w:rPr>
                <w:rFonts w:ascii="Times New Roman" w:hAnsi="Times New Roman" w:cs="Times New Roman"/>
                <w:sz w:val="24"/>
                <w:szCs w:val="24"/>
              </w:rPr>
            </w:pPr>
            <w:r w:rsidRPr="00A870DB">
              <w:rPr>
                <w:rFonts w:ascii="Times New Roman" w:hAnsi="Times New Roman" w:cs="Times New Roman"/>
                <w:sz w:val="24"/>
                <w:szCs w:val="24"/>
              </w:rPr>
              <w:t>Patikslintas Aprašo 23.1 papunktis.</w:t>
            </w:r>
          </w:p>
        </w:tc>
      </w:tr>
      <w:tr w:rsidR="00314A9C" w:rsidRPr="00CB4D3A" w:rsidTr="00543D8C">
        <w:tc>
          <w:tcPr>
            <w:tcW w:w="1526" w:type="dxa"/>
          </w:tcPr>
          <w:p w:rsidR="00314A9C" w:rsidRDefault="00314A9C" w:rsidP="002A24C0">
            <w:pPr>
              <w:pStyle w:val="Preformatted"/>
              <w:tabs>
                <w:tab w:val="clear" w:pos="0"/>
                <w:tab w:val="clear" w:pos="1918"/>
                <w:tab w:val="left" w:pos="851"/>
                <w:tab w:val="left" w:pos="1276"/>
              </w:tabs>
              <w:jc w:val="both"/>
              <w:rPr>
                <w:rFonts w:ascii="Times New Roman" w:hAnsi="Times New Roman"/>
                <w:sz w:val="24"/>
                <w:szCs w:val="24"/>
              </w:rPr>
            </w:pPr>
          </w:p>
        </w:tc>
        <w:tc>
          <w:tcPr>
            <w:tcW w:w="2977" w:type="dxa"/>
          </w:tcPr>
          <w:p w:rsidR="00314A9C" w:rsidRDefault="00314A9C" w:rsidP="00A22605">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4.</w:t>
            </w:r>
            <w:r w:rsidR="00F003E2">
              <w:rPr>
                <w:rFonts w:ascii="Times New Roman" w:hAnsi="Times New Roman"/>
                <w:sz w:val="24"/>
                <w:szCs w:val="24"/>
              </w:rPr>
              <w:t>Atsižvelgiant į tai, kad Aprašo 39 punkte yra nustatyta, kad galimi pareiškėjai iki kvietime teikti projektinį pasiūlymą nustatytos datos kartu su projektiniu pasiūlymu Vidaus reikalų ministerijai turi pateikti viešojo valdymo institucijų darbuotojų mokymo turiniui ir tikslinėms grupėms detalizuoti analizės ataskaitą, prašome Vidaus reikalų ministerijos įvertinti ar kartu su projektiniais pasiūlymais Finansų ministerijai neturėtų būti pateikiama ir minėtos analizės ataskait</w:t>
            </w:r>
            <w:r w:rsidR="003F27AE">
              <w:rPr>
                <w:rFonts w:ascii="Times New Roman" w:hAnsi="Times New Roman"/>
                <w:sz w:val="24"/>
                <w:szCs w:val="24"/>
              </w:rPr>
              <w:t>a</w:t>
            </w:r>
            <w:r w:rsidR="00F003E2">
              <w:rPr>
                <w:rFonts w:ascii="Times New Roman" w:hAnsi="Times New Roman"/>
                <w:sz w:val="24"/>
                <w:szCs w:val="24"/>
              </w:rPr>
              <w:t>, kadangi joje gali būti mokymo renginių vykdymui ir atitinkamai mokymo veiklų koordinavimui tarp priemonės Nr. 924 ir priemonės Nr. 210 aktuali informacija.</w:t>
            </w:r>
          </w:p>
        </w:tc>
        <w:tc>
          <w:tcPr>
            <w:tcW w:w="10489" w:type="dxa"/>
          </w:tcPr>
          <w:p w:rsidR="007F15CA" w:rsidRPr="00B42C2B" w:rsidRDefault="007F15CA" w:rsidP="008850B0">
            <w:pPr>
              <w:rPr>
                <w:rFonts w:ascii="Times New Roman" w:hAnsi="Times New Roman" w:cs="Times New Roman"/>
                <w:b/>
                <w:sz w:val="24"/>
                <w:szCs w:val="24"/>
              </w:rPr>
            </w:pPr>
            <w:r w:rsidRPr="00B42C2B">
              <w:rPr>
                <w:rFonts w:ascii="Times New Roman" w:hAnsi="Times New Roman" w:cs="Times New Roman"/>
                <w:b/>
                <w:sz w:val="24"/>
                <w:szCs w:val="24"/>
              </w:rPr>
              <w:t>Atsižvelgta iš dalies.</w:t>
            </w:r>
          </w:p>
          <w:p w:rsidR="008850B0" w:rsidRPr="008850B0" w:rsidRDefault="008850B0" w:rsidP="008850B0">
            <w:pPr>
              <w:rPr>
                <w:rFonts w:ascii="Times New Roman" w:hAnsi="Times New Roman" w:cs="Times New Roman"/>
                <w:sz w:val="24"/>
                <w:szCs w:val="24"/>
              </w:rPr>
            </w:pPr>
            <w:r w:rsidRPr="00B42C2B">
              <w:rPr>
                <w:rFonts w:ascii="Times New Roman" w:hAnsi="Times New Roman" w:cs="Times New Roman"/>
                <w:sz w:val="24"/>
                <w:szCs w:val="24"/>
              </w:rPr>
              <w:t>Aprašo 23.1 papunktyje yra nustatyta, kad pareiškėjas su Lietuvos Respublikos finansų ministerija turi suderinti projektiniuose pasiūlymuose planuojamas mokymų tikslines grupes ir mokymo turinį, taip užtikrindamas veiklų dvigubo finansavimo rizikos su Lietuvos Respublikos finansų ministerijos priemone Nr. 11.0.1-CPVA-V-201 „Veiksmų program</w:t>
            </w:r>
            <w:r w:rsidR="007F15CA" w:rsidRPr="00B42C2B">
              <w:rPr>
                <w:rFonts w:ascii="Times New Roman" w:hAnsi="Times New Roman" w:cs="Times New Roman"/>
                <w:sz w:val="24"/>
                <w:szCs w:val="24"/>
              </w:rPr>
              <w:t>os administravimas“ prevenciją. Šiame papunktyje nėra nustatyta, kokia forma pareiškėjas turi suderinti su  Lietuvos Respublikos finansų ministerija planuojamas mokymų tikslines grupes ir mokymo turinį, tai gali būti darbuotojų mokymo turiniui ir tikslinėms grupėms detalizuoti skirtas tyrimas, tokio tyrimo ataskaita ar pan.</w:t>
            </w:r>
            <w:r w:rsidR="007F15CA">
              <w:rPr>
                <w:rFonts w:ascii="Times New Roman" w:hAnsi="Times New Roman" w:cs="Times New Roman"/>
                <w:sz w:val="24"/>
                <w:szCs w:val="24"/>
              </w:rPr>
              <w:t xml:space="preserve"> </w:t>
            </w:r>
          </w:p>
          <w:p w:rsidR="008850B0" w:rsidRDefault="008850B0" w:rsidP="008850B0">
            <w:pPr>
              <w:rPr>
                <w:rFonts w:ascii="Times New Roman" w:hAnsi="Times New Roman" w:cs="Times New Roman"/>
                <w:b/>
                <w:sz w:val="24"/>
                <w:szCs w:val="24"/>
              </w:rPr>
            </w:pPr>
          </w:p>
          <w:p w:rsidR="00314A9C" w:rsidRPr="003B589A" w:rsidRDefault="00314A9C" w:rsidP="008850B0">
            <w:pPr>
              <w:rPr>
                <w:rFonts w:ascii="Times New Roman" w:hAnsi="Times New Roman" w:cs="Times New Roman"/>
                <w:b/>
                <w:sz w:val="24"/>
                <w:szCs w:val="24"/>
              </w:rPr>
            </w:pPr>
          </w:p>
        </w:tc>
      </w:tr>
      <w:tr w:rsidR="00314A9C" w:rsidRPr="00CB4D3A" w:rsidTr="00543D8C">
        <w:tc>
          <w:tcPr>
            <w:tcW w:w="1526" w:type="dxa"/>
          </w:tcPr>
          <w:p w:rsidR="00314A9C" w:rsidRDefault="00314A9C" w:rsidP="002A24C0">
            <w:pPr>
              <w:pStyle w:val="Preformatted"/>
              <w:tabs>
                <w:tab w:val="clear" w:pos="0"/>
                <w:tab w:val="clear" w:pos="1918"/>
                <w:tab w:val="left" w:pos="851"/>
                <w:tab w:val="left" w:pos="1276"/>
              </w:tabs>
              <w:jc w:val="both"/>
              <w:rPr>
                <w:rFonts w:ascii="Times New Roman" w:hAnsi="Times New Roman"/>
                <w:sz w:val="24"/>
                <w:szCs w:val="24"/>
              </w:rPr>
            </w:pPr>
          </w:p>
        </w:tc>
        <w:tc>
          <w:tcPr>
            <w:tcW w:w="2977" w:type="dxa"/>
          </w:tcPr>
          <w:p w:rsidR="00314A9C" w:rsidRDefault="00314A9C" w:rsidP="00A22605">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5.</w:t>
            </w:r>
            <w:r w:rsidR="00F003E2">
              <w:rPr>
                <w:rFonts w:ascii="Times New Roman" w:hAnsi="Times New Roman"/>
                <w:sz w:val="24"/>
                <w:szCs w:val="24"/>
              </w:rPr>
              <w:t xml:space="preserve"> </w:t>
            </w:r>
            <w:r w:rsidR="00365B0D">
              <w:rPr>
                <w:rFonts w:ascii="Times New Roman" w:hAnsi="Times New Roman"/>
                <w:sz w:val="24"/>
                <w:szCs w:val="24"/>
              </w:rPr>
              <w:t xml:space="preserve">Siūlome patikslinti Aprašo 33 punkto 4 išlaidų kategorijos „Projekto vykdymas“ 4.7 papunktį, ir jį išdėstyti taip: „...iš ES </w:t>
            </w:r>
            <w:proofErr w:type="spellStart"/>
            <w:r w:rsidR="00365B0D">
              <w:rPr>
                <w:rFonts w:ascii="Times New Roman" w:hAnsi="Times New Roman"/>
                <w:sz w:val="24"/>
                <w:szCs w:val="24"/>
              </w:rPr>
              <w:t>struktūrin</w:t>
            </w:r>
            <w:r w:rsidR="00232E05" w:rsidRPr="00232E05">
              <w:rPr>
                <w:rFonts w:ascii="Times New Roman" w:hAnsi="Times New Roman"/>
                <w:strike/>
                <w:sz w:val="24"/>
                <w:szCs w:val="24"/>
              </w:rPr>
              <w:t>ės</w:t>
            </w:r>
            <w:r w:rsidR="00365B0D" w:rsidRPr="00232E05">
              <w:rPr>
                <w:rFonts w:ascii="Times New Roman" w:hAnsi="Times New Roman"/>
                <w:b/>
                <w:sz w:val="24"/>
                <w:szCs w:val="24"/>
              </w:rPr>
              <w:t>ių</w:t>
            </w:r>
            <w:proofErr w:type="spellEnd"/>
            <w:r w:rsidR="00365B0D">
              <w:rPr>
                <w:rFonts w:ascii="Times New Roman" w:hAnsi="Times New Roman"/>
                <w:sz w:val="24"/>
                <w:szCs w:val="24"/>
              </w:rPr>
              <w:t xml:space="preserve"> </w:t>
            </w:r>
            <w:r w:rsidR="00365B0D" w:rsidRPr="00365B0D">
              <w:rPr>
                <w:rFonts w:ascii="Times New Roman" w:hAnsi="Times New Roman"/>
                <w:b/>
                <w:sz w:val="24"/>
                <w:szCs w:val="24"/>
              </w:rPr>
              <w:t>fondų</w:t>
            </w:r>
            <w:r w:rsidR="00365B0D">
              <w:rPr>
                <w:rFonts w:ascii="Times New Roman" w:hAnsi="Times New Roman"/>
                <w:sz w:val="24"/>
                <w:szCs w:val="24"/>
              </w:rPr>
              <w:t xml:space="preserve">, kitos </w:t>
            </w:r>
            <w:r w:rsidR="00365B0D">
              <w:rPr>
                <w:rFonts w:ascii="Times New Roman" w:hAnsi="Times New Roman"/>
                <w:sz w:val="24"/>
                <w:szCs w:val="24"/>
              </w:rPr>
              <w:lastRenderedPageBreak/>
              <w:t>ES finansinės paramos ir tarptautinės finansinės paramos...“.</w:t>
            </w:r>
          </w:p>
        </w:tc>
        <w:tc>
          <w:tcPr>
            <w:tcW w:w="10489" w:type="dxa"/>
          </w:tcPr>
          <w:p w:rsidR="00314A9C" w:rsidRDefault="00154D68" w:rsidP="000D40E4">
            <w:pPr>
              <w:rPr>
                <w:rFonts w:ascii="Times New Roman" w:hAnsi="Times New Roman" w:cs="Times New Roman"/>
                <w:b/>
                <w:sz w:val="24"/>
                <w:szCs w:val="24"/>
              </w:rPr>
            </w:pPr>
            <w:r>
              <w:rPr>
                <w:rFonts w:ascii="Times New Roman" w:hAnsi="Times New Roman" w:cs="Times New Roman"/>
                <w:b/>
                <w:sz w:val="24"/>
                <w:szCs w:val="24"/>
              </w:rPr>
              <w:lastRenderedPageBreak/>
              <w:t>Atsižvelgta.</w:t>
            </w:r>
          </w:p>
          <w:p w:rsidR="00154D68" w:rsidRPr="00154D68" w:rsidRDefault="00154D68" w:rsidP="000D40E4">
            <w:pPr>
              <w:rPr>
                <w:rFonts w:ascii="Times New Roman" w:hAnsi="Times New Roman" w:cs="Times New Roman"/>
                <w:sz w:val="24"/>
                <w:szCs w:val="24"/>
              </w:rPr>
            </w:pPr>
            <w:r w:rsidRPr="00154D68">
              <w:rPr>
                <w:rFonts w:ascii="Times New Roman" w:hAnsi="Times New Roman" w:cs="Times New Roman"/>
                <w:sz w:val="24"/>
                <w:szCs w:val="24"/>
              </w:rPr>
              <w:t>Patikslintas Aprašo 33 punkto 5 išlaidų kategorijos „Projekto vykdymas“ 5.7 papunktis.</w:t>
            </w:r>
          </w:p>
        </w:tc>
      </w:tr>
    </w:tbl>
    <w:p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lastRenderedPageBreak/>
        <w:t>____________________________</w:t>
      </w:r>
    </w:p>
    <w:sectPr w:rsidR="00CF5CF4" w:rsidRPr="00BE57EC" w:rsidSect="004264D6">
      <w:headerReference w:type="default" r:id="rId10"/>
      <w:footerReference w:type="default" r:id="rId11"/>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8BB" w:rsidRDefault="006E18BB" w:rsidP="00CF5CF4">
      <w:pPr>
        <w:spacing w:after="0" w:line="240" w:lineRule="auto"/>
      </w:pPr>
      <w:r>
        <w:separator/>
      </w:r>
    </w:p>
  </w:endnote>
  <w:endnote w:type="continuationSeparator" w:id="0">
    <w:p w:rsidR="006E18BB" w:rsidRDefault="006E18BB"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D6" w:rsidRDefault="004264D6">
    <w:pPr>
      <w:pStyle w:val="Porat"/>
    </w:pPr>
  </w:p>
  <w:p w:rsidR="004264D6" w:rsidRDefault="004264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8BB" w:rsidRDefault="006E18BB" w:rsidP="00CF5CF4">
      <w:pPr>
        <w:spacing w:after="0" w:line="240" w:lineRule="auto"/>
      </w:pPr>
      <w:r>
        <w:separator/>
      </w:r>
    </w:p>
  </w:footnote>
  <w:footnote w:type="continuationSeparator" w:id="0">
    <w:p w:rsidR="006E18BB" w:rsidRDefault="006E18BB" w:rsidP="00CF5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1993"/>
      <w:docPartObj>
        <w:docPartGallery w:val="Page Numbers (Top of Page)"/>
        <w:docPartUnique/>
      </w:docPartObj>
    </w:sdtPr>
    <w:sdtEndPr>
      <w:rPr>
        <w:rFonts w:ascii="Times New Roman" w:hAnsi="Times New Roman" w:cs="Times New Roman"/>
        <w:noProof/>
      </w:rPr>
    </w:sdtEndPr>
    <w:sdtContent>
      <w:p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1E176D">
          <w:rPr>
            <w:rFonts w:ascii="Times New Roman" w:hAnsi="Times New Roman" w:cs="Times New Roman"/>
            <w:noProof/>
          </w:rPr>
          <w:t>8</w:t>
        </w:r>
        <w:r w:rsidRPr="00CF5CF4">
          <w:rPr>
            <w:rFonts w:ascii="Times New Roman" w:hAnsi="Times New Roman" w:cs="Times New Roman"/>
            <w:noProof/>
          </w:rPr>
          <w:fldChar w:fldCharType="end"/>
        </w:r>
      </w:p>
    </w:sdtContent>
  </w:sdt>
  <w:p w:rsidR="004264D6" w:rsidRDefault="004264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CD901EC"/>
    <w:multiLevelType w:val="hybridMultilevel"/>
    <w:tmpl w:val="50949D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5"/>
  </w:num>
  <w:num w:numId="4">
    <w:abstractNumId w:val="15"/>
  </w:num>
  <w:num w:numId="5">
    <w:abstractNumId w:val="23"/>
  </w:num>
  <w:num w:numId="6">
    <w:abstractNumId w:val="12"/>
  </w:num>
  <w:num w:numId="7">
    <w:abstractNumId w:val="16"/>
  </w:num>
  <w:num w:numId="8">
    <w:abstractNumId w:val="21"/>
  </w:num>
  <w:num w:numId="9">
    <w:abstractNumId w:val="1"/>
  </w:num>
  <w:num w:numId="10">
    <w:abstractNumId w:val="9"/>
  </w:num>
  <w:num w:numId="11">
    <w:abstractNumId w:val="0"/>
  </w:num>
  <w:num w:numId="12">
    <w:abstractNumId w:val="19"/>
  </w:num>
  <w:num w:numId="13">
    <w:abstractNumId w:val="6"/>
  </w:num>
  <w:num w:numId="14">
    <w:abstractNumId w:val="10"/>
  </w:num>
  <w:num w:numId="15">
    <w:abstractNumId w:val="24"/>
  </w:num>
  <w:num w:numId="16">
    <w:abstractNumId w:val="20"/>
  </w:num>
  <w:num w:numId="17">
    <w:abstractNumId w:val="4"/>
  </w:num>
  <w:num w:numId="18">
    <w:abstractNumId w:val="8"/>
  </w:num>
  <w:num w:numId="19">
    <w:abstractNumId w:val="18"/>
  </w:num>
  <w:num w:numId="20">
    <w:abstractNumId w:val="7"/>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4"/>
  </w:num>
  <w:num w:numId="24">
    <w:abstractNumId w:val="11"/>
  </w:num>
  <w:num w:numId="25">
    <w:abstractNumId w:val="13"/>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F6"/>
    <w:rsid w:val="0003567D"/>
    <w:rsid w:val="0005508C"/>
    <w:rsid w:val="00064347"/>
    <w:rsid w:val="0007515F"/>
    <w:rsid w:val="00082097"/>
    <w:rsid w:val="000916AF"/>
    <w:rsid w:val="000A3C6E"/>
    <w:rsid w:val="000A4628"/>
    <w:rsid w:val="000A6215"/>
    <w:rsid w:val="000D3DFD"/>
    <w:rsid w:val="000E264B"/>
    <w:rsid w:val="001256E0"/>
    <w:rsid w:val="0013333A"/>
    <w:rsid w:val="00133403"/>
    <w:rsid w:val="00133F3C"/>
    <w:rsid w:val="00144ED2"/>
    <w:rsid w:val="00154D68"/>
    <w:rsid w:val="00160AE2"/>
    <w:rsid w:val="00164B9C"/>
    <w:rsid w:val="00170887"/>
    <w:rsid w:val="00170F59"/>
    <w:rsid w:val="00187398"/>
    <w:rsid w:val="001954FD"/>
    <w:rsid w:val="0019635B"/>
    <w:rsid w:val="001A1195"/>
    <w:rsid w:val="001A6056"/>
    <w:rsid w:val="001B2112"/>
    <w:rsid w:val="001E176D"/>
    <w:rsid w:val="00212785"/>
    <w:rsid w:val="00214271"/>
    <w:rsid w:val="00217706"/>
    <w:rsid w:val="00221936"/>
    <w:rsid w:val="00224380"/>
    <w:rsid w:val="00227F3C"/>
    <w:rsid w:val="00230059"/>
    <w:rsid w:val="00232B0A"/>
    <w:rsid w:val="00232E05"/>
    <w:rsid w:val="002421B6"/>
    <w:rsid w:val="00247764"/>
    <w:rsid w:val="0025298C"/>
    <w:rsid w:val="00267226"/>
    <w:rsid w:val="0027410A"/>
    <w:rsid w:val="00276EDE"/>
    <w:rsid w:val="00284661"/>
    <w:rsid w:val="00285354"/>
    <w:rsid w:val="00291534"/>
    <w:rsid w:val="002924C1"/>
    <w:rsid w:val="0029535C"/>
    <w:rsid w:val="002A24C0"/>
    <w:rsid w:val="002D1A81"/>
    <w:rsid w:val="002D4B59"/>
    <w:rsid w:val="002E06DA"/>
    <w:rsid w:val="003104D6"/>
    <w:rsid w:val="00310624"/>
    <w:rsid w:val="00314A9C"/>
    <w:rsid w:val="00320F28"/>
    <w:rsid w:val="00323262"/>
    <w:rsid w:val="0033160A"/>
    <w:rsid w:val="003347C5"/>
    <w:rsid w:val="003363EB"/>
    <w:rsid w:val="00336E64"/>
    <w:rsid w:val="0034578A"/>
    <w:rsid w:val="00357005"/>
    <w:rsid w:val="0035703A"/>
    <w:rsid w:val="00365B0D"/>
    <w:rsid w:val="003702EB"/>
    <w:rsid w:val="003A0F55"/>
    <w:rsid w:val="003A15C8"/>
    <w:rsid w:val="003A2EC2"/>
    <w:rsid w:val="003A432A"/>
    <w:rsid w:val="003A713B"/>
    <w:rsid w:val="003B16A5"/>
    <w:rsid w:val="003B2A52"/>
    <w:rsid w:val="003B569F"/>
    <w:rsid w:val="003B589A"/>
    <w:rsid w:val="003B73C5"/>
    <w:rsid w:val="003C3173"/>
    <w:rsid w:val="003C5CB9"/>
    <w:rsid w:val="003D0474"/>
    <w:rsid w:val="003D5C5B"/>
    <w:rsid w:val="003E21AB"/>
    <w:rsid w:val="003E5501"/>
    <w:rsid w:val="003E7EA3"/>
    <w:rsid w:val="003F019C"/>
    <w:rsid w:val="003F223A"/>
    <w:rsid w:val="003F27AE"/>
    <w:rsid w:val="00421684"/>
    <w:rsid w:val="004264D6"/>
    <w:rsid w:val="0042777F"/>
    <w:rsid w:val="00432FD5"/>
    <w:rsid w:val="00462961"/>
    <w:rsid w:val="004A29D1"/>
    <w:rsid w:val="004C4EC2"/>
    <w:rsid w:val="004D0673"/>
    <w:rsid w:val="004D24A9"/>
    <w:rsid w:val="004D2803"/>
    <w:rsid w:val="004E2FA6"/>
    <w:rsid w:val="004E6F1D"/>
    <w:rsid w:val="004F1BCE"/>
    <w:rsid w:val="004F30A2"/>
    <w:rsid w:val="0050693C"/>
    <w:rsid w:val="00521DF1"/>
    <w:rsid w:val="00531A88"/>
    <w:rsid w:val="00537714"/>
    <w:rsid w:val="00543D8C"/>
    <w:rsid w:val="0054609A"/>
    <w:rsid w:val="0057253D"/>
    <w:rsid w:val="00572E65"/>
    <w:rsid w:val="005736A1"/>
    <w:rsid w:val="005A4804"/>
    <w:rsid w:val="005B1CF8"/>
    <w:rsid w:val="005B327C"/>
    <w:rsid w:val="005C12D5"/>
    <w:rsid w:val="005E4C0E"/>
    <w:rsid w:val="005E7E30"/>
    <w:rsid w:val="005F17D2"/>
    <w:rsid w:val="005F32EE"/>
    <w:rsid w:val="005F7D75"/>
    <w:rsid w:val="00602BE9"/>
    <w:rsid w:val="0061735B"/>
    <w:rsid w:val="006239EB"/>
    <w:rsid w:val="00650989"/>
    <w:rsid w:val="00653C6A"/>
    <w:rsid w:val="006549E6"/>
    <w:rsid w:val="0068331C"/>
    <w:rsid w:val="00686FC3"/>
    <w:rsid w:val="006900D8"/>
    <w:rsid w:val="006A0540"/>
    <w:rsid w:val="006A0A80"/>
    <w:rsid w:val="006A10F9"/>
    <w:rsid w:val="006A4E4D"/>
    <w:rsid w:val="006A7434"/>
    <w:rsid w:val="006B60B8"/>
    <w:rsid w:val="006B79E6"/>
    <w:rsid w:val="006C0814"/>
    <w:rsid w:val="006C2F47"/>
    <w:rsid w:val="006C75CC"/>
    <w:rsid w:val="006D6609"/>
    <w:rsid w:val="006E18BB"/>
    <w:rsid w:val="006E1CD1"/>
    <w:rsid w:val="006F27CF"/>
    <w:rsid w:val="006F5698"/>
    <w:rsid w:val="00720604"/>
    <w:rsid w:val="00727B1F"/>
    <w:rsid w:val="00746C01"/>
    <w:rsid w:val="00751EBB"/>
    <w:rsid w:val="007928E4"/>
    <w:rsid w:val="007A1C66"/>
    <w:rsid w:val="007A6C01"/>
    <w:rsid w:val="007B21A9"/>
    <w:rsid w:val="007B7688"/>
    <w:rsid w:val="007C3D50"/>
    <w:rsid w:val="007E027C"/>
    <w:rsid w:val="007E17CE"/>
    <w:rsid w:val="007F15CA"/>
    <w:rsid w:val="00803808"/>
    <w:rsid w:val="00805F50"/>
    <w:rsid w:val="008061B0"/>
    <w:rsid w:val="00833ECF"/>
    <w:rsid w:val="00841E76"/>
    <w:rsid w:val="008525B1"/>
    <w:rsid w:val="00856A67"/>
    <w:rsid w:val="00862189"/>
    <w:rsid w:val="00872478"/>
    <w:rsid w:val="0088269E"/>
    <w:rsid w:val="008850B0"/>
    <w:rsid w:val="008919CD"/>
    <w:rsid w:val="0089367C"/>
    <w:rsid w:val="008A2B95"/>
    <w:rsid w:val="008A5A12"/>
    <w:rsid w:val="008B0496"/>
    <w:rsid w:val="008B64AE"/>
    <w:rsid w:val="008C0D34"/>
    <w:rsid w:val="008C0F19"/>
    <w:rsid w:val="008C1C52"/>
    <w:rsid w:val="008C322C"/>
    <w:rsid w:val="008F03B1"/>
    <w:rsid w:val="009124DE"/>
    <w:rsid w:val="00912A9E"/>
    <w:rsid w:val="0093542F"/>
    <w:rsid w:val="009478E1"/>
    <w:rsid w:val="00957DFF"/>
    <w:rsid w:val="00975417"/>
    <w:rsid w:val="00985BA9"/>
    <w:rsid w:val="009903DB"/>
    <w:rsid w:val="009962DD"/>
    <w:rsid w:val="009A5EEC"/>
    <w:rsid w:val="009C2DA0"/>
    <w:rsid w:val="009C6EAA"/>
    <w:rsid w:val="009D0A8E"/>
    <w:rsid w:val="009E236B"/>
    <w:rsid w:val="009E5899"/>
    <w:rsid w:val="009E73DC"/>
    <w:rsid w:val="009F4EA1"/>
    <w:rsid w:val="009F7B62"/>
    <w:rsid w:val="00A0788E"/>
    <w:rsid w:val="00A12C1E"/>
    <w:rsid w:val="00A20E0F"/>
    <w:rsid w:val="00A222B4"/>
    <w:rsid w:val="00A22605"/>
    <w:rsid w:val="00A34238"/>
    <w:rsid w:val="00A3647F"/>
    <w:rsid w:val="00A4712A"/>
    <w:rsid w:val="00A76C84"/>
    <w:rsid w:val="00A870DB"/>
    <w:rsid w:val="00A93896"/>
    <w:rsid w:val="00AA22B2"/>
    <w:rsid w:val="00AA7E71"/>
    <w:rsid w:val="00AC3AE3"/>
    <w:rsid w:val="00AC6BFD"/>
    <w:rsid w:val="00AD2E1F"/>
    <w:rsid w:val="00AF0A23"/>
    <w:rsid w:val="00B00017"/>
    <w:rsid w:val="00B141D2"/>
    <w:rsid w:val="00B2035A"/>
    <w:rsid w:val="00B42C2B"/>
    <w:rsid w:val="00B4643D"/>
    <w:rsid w:val="00B56B5D"/>
    <w:rsid w:val="00B76827"/>
    <w:rsid w:val="00BA6431"/>
    <w:rsid w:val="00BA69B6"/>
    <w:rsid w:val="00BC2F49"/>
    <w:rsid w:val="00BC4B5E"/>
    <w:rsid w:val="00BD4738"/>
    <w:rsid w:val="00BE57EC"/>
    <w:rsid w:val="00BE5CE7"/>
    <w:rsid w:val="00BF4D8F"/>
    <w:rsid w:val="00BF741E"/>
    <w:rsid w:val="00C057BF"/>
    <w:rsid w:val="00C05E20"/>
    <w:rsid w:val="00C11064"/>
    <w:rsid w:val="00C35D53"/>
    <w:rsid w:val="00C64040"/>
    <w:rsid w:val="00C66BA8"/>
    <w:rsid w:val="00C70137"/>
    <w:rsid w:val="00C702D0"/>
    <w:rsid w:val="00C72583"/>
    <w:rsid w:val="00C97BF9"/>
    <w:rsid w:val="00CB13D1"/>
    <w:rsid w:val="00CB4D3A"/>
    <w:rsid w:val="00CC02DB"/>
    <w:rsid w:val="00CC0A8A"/>
    <w:rsid w:val="00CC2C58"/>
    <w:rsid w:val="00CE35D1"/>
    <w:rsid w:val="00CE74A4"/>
    <w:rsid w:val="00CF5CF4"/>
    <w:rsid w:val="00CF7C64"/>
    <w:rsid w:val="00D12938"/>
    <w:rsid w:val="00D1742D"/>
    <w:rsid w:val="00D232F6"/>
    <w:rsid w:val="00D23ABA"/>
    <w:rsid w:val="00D444F9"/>
    <w:rsid w:val="00D66D5E"/>
    <w:rsid w:val="00D83645"/>
    <w:rsid w:val="00D845B1"/>
    <w:rsid w:val="00D852D2"/>
    <w:rsid w:val="00D86EB2"/>
    <w:rsid w:val="00D87DEF"/>
    <w:rsid w:val="00D924E8"/>
    <w:rsid w:val="00D92733"/>
    <w:rsid w:val="00D974EC"/>
    <w:rsid w:val="00DA0E87"/>
    <w:rsid w:val="00DA1B54"/>
    <w:rsid w:val="00DA2543"/>
    <w:rsid w:val="00DA28F6"/>
    <w:rsid w:val="00DA6DEC"/>
    <w:rsid w:val="00DB0C49"/>
    <w:rsid w:val="00DB22D1"/>
    <w:rsid w:val="00DB37B3"/>
    <w:rsid w:val="00DB7572"/>
    <w:rsid w:val="00DD318E"/>
    <w:rsid w:val="00DE0C24"/>
    <w:rsid w:val="00DE1BB7"/>
    <w:rsid w:val="00DE330A"/>
    <w:rsid w:val="00DE5980"/>
    <w:rsid w:val="00E079BC"/>
    <w:rsid w:val="00E15751"/>
    <w:rsid w:val="00E32D27"/>
    <w:rsid w:val="00E36B9A"/>
    <w:rsid w:val="00E4519B"/>
    <w:rsid w:val="00E45E72"/>
    <w:rsid w:val="00E53833"/>
    <w:rsid w:val="00E7457A"/>
    <w:rsid w:val="00E74C99"/>
    <w:rsid w:val="00E75A99"/>
    <w:rsid w:val="00E841F7"/>
    <w:rsid w:val="00E9489F"/>
    <w:rsid w:val="00E951F4"/>
    <w:rsid w:val="00EA4001"/>
    <w:rsid w:val="00EA5EAF"/>
    <w:rsid w:val="00EE4780"/>
    <w:rsid w:val="00F003E2"/>
    <w:rsid w:val="00F00522"/>
    <w:rsid w:val="00F0258F"/>
    <w:rsid w:val="00F15A11"/>
    <w:rsid w:val="00F2066E"/>
    <w:rsid w:val="00F238BB"/>
    <w:rsid w:val="00F257FE"/>
    <w:rsid w:val="00F6599B"/>
    <w:rsid w:val="00F6701A"/>
    <w:rsid w:val="00F7264D"/>
    <w:rsid w:val="00F752C0"/>
    <w:rsid w:val="00F912D9"/>
    <w:rsid w:val="00F92A13"/>
    <w:rsid w:val="00F92C90"/>
    <w:rsid w:val="00F94171"/>
    <w:rsid w:val="00F9572D"/>
    <w:rsid w:val="00FA697F"/>
    <w:rsid w:val="00FC3BE5"/>
    <w:rsid w:val="00FC6331"/>
    <w:rsid w:val="00FE3034"/>
    <w:rsid w:val="00FE5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basedOn w:val="Numatytasispastraiposriftas"/>
    <w:uiPriority w:val="99"/>
    <w:unhideWhenUsed/>
    <w:rsid w:val="00365B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basedOn w:val="Numatytasispastraiposriftas"/>
    <w:uiPriority w:val="99"/>
    <w:unhideWhenUsed/>
    <w:rsid w:val="00365B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2DE75-40B2-4729-93D7-CB99FFE4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5542</Words>
  <Characters>3160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Silvestra Miškinienė</cp:lastModifiedBy>
  <cp:revision>2</cp:revision>
  <cp:lastPrinted>2015-11-04T12:32:00Z</cp:lastPrinted>
  <dcterms:created xsi:type="dcterms:W3CDTF">2016-02-01T13:45:00Z</dcterms:created>
  <dcterms:modified xsi:type="dcterms:W3CDTF">2016-02-01T13:45:00Z</dcterms:modified>
</cp:coreProperties>
</file>