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4" w:rsidRPr="00655494" w:rsidRDefault="00655494" w:rsidP="00726872">
      <w:pPr>
        <w:spacing w:after="0" w:line="240" w:lineRule="auto"/>
        <w:ind w:left="7797" w:right="-881"/>
        <w:jc w:val="both"/>
        <w:rPr>
          <w:rFonts w:ascii="Times New Roman" w:eastAsia="Calibri" w:hAnsi="Times New Roman" w:cs="Times New Roman"/>
          <w:sz w:val="24"/>
          <w:szCs w:val="24"/>
        </w:rPr>
      </w:pPr>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Pr="00655494">
        <w:rPr>
          <w:rFonts w:ascii="Times New Roman" w:eastAsia="Calibri" w:hAnsi="Times New Roman" w:cs="Times New Roman"/>
          <w:sz w:val="24"/>
          <w:szCs w:val="24"/>
        </w:rPr>
        <w:t>1 prioriteto „Mokslinių tyrimų, eksperimentinės plėtros ir inovacijų skatinimas“ priemonės Nr. 01.2.2-CPVA-K-738 „Nepriklausomi MTEP projektai“ projektų finansavimo sąlygų aprašo Nr. 1</w:t>
      </w:r>
    </w:p>
    <w:p w:rsidR="00655494" w:rsidRPr="00655494" w:rsidRDefault="00655494" w:rsidP="00726872">
      <w:pPr>
        <w:spacing w:after="0" w:line="240" w:lineRule="auto"/>
        <w:ind w:left="7371" w:firstLine="405"/>
        <w:jc w:val="both"/>
        <w:rPr>
          <w:rFonts w:ascii="Times New Roman" w:eastAsia="Calibri" w:hAnsi="Times New Roman" w:cs="Times New Roman"/>
          <w:b/>
          <w:bCs/>
          <w:sz w:val="24"/>
        </w:rPr>
      </w:pPr>
      <w:bookmarkStart w:id="0" w:name="_GoBack"/>
      <w:bookmarkEnd w:id="0"/>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rsidTr="000265C2">
        <w:trPr>
          <w:trHeight w:val="20"/>
        </w:trPr>
        <w:tc>
          <w:tcPr>
            <w:tcW w:w="14940" w:type="dxa"/>
            <w:tcBorders>
              <w:top w:val="nil"/>
              <w:left w:val="nil"/>
              <w:right w:val="nil"/>
            </w:tcBorders>
          </w:tcPr>
          <w:p w:rsidR="00655494" w:rsidRPr="00655494" w:rsidRDefault="00655494" w:rsidP="00655494">
            <w:pPr>
              <w:spacing w:after="0" w:line="276" w:lineRule="auto"/>
              <w:jc w:val="center"/>
              <w:rPr>
                <w:rFonts w:ascii="Times New Roman" w:eastAsia="Calibri" w:hAnsi="Times New Roman" w:cs="Times New Roman"/>
                <w:b/>
                <w:bCs/>
                <w:caps/>
                <w:sz w:val="24"/>
                <w:szCs w:val="24"/>
              </w:rPr>
            </w:pPr>
          </w:p>
          <w:p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rsidR="00655494" w:rsidRPr="00655494" w:rsidRDefault="00655494"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rsidTr="000265C2">
              <w:trPr>
                <w:trHeight w:val="276"/>
              </w:trPr>
              <w:tc>
                <w:tcPr>
                  <w:tcW w:w="3006"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655494" w:rsidRPr="00655494" w:rsidTr="000265C2">
              <w:trPr>
                <w:trHeight w:val="276"/>
              </w:trPr>
              <w:tc>
                <w:tcPr>
                  <w:tcW w:w="3006" w:type="dxa"/>
                  <w:vMerge/>
                  <w:shd w:val="clear" w:color="auto" w:fill="auto"/>
                </w:tcPr>
                <w:p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3006" w:type="dxa"/>
                  <w:shd w:val="clear" w:color="auto" w:fill="auto"/>
                </w:tcPr>
                <w:p w:rsidR="00655494" w:rsidRPr="00655494" w:rsidRDefault="00655494" w:rsidP="00655494">
                  <w:pPr>
                    <w:spacing w:after="0" w:line="240" w:lineRule="auto"/>
                    <w:jc w:val="both"/>
                    <w:rPr>
                      <w:rFonts w:ascii="Times New Roman" w:eastAsia="Calibri" w:hAnsi="Times New Roman" w:cs="Times New Roman"/>
                      <w:b/>
                      <w:bCs/>
                      <w:caps/>
                      <w:sz w:val="24"/>
                      <w:szCs w:val="24"/>
                    </w:rPr>
                  </w:pPr>
                  <w:r w:rsidRPr="00655494">
                    <w:rPr>
                      <w:rFonts w:ascii="Times New Roman" w:eastAsia="Times New Roman" w:hAnsi="Times New Roman" w:cs="Times New Roman"/>
                      <w:b/>
                      <w:bCs/>
                      <w:sz w:val="24"/>
                      <w:szCs w:val="24"/>
                      <w:lang w:eastAsia="lt-LT"/>
                    </w:rPr>
                    <w:t>1. Pareiškėjas turi patirties įgyvendinant verslo ir mokslo bendradarbiavimo MTEP projektus.</w:t>
                  </w:r>
                </w:p>
              </w:tc>
              <w:tc>
                <w:tcPr>
                  <w:tcW w:w="6271" w:type="dxa"/>
                  <w:shd w:val="clear" w:color="auto" w:fill="auto"/>
                </w:tcPr>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 xml:space="preserve">Siekiant paskatinti mokslo ir verslo bendradarbiavimą, aukštesnis įvertinimas suteikiamas tiems projektams, kurių pareiškėjai įgyvendino ar įgyvendina verslo ir mokslo bendradarbiavimo MTEP projektus (pavyzdžiui, „Intelektas LT“, FP 7, Horizontas 2020 ir kt.). </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 xml:space="preserve">Vertinama tik pareiškėjo turima patirtis, partnerio patirtis nevertinama. </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Aukštesnis įvertinimas (balų skaičius) skiriamas atsižvelgiant į tai:</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 xml:space="preserve">1) keliuose tarptautiniuose verslo ir mokslo bendradarbiavimui </w:t>
                  </w:r>
                  <w:r w:rsidRPr="00655494">
                    <w:rPr>
                      <w:rFonts w:ascii="Times New Roman" w:eastAsia="Times New Roman" w:hAnsi="Times New Roman" w:cs="Times New Roman"/>
                      <w:bCs/>
                      <w:sz w:val="24"/>
                      <w:szCs w:val="24"/>
                      <w:lang w:eastAsia="lt-LT"/>
                    </w:rPr>
                    <w:lastRenderedPageBreak/>
                    <w:t>skirtuose MTEP projektuose pareiškėjas yra dalyvavęs (už dalyvavimą viename projekte skiriami 5 balai, 2-3 projektuose – 10 balų, 4 ir daugiau projektų – 15 balų);</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 xml:space="preserve">2) keliuose nacionaliniuose verslo ir mokslo bendradarbiavimui skirtuose MTEP projektuose pareiškėjas yra dalyvavęs (už dalyvavimą viename projekte skiriamas 1 balas, 2-3 projektuose – 3 balai, 4 ir daugiau projektų – 5 balai);  </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3) kokios finansinės apimties verslo ir mokslo bendradarbiavimui skirtuose MTEP projektuose pareiškėjas yra dalyvavęs. Verslo ir mokslo bendradarbiavimui skirtų MTEP projektų finansinę apimtį sudaro bendra projektų vertė, įskaitant skirtą finansavimą ir nuosavą pareiškėjų ir (arba) partnerių įnašą (už dalyvavimą projektuose, kurių vertė siekia iki 500 000 eurų (įskaitytinai), skiriam 3 balai; už dalyvavimą projektuose, kurių vertė viršija 500 000 eurų ir siekia iki 1 000 000 eurų (įskaitytinai), – 6 balai; už dalyvavimą projektuose, kurių vertė viršija 1 000 000 eurų, – 10 balų). Ūkio subjektų užsakomi MTEP darbai nėra vertinami kaip verslo ir mokslo bendradarbiavimui skirti MTEP projektai.</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Balai sumuojami. Vertinimas apima dalyvavimo patirtį nuo 2007 metų iki paraiškos pateikimo.</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Verslo ir mokslo bendradarbiavimui skirti MTEP projektai suprantami kaip tokie MTEP projektai, kuriuose dalyvavo bent vienas privatus juridinis asmuo. Nacionaliniais projektais laikomi projektai finansuoti/finansuojami iš Lietuvos Respublikos biudžeto, 2017–2013 m. ES struktūrinės paramos ir (ar) 2014–2020 m. ES fondų investicijų lėšų.</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sz w:val="24"/>
                      <w:szCs w:val="24"/>
                      <w:lang w:val="en-US"/>
                    </w:rPr>
                  </w:pPr>
                  <w:r w:rsidRPr="00655494">
                    <w:rPr>
                      <w:rFonts w:ascii="Times New Roman" w:eastAsia="Calibri" w:hAnsi="Times New Roman" w:cs="Times New Roman"/>
                      <w:bCs/>
                      <w:sz w:val="24"/>
                      <w:szCs w:val="24"/>
                      <w:lang w:val="en-US"/>
                    </w:rPr>
                    <w:lastRenderedPageBreak/>
                    <w:t>30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655494" w:rsidRPr="00655494" w:rsidRDefault="00655494" w:rsidP="00655494">
                  <w:pPr>
                    <w:spacing w:after="0" w:line="240" w:lineRule="auto"/>
                    <w:jc w:val="both"/>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lastRenderedPageBreak/>
                    <w:t xml:space="preserve">2. </w:t>
                  </w:r>
                  <w:r w:rsidRPr="00655494">
                    <w:rPr>
                      <w:rFonts w:ascii="Times New Roman" w:eastAsia="Times New Roman" w:hAnsi="Times New Roman" w:cs="Times New Roman"/>
                      <w:b/>
                      <w:bCs/>
                      <w:sz w:val="24"/>
                      <w:szCs w:val="24"/>
                      <w:lang w:eastAsia="lt-LT"/>
                    </w:rPr>
                    <w:t>Pareiškėjas ir (arba) partneris prisideda prie projekto įgyvendinimo nuosavu įnašu.</w:t>
                  </w:r>
                </w:p>
              </w:tc>
              <w:tc>
                <w:tcPr>
                  <w:tcW w:w="6271" w:type="dxa"/>
                  <w:shd w:val="clear" w:color="auto" w:fill="auto"/>
                </w:tcPr>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Prioritetas suteikiamas tiems projektams, kuriuose pareiškėjas ir (arba) partneris  prisideda prie projekto įgyvendinimo ne mažiau kaip 20 procentų visų tinkamų finansuoti išlaidų. Aukštesnis įvertinimas suteikiamas tiems projektams, kurie prie projekto tinkamų finansuoti išlaidų prisideda daugiau:</w:t>
                  </w:r>
                </w:p>
                <w:p w:rsidR="00655494" w:rsidRPr="00655494" w:rsidRDefault="00655494" w:rsidP="00655494">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t>prie projekto įgyvendinimo prisidedant 20 – 25 (įskaitytinai) procentų skiriama 20 balų;</w:t>
                  </w:r>
                </w:p>
                <w:p w:rsidR="00655494" w:rsidRPr="00655494" w:rsidRDefault="00655494" w:rsidP="00655494">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655494">
                    <w:rPr>
                      <w:rFonts w:ascii="Times New Roman" w:eastAsia="Times New Roman" w:hAnsi="Times New Roman" w:cs="Times New Roman"/>
                      <w:bCs/>
                      <w:sz w:val="24"/>
                      <w:szCs w:val="24"/>
                      <w:lang w:eastAsia="lt-LT"/>
                    </w:rPr>
                    <w:lastRenderedPageBreak/>
                    <w:t>prie projekto įgyvendinimo prisidedant daugiau nei 25 proc. skiriama 30 balų.</w:t>
                  </w:r>
                </w:p>
                <w:p w:rsidR="00655494" w:rsidRPr="00655494" w:rsidRDefault="00655494" w:rsidP="00655494">
                  <w:pPr>
                    <w:widowControl w:val="0"/>
                    <w:adjustRightInd w:val="0"/>
                    <w:spacing w:after="0" w:line="240" w:lineRule="auto"/>
                    <w:jc w:val="both"/>
                    <w:textAlignment w:val="baseline"/>
                    <w:rPr>
                      <w:rFonts w:ascii="Calibri" w:eastAsia="Calibri" w:hAnsi="Calibri" w:cs="Times New Roman"/>
                      <w:lang w:eastAsia="lt-LT"/>
                    </w:rPr>
                  </w:pPr>
                  <w:r w:rsidRPr="00655494">
                    <w:rPr>
                      <w:rFonts w:ascii="Times New Roman" w:eastAsia="Calibri" w:hAnsi="Times New Roman" w:cs="Times New Roman"/>
                      <w:sz w:val="24"/>
                      <w:szCs w:val="24"/>
                    </w:rPr>
                    <w:t xml:space="preserve">Vertinamas bendro pareiškėjo ir partnerio nuosavo įnašo santykis su projekto tinkamų finansuoti išlaidų suma. </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sz w:val="24"/>
                      <w:szCs w:val="24"/>
                      <w:lang w:val="en-US"/>
                    </w:rPr>
                  </w:pPr>
                  <w:r w:rsidRPr="00655494">
                    <w:rPr>
                      <w:rFonts w:ascii="Times New Roman" w:eastAsia="Calibri" w:hAnsi="Times New Roman" w:cs="Times New Roman"/>
                      <w:bCs/>
                      <w:sz w:val="24"/>
                      <w:szCs w:val="24"/>
                      <w:lang w:val="en-US"/>
                    </w:rPr>
                    <w:lastRenderedPageBreak/>
                    <w:t>30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655494" w:rsidRPr="00655494" w:rsidRDefault="00655494" w:rsidP="00655494">
                  <w:pPr>
                    <w:spacing w:after="0" w:line="240" w:lineRule="auto"/>
                    <w:rPr>
                      <w:rFonts w:ascii="Times New Roman" w:eastAsia="Calibri" w:hAnsi="Times New Roman" w:cs="Times New Roman"/>
                      <w:bCs/>
                      <w:i/>
                      <w:caps/>
                      <w:sz w:val="24"/>
                      <w:szCs w:val="24"/>
                    </w:rPr>
                  </w:pPr>
                  <w:r w:rsidRPr="00655494">
                    <w:rPr>
                      <w:rFonts w:ascii="Times New Roman" w:eastAsia="Calibri" w:hAnsi="Times New Roman" w:cs="Times New Roman"/>
                      <w:b/>
                      <w:bCs/>
                      <w:caps/>
                      <w:sz w:val="24"/>
                      <w:szCs w:val="24"/>
                    </w:rPr>
                    <w:lastRenderedPageBreak/>
                    <w:t xml:space="preserve">3. </w:t>
                  </w:r>
                  <w:r w:rsidRPr="00655494">
                    <w:rPr>
                      <w:rFonts w:ascii="Times New Roman" w:eastAsia="Times New Roman" w:hAnsi="Times New Roman" w:cs="Times New Roman"/>
                      <w:b/>
                      <w:bCs/>
                      <w:sz w:val="24"/>
                      <w:szCs w:val="24"/>
                      <w:lang w:eastAsia="lt-LT"/>
                    </w:rPr>
                    <w:t>Projekte numatytų MTEP darbų naujumas ir aktualumas.</w:t>
                  </w:r>
                </w:p>
              </w:tc>
              <w:tc>
                <w:tcPr>
                  <w:tcW w:w="6271" w:type="dxa"/>
                  <w:shd w:val="clear" w:color="auto" w:fill="auto"/>
                </w:tcPr>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655494">
                    <w:rPr>
                      <w:rFonts w:ascii="Times New Roman" w:eastAsia="Times New Roman" w:hAnsi="Times New Roman" w:cs="Times New Roman"/>
                      <w:bCs/>
                      <w:sz w:val="24"/>
                      <w:szCs w:val="24"/>
                    </w:rPr>
                    <w:t xml:space="preserve">Vertinimo metu būtina įsitikinti, kad projektas yra orientuotas į naujų žinių ir (arba) technologijų kūrimą ir įgyvendinant veiklas sprendžiama aktuali mokslinė ir (arba) eksperimentinės (socialinės, kultūrinės) plėtros problema. </w:t>
                  </w:r>
                </w:p>
                <w:p w:rsidR="00655494" w:rsidRPr="00655494" w:rsidRDefault="00655494" w:rsidP="0065549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655494">
                    <w:rPr>
                      <w:rFonts w:ascii="Times New Roman" w:eastAsia="Times New Roman" w:hAnsi="Times New Roman" w:cs="Times New Roman"/>
                      <w:bCs/>
                      <w:sz w:val="24"/>
                      <w:szCs w:val="24"/>
                    </w:rPr>
                    <w:t>MTEP darbais kuriamų žinių naujumas ir aktualumas vertinami pagal sukurtų žinių svarbą (išrikiuota nuo mažiausios iki didžiausios svarbos):</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Europos rinkos produkto patobulinimui – 8 balai;</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Pasaulinės rinkos produkto patobulinimui – 11 balų;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Naujo produkto Europos rinkai sukūrimui – 14 balų;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Naujo produkto pasaulinei rinkai sukūrimo – 17 balų;</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Gamybos technologijos patobulinimui – 20 balų;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Gamybos technologijos mažinančios gamybos kaštus sukūrimui – 23 balai;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Naujos gamybos technologijos sukūrimui – 26 balai;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 xml:space="preserve">Kuriant ateities technologiją – 29 balai; </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MS Mincho" w:hAnsi="Times New Roman" w:cs="Times New Roman"/>
                      <w:bCs/>
                      <w:sz w:val="24"/>
                      <w:szCs w:val="24"/>
                      <w:lang w:eastAsia="lt-LT"/>
                    </w:rPr>
                    <w:t>Proveržio technologijos sukūrimui – 32 balai;</w:t>
                  </w:r>
                </w:p>
                <w:p w:rsidR="00655494" w:rsidRPr="00655494" w:rsidRDefault="00655494" w:rsidP="00655494">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Times New Roman" w:hAnsi="Times New Roman" w:cs="Times New Roman"/>
                      <w:bCs/>
                      <w:sz w:val="24"/>
                      <w:szCs w:val="24"/>
                    </w:rPr>
                    <w:t>Naujos mokslo ar pramonės šakos, verslo proceso atsiradimui – 35 balai.</w:t>
                  </w:r>
                </w:p>
                <w:p w:rsidR="00655494" w:rsidRPr="00655494" w:rsidRDefault="00655494" w:rsidP="00655494">
                  <w:pPr>
                    <w:widowControl w:val="0"/>
                    <w:adjustRightInd w:val="0"/>
                    <w:spacing w:after="0" w:line="240" w:lineRule="auto"/>
                    <w:ind w:left="360" w:hanging="434"/>
                    <w:contextualSpacing/>
                    <w:jc w:val="both"/>
                    <w:textAlignment w:val="baseline"/>
                    <w:rPr>
                      <w:rFonts w:ascii="Times New Roman" w:eastAsia="Times New Roman" w:hAnsi="Times New Roman" w:cs="Times New Roman"/>
                      <w:bCs/>
                      <w:sz w:val="24"/>
                      <w:szCs w:val="24"/>
                    </w:rPr>
                  </w:pPr>
                  <w:r w:rsidRPr="00655494">
                    <w:rPr>
                      <w:rFonts w:ascii="Times New Roman" w:eastAsia="Times New Roman" w:hAnsi="Times New Roman" w:cs="Times New Roman"/>
                      <w:bCs/>
                      <w:sz w:val="24"/>
                      <w:szCs w:val="24"/>
                    </w:rPr>
                    <w:t xml:space="preserve"> Aukščiau nurodytos sąvokos apibrėžtos Aprašo 4 punkte. </w:t>
                  </w:r>
                </w:p>
                <w:p w:rsidR="00655494" w:rsidRPr="00655494" w:rsidRDefault="00655494" w:rsidP="00655494">
                  <w:pPr>
                    <w:widowControl w:val="0"/>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655494">
                    <w:rPr>
                      <w:rFonts w:ascii="Times New Roman" w:eastAsia="Times New Roman" w:hAnsi="Times New Roman" w:cs="Times New Roman"/>
                      <w:bCs/>
                      <w:sz w:val="24"/>
                      <w:szCs w:val="24"/>
                      <w:lang w:eastAsia="lt-LT"/>
                    </w:rPr>
                    <w:t>Jeigu MTEP projektas skirtas kelių skirtingos žinių svarbos produktų/technologijų/mokslo ar pramonės šakos/verslo procesų sukūrimui, suteikiami numatyti balai, atsižvelgiant į didžiausios svarbos produktą/technologiją/mokslo ar pramonės šaką/verslo procesą.</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sz w:val="24"/>
                      <w:szCs w:val="24"/>
                    </w:rPr>
                  </w:pPr>
                  <w:r w:rsidRPr="00655494">
                    <w:rPr>
                      <w:rFonts w:ascii="Times New Roman" w:eastAsia="Calibri" w:hAnsi="Times New Roman" w:cs="Times New Roman"/>
                      <w:bCs/>
                      <w:sz w:val="24"/>
                      <w:szCs w:val="24"/>
                      <w:lang w:val="en-US"/>
                    </w:rPr>
                    <w:t>35</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3006" w:type="dxa"/>
                  <w:shd w:val="clear" w:color="auto" w:fill="auto"/>
                </w:tcPr>
                <w:p w:rsidR="00655494" w:rsidRPr="00655494" w:rsidRDefault="00655494" w:rsidP="00655494">
                  <w:pPr>
                    <w:spacing w:after="0" w:line="240" w:lineRule="auto"/>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 xml:space="preserve">4. </w:t>
                  </w:r>
                  <w:r w:rsidRPr="00655494">
                    <w:rPr>
                      <w:rFonts w:ascii="Times New Roman" w:eastAsia="Times New Roman" w:hAnsi="Times New Roman" w:cs="Times New Roman"/>
                      <w:b/>
                      <w:sz w:val="24"/>
                      <w:szCs w:val="24"/>
                      <w:lang w:eastAsia="lt-LT"/>
                    </w:rPr>
                    <w:t xml:space="preserve">Projektas prisideda prie bent vieno Europos Sąjungos Baltijos jūros regiono strategijos tikslo ir veiksmų plano </w:t>
                  </w:r>
                  <w:r w:rsidRPr="00655494">
                    <w:rPr>
                      <w:rFonts w:ascii="Times New Roman" w:eastAsia="Times New Roman" w:hAnsi="Times New Roman" w:cs="Times New Roman"/>
                      <w:b/>
                      <w:sz w:val="24"/>
                      <w:szCs w:val="24"/>
                      <w:lang w:eastAsia="lt-LT"/>
                    </w:rPr>
                    <w:lastRenderedPageBreak/>
                    <w:t>prioritetinės srities „Inovacijos“ ir (arba) „Švietimas“ įgyvendinimo.</w:t>
                  </w:r>
                </w:p>
              </w:tc>
              <w:tc>
                <w:tcPr>
                  <w:tcW w:w="6271" w:type="dxa"/>
                  <w:shd w:val="clear" w:color="auto" w:fill="auto"/>
                </w:tcPr>
                <w:p w:rsidR="00655494" w:rsidRPr="00655494" w:rsidRDefault="00655494" w:rsidP="00655494">
                  <w:pPr>
                    <w:spacing w:after="0" w:line="240" w:lineRule="auto"/>
                    <w:jc w:val="both"/>
                    <w:rPr>
                      <w:rFonts w:ascii="Times New Roman" w:eastAsia="Times New Roman" w:hAnsi="Times New Roman" w:cs="Times New Roman"/>
                      <w:sz w:val="24"/>
                      <w:szCs w:val="24"/>
                      <w:lang w:eastAsia="lt-LT"/>
                    </w:rPr>
                  </w:pPr>
                  <w:r w:rsidRPr="00655494">
                    <w:rPr>
                      <w:rFonts w:ascii="Times New Roman" w:eastAsia="Times New Roman" w:hAnsi="Times New Roman" w:cs="Times New Roman"/>
                      <w:sz w:val="24"/>
                      <w:szCs w:val="24"/>
                      <w:lang w:eastAsia="lt-LT"/>
                    </w:rPr>
                    <w:lastRenderedPageBreak/>
                    <w:t>Papildomai skatinami tie projektai, kurie prisideda prie bent vieno Europos Sąjungos Baltijos jūros regiono strategijos (toliau – ES BJRS) tikslo ir veiksmų plano prioritetinės srities „Inovacijos“ ir (arba) „Švietimas“ įgyvendinimo.</w:t>
                  </w:r>
                </w:p>
                <w:p w:rsidR="00655494" w:rsidRPr="00655494" w:rsidRDefault="00655494" w:rsidP="00655494">
                  <w:pPr>
                    <w:spacing w:after="0" w:line="240" w:lineRule="auto"/>
                    <w:jc w:val="both"/>
                    <w:rPr>
                      <w:rFonts w:ascii="Times New Roman" w:eastAsia="Calibri" w:hAnsi="Times New Roman" w:cs="Times New Roman"/>
                      <w:sz w:val="24"/>
                      <w:szCs w:val="24"/>
                      <w:lang w:eastAsia="lt-LT"/>
                    </w:rPr>
                  </w:pPr>
                  <w:r w:rsidRPr="00655494">
                    <w:rPr>
                      <w:rFonts w:ascii="Times New Roman" w:eastAsia="Calibri" w:hAnsi="Times New Roman" w:cs="Times New Roman"/>
                      <w:sz w:val="24"/>
                      <w:szCs w:val="24"/>
                      <w:lang w:eastAsia="lt-LT"/>
                    </w:rPr>
                    <w:lastRenderedPageBreak/>
                    <w:t>Jeigu projektas prisideda prie bent vieno ES BJRS tikslo ir veiksmų plano prioritetinės srities „Inovacijos“ ir (arba) „Švietimas“ įgyvendinimo, skiriami 5 balai, priešingu atveju skiriama 0 balų.</w:t>
                  </w:r>
                </w:p>
                <w:p w:rsidR="00655494" w:rsidRPr="00655494" w:rsidRDefault="00655494" w:rsidP="00655494">
                  <w:pPr>
                    <w:spacing w:after="0" w:line="240" w:lineRule="auto"/>
                    <w:jc w:val="both"/>
                    <w:rPr>
                      <w:rFonts w:ascii="Times New Roman" w:eastAsia="Calibri" w:hAnsi="Times New Roman" w:cs="Times New Roman"/>
                      <w:sz w:val="24"/>
                      <w:szCs w:val="24"/>
                    </w:rPr>
                  </w:pPr>
                  <w:r w:rsidRPr="00655494">
                    <w:rPr>
                      <w:rFonts w:ascii="Times New Roman" w:eastAsia="Calibri" w:hAnsi="Times New Roman" w:cs="Times New Roman"/>
                      <w:sz w:val="24"/>
                      <w:szCs w:val="24"/>
                    </w:rPr>
                    <w:t xml:space="preserve">ES BJRS patvirtinta </w:t>
                  </w:r>
                  <w:r w:rsidRPr="00655494">
                    <w:rPr>
                      <w:rFonts w:ascii="Times New Roman" w:eastAsia="Calibri" w:hAnsi="Times New Roman" w:cs="Times New Roman"/>
                      <w:color w:val="000000"/>
                      <w:sz w:val="24"/>
                      <w:szCs w:val="24"/>
                    </w:rPr>
                    <w:t xml:space="preserve">Europos Komisijos (toliau – EK) 2009 m. birželio 10 d. komunikatu Nr. COM(2009) 248 </w:t>
                  </w:r>
                  <w:proofErr w:type="spellStart"/>
                  <w:r w:rsidRPr="00655494">
                    <w:rPr>
                      <w:rFonts w:ascii="Times New Roman" w:eastAsia="Calibri" w:hAnsi="Times New Roman" w:cs="Times New Roman"/>
                      <w:color w:val="000000"/>
                      <w:sz w:val="24"/>
                      <w:szCs w:val="24"/>
                    </w:rPr>
                    <w:t>final</w:t>
                  </w:r>
                  <w:proofErr w:type="spellEnd"/>
                  <w:r w:rsidRPr="00655494">
                    <w:rPr>
                      <w:rFonts w:ascii="Times New Roman" w:eastAsia="Calibri" w:hAnsi="Times New Roman" w:cs="Times New Roman"/>
                      <w:color w:val="000000"/>
                      <w:sz w:val="24"/>
                      <w:szCs w:val="24"/>
                    </w:rPr>
                    <w:t xml:space="preserve"> ir skelbiama EK svetainėje adresu </w:t>
                  </w:r>
                  <w:hyperlink r:id="rId5" w:anchor="1" w:history="1">
                    <w:r w:rsidRPr="00655494">
                      <w:rPr>
                        <w:rFonts w:ascii="Times New Roman" w:eastAsia="Calibri" w:hAnsi="Times New Roman" w:cs="Times New Roman"/>
                        <w:color w:val="000000"/>
                        <w:sz w:val="24"/>
                        <w:szCs w:val="24"/>
                        <w:u w:val="single"/>
                      </w:rPr>
                      <w:t>http://ec.europa.eu/regional_policy/lt/policy/cooperation/macro-regional-strategies/baltic-sea/library/#1</w:t>
                    </w:r>
                  </w:hyperlink>
                  <w:r w:rsidRPr="00655494">
                    <w:rPr>
                      <w:rFonts w:ascii="Times New Roman" w:eastAsia="Calibri" w:hAnsi="Times New Roman" w:cs="Times New Roman"/>
                      <w:sz w:val="24"/>
                      <w:szCs w:val="24"/>
                    </w:rPr>
                    <w:t xml:space="preserve">, ES BJRS veiksmų planas, </w:t>
                  </w:r>
                  <w:r w:rsidRPr="00655494">
                    <w:rPr>
                      <w:rFonts w:ascii="Times New Roman" w:eastAsia="Calibri" w:hAnsi="Times New Roman" w:cs="Times New Roman"/>
                      <w:iCs/>
                      <w:sz w:val="24"/>
                      <w:szCs w:val="24"/>
                    </w:rPr>
                    <w:t xml:space="preserve">patvirtintas EK 2015 m. rugsėjo 10 d. sprendimu Nr. SWD(2015)177 </w:t>
                  </w:r>
                  <w:proofErr w:type="spellStart"/>
                  <w:r w:rsidRPr="00655494">
                    <w:rPr>
                      <w:rFonts w:ascii="Times New Roman" w:eastAsia="Calibri" w:hAnsi="Times New Roman" w:cs="Times New Roman"/>
                      <w:iCs/>
                      <w:sz w:val="24"/>
                      <w:szCs w:val="24"/>
                    </w:rPr>
                    <w:t>final</w:t>
                  </w:r>
                  <w:proofErr w:type="spellEnd"/>
                  <w:r w:rsidRPr="00655494">
                    <w:rPr>
                      <w:rFonts w:ascii="Times New Roman" w:eastAsia="Calibri" w:hAnsi="Times New Roman" w:cs="Times New Roman"/>
                      <w:iCs/>
                      <w:sz w:val="24"/>
                      <w:szCs w:val="24"/>
                    </w:rPr>
                    <w:t xml:space="preserve"> ir</w:t>
                  </w:r>
                  <w:r w:rsidRPr="00655494">
                    <w:rPr>
                      <w:rFonts w:ascii="Times New Roman" w:eastAsia="Calibri" w:hAnsi="Times New Roman" w:cs="Times New Roman"/>
                      <w:bCs/>
                      <w:sz w:val="24"/>
                      <w:szCs w:val="24"/>
                      <w:lang w:eastAsia="lt-LT"/>
                    </w:rPr>
                    <w:t xml:space="preserve"> skelbiamas </w:t>
                  </w:r>
                  <w:r w:rsidRPr="00655494">
                    <w:rPr>
                      <w:rFonts w:ascii="Times New Roman" w:eastAsia="Calibri" w:hAnsi="Times New Roman" w:cs="Times New Roman"/>
                      <w:color w:val="000000"/>
                      <w:sz w:val="24"/>
                      <w:szCs w:val="24"/>
                    </w:rPr>
                    <w:t xml:space="preserve">EK svetainėje </w:t>
                  </w:r>
                  <w:r w:rsidRPr="00655494">
                    <w:rPr>
                      <w:rFonts w:ascii="Times New Roman" w:eastAsia="Calibri" w:hAnsi="Times New Roman" w:cs="Times New Roman"/>
                      <w:bCs/>
                      <w:sz w:val="24"/>
                      <w:szCs w:val="24"/>
                      <w:lang w:eastAsia="lt-LT"/>
                    </w:rPr>
                    <w:t xml:space="preserve">adresu </w:t>
                  </w:r>
                  <w:hyperlink r:id="rId6" w:anchor="1" w:history="1">
                    <w:r w:rsidRPr="00655494">
                      <w:rPr>
                        <w:rFonts w:ascii="Times New Roman" w:eastAsia="Calibri" w:hAnsi="Times New Roman" w:cs="Times New Roman"/>
                        <w:color w:val="000000"/>
                        <w:sz w:val="24"/>
                        <w:szCs w:val="24"/>
                        <w:u w:val="single"/>
                      </w:rPr>
                      <w:t>http://ec.europa.eu/regional_policy/lt/policy/cooperation/macro-regional-strategies/baltic-sea/library/#1</w:t>
                    </w:r>
                  </w:hyperlink>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caps/>
                      <w:sz w:val="24"/>
                      <w:szCs w:val="24"/>
                      <w:highlight w:val="yellow"/>
                    </w:rPr>
                  </w:pPr>
                  <w:r w:rsidRPr="00655494">
                    <w:rPr>
                      <w:rFonts w:ascii="Times New Roman" w:eastAsia="Calibri" w:hAnsi="Times New Roman" w:cs="Times New Roman"/>
                      <w:bCs/>
                      <w:caps/>
                      <w:sz w:val="24"/>
                      <w:szCs w:val="24"/>
                    </w:rPr>
                    <w:lastRenderedPageBreak/>
                    <w:t>5</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lastRenderedPageBreak/>
                    <w:t>Suma</w:t>
                  </w:r>
                  <w:r w:rsidRPr="00655494">
                    <w:rPr>
                      <w:rFonts w:ascii="Times New Roman" w:eastAsia="Calibri" w:hAnsi="Times New Roman" w:cs="Times New Roman"/>
                      <w:b/>
                      <w:bCs/>
                      <w:caps/>
                      <w:sz w:val="24"/>
                      <w:szCs w:val="24"/>
                    </w:rPr>
                    <w:t>:</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100</w:t>
                  </w:r>
                </w:p>
              </w:tc>
              <w:tc>
                <w:tcPr>
                  <w:tcW w:w="1701" w:type="dxa"/>
                  <w:shd w:val="clear" w:color="auto" w:fill="auto"/>
                </w:tcPr>
                <w:p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41</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r w:rsidRPr="00655494">
        <w:rPr>
          <w:rFonts w:ascii="Times New Roman" w:eastAsia="Calibri" w:hAnsi="Times New Roman" w:cs="Times New Roman"/>
        </w:rPr>
        <w:t>____________________________________                                     ______________________</w:t>
      </w:r>
      <w:r w:rsidRPr="00655494">
        <w:rPr>
          <w:rFonts w:ascii="Times New Roman" w:eastAsia="Calibri" w:hAnsi="Times New Roman" w:cs="Times New Roman"/>
        </w:rPr>
        <w:tab/>
        <w:t xml:space="preserve">  ___________________________</w:t>
      </w:r>
    </w:p>
    <w:p w:rsidR="00655494" w:rsidRPr="00655494" w:rsidRDefault="00655494" w:rsidP="00655494">
      <w:pPr>
        <w:tabs>
          <w:tab w:val="center" w:pos="10800"/>
        </w:tabs>
        <w:spacing w:after="0" w:line="240" w:lineRule="auto"/>
        <w:ind w:left="426"/>
        <w:jc w:val="both"/>
        <w:rPr>
          <w:rFonts w:ascii="Times New Roman" w:eastAsia="Calibri" w:hAnsi="Times New Roman" w:cs="Times New Roman"/>
        </w:rPr>
      </w:pPr>
      <w:r w:rsidRPr="00655494">
        <w:rPr>
          <w:rFonts w:ascii="Times New Roman" w:eastAsia="Calibri" w:hAnsi="Times New Roman" w:cs="Times New Roman"/>
        </w:rPr>
        <w:t xml:space="preserve">(paraiškos vertinimą atlikusios institucijos atsakingo </w:t>
      </w:r>
    </w:p>
    <w:p w:rsidR="00A9102F" w:rsidRDefault="00655494" w:rsidP="00655494">
      <w:r w:rsidRPr="00655494">
        <w:rPr>
          <w:rFonts w:ascii="Times New Roman" w:eastAsia="Calibri" w:hAnsi="Times New Roman" w:cs="Times New Roman"/>
        </w:rPr>
        <w:t xml:space="preserve">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6554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385ADC"/>
    <w:rsid w:val="00655494"/>
    <w:rsid w:val="00726872"/>
    <w:rsid w:val="00A91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lt/policy/cooperation/macro-regional-strategies/baltic-sea/library/" TargetMode="External"/><Relationship Id="rId5" Type="http://schemas.openxmlformats.org/officeDocument/2006/relationships/hyperlink" Target="http://ec.europa.eu/regional_policy/lt/policy/cooperation/macro-regional-strategies/baltic-sea/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4431</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5</cp:revision>
  <dcterms:created xsi:type="dcterms:W3CDTF">2016-02-19T07:39:00Z</dcterms:created>
  <dcterms:modified xsi:type="dcterms:W3CDTF">2016-02-19T08:02:00Z</dcterms:modified>
</cp:coreProperties>
</file>