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5B" w:rsidRPr="00EB725B" w:rsidRDefault="00EB725B" w:rsidP="00EB725B">
      <w:pPr>
        <w:keepNext/>
        <w:spacing w:before="240" w:after="60"/>
        <w:jc w:val="center"/>
        <w:outlineLvl w:val="0"/>
        <w:rPr>
          <w:rFonts w:ascii="Cambria" w:eastAsia="Times New Roman" w:hAnsi="Cambria" w:cs="Times New Roman"/>
          <w:b/>
          <w:bCs/>
          <w:kern w:val="32"/>
          <w:sz w:val="32"/>
          <w:szCs w:val="32"/>
        </w:rPr>
      </w:pPr>
      <w:r w:rsidRPr="00EB725B">
        <w:rPr>
          <w:rFonts w:ascii="Cambria" w:eastAsia="Times New Roman" w:hAnsi="Cambria" w:cs="Times New Roman"/>
          <w:b/>
          <w:bCs/>
          <w:kern w:val="32"/>
          <w:sz w:val="32"/>
          <w:szCs w:val="32"/>
        </w:rPr>
        <w:t>Lietuvos Respublikos finansų ministerija</w:t>
      </w:r>
    </w:p>
    <w:p w:rsidR="00EB725B" w:rsidRPr="00EB725B" w:rsidRDefault="00EB725B" w:rsidP="00EB725B">
      <w:pPr>
        <w:keepNext/>
        <w:spacing w:before="240" w:after="60"/>
        <w:jc w:val="center"/>
        <w:outlineLvl w:val="0"/>
        <w:rPr>
          <w:rFonts w:ascii="Cambria" w:eastAsia="Times New Roman" w:hAnsi="Cambria" w:cs="Times New Roman"/>
          <w:b/>
          <w:bCs/>
          <w:kern w:val="32"/>
          <w:sz w:val="32"/>
          <w:szCs w:val="32"/>
        </w:rPr>
      </w:pPr>
      <w:r w:rsidRPr="00EB725B">
        <w:rPr>
          <w:rFonts w:ascii="Cambria" w:eastAsia="Times New Roman" w:hAnsi="Cambria" w:cs="Times New Roman"/>
          <w:b/>
          <w:bCs/>
          <w:kern w:val="32"/>
          <w:sz w:val="32"/>
          <w:szCs w:val="32"/>
        </w:rPr>
        <w:t>PRIVAČIŲ JURIDINIŲ ASMENŲ PROJEKTŲ DALYVIŲ DARBO UŽMOKESČIO FIKSUOTŲJŲ ĮKAINIŲ NUSTATYMO TYRIMO ATASKAITA</w:t>
      </w:r>
    </w:p>
    <w:p w:rsidR="00EB725B" w:rsidRPr="00EB725B" w:rsidRDefault="00EB725B" w:rsidP="00EB725B">
      <w:pPr>
        <w:spacing w:after="0" w:line="240" w:lineRule="auto"/>
        <w:rPr>
          <w:rFonts w:ascii="Calibri" w:eastAsia="Calibri" w:hAnsi="Calibri" w:cs="Calibri"/>
        </w:rPr>
      </w:pPr>
    </w:p>
    <w:p w:rsidR="00EB725B" w:rsidRDefault="00EB725B" w:rsidP="00EB725B">
      <w:pPr>
        <w:spacing w:after="0" w:line="240" w:lineRule="auto"/>
        <w:jc w:val="center"/>
        <w:rPr>
          <w:rFonts w:ascii="Calibri" w:eastAsia="Calibri" w:hAnsi="Calibri" w:cs="Calibri"/>
        </w:rPr>
      </w:pPr>
    </w:p>
    <w:p w:rsidR="00EF1F31" w:rsidRDefault="00EF1F31" w:rsidP="00EB725B">
      <w:pPr>
        <w:spacing w:after="0" w:line="240" w:lineRule="auto"/>
        <w:jc w:val="center"/>
        <w:rPr>
          <w:rFonts w:ascii="Calibri" w:eastAsia="Calibri" w:hAnsi="Calibri" w:cs="Calibri"/>
        </w:rPr>
      </w:pPr>
      <w:r w:rsidRPr="00820E53">
        <w:rPr>
          <w:rFonts w:ascii="Calibri" w:eastAsia="Calibri" w:hAnsi="Calibri" w:cs="Calibri"/>
        </w:rPr>
        <w:t xml:space="preserve">2016 m. vasario   </w:t>
      </w:r>
      <w:r w:rsidR="00820E53" w:rsidRPr="00820E53">
        <w:rPr>
          <w:rFonts w:ascii="Calibri" w:eastAsia="Calibri" w:hAnsi="Calibri" w:cs="Calibri"/>
        </w:rPr>
        <w:t xml:space="preserve">19 </w:t>
      </w:r>
      <w:r w:rsidRPr="00820E53">
        <w:rPr>
          <w:rFonts w:ascii="Calibri" w:eastAsia="Calibri" w:hAnsi="Calibri" w:cs="Calibri"/>
        </w:rPr>
        <w:t>d.</w:t>
      </w:r>
    </w:p>
    <w:p w:rsidR="00EF1F31" w:rsidRDefault="00EF1F31" w:rsidP="00EB725B">
      <w:pPr>
        <w:spacing w:after="0" w:line="240" w:lineRule="auto"/>
        <w:jc w:val="center"/>
        <w:rPr>
          <w:rFonts w:ascii="Calibri" w:eastAsia="Calibri" w:hAnsi="Calibri" w:cs="Calibri"/>
        </w:rPr>
      </w:pPr>
    </w:p>
    <w:p w:rsidR="00EF1F31" w:rsidRPr="00EB725B" w:rsidRDefault="00EF1F31" w:rsidP="00EB725B">
      <w:pPr>
        <w:spacing w:after="0" w:line="240" w:lineRule="auto"/>
        <w:jc w:val="center"/>
        <w:rPr>
          <w:rFonts w:ascii="Calibri" w:eastAsia="Calibri" w:hAnsi="Calibri" w:cs="Calibri"/>
        </w:rPr>
      </w:pPr>
    </w:p>
    <w:p w:rsidR="00EB725B" w:rsidRPr="00EB725B" w:rsidRDefault="00EB725B" w:rsidP="00EB725B">
      <w:pPr>
        <w:keepNext/>
        <w:numPr>
          <w:ilvl w:val="0"/>
          <w:numId w:val="4"/>
        </w:numPr>
        <w:tabs>
          <w:tab w:val="left" w:pos="567"/>
        </w:tabs>
        <w:spacing w:before="240" w:after="60"/>
        <w:jc w:val="center"/>
        <w:outlineLvl w:val="1"/>
        <w:rPr>
          <w:rFonts w:ascii="Cambria" w:eastAsia="Times New Roman" w:hAnsi="Cambria" w:cs="Times New Roman"/>
          <w:b/>
          <w:bCs/>
          <w:i/>
          <w:iCs/>
          <w:sz w:val="28"/>
          <w:szCs w:val="28"/>
        </w:rPr>
      </w:pPr>
      <w:r w:rsidRPr="00EB725B">
        <w:rPr>
          <w:rFonts w:ascii="Cambria" w:eastAsia="Times New Roman" w:hAnsi="Cambria" w:cs="Times New Roman"/>
          <w:b/>
          <w:bCs/>
          <w:i/>
          <w:iCs/>
          <w:sz w:val="28"/>
          <w:szCs w:val="28"/>
        </w:rPr>
        <w:t>ĮVADAS</w:t>
      </w:r>
    </w:p>
    <w:p w:rsidR="00EB725B" w:rsidRPr="00EB725B" w:rsidRDefault="00EB725B" w:rsidP="00EB725B">
      <w:pPr>
        <w:ind w:firstLine="851"/>
        <w:jc w:val="both"/>
        <w:rPr>
          <w:rFonts w:ascii="Calibri" w:eastAsia="Calibri" w:hAnsi="Calibri" w:cs="Calibri"/>
        </w:rPr>
      </w:pPr>
      <w:r w:rsidRPr="00EB725B">
        <w:rPr>
          <w:rFonts w:ascii="Calibri" w:eastAsia="Calibri" w:hAnsi="Calibri" w:cs="Calibri"/>
        </w:rPr>
        <w:t>Privačių juridinių asmenų projektų dalyvių darbo užmokesčio fiksuotųjų įkainių nustatymo tyrimu (toliau – tyrimas) siekiama nustatyti iš Europos Sąjungos struktūrinių fondų lėšų bendrai finansuojamų projektų (toliau – projektas) veiklose dalyvaujančių privačių juridinių asmenų darbuotojų vidutinius darbo užmokesčio dydžius, taikytinus kaip maksimalūs fiksuotųjų įkainių dydžiai.</w:t>
      </w:r>
      <w:bookmarkStart w:id="0" w:name="_GoBack"/>
      <w:bookmarkEnd w:id="0"/>
    </w:p>
    <w:p w:rsidR="00EB725B" w:rsidRDefault="00EB725B" w:rsidP="00EB725B">
      <w:pPr>
        <w:ind w:firstLine="851"/>
        <w:jc w:val="both"/>
        <w:rPr>
          <w:rFonts w:ascii="Calibri" w:eastAsia="Calibri" w:hAnsi="Calibri" w:cs="Calibri"/>
        </w:rPr>
      </w:pPr>
      <w:r w:rsidRPr="00EB725B">
        <w:rPr>
          <w:rFonts w:ascii="Calibri" w:eastAsia="Calibri" w:hAnsi="Calibri" w:cs="Calibri"/>
        </w:rPr>
        <w:t xml:space="preserve">Šie fiksuotieji įkainiai bus taikomi siekiant sumažinti administracinę naštą projektų vykdytojams, deklaruojantiems projektų dalyvių išlaidas. Projektų veiklose dažnai trumpą laikotarpį (kartais – tik keletą valandų, pavyzdžiui, mokymuose) dalyvauja didelis skaičius asmenų, todėl darbo užmokesčio išlaidų už projektų veiklose praleistą laiką deklaravimas projektų vykdytojams teikiant, o įgyvendinančioms institucijoms tikrinant įprastus išlaidų patvirtinimo dokumentus yra neefektyvus ir daug darbo laiko sąnaudų reikalaujantis procesas. Privačių juridinių asmenų projektų dalyvių darbo užmokesčio fiksuotųjų įkainių taikymas leistų ženkliai sumažinti projektų vykdytojų administracinio personalo ir įgyvendinančiosios institucijos darbuotojų laiko sąnaudas, paprasčiau planuoti projekto išlaidas rengiant paraiškas ir įgyvendinant projektus. </w:t>
      </w:r>
    </w:p>
    <w:p w:rsidR="00C13256" w:rsidRPr="00EB725B" w:rsidRDefault="00C13256" w:rsidP="00EB725B">
      <w:pPr>
        <w:ind w:firstLine="851"/>
        <w:jc w:val="both"/>
        <w:rPr>
          <w:rFonts w:ascii="Calibri" w:eastAsia="Calibri" w:hAnsi="Calibri" w:cs="Calibri"/>
        </w:rPr>
      </w:pPr>
      <w:r>
        <w:rPr>
          <w:rFonts w:ascii="Calibri" w:eastAsia="Calibri" w:hAnsi="Calibri" w:cs="Calibri"/>
        </w:rPr>
        <w:t>Šioje tyrimo ataskaitoje vartojamos sąvokos:</w:t>
      </w:r>
    </w:p>
    <w:p w:rsidR="00C13256" w:rsidRPr="00C13256" w:rsidRDefault="00C13256" w:rsidP="00C13256">
      <w:pPr>
        <w:ind w:firstLine="851"/>
        <w:jc w:val="both"/>
        <w:rPr>
          <w:rFonts w:ascii="Calibri" w:eastAsia="Calibri" w:hAnsi="Calibri" w:cs="Calibri"/>
        </w:rPr>
      </w:pPr>
      <w:r w:rsidRPr="00EB725B">
        <w:rPr>
          <w:rFonts w:ascii="Calibri" w:eastAsia="Calibri" w:hAnsi="Calibri" w:cs="Calibri"/>
          <w:b/>
        </w:rPr>
        <w:t>Ekonominės veiklos rūšių klasifikatorius</w:t>
      </w:r>
      <w:r w:rsidRPr="00EB725B">
        <w:rPr>
          <w:rFonts w:ascii="Calibri" w:eastAsia="Calibri" w:hAnsi="Calibri" w:cs="Calibri"/>
        </w:rPr>
        <w:t xml:space="preserve"> (toliau – EVRK 2 red.) – Lietuvos statistikos departamento generalinio direktoriaus 2007 m. spalio 31 d. įsakymu Nr. DĮ-226 „Dėl ekonominės veiklos rūšių klasifikatoriaus patvirtinimo“ patvirtintas dokumentas, kuriame ekonominės veiklos rūšys suskirstytos į sekcijas, skyrius, grupes, klases ir poklasius. </w:t>
      </w:r>
    </w:p>
    <w:p w:rsidR="00EB725B" w:rsidRPr="00EB725B" w:rsidRDefault="00EB725B" w:rsidP="00EB725B">
      <w:pPr>
        <w:ind w:firstLine="851"/>
        <w:jc w:val="both"/>
        <w:rPr>
          <w:rFonts w:ascii="Calibri" w:eastAsia="Calibri" w:hAnsi="Calibri" w:cs="Calibri"/>
        </w:rPr>
      </w:pPr>
      <w:r w:rsidRPr="00EB725B">
        <w:rPr>
          <w:rFonts w:ascii="Calibri" w:eastAsia="Calibri" w:hAnsi="Calibri" w:cs="Calibri"/>
          <w:b/>
        </w:rPr>
        <w:t>Privatūs juridiniai asmenys</w:t>
      </w:r>
      <w:r w:rsidRPr="00EB725B">
        <w:rPr>
          <w:rFonts w:ascii="Calibri" w:eastAsia="Calibri" w:hAnsi="Calibri" w:cs="Calibri"/>
        </w:rPr>
        <w:t xml:space="preserve"> – juridiniai asmenys, nepriskiriami </w:t>
      </w:r>
      <w:r w:rsidR="00C13256">
        <w:rPr>
          <w:rFonts w:ascii="Calibri" w:eastAsia="Calibri" w:hAnsi="Calibri" w:cs="Calibri"/>
        </w:rPr>
        <w:t>viešojo valdymo institucijoms</w:t>
      </w:r>
      <w:r w:rsidRPr="00EB725B">
        <w:rPr>
          <w:rFonts w:ascii="Calibri" w:eastAsia="Calibri" w:hAnsi="Calibri" w:cs="Calibri"/>
        </w:rPr>
        <w:t>.</w:t>
      </w:r>
    </w:p>
    <w:p w:rsidR="00EB725B" w:rsidRPr="00EB725B" w:rsidRDefault="00C13256" w:rsidP="00CA011F">
      <w:pPr>
        <w:ind w:firstLine="851"/>
        <w:jc w:val="both"/>
        <w:rPr>
          <w:rFonts w:ascii="Calibri" w:eastAsia="Calibri" w:hAnsi="Calibri" w:cs="Calibri"/>
        </w:rPr>
      </w:pPr>
      <w:r w:rsidRPr="00D22E18">
        <w:rPr>
          <w:rFonts w:ascii="Calibri" w:eastAsia="Calibri" w:hAnsi="Calibri" w:cs="Calibri"/>
          <w:b/>
        </w:rPr>
        <w:t>Viešojo valdymo institucijos</w:t>
      </w:r>
      <w:r w:rsidRPr="00C13256">
        <w:rPr>
          <w:rFonts w:ascii="Calibri" w:eastAsia="Calibri" w:hAnsi="Calibri" w:cs="Calibri"/>
        </w:rPr>
        <w:t xml:space="preserve"> – subjektai (valstybės politikai, valstybės ir savivaldybės institucijos ir įstaigos, pareigūnai, valstybės tarnautojai,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įgalioti dalyvauti viešojo valdymo procesuose (Lietuvos Respublikos Vyriausybės 2012 m. vasario 7 d. nutarimo Nr. 171 „Dėl viešojo valdymo tobulinimo 2014–2020 m. programos patvirtinimo“ 6 punktas).</w:t>
      </w:r>
    </w:p>
    <w:p w:rsidR="00EB725B" w:rsidRPr="00EB725B" w:rsidRDefault="00EB725B" w:rsidP="00EB725B">
      <w:pPr>
        <w:spacing w:after="0"/>
        <w:ind w:firstLine="851"/>
        <w:jc w:val="both"/>
        <w:rPr>
          <w:rFonts w:ascii="Calibri" w:eastAsia="Calibri" w:hAnsi="Calibri" w:cs="Calibri"/>
        </w:rPr>
      </w:pPr>
      <w:r w:rsidRPr="00EB725B">
        <w:rPr>
          <w:rFonts w:ascii="Calibri" w:eastAsia="Calibri" w:hAnsi="Calibri" w:cs="Calibri"/>
        </w:rPr>
        <w:lastRenderedPageBreak/>
        <w:t xml:space="preserve">Tyrimo ataskaitoje nustatyti fiksuotieji įkainiai ir jų maksimalūs dydžiai yra universalūs ir gali būti taikomi pagal 2014-2020 m. Europos Sąjungos fondų investicijų veiksmų programos prioritetų įgyvendinimo priemones finansuojamuose projektuose, kuriuose numatoma </w:t>
      </w:r>
      <w:r w:rsidR="00C13256">
        <w:rPr>
          <w:rFonts w:ascii="Calibri" w:eastAsia="Calibri" w:hAnsi="Calibri" w:cs="Calibri"/>
        </w:rPr>
        <w:t xml:space="preserve">pripažinti tinkamomis </w:t>
      </w:r>
      <w:r w:rsidRPr="00EB725B">
        <w:rPr>
          <w:rFonts w:ascii="Calibri" w:eastAsia="Calibri" w:hAnsi="Calibri" w:cs="Calibri"/>
        </w:rPr>
        <w:t>finansuoti privačių juridinių asmenų projektų dalyvių darbo užmokesčio išlaidas.</w:t>
      </w:r>
    </w:p>
    <w:p w:rsidR="00EB725B" w:rsidRPr="00EB725B" w:rsidRDefault="00EB725B" w:rsidP="00EB725B">
      <w:pPr>
        <w:spacing w:before="240" w:after="0" w:line="240" w:lineRule="auto"/>
        <w:ind w:firstLine="851"/>
        <w:jc w:val="both"/>
        <w:rPr>
          <w:rFonts w:ascii="Calibri" w:eastAsia="Calibri" w:hAnsi="Calibri" w:cs="Calibri"/>
        </w:rPr>
      </w:pPr>
      <w:r w:rsidRPr="00EB725B">
        <w:rPr>
          <w:rFonts w:ascii="Calibri" w:eastAsia="Calibri" w:hAnsi="Calibri" w:cs="Calibri"/>
        </w:rPr>
        <w:t>Tyrimas atliktas šiais etapais:</w:t>
      </w:r>
    </w:p>
    <w:p w:rsidR="00EB725B" w:rsidRPr="00EB725B" w:rsidRDefault="00EB725B" w:rsidP="00EB725B">
      <w:pPr>
        <w:numPr>
          <w:ilvl w:val="0"/>
          <w:numId w:val="1"/>
        </w:numPr>
        <w:spacing w:before="240" w:after="0" w:line="240" w:lineRule="auto"/>
        <w:ind w:left="1208" w:hanging="357"/>
        <w:jc w:val="both"/>
        <w:rPr>
          <w:rFonts w:ascii="Calibri" w:eastAsia="Calibri" w:hAnsi="Calibri" w:cs="Calibri"/>
        </w:rPr>
      </w:pPr>
      <w:r w:rsidRPr="00EB725B">
        <w:rPr>
          <w:rFonts w:ascii="Calibri" w:eastAsia="Calibri" w:hAnsi="Calibri" w:cs="Calibri"/>
        </w:rPr>
        <w:t>Atlikta su tyrimo objektu susijusių statistinių duomenų ir teisės aktų analizė;</w:t>
      </w:r>
    </w:p>
    <w:p w:rsidR="00EB725B" w:rsidRPr="00EB725B" w:rsidRDefault="00EB725B" w:rsidP="00EB725B">
      <w:pPr>
        <w:numPr>
          <w:ilvl w:val="0"/>
          <w:numId w:val="1"/>
        </w:numPr>
        <w:spacing w:before="240" w:after="0" w:line="240" w:lineRule="auto"/>
        <w:ind w:left="1208" w:hanging="357"/>
        <w:jc w:val="both"/>
        <w:rPr>
          <w:rFonts w:ascii="Calibri" w:eastAsia="Calibri" w:hAnsi="Calibri" w:cs="Calibri"/>
        </w:rPr>
      </w:pPr>
      <w:r w:rsidRPr="00EB725B">
        <w:rPr>
          <w:rFonts w:ascii="Calibri" w:eastAsia="Calibri" w:hAnsi="Calibri" w:cs="Calibri"/>
        </w:rPr>
        <w:t xml:space="preserve">Statistinių duomenų pagrindu nustatyti maksimalūs privačių juridinių asmenų projektų dalyvių darbo užmokesčio fiksuotojo įkainio dydžiai. </w:t>
      </w:r>
    </w:p>
    <w:p w:rsidR="00EB725B" w:rsidRPr="00EB725B" w:rsidRDefault="00EB725B" w:rsidP="00EB725B">
      <w:pPr>
        <w:spacing w:before="240" w:after="0"/>
        <w:ind w:firstLine="851"/>
        <w:jc w:val="both"/>
        <w:rPr>
          <w:rFonts w:ascii="Calibri" w:eastAsia="Calibri" w:hAnsi="Calibri" w:cs="Calibri"/>
        </w:rPr>
      </w:pPr>
      <w:r w:rsidRPr="00EB725B">
        <w:rPr>
          <w:rFonts w:ascii="Calibri" w:eastAsia="Calibri" w:hAnsi="Calibri" w:cs="Calibri"/>
        </w:rPr>
        <w:t xml:space="preserve">Tyrimą atliko Europos socialinio fondo agentūra ir PPMI GROUP, UAB ekspertai pagal ūkio subjektų grupės PPMI </w:t>
      </w:r>
      <w:proofErr w:type="spellStart"/>
      <w:r w:rsidRPr="00EB725B">
        <w:rPr>
          <w:rFonts w:ascii="Calibri" w:eastAsia="Calibri" w:hAnsi="Calibri" w:cs="Calibri"/>
        </w:rPr>
        <w:t>Group</w:t>
      </w:r>
      <w:proofErr w:type="spellEnd"/>
      <w:r w:rsidRPr="00EB725B">
        <w:rPr>
          <w:rFonts w:ascii="Calibri" w:eastAsia="Calibri" w:hAnsi="Calibri" w:cs="Calibri"/>
        </w:rPr>
        <w:t>, UAB, viešoji įstaiga Viešosios politikos ir vadybos institutas, UAB „</w:t>
      </w:r>
      <w:proofErr w:type="spellStart"/>
      <w:r w:rsidRPr="00EB725B">
        <w:rPr>
          <w:rFonts w:ascii="Calibri" w:eastAsia="Calibri" w:hAnsi="Calibri" w:cs="Calibri"/>
        </w:rPr>
        <w:t>PricewaterhouseCoopers</w:t>
      </w:r>
      <w:proofErr w:type="spellEnd"/>
      <w:r w:rsidRPr="00EB725B">
        <w:rPr>
          <w:rFonts w:ascii="Calibri" w:eastAsia="Calibri" w:hAnsi="Calibri" w:cs="Calibri"/>
        </w:rPr>
        <w:t xml:space="preserve">“ ir </w:t>
      </w:r>
      <w:proofErr w:type="spellStart"/>
      <w:r w:rsidRPr="00EB725B">
        <w:rPr>
          <w:rFonts w:ascii="Calibri" w:eastAsia="Calibri" w:hAnsi="Calibri" w:cs="Calibri"/>
        </w:rPr>
        <w:t>PricewaterhouseCoopers</w:t>
      </w:r>
      <w:proofErr w:type="spellEnd"/>
      <w:r w:rsidRPr="00EB725B">
        <w:rPr>
          <w:rFonts w:ascii="Calibri" w:eastAsia="Calibri" w:hAnsi="Calibri" w:cs="Calibri"/>
        </w:rPr>
        <w:t xml:space="preserve"> </w:t>
      </w:r>
      <w:proofErr w:type="spellStart"/>
      <w:r w:rsidRPr="00EB725B">
        <w:rPr>
          <w:rFonts w:ascii="Calibri" w:eastAsia="Calibri" w:hAnsi="Calibri" w:cs="Calibri"/>
        </w:rPr>
        <w:t>Luxembourg</w:t>
      </w:r>
      <w:proofErr w:type="spellEnd"/>
      <w:r w:rsidRPr="00EB725B">
        <w:rPr>
          <w:rFonts w:ascii="Calibri" w:eastAsia="Calibri" w:hAnsi="Calibri" w:cs="Calibri"/>
        </w:rPr>
        <w:t xml:space="preserve">, atstovaujamos PPMI, 2015-01-07 sutartį Nr. 14P-1 su Lietuvos Respublikos finansų ministerija. </w:t>
      </w:r>
    </w:p>
    <w:p w:rsidR="00EB725B" w:rsidRPr="00EB725B" w:rsidRDefault="00EB725B" w:rsidP="00EB725B">
      <w:pPr>
        <w:spacing w:before="240" w:after="0"/>
        <w:ind w:firstLine="851"/>
        <w:jc w:val="both"/>
        <w:rPr>
          <w:rFonts w:ascii="Calibri" w:eastAsia="Calibri" w:hAnsi="Calibri" w:cs="Calibri"/>
        </w:rPr>
      </w:pPr>
    </w:p>
    <w:p w:rsidR="00EB725B" w:rsidRPr="00EB725B" w:rsidRDefault="00EB725B" w:rsidP="00EB725B">
      <w:pPr>
        <w:keepNext/>
        <w:spacing w:before="240" w:after="60"/>
        <w:jc w:val="center"/>
        <w:outlineLvl w:val="1"/>
        <w:rPr>
          <w:rFonts w:ascii="Cambria" w:eastAsia="Times New Roman" w:hAnsi="Cambria" w:cs="Times New Roman"/>
          <w:b/>
          <w:bCs/>
          <w:i/>
          <w:iCs/>
          <w:sz w:val="28"/>
          <w:szCs w:val="28"/>
        </w:rPr>
      </w:pPr>
      <w:r w:rsidRPr="00EB725B">
        <w:rPr>
          <w:rFonts w:ascii="Cambria" w:eastAsia="Times New Roman" w:hAnsi="Cambria" w:cs="Times New Roman"/>
          <w:b/>
          <w:bCs/>
          <w:i/>
          <w:iCs/>
          <w:sz w:val="28"/>
          <w:szCs w:val="28"/>
        </w:rPr>
        <w:t>II. TYRIMO METODIKA</w:t>
      </w:r>
    </w:p>
    <w:p w:rsidR="00EB725B" w:rsidRPr="00EB725B" w:rsidRDefault="00EB725B" w:rsidP="00EB725B">
      <w:pPr>
        <w:rPr>
          <w:rFonts w:ascii="Calibri" w:eastAsia="Calibri" w:hAnsi="Calibri" w:cs="Calibri"/>
        </w:rPr>
      </w:pPr>
    </w:p>
    <w:p w:rsidR="00EB725B" w:rsidRPr="00EB725B" w:rsidRDefault="00EB725B" w:rsidP="00EB725B">
      <w:pPr>
        <w:keepNext/>
        <w:spacing w:before="240" w:after="60"/>
        <w:jc w:val="center"/>
        <w:outlineLvl w:val="2"/>
        <w:rPr>
          <w:rFonts w:ascii="Cambria" w:eastAsia="Times New Roman" w:hAnsi="Cambria" w:cs="Times New Roman"/>
          <w:b/>
          <w:bCs/>
          <w:sz w:val="26"/>
          <w:szCs w:val="26"/>
        </w:rPr>
      </w:pPr>
      <w:r w:rsidRPr="00EB725B">
        <w:rPr>
          <w:rFonts w:ascii="Cambria" w:eastAsia="Times New Roman" w:hAnsi="Cambria" w:cs="Times New Roman"/>
          <w:b/>
          <w:bCs/>
          <w:sz w:val="26"/>
          <w:szCs w:val="26"/>
        </w:rPr>
        <w:t>II.1. Tyrimo prielaidos ir duomenų šaltiniai</w:t>
      </w:r>
    </w:p>
    <w:p w:rsidR="00EB725B" w:rsidRPr="00EB725B" w:rsidRDefault="00EB725B" w:rsidP="00EB725B">
      <w:pPr>
        <w:spacing w:before="240" w:after="0"/>
        <w:ind w:firstLine="900"/>
        <w:jc w:val="both"/>
        <w:rPr>
          <w:rFonts w:ascii="Calibri" w:eastAsia="Calibri" w:hAnsi="Calibri" w:cs="Calibri"/>
        </w:rPr>
      </w:pPr>
      <w:r w:rsidRPr="00EB725B">
        <w:rPr>
          <w:rFonts w:ascii="Calibri" w:eastAsia="Calibri" w:hAnsi="Calibri" w:cs="Calibri"/>
        </w:rPr>
        <w:t xml:space="preserve">Pagal numatomas įgyvendinti 2014-2020 m. Europos Sąjungos fondų investicijų veiksmų programos prioritetų įgyvendinimo priemones finansuojamuose projektuose numatoma patirti privačių juridinių asmenų </w:t>
      </w:r>
      <w:r w:rsidR="00A73555">
        <w:rPr>
          <w:rFonts w:ascii="Calibri" w:eastAsia="Calibri" w:hAnsi="Calibri" w:cs="Calibri"/>
        </w:rPr>
        <w:t xml:space="preserve">darbuotojų </w:t>
      </w:r>
      <w:r w:rsidRPr="00EB725B">
        <w:rPr>
          <w:rFonts w:ascii="Calibri" w:eastAsia="Calibri" w:hAnsi="Calibri" w:cs="Calibri"/>
        </w:rPr>
        <w:t xml:space="preserve">darbo užmokesčio išlaidas už laiką, kurį </w:t>
      </w:r>
      <w:r w:rsidR="00C13256">
        <w:rPr>
          <w:rFonts w:ascii="Calibri" w:eastAsia="Calibri" w:hAnsi="Calibri" w:cs="Calibri"/>
        </w:rPr>
        <w:t xml:space="preserve">darbuotojas </w:t>
      </w:r>
      <w:r w:rsidRPr="00EB725B">
        <w:rPr>
          <w:rFonts w:ascii="Calibri" w:eastAsia="Calibri" w:hAnsi="Calibri" w:cs="Calibri"/>
        </w:rPr>
        <w:t xml:space="preserve">praleidžia dalyvaudamas projekto veiklose. Tokių faktiškai patirtų ir apmokėtų išlaidų deklaravimas ir patikra sukuria didelę administracinę naštą tiek projektų vykdytojams ir partneriams, tiek ir įgyvendinančiajai institucijai, kadangi, nepriklausomai nuo projekto veiklose dalyvauto laiko, būtina pateikti išsamius kiekvieno projekto dalyvio darbo užmokesčio išlaidų patvirtinimo dokumentus. </w:t>
      </w:r>
    </w:p>
    <w:p w:rsidR="00C13256" w:rsidRDefault="00EB725B" w:rsidP="00EB725B">
      <w:pPr>
        <w:spacing w:before="240" w:after="0"/>
        <w:ind w:firstLine="900"/>
        <w:jc w:val="both"/>
        <w:rPr>
          <w:rFonts w:ascii="Calibri" w:eastAsia="Calibri" w:hAnsi="Calibri" w:cs="Calibri"/>
        </w:rPr>
      </w:pPr>
      <w:r w:rsidRPr="00EB725B">
        <w:rPr>
          <w:rFonts w:ascii="Calibri" w:eastAsia="Calibri" w:hAnsi="Calibri" w:cs="Calibri"/>
        </w:rPr>
        <w:t>Privačių juridinių asmenų projektų dalyvių darbo užmokesčio fiksuotieji įkainiai leis ženkliai sumažinti šią administracinę naštą</w:t>
      </w:r>
      <w:r w:rsidR="00C13256">
        <w:rPr>
          <w:rFonts w:ascii="Calibri" w:eastAsia="Calibri" w:hAnsi="Calibri" w:cs="Calibri"/>
        </w:rPr>
        <w:t>.</w:t>
      </w:r>
      <w:r w:rsidRPr="00EB725B">
        <w:rPr>
          <w:rFonts w:ascii="Calibri" w:eastAsia="Calibri" w:hAnsi="Calibri" w:cs="Calibri"/>
        </w:rPr>
        <w:t xml:space="preserve"> </w:t>
      </w:r>
    </w:p>
    <w:p w:rsidR="00EB725B" w:rsidRPr="00EB725B" w:rsidRDefault="00EB725B" w:rsidP="00EB725B">
      <w:pPr>
        <w:spacing w:before="240" w:after="0"/>
        <w:ind w:firstLine="900"/>
        <w:jc w:val="both"/>
        <w:rPr>
          <w:rFonts w:ascii="Calibri" w:eastAsia="Calibri" w:hAnsi="Calibri" w:cs="Calibri"/>
        </w:rPr>
      </w:pPr>
      <w:r w:rsidRPr="00EB725B">
        <w:rPr>
          <w:rFonts w:ascii="Calibri" w:eastAsia="Calibri" w:hAnsi="Calibri" w:cs="Calibri"/>
        </w:rPr>
        <w:t>Lietuvos statistikos departamento duomenimis, 2016 m. pradžioje Lietuvos Respublikoje veikė 99 200 ūkio subjektų</w:t>
      </w:r>
      <w:r w:rsidRPr="00EB725B">
        <w:rPr>
          <w:rFonts w:ascii="Calibri" w:eastAsia="Calibri" w:hAnsi="Calibri" w:cs="Calibri"/>
          <w:vertAlign w:val="superscript"/>
        </w:rPr>
        <w:footnoteReference w:id="1"/>
      </w:r>
      <w:r w:rsidRPr="00EB725B">
        <w:rPr>
          <w:rFonts w:ascii="Calibri" w:eastAsia="Calibri" w:hAnsi="Calibri" w:cs="Calibri"/>
        </w:rPr>
        <w:t>, kurių didžioji dalis yra privatūs juridiniai asmenys</w:t>
      </w:r>
      <w:r w:rsidRPr="00EB725B">
        <w:rPr>
          <w:rFonts w:ascii="Calibri" w:eastAsia="Calibri" w:hAnsi="Calibri" w:cs="Calibri"/>
          <w:vertAlign w:val="superscript"/>
        </w:rPr>
        <w:footnoteReference w:id="2"/>
      </w:r>
      <w:r w:rsidRPr="00EB725B">
        <w:rPr>
          <w:rFonts w:ascii="Calibri" w:eastAsia="Calibri" w:hAnsi="Calibri" w:cs="Calibri"/>
        </w:rPr>
        <w:t xml:space="preserve">, t.y. potencialūs pagal Europos Sąjungos fondų investicijų veiksmų programos prioritetų įgyvendinimo priemones finansuojamų projektų dalyviai. 2007–2013 metų Europos Sąjungos struktūrinės paramos laikotarpiu vykdytų projektų duomenys apie privačių juridinių asmenų projektų dalyvių darbo užmokestį yra atsitiktiniai (nereprezentatyvūs, pavienių asmenų, apimantys ne visų ekonominės veiklos rūšims priskirtinų privačių juridinių asmenų </w:t>
      </w:r>
      <w:r w:rsidR="00C268CB">
        <w:rPr>
          <w:rFonts w:ascii="Calibri" w:eastAsia="Calibri" w:hAnsi="Calibri" w:cs="Calibri"/>
        </w:rPr>
        <w:t xml:space="preserve">darbuotojų </w:t>
      </w:r>
      <w:r w:rsidRPr="00EB725B">
        <w:rPr>
          <w:rFonts w:ascii="Calibri" w:eastAsia="Calibri" w:hAnsi="Calibri" w:cs="Calibri"/>
        </w:rPr>
        <w:t xml:space="preserve">darbo užmokestį, skirtingų laikotarpių), didelės apimties bei nesusisteminti tyrimui tinkamu būdu, todėl netinkami naudoti fiksuotųjų įkainių dydžiams nustatyti. Kadangi pagal </w:t>
      </w:r>
      <w:r w:rsidRPr="00EB725B">
        <w:rPr>
          <w:rFonts w:ascii="Calibri" w:eastAsia="Calibri" w:hAnsi="Calibri" w:cs="Calibri"/>
        </w:rPr>
        <w:lastRenderedPageBreak/>
        <w:t>2014-2020 m. Europos Sąjungos fondų investicijų veiksmų programos prioritetų įgyvendinimo priemones finansuojamų projektų veiklose turi galimybę dalyvauti skirting</w:t>
      </w:r>
      <w:r w:rsidR="00C268CB">
        <w:rPr>
          <w:rFonts w:ascii="Calibri" w:eastAsia="Calibri" w:hAnsi="Calibri" w:cs="Calibri"/>
        </w:rPr>
        <w:t>o</w:t>
      </w:r>
      <w:r w:rsidRPr="00EB725B">
        <w:rPr>
          <w:rFonts w:ascii="Calibri" w:eastAsia="Calibri" w:hAnsi="Calibri" w:cs="Calibri"/>
        </w:rPr>
        <w:t xml:space="preserve"> teisinio statuso įvairių rūšių ekonominę veiklą vykdančių privačių juridinių asmenų darbuotojai, tinkamiausias būdas universaliems, patikimiems ir nesudėtingai atnaujinamiems fiksuotiesiems įkainiams nustatyti – vadovautis Lietuvos statistikos departamento oficialiosios statistikos portale </w:t>
      </w:r>
      <w:hyperlink r:id="rId8" w:history="1">
        <w:r w:rsidRPr="00EB725B">
          <w:rPr>
            <w:rFonts w:ascii="Calibri" w:eastAsia="Calibri" w:hAnsi="Calibri" w:cs="Calibri"/>
            <w:color w:val="0000FF"/>
            <w:u w:val="single"/>
          </w:rPr>
          <w:t>http://osp.stat.gov.lt/</w:t>
        </w:r>
      </w:hyperlink>
      <w:r w:rsidRPr="00EB725B">
        <w:rPr>
          <w:rFonts w:ascii="Calibri" w:eastAsia="Calibri" w:hAnsi="Calibri" w:cs="Calibri"/>
        </w:rPr>
        <w:t xml:space="preserve"> skelbiamais darbo užmokesčio Lietuvos Respublikos privačiame sektoriuje (su individualiosiomis įmonėmis) vidutiniais dydžiais</w:t>
      </w:r>
      <w:r w:rsidR="00C268CB">
        <w:rPr>
          <w:rFonts w:ascii="Calibri" w:eastAsia="Calibri" w:hAnsi="Calibri" w:cs="Calibri"/>
        </w:rPr>
        <w:t>.</w:t>
      </w:r>
      <w:r w:rsidRPr="00EB725B">
        <w:rPr>
          <w:rFonts w:ascii="Calibri" w:eastAsia="Calibri" w:hAnsi="Calibri" w:cs="Calibri"/>
        </w:rPr>
        <w:t xml:space="preserve"> Atsižvelgiant į tai, kad darbo užmokesčio vidutiniai dydžiai reikšmingai skiriasi pagal ekonominės veiklos rūšis, bei siekiant, kad nustatyti fiksuotieji įkainiai kuo geriau atitiktų faktinius darbo užmokesčio išlaidų dydžius, tyrimu nustatomi detalūs privačių juridinių asmenų projektų dalyvių darbo užmokesčio fiksuotieji įkainiai pagal EVRK (2 red.) taikomą ekonominių veiklos rūšių klasifikavimo sistemą.</w:t>
      </w:r>
    </w:p>
    <w:p w:rsidR="00EB725B" w:rsidRPr="00EB725B" w:rsidRDefault="00EB725B" w:rsidP="00EB725B">
      <w:pPr>
        <w:spacing w:before="240" w:after="0"/>
        <w:ind w:firstLine="900"/>
        <w:jc w:val="both"/>
        <w:rPr>
          <w:rFonts w:ascii="Calibri" w:eastAsia="Calibri" w:hAnsi="Calibri" w:cs="Calibri"/>
        </w:rPr>
      </w:pPr>
      <w:r w:rsidRPr="00EB725B">
        <w:rPr>
          <w:rFonts w:ascii="Calibri" w:eastAsia="Calibri" w:hAnsi="Calibri" w:cs="Calibri"/>
        </w:rPr>
        <w:t>Skirtingi fiksuotieji įkainiai pagal ekonominės veiklos rūšis yra taikytini projekto vykdytojo ir partnerių darbuotojams, kurie laikomi projekto dalyviais, o jų dydžiai nustatomi pagal projekto vykdytojo (partnerio) vykdomos pagrindinės ekonominės veiklos rūšį. Projekto vykdytojo (partnerio) vykdomos pagrindinės ekonominės veiklos rūšis identifikuojama pagal su paraiška pateikiamoje formoje „Pareiškėjo (partnerio) vykdomos ekonominės veiklos rūšis pagal Ekonominės veiklos rūšių klasifikatorių (EVRK 2 red.)“ (tyrimo ataskaitos 1 priedas) nurodytus duomenis. Tačiau fiksuotuosius įkainius, nustatytus atskiroms ekonominės veiklos rūšims, yra sudėtinga taikyti projektų dalyviams, kurie yra trečiųjų šalių (privačių juridinių asmenų) darbuotojai, kadangi paraiškos teikimo metu trečiosios šalys dar gali būti neidentifikuotos, atitinkamai, jų vykdomos ekonominės veiklos rūšis nenustatyta, todėl paraiškoje ir projekto sutartyje neįmanoma pagrįstai nustatyti trečiųjų šalių projektų dalyviams taikytinų fiksuotųjų įkainių ir tinkamai suplanuoti projekto biudžeto. Dėl šios priežasties trečiųjų šalių projektų dalyviams nuspręsta taikyti vienodą fiksuotąj</w:t>
      </w:r>
      <w:r w:rsidR="00C268CB">
        <w:rPr>
          <w:rFonts w:ascii="Calibri" w:eastAsia="Calibri" w:hAnsi="Calibri" w:cs="Calibri"/>
        </w:rPr>
        <w:t>į</w:t>
      </w:r>
      <w:r w:rsidRPr="00EB725B">
        <w:rPr>
          <w:rFonts w:ascii="Calibri" w:eastAsia="Calibri" w:hAnsi="Calibri" w:cs="Calibri"/>
        </w:rPr>
        <w:t xml:space="preserve"> įkainį, apskaičiuotą pagal Lietuvos statistikos departamento pateiktą vidutinį visų ekonominės veiklos rūšių darbo užmokesčio vidutinį dydį, nepriklausomai nuo trečiosios šalies vykdomos pagrindinės ekonominės veiklos rūšies.</w:t>
      </w:r>
    </w:p>
    <w:p w:rsidR="00EB725B" w:rsidRPr="00EB725B" w:rsidRDefault="00EB725B" w:rsidP="00EB725B">
      <w:pPr>
        <w:spacing w:before="240" w:after="0"/>
        <w:ind w:firstLine="900"/>
        <w:jc w:val="both"/>
        <w:rPr>
          <w:rFonts w:ascii="Calibri" w:eastAsia="Calibri" w:hAnsi="Calibri" w:cs="Calibri"/>
        </w:rPr>
      </w:pPr>
      <w:r w:rsidRPr="00EB725B">
        <w:rPr>
          <w:rFonts w:ascii="Calibri" w:eastAsia="Calibri" w:hAnsi="Calibri" w:cs="Calibri"/>
        </w:rPr>
        <w:t>Lietuvos statistikos departamento oficialiosios statistikos portale yra skelbiami ketvirtiniai ir metiniai darbo užmokesčio vidutiniai dydžiai. Tyrimo atlikimo metu 2015 m. metiniai darbo užmokesčio vidutiniai dydžiai dar nebuvo paskelbti, todėl nuspręsta naudoti naujausius oficialiai skelbiamus paskutinių 12 mėnesių (t.</w:t>
      </w:r>
      <w:r w:rsidR="00C268CB">
        <w:rPr>
          <w:rFonts w:ascii="Calibri" w:eastAsia="Calibri" w:hAnsi="Calibri" w:cs="Calibri"/>
        </w:rPr>
        <w:t xml:space="preserve"> </w:t>
      </w:r>
      <w:r w:rsidRPr="00EB725B">
        <w:rPr>
          <w:rFonts w:ascii="Calibri" w:eastAsia="Calibri" w:hAnsi="Calibri" w:cs="Calibri"/>
        </w:rPr>
        <w:t>y. 2014 m. IV ketvirčio ir 2015 m. I-III ketvirčių) duomenis</w:t>
      </w:r>
      <w:r w:rsidRPr="00EB725B">
        <w:rPr>
          <w:rFonts w:ascii="Calibri" w:eastAsia="Calibri" w:hAnsi="Calibri" w:cs="Calibri"/>
          <w:vertAlign w:val="superscript"/>
        </w:rPr>
        <w:footnoteReference w:id="3"/>
      </w:r>
      <w:r w:rsidRPr="00EB725B">
        <w:rPr>
          <w:rFonts w:ascii="Calibri" w:eastAsia="Calibri" w:hAnsi="Calibri" w:cs="Calibri"/>
        </w:rPr>
        <w:t>. Lietuvos statistikos departamentas neskelbia duomenų apie vidutinį valandinį darbo užmokestį privačiame sektoriuje su individualiosiomis įmonėmis, todėl tyrimo tikslams naudojami vidutinio mėnesinio bruto</w:t>
      </w:r>
      <w:r w:rsidRPr="00EB725B">
        <w:rPr>
          <w:rFonts w:ascii="Calibri" w:eastAsia="Calibri" w:hAnsi="Calibri" w:cs="Calibri"/>
          <w:vertAlign w:val="superscript"/>
        </w:rPr>
        <w:footnoteReference w:id="4"/>
      </w:r>
      <w:r w:rsidRPr="00EB725B">
        <w:rPr>
          <w:rFonts w:ascii="Calibri" w:eastAsia="Calibri" w:hAnsi="Calibri" w:cs="Calibri"/>
        </w:rPr>
        <w:t xml:space="preserve"> darbo užmokesčio duomenys.</w:t>
      </w:r>
    </w:p>
    <w:p w:rsidR="00EB725B" w:rsidRPr="00EB725B" w:rsidRDefault="00EB725B" w:rsidP="00EB725B">
      <w:pPr>
        <w:spacing w:before="240" w:after="0"/>
        <w:ind w:firstLine="900"/>
        <w:jc w:val="both"/>
        <w:rPr>
          <w:rFonts w:ascii="Calibri" w:eastAsia="Calibri" w:hAnsi="Calibri" w:cs="Calibri"/>
        </w:rPr>
      </w:pPr>
      <w:r w:rsidRPr="00EB725B">
        <w:rPr>
          <w:rFonts w:ascii="Calibri" w:eastAsia="Calibri" w:hAnsi="Calibri" w:cs="Calibri"/>
        </w:rPr>
        <w:t>Skaičiuojant privačių juridinių asmenų projektų dalyvių darbo užmokesčio fiksuotųjų įkainių dydžius, taip pat buvo naudoti šie dokumentai ir duomenų šaltiniai:</w:t>
      </w:r>
    </w:p>
    <w:p w:rsidR="00EB725B" w:rsidRPr="00EB725B" w:rsidRDefault="00EB725B" w:rsidP="00EB725B">
      <w:pPr>
        <w:numPr>
          <w:ilvl w:val="0"/>
          <w:numId w:val="2"/>
        </w:numPr>
        <w:spacing w:before="240"/>
        <w:jc w:val="both"/>
        <w:rPr>
          <w:rFonts w:ascii="Calibri" w:eastAsia="Times New Roman" w:hAnsi="Calibri" w:cs="Calibri"/>
        </w:rPr>
      </w:pPr>
      <w:r w:rsidRPr="00EB725B">
        <w:rPr>
          <w:rFonts w:ascii="Calibri" w:eastAsia="Times New Roman" w:hAnsi="Calibri" w:cs="Calibri"/>
        </w:rPr>
        <w:t>Lietuvos Respublikos darbo kodeksas (toliau – DK);</w:t>
      </w:r>
    </w:p>
    <w:p w:rsidR="00EB725B" w:rsidRPr="00EB725B" w:rsidRDefault="00EB725B" w:rsidP="00EB725B">
      <w:pPr>
        <w:numPr>
          <w:ilvl w:val="0"/>
          <w:numId w:val="2"/>
        </w:numPr>
        <w:spacing w:before="240"/>
        <w:jc w:val="both"/>
        <w:rPr>
          <w:rFonts w:ascii="Calibri" w:eastAsia="Times New Roman" w:hAnsi="Calibri" w:cs="Calibri"/>
        </w:rPr>
      </w:pPr>
      <w:r w:rsidRPr="00EB725B">
        <w:rPr>
          <w:rFonts w:ascii="Calibri" w:eastAsia="Times New Roman" w:hAnsi="Calibri" w:cs="Calibri"/>
        </w:rPr>
        <w:t>Lietuvos Respublikos Valstybinio socialinio draudimo įstatymas;</w:t>
      </w:r>
    </w:p>
    <w:p w:rsidR="00EB725B" w:rsidRPr="00EB725B" w:rsidRDefault="00EB725B" w:rsidP="00EB725B">
      <w:pPr>
        <w:numPr>
          <w:ilvl w:val="0"/>
          <w:numId w:val="2"/>
        </w:numPr>
        <w:spacing w:before="240"/>
        <w:jc w:val="both"/>
        <w:rPr>
          <w:rFonts w:ascii="Calibri" w:eastAsia="Times New Roman" w:hAnsi="Calibri" w:cs="Calibri"/>
        </w:rPr>
      </w:pPr>
      <w:r w:rsidRPr="00EB725B">
        <w:rPr>
          <w:rFonts w:ascii="Calibri" w:eastAsia="Times New Roman" w:hAnsi="Calibri" w:cs="Calibri"/>
        </w:rPr>
        <w:t>Lietuvos Respublikos Valstybinio socialinio draudimo fondo biudžeto 2016 metų rodiklių patvirtinimo įstatymas;</w:t>
      </w:r>
    </w:p>
    <w:p w:rsidR="00EB725B" w:rsidRPr="00EB725B" w:rsidRDefault="00EB725B" w:rsidP="00D22E18">
      <w:pPr>
        <w:numPr>
          <w:ilvl w:val="0"/>
          <w:numId w:val="2"/>
        </w:numPr>
        <w:spacing w:before="240"/>
        <w:jc w:val="both"/>
        <w:rPr>
          <w:rFonts w:ascii="Calibri" w:eastAsia="Times New Roman" w:hAnsi="Calibri" w:cs="Calibri"/>
        </w:rPr>
      </w:pPr>
      <w:r w:rsidRPr="00EB725B">
        <w:rPr>
          <w:rFonts w:ascii="Calibri" w:eastAsia="Times New Roman" w:hAnsi="Calibri" w:cs="Calibri"/>
        </w:rPr>
        <w:t>Lietuvos Respublikos Garantinio fondo įstatymas;</w:t>
      </w:r>
    </w:p>
    <w:p w:rsidR="00EB725B" w:rsidRPr="00EB725B" w:rsidRDefault="00EB725B" w:rsidP="00D22E18">
      <w:pPr>
        <w:numPr>
          <w:ilvl w:val="0"/>
          <w:numId w:val="2"/>
        </w:numPr>
        <w:spacing w:before="240"/>
        <w:jc w:val="both"/>
        <w:rPr>
          <w:rFonts w:ascii="Calibri" w:eastAsia="Times New Roman" w:hAnsi="Calibri" w:cs="Calibri"/>
        </w:rPr>
      </w:pPr>
      <w:r w:rsidRPr="00EB725B">
        <w:rPr>
          <w:rFonts w:ascii="Calibri" w:eastAsia="Times New Roman" w:hAnsi="Calibri" w:cs="Calibri"/>
        </w:rPr>
        <w:t>Projektų administravimo ir finansavimo taisyklės, patvirtintos Lietuvos Respublikos finansų ministro 2004 m. spalio 8 d. įsakymu Nr. 1K-316;</w:t>
      </w:r>
    </w:p>
    <w:p w:rsidR="00EB725B" w:rsidRPr="00EB725B" w:rsidRDefault="00EB725B" w:rsidP="00D22E18">
      <w:pPr>
        <w:numPr>
          <w:ilvl w:val="0"/>
          <w:numId w:val="2"/>
        </w:numPr>
        <w:jc w:val="both"/>
        <w:rPr>
          <w:rFonts w:ascii="Calibri" w:eastAsia="Times New Roman" w:hAnsi="Calibri" w:cs="Calibri"/>
        </w:rPr>
      </w:pPr>
      <w:r w:rsidRPr="00EB725B">
        <w:rPr>
          <w:rFonts w:ascii="Calibri" w:eastAsia="Times New Roman" w:hAnsi="Calibri" w:cs="Calibri"/>
        </w:rPr>
        <w:t xml:space="preserve">Lietuvos Respublikos </w:t>
      </w:r>
      <w:r w:rsidR="00C268CB">
        <w:rPr>
          <w:rFonts w:ascii="Calibri" w:eastAsia="Times New Roman" w:hAnsi="Calibri" w:cs="Calibri"/>
        </w:rPr>
        <w:t>s</w:t>
      </w:r>
      <w:r w:rsidRPr="00EB725B">
        <w:rPr>
          <w:rFonts w:ascii="Calibri" w:eastAsia="Times New Roman" w:hAnsi="Calibri" w:cs="Calibri"/>
        </w:rPr>
        <w:t>ocialinės apsaugos ir darbo ministro 2011 m. gruodžio 19 d. įsakymas Nr. A1-535 “Dėl metinių darbo dienų koeficientų bei metinių vidutinio mėnesio darbo dienų ir valandų skaičių 2012 metais patvirtinimo”;</w:t>
      </w:r>
    </w:p>
    <w:p w:rsidR="00EB725B" w:rsidRPr="00EB725B" w:rsidRDefault="00EB725B" w:rsidP="00D22E18">
      <w:pPr>
        <w:numPr>
          <w:ilvl w:val="0"/>
          <w:numId w:val="2"/>
        </w:numPr>
        <w:spacing w:before="240"/>
        <w:jc w:val="both"/>
        <w:rPr>
          <w:rFonts w:ascii="Calibri" w:eastAsia="Times New Roman" w:hAnsi="Calibri" w:cs="Calibri"/>
        </w:rPr>
      </w:pPr>
      <w:r w:rsidRPr="00EB725B">
        <w:rPr>
          <w:rFonts w:ascii="Calibri" w:eastAsia="Times New Roman" w:hAnsi="Calibri" w:cs="Calibri"/>
        </w:rPr>
        <w:t xml:space="preserve">Lietuvos Respublikos </w:t>
      </w:r>
      <w:r w:rsidR="00C268CB">
        <w:rPr>
          <w:rFonts w:ascii="Calibri" w:eastAsia="Times New Roman" w:hAnsi="Calibri" w:cs="Calibri"/>
        </w:rPr>
        <w:t>s</w:t>
      </w:r>
      <w:r w:rsidRPr="00EB725B">
        <w:rPr>
          <w:rFonts w:ascii="Calibri" w:eastAsia="Times New Roman" w:hAnsi="Calibri" w:cs="Calibri"/>
        </w:rPr>
        <w:t>ocialinės apsaugos ir darbo ministro 2012 m. gruodžio 21 d. įsakymas Nr. A1-581 “Dėl metinių darbo dienų koeficientų bei metinių vidutinio mėnesio darbo dienų ir valandų skaičių 2013 metais patvirtinimo”;</w:t>
      </w:r>
    </w:p>
    <w:p w:rsidR="00EB725B" w:rsidRPr="00EB725B" w:rsidRDefault="00EB725B" w:rsidP="00D22E18">
      <w:pPr>
        <w:numPr>
          <w:ilvl w:val="0"/>
          <w:numId w:val="2"/>
        </w:numPr>
        <w:spacing w:before="240"/>
        <w:jc w:val="both"/>
        <w:rPr>
          <w:rFonts w:ascii="Calibri" w:eastAsia="Times New Roman" w:hAnsi="Calibri" w:cs="Calibri"/>
        </w:rPr>
      </w:pPr>
      <w:r w:rsidRPr="00EB725B">
        <w:rPr>
          <w:rFonts w:ascii="Calibri" w:eastAsia="Times New Roman" w:hAnsi="Calibri" w:cs="Calibri"/>
        </w:rPr>
        <w:t xml:space="preserve">Lietuvos Respublikos </w:t>
      </w:r>
      <w:r w:rsidR="00C268CB">
        <w:rPr>
          <w:rFonts w:ascii="Calibri" w:eastAsia="Times New Roman" w:hAnsi="Calibri" w:cs="Calibri"/>
        </w:rPr>
        <w:t>s</w:t>
      </w:r>
      <w:r w:rsidRPr="00EB725B">
        <w:rPr>
          <w:rFonts w:ascii="Calibri" w:eastAsia="Times New Roman" w:hAnsi="Calibri" w:cs="Calibri"/>
        </w:rPr>
        <w:t>ocialinės apsaugos ir darbo ministro 2013 m. gruodžio 16 d. įsakymas Nr. A1-693 “Dėl metinių darbo dienų koeficientų bei metinių vidutinio mėnesio darbo dienų ir valandų skaičių 2014 metais patvirtinimo”;</w:t>
      </w:r>
    </w:p>
    <w:p w:rsidR="00EB725B" w:rsidRPr="00EB725B" w:rsidRDefault="00EB725B" w:rsidP="00D22E18">
      <w:pPr>
        <w:numPr>
          <w:ilvl w:val="0"/>
          <w:numId w:val="2"/>
        </w:numPr>
        <w:jc w:val="both"/>
        <w:rPr>
          <w:rFonts w:ascii="Calibri" w:eastAsia="Times New Roman" w:hAnsi="Calibri" w:cs="Calibri"/>
        </w:rPr>
      </w:pPr>
      <w:r w:rsidRPr="00EB725B">
        <w:rPr>
          <w:rFonts w:ascii="Calibri" w:eastAsia="Times New Roman" w:hAnsi="Calibri" w:cs="Calibri"/>
        </w:rPr>
        <w:t xml:space="preserve">Lietuvos Respublikos </w:t>
      </w:r>
      <w:r w:rsidR="00C268CB">
        <w:rPr>
          <w:rFonts w:ascii="Calibri" w:eastAsia="Times New Roman" w:hAnsi="Calibri" w:cs="Calibri"/>
        </w:rPr>
        <w:t>s</w:t>
      </w:r>
      <w:r w:rsidRPr="00EB725B">
        <w:rPr>
          <w:rFonts w:ascii="Calibri" w:eastAsia="Times New Roman" w:hAnsi="Calibri" w:cs="Calibri"/>
        </w:rPr>
        <w:t>ocialinės apsaugos ir darbo ministro 2014 m. gruodžio 12 d. įsakymas Nr. A1-646 “Dėl metinių darbo dienų koeficientų bei metinių vidutinio mėnesio darbo dienų ir valandų skaičių 2015 metais patvirtinimo”;</w:t>
      </w:r>
    </w:p>
    <w:p w:rsidR="00EB725B" w:rsidRPr="00EB725B" w:rsidRDefault="00EB725B" w:rsidP="00D22E18">
      <w:pPr>
        <w:numPr>
          <w:ilvl w:val="0"/>
          <w:numId w:val="2"/>
        </w:numPr>
        <w:jc w:val="both"/>
        <w:rPr>
          <w:rFonts w:ascii="Calibri" w:eastAsia="Times New Roman" w:hAnsi="Calibri" w:cs="Calibri"/>
        </w:rPr>
      </w:pPr>
      <w:r w:rsidRPr="00EB725B">
        <w:rPr>
          <w:rFonts w:ascii="Calibri" w:eastAsia="Times New Roman" w:hAnsi="Calibri" w:cs="Calibri"/>
        </w:rPr>
        <w:t xml:space="preserve">Lietuvos Respublikos </w:t>
      </w:r>
      <w:r w:rsidR="00C268CB">
        <w:rPr>
          <w:rFonts w:ascii="Calibri" w:eastAsia="Times New Roman" w:hAnsi="Calibri" w:cs="Calibri"/>
        </w:rPr>
        <w:t>s</w:t>
      </w:r>
      <w:r w:rsidRPr="00EB725B">
        <w:rPr>
          <w:rFonts w:ascii="Calibri" w:eastAsia="Times New Roman" w:hAnsi="Calibri" w:cs="Calibri"/>
        </w:rPr>
        <w:t>ocialinės apsaugos ir darbo ministro 2015 m. gruodžio 23 d. įsakymas Nr. A1-789 “Dėl metinių darbo dienų koeficientų bei metinių vidutinio mėnesio darbo dienų ir valandų skaičių 2016 metais patvirtinimo”;</w:t>
      </w:r>
    </w:p>
    <w:p w:rsidR="00EB725B" w:rsidRPr="00EB725B" w:rsidRDefault="00C13256" w:rsidP="00C13256">
      <w:pPr>
        <w:numPr>
          <w:ilvl w:val="0"/>
          <w:numId w:val="2"/>
        </w:numPr>
        <w:spacing w:before="240"/>
        <w:jc w:val="both"/>
        <w:rPr>
          <w:rFonts w:ascii="Calibri" w:eastAsia="Times New Roman" w:hAnsi="Calibri" w:cs="Calibri"/>
        </w:rPr>
      </w:pPr>
      <w:r>
        <w:rPr>
          <w:rFonts w:ascii="Calibri" w:eastAsia="Times New Roman" w:hAnsi="Calibri" w:cs="Calibri"/>
        </w:rPr>
        <w:t>Rekomendacijos</w:t>
      </w:r>
      <w:r w:rsidRPr="00C13256">
        <w:rPr>
          <w:rFonts w:ascii="Calibri" w:eastAsia="Times New Roman" w:hAnsi="Calibri" w:cs="Calibri"/>
        </w:rPr>
        <w:t xml:space="preserve"> dėl projektų išlaidų atitikties Europos Sąjungos struktūri</w:t>
      </w:r>
      <w:r>
        <w:rPr>
          <w:rFonts w:ascii="Calibri" w:eastAsia="Times New Roman" w:hAnsi="Calibri" w:cs="Calibri"/>
        </w:rPr>
        <w:t xml:space="preserve">nių fondų reikalavimams, </w:t>
      </w:r>
      <w:r w:rsidRPr="00C13256">
        <w:rPr>
          <w:rFonts w:ascii="Calibri" w:eastAsia="Times New Roman" w:hAnsi="Calibri" w:cs="Calibri"/>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w:t>
      </w:r>
      <w:r w:rsidR="00EB725B" w:rsidRPr="00EB725B">
        <w:rPr>
          <w:rFonts w:ascii="Calibri" w:eastAsia="Times New Roman" w:hAnsi="Calibri" w:cs="Calibri"/>
        </w:rPr>
        <w:t>(aktuali redakcija nuo 2015 m. sausio 1 d.) (toliau – Rekomendacijos dėl išlaidų atitikties).</w:t>
      </w:r>
    </w:p>
    <w:p w:rsidR="00EB725B" w:rsidRPr="00EB725B" w:rsidRDefault="00EB725B" w:rsidP="00EB725B">
      <w:pPr>
        <w:spacing w:before="240"/>
        <w:ind w:left="1287"/>
        <w:jc w:val="both"/>
        <w:rPr>
          <w:rFonts w:ascii="Calibri" w:eastAsia="Times New Roman" w:hAnsi="Calibri" w:cs="Calibri"/>
        </w:rPr>
      </w:pPr>
    </w:p>
    <w:p w:rsidR="00EB725B" w:rsidRPr="00EB725B" w:rsidRDefault="00EB725B" w:rsidP="00EB725B">
      <w:pPr>
        <w:keepNext/>
        <w:spacing w:before="240" w:after="60"/>
        <w:jc w:val="center"/>
        <w:outlineLvl w:val="2"/>
        <w:rPr>
          <w:rFonts w:ascii="Cambria" w:eastAsia="Times New Roman" w:hAnsi="Cambria" w:cs="Times New Roman"/>
          <w:b/>
          <w:bCs/>
          <w:sz w:val="26"/>
          <w:szCs w:val="26"/>
        </w:rPr>
      </w:pPr>
      <w:r w:rsidRPr="00EB725B">
        <w:rPr>
          <w:rFonts w:ascii="Cambria" w:eastAsia="Times New Roman" w:hAnsi="Cambria" w:cs="Times New Roman"/>
          <w:b/>
          <w:bCs/>
          <w:sz w:val="26"/>
          <w:szCs w:val="26"/>
        </w:rPr>
        <w:t>II.2. Tyrimo metodika</w:t>
      </w:r>
    </w:p>
    <w:p w:rsidR="00EB725B" w:rsidRPr="00EB725B" w:rsidRDefault="00EB725B" w:rsidP="00EB725B">
      <w:pPr>
        <w:spacing w:before="240" w:after="240"/>
        <w:ind w:firstLine="851"/>
        <w:jc w:val="both"/>
        <w:rPr>
          <w:rFonts w:ascii="Calibri" w:eastAsia="Calibri" w:hAnsi="Calibri" w:cs="Calibri"/>
        </w:rPr>
      </w:pPr>
      <w:r w:rsidRPr="00EB725B">
        <w:rPr>
          <w:rFonts w:ascii="Calibri" w:eastAsia="Calibri" w:hAnsi="Calibri" w:cs="Calibri"/>
        </w:rPr>
        <w:t xml:space="preserve">Atsižvelgiant į tai, kad projektų dalyviai projekto veikloje (pavyzdžiui, mokymuose ar konsultacijose) gali dalyvauti ne visą darbo dieną, o tik keletą valandų, bei vadovaujantis Rekomendacijų dėl išlaidų atitikties 166 punkto rekomendacija </w:t>
      </w:r>
      <w:r w:rsidRPr="00EB725B">
        <w:rPr>
          <w:rFonts w:ascii="Calibri" w:eastAsia="Calibri" w:hAnsi="Calibri" w:cs="Calibri"/>
          <w:i/>
        </w:rPr>
        <w:t>„siekiant paprastesnės fiksuotųjų įkainių apskaitos, rekomenduojamas darbo užmokesčio fiksuotojo įkainio kiekybinio rezultato vienetas – darbo valanda“</w:t>
      </w:r>
      <w:r w:rsidRPr="00EB725B">
        <w:rPr>
          <w:rFonts w:ascii="Calibri" w:eastAsia="Calibri" w:hAnsi="Calibri" w:cs="Calibri"/>
        </w:rPr>
        <w:t xml:space="preserve">, šiuo tyrimu yra nustatomas valandinio darbo užmokesčio fiksuotojo įkainio dydis. </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Lietuvos Respublikoje metinis darbo valandų skaičius kinta kasmet, priklausomai nuo dienų skaičiaus metuose (keliamaisiais metais darbo valandų skaičius įprastai didesnis) ir valstybinių švenčių dienų (</w:t>
      </w:r>
      <w:proofErr w:type="spellStart"/>
      <w:r w:rsidRPr="00EB725B">
        <w:rPr>
          <w:rFonts w:ascii="Calibri" w:eastAsia="Calibri" w:hAnsi="Calibri" w:cs="Calibri"/>
        </w:rPr>
        <w:t>ne)sutapimu</w:t>
      </w:r>
      <w:proofErr w:type="spellEnd"/>
      <w:r w:rsidRPr="00EB725B">
        <w:rPr>
          <w:rFonts w:ascii="Calibri" w:eastAsia="Calibri" w:hAnsi="Calibri" w:cs="Calibri"/>
        </w:rPr>
        <w:t xml:space="preserve"> su savaitgalio dienomis. Vadovaujantis tyrimo ataskaitos II.1 dalies 6-10 punktuose nustatytais įsakymais, esant penkių darbo dienų savaitei, metinis darbo valandų skaičius per pastaruosius penkerius metus sudarė:</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2012 metais – 2010 val.;</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2013 metais – 2001 val.;</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2014 metais – 2009 val.;</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 xml:space="preserve">2015 metais – 2010 </w:t>
      </w:r>
      <w:proofErr w:type="spellStart"/>
      <w:r w:rsidRPr="00EB725B">
        <w:rPr>
          <w:rFonts w:ascii="Calibri" w:eastAsia="Calibri" w:hAnsi="Calibri" w:cs="Calibri"/>
        </w:rPr>
        <w:t>val</w:t>
      </w:r>
      <w:proofErr w:type="spellEnd"/>
      <w:r w:rsidRPr="00EB725B">
        <w:rPr>
          <w:rFonts w:ascii="Calibri" w:eastAsia="Calibri" w:hAnsi="Calibri" w:cs="Calibri"/>
        </w:rPr>
        <w:t>;</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2016 metais – 2010 val.</w:t>
      </w:r>
    </w:p>
    <w:p w:rsidR="00EB725B" w:rsidRPr="00EB725B" w:rsidRDefault="00EB725B" w:rsidP="00EB725B">
      <w:pPr>
        <w:ind w:firstLine="851"/>
        <w:jc w:val="both"/>
        <w:rPr>
          <w:rFonts w:ascii="Calibri" w:eastAsia="Times New Roman" w:hAnsi="Calibri" w:cs="Calibri"/>
        </w:rPr>
      </w:pPr>
      <w:r w:rsidRPr="00EB725B">
        <w:rPr>
          <w:rFonts w:ascii="Calibri" w:eastAsia="Times New Roman" w:hAnsi="Calibri" w:cs="Calibri"/>
        </w:rPr>
        <w:t>Vidutinis (apskaičiuotas aritmetinio vidurkio būdu) metinis darbo valandų skaičius 2012-2016 metais sudarė 2008 valandas. Šios valandos taip pat apima kasmetinių atostogų valandas, kurios, vadovaujantis DK 166 straipsnio nuostatomis, įprastai sudaro 28 kalendorines dienas, t.y. 156 pilnas darbo valandas (28 dienos padauginta iš 8 darbo valandų per dieną padauginta iš 0,7 (metinis darbo dienų koeficientas esant penkių darbo dienų savaitei</w:t>
      </w:r>
      <w:r w:rsidRPr="00EB725B">
        <w:rPr>
          <w:rFonts w:ascii="Calibri" w:eastAsia="Times New Roman" w:hAnsi="Calibri" w:cs="Calibri"/>
          <w:vertAlign w:val="superscript"/>
        </w:rPr>
        <w:footnoteReference w:id="5"/>
      </w:r>
      <w:r w:rsidRPr="00EB725B">
        <w:rPr>
          <w:rFonts w:ascii="Calibri" w:eastAsia="Times New Roman" w:hAnsi="Calibri" w:cs="Calibri"/>
        </w:rPr>
        <w:t xml:space="preserve">)). </w:t>
      </w:r>
    </w:p>
    <w:p w:rsidR="00EB725B" w:rsidRPr="00EB725B" w:rsidRDefault="00EB725B" w:rsidP="00EB725B">
      <w:pPr>
        <w:ind w:firstLine="851"/>
        <w:jc w:val="both"/>
        <w:rPr>
          <w:rFonts w:ascii="Calibri" w:eastAsia="Times New Roman" w:hAnsi="Calibri" w:cs="Calibri"/>
          <w:lang w:eastAsia="lt-LT"/>
        </w:rPr>
      </w:pPr>
      <w:r w:rsidRPr="00EB725B">
        <w:rPr>
          <w:rFonts w:ascii="Calibri" w:eastAsia="Times New Roman" w:hAnsi="Calibri" w:cs="Calibri"/>
        </w:rPr>
        <w:t xml:space="preserve">Vadovaujantis Rekomendacijų dėl išlaidų atitikties 164 punkto nuostatomis, </w:t>
      </w:r>
      <w:r w:rsidRPr="00EB725B">
        <w:rPr>
          <w:rFonts w:ascii="Calibri" w:eastAsia="Times New Roman" w:hAnsi="Calibri" w:cs="Calibri"/>
          <w:lang w:eastAsia="lt-LT"/>
        </w:rPr>
        <w:t xml:space="preserve">išlaidos projekto veiklose dalyvaujančių asmenų darbo užmokesčiui už kasmetines atostogas ar išlaidos kompensacijoms už nepanaudotas atostogas yra laikomos netinkamomis finansuoti, jeigu ES ir (ar) Lietuvos Respublikos teisės aktuose (pavyzdžiui, valstybės pagalbos schemoje, projektų finansavimo sąlygų apraše ar pan.) nenustatyta kitaip. Atsižvelgiant į šią nuostatą, skaičiuojant </w:t>
      </w:r>
      <w:r w:rsidRPr="00EB725B">
        <w:rPr>
          <w:rFonts w:ascii="Calibri" w:eastAsia="Times New Roman" w:hAnsi="Calibri" w:cs="Calibri"/>
        </w:rPr>
        <w:t>privačių juridinių asmenų projektų dalyvių darbo užmokesčio fiksuotųjų įkainių dydžius,</w:t>
      </w:r>
      <w:r w:rsidRPr="00EB725B">
        <w:rPr>
          <w:rFonts w:ascii="Calibri" w:eastAsia="Times New Roman" w:hAnsi="Calibri" w:cs="Calibri"/>
          <w:lang w:eastAsia="lt-LT"/>
        </w:rPr>
        <w:t xml:space="preserve"> kasmetinių atostogų valandos nėra atimamos iš vidutinio metinio darbo valandų skaičiaus – tokiu būdu apskaičiuotas vidutinis 1 darbo valandos įkainis neapima kasmetinių atostogų išmokų.</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Siekiant fiksuotųjų įkainių taikymo paprastumo, šiuo vidutiniu metiniu darbo valandų skaičiumi (2008 val.) rekomenduojama vadovautis nustatant privačių juridinių asmenų projektų dalyvių darbo užmokesčio fiksuo</w:t>
      </w:r>
      <w:r w:rsidR="00B8410C">
        <w:rPr>
          <w:rFonts w:ascii="Calibri" w:eastAsia="Calibri" w:hAnsi="Calibri" w:cs="Calibri"/>
        </w:rPr>
        <w:t>tųjų įkainių dydžius visam 2014</w:t>
      </w:r>
      <w:r w:rsidRPr="00EB725B">
        <w:rPr>
          <w:rFonts w:ascii="Calibri" w:eastAsia="Calibri" w:hAnsi="Calibri" w:cs="Calibri"/>
        </w:rPr>
        <w:t>-2020 m. Europos Sąjungos struktūrinių fondų investicijų veiksmų programos laikotarpiui, atsisakant kasmetinio valandinio fiksuotojo įkainio perskaičiavimo pagal faktinį darbo valandų konkrečiais metais skaičių, kadangi Lietuvoje įprastai nustatomas mėnesinis darbo užmokesčio dydis, nepriklausantis nuo darbo dienų/valandų skaičiaus, todėl metinė darbo užmokesčio suma nekinta keičiantis metiniam darbo valandų skaičiui.</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 xml:space="preserve">Vadovaujantis Projektų administravimo ir finansavimo taisyklių 418 punktu, tinkamos finansuoti darbo užmokesčio išlaidos taip pat gali apimti darbdavio mokamas socialinio draudimo įmokas, taip pat įmokas į Garantinį fondą, kitus su darbo santykiais susijusius įsipareigojimus. Taigi, privačių juridinių asmenų projekto dalyvių darbo užmokesčio fiksuotieji įkainiai apskaičiuojami prie vidutinio bruto darbo užmokesčio pridėjus išlaidas su darbo santykiais susijusiems darbdavio įsipareigojimams. </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Privačių juridinių asmenų projekto dalyvių darbo užmokesčio fiksuotieji įkainiai (skirtingoms ekonominės veiklos rūšims) yra skaičiuojami pagal formulę žemiau:</w:t>
      </w:r>
    </w:p>
    <w:p w:rsidR="00EB725B" w:rsidRPr="00EB725B" w:rsidRDefault="00EB725B" w:rsidP="00EB725B">
      <w:pPr>
        <w:spacing w:after="240"/>
        <w:ind w:left="851"/>
        <w:jc w:val="both"/>
        <w:rPr>
          <w:rFonts w:ascii="Calibri" w:eastAsia="Calibri" w:hAnsi="Calibri" w:cs="Calibri"/>
          <w:i/>
        </w:rPr>
      </w:pPr>
      <w:r w:rsidRPr="00EB725B">
        <w:rPr>
          <w:rFonts w:ascii="Calibri" w:eastAsia="Calibri" w:hAnsi="Calibri" w:cs="Calibri"/>
          <w:b/>
        </w:rPr>
        <w:t>FĮ</w:t>
      </w:r>
      <w:r w:rsidRPr="00EB725B">
        <w:rPr>
          <w:rFonts w:ascii="Calibri" w:eastAsia="Calibri" w:hAnsi="Calibri" w:cs="Calibri"/>
          <w:b/>
          <w:vertAlign w:val="subscript"/>
        </w:rPr>
        <w:t xml:space="preserve">PDU = </w:t>
      </w:r>
      <w:r w:rsidRPr="00EB725B">
        <w:rPr>
          <w:rFonts w:ascii="Calibri" w:eastAsia="Calibri" w:hAnsi="Calibri" w:cs="Calibri"/>
          <w:b/>
        </w:rPr>
        <w:t>(</w:t>
      </w:r>
      <w:proofErr w:type="spellStart"/>
      <w:r w:rsidRPr="00EB725B">
        <w:rPr>
          <w:rFonts w:ascii="Calibri" w:eastAsia="Calibri" w:hAnsi="Calibri" w:cs="Calibri"/>
          <w:b/>
        </w:rPr>
        <w:t>DU</w:t>
      </w:r>
      <w:r w:rsidRPr="00EB725B">
        <w:rPr>
          <w:rFonts w:ascii="Calibri" w:eastAsia="Calibri" w:hAnsi="Calibri" w:cs="Calibri"/>
          <w:b/>
          <w:vertAlign w:val="subscript"/>
        </w:rPr>
        <w:t>bruto</w:t>
      </w:r>
      <w:proofErr w:type="spellEnd"/>
      <w:r w:rsidRPr="00EB725B">
        <w:rPr>
          <w:rFonts w:ascii="Calibri" w:eastAsia="Calibri" w:hAnsi="Calibri" w:cs="Calibri"/>
          <w:b/>
        </w:rPr>
        <w:t xml:space="preserve"> + VSD + GF) *</w:t>
      </w:r>
      <w:proofErr w:type="spellStart"/>
      <w:r w:rsidRPr="00EB725B">
        <w:rPr>
          <w:rFonts w:ascii="Calibri" w:eastAsia="Calibri" w:hAnsi="Calibri" w:cs="Calibri"/>
          <w:b/>
        </w:rPr>
        <w:t>Mėn</w:t>
      </w:r>
      <w:r w:rsidRPr="00EB725B">
        <w:rPr>
          <w:rFonts w:ascii="Calibri" w:eastAsia="Calibri" w:hAnsi="Calibri" w:cs="Calibri"/>
          <w:b/>
          <w:vertAlign w:val="subscript"/>
        </w:rPr>
        <w:t>sk</w:t>
      </w:r>
      <w:proofErr w:type="spellEnd"/>
      <w:r w:rsidRPr="00EB725B">
        <w:rPr>
          <w:rFonts w:ascii="Calibri" w:eastAsia="Calibri" w:hAnsi="Calibri" w:cs="Calibri"/>
          <w:b/>
        </w:rPr>
        <w:t xml:space="preserve"> / </w:t>
      </w:r>
      <w:proofErr w:type="spellStart"/>
      <w:r w:rsidRPr="00EB725B">
        <w:rPr>
          <w:rFonts w:ascii="Calibri" w:eastAsia="Calibri" w:hAnsi="Calibri" w:cs="Calibri"/>
          <w:b/>
        </w:rPr>
        <w:t>Val</w:t>
      </w:r>
      <w:r w:rsidRPr="00EB725B">
        <w:rPr>
          <w:rFonts w:ascii="Calibri" w:eastAsia="Calibri" w:hAnsi="Calibri" w:cs="Calibri"/>
          <w:b/>
          <w:vertAlign w:val="subscript"/>
        </w:rPr>
        <w:t>sk</w:t>
      </w:r>
      <w:proofErr w:type="spellEnd"/>
      <w:r w:rsidRPr="00EB725B">
        <w:rPr>
          <w:rFonts w:ascii="Calibri" w:eastAsia="Calibri" w:hAnsi="Calibri" w:cs="Calibri"/>
        </w:rPr>
        <w:t xml:space="preserve">, </w:t>
      </w:r>
      <w:r w:rsidRPr="00EB725B">
        <w:rPr>
          <w:rFonts w:ascii="Calibri" w:eastAsia="Calibri" w:hAnsi="Calibri" w:cs="Calibri"/>
          <w:i/>
        </w:rPr>
        <w:t>kur</w:t>
      </w:r>
    </w:p>
    <w:p w:rsidR="00EB725B" w:rsidRPr="00EB725B" w:rsidRDefault="00EB725B" w:rsidP="00EB725B">
      <w:pPr>
        <w:spacing w:after="240"/>
        <w:ind w:left="851"/>
        <w:jc w:val="both"/>
        <w:rPr>
          <w:rFonts w:ascii="Calibri" w:eastAsia="Calibri" w:hAnsi="Calibri" w:cs="Calibri"/>
        </w:rPr>
      </w:pPr>
      <w:r w:rsidRPr="00EB725B">
        <w:rPr>
          <w:rFonts w:ascii="Calibri" w:eastAsia="Calibri" w:hAnsi="Calibri" w:cs="Calibri"/>
        </w:rPr>
        <w:t>FĮ</w:t>
      </w:r>
      <w:r w:rsidRPr="00EB725B">
        <w:rPr>
          <w:rFonts w:ascii="Calibri" w:eastAsia="Calibri" w:hAnsi="Calibri" w:cs="Calibri"/>
          <w:vertAlign w:val="subscript"/>
        </w:rPr>
        <w:t xml:space="preserve">PDU – </w:t>
      </w:r>
      <w:r w:rsidRPr="00EB725B">
        <w:rPr>
          <w:rFonts w:ascii="Calibri" w:eastAsia="Calibri" w:hAnsi="Calibri" w:cs="Calibri"/>
        </w:rPr>
        <w:t>Privačių juridinių asmenų projektų dalyvių darbo užmokesčio fiksuotasis įkainis;</w:t>
      </w:r>
    </w:p>
    <w:p w:rsidR="00EB725B" w:rsidRPr="00EB725B" w:rsidRDefault="00EB725B" w:rsidP="00EB725B">
      <w:pPr>
        <w:spacing w:after="240"/>
        <w:ind w:left="851"/>
        <w:jc w:val="both"/>
        <w:rPr>
          <w:rFonts w:ascii="Calibri" w:eastAsia="Calibri" w:hAnsi="Calibri" w:cs="Calibri"/>
        </w:rPr>
      </w:pPr>
      <w:proofErr w:type="spellStart"/>
      <w:r w:rsidRPr="00EB725B">
        <w:rPr>
          <w:rFonts w:ascii="Calibri" w:eastAsia="Calibri" w:hAnsi="Calibri" w:cs="Calibri"/>
        </w:rPr>
        <w:t>DU</w:t>
      </w:r>
      <w:r w:rsidRPr="00EB725B">
        <w:rPr>
          <w:rFonts w:ascii="Calibri" w:eastAsia="Calibri" w:hAnsi="Calibri" w:cs="Calibri"/>
          <w:vertAlign w:val="subscript"/>
        </w:rPr>
        <w:t>bruto</w:t>
      </w:r>
      <w:proofErr w:type="spellEnd"/>
      <w:r w:rsidRPr="00EB725B">
        <w:rPr>
          <w:rFonts w:ascii="Calibri" w:eastAsia="Calibri" w:hAnsi="Calibri" w:cs="Calibri"/>
        </w:rPr>
        <w:t xml:space="preserve"> – Lietuvos statistikos departamento skelbiamas privataus sektoriaus su individualiomis įmonėmis vidutinis mėnesinis darbo užmokestis (bruto), </w:t>
      </w:r>
      <w:proofErr w:type="spellStart"/>
      <w:r w:rsidRPr="00EB725B">
        <w:rPr>
          <w:rFonts w:ascii="Calibri" w:eastAsia="Calibri" w:hAnsi="Calibri" w:cs="Calibri"/>
        </w:rPr>
        <w:t>Eur</w:t>
      </w:r>
      <w:proofErr w:type="spellEnd"/>
      <w:r w:rsidRPr="00EB725B">
        <w:rPr>
          <w:rFonts w:ascii="Calibri" w:eastAsia="Calibri" w:hAnsi="Calibri" w:cs="Calibri"/>
        </w:rPr>
        <w:t>/mėn.;</w:t>
      </w:r>
    </w:p>
    <w:p w:rsidR="00EB725B" w:rsidRPr="00EB725B" w:rsidRDefault="00EB725B" w:rsidP="00EB725B">
      <w:pPr>
        <w:spacing w:after="240"/>
        <w:ind w:left="851"/>
        <w:jc w:val="both"/>
        <w:rPr>
          <w:rFonts w:ascii="Calibri" w:eastAsia="Calibri" w:hAnsi="Calibri" w:cs="Calibri"/>
        </w:rPr>
      </w:pPr>
      <w:r w:rsidRPr="00EB725B">
        <w:rPr>
          <w:rFonts w:ascii="Calibri" w:eastAsia="Calibri" w:hAnsi="Calibri" w:cs="Calibri"/>
        </w:rPr>
        <w:t xml:space="preserve">VSD – darbdavio apskaičiuojamos ir mokamos valstybinio socialinio draudimo įmokos dydis (30,98 proc. nuo </w:t>
      </w:r>
      <w:proofErr w:type="spellStart"/>
      <w:r w:rsidRPr="00EB725B">
        <w:rPr>
          <w:rFonts w:ascii="Calibri" w:eastAsia="Calibri" w:hAnsi="Calibri" w:cs="Calibri"/>
        </w:rPr>
        <w:t>DU</w:t>
      </w:r>
      <w:r w:rsidRPr="00EB725B">
        <w:rPr>
          <w:rFonts w:ascii="Calibri" w:eastAsia="Calibri" w:hAnsi="Calibri" w:cs="Calibri"/>
          <w:vertAlign w:val="subscript"/>
        </w:rPr>
        <w:t>bruto</w:t>
      </w:r>
      <w:proofErr w:type="spellEnd"/>
      <w:r w:rsidRPr="00EB725B">
        <w:rPr>
          <w:rFonts w:ascii="Calibri" w:eastAsia="Calibri" w:hAnsi="Calibri" w:cs="Calibri"/>
        </w:rPr>
        <w:t>);</w:t>
      </w:r>
    </w:p>
    <w:p w:rsidR="00EB725B" w:rsidRPr="00EB725B" w:rsidRDefault="00EB725B" w:rsidP="00EB725B">
      <w:pPr>
        <w:spacing w:after="240"/>
        <w:ind w:left="851"/>
        <w:jc w:val="both"/>
        <w:rPr>
          <w:rFonts w:ascii="Calibri" w:eastAsia="Calibri" w:hAnsi="Calibri" w:cs="Calibri"/>
        </w:rPr>
      </w:pPr>
      <w:r w:rsidRPr="00EB725B">
        <w:rPr>
          <w:rFonts w:ascii="Calibri" w:eastAsia="Calibri" w:hAnsi="Calibri" w:cs="Calibri"/>
        </w:rPr>
        <w:t xml:space="preserve">GF – darbdavio apskaičiuojamos ir mokamos įmokos į </w:t>
      </w:r>
      <w:r w:rsidR="00B8410C">
        <w:rPr>
          <w:rFonts w:ascii="Calibri" w:eastAsia="Calibri" w:hAnsi="Calibri" w:cs="Calibri"/>
        </w:rPr>
        <w:t>G</w:t>
      </w:r>
      <w:r w:rsidRPr="00EB725B">
        <w:rPr>
          <w:rFonts w:ascii="Calibri" w:eastAsia="Calibri" w:hAnsi="Calibri" w:cs="Calibri"/>
        </w:rPr>
        <w:t xml:space="preserve">arantinį fondą dydis (0,2 proc. nuo </w:t>
      </w:r>
      <w:proofErr w:type="spellStart"/>
      <w:r w:rsidRPr="00EB725B">
        <w:rPr>
          <w:rFonts w:ascii="Calibri" w:eastAsia="Calibri" w:hAnsi="Calibri" w:cs="Calibri"/>
        </w:rPr>
        <w:t>DU</w:t>
      </w:r>
      <w:r w:rsidRPr="00EB725B">
        <w:rPr>
          <w:rFonts w:ascii="Calibri" w:eastAsia="Calibri" w:hAnsi="Calibri" w:cs="Calibri"/>
          <w:vertAlign w:val="subscript"/>
        </w:rPr>
        <w:t>bruto</w:t>
      </w:r>
      <w:proofErr w:type="spellEnd"/>
      <w:r w:rsidRPr="00EB725B">
        <w:rPr>
          <w:rFonts w:ascii="Calibri" w:eastAsia="Calibri" w:hAnsi="Calibri" w:cs="Calibri"/>
        </w:rPr>
        <w:t xml:space="preserve">); </w:t>
      </w:r>
    </w:p>
    <w:p w:rsidR="00EB725B" w:rsidRPr="00EB725B" w:rsidRDefault="00EB725B" w:rsidP="00EB725B">
      <w:pPr>
        <w:spacing w:after="240"/>
        <w:ind w:left="851"/>
        <w:jc w:val="both"/>
        <w:rPr>
          <w:rFonts w:ascii="Calibri" w:eastAsia="Calibri" w:hAnsi="Calibri" w:cs="Calibri"/>
        </w:rPr>
      </w:pPr>
      <w:proofErr w:type="spellStart"/>
      <w:r w:rsidRPr="00EB725B">
        <w:rPr>
          <w:rFonts w:ascii="Calibri" w:eastAsia="Calibri" w:hAnsi="Calibri" w:cs="Calibri"/>
        </w:rPr>
        <w:t>Mėn</w:t>
      </w:r>
      <w:r w:rsidRPr="00EB725B">
        <w:rPr>
          <w:rFonts w:ascii="Calibri" w:eastAsia="Calibri" w:hAnsi="Calibri" w:cs="Calibri"/>
          <w:vertAlign w:val="subscript"/>
        </w:rPr>
        <w:t>sk</w:t>
      </w:r>
      <w:proofErr w:type="spellEnd"/>
      <w:r w:rsidRPr="00EB725B">
        <w:rPr>
          <w:rFonts w:ascii="Calibri" w:eastAsia="Calibri" w:hAnsi="Calibri" w:cs="Calibri"/>
        </w:rPr>
        <w:t xml:space="preserve"> – mėnesių skaičius per kalendorinius metus (12 mėn.).</w:t>
      </w:r>
    </w:p>
    <w:p w:rsidR="00EB725B" w:rsidRPr="00EB725B" w:rsidRDefault="00EB725B" w:rsidP="00EB725B">
      <w:pPr>
        <w:spacing w:after="240"/>
        <w:ind w:left="851"/>
        <w:jc w:val="both"/>
        <w:rPr>
          <w:rFonts w:ascii="Calibri" w:eastAsia="Calibri" w:hAnsi="Calibri" w:cs="Calibri"/>
        </w:rPr>
      </w:pPr>
      <w:proofErr w:type="spellStart"/>
      <w:r w:rsidRPr="00EB725B">
        <w:rPr>
          <w:rFonts w:ascii="Calibri" w:eastAsia="Calibri" w:hAnsi="Calibri" w:cs="Calibri"/>
        </w:rPr>
        <w:t>Val</w:t>
      </w:r>
      <w:r w:rsidRPr="00EB725B">
        <w:rPr>
          <w:rFonts w:ascii="Calibri" w:eastAsia="Calibri" w:hAnsi="Calibri" w:cs="Calibri"/>
          <w:vertAlign w:val="subscript"/>
        </w:rPr>
        <w:t>sk</w:t>
      </w:r>
      <w:proofErr w:type="spellEnd"/>
      <w:r w:rsidRPr="00EB725B">
        <w:rPr>
          <w:rFonts w:ascii="Calibri" w:eastAsia="Calibri" w:hAnsi="Calibri" w:cs="Calibri"/>
        </w:rPr>
        <w:t>– vidutinis metinis darbo valandų skaičius (2008 val.)</w:t>
      </w:r>
    </w:p>
    <w:p w:rsidR="00EB725B" w:rsidRPr="00EB725B" w:rsidRDefault="00EB725B" w:rsidP="00EB725B">
      <w:pPr>
        <w:spacing w:after="240"/>
        <w:ind w:firstLine="851"/>
        <w:jc w:val="both"/>
        <w:rPr>
          <w:rFonts w:ascii="Calibri" w:eastAsia="Calibri" w:hAnsi="Calibri" w:cs="Calibri"/>
        </w:rPr>
      </w:pPr>
      <w:r w:rsidRPr="00EB725B">
        <w:rPr>
          <w:rFonts w:ascii="Calibri" w:eastAsia="Calibri" w:hAnsi="Calibri" w:cs="Calibri"/>
        </w:rPr>
        <w:t xml:space="preserve">Detalūs privačių juridinių asmenų projektų dalyvių darbo užmokesčio fiksuotųjų įkainių skaičiavimai pateikiami tyrimo ataskaitos 2 priede. </w:t>
      </w:r>
    </w:p>
    <w:p w:rsidR="00EB725B" w:rsidRPr="00EB725B" w:rsidRDefault="00EB725B" w:rsidP="00EB725B">
      <w:pPr>
        <w:spacing w:before="240" w:after="0"/>
        <w:ind w:firstLine="900"/>
        <w:jc w:val="both"/>
        <w:rPr>
          <w:rFonts w:ascii="Times New Roman" w:eastAsia="Calibri" w:hAnsi="Times New Roman" w:cs="Times New Roman"/>
          <w:sz w:val="24"/>
          <w:szCs w:val="24"/>
        </w:rPr>
      </w:pPr>
    </w:p>
    <w:p w:rsidR="00EB725B" w:rsidRPr="00EB725B" w:rsidRDefault="00EB725B" w:rsidP="00EB725B">
      <w:pPr>
        <w:keepNext/>
        <w:spacing w:before="240" w:after="60"/>
        <w:jc w:val="center"/>
        <w:outlineLvl w:val="1"/>
        <w:rPr>
          <w:rFonts w:ascii="Cambria" w:eastAsia="Times New Roman" w:hAnsi="Cambria" w:cs="Times New Roman"/>
          <w:b/>
          <w:bCs/>
          <w:i/>
          <w:iCs/>
          <w:sz w:val="28"/>
          <w:szCs w:val="28"/>
        </w:rPr>
      </w:pPr>
      <w:r w:rsidRPr="00EB725B">
        <w:rPr>
          <w:rFonts w:ascii="Cambria" w:eastAsia="Times New Roman" w:hAnsi="Cambria" w:cs="Times New Roman"/>
          <w:b/>
          <w:bCs/>
          <w:i/>
          <w:iCs/>
          <w:sz w:val="28"/>
          <w:szCs w:val="28"/>
        </w:rPr>
        <w:t xml:space="preserve">III. TYRIMO REZULTATAI </w:t>
      </w:r>
    </w:p>
    <w:p w:rsidR="00EB725B" w:rsidRPr="00EB725B" w:rsidRDefault="00EB725B" w:rsidP="00EB725B">
      <w:pPr>
        <w:spacing w:before="240"/>
        <w:ind w:firstLine="851"/>
        <w:jc w:val="both"/>
        <w:rPr>
          <w:rFonts w:ascii="Calibri" w:eastAsia="Calibri" w:hAnsi="Calibri" w:cs="Calibri"/>
        </w:rPr>
      </w:pPr>
      <w:r w:rsidRPr="00EB725B">
        <w:rPr>
          <w:rFonts w:ascii="Calibri" w:eastAsia="Calibri" w:hAnsi="Calibri" w:cs="Calibri"/>
        </w:rPr>
        <w:t>Remiantis tyrimo ataskaitos II dalyje pateiktomis prielaidomis ir metodika nustatyti privačių juridinių asmenų projektų dalyvių darbo užmokesčio fiksuotųjų įkainių dydžiai dėl didelės dokumento apimties pateikiami tyrimo ataskaitos 2 priede.</w:t>
      </w:r>
    </w:p>
    <w:p w:rsidR="00EB725B" w:rsidRPr="00EB725B" w:rsidRDefault="00EB725B" w:rsidP="00EB725B">
      <w:pPr>
        <w:ind w:firstLine="851"/>
        <w:jc w:val="both"/>
        <w:rPr>
          <w:rFonts w:ascii="Calibri" w:eastAsia="Calibri" w:hAnsi="Calibri" w:cs="Calibri"/>
        </w:rPr>
      </w:pPr>
      <w:r w:rsidRPr="00EB725B">
        <w:rPr>
          <w:rFonts w:ascii="Calibri" w:eastAsia="Calibri" w:hAnsi="Calibri" w:cs="Calibri"/>
        </w:rPr>
        <w:t>Pagal tyrimo ataskaitos 2 priede nustatytus privačių juridinių asmenų projektų dalyvių darbo užmokesčio fiksuotuosius įkainius apmokama suma už ataskaitinį laikotarpį apskaičiuojama projekto dalyvio dalyvavimo projekto veiklose laiką (valandomis) padauginus iš nustatyto fiksuotojo įkainio dydžio.</w:t>
      </w:r>
    </w:p>
    <w:p w:rsidR="00EB725B" w:rsidRPr="00EB725B" w:rsidRDefault="00EB725B" w:rsidP="00EB725B">
      <w:pPr>
        <w:spacing w:before="240"/>
        <w:ind w:firstLine="851"/>
        <w:contextualSpacing/>
        <w:jc w:val="both"/>
        <w:rPr>
          <w:rFonts w:ascii="Calibri" w:eastAsia="Calibri" w:hAnsi="Calibri" w:cs="Calibri"/>
        </w:rPr>
      </w:pPr>
      <w:r w:rsidRPr="00EB725B">
        <w:rPr>
          <w:rFonts w:ascii="Calibri" w:eastAsia="Calibri" w:hAnsi="Calibri" w:cs="Calibri"/>
        </w:rPr>
        <w:t>Pareiškėjas kartu su paraiška teikia tyrimo ataskaitos 1 priede pateikiamą formą „Pareiškėjo (partnerio) vykdomos ekonominės veiklos rūšis pagal Ekonominės veiklos rūšių klasifikatorių (EVRK 2 red.)“, kurioje nurodo privačių juridinių asmenų (pareiškėjo ir kiekvieno projekto partnerio)</w:t>
      </w:r>
      <w:r w:rsidR="00B8410C">
        <w:rPr>
          <w:rFonts w:ascii="Calibri" w:eastAsia="Calibri" w:hAnsi="Calibri" w:cs="Calibri"/>
        </w:rPr>
        <w:t>,</w:t>
      </w:r>
      <w:r w:rsidRPr="00EB725B">
        <w:rPr>
          <w:rFonts w:ascii="Calibri" w:eastAsia="Calibri" w:hAnsi="Calibri" w:cs="Calibri"/>
        </w:rPr>
        <w:t xml:space="preserve"> kurių darbuotojai dalyvaus projekto veiklose</w:t>
      </w:r>
      <w:r w:rsidR="00B8410C">
        <w:rPr>
          <w:rFonts w:ascii="Calibri" w:eastAsia="Calibri" w:hAnsi="Calibri" w:cs="Calibri"/>
        </w:rPr>
        <w:t>,</w:t>
      </w:r>
      <w:r w:rsidRPr="00EB725B">
        <w:rPr>
          <w:rFonts w:ascii="Calibri" w:eastAsia="Calibri" w:hAnsi="Calibri" w:cs="Calibri"/>
        </w:rPr>
        <w:t xml:space="preserve"> pagrindinės ekonominės veiklos rūšies kodą pagal žemiausią EVRK 2 red. klasifikatoriaus lygmenį (</w:t>
      </w:r>
      <w:r w:rsidR="00EF1F31">
        <w:rPr>
          <w:rFonts w:ascii="Calibri" w:eastAsia="Calibri" w:hAnsi="Calibri" w:cs="Calibri"/>
        </w:rPr>
        <w:t>kaip nurodyta tyrimo ataskaitos 2 priede, 3-7 stulpeliuose</w:t>
      </w:r>
      <w:r w:rsidRPr="00EB725B">
        <w:rPr>
          <w:rFonts w:ascii="Calibri" w:eastAsia="Calibri" w:hAnsi="Calibri" w:cs="Calibri"/>
        </w:rPr>
        <w:t xml:space="preserve">), atitinkantį Lietuvos statistikos departamento </w:t>
      </w:r>
      <w:r w:rsidR="00C13256" w:rsidRPr="00C13256">
        <w:rPr>
          <w:rFonts w:ascii="Calibri" w:eastAsia="Calibri" w:hAnsi="Calibri" w:cs="Calibri"/>
        </w:rPr>
        <w:t xml:space="preserve">statistiniame ūkio subjektų registre </w:t>
      </w:r>
      <w:r w:rsidR="00B274C6">
        <w:rPr>
          <w:rFonts w:ascii="Calibri" w:eastAsia="Calibri" w:hAnsi="Calibri" w:cs="Calibri"/>
        </w:rPr>
        <w:t>nurodytą ūkio subjekto pagrindinės ekonominės veiklos rūšies kodą</w:t>
      </w:r>
      <w:r w:rsidR="00C13256">
        <w:rPr>
          <w:rFonts w:ascii="Calibri" w:eastAsia="Calibri" w:hAnsi="Calibri" w:cs="Calibri"/>
        </w:rPr>
        <w:t xml:space="preserve"> </w:t>
      </w:r>
      <w:r w:rsidRPr="00EB725B">
        <w:rPr>
          <w:rFonts w:ascii="Calibri" w:eastAsia="Calibri" w:hAnsi="Calibri" w:cs="Calibri"/>
        </w:rPr>
        <w:t>(</w:t>
      </w:r>
      <w:hyperlink r:id="rId9" w:history="1">
        <w:r w:rsidRPr="00EB725B">
          <w:rPr>
            <w:rFonts w:ascii="Calibri" w:eastAsia="Calibri" w:hAnsi="Calibri" w:cs="Calibri"/>
            <w:color w:val="0000FF"/>
            <w:u w:val="single"/>
          </w:rPr>
          <w:t>http://www2.stat.gov.lt:8777/imones/sektor.html</w:t>
        </w:r>
      </w:hyperlink>
      <w:r w:rsidRPr="00EB725B">
        <w:rPr>
          <w:rFonts w:ascii="Calibri" w:eastAsia="Calibri" w:hAnsi="Calibri" w:cs="Calibri"/>
        </w:rPr>
        <w:t>). Remdamasi šia informacija, įgyvendinančioji institucija projekto sutartyje nustato privačių juridinių asmenų projektų dalyvių darbo užmokesčio fiksuotųjų dydžius projekto dalyviams, kurie yra projekto vykdytojo ar partnerio darbuotojai</w:t>
      </w:r>
      <w:r w:rsidR="00B274C6">
        <w:rPr>
          <w:rFonts w:ascii="Calibri" w:eastAsia="Calibri" w:hAnsi="Calibri" w:cs="Calibri"/>
        </w:rPr>
        <w:t xml:space="preserve"> arba projekto sutartyje pateikia nuorodą į šią tyrimo ataskaitą</w:t>
      </w:r>
      <w:r w:rsidRPr="00EB725B">
        <w:rPr>
          <w:rFonts w:ascii="Calibri" w:eastAsia="Calibri" w:hAnsi="Calibri" w:cs="Calibri"/>
        </w:rPr>
        <w:t xml:space="preserve">. Trečiųjų šalių, kurios priskiriamos privatiems juridiniams asmenims, darbuotojams </w:t>
      </w:r>
      <w:r w:rsidR="00B8410C">
        <w:rPr>
          <w:rFonts w:ascii="Calibri" w:eastAsia="Calibri" w:hAnsi="Calibri" w:cs="Calibri"/>
        </w:rPr>
        <w:t>–</w:t>
      </w:r>
      <w:r w:rsidRPr="00EB725B">
        <w:rPr>
          <w:rFonts w:ascii="Calibri" w:eastAsia="Calibri" w:hAnsi="Calibri" w:cs="Calibri"/>
        </w:rPr>
        <w:t xml:space="preserve"> projekto dalyviams, taikomas tyrimo ataskaitos 2 priedo </w:t>
      </w:r>
      <w:r w:rsidR="008E6BCB">
        <w:rPr>
          <w:rFonts w:ascii="Calibri" w:eastAsia="Calibri" w:hAnsi="Calibri" w:cs="Calibri"/>
        </w:rPr>
        <w:t>II skirsnyje</w:t>
      </w:r>
      <w:r w:rsidRPr="00EB725B">
        <w:rPr>
          <w:rFonts w:ascii="Calibri" w:eastAsia="Calibri" w:hAnsi="Calibri" w:cs="Calibri"/>
        </w:rPr>
        <w:t xml:space="preserve"> nustatytas fiksuotojo įkainio dydis.</w:t>
      </w:r>
    </w:p>
    <w:p w:rsidR="00EB725B" w:rsidRPr="00EB725B" w:rsidRDefault="00EB725B" w:rsidP="00EB725B">
      <w:pPr>
        <w:spacing w:before="240"/>
        <w:ind w:firstLine="851"/>
        <w:contextualSpacing/>
        <w:jc w:val="both"/>
        <w:rPr>
          <w:rFonts w:ascii="Calibri" w:eastAsia="Calibri" w:hAnsi="Calibri" w:cs="Calibri"/>
        </w:rPr>
      </w:pPr>
      <w:r w:rsidRPr="00EB725B">
        <w:rPr>
          <w:rFonts w:ascii="Calibri" w:eastAsia="Calibri" w:hAnsi="Calibri" w:cs="Calibri"/>
        </w:rPr>
        <w:t>Mokėjimo prašymuose projekto vykdytojas turės nurodyti projekto dalyvių dalyvavimo projekto veiklose valandų skaičių (pasiektų vienetų skaičių pagal fizinį rodiklį ir kiekvieną juridinį asmenį) ir, taikant privačių juridinių asmenų projekto dalyvių darbo užmokesčio fiksuotuosius įkainius, apskaičiuotą projekto dalyvių darbo užmokesčio išlaidų sumą.</w:t>
      </w:r>
    </w:p>
    <w:p w:rsidR="00EB725B" w:rsidRPr="00EB725B" w:rsidRDefault="00EB725B" w:rsidP="00EB725B">
      <w:pPr>
        <w:spacing w:before="240" w:after="0"/>
        <w:ind w:firstLine="851"/>
        <w:jc w:val="both"/>
        <w:rPr>
          <w:rFonts w:ascii="Calibri" w:eastAsia="Calibri" w:hAnsi="Calibri" w:cs="Calibri"/>
        </w:rPr>
      </w:pPr>
    </w:p>
    <w:p w:rsidR="00EB725B" w:rsidRPr="00EB725B" w:rsidRDefault="00EB725B" w:rsidP="00EB725B">
      <w:pPr>
        <w:keepNext/>
        <w:spacing w:before="240" w:after="60"/>
        <w:jc w:val="center"/>
        <w:outlineLvl w:val="1"/>
        <w:rPr>
          <w:rFonts w:ascii="Cambria" w:eastAsia="Times New Roman" w:hAnsi="Cambria" w:cs="Times New Roman"/>
          <w:b/>
          <w:bCs/>
          <w:i/>
          <w:iCs/>
          <w:sz w:val="28"/>
          <w:szCs w:val="28"/>
        </w:rPr>
      </w:pPr>
      <w:r w:rsidRPr="00EB725B">
        <w:rPr>
          <w:rFonts w:ascii="Cambria" w:eastAsia="Times New Roman" w:hAnsi="Cambria" w:cs="Times New Roman"/>
          <w:b/>
          <w:bCs/>
          <w:i/>
          <w:iCs/>
          <w:sz w:val="28"/>
          <w:szCs w:val="28"/>
        </w:rPr>
        <w:t xml:space="preserve">IV. NUSTATYTŲ FIKSUOTŲJŲ DYDŽIŲ TAIKYMAS </w:t>
      </w:r>
    </w:p>
    <w:p w:rsidR="00EB725B" w:rsidRPr="00EB725B" w:rsidRDefault="00EB725B" w:rsidP="00EB725B">
      <w:pPr>
        <w:spacing w:before="240"/>
        <w:ind w:firstLine="851"/>
        <w:contextualSpacing/>
        <w:jc w:val="both"/>
        <w:rPr>
          <w:rFonts w:ascii="Calibri" w:eastAsia="Calibri" w:hAnsi="Calibri" w:cs="Calibri"/>
        </w:rPr>
      </w:pPr>
      <w:r w:rsidRPr="00EB725B">
        <w:rPr>
          <w:rFonts w:ascii="Calibri" w:eastAsia="Calibri" w:hAnsi="Calibri" w:cs="Calibri"/>
        </w:rPr>
        <w:t xml:space="preserve">Tyrimo ataskaitos III dalyje nustatyti privačių juridinių asmenų projektų dalyvių darbo užmokesčio fiksuotųjų įkainių dydžiai taikomi nuo tyrimo ataskaitos įsigaliojimo datos (ši data nurodyta tyrimo ataskaitos pirmojo puslapio viršutiniame dešiniajame kampe). Tyrimo ataskaita ir priedai skelbiami svetainėje </w:t>
      </w:r>
      <w:hyperlink r:id="rId10" w:history="1">
        <w:r w:rsidRPr="00EB725B">
          <w:rPr>
            <w:rFonts w:ascii="Calibri" w:eastAsia="Calibri" w:hAnsi="Calibri" w:cs="Calibri"/>
            <w:color w:val="0000FF"/>
            <w:u w:val="single"/>
          </w:rPr>
          <w:t>http://www.esinvesticijos.lt/lt/dokumentai/supaprastinto-islaidu-apmokejimo-tyrimai</w:t>
        </w:r>
      </w:hyperlink>
      <w:r w:rsidRPr="00EB725B">
        <w:rPr>
          <w:rFonts w:ascii="Calibri" w:eastAsia="Calibri" w:hAnsi="Calibri" w:cs="Calibri"/>
        </w:rPr>
        <w:t xml:space="preserve">. </w:t>
      </w:r>
    </w:p>
    <w:p w:rsidR="00EB725B" w:rsidRPr="00EB725B" w:rsidRDefault="00EB725B" w:rsidP="00EB725B">
      <w:pPr>
        <w:spacing w:before="240" w:after="0"/>
        <w:ind w:firstLine="851"/>
        <w:contextualSpacing/>
        <w:jc w:val="both"/>
        <w:rPr>
          <w:rFonts w:ascii="Calibri" w:eastAsia="Calibri" w:hAnsi="Calibri" w:cs="Calibri"/>
        </w:rPr>
      </w:pPr>
      <w:r w:rsidRPr="00EB725B">
        <w:rPr>
          <w:rFonts w:ascii="Calibri" w:eastAsia="Calibri" w:hAnsi="Calibri" w:cs="Calibri"/>
        </w:rPr>
        <w:t>Šioje tyrimo ataskaitoje nustatyti fiksuotųjų įkainių dydžiai perskaičiuojami vieną kartą per metus, Lietuvos statistikos departamentui paskelbus ankstesnių metų metinius (nesant metinių – ketvirtinius) duomenis apie vi</w:t>
      </w:r>
      <w:r w:rsidR="00C13256">
        <w:rPr>
          <w:rFonts w:ascii="Calibri" w:eastAsia="Calibri" w:hAnsi="Calibri" w:cs="Calibri"/>
        </w:rPr>
        <w:t>dut</w:t>
      </w:r>
      <w:r w:rsidRPr="00EB725B">
        <w:rPr>
          <w:rFonts w:ascii="Calibri" w:eastAsia="Calibri" w:hAnsi="Calibri" w:cs="Calibri"/>
        </w:rPr>
        <w:t>inį darbo užmokestį pagal ekonominės veiklos rūšis, bet ne vėliau kaip iki einamųjų metų II ketvirčio pabaigos. Fiksuotųjų įkainių dydžiai perskaičiuojami iš praėjusių metų (naudojant metinius duomenis) arba naujausių keturių ketvirčių (naudojant ketvirtinius duomenis) duomenų apie vidutinį darbo užmokestį. Pirmasis fiksuotųjų įkainių perskaičiavimas atliekamas iki 2017 m. II ketvirčio pabaigos. Papildomai, darbo užmokesčio fiksuotieji įkainiai perskaičiuojami pasikeitus Lietuvos Respublikos teisės aktuose nustatytiems darbdavio mokamų valstybinio socialinio draudimo įmokų ir įmokų į Garantinį fondą dydžiams.</w:t>
      </w:r>
    </w:p>
    <w:p w:rsidR="00EB725B" w:rsidRPr="00EB725B" w:rsidRDefault="00EB725B" w:rsidP="00EB725B">
      <w:pPr>
        <w:spacing w:before="240" w:after="0"/>
        <w:ind w:firstLine="851"/>
        <w:contextualSpacing/>
        <w:jc w:val="both"/>
        <w:rPr>
          <w:rFonts w:ascii="Calibri" w:eastAsia="Calibri" w:hAnsi="Calibri" w:cs="Calibri"/>
        </w:rPr>
      </w:pPr>
      <w:r w:rsidRPr="00EB725B">
        <w:rPr>
          <w:rFonts w:ascii="Calibri" w:eastAsia="Calibri" w:hAnsi="Calibri" w:cs="Calibri"/>
        </w:rPr>
        <w:t>Perskaičiavus fiksuotųjų įkainių dydžius, tyrimo ataskaita išdėstoma nauja redakcija, nurodant naujos redakcijos įsigaliojimo datą.</w:t>
      </w:r>
    </w:p>
    <w:p w:rsidR="00EB725B" w:rsidRPr="00EB725B" w:rsidRDefault="00EB725B" w:rsidP="00EB725B">
      <w:pPr>
        <w:spacing w:before="240" w:after="0"/>
        <w:ind w:firstLine="851"/>
        <w:jc w:val="both"/>
        <w:rPr>
          <w:rFonts w:ascii="Calibri" w:eastAsia="Calibri" w:hAnsi="Calibri" w:cs="Calibri"/>
        </w:rPr>
      </w:pPr>
      <w:r w:rsidRPr="00EB725B">
        <w:rPr>
          <w:rFonts w:ascii="Calibri" w:eastAsia="Calibri" w:hAnsi="Calibri" w:cs="Calibri"/>
        </w:rPr>
        <w:t>Už tyrimo ataskaitos atnaujinimą yra atsakinga Lietuvos Respublikos finansų ministerija.</w:t>
      </w:r>
    </w:p>
    <w:p w:rsidR="00F4442D" w:rsidRPr="00EB725B" w:rsidRDefault="00EB725B" w:rsidP="00F4442D">
      <w:pPr>
        <w:spacing w:before="240" w:after="0"/>
        <w:ind w:firstLine="851"/>
        <w:jc w:val="both"/>
        <w:rPr>
          <w:rFonts w:ascii="Calibri" w:eastAsia="Calibri" w:hAnsi="Calibri" w:cs="Calibri"/>
        </w:rPr>
      </w:pPr>
      <w:r w:rsidRPr="00EB725B">
        <w:rPr>
          <w:rFonts w:ascii="Calibri" w:eastAsia="Calibri" w:hAnsi="Calibri" w:cs="Calibri"/>
        </w:rPr>
        <w:t>Siekiant fiksuotųjų įkainių taikymo paprastumo ir atsižvelgiant į tai, kad projektų vykdytojai pagrįsdami projekto biudžetą iš anksto planuoja projekto dalyvių skaičių, jų dalyvavimo projekto veiklose laiką ir, atitinkamai, projekto dalyvių darbo užmokesčiui skirtą sumą, konkrečiam projektui taikomi privačių juridinių asmenų projektų dalyvių darbo užmokesčio fiksuotųjų įkainių dydžiai nustatomi projekto sutartyje pagal projekto sutarties įsigaliojimo metu galiojančius fiksuotųjų įkainių dydžius ir nėra keičiami projekto įgyvendinimo metu</w:t>
      </w:r>
      <w:r w:rsidR="008E6BCB">
        <w:rPr>
          <w:rFonts w:ascii="Calibri" w:eastAsia="Calibri" w:hAnsi="Calibri" w:cs="Calibri"/>
        </w:rPr>
        <w:t>,</w:t>
      </w:r>
      <w:r w:rsidR="00F4442D">
        <w:rPr>
          <w:rFonts w:ascii="Calibri" w:eastAsia="Calibri" w:hAnsi="Calibri" w:cs="Calibri"/>
        </w:rPr>
        <w:t xml:space="preserve"> išskyrus, jeigu galimybė keisti fiksuotųjų įkainių dydžius projekto įgyvendinimo metu numatyta projektų finansavimo sąlygų apraše arba projekto sutartyje</w:t>
      </w:r>
      <w:r w:rsidR="00F4442D" w:rsidRPr="00EB725B">
        <w:rPr>
          <w:rFonts w:ascii="Calibri" w:eastAsia="Calibri" w:hAnsi="Calibri" w:cs="Calibri"/>
        </w:rPr>
        <w:t xml:space="preserve">. </w:t>
      </w:r>
    </w:p>
    <w:p w:rsidR="002F718F" w:rsidRDefault="00820E53"/>
    <w:sectPr w:rsidR="002F718F" w:rsidSect="00EF1F31">
      <w:headerReference w:type="default" r:id="rId11"/>
      <w:footerReference w:type="default" r:id="rId12"/>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87" w:rsidRDefault="00444B87" w:rsidP="00EB725B">
      <w:pPr>
        <w:spacing w:after="0" w:line="240" w:lineRule="auto"/>
      </w:pPr>
      <w:r>
        <w:separator/>
      </w:r>
    </w:p>
  </w:endnote>
  <w:endnote w:type="continuationSeparator" w:id="0">
    <w:p w:rsidR="00444B87" w:rsidRDefault="00444B87" w:rsidP="00EB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197937"/>
      <w:docPartObj>
        <w:docPartGallery w:val="Page Numbers (Bottom of Page)"/>
        <w:docPartUnique/>
      </w:docPartObj>
    </w:sdtPr>
    <w:sdtEndPr/>
    <w:sdtContent>
      <w:p w:rsidR="00CA011F" w:rsidRDefault="00CA011F">
        <w:pPr>
          <w:pStyle w:val="Porat"/>
          <w:jc w:val="right"/>
        </w:pPr>
        <w:r>
          <w:fldChar w:fldCharType="begin"/>
        </w:r>
        <w:r>
          <w:instrText>PAGE   \* MERGEFORMAT</w:instrText>
        </w:r>
        <w:r>
          <w:fldChar w:fldCharType="separate"/>
        </w:r>
        <w:r w:rsidR="00820E53">
          <w:rPr>
            <w:noProof/>
          </w:rPr>
          <w:t>1</w:t>
        </w:r>
        <w:r>
          <w:fldChar w:fldCharType="end"/>
        </w:r>
      </w:p>
    </w:sdtContent>
  </w:sdt>
  <w:p w:rsidR="00CA011F" w:rsidRDefault="00CA011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87" w:rsidRDefault="00444B87" w:rsidP="00EB725B">
      <w:pPr>
        <w:spacing w:after="0" w:line="240" w:lineRule="auto"/>
      </w:pPr>
      <w:r>
        <w:separator/>
      </w:r>
    </w:p>
  </w:footnote>
  <w:footnote w:type="continuationSeparator" w:id="0">
    <w:p w:rsidR="00444B87" w:rsidRDefault="00444B87" w:rsidP="00EB725B">
      <w:pPr>
        <w:spacing w:after="0" w:line="240" w:lineRule="auto"/>
      </w:pPr>
      <w:r>
        <w:continuationSeparator/>
      </w:r>
    </w:p>
  </w:footnote>
  <w:footnote w:id="1">
    <w:p w:rsidR="00EB725B" w:rsidRPr="0043652D" w:rsidRDefault="00EB725B" w:rsidP="00EB725B">
      <w:pPr>
        <w:pStyle w:val="Puslapioinaostekstas"/>
        <w:rPr>
          <w:sz w:val="18"/>
          <w:szCs w:val="18"/>
        </w:rPr>
      </w:pPr>
      <w:r>
        <w:rPr>
          <w:rStyle w:val="Puslapioinaosnuoroda"/>
        </w:rPr>
        <w:footnoteRef/>
      </w:r>
      <w:r>
        <w:t xml:space="preserve"> </w:t>
      </w:r>
      <w:r w:rsidRPr="0043652D">
        <w:rPr>
          <w:sz w:val="18"/>
          <w:szCs w:val="18"/>
        </w:rPr>
        <w:t xml:space="preserve">Duomenų šaltinis: </w:t>
      </w:r>
      <w:hyperlink r:id="rId1" w:history="1">
        <w:r w:rsidRPr="0043652D">
          <w:rPr>
            <w:rStyle w:val="Hipersaitas"/>
            <w:sz w:val="18"/>
            <w:szCs w:val="18"/>
          </w:rPr>
          <w:t>http://osp.stat.gov.lt/statistiniu-rodikliu-analize?portletFormName=visualization&amp;hash=23259c80-3334-42b4-9378-aa7fdf0d7f0f</w:t>
        </w:r>
      </w:hyperlink>
      <w:r w:rsidRPr="0043652D">
        <w:rPr>
          <w:sz w:val="18"/>
          <w:szCs w:val="18"/>
        </w:rPr>
        <w:t xml:space="preserve"> </w:t>
      </w:r>
    </w:p>
  </w:footnote>
  <w:footnote w:id="2">
    <w:p w:rsidR="00EB725B" w:rsidRPr="0043652D" w:rsidRDefault="00EB725B" w:rsidP="00EB725B">
      <w:pPr>
        <w:pStyle w:val="Puslapioinaostekstas"/>
        <w:rPr>
          <w:sz w:val="18"/>
          <w:szCs w:val="18"/>
        </w:rPr>
      </w:pPr>
      <w:r w:rsidRPr="0043652D">
        <w:rPr>
          <w:rStyle w:val="Puslapioinaosnuoroda"/>
          <w:sz w:val="18"/>
          <w:szCs w:val="18"/>
        </w:rPr>
        <w:footnoteRef/>
      </w:r>
      <w:r w:rsidRPr="0043652D">
        <w:rPr>
          <w:sz w:val="18"/>
          <w:szCs w:val="18"/>
        </w:rPr>
        <w:t xml:space="preserve"> Vidaus reikalų ministerijos 2015 m. viešojo s</w:t>
      </w:r>
      <w:r>
        <w:rPr>
          <w:sz w:val="18"/>
          <w:szCs w:val="18"/>
        </w:rPr>
        <w:t>ektoriaus ataskaitos už 2014 m.</w:t>
      </w:r>
      <w:r w:rsidRPr="0043652D">
        <w:rPr>
          <w:sz w:val="18"/>
          <w:szCs w:val="18"/>
        </w:rPr>
        <w:t xml:space="preserve"> duomenimis, viešojo valdymo institucijų</w:t>
      </w:r>
      <w:r>
        <w:rPr>
          <w:sz w:val="18"/>
          <w:szCs w:val="18"/>
        </w:rPr>
        <w:t xml:space="preserve">, </w:t>
      </w:r>
      <w:r w:rsidRPr="0043652D">
        <w:rPr>
          <w:sz w:val="18"/>
          <w:szCs w:val="18"/>
        </w:rPr>
        <w:t>priskirtinų valdžios (valstybės) sektoriui skaičius 2014 m. siekė 4</w:t>
      </w:r>
      <w:r>
        <w:rPr>
          <w:sz w:val="18"/>
          <w:szCs w:val="18"/>
        </w:rPr>
        <w:t xml:space="preserve"> </w:t>
      </w:r>
      <w:r w:rsidRPr="0043652D">
        <w:rPr>
          <w:sz w:val="18"/>
          <w:szCs w:val="18"/>
        </w:rPr>
        <w:t xml:space="preserve">369. </w:t>
      </w:r>
    </w:p>
  </w:footnote>
  <w:footnote w:id="3">
    <w:p w:rsidR="00EB725B" w:rsidRPr="007564EA" w:rsidRDefault="00EB725B" w:rsidP="00EB725B">
      <w:pPr>
        <w:pStyle w:val="Puslapioinaostekstas"/>
        <w:rPr>
          <w:sz w:val="18"/>
          <w:szCs w:val="18"/>
        </w:rPr>
      </w:pPr>
      <w:r>
        <w:rPr>
          <w:rStyle w:val="Puslapioinaosnuoroda"/>
        </w:rPr>
        <w:footnoteRef/>
      </w:r>
      <w:r>
        <w:t xml:space="preserve"> </w:t>
      </w:r>
      <w:r>
        <w:rPr>
          <w:sz w:val="18"/>
          <w:szCs w:val="18"/>
        </w:rPr>
        <w:t>Duomenų š</w:t>
      </w:r>
      <w:r w:rsidRPr="007564EA">
        <w:rPr>
          <w:sz w:val="18"/>
          <w:szCs w:val="18"/>
        </w:rPr>
        <w:t xml:space="preserve">altinis: </w:t>
      </w:r>
      <w:hyperlink r:id="rId2" w:history="1">
        <w:r w:rsidRPr="007564EA">
          <w:rPr>
            <w:rStyle w:val="Hipersaitas"/>
            <w:sz w:val="18"/>
            <w:szCs w:val="18"/>
          </w:rPr>
          <w:t>http://osp.stat.gov.lt/statistiniu-rodikliu-analize?id=1823&amp;status=A</w:t>
        </w:r>
      </w:hyperlink>
      <w:r w:rsidRPr="007564EA">
        <w:rPr>
          <w:sz w:val="18"/>
          <w:szCs w:val="18"/>
        </w:rPr>
        <w:t xml:space="preserve"> </w:t>
      </w:r>
    </w:p>
  </w:footnote>
  <w:footnote w:id="4">
    <w:p w:rsidR="00EB725B" w:rsidRDefault="00EB725B" w:rsidP="00EB725B">
      <w:pPr>
        <w:pStyle w:val="Puslapioinaostekstas"/>
      </w:pPr>
      <w:r>
        <w:rPr>
          <w:rStyle w:val="Puslapioinaosnuoroda"/>
        </w:rPr>
        <w:footnoteRef/>
      </w:r>
      <w:r>
        <w:t xml:space="preserve"> </w:t>
      </w:r>
      <w:r w:rsidRPr="00CE61D3">
        <w:rPr>
          <w:sz w:val="18"/>
          <w:szCs w:val="18"/>
        </w:rPr>
        <w:t>Bruto darbo užmokestis – atlyginimas pinigais, apimantis tiesiogiai darbdavio darbuotojui mokamą pagrindinį darbo užmokestį ir papildomą uždarbį, įskaitant darbuotojo mokamas valstybinio socialinio draudimo įmokas ir gyventojų pajamų mokestį</w:t>
      </w:r>
      <w:r>
        <w:rPr>
          <w:sz w:val="18"/>
          <w:szCs w:val="18"/>
        </w:rPr>
        <w:t>. Neįskaitoma materialinė, laikinojo nedarbingumo pašalpa, mokama neatsižvelgiant į finansavimo šaltinį, kompensacija už nepanaudotas kasmetines atostogas, išeitinė išmoka ir pan.</w:t>
      </w:r>
      <w:r w:rsidRPr="00CE61D3">
        <w:rPr>
          <w:sz w:val="18"/>
          <w:szCs w:val="18"/>
        </w:rPr>
        <w:t xml:space="preserve"> </w:t>
      </w:r>
      <w:r>
        <w:rPr>
          <w:i/>
          <w:sz w:val="18"/>
          <w:szCs w:val="18"/>
        </w:rPr>
        <w:t>(Š</w:t>
      </w:r>
      <w:r w:rsidRPr="00CE61D3">
        <w:rPr>
          <w:i/>
          <w:sz w:val="18"/>
          <w:szCs w:val="18"/>
        </w:rPr>
        <w:t>altinis: Lietuvos statistikos departamen</w:t>
      </w:r>
      <w:r>
        <w:rPr>
          <w:i/>
          <w:sz w:val="18"/>
          <w:szCs w:val="18"/>
        </w:rPr>
        <w:t>to generalinio direktoriaus 2014</w:t>
      </w:r>
      <w:r w:rsidRPr="00CE61D3">
        <w:rPr>
          <w:i/>
          <w:sz w:val="18"/>
          <w:szCs w:val="18"/>
        </w:rPr>
        <w:t xml:space="preserve"> </w:t>
      </w:r>
      <w:smartTag w:uri="urn:schemas-microsoft-com:office:smarttags" w:element="PersonName">
        <w:r w:rsidRPr="00CE61D3">
          <w:rPr>
            <w:i/>
            <w:sz w:val="18"/>
            <w:szCs w:val="18"/>
          </w:rPr>
          <w:t>m.</w:t>
        </w:r>
      </w:smartTag>
      <w:r w:rsidRPr="00CE61D3">
        <w:rPr>
          <w:i/>
          <w:sz w:val="18"/>
          <w:szCs w:val="18"/>
        </w:rPr>
        <w:t xml:space="preserve"> </w:t>
      </w:r>
      <w:r>
        <w:rPr>
          <w:i/>
          <w:sz w:val="18"/>
          <w:szCs w:val="18"/>
        </w:rPr>
        <w:t>gegužės 8 d. įsakymu Nr. DĮ-107</w:t>
      </w:r>
      <w:r w:rsidRPr="00CE61D3">
        <w:rPr>
          <w:i/>
          <w:sz w:val="18"/>
          <w:szCs w:val="18"/>
        </w:rPr>
        <w:t xml:space="preserve"> patvirtinta </w:t>
      </w:r>
      <w:r>
        <w:rPr>
          <w:i/>
          <w:sz w:val="18"/>
          <w:szCs w:val="18"/>
        </w:rPr>
        <w:t>Ketvirtinio</w:t>
      </w:r>
      <w:r w:rsidRPr="00CE61D3">
        <w:rPr>
          <w:i/>
          <w:sz w:val="18"/>
          <w:szCs w:val="18"/>
        </w:rPr>
        <w:t xml:space="preserve"> darbo apmokėjimo statistinių rodiklių rengimo metodika)</w:t>
      </w:r>
    </w:p>
  </w:footnote>
  <w:footnote w:id="5">
    <w:p w:rsidR="00EB725B" w:rsidRPr="00D73532" w:rsidRDefault="00EB725B" w:rsidP="00EB725B">
      <w:pPr>
        <w:pStyle w:val="Puslapioinaostekstas"/>
        <w:jc w:val="both"/>
        <w:rPr>
          <w:i/>
          <w:sz w:val="18"/>
        </w:rPr>
      </w:pPr>
      <w:r w:rsidRPr="00D73532">
        <w:rPr>
          <w:rStyle w:val="Puslapioinaosnuoroda"/>
          <w:i/>
          <w:sz w:val="18"/>
        </w:rPr>
        <w:footnoteRef/>
      </w:r>
      <w:r w:rsidRPr="00D73532">
        <w:rPr>
          <w:i/>
          <w:sz w:val="18"/>
        </w:rPr>
        <w:t xml:space="preserve"> Dalis kasmetinių atostogų laiko sutampa su savaitgaliais. Vadovaujantis Lietuvos Respublikos Vyriausybės 2003 </w:t>
      </w:r>
      <w:smartTag w:uri="urn:schemas-microsoft-com:office:smarttags" w:element="PersonName">
        <w:r w:rsidRPr="00D73532">
          <w:rPr>
            <w:i/>
            <w:sz w:val="18"/>
          </w:rPr>
          <w:t>m.</w:t>
        </w:r>
      </w:smartTag>
      <w:r w:rsidRPr="00D73532">
        <w:rPr>
          <w:i/>
          <w:sz w:val="18"/>
        </w:rPr>
        <w:t xml:space="preserve"> gegužės 27 d. nutarimu Nr. 650 „Dėl darbuotojo, valstybės tarnautojo iš žvalgybos pareigūno vidutinio darbo užmokesčio apskaičiavimo tvarkos aprašo patvirtinimo“, apskaičiuojant darbo dienų, sudarančių atostogas, skaičių (esant 5 darbo dienų savaitei), taikomas koeficientas 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31" w:rsidRPr="00EF1F31" w:rsidRDefault="00EF1F31" w:rsidP="00EF1F31">
    <w:pPr>
      <w:pStyle w:val="Antrats"/>
      <w:ind w:left="5529"/>
      <w:rPr>
        <w:rFonts w:ascii="Calibri" w:eastAsia="Calibri" w:hAnsi="Calibri" w:cs="Calibri"/>
        <w:sz w:val="16"/>
        <w:szCs w:val="16"/>
      </w:rPr>
    </w:pPr>
    <w:r w:rsidRPr="00EF1F31">
      <w:rPr>
        <w:rFonts w:ascii="Calibri" w:eastAsia="Calibri" w:hAnsi="Calibri" w:cs="Calibri"/>
        <w:sz w:val="16"/>
        <w:szCs w:val="16"/>
      </w:rPr>
      <w:t xml:space="preserve">Privačių juridinių asmenų projektų dalyvių darbo užmokesčio fiksuotųjų įkainių nustatymo tyrimo ataskaita </w:t>
    </w:r>
  </w:p>
  <w:p w:rsidR="00EF1F31" w:rsidRPr="00EF1F31" w:rsidRDefault="00EF1F31" w:rsidP="00EF1F31">
    <w:pPr>
      <w:tabs>
        <w:tab w:val="center" w:pos="4819"/>
        <w:tab w:val="right" w:pos="9638"/>
      </w:tabs>
      <w:spacing w:after="0" w:line="240" w:lineRule="auto"/>
      <w:ind w:left="5529"/>
      <w:rPr>
        <w:rFonts w:ascii="Calibri" w:eastAsia="Calibri" w:hAnsi="Calibri" w:cs="Calibri"/>
        <w:sz w:val="16"/>
        <w:szCs w:val="16"/>
      </w:rPr>
    </w:pPr>
    <w:r w:rsidRPr="00820E53">
      <w:rPr>
        <w:rFonts w:ascii="Calibri" w:eastAsia="Calibri" w:hAnsi="Calibri" w:cs="Calibri"/>
        <w:sz w:val="16"/>
        <w:szCs w:val="16"/>
      </w:rPr>
      <w:t xml:space="preserve">2016 </w:t>
    </w:r>
    <w:smartTag w:uri="urn:schemas-microsoft-com:office:smarttags" w:element="PersonName">
      <w:r w:rsidRPr="00820E53">
        <w:rPr>
          <w:rFonts w:ascii="Calibri" w:eastAsia="Calibri" w:hAnsi="Calibri" w:cs="Calibri"/>
          <w:sz w:val="16"/>
          <w:szCs w:val="16"/>
        </w:rPr>
        <w:t>m.</w:t>
      </w:r>
    </w:smartTag>
    <w:r w:rsidRPr="00820E53">
      <w:rPr>
        <w:rFonts w:ascii="Calibri" w:eastAsia="Calibri" w:hAnsi="Calibri" w:cs="Calibri"/>
        <w:sz w:val="16"/>
        <w:szCs w:val="16"/>
      </w:rPr>
      <w:t xml:space="preserve"> </w:t>
    </w:r>
    <w:r w:rsidRPr="00820E53">
      <w:rPr>
        <w:rFonts w:ascii="Calibri" w:eastAsia="Calibri" w:hAnsi="Calibri" w:cs="Calibri"/>
        <w:sz w:val="16"/>
        <w:szCs w:val="16"/>
      </w:rPr>
      <w:t>vasario</w:t>
    </w:r>
    <w:r w:rsidRPr="00EF1F31">
      <w:rPr>
        <w:rFonts w:ascii="Calibri" w:eastAsia="Calibri" w:hAnsi="Calibri" w:cs="Calibri"/>
        <w:sz w:val="16"/>
        <w:szCs w:val="16"/>
        <w:lang w:val="en-US"/>
      </w:rPr>
      <w:t xml:space="preserve"> </w:t>
    </w:r>
    <w:r w:rsidR="00820E53">
      <w:rPr>
        <w:rFonts w:ascii="Calibri" w:eastAsia="Calibri" w:hAnsi="Calibri" w:cs="Calibri"/>
        <w:sz w:val="16"/>
        <w:szCs w:val="16"/>
        <w:lang w:val="en-US"/>
      </w:rPr>
      <w:t xml:space="preserve">19 </w:t>
    </w:r>
    <w:r w:rsidRPr="00EF1F31">
      <w:rPr>
        <w:rFonts w:ascii="Calibri" w:eastAsia="Calibri" w:hAnsi="Calibri" w:cs="Calibri"/>
        <w:sz w:val="16"/>
        <w:szCs w:val="16"/>
      </w:rPr>
      <w:t>d. redakcija</w:t>
    </w:r>
  </w:p>
  <w:p w:rsidR="00EF1F31" w:rsidRDefault="00EF1F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80440"/>
    <w:multiLevelType w:val="hybridMultilevel"/>
    <w:tmpl w:val="4644ED7C"/>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305C7E4E"/>
    <w:multiLevelType w:val="hybridMultilevel"/>
    <w:tmpl w:val="942A83EC"/>
    <w:lvl w:ilvl="0" w:tplc="6F105B5E">
      <w:start w:val="2016"/>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290CB1"/>
    <w:multiLevelType w:val="hybridMultilevel"/>
    <w:tmpl w:val="47B8F28A"/>
    <w:lvl w:ilvl="0" w:tplc="3316417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5B"/>
    <w:rsid w:val="001C28B3"/>
    <w:rsid w:val="002E2ADB"/>
    <w:rsid w:val="0031672D"/>
    <w:rsid w:val="00444B87"/>
    <w:rsid w:val="005651A3"/>
    <w:rsid w:val="00820E53"/>
    <w:rsid w:val="008E6BCB"/>
    <w:rsid w:val="00A73555"/>
    <w:rsid w:val="00AC6144"/>
    <w:rsid w:val="00B01E23"/>
    <w:rsid w:val="00B274C6"/>
    <w:rsid w:val="00B8410C"/>
    <w:rsid w:val="00C12295"/>
    <w:rsid w:val="00C13256"/>
    <w:rsid w:val="00C268CB"/>
    <w:rsid w:val="00C321F6"/>
    <w:rsid w:val="00CA011F"/>
    <w:rsid w:val="00CA5AD2"/>
    <w:rsid w:val="00D22E18"/>
    <w:rsid w:val="00EB725B"/>
    <w:rsid w:val="00EF1F31"/>
    <w:rsid w:val="00F4442D"/>
    <w:rsid w:val="00FB54C9"/>
    <w:rsid w:val="00FD4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3vidutinistinklelis1parykinimas">
    <w:name w:val="Medium Grid 3 Accent 1"/>
    <w:basedOn w:val="prastojilentel"/>
    <w:uiPriority w:val="69"/>
    <w:rsid w:val="002E2ADB"/>
    <w:pPr>
      <w:spacing w:after="0" w:line="240" w:lineRule="auto"/>
    </w:pPr>
    <w:rPr>
      <w:rFonts w:ascii="Calibri" w:eastAsia="Calibri" w:hAnsi="Calibri" w:cs="Times New Roman"/>
      <w:lang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ipersaitas">
    <w:name w:val="Hyperlink"/>
    <w:uiPriority w:val="99"/>
    <w:rsid w:val="00EB725B"/>
    <w:rPr>
      <w:color w:val="0000FF"/>
      <w:u w:val="single"/>
    </w:rPr>
  </w:style>
  <w:style w:type="paragraph" w:styleId="Puslapioinaostekstas">
    <w:name w:val="footnote text"/>
    <w:basedOn w:val="prastasis"/>
    <w:link w:val="PuslapioinaostekstasDiagrama"/>
    <w:uiPriority w:val="99"/>
    <w:semiHidden/>
    <w:rsid w:val="00EB725B"/>
    <w:pPr>
      <w:spacing w:after="0" w:line="240" w:lineRule="auto"/>
    </w:pPr>
    <w:rPr>
      <w:rFonts w:ascii="Calibri" w:eastAsia="Calibri" w:hAnsi="Calibri" w:cs="Calibri"/>
      <w:sz w:val="20"/>
      <w:szCs w:val="20"/>
    </w:rPr>
  </w:style>
  <w:style w:type="character" w:customStyle="1" w:styleId="PuslapioinaostekstasDiagrama">
    <w:name w:val="Puslapio išnašos tekstas Diagrama"/>
    <w:basedOn w:val="Numatytasispastraiposriftas"/>
    <w:link w:val="Puslapioinaostekstas"/>
    <w:uiPriority w:val="99"/>
    <w:semiHidden/>
    <w:rsid w:val="00EB725B"/>
    <w:rPr>
      <w:rFonts w:ascii="Calibri" w:eastAsia="Calibri" w:hAnsi="Calibri" w:cs="Calibri"/>
      <w:sz w:val="20"/>
      <w:szCs w:val="20"/>
    </w:rPr>
  </w:style>
  <w:style w:type="character" w:styleId="Puslapioinaosnuoroda">
    <w:name w:val="footnote reference"/>
    <w:uiPriority w:val="99"/>
    <w:semiHidden/>
    <w:rsid w:val="00EB725B"/>
    <w:rPr>
      <w:vertAlign w:val="superscript"/>
    </w:rPr>
  </w:style>
  <w:style w:type="paragraph" w:styleId="Antrats">
    <w:name w:val="header"/>
    <w:basedOn w:val="prastasis"/>
    <w:link w:val="AntratsDiagrama"/>
    <w:uiPriority w:val="99"/>
    <w:unhideWhenUsed/>
    <w:rsid w:val="00EF1F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1F31"/>
  </w:style>
  <w:style w:type="paragraph" w:styleId="Porat">
    <w:name w:val="footer"/>
    <w:basedOn w:val="prastasis"/>
    <w:link w:val="PoratDiagrama"/>
    <w:uiPriority w:val="99"/>
    <w:unhideWhenUsed/>
    <w:rsid w:val="00EF1F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1F31"/>
  </w:style>
  <w:style w:type="paragraph" w:styleId="Debesliotekstas">
    <w:name w:val="Balloon Text"/>
    <w:basedOn w:val="prastasis"/>
    <w:link w:val="DebesliotekstasDiagrama"/>
    <w:uiPriority w:val="99"/>
    <w:semiHidden/>
    <w:unhideWhenUsed/>
    <w:rsid w:val="00EF1F3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1F31"/>
    <w:rPr>
      <w:rFonts w:ascii="Tahoma" w:hAnsi="Tahoma" w:cs="Tahoma"/>
      <w:sz w:val="16"/>
      <w:szCs w:val="16"/>
    </w:rPr>
  </w:style>
  <w:style w:type="character" w:styleId="Komentaronuoroda">
    <w:name w:val="annotation reference"/>
    <w:basedOn w:val="Numatytasispastraiposriftas"/>
    <w:uiPriority w:val="99"/>
    <w:semiHidden/>
    <w:unhideWhenUsed/>
    <w:rsid w:val="00A73555"/>
    <w:rPr>
      <w:sz w:val="16"/>
      <w:szCs w:val="16"/>
    </w:rPr>
  </w:style>
  <w:style w:type="paragraph" w:styleId="Komentarotekstas">
    <w:name w:val="annotation text"/>
    <w:basedOn w:val="prastasis"/>
    <w:link w:val="KomentarotekstasDiagrama"/>
    <w:uiPriority w:val="99"/>
    <w:semiHidden/>
    <w:unhideWhenUsed/>
    <w:rsid w:val="00A735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3555"/>
    <w:rPr>
      <w:sz w:val="20"/>
      <w:szCs w:val="20"/>
    </w:rPr>
  </w:style>
  <w:style w:type="paragraph" w:styleId="Komentarotema">
    <w:name w:val="annotation subject"/>
    <w:basedOn w:val="Komentarotekstas"/>
    <w:next w:val="Komentarotekstas"/>
    <w:link w:val="KomentarotemaDiagrama"/>
    <w:uiPriority w:val="99"/>
    <w:semiHidden/>
    <w:unhideWhenUsed/>
    <w:rsid w:val="00A73555"/>
    <w:rPr>
      <w:b/>
      <w:bCs/>
    </w:rPr>
  </w:style>
  <w:style w:type="character" w:customStyle="1" w:styleId="KomentarotemaDiagrama">
    <w:name w:val="Komentaro tema Diagrama"/>
    <w:basedOn w:val="KomentarotekstasDiagrama"/>
    <w:link w:val="Komentarotema"/>
    <w:uiPriority w:val="99"/>
    <w:semiHidden/>
    <w:rsid w:val="00A73555"/>
    <w:rPr>
      <w:b/>
      <w:bCs/>
      <w:sz w:val="20"/>
      <w:szCs w:val="20"/>
    </w:rPr>
  </w:style>
  <w:style w:type="character" w:styleId="Perirtashipersaitas">
    <w:name w:val="FollowedHyperlink"/>
    <w:basedOn w:val="Numatytasispastraiposriftas"/>
    <w:uiPriority w:val="99"/>
    <w:semiHidden/>
    <w:unhideWhenUsed/>
    <w:rsid w:val="00D22E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3vidutinistinklelis1parykinimas">
    <w:name w:val="Medium Grid 3 Accent 1"/>
    <w:basedOn w:val="prastojilentel"/>
    <w:uiPriority w:val="69"/>
    <w:rsid w:val="002E2ADB"/>
    <w:pPr>
      <w:spacing w:after="0" w:line="240" w:lineRule="auto"/>
    </w:pPr>
    <w:rPr>
      <w:rFonts w:ascii="Calibri" w:eastAsia="Calibri" w:hAnsi="Calibri" w:cs="Times New Roman"/>
      <w:lang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ipersaitas">
    <w:name w:val="Hyperlink"/>
    <w:uiPriority w:val="99"/>
    <w:rsid w:val="00EB725B"/>
    <w:rPr>
      <w:color w:val="0000FF"/>
      <w:u w:val="single"/>
    </w:rPr>
  </w:style>
  <w:style w:type="paragraph" w:styleId="Puslapioinaostekstas">
    <w:name w:val="footnote text"/>
    <w:basedOn w:val="prastasis"/>
    <w:link w:val="PuslapioinaostekstasDiagrama"/>
    <w:uiPriority w:val="99"/>
    <w:semiHidden/>
    <w:rsid w:val="00EB725B"/>
    <w:pPr>
      <w:spacing w:after="0" w:line="240" w:lineRule="auto"/>
    </w:pPr>
    <w:rPr>
      <w:rFonts w:ascii="Calibri" w:eastAsia="Calibri" w:hAnsi="Calibri" w:cs="Calibri"/>
      <w:sz w:val="20"/>
      <w:szCs w:val="20"/>
    </w:rPr>
  </w:style>
  <w:style w:type="character" w:customStyle="1" w:styleId="PuslapioinaostekstasDiagrama">
    <w:name w:val="Puslapio išnašos tekstas Diagrama"/>
    <w:basedOn w:val="Numatytasispastraiposriftas"/>
    <w:link w:val="Puslapioinaostekstas"/>
    <w:uiPriority w:val="99"/>
    <w:semiHidden/>
    <w:rsid w:val="00EB725B"/>
    <w:rPr>
      <w:rFonts w:ascii="Calibri" w:eastAsia="Calibri" w:hAnsi="Calibri" w:cs="Calibri"/>
      <w:sz w:val="20"/>
      <w:szCs w:val="20"/>
    </w:rPr>
  </w:style>
  <w:style w:type="character" w:styleId="Puslapioinaosnuoroda">
    <w:name w:val="footnote reference"/>
    <w:uiPriority w:val="99"/>
    <w:semiHidden/>
    <w:rsid w:val="00EB725B"/>
    <w:rPr>
      <w:vertAlign w:val="superscript"/>
    </w:rPr>
  </w:style>
  <w:style w:type="paragraph" w:styleId="Antrats">
    <w:name w:val="header"/>
    <w:basedOn w:val="prastasis"/>
    <w:link w:val="AntratsDiagrama"/>
    <w:uiPriority w:val="99"/>
    <w:unhideWhenUsed/>
    <w:rsid w:val="00EF1F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1F31"/>
  </w:style>
  <w:style w:type="paragraph" w:styleId="Porat">
    <w:name w:val="footer"/>
    <w:basedOn w:val="prastasis"/>
    <w:link w:val="PoratDiagrama"/>
    <w:uiPriority w:val="99"/>
    <w:unhideWhenUsed/>
    <w:rsid w:val="00EF1F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1F31"/>
  </w:style>
  <w:style w:type="paragraph" w:styleId="Debesliotekstas">
    <w:name w:val="Balloon Text"/>
    <w:basedOn w:val="prastasis"/>
    <w:link w:val="DebesliotekstasDiagrama"/>
    <w:uiPriority w:val="99"/>
    <w:semiHidden/>
    <w:unhideWhenUsed/>
    <w:rsid w:val="00EF1F3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1F31"/>
    <w:rPr>
      <w:rFonts w:ascii="Tahoma" w:hAnsi="Tahoma" w:cs="Tahoma"/>
      <w:sz w:val="16"/>
      <w:szCs w:val="16"/>
    </w:rPr>
  </w:style>
  <w:style w:type="character" w:styleId="Komentaronuoroda">
    <w:name w:val="annotation reference"/>
    <w:basedOn w:val="Numatytasispastraiposriftas"/>
    <w:uiPriority w:val="99"/>
    <w:semiHidden/>
    <w:unhideWhenUsed/>
    <w:rsid w:val="00A73555"/>
    <w:rPr>
      <w:sz w:val="16"/>
      <w:szCs w:val="16"/>
    </w:rPr>
  </w:style>
  <w:style w:type="paragraph" w:styleId="Komentarotekstas">
    <w:name w:val="annotation text"/>
    <w:basedOn w:val="prastasis"/>
    <w:link w:val="KomentarotekstasDiagrama"/>
    <w:uiPriority w:val="99"/>
    <w:semiHidden/>
    <w:unhideWhenUsed/>
    <w:rsid w:val="00A735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3555"/>
    <w:rPr>
      <w:sz w:val="20"/>
      <w:szCs w:val="20"/>
    </w:rPr>
  </w:style>
  <w:style w:type="paragraph" w:styleId="Komentarotema">
    <w:name w:val="annotation subject"/>
    <w:basedOn w:val="Komentarotekstas"/>
    <w:next w:val="Komentarotekstas"/>
    <w:link w:val="KomentarotemaDiagrama"/>
    <w:uiPriority w:val="99"/>
    <w:semiHidden/>
    <w:unhideWhenUsed/>
    <w:rsid w:val="00A73555"/>
    <w:rPr>
      <w:b/>
      <w:bCs/>
    </w:rPr>
  </w:style>
  <w:style w:type="character" w:customStyle="1" w:styleId="KomentarotemaDiagrama">
    <w:name w:val="Komentaro tema Diagrama"/>
    <w:basedOn w:val="KomentarotekstasDiagrama"/>
    <w:link w:val="Komentarotema"/>
    <w:uiPriority w:val="99"/>
    <w:semiHidden/>
    <w:rsid w:val="00A73555"/>
    <w:rPr>
      <w:b/>
      <w:bCs/>
      <w:sz w:val="20"/>
      <w:szCs w:val="20"/>
    </w:rPr>
  </w:style>
  <w:style w:type="character" w:styleId="Perirtashipersaitas">
    <w:name w:val="FollowedHyperlink"/>
    <w:basedOn w:val="Numatytasispastraiposriftas"/>
    <w:uiPriority w:val="99"/>
    <w:semiHidden/>
    <w:unhideWhenUsed/>
    <w:rsid w:val="00D22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2.stat.gov.lt:8777/imones/sektor.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osp.stat.gov.lt/statistiniu-rodikliu-analize?id=1823&amp;status=A" TargetMode="External"/><Relationship Id="rId1" Type="http://schemas.openxmlformats.org/officeDocument/2006/relationships/hyperlink" Target="http://osp.stat.gov.lt/statistiniu-rodikliu-analize?portletFormName=visualization&amp;hash=23259c80-3334-42b4-9378-aa7fdf0d7f0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2864</Words>
  <Characters>16327</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Ekspertė Renata Padalevičiūtė</dc:creator>
  <cp:lastModifiedBy>Dovilė Jakaitytė</cp:lastModifiedBy>
  <cp:revision>3</cp:revision>
  <dcterms:created xsi:type="dcterms:W3CDTF">2016-02-19T14:00:00Z</dcterms:created>
  <dcterms:modified xsi:type="dcterms:W3CDTF">2016-02-22T08:59:00Z</dcterms:modified>
</cp:coreProperties>
</file>