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A73B1" w14:textId="77777777" w:rsidR="00934E39" w:rsidRPr="00C43C8F" w:rsidRDefault="00934E39" w:rsidP="00AA0C4F">
      <w:pPr>
        <w:tabs>
          <w:tab w:val="left" w:pos="1276"/>
        </w:tabs>
        <w:ind w:left="5529" w:firstLine="0"/>
      </w:pPr>
      <w:r w:rsidRPr="00C43C8F">
        <w:t xml:space="preserve">PATVIRTINTA </w:t>
      </w:r>
    </w:p>
    <w:p w14:paraId="142533CE" w14:textId="77777777" w:rsidR="00934E39" w:rsidRPr="00C43C8F" w:rsidRDefault="00934E39" w:rsidP="00AA0C4F">
      <w:pPr>
        <w:tabs>
          <w:tab w:val="left" w:pos="1276"/>
        </w:tabs>
        <w:ind w:left="5529" w:firstLine="0"/>
      </w:pPr>
      <w:r w:rsidRPr="00C43C8F">
        <w:t xml:space="preserve">Lietuvos Respublikos kultūros ministro </w:t>
      </w:r>
    </w:p>
    <w:p w14:paraId="72412BE4" w14:textId="6BEF8FD6" w:rsidR="00934E39" w:rsidRPr="00C43C8F" w:rsidRDefault="00934E39" w:rsidP="00AA0C4F">
      <w:pPr>
        <w:tabs>
          <w:tab w:val="left" w:pos="1276"/>
        </w:tabs>
        <w:ind w:left="5529" w:firstLine="0"/>
      </w:pPr>
      <w:r w:rsidRPr="00C43C8F">
        <w:t>201</w:t>
      </w:r>
      <w:r w:rsidR="00F966A9" w:rsidRPr="00C43C8F">
        <w:t>6</w:t>
      </w:r>
      <w:r w:rsidRPr="00C43C8F">
        <w:t xml:space="preserve"> m.    d. įsakymu Nr. </w:t>
      </w:r>
    </w:p>
    <w:p w14:paraId="493DC3A9" w14:textId="77777777" w:rsidR="00FB0898" w:rsidRPr="00C43C8F" w:rsidRDefault="00FB0898" w:rsidP="00B30FB7">
      <w:pPr>
        <w:ind w:left="4820" w:firstLine="0"/>
      </w:pPr>
    </w:p>
    <w:p w14:paraId="618811B8" w14:textId="77777777" w:rsidR="00B30FB7" w:rsidRPr="00C43C8F" w:rsidRDefault="00B30FB7" w:rsidP="00B30FB7">
      <w:pPr>
        <w:ind w:firstLine="0"/>
        <w:jc w:val="right"/>
      </w:pPr>
    </w:p>
    <w:p w14:paraId="3C1CAC31" w14:textId="77777777" w:rsidR="00B30FB7" w:rsidRPr="00C43C8F" w:rsidRDefault="00934E39" w:rsidP="00934E39">
      <w:pPr>
        <w:ind w:firstLine="0"/>
        <w:jc w:val="center"/>
      </w:pPr>
      <w:r w:rsidRPr="00C43C8F">
        <w:rPr>
          <w:b/>
          <w:kern w:val="16"/>
        </w:rPr>
        <w:t xml:space="preserve">2014–2020 METŲ EUROPOS SĄJUNGOS FONDŲ INVESTICIJŲ VEIKSMŲ PROGRAMOS </w:t>
      </w:r>
      <w:r w:rsidR="00B41209" w:rsidRPr="00C43C8F">
        <w:rPr>
          <w:b/>
          <w:kern w:val="16"/>
        </w:rPr>
        <w:t>5</w:t>
      </w:r>
      <w:r w:rsidR="00B41209" w:rsidRPr="00C43C8F">
        <w:rPr>
          <w:b/>
        </w:rPr>
        <w:t xml:space="preserve"> PRIORITETO „APLINKOSAUGA, GAMTOS IŠTEKLIŲ DARNUS NAUDOJIMAS IR PRISITAIKYMAS PRIE KLIMATO KAITOS“ </w:t>
      </w:r>
      <w:r w:rsidR="00B41209" w:rsidRPr="00C43C8F">
        <w:rPr>
          <w:rFonts w:eastAsia="Times New Roman"/>
          <w:b/>
          <w:lang w:eastAsia="lt-LT"/>
        </w:rPr>
        <w:t xml:space="preserve">05.4.1-CPVA-R-302 </w:t>
      </w:r>
      <w:r w:rsidR="0018413F" w:rsidRPr="00C43C8F">
        <w:rPr>
          <w:b/>
        </w:rPr>
        <w:t xml:space="preserve">PRIEMONĖS </w:t>
      </w:r>
      <w:r w:rsidR="00B41209" w:rsidRPr="00C43C8F">
        <w:rPr>
          <w:b/>
        </w:rPr>
        <w:t>„</w:t>
      </w:r>
      <w:r w:rsidR="00B41209" w:rsidRPr="00C43C8F">
        <w:rPr>
          <w:rFonts w:eastAsia="Calibri"/>
          <w:b/>
          <w:lang w:eastAsia="lt-LT"/>
        </w:rPr>
        <w:t>AKTUALIZUOTI SAVIVALDYBIŲ KULTŪROS PAVELDO OBJEKTUS</w:t>
      </w:r>
      <w:r w:rsidR="00B41209" w:rsidRPr="00C43C8F">
        <w:rPr>
          <w:b/>
        </w:rPr>
        <w:t xml:space="preserve">“ PROJEKTŲ FINANSAVIMO SĄLYGŲ APRAŠAS NR. </w:t>
      </w:r>
      <w:r w:rsidRPr="00C43C8F">
        <w:rPr>
          <w:b/>
        </w:rPr>
        <w:t>1</w:t>
      </w:r>
    </w:p>
    <w:p w14:paraId="3306A04E" w14:textId="77777777" w:rsidR="00B30FB7" w:rsidRPr="00C43C8F" w:rsidRDefault="00B30FB7" w:rsidP="00B30FB7">
      <w:pPr>
        <w:ind w:firstLine="0"/>
      </w:pPr>
    </w:p>
    <w:p w14:paraId="20409546" w14:textId="77777777" w:rsidR="00B30FB7" w:rsidRPr="00C43C8F" w:rsidRDefault="00B30FB7" w:rsidP="00810E99">
      <w:pPr>
        <w:pStyle w:val="Heading1"/>
      </w:pPr>
      <w:r w:rsidRPr="00C43C8F">
        <w:t>I SKYRIUS</w:t>
      </w:r>
    </w:p>
    <w:p w14:paraId="68AB5619" w14:textId="77777777" w:rsidR="00B30FB7" w:rsidRPr="00C43C8F" w:rsidRDefault="00B30FB7" w:rsidP="00810E99">
      <w:pPr>
        <w:pStyle w:val="Heading1"/>
      </w:pPr>
      <w:r w:rsidRPr="00C43C8F">
        <w:t>BENDROSIOS NUOSTATOS</w:t>
      </w:r>
    </w:p>
    <w:p w14:paraId="1012FBB7" w14:textId="77777777" w:rsidR="00A8774B" w:rsidRPr="00C43C8F" w:rsidRDefault="00A8774B" w:rsidP="00B30FB7">
      <w:pPr>
        <w:ind w:firstLine="0"/>
      </w:pPr>
    </w:p>
    <w:p w14:paraId="434F4DE8" w14:textId="77777777" w:rsidR="0011320F" w:rsidRPr="00C43C8F" w:rsidRDefault="00DC5D85" w:rsidP="000673F7">
      <w:pPr>
        <w:tabs>
          <w:tab w:val="left" w:pos="1134"/>
        </w:tabs>
        <w:rPr>
          <w:i/>
        </w:rPr>
      </w:pPr>
      <w:r w:rsidRPr="00C43C8F">
        <w:t xml:space="preserve">1. </w:t>
      </w:r>
      <w:r w:rsidR="002958F9" w:rsidRPr="00C43C8F">
        <w:t>2014–2020 m</w:t>
      </w:r>
      <w:r w:rsidR="008F6697" w:rsidRPr="00C43C8F">
        <w:t>etų</w:t>
      </w:r>
      <w:r w:rsidR="002958F9" w:rsidRPr="00C43C8F">
        <w:t xml:space="preserve"> Europos Sąjungos fondų </w:t>
      </w:r>
      <w:r w:rsidR="00992586" w:rsidRPr="00C43C8F">
        <w:t xml:space="preserve">investicijų </w:t>
      </w:r>
      <w:r w:rsidR="002958F9" w:rsidRPr="00C43C8F">
        <w:t xml:space="preserve">veiksmų programos </w:t>
      </w:r>
      <w:r w:rsidR="00934E39" w:rsidRPr="00C43C8F">
        <w:t>5</w:t>
      </w:r>
      <w:r w:rsidR="0018413F" w:rsidRPr="00C43C8F">
        <w:t xml:space="preserve"> prioriteto „Aplinkosauga, gamtos išteklių darnus naudojimas ir prisitaikymas prie klimato kaitos</w:t>
      </w:r>
      <w:r w:rsidR="002958F9" w:rsidRPr="00C43C8F">
        <w:t>“</w:t>
      </w:r>
      <w:r w:rsidR="00F47C35" w:rsidRPr="00C43C8F">
        <w:t xml:space="preserve"> </w:t>
      </w:r>
      <w:r w:rsidR="0018413F" w:rsidRPr="00C43C8F">
        <w:t>05.4.1-CPVA-R-302</w:t>
      </w:r>
      <w:r w:rsidR="00BF1E56" w:rsidRPr="00C43C8F">
        <w:t xml:space="preserve"> </w:t>
      </w:r>
      <w:r w:rsidR="002958F9" w:rsidRPr="00C43C8F">
        <w:t>priemonės „</w:t>
      </w:r>
      <w:r w:rsidR="0018413F" w:rsidRPr="00C43C8F">
        <w:t>Aktualizuoti s</w:t>
      </w:r>
      <w:r w:rsidR="008653FE" w:rsidRPr="00C43C8F">
        <w:t>avivaldybių kultūros paveldo ob</w:t>
      </w:r>
      <w:r w:rsidR="0018413F" w:rsidRPr="00C43C8F">
        <w:t>j</w:t>
      </w:r>
      <w:r w:rsidR="008653FE" w:rsidRPr="00C43C8F">
        <w:t>e</w:t>
      </w:r>
      <w:r w:rsidR="0018413F" w:rsidRPr="00C43C8F">
        <w:t>ktus</w:t>
      </w:r>
      <w:r w:rsidR="002958F9" w:rsidRPr="00C43C8F">
        <w:t xml:space="preserve">“ projektų finansavimo sąlygų aprašas Nr. </w:t>
      </w:r>
      <w:r w:rsidR="00934E39" w:rsidRPr="00C43C8F">
        <w:t>1</w:t>
      </w:r>
      <w:r w:rsidR="002958F9" w:rsidRPr="00C43C8F">
        <w:t xml:space="preserve"> (toliau – Aprašas) nustato reikalavimus, kuriais turi vadovautis pareiškėjai, rengdami ir teikdami </w:t>
      </w:r>
      <w:r w:rsidR="00992586" w:rsidRPr="00C43C8F">
        <w:t xml:space="preserve">paraiškas finansuoti iš Europos Sąjungos struktūrinių fondų lėšų bendrai finansuojamus projektus (toliau – paraiška) </w:t>
      </w:r>
      <w:r w:rsidR="002958F9" w:rsidRPr="00C43C8F">
        <w:t xml:space="preserve">pagal 2014–2020 m. Europos Sąjungos fondų </w:t>
      </w:r>
      <w:r w:rsidR="00992586" w:rsidRPr="00C43C8F">
        <w:t xml:space="preserve">investicijų </w:t>
      </w:r>
      <w:r w:rsidR="002958F9" w:rsidRPr="00C43C8F">
        <w:t>veiksmų programos, patvirtintos Europos Komisijos 201</w:t>
      </w:r>
      <w:r w:rsidR="00992586" w:rsidRPr="00C43C8F">
        <w:t>4</w:t>
      </w:r>
      <w:r w:rsidR="002958F9" w:rsidRPr="00C43C8F">
        <w:t xml:space="preserve"> m. </w:t>
      </w:r>
      <w:r w:rsidR="00992586" w:rsidRPr="00C43C8F">
        <w:t>rugsėjo 8  </w:t>
      </w:r>
      <w:r w:rsidR="002958F9" w:rsidRPr="00C43C8F">
        <w:t>d. sprendimu Nr. </w:t>
      </w:r>
      <w:r w:rsidR="00992586" w:rsidRPr="00C43C8F">
        <w:t xml:space="preserve">C(2014)6397 </w:t>
      </w:r>
      <w:r w:rsidR="008B21D2" w:rsidRPr="00C43C8F">
        <w:t>(toliau – Veiksmų programa)</w:t>
      </w:r>
      <w:r w:rsidR="002958F9" w:rsidRPr="00C43C8F">
        <w:t xml:space="preserve">, </w:t>
      </w:r>
      <w:r w:rsidR="00934E39" w:rsidRPr="00C43C8F">
        <w:t>5</w:t>
      </w:r>
      <w:r w:rsidR="002958F9" w:rsidRPr="00C43C8F">
        <w:t> prioriteto „</w:t>
      </w:r>
      <w:r w:rsidR="0018413F" w:rsidRPr="00C43C8F">
        <w:t>Aplinkosauga, gamtos išteklių darnus naudojimas ir prisitaikymas prie klimato kaitos</w:t>
      </w:r>
      <w:r w:rsidR="002958F9" w:rsidRPr="00C43C8F">
        <w:t>“</w:t>
      </w:r>
      <w:r w:rsidR="0018413F" w:rsidRPr="00C43C8F">
        <w:t xml:space="preserve"> 05.4.1-CPVA-R-302</w:t>
      </w:r>
      <w:r w:rsidR="002958F9" w:rsidRPr="00C43C8F">
        <w:t xml:space="preserve"> priemonės „</w:t>
      </w:r>
      <w:r w:rsidR="0018413F" w:rsidRPr="00C43C8F">
        <w:t>Aktualizuoti savivaldybių kultūros paveldo obj</w:t>
      </w:r>
      <w:r w:rsidR="005B426F" w:rsidRPr="00C43C8F">
        <w:t>e</w:t>
      </w:r>
      <w:r w:rsidR="0018413F" w:rsidRPr="00C43C8F">
        <w:t>ktus</w:t>
      </w:r>
      <w:r w:rsidR="002958F9" w:rsidRPr="00C43C8F">
        <w:t>“</w:t>
      </w:r>
      <w:r w:rsidR="00AD56D3" w:rsidRPr="00C43C8F">
        <w:t xml:space="preserve"> (toliau – Priemonė)</w:t>
      </w:r>
      <w:r w:rsidR="002958F9" w:rsidRPr="00C43C8F">
        <w:t xml:space="preserve"> finansuojamas veiklas, </w:t>
      </w:r>
      <w:r w:rsidR="00927BE2" w:rsidRPr="00C43C8F">
        <w:t xml:space="preserve">projektų vykdytojai, įgyvendindami pagal Aprašą iš Europos Sąjungos struktūrinių fondų lėšų bendrai finansuojamus projektus (toliau – projektas), </w:t>
      </w:r>
      <w:r w:rsidR="002958F9" w:rsidRPr="00C43C8F">
        <w:t>taip pat institucijos, atliekančios paraiškų vertinimą, atranką ir įgyvendinimo priežiūrą.</w:t>
      </w:r>
      <w:r w:rsidR="00A17A35" w:rsidRPr="00C43C8F">
        <w:t xml:space="preserve"> </w:t>
      </w:r>
    </w:p>
    <w:p w14:paraId="546CA07C" w14:textId="77777777" w:rsidR="008B21D2" w:rsidRPr="00C43C8F" w:rsidRDefault="008B21D2" w:rsidP="000673F7">
      <w:pPr>
        <w:tabs>
          <w:tab w:val="left" w:pos="1134"/>
        </w:tabs>
      </w:pPr>
      <w:r w:rsidRPr="00C43C8F">
        <w:t xml:space="preserve">2. </w:t>
      </w:r>
      <w:r w:rsidR="002958F9" w:rsidRPr="00C43C8F">
        <w:t>Aprašas yra parengtas atsižvelgiant į:</w:t>
      </w:r>
    </w:p>
    <w:p w14:paraId="6655A1C4" w14:textId="77777777" w:rsidR="00964074" w:rsidRPr="00C43C8F" w:rsidRDefault="00964074" w:rsidP="000673F7">
      <w:pPr>
        <w:pStyle w:val="ListParagraph"/>
        <w:numPr>
          <w:ilvl w:val="1"/>
          <w:numId w:val="11"/>
        </w:numPr>
        <w:tabs>
          <w:tab w:val="left" w:pos="284"/>
          <w:tab w:val="left" w:pos="1134"/>
        </w:tabs>
        <w:ind w:left="0" w:firstLine="851"/>
      </w:pPr>
      <w:r w:rsidRPr="00C43C8F">
        <w:t>2014 m. birželio 17 d. Komisijos reglamentu (ES) Nr. 651/2014, kuriuo tam tikrų kategorijų pagalba skelbiama suderinama su vidaus rinka taikant Sutarties 107 ir 108 straipsnius</w:t>
      </w:r>
      <w:r w:rsidRPr="00C43C8F" w:rsidDel="005C574B">
        <w:t xml:space="preserve"> </w:t>
      </w:r>
      <w:r w:rsidRPr="00C43C8F">
        <w:t>(OL 2014 L 187, p.1–78) (toliau – Reglamentas (ES) Nr. 651/2014);</w:t>
      </w:r>
    </w:p>
    <w:p w14:paraId="7E2BCB8B" w14:textId="77777777" w:rsidR="00964074" w:rsidRPr="00C43C8F" w:rsidRDefault="00964074" w:rsidP="000673F7">
      <w:pPr>
        <w:pStyle w:val="ListParagraph"/>
        <w:numPr>
          <w:ilvl w:val="1"/>
          <w:numId w:val="11"/>
        </w:numPr>
        <w:tabs>
          <w:tab w:val="left" w:pos="284"/>
          <w:tab w:val="left" w:pos="1134"/>
        </w:tabs>
        <w:ind w:left="0" w:firstLine="851"/>
      </w:pPr>
      <w:r w:rsidRPr="00C43C8F">
        <w:t>Atsakomybės ir funkcijų paskirstymo tarp institucijų, įgyvendinant 2014–2020 metų Europos Sąjungos struktūrinių fondų investicijų veiksmų programą, taisyklėmis, patvirtintomis Lietuvos Respublikos Vyriausybės 2014 m. birželio 4 d. nutarimu Nr. 528 „Dėl Atsakomybės ir funkcijų paskirstymo tarp institucijų, įgyvendinant 2014–2020 metų Europos Sąjungos struktūrinių fondų investicijų veiksmų programą“ (toliau – Atsakomybės ir funkcijų paskirstymo taisyklės);</w:t>
      </w:r>
    </w:p>
    <w:p w14:paraId="712C908C" w14:textId="77777777" w:rsidR="00964074" w:rsidRPr="00C43C8F" w:rsidRDefault="00964074" w:rsidP="000673F7">
      <w:pPr>
        <w:pStyle w:val="ListParagraph"/>
        <w:numPr>
          <w:ilvl w:val="1"/>
          <w:numId w:val="11"/>
        </w:numPr>
        <w:tabs>
          <w:tab w:val="left" w:pos="284"/>
          <w:tab w:val="left" w:pos="1134"/>
        </w:tabs>
        <w:ind w:left="0" w:firstLine="851"/>
      </w:pPr>
      <w:r w:rsidRPr="00C43C8F">
        <w:t>Projektų administravimo ir finansavimo taisyklėmis, patvirtintomis Lietuvos Respublikos finansų ministro 2014 m. spalio 8 d. įsakymu Nr. 1K-316 „Dėl Projektų administravimo ir finansavimo taisyklių patvirtinimo“ (toliau – Projektų taisyklės);</w:t>
      </w:r>
    </w:p>
    <w:p w14:paraId="55B25134" w14:textId="77777777" w:rsidR="00964074" w:rsidRPr="00C43C8F" w:rsidRDefault="00964074" w:rsidP="000673F7">
      <w:pPr>
        <w:pStyle w:val="ListParagraph"/>
        <w:numPr>
          <w:ilvl w:val="1"/>
          <w:numId w:val="11"/>
        </w:numPr>
        <w:tabs>
          <w:tab w:val="left" w:pos="284"/>
          <w:tab w:val="left" w:pos="1134"/>
        </w:tabs>
        <w:ind w:left="0" w:firstLine="851"/>
        <w:rPr>
          <w:lang w:val="en-US"/>
        </w:rPr>
      </w:pPr>
      <w:r w:rsidRPr="00C43C8F">
        <w:t>2014–2020 m. Europos Sąjungos fondų investicijų veiksmų programos prioriteto įgyvendinimo priemonių įgyvendinimo planu, patvirtintu Lietuvos Respublikos kultūros ministro 2015 m. gegužės 22 d. įsakymu Nr. ĮV-326 „Dėl Lietuvos Respublikos kultūros ministerijos 2014–2020 metų Europos Sąjungos fondų investicijų veiksmų programos prioritetų įgyvendinimo priemonių įgyvendinimo plano ir nacionalinių stebėsenos rodiklių skaičiavimo aprašo patvirtinimo“ (toliau – Priemonių įgyvendinimo planas);</w:t>
      </w:r>
    </w:p>
    <w:p w14:paraId="34E22BF5" w14:textId="77777777" w:rsidR="00701E71" w:rsidRPr="00C43C8F" w:rsidRDefault="00964074" w:rsidP="000673F7">
      <w:pPr>
        <w:pStyle w:val="ListParagraph"/>
        <w:numPr>
          <w:ilvl w:val="1"/>
          <w:numId w:val="11"/>
        </w:numPr>
        <w:tabs>
          <w:tab w:val="left" w:pos="1134"/>
        </w:tabs>
        <w:ind w:left="0" w:firstLine="851"/>
      </w:pPr>
      <w:r w:rsidRPr="00C43C8F">
        <w:t xml:space="preserve">Kultūros objektų aktualizavimo 2014–2020 metų programa, patvirtinta Lietuvos Respublikos kultūros ministro 2014 m. spalio 6 d. įsakymu Nr. ĮV-711 „Dėl Kultūros objektų aktualizavimo 2014-2020 metų programos patvirtinimo“ (toliau – Kultūros </w:t>
      </w:r>
      <w:r w:rsidR="00287D92" w:rsidRPr="00C43C8F">
        <w:t>objektų aktualizavimo programa);</w:t>
      </w:r>
    </w:p>
    <w:p w14:paraId="63BD1757" w14:textId="77777777" w:rsidR="00287D92" w:rsidRPr="00C43C8F" w:rsidRDefault="00287D92" w:rsidP="000673F7">
      <w:pPr>
        <w:pStyle w:val="ListParagraph"/>
        <w:numPr>
          <w:ilvl w:val="1"/>
          <w:numId w:val="11"/>
        </w:numPr>
        <w:tabs>
          <w:tab w:val="left" w:pos="1134"/>
        </w:tabs>
        <w:ind w:left="0" w:firstLine="851"/>
      </w:pPr>
      <w:r w:rsidRPr="00C43C8F">
        <w:lastRenderedPageBreak/>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68354D6E" w14:textId="77777777" w:rsidR="00434686" w:rsidRPr="00C43C8F" w:rsidRDefault="00434686" w:rsidP="000673F7">
      <w:pPr>
        <w:tabs>
          <w:tab w:val="left" w:pos="1134"/>
        </w:tabs>
      </w:pPr>
      <w:r w:rsidRPr="00C43C8F">
        <w:t>3.</w:t>
      </w:r>
      <w:r w:rsidR="007D2186" w:rsidRPr="00C43C8F">
        <w:t xml:space="preserve"> Apraše vartojamos sąvokos suprantamos taip, kaip jos apibrėžtos Aprašo 2 punkte nurodyt</w:t>
      </w:r>
      <w:r w:rsidR="007F1131" w:rsidRPr="00C43C8F">
        <w:t>u</w:t>
      </w:r>
      <w:r w:rsidR="007D2186" w:rsidRPr="00C43C8F">
        <w:t>ose teisės aktuose, Atsakomybės ir funkcijų paskirstymo tarp institucijų, įgyvendinant 2014–2020 metų Europos Sąjungos struktūrinių fondų veiksmų programą, taisyklėse, patvirtintose Lietuvos Respublikos Vyriausybės 201</w:t>
      </w:r>
      <w:r w:rsidR="005C574B" w:rsidRPr="00C43C8F">
        <w:t>4</w:t>
      </w:r>
      <w:r w:rsidR="007D2186" w:rsidRPr="00C43C8F">
        <w:t xml:space="preserve"> m. </w:t>
      </w:r>
      <w:r w:rsidR="005C574B" w:rsidRPr="00C43C8F">
        <w:t>birželio 4</w:t>
      </w:r>
      <w:r w:rsidR="007D2186" w:rsidRPr="00C43C8F">
        <w:t xml:space="preserve"> d. nutarimu Nr. </w:t>
      </w:r>
      <w:r w:rsidR="005C574B" w:rsidRPr="00C43C8F">
        <w:t>528</w:t>
      </w:r>
      <w:r w:rsidR="007C76EA" w:rsidRPr="00C43C8F">
        <w:t xml:space="preserve"> „Dėl atsakomybės ir funkcijų paskirstymo tarp institucijų, įgyvendinant 2014–2020 metų Europos Sąjungos struktūrinių fondų investicijų veiksmų programą“</w:t>
      </w:r>
      <w:r w:rsidR="007D2186" w:rsidRPr="00C43C8F">
        <w:t xml:space="preserve">, ir </w:t>
      </w:r>
      <w:r w:rsidR="007C76EA" w:rsidRPr="00C43C8F">
        <w:t xml:space="preserve">2014–2020 metų Europos Sąjungos fondų investicijų veiksmų programos </w:t>
      </w:r>
      <w:r w:rsidR="0080603D" w:rsidRPr="00C43C8F">
        <w:t xml:space="preserve">administravimo </w:t>
      </w:r>
      <w:r w:rsidR="007C76EA" w:rsidRPr="00C43C8F">
        <w:t>taisyklėse</w:t>
      </w:r>
      <w:r w:rsidR="007D2186" w:rsidRPr="00C43C8F">
        <w:t>, patvirtintose Lietuvos Respublikos Vyriausybės 201</w:t>
      </w:r>
      <w:r w:rsidR="005C574B" w:rsidRPr="00C43C8F">
        <w:t>4</w:t>
      </w:r>
      <w:r w:rsidR="007D2186" w:rsidRPr="00C43C8F">
        <w:t xml:space="preserve"> m. </w:t>
      </w:r>
      <w:r w:rsidR="005C574B" w:rsidRPr="00C43C8F">
        <w:t xml:space="preserve">spalio 3 </w:t>
      </w:r>
      <w:r w:rsidR="007D2186" w:rsidRPr="00C43C8F">
        <w:t xml:space="preserve">d. nutarimu Nr. </w:t>
      </w:r>
      <w:r w:rsidR="005C574B" w:rsidRPr="00C43C8F">
        <w:t>1090</w:t>
      </w:r>
      <w:r w:rsidR="007C76EA" w:rsidRPr="00C43C8F">
        <w:t xml:space="preserve"> „Dėl 2014–2020 metų Europos Sąjungos fondų investicijų veiksmų programos administravimo taisyklių patvirtinimo“</w:t>
      </w:r>
      <w:r w:rsidR="00AB472D" w:rsidRPr="00C43C8F">
        <w:t>.</w:t>
      </w:r>
    </w:p>
    <w:p w14:paraId="5FE85338" w14:textId="77777777" w:rsidR="00701E71" w:rsidRPr="00C43C8F" w:rsidRDefault="00CD5951" w:rsidP="000673F7">
      <w:pPr>
        <w:tabs>
          <w:tab w:val="left" w:pos="1134"/>
        </w:tabs>
      </w:pPr>
      <w:r w:rsidRPr="00C43C8F">
        <w:t xml:space="preserve">4. Apraše vartojamos </w:t>
      </w:r>
      <w:r w:rsidR="0055014E" w:rsidRPr="00C43C8F">
        <w:t xml:space="preserve">kitos </w:t>
      </w:r>
      <w:r w:rsidRPr="00C43C8F">
        <w:t>sąvokos:</w:t>
      </w:r>
    </w:p>
    <w:p w14:paraId="6ECD7883" w14:textId="77777777" w:rsidR="007C774C" w:rsidRPr="00C43C8F" w:rsidRDefault="007C774C" w:rsidP="000673F7">
      <w:pPr>
        <w:pStyle w:val="ListParagraph"/>
        <w:numPr>
          <w:ilvl w:val="0"/>
          <w:numId w:val="10"/>
        </w:numPr>
        <w:tabs>
          <w:tab w:val="left" w:pos="993"/>
          <w:tab w:val="left" w:pos="1134"/>
        </w:tabs>
        <w:ind w:left="0" w:firstLine="851"/>
        <w:rPr>
          <w:b/>
          <w:vanish/>
        </w:rPr>
      </w:pPr>
    </w:p>
    <w:p w14:paraId="5B952C61" w14:textId="77777777" w:rsidR="007C774C" w:rsidRPr="00C43C8F" w:rsidRDefault="007C774C" w:rsidP="000673F7">
      <w:pPr>
        <w:pStyle w:val="ListParagraph"/>
        <w:numPr>
          <w:ilvl w:val="0"/>
          <w:numId w:val="10"/>
        </w:numPr>
        <w:tabs>
          <w:tab w:val="left" w:pos="993"/>
          <w:tab w:val="left" w:pos="1134"/>
        </w:tabs>
        <w:ind w:left="0" w:firstLine="851"/>
        <w:rPr>
          <w:b/>
          <w:vanish/>
        </w:rPr>
      </w:pPr>
    </w:p>
    <w:p w14:paraId="04D46992" w14:textId="77777777" w:rsidR="007C774C" w:rsidRPr="00C43C8F" w:rsidRDefault="007C774C" w:rsidP="000673F7">
      <w:pPr>
        <w:pStyle w:val="ListParagraph"/>
        <w:numPr>
          <w:ilvl w:val="0"/>
          <w:numId w:val="10"/>
        </w:numPr>
        <w:tabs>
          <w:tab w:val="left" w:pos="993"/>
          <w:tab w:val="left" w:pos="1134"/>
        </w:tabs>
        <w:ind w:left="0" w:firstLine="851"/>
        <w:rPr>
          <w:b/>
          <w:vanish/>
        </w:rPr>
      </w:pPr>
    </w:p>
    <w:p w14:paraId="12058EC8" w14:textId="2703B6F4" w:rsidR="00E00488" w:rsidRPr="00E00488" w:rsidRDefault="00E00488" w:rsidP="000673F7">
      <w:pPr>
        <w:pStyle w:val="ListParagraph"/>
        <w:numPr>
          <w:ilvl w:val="1"/>
          <w:numId w:val="10"/>
        </w:numPr>
        <w:tabs>
          <w:tab w:val="left" w:pos="993"/>
          <w:tab w:val="left" w:pos="1134"/>
        </w:tabs>
        <w:ind w:left="0" w:firstLine="851"/>
      </w:pPr>
      <w:r>
        <w:rPr>
          <w:b/>
          <w:bCs/>
        </w:rPr>
        <w:t xml:space="preserve">Kilnojamosios kultūros vertybės – </w:t>
      </w:r>
      <w:r w:rsidRPr="00E00488">
        <w:rPr>
          <w:bCs/>
        </w:rPr>
        <w:t>taip kaip apibrėžta Lietuvos Respublikos kilnoja</w:t>
      </w:r>
      <w:r w:rsidR="00802A49">
        <w:rPr>
          <w:bCs/>
        </w:rPr>
        <w:t>mųjų kultūros vertybių įstatyme (</w:t>
      </w:r>
      <w:r w:rsidR="00802A49" w:rsidRPr="00802A49">
        <w:rPr>
          <w:iCs/>
        </w:rPr>
        <w:t xml:space="preserve">Žin. 1996, Nr. </w:t>
      </w:r>
      <w:r w:rsidR="00802A49" w:rsidRPr="00802A49">
        <w:fldChar w:fldCharType="begin"/>
      </w:r>
      <w:r w:rsidR="00802A49" w:rsidRPr="00802A49">
        <w:instrText xml:space="preserve"> HYPERLINK "https://www.e-tar.lt/portal/legalAct.html?documentId=TAR.C5DA698A4015" \t "_parent" </w:instrText>
      </w:r>
      <w:r w:rsidR="00802A49" w:rsidRPr="00802A49">
        <w:fldChar w:fldCharType="separate"/>
      </w:r>
      <w:r w:rsidR="00802A49" w:rsidRPr="00802A49">
        <w:rPr>
          <w:rStyle w:val="Hyperlink"/>
          <w:iCs/>
          <w:color w:val="auto"/>
          <w:u w:val="none"/>
        </w:rPr>
        <w:t>14-352</w:t>
      </w:r>
      <w:r w:rsidR="00802A49" w:rsidRPr="00802A49">
        <w:fldChar w:fldCharType="end"/>
      </w:r>
      <w:r w:rsidR="00802A49">
        <w:t>);</w:t>
      </w:r>
      <w:r w:rsidRPr="00E00488">
        <w:rPr>
          <w:bCs/>
        </w:rPr>
        <w:t xml:space="preserve"> </w:t>
      </w:r>
    </w:p>
    <w:p w14:paraId="63E2C1D4" w14:textId="77777777" w:rsidR="007C774C" w:rsidRPr="00C43C8F" w:rsidRDefault="007C774C" w:rsidP="000673F7">
      <w:pPr>
        <w:pStyle w:val="ListParagraph"/>
        <w:numPr>
          <w:ilvl w:val="1"/>
          <w:numId w:val="10"/>
        </w:numPr>
        <w:tabs>
          <w:tab w:val="left" w:pos="993"/>
          <w:tab w:val="left" w:pos="1134"/>
        </w:tabs>
        <w:ind w:left="0" w:firstLine="851"/>
      </w:pPr>
      <w:r w:rsidRPr="00C43C8F">
        <w:rPr>
          <w:b/>
        </w:rPr>
        <w:t>Kultūros paslauga</w:t>
      </w:r>
      <w:r w:rsidRPr="00C43C8F">
        <w:t xml:space="preserve"> – kultūrinės veiklos, kaip ji apibrėžta Reglamento (ES) Nr. 651/2014, 53 straipsnio 2 dalyje, lankytojams ir (arba) dalyviams teikiama paslauga;</w:t>
      </w:r>
    </w:p>
    <w:p w14:paraId="0D32E046" w14:textId="77777777" w:rsidR="007C774C" w:rsidRPr="00C43C8F" w:rsidRDefault="007C774C" w:rsidP="000673F7">
      <w:pPr>
        <w:pStyle w:val="ListParagraph"/>
        <w:numPr>
          <w:ilvl w:val="1"/>
          <w:numId w:val="10"/>
        </w:numPr>
        <w:tabs>
          <w:tab w:val="left" w:pos="993"/>
          <w:tab w:val="left" w:pos="1134"/>
        </w:tabs>
        <w:ind w:left="0" w:firstLine="851"/>
      </w:pPr>
      <w:r w:rsidRPr="00C43C8F">
        <w:rPr>
          <w:b/>
        </w:rPr>
        <w:t>Kultūros paveldo objektų kompleksiškas sutvarkymas</w:t>
      </w:r>
      <w:r w:rsidRPr="00C43C8F">
        <w:t xml:space="preserve"> – tvarkomųjų paveldosaugos ir  (ar) tvarkomųjų statybos darbų kultūros paveldo objektuose atlikimas, ir (ar) būtinos įrangos įsigijimas bei sumontavimas, taip užtikrinant kultūrinių veiklų, numatytų patvirtintame projektiniame pasiūlyme ir investicijų projekte, tinkamą vykdymą; </w:t>
      </w:r>
    </w:p>
    <w:p w14:paraId="73D29360" w14:textId="2D2C4854" w:rsidR="007C774C" w:rsidRPr="00987CF8" w:rsidRDefault="007C774C" w:rsidP="000673F7">
      <w:pPr>
        <w:pStyle w:val="ListParagraph"/>
        <w:numPr>
          <w:ilvl w:val="1"/>
          <w:numId w:val="10"/>
        </w:numPr>
        <w:tabs>
          <w:tab w:val="left" w:pos="993"/>
          <w:tab w:val="left" w:pos="1134"/>
        </w:tabs>
        <w:ind w:left="0" w:firstLine="851"/>
      </w:pPr>
      <w:r w:rsidRPr="00987CF8">
        <w:rPr>
          <w:b/>
        </w:rPr>
        <w:t>Kultūros produktas</w:t>
      </w:r>
      <w:r w:rsidRPr="00987CF8">
        <w:t xml:space="preserve"> – atsižvelgiant į kultūros </w:t>
      </w:r>
      <w:bookmarkStart w:id="0" w:name="_GoBack"/>
      <w:r w:rsidR="00987CF8" w:rsidRPr="00987CF8">
        <w:rPr>
          <w:color w:val="FF0000"/>
        </w:rPr>
        <w:t>paveldo</w:t>
      </w:r>
      <w:bookmarkEnd w:id="0"/>
      <w:r w:rsidRPr="00987CF8">
        <w:t xml:space="preserve"> objekte vykdomą kultūrinę veiklą, kaip ji  apibrėžta Reglamento (ES) Nr. 651/2014, 53 straipsnio 2 dalyje, kuriamas (-i) kultūros produktas (-ai), skirtas (-i) kultūros paslaugai (-oms) teikti.</w:t>
      </w:r>
    </w:p>
    <w:p w14:paraId="706CC1AF" w14:textId="77777777" w:rsidR="007F1131" w:rsidRPr="00C43C8F" w:rsidRDefault="007F1131" w:rsidP="000673F7">
      <w:pPr>
        <w:tabs>
          <w:tab w:val="left" w:pos="1134"/>
        </w:tabs>
      </w:pPr>
      <w:r w:rsidRPr="00C43C8F">
        <w:t xml:space="preserve">5. Priemonės įgyvendinimą administruoja </w:t>
      </w:r>
      <w:r w:rsidRPr="00C43C8F">
        <w:softHyphen/>
      </w:r>
      <w:r w:rsidRPr="00C43C8F">
        <w:softHyphen/>
      </w:r>
      <w:r w:rsidRPr="00C43C8F">
        <w:softHyphen/>
      </w:r>
      <w:r w:rsidRPr="00C43C8F">
        <w:softHyphen/>
      </w:r>
      <w:r w:rsidRPr="00C43C8F">
        <w:softHyphen/>
      </w:r>
      <w:r w:rsidR="00711146" w:rsidRPr="00C43C8F">
        <w:t>Lietuvos Respublikos kultūros ministerija (toliau – Ministerija) ir viešoji įstaiga Centrinė projektų valdymo agentūra (toliau – įgyvendinančioji institucija)</w:t>
      </w:r>
      <w:r w:rsidRPr="00C43C8F">
        <w:t>.</w:t>
      </w:r>
    </w:p>
    <w:p w14:paraId="174F4180" w14:textId="77777777" w:rsidR="00B870DC" w:rsidRPr="00C43C8F" w:rsidRDefault="00B870DC" w:rsidP="000673F7">
      <w:pPr>
        <w:tabs>
          <w:tab w:val="left" w:pos="1134"/>
        </w:tabs>
      </w:pPr>
      <w:r w:rsidRPr="00C43C8F">
        <w:t>6. Pagal Priemonę teikiamo finansavimo forma – negrąžinamoji subsidija.</w:t>
      </w:r>
    </w:p>
    <w:p w14:paraId="569086C4" w14:textId="77777777" w:rsidR="00EF7AA2" w:rsidRPr="00C43C8F" w:rsidRDefault="00BE6078" w:rsidP="000673F7">
      <w:pPr>
        <w:tabs>
          <w:tab w:val="left" w:pos="1134"/>
        </w:tabs>
      </w:pPr>
      <w:r w:rsidRPr="00C43C8F">
        <w:t>7</w:t>
      </w:r>
      <w:r w:rsidR="007F1131" w:rsidRPr="00C43C8F">
        <w:t>. Projektų atranka pagal P</w:t>
      </w:r>
      <w:r w:rsidR="00AD56D3" w:rsidRPr="00C43C8F">
        <w:t>riemonę bus atliekama regiono projektų planavimo būdu.</w:t>
      </w:r>
    </w:p>
    <w:p w14:paraId="018F010C" w14:textId="606DE805" w:rsidR="00A10AF9" w:rsidRPr="00C43C8F" w:rsidRDefault="00BE6078" w:rsidP="000673F7">
      <w:pPr>
        <w:tabs>
          <w:tab w:val="left" w:pos="1134"/>
        </w:tabs>
      </w:pPr>
      <w:r w:rsidRPr="00C43C8F">
        <w:t>8</w:t>
      </w:r>
      <w:r w:rsidR="00AD56D3" w:rsidRPr="00C43C8F">
        <w:t xml:space="preserve">. </w:t>
      </w:r>
      <w:r w:rsidR="00C4159D" w:rsidRPr="00C43C8F">
        <w:t>Pa</w:t>
      </w:r>
      <w:r w:rsidR="008E0CEF" w:rsidRPr="00C43C8F">
        <w:t xml:space="preserve">gal Aprašą </w:t>
      </w:r>
      <w:r w:rsidR="003647DD" w:rsidRPr="00C43C8F">
        <w:t xml:space="preserve">projektams įgyvendinti </w:t>
      </w:r>
      <w:r w:rsidR="008E0CEF" w:rsidRPr="00C43C8F">
        <w:t>numatoma skirti iki</w:t>
      </w:r>
      <w:r w:rsidR="00C4159D" w:rsidRPr="00C43C8F">
        <w:t xml:space="preserve"> </w:t>
      </w:r>
      <w:r w:rsidR="00820B52" w:rsidRPr="00C43C8F">
        <w:t xml:space="preserve">18 902 687,00 Eur  (aštuoniolikos milijonų devynių šimtų dviejų tūkstančių </w:t>
      </w:r>
      <w:r w:rsidR="0057039A" w:rsidRPr="00C43C8F">
        <w:t>šešių šimtų aštuoniasdešimt</w:t>
      </w:r>
      <w:r w:rsidR="00820B52" w:rsidRPr="00C43C8F">
        <w:t xml:space="preserve"> septynių eurų), iš kurių i</w:t>
      </w:r>
      <w:r w:rsidR="008653FE" w:rsidRPr="00C43C8F">
        <w:t>ki 17 370 037,00 Eur (septyniolikos</w:t>
      </w:r>
      <w:r w:rsidR="00820B52" w:rsidRPr="00C43C8F">
        <w:t xml:space="preserve"> milijonų trijų šimtų septyniasdešimt tūkstančių </w:t>
      </w:r>
      <w:r w:rsidR="008653FE" w:rsidRPr="00C43C8F">
        <w:t>trisdešimt septynių</w:t>
      </w:r>
      <w:r w:rsidR="00820B52" w:rsidRPr="00C43C8F">
        <w:t xml:space="preserve"> eurų)  – Europos Sąjungos (toliau – ES) struktūrinių fondų (Europos regioninės plėtros fondo (toliau – ERPF)), iki </w:t>
      </w:r>
      <w:r w:rsidR="00820B52" w:rsidRPr="00C43C8F">
        <w:rPr>
          <w:rFonts w:eastAsia="Times New Roman"/>
          <w:bCs/>
          <w:lang w:eastAsia="lt-LT"/>
        </w:rPr>
        <w:t>1 532 650</w:t>
      </w:r>
      <w:r w:rsidR="00820B52" w:rsidRPr="00C43C8F">
        <w:t>,00 Eur (vieno milijono penkių šimtų trisdešimt dviejų tūkstančių šešių šimtų penkiasdešimties eurų) – Lietuvos Respublikos valstybės biudžeto lėšos</w:t>
      </w:r>
      <w:r w:rsidR="0057039A" w:rsidRPr="00C43C8F">
        <w:t>.</w:t>
      </w:r>
    </w:p>
    <w:p w14:paraId="6627D5CA" w14:textId="77777777" w:rsidR="0024608F" w:rsidRPr="00C43C8F" w:rsidRDefault="0057039A" w:rsidP="000673F7">
      <w:pPr>
        <w:tabs>
          <w:tab w:val="left" w:pos="1134"/>
        </w:tabs>
      </w:pPr>
      <w:r w:rsidRPr="00C43C8F">
        <w:t>9</w:t>
      </w:r>
      <w:r w:rsidR="00851C4B" w:rsidRPr="00C43C8F">
        <w:t xml:space="preserve">. </w:t>
      </w:r>
      <w:r w:rsidR="006628A2" w:rsidRPr="00C43C8F">
        <w:t xml:space="preserve">ES struktūrinių fondų lėšų regionams limitai: </w:t>
      </w:r>
      <w:r w:rsidR="00D05C1F" w:rsidRPr="00C43C8F">
        <w:t xml:space="preserve"> </w:t>
      </w:r>
    </w:p>
    <w:p w14:paraId="21419B93" w14:textId="77777777" w:rsidR="00981FF5" w:rsidRPr="00C43C8F" w:rsidRDefault="0057039A" w:rsidP="000673F7">
      <w:pPr>
        <w:tabs>
          <w:tab w:val="left" w:pos="1134"/>
        </w:tabs>
      </w:pPr>
      <w:r w:rsidRPr="00C43C8F">
        <w:t>9</w:t>
      </w:r>
      <w:r w:rsidR="0024608F" w:rsidRPr="00C43C8F">
        <w:t xml:space="preserve">.1. </w:t>
      </w:r>
      <w:r w:rsidR="00981FF5" w:rsidRPr="00C43C8F">
        <w:t>Pagal Aprašą skiriam</w:t>
      </w:r>
      <w:r w:rsidR="005B3975" w:rsidRPr="00C43C8F">
        <w:t>ų</w:t>
      </w:r>
      <w:r w:rsidR="00981FF5" w:rsidRPr="00C43C8F">
        <w:t xml:space="preserve"> finansavimo </w:t>
      </w:r>
      <w:r w:rsidR="005B3975" w:rsidRPr="00C43C8F">
        <w:t xml:space="preserve">lėšų </w:t>
      </w:r>
      <w:r w:rsidR="00981FF5" w:rsidRPr="00C43C8F">
        <w:t xml:space="preserve">paskirstymas </w:t>
      </w:r>
      <w:r w:rsidR="00FF6B79" w:rsidRPr="00C43C8F">
        <w:t>regionams</w:t>
      </w:r>
      <w:r w:rsidR="00981FF5" w:rsidRPr="00C43C8F">
        <w:t>:</w:t>
      </w:r>
    </w:p>
    <w:p w14:paraId="6CFA18A3" w14:textId="77777777" w:rsidR="005778BE" w:rsidRPr="00C43C8F" w:rsidRDefault="005778BE" w:rsidP="00B30FB7"/>
    <w:tbl>
      <w:tblPr>
        <w:tblStyle w:val="TableGrid"/>
        <w:tblW w:w="0" w:type="auto"/>
        <w:jc w:val="center"/>
        <w:tblLook w:val="04A0" w:firstRow="1" w:lastRow="0" w:firstColumn="1" w:lastColumn="0" w:noHBand="0" w:noVBand="1"/>
      </w:tblPr>
      <w:tblGrid>
        <w:gridCol w:w="3085"/>
        <w:gridCol w:w="2693"/>
      </w:tblGrid>
      <w:tr w:rsidR="00D65199" w:rsidRPr="00C43C8F" w14:paraId="08F6CCD0" w14:textId="77777777" w:rsidTr="0026648B">
        <w:trPr>
          <w:jc w:val="center"/>
        </w:trPr>
        <w:tc>
          <w:tcPr>
            <w:tcW w:w="3085" w:type="dxa"/>
          </w:tcPr>
          <w:p w14:paraId="519014EF" w14:textId="77777777" w:rsidR="00376F7B" w:rsidRPr="00C43C8F" w:rsidRDefault="00376F7B" w:rsidP="00DC3004">
            <w:pPr>
              <w:ind w:firstLine="19"/>
              <w:jc w:val="center"/>
              <w:rPr>
                <w:b/>
              </w:rPr>
            </w:pPr>
            <w:r w:rsidRPr="00C43C8F">
              <w:rPr>
                <w:b/>
              </w:rPr>
              <w:t>Regiono pavadinimas</w:t>
            </w:r>
          </w:p>
        </w:tc>
        <w:tc>
          <w:tcPr>
            <w:tcW w:w="2693" w:type="dxa"/>
          </w:tcPr>
          <w:p w14:paraId="1F7FE812" w14:textId="77777777" w:rsidR="00376F7B" w:rsidRPr="00C43C8F" w:rsidRDefault="00376F7B" w:rsidP="00DC3004">
            <w:pPr>
              <w:ind w:firstLine="0"/>
              <w:jc w:val="center"/>
              <w:rPr>
                <w:b/>
              </w:rPr>
            </w:pPr>
            <w:r w:rsidRPr="00C43C8F">
              <w:rPr>
                <w:b/>
              </w:rPr>
              <w:t>ES lėšų suma, Eur</w:t>
            </w:r>
          </w:p>
        </w:tc>
      </w:tr>
      <w:tr w:rsidR="00D65199" w:rsidRPr="00C43C8F" w14:paraId="23C28504" w14:textId="77777777" w:rsidTr="0026648B">
        <w:trPr>
          <w:jc w:val="center"/>
        </w:trPr>
        <w:tc>
          <w:tcPr>
            <w:tcW w:w="3085" w:type="dxa"/>
          </w:tcPr>
          <w:p w14:paraId="7F1C0BF8" w14:textId="77777777" w:rsidR="00376F7B" w:rsidRPr="00C43C8F" w:rsidRDefault="00376F7B" w:rsidP="0026648B">
            <w:r w:rsidRPr="00C43C8F">
              <w:t>Alytaus</w:t>
            </w:r>
          </w:p>
        </w:tc>
        <w:tc>
          <w:tcPr>
            <w:tcW w:w="2693" w:type="dxa"/>
          </w:tcPr>
          <w:p w14:paraId="72042313" w14:textId="05A7AFE7" w:rsidR="00376F7B" w:rsidRPr="00C43C8F" w:rsidRDefault="00376F7B" w:rsidP="003C70DB">
            <w:pPr>
              <w:jc w:val="center"/>
            </w:pPr>
            <w:r w:rsidRPr="00C43C8F">
              <w:t>1</w:t>
            </w:r>
            <w:r w:rsidR="003C70DB" w:rsidRPr="00C43C8F">
              <w:t xml:space="preserve"> </w:t>
            </w:r>
            <w:r w:rsidRPr="00C43C8F">
              <w:t>030</w:t>
            </w:r>
            <w:r w:rsidR="003C70DB" w:rsidRPr="00C43C8F">
              <w:t xml:space="preserve"> </w:t>
            </w:r>
            <w:r w:rsidRPr="00C43C8F">
              <w:t>281,61</w:t>
            </w:r>
          </w:p>
        </w:tc>
      </w:tr>
      <w:tr w:rsidR="00D65199" w:rsidRPr="00C43C8F" w14:paraId="19F83029" w14:textId="77777777" w:rsidTr="0026648B">
        <w:trPr>
          <w:jc w:val="center"/>
        </w:trPr>
        <w:tc>
          <w:tcPr>
            <w:tcW w:w="3085" w:type="dxa"/>
          </w:tcPr>
          <w:p w14:paraId="7875C0B1" w14:textId="77777777" w:rsidR="00376F7B" w:rsidRPr="00C43C8F" w:rsidRDefault="00376F7B" w:rsidP="0026648B">
            <w:r w:rsidRPr="00C43C8F">
              <w:t>Kauno</w:t>
            </w:r>
          </w:p>
        </w:tc>
        <w:tc>
          <w:tcPr>
            <w:tcW w:w="2693" w:type="dxa"/>
          </w:tcPr>
          <w:p w14:paraId="586E4920" w14:textId="53440CA2" w:rsidR="00376F7B" w:rsidRPr="00C43C8F" w:rsidRDefault="00570857" w:rsidP="003C70DB">
            <w:pPr>
              <w:jc w:val="center"/>
            </w:pPr>
            <w:r w:rsidRPr="00C43C8F">
              <w:t>1</w:t>
            </w:r>
            <w:r w:rsidR="003C70DB" w:rsidRPr="00C43C8F">
              <w:t xml:space="preserve"> </w:t>
            </w:r>
            <w:r w:rsidRPr="00C43C8F">
              <w:t>342</w:t>
            </w:r>
            <w:r w:rsidR="003C70DB" w:rsidRPr="00C43C8F">
              <w:t xml:space="preserve"> </w:t>
            </w:r>
            <w:r w:rsidRPr="00C43C8F">
              <w:t>488,15</w:t>
            </w:r>
          </w:p>
        </w:tc>
      </w:tr>
      <w:tr w:rsidR="00D65199" w:rsidRPr="00C43C8F" w14:paraId="47EFD756" w14:textId="77777777" w:rsidTr="0026648B">
        <w:trPr>
          <w:jc w:val="center"/>
        </w:trPr>
        <w:tc>
          <w:tcPr>
            <w:tcW w:w="3085" w:type="dxa"/>
          </w:tcPr>
          <w:p w14:paraId="615C5F12" w14:textId="77777777" w:rsidR="00376F7B" w:rsidRPr="00C43C8F" w:rsidRDefault="00376F7B" w:rsidP="0026648B">
            <w:r w:rsidRPr="00C43C8F">
              <w:t>Klaipėdos</w:t>
            </w:r>
          </w:p>
        </w:tc>
        <w:tc>
          <w:tcPr>
            <w:tcW w:w="2693" w:type="dxa"/>
          </w:tcPr>
          <w:p w14:paraId="2FB82F00" w14:textId="047C0118" w:rsidR="00376F7B" w:rsidRPr="00C43C8F" w:rsidRDefault="00376F7B" w:rsidP="003C70DB">
            <w:pPr>
              <w:jc w:val="center"/>
            </w:pPr>
            <w:r w:rsidRPr="00C43C8F">
              <w:t>1</w:t>
            </w:r>
            <w:r w:rsidR="003C70DB" w:rsidRPr="00C43C8F">
              <w:t xml:space="preserve"> 186 </w:t>
            </w:r>
            <w:r w:rsidRPr="00C43C8F">
              <w:t>384,88</w:t>
            </w:r>
          </w:p>
        </w:tc>
      </w:tr>
      <w:tr w:rsidR="00D65199" w:rsidRPr="00C43C8F" w14:paraId="458BE99B" w14:textId="77777777" w:rsidTr="0026648B">
        <w:trPr>
          <w:jc w:val="center"/>
        </w:trPr>
        <w:tc>
          <w:tcPr>
            <w:tcW w:w="3085" w:type="dxa"/>
          </w:tcPr>
          <w:p w14:paraId="5724CAE5" w14:textId="77777777" w:rsidR="00376F7B" w:rsidRPr="00C43C8F" w:rsidRDefault="00376F7B" w:rsidP="0026648B">
            <w:r w:rsidRPr="00C43C8F">
              <w:t>Marijampolės</w:t>
            </w:r>
          </w:p>
        </w:tc>
        <w:tc>
          <w:tcPr>
            <w:tcW w:w="2693" w:type="dxa"/>
          </w:tcPr>
          <w:p w14:paraId="39888610" w14:textId="75245246" w:rsidR="00376F7B" w:rsidRPr="00C43C8F" w:rsidRDefault="00376F7B" w:rsidP="003C70DB">
            <w:pPr>
              <w:jc w:val="center"/>
            </w:pPr>
            <w:r w:rsidRPr="00C43C8F">
              <w:t>1</w:t>
            </w:r>
            <w:r w:rsidR="003C70DB" w:rsidRPr="00C43C8F">
              <w:t xml:space="preserve"> </w:t>
            </w:r>
            <w:r w:rsidRPr="00C43C8F">
              <w:t>030</w:t>
            </w:r>
            <w:r w:rsidR="003C70DB" w:rsidRPr="00C43C8F">
              <w:t xml:space="preserve"> </w:t>
            </w:r>
            <w:r w:rsidRPr="00C43C8F">
              <w:t>281,61</w:t>
            </w:r>
          </w:p>
        </w:tc>
      </w:tr>
      <w:tr w:rsidR="00D65199" w:rsidRPr="00C43C8F" w14:paraId="061F6CEB" w14:textId="77777777" w:rsidTr="0026648B">
        <w:trPr>
          <w:jc w:val="center"/>
        </w:trPr>
        <w:tc>
          <w:tcPr>
            <w:tcW w:w="3085" w:type="dxa"/>
          </w:tcPr>
          <w:p w14:paraId="238DB853" w14:textId="77777777" w:rsidR="00376F7B" w:rsidRPr="00C43C8F" w:rsidRDefault="00376F7B" w:rsidP="0026648B">
            <w:r w:rsidRPr="00C43C8F">
              <w:t>Panevėžio</w:t>
            </w:r>
          </w:p>
        </w:tc>
        <w:tc>
          <w:tcPr>
            <w:tcW w:w="2693" w:type="dxa"/>
          </w:tcPr>
          <w:p w14:paraId="0EE519E7" w14:textId="4FE00870" w:rsidR="00376F7B" w:rsidRPr="00C43C8F" w:rsidRDefault="003C70DB" w:rsidP="0026648B">
            <w:pPr>
              <w:jc w:val="center"/>
            </w:pPr>
            <w:r w:rsidRPr="00C43C8F">
              <w:t xml:space="preserve">874 </w:t>
            </w:r>
            <w:r w:rsidR="00376F7B" w:rsidRPr="00C43C8F">
              <w:t>178,33</w:t>
            </w:r>
          </w:p>
        </w:tc>
      </w:tr>
      <w:tr w:rsidR="00D65199" w:rsidRPr="00C43C8F" w14:paraId="3CF76537" w14:textId="77777777" w:rsidTr="0026648B">
        <w:trPr>
          <w:jc w:val="center"/>
        </w:trPr>
        <w:tc>
          <w:tcPr>
            <w:tcW w:w="3085" w:type="dxa"/>
          </w:tcPr>
          <w:p w14:paraId="7EA2171C" w14:textId="77777777" w:rsidR="00376F7B" w:rsidRPr="00C43C8F" w:rsidRDefault="00376F7B" w:rsidP="0026648B">
            <w:r w:rsidRPr="00C43C8F">
              <w:t>Šiaulių</w:t>
            </w:r>
          </w:p>
        </w:tc>
        <w:tc>
          <w:tcPr>
            <w:tcW w:w="2693" w:type="dxa"/>
          </w:tcPr>
          <w:p w14:paraId="2B5D7FAA" w14:textId="3F7EB858" w:rsidR="00376F7B" w:rsidRPr="00C43C8F" w:rsidRDefault="003C70DB" w:rsidP="0026648B">
            <w:pPr>
              <w:jc w:val="center"/>
            </w:pPr>
            <w:r w:rsidRPr="00C43C8F">
              <w:t xml:space="preserve">874 </w:t>
            </w:r>
            <w:r w:rsidR="00376F7B" w:rsidRPr="00C43C8F">
              <w:t>178,33</w:t>
            </w:r>
          </w:p>
        </w:tc>
      </w:tr>
      <w:tr w:rsidR="00D65199" w:rsidRPr="00C43C8F" w14:paraId="4A9C659F" w14:textId="77777777" w:rsidTr="0026648B">
        <w:trPr>
          <w:jc w:val="center"/>
        </w:trPr>
        <w:tc>
          <w:tcPr>
            <w:tcW w:w="3085" w:type="dxa"/>
          </w:tcPr>
          <w:p w14:paraId="79F2BB41" w14:textId="77777777" w:rsidR="00376F7B" w:rsidRPr="00C43C8F" w:rsidRDefault="00376F7B" w:rsidP="0026648B">
            <w:r w:rsidRPr="00C43C8F">
              <w:t>Tauragės</w:t>
            </w:r>
          </w:p>
        </w:tc>
        <w:tc>
          <w:tcPr>
            <w:tcW w:w="2693" w:type="dxa"/>
          </w:tcPr>
          <w:p w14:paraId="7006A95E" w14:textId="2B8AE0B5" w:rsidR="00376F7B" w:rsidRPr="00C43C8F" w:rsidRDefault="003C70DB" w:rsidP="003C70DB">
            <w:pPr>
              <w:jc w:val="center"/>
            </w:pPr>
            <w:r w:rsidRPr="00C43C8F">
              <w:t xml:space="preserve">1 </w:t>
            </w:r>
            <w:r w:rsidR="00376F7B" w:rsidRPr="00C43C8F">
              <w:t>030</w:t>
            </w:r>
            <w:r w:rsidRPr="00C43C8F">
              <w:t xml:space="preserve"> </w:t>
            </w:r>
            <w:r w:rsidR="00376F7B" w:rsidRPr="00C43C8F">
              <w:t>281,61</w:t>
            </w:r>
          </w:p>
        </w:tc>
      </w:tr>
      <w:tr w:rsidR="00D65199" w:rsidRPr="00C43C8F" w14:paraId="209B8373" w14:textId="77777777" w:rsidTr="0026648B">
        <w:trPr>
          <w:jc w:val="center"/>
        </w:trPr>
        <w:tc>
          <w:tcPr>
            <w:tcW w:w="3085" w:type="dxa"/>
          </w:tcPr>
          <w:p w14:paraId="6CF362F2" w14:textId="77777777" w:rsidR="00376F7B" w:rsidRPr="00C43C8F" w:rsidRDefault="00376F7B" w:rsidP="0026648B">
            <w:r w:rsidRPr="00C43C8F">
              <w:t>Telšių</w:t>
            </w:r>
          </w:p>
        </w:tc>
        <w:tc>
          <w:tcPr>
            <w:tcW w:w="2693" w:type="dxa"/>
          </w:tcPr>
          <w:p w14:paraId="5027C41E" w14:textId="186E20AB" w:rsidR="00376F7B" w:rsidRPr="00C43C8F" w:rsidRDefault="003C70DB" w:rsidP="003C70DB">
            <w:pPr>
              <w:jc w:val="center"/>
            </w:pPr>
            <w:r w:rsidRPr="00C43C8F">
              <w:t xml:space="preserve">1 </w:t>
            </w:r>
            <w:r w:rsidR="00376F7B" w:rsidRPr="00C43C8F">
              <w:t>030</w:t>
            </w:r>
            <w:r w:rsidRPr="00C43C8F">
              <w:t xml:space="preserve"> </w:t>
            </w:r>
            <w:r w:rsidR="00376F7B" w:rsidRPr="00C43C8F">
              <w:t>281,61</w:t>
            </w:r>
          </w:p>
        </w:tc>
      </w:tr>
      <w:tr w:rsidR="00D65199" w:rsidRPr="00C43C8F" w14:paraId="41FACA26" w14:textId="77777777" w:rsidTr="0026648B">
        <w:trPr>
          <w:jc w:val="center"/>
        </w:trPr>
        <w:tc>
          <w:tcPr>
            <w:tcW w:w="3085" w:type="dxa"/>
          </w:tcPr>
          <w:p w14:paraId="090E905F" w14:textId="77777777" w:rsidR="00376F7B" w:rsidRPr="00C43C8F" w:rsidRDefault="00376F7B" w:rsidP="0026648B">
            <w:r w:rsidRPr="00C43C8F">
              <w:t>Utenos</w:t>
            </w:r>
          </w:p>
        </w:tc>
        <w:tc>
          <w:tcPr>
            <w:tcW w:w="2693" w:type="dxa"/>
          </w:tcPr>
          <w:p w14:paraId="0EC54BD4" w14:textId="3151EF45" w:rsidR="00376F7B" w:rsidRPr="00C43C8F" w:rsidRDefault="003C70DB" w:rsidP="0026648B">
            <w:pPr>
              <w:jc w:val="center"/>
            </w:pPr>
            <w:r w:rsidRPr="00C43C8F">
              <w:t xml:space="preserve">1 186 </w:t>
            </w:r>
            <w:r w:rsidR="00376F7B" w:rsidRPr="00C43C8F">
              <w:t>384,88</w:t>
            </w:r>
          </w:p>
        </w:tc>
      </w:tr>
      <w:tr w:rsidR="00D65199" w:rsidRPr="00C43C8F" w14:paraId="5981438C" w14:textId="77777777" w:rsidTr="0026648B">
        <w:trPr>
          <w:jc w:val="center"/>
        </w:trPr>
        <w:tc>
          <w:tcPr>
            <w:tcW w:w="3085" w:type="dxa"/>
          </w:tcPr>
          <w:p w14:paraId="4D29EE3E" w14:textId="77777777" w:rsidR="00376F7B" w:rsidRPr="00C43C8F" w:rsidRDefault="00376F7B" w:rsidP="0026648B">
            <w:r w:rsidRPr="00C43C8F">
              <w:lastRenderedPageBreak/>
              <w:t>Vilniaus</w:t>
            </w:r>
          </w:p>
        </w:tc>
        <w:tc>
          <w:tcPr>
            <w:tcW w:w="2693" w:type="dxa"/>
          </w:tcPr>
          <w:p w14:paraId="5CA5A394" w14:textId="46BE438D" w:rsidR="00376F7B" w:rsidRPr="00C43C8F" w:rsidRDefault="003C70DB" w:rsidP="003C70DB">
            <w:pPr>
              <w:jc w:val="center"/>
            </w:pPr>
            <w:r w:rsidRPr="00C43C8F">
              <w:t xml:space="preserve">1 </w:t>
            </w:r>
            <w:r w:rsidR="00376F7B" w:rsidRPr="00C43C8F">
              <w:t>654</w:t>
            </w:r>
            <w:r w:rsidRPr="00C43C8F">
              <w:t xml:space="preserve"> </w:t>
            </w:r>
            <w:r w:rsidR="00376F7B" w:rsidRPr="00C43C8F">
              <w:t>694,70</w:t>
            </w:r>
          </w:p>
        </w:tc>
      </w:tr>
      <w:tr w:rsidR="00376F7B" w:rsidRPr="00C43C8F" w14:paraId="460A3A03" w14:textId="77777777" w:rsidTr="0026648B">
        <w:trPr>
          <w:jc w:val="center"/>
        </w:trPr>
        <w:tc>
          <w:tcPr>
            <w:tcW w:w="3085" w:type="dxa"/>
          </w:tcPr>
          <w:p w14:paraId="4F094972" w14:textId="77777777" w:rsidR="00376F7B" w:rsidRPr="00C43C8F" w:rsidRDefault="00376F7B" w:rsidP="0026648B">
            <w:pPr>
              <w:rPr>
                <w:b/>
              </w:rPr>
            </w:pPr>
            <w:r w:rsidRPr="00C43C8F">
              <w:rPr>
                <w:b/>
              </w:rPr>
              <w:t>Iš viso:</w:t>
            </w:r>
          </w:p>
        </w:tc>
        <w:tc>
          <w:tcPr>
            <w:tcW w:w="2693" w:type="dxa"/>
            <w:vAlign w:val="bottom"/>
          </w:tcPr>
          <w:p w14:paraId="3253705C" w14:textId="23BC32ED" w:rsidR="00376F7B" w:rsidRPr="00C43C8F" w:rsidRDefault="003C70DB" w:rsidP="003C70DB">
            <w:pPr>
              <w:jc w:val="center"/>
              <w:rPr>
                <w:b/>
                <w:bCs/>
              </w:rPr>
            </w:pPr>
            <w:r w:rsidRPr="00C43C8F">
              <w:rPr>
                <w:b/>
                <w:bCs/>
              </w:rPr>
              <w:t xml:space="preserve">11 </w:t>
            </w:r>
            <w:r w:rsidR="00376F7B" w:rsidRPr="00C43C8F">
              <w:rPr>
                <w:b/>
                <w:bCs/>
              </w:rPr>
              <w:t>239</w:t>
            </w:r>
            <w:r w:rsidRPr="00C43C8F">
              <w:rPr>
                <w:b/>
                <w:bCs/>
              </w:rPr>
              <w:t xml:space="preserve"> </w:t>
            </w:r>
            <w:r w:rsidR="00376F7B" w:rsidRPr="00C43C8F">
              <w:rPr>
                <w:b/>
                <w:bCs/>
              </w:rPr>
              <w:t>435,7</w:t>
            </w:r>
            <w:r w:rsidR="00570857" w:rsidRPr="00C43C8F">
              <w:rPr>
                <w:b/>
                <w:bCs/>
              </w:rPr>
              <w:t>0</w:t>
            </w:r>
          </w:p>
        </w:tc>
      </w:tr>
    </w:tbl>
    <w:p w14:paraId="11604E99" w14:textId="77777777" w:rsidR="00376F7B" w:rsidRPr="00C43C8F" w:rsidRDefault="00376F7B" w:rsidP="00376F7B"/>
    <w:p w14:paraId="36B3FE54" w14:textId="77777777" w:rsidR="005778BE" w:rsidRPr="00C43C8F" w:rsidRDefault="005778BE" w:rsidP="00376F7B"/>
    <w:p w14:paraId="32309F94" w14:textId="77777777" w:rsidR="005778BE" w:rsidRPr="00C43C8F" w:rsidRDefault="005778BE" w:rsidP="00376F7B"/>
    <w:p w14:paraId="0E66BA0D" w14:textId="77777777" w:rsidR="00376F7B" w:rsidRPr="00C43C8F" w:rsidRDefault="0057039A" w:rsidP="00376F7B">
      <w:r w:rsidRPr="00C43C8F">
        <w:t>9</w:t>
      </w:r>
      <w:r w:rsidR="00376F7B" w:rsidRPr="00C43C8F">
        <w:t>.2. Pagal Aprašą skiriamų finansavimo lėšų paskirstymas miestams:</w:t>
      </w:r>
    </w:p>
    <w:p w14:paraId="15FC2A90" w14:textId="77777777" w:rsidR="005778BE" w:rsidRPr="00C43C8F" w:rsidRDefault="005778BE" w:rsidP="00376F7B"/>
    <w:tbl>
      <w:tblPr>
        <w:tblStyle w:val="TableGrid"/>
        <w:tblW w:w="0" w:type="auto"/>
        <w:jc w:val="center"/>
        <w:tblLook w:val="04A0" w:firstRow="1" w:lastRow="0" w:firstColumn="1" w:lastColumn="0" w:noHBand="0" w:noVBand="1"/>
      </w:tblPr>
      <w:tblGrid>
        <w:gridCol w:w="3085"/>
        <w:gridCol w:w="2693"/>
      </w:tblGrid>
      <w:tr w:rsidR="00D65199" w:rsidRPr="00C43C8F" w14:paraId="2DCA27B2" w14:textId="77777777" w:rsidTr="0026648B">
        <w:trPr>
          <w:jc w:val="center"/>
        </w:trPr>
        <w:tc>
          <w:tcPr>
            <w:tcW w:w="3085" w:type="dxa"/>
          </w:tcPr>
          <w:p w14:paraId="05F9A5BE" w14:textId="77777777" w:rsidR="00376F7B" w:rsidRPr="00C43C8F" w:rsidRDefault="00376F7B" w:rsidP="0026648B">
            <w:pPr>
              <w:jc w:val="center"/>
              <w:rPr>
                <w:b/>
              </w:rPr>
            </w:pPr>
            <w:r w:rsidRPr="00C43C8F">
              <w:rPr>
                <w:b/>
              </w:rPr>
              <w:t>Miestas</w:t>
            </w:r>
          </w:p>
        </w:tc>
        <w:tc>
          <w:tcPr>
            <w:tcW w:w="2693" w:type="dxa"/>
          </w:tcPr>
          <w:p w14:paraId="55580BD1" w14:textId="77777777" w:rsidR="00376F7B" w:rsidRPr="00C43C8F" w:rsidRDefault="00376F7B" w:rsidP="0026648B">
            <w:pPr>
              <w:jc w:val="center"/>
              <w:rPr>
                <w:b/>
              </w:rPr>
            </w:pPr>
            <w:r w:rsidRPr="00C43C8F">
              <w:rPr>
                <w:b/>
              </w:rPr>
              <w:t>ES lėšų suma, Eur</w:t>
            </w:r>
          </w:p>
        </w:tc>
      </w:tr>
      <w:tr w:rsidR="00D65199" w:rsidRPr="00C43C8F" w14:paraId="14DC591E" w14:textId="77777777" w:rsidTr="0026648B">
        <w:trPr>
          <w:jc w:val="center"/>
        </w:trPr>
        <w:tc>
          <w:tcPr>
            <w:tcW w:w="3085" w:type="dxa"/>
            <w:vAlign w:val="bottom"/>
          </w:tcPr>
          <w:p w14:paraId="3F61982D" w14:textId="77777777" w:rsidR="00376F7B" w:rsidRPr="00C43C8F" w:rsidRDefault="00376F7B" w:rsidP="0026648B">
            <w:r w:rsidRPr="00C43C8F">
              <w:t>Vilnius</w:t>
            </w:r>
          </w:p>
        </w:tc>
        <w:tc>
          <w:tcPr>
            <w:tcW w:w="2693" w:type="dxa"/>
          </w:tcPr>
          <w:p w14:paraId="1E17DF40" w14:textId="523A92D7" w:rsidR="00376F7B" w:rsidRPr="00C43C8F" w:rsidRDefault="00376F7B" w:rsidP="00CB0FB6">
            <w:pPr>
              <w:jc w:val="center"/>
            </w:pPr>
            <w:r w:rsidRPr="00C43C8F">
              <w:t>2</w:t>
            </w:r>
            <w:r w:rsidR="00CB0FB6" w:rsidRPr="00C43C8F">
              <w:t xml:space="preserve"> </w:t>
            </w:r>
            <w:r w:rsidRPr="00C43C8F">
              <w:t>043</w:t>
            </w:r>
            <w:r w:rsidR="00CB0FB6" w:rsidRPr="00C43C8F">
              <w:t xml:space="preserve"> </w:t>
            </w:r>
            <w:r w:rsidRPr="00C43C8F">
              <w:t>533,77</w:t>
            </w:r>
          </w:p>
        </w:tc>
      </w:tr>
      <w:tr w:rsidR="00D65199" w:rsidRPr="00C43C8F" w14:paraId="18D1AF0E" w14:textId="77777777" w:rsidTr="0026648B">
        <w:trPr>
          <w:jc w:val="center"/>
        </w:trPr>
        <w:tc>
          <w:tcPr>
            <w:tcW w:w="3085" w:type="dxa"/>
            <w:vAlign w:val="bottom"/>
          </w:tcPr>
          <w:p w14:paraId="64539695" w14:textId="77777777" w:rsidR="00376F7B" w:rsidRPr="00C43C8F" w:rsidRDefault="00376F7B" w:rsidP="0026648B">
            <w:r w:rsidRPr="00C43C8F">
              <w:t>Kaunas</w:t>
            </w:r>
          </w:p>
        </w:tc>
        <w:tc>
          <w:tcPr>
            <w:tcW w:w="2693" w:type="dxa"/>
          </w:tcPr>
          <w:p w14:paraId="75C4C54A" w14:textId="4ECFF74A" w:rsidR="00376F7B" w:rsidRPr="00C43C8F" w:rsidRDefault="00CB0FB6" w:rsidP="0026648B">
            <w:pPr>
              <w:jc w:val="center"/>
            </w:pPr>
            <w:r w:rsidRPr="00C43C8F">
              <w:t xml:space="preserve">2 043 </w:t>
            </w:r>
            <w:r w:rsidR="00376F7B" w:rsidRPr="00C43C8F">
              <w:t>533,77</w:t>
            </w:r>
          </w:p>
        </w:tc>
      </w:tr>
      <w:tr w:rsidR="00D65199" w:rsidRPr="00C43C8F" w14:paraId="6271D6E3" w14:textId="77777777" w:rsidTr="0026648B">
        <w:trPr>
          <w:jc w:val="center"/>
        </w:trPr>
        <w:tc>
          <w:tcPr>
            <w:tcW w:w="3085" w:type="dxa"/>
            <w:vAlign w:val="bottom"/>
          </w:tcPr>
          <w:p w14:paraId="3F3579A3" w14:textId="77777777" w:rsidR="00376F7B" w:rsidRPr="00C43C8F" w:rsidRDefault="00376F7B" w:rsidP="0026648B">
            <w:r w:rsidRPr="00C43C8F">
              <w:t>Klaipėda</w:t>
            </w:r>
          </w:p>
        </w:tc>
        <w:tc>
          <w:tcPr>
            <w:tcW w:w="2693" w:type="dxa"/>
          </w:tcPr>
          <w:p w14:paraId="01883BFC" w14:textId="08819300" w:rsidR="00376F7B" w:rsidRPr="00C43C8F" w:rsidRDefault="00CB0FB6" w:rsidP="00CB0FB6">
            <w:pPr>
              <w:jc w:val="center"/>
            </w:pPr>
            <w:r w:rsidRPr="00C43C8F">
              <w:t xml:space="preserve">1 </w:t>
            </w:r>
            <w:r w:rsidR="00376F7B" w:rsidRPr="00C43C8F">
              <w:t>021</w:t>
            </w:r>
            <w:r w:rsidRPr="00C43C8F">
              <w:t xml:space="preserve"> </w:t>
            </w:r>
            <w:r w:rsidR="00376F7B" w:rsidRPr="00C43C8F">
              <w:t>766,88</w:t>
            </w:r>
          </w:p>
        </w:tc>
      </w:tr>
      <w:tr w:rsidR="00D65199" w:rsidRPr="00C43C8F" w14:paraId="048DECFA" w14:textId="77777777" w:rsidTr="0026648B">
        <w:trPr>
          <w:jc w:val="center"/>
        </w:trPr>
        <w:tc>
          <w:tcPr>
            <w:tcW w:w="3085" w:type="dxa"/>
            <w:vAlign w:val="bottom"/>
          </w:tcPr>
          <w:p w14:paraId="444D9FFA" w14:textId="77777777" w:rsidR="00376F7B" w:rsidRPr="00C43C8F" w:rsidRDefault="00376F7B" w:rsidP="0026648B">
            <w:r w:rsidRPr="00C43C8F">
              <w:t>Šiauliai</w:t>
            </w:r>
          </w:p>
        </w:tc>
        <w:tc>
          <w:tcPr>
            <w:tcW w:w="2693" w:type="dxa"/>
          </w:tcPr>
          <w:p w14:paraId="70FF1322" w14:textId="77777777" w:rsidR="00376F7B" w:rsidRPr="00C43C8F" w:rsidRDefault="00376F7B" w:rsidP="0026648B">
            <w:pPr>
              <w:jc w:val="center"/>
            </w:pPr>
            <w:r w:rsidRPr="00C43C8F">
              <w:t>0,00</w:t>
            </w:r>
          </w:p>
        </w:tc>
      </w:tr>
      <w:tr w:rsidR="00D65199" w:rsidRPr="00C43C8F" w14:paraId="62FCE0FA" w14:textId="77777777" w:rsidTr="0026648B">
        <w:trPr>
          <w:jc w:val="center"/>
        </w:trPr>
        <w:tc>
          <w:tcPr>
            <w:tcW w:w="3085" w:type="dxa"/>
            <w:vAlign w:val="bottom"/>
          </w:tcPr>
          <w:p w14:paraId="53C8DC68" w14:textId="77777777" w:rsidR="00376F7B" w:rsidRPr="00C43C8F" w:rsidRDefault="00376F7B" w:rsidP="0026648B">
            <w:r w:rsidRPr="00C43C8F">
              <w:t>Panevėžys</w:t>
            </w:r>
          </w:p>
        </w:tc>
        <w:tc>
          <w:tcPr>
            <w:tcW w:w="2693" w:type="dxa"/>
          </w:tcPr>
          <w:p w14:paraId="5BBC545A" w14:textId="4C744742" w:rsidR="00376F7B" w:rsidRPr="00C43C8F" w:rsidRDefault="00CB0FB6" w:rsidP="0026648B">
            <w:pPr>
              <w:jc w:val="center"/>
            </w:pPr>
            <w:r w:rsidRPr="00C43C8F">
              <w:t xml:space="preserve">1 021 </w:t>
            </w:r>
            <w:r w:rsidR="00376F7B" w:rsidRPr="00C43C8F">
              <w:t>766,88</w:t>
            </w:r>
          </w:p>
        </w:tc>
      </w:tr>
      <w:tr w:rsidR="00376F7B" w:rsidRPr="00C43C8F" w14:paraId="766679B6" w14:textId="77777777" w:rsidTr="0026648B">
        <w:trPr>
          <w:jc w:val="center"/>
        </w:trPr>
        <w:tc>
          <w:tcPr>
            <w:tcW w:w="3085" w:type="dxa"/>
          </w:tcPr>
          <w:p w14:paraId="1A4FC052" w14:textId="77777777" w:rsidR="00376F7B" w:rsidRPr="00C43C8F" w:rsidRDefault="00376F7B" w:rsidP="0026648B">
            <w:pPr>
              <w:rPr>
                <w:b/>
              </w:rPr>
            </w:pPr>
            <w:r w:rsidRPr="00C43C8F">
              <w:rPr>
                <w:b/>
              </w:rPr>
              <w:t>Iš viso:</w:t>
            </w:r>
          </w:p>
        </w:tc>
        <w:tc>
          <w:tcPr>
            <w:tcW w:w="2693" w:type="dxa"/>
            <w:vAlign w:val="bottom"/>
          </w:tcPr>
          <w:p w14:paraId="0091DA0B" w14:textId="5FE76D54" w:rsidR="00376F7B" w:rsidRPr="00C43C8F" w:rsidRDefault="00CB0FB6" w:rsidP="00CB0FB6">
            <w:pPr>
              <w:jc w:val="center"/>
              <w:rPr>
                <w:b/>
                <w:bCs/>
              </w:rPr>
            </w:pPr>
            <w:r w:rsidRPr="00C43C8F">
              <w:rPr>
                <w:b/>
                <w:bCs/>
              </w:rPr>
              <w:t xml:space="preserve">6 </w:t>
            </w:r>
            <w:r w:rsidR="00570857" w:rsidRPr="00C43C8F">
              <w:rPr>
                <w:b/>
                <w:bCs/>
              </w:rPr>
              <w:t>130</w:t>
            </w:r>
            <w:r w:rsidRPr="00C43C8F">
              <w:rPr>
                <w:b/>
                <w:bCs/>
              </w:rPr>
              <w:t xml:space="preserve"> </w:t>
            </w:r>
            <w:r w:rsidR="00570857" w:rsidRPr="00C43C8F">
              <w:rPr>
                <w:b/>
                <w:bCs/>
              </w:rPr>
              <w:t>601,30</w:t>
            </w:r>
          </w:p>
        </w:tc>
      </w:tr>
    </w:tbl>
    <w:p w14:paraId="54583148" w14:textId="77777777" w:rsidR="005778BE" w:rsidRPr="00C43C8F" w:rsidRDefault="005778BE" w:rsidP="00B30FB7"/>
    <w:p w14:paraId="56676767" w14:textId="77777777" w:rsidR="00981FF5" w:rsidRPr="00C43C8F" w:rsidRDefault="0057039A" w:rsidP="00B30FB7">
      <w:r w:rsidRPr="00C43C8F">
        <w:t>9</w:t>
      </w:r>
      <w:r w:rsidR="009D7D45" w:rsidRPr="00C43C8F">
        <w:t>.</w:t>
      </w:r>
      <w:r w:rsidR="005778BE" w:rsidRPr="00C43C8F">
        <w:t>3</w:t>
      </w:r>
      <w:r w:rsidR="009D7D45" w:rsidRPr="00C43C8F">
        <w:t xml:space="preserve">. </w:t>
      </w:r>
      <w:r w:rsidR="00D63C68" w:rsidRPr="00C43C8F">
        <w:t xml:space="preserve">Priemonei skirtos </w:t>
      </w:r>
      <w:r w:rsidR="009D7D45" w:rsidRPr="00C43C8F">
        <w:t>ES struktūrinių fondų lėšos, dėl kurių kasmet turi būti pasirašytos projektų sutartys, pagal regionus:</w:t>
      </w:r>
    </w:p>
    <w:p w14:paraId="57F6C8DC" w14:textId="77777777" w:rsidR="005778BE" w:rsidRPr="00C43C8F" w:rsidRDefault="005778BE" w:rsidP="00B30FB7"/>
    <w:tbl>
      <w:tblPr>
        <w:tblStyle w:val="TableGrid1"/>
        <w:tblW w:w="9286" w:type="dxa"/>
        <w:jc w:val="center"/>
        <w:tblLayout w:type="fixed"/>
        <w:tblLook w:val="04A0" w:firstRow="1" w:lastRow="0" w:firstColumn="1" w:lastColumn="0" w:noHBand="0" w:noVBand="1"/>
      </w:tblPr>
      <w:tblGrid>
        <w:gridCol w:w="1809"/>
        <w:gridCol w:w="709"/>
        <w:gridCol w:w="638"/>
        <w:gridCol w:w="1063"/>
        <w:gridCol w:w="1205"/>
        <w:gridCol w:w="1276"/>
        <w:gridCol w:w="567"/>
        <w:gridCol w:w="637"/>
        <w:gridCol w:w="1347"/>
        <w:gridCol w:w="35"/>
      </w:tblGrid>
      <w:tr w:rsidR="00D65199" w:rsidRPr="00C43C8F" w14:paraId="003278A7" w14:textId="77777777" w:rsidTr="0026648B">
        <w:trPr>
          <w:gridAfter w:val="1"/>
          <w:wAfter w:w="35" w:type="dxa"/>
          <w:jc w:val="center"/>
        </w:trPr>
        <w:tc>
          <w:tcPr>
            <w:tcW w:w="1809" w:type="dxa"/>
            <w:vMerge w:val="restart"/>
          </w:tcPr>
          <w:p w14:paraId="31849616" w14:textId="77777777" w:rsidR="00F60857" w:rsidRPr="00C43C8F" w:rsidRDefault="00F60857" w:rsidP="00F60857">
            <w:pPr>
              <w:ind w:firstLine="0"/>
              <w:jc w:val="center"/>
              <w:rPr>
                <w:b/>
                <w:sz w:val="22"/>
                <w:szCs w:val="22"/>
              </w:rPr>
            </w:pPr>
            <w:r w:rsidRPr="00C43C8F">
              <w:rPr>
                <w:b/>
                <w:sz w:val="22"/>
                <w:szCs w:val="22"/>
              </w:rPr>
              <w:t>Regiono / miesto pavadinimas</w:t>
            </w:r>
          </w:p>
        </w:tc>
        <w:tc>
          <w:tcPr>
            <w:tcW w:w="7442" w:type="dxa"/>
            <w:gridSpan w:val="8"/>
          </w:tcPr>
          <w:p w14:paraId="467E8EA0" w14:textId="77777777" w:rsidR="00F60857" w:rsidRPr="00C43C8F" w:rsidRDefault="00F60857" w:rsidP="00F60857">
            <w:pPr>
              <w:ind w:firstLine="0"/>
              <w:jc w:val="center"/>
              <w:rPr>
                <w:b/>
                <w:sz w:val="22"/>
                <w:szCs w:val="22"/>
              </w:rPr>
            </w:pPr>
            <w:r w:rsidRPr="00C43C8F">
              <w:rPr>
                <w:b/>
                <w:sz w:val="22"/>
                <w:szCs w:val="22"/>
              </w:rPr>
              <w:t>ES lėšų suma, Eur</w:t>
            </w:r>
          </w:p>
        </w:tc>
      </w:tr>
      <w:tr w:rsidR="00D65199" w:rsidRPr="00C43C8F" w14:paraId="19EC5CCA" w14:textId="77777777" w:rsidTr="005F1378">
        <w:trPr>
          <w:jc w:val="center"/>
        </w:trPr>
        <w:tc>
          <w:tcPr>
            <w:tcW w:w="1809" w:type="dxa"/>
            <w:vMerge/>
          </w:tcPr>
          <w:p w14:paraId="2B4B610E" w14:textId="77777777" w:rsidR="00F60857" w:rsidRPr="00C43C8F" w:rsidRDefault="00F60857" w:rsidP="00F60857">
            <w:pPr>
              <w:ind w:firstLine="0"/>
              <w:jc w:val="left"/>
              <w:rPr>
                <w:sz w:val="22"/>
                <w:szCs w:val="22"/>
              </w:rPr>
            </w:pPr>
          </w:p>
        </w:tc>
        <w:tc>
          <w:tcPr>
            <w:tcW w:w="709" w:type="dxa"/>
          </w:tcPr>
          <w:p w14:paraId="05D72D62" w14:textId="77777777" w:rsidR="00F60857" w:rsidRPr="00C43C8F" w:rsidRDefault="00F60857" w:rsidP="00F60857">
            <w:pPr>
              <w:ind w:firstLine="0"/>
              <w:jc w:val="center"/>
              <w:rPr>
                <w:sz w:val="22"/>
                <w:szCs w:val="22"/>
              </w:rPr>
            </w:pPr>
            <w:r w:rsidRPr="00C43C8F">
              <w:rPr>
                <w:sz w:val="22"/>
                <w:szCs w:val="22"/>
              </w:rPr>
              <w:t>2014 m.</w:t>
            </w:r>
          </w:p>
        </w:tc>
        <w:tc>
          <w:tcPr>
            <w:tcW w:w="638" w:type="dxa"/>
          </w:tcPr>
          <w:p w14:paraId="2AF4BB8E" w14:textId="77777777" w:rsidR="00F60857" w:rsidRPr="00C43C8F" w:rsidRDefault="00F60857" w:rsidP="005F1378">
            <w:pPr>
              <w:ind w:left="-37" w:right="-37" w:firstLine="0"/>
              <w:jc w:val="center"/>
              <w:rPr>
                <w:sz w:val="22"/>
                <w:szCs w:val="22"/>
              </w:rPr>
            </w:pPr>
            <w:r w:rsidRPr="00C43C8F">
              <w:rPr>
                <w:sz w:val="22"/>
                <w:szCs w:val="22"/>
              </w:rPr>
              <w:t>2015 m.</w:t>
            </w:r>
          </w:p>
        </w:tc>
        <w:tc>
          <w:tcPr>
            <w:tcW w:w="1063" w:type="dxa"/>
          </w:tcPr>
          <w:p w14:paraId="09CBFDD9" w14:textId="77777777" w:rsidR="00F60857" w:rsidRPr="00C43C8F" w:rsidRDefault="00F60857" w:rsidP="00F60857">
            <w:pPr>
              <w:ind w:firstLine="0"/>
              <w:jc w:val="center"/>
              <w:rPr>
                <w:sz w:val="22"/>
                <w:szCs w:val="22"/>
              </w:rPr>
            </w:pPr>
            <w:r w:rsidRPr="00C43C8F">
              <w:rPr>
                <w:sz w:val="22"/>
                <w:szCs w:val="22"/>
              </w:rPr>
              <w:t>2016 m.</w:t>
            </w:r>
          </w:p>
        </w:tc>
        <w:tc>
          <w:tcPr>
            <w:tcW w:w="1205" w:type="dxa"/>
          </w:tcPr>
          <w:p w14:paraId="71D61757" w14:textId="77777777" w:rsidR="00F60857" w:rsidRPr="00C43C8F" w:rsidRDefault="00F60857" w:rsidP="00F60857">
            <w:pPr>
              <w:ind w:firstLine="0"/>
              <w:jc w:val="center"/>
              <w:rPr>
                <w:sz w:val="22"/>
                <w:szCs w:val="22"/>
              </w:rPr>
            </w:pPr>
            <w:r w:rsidRPr="00C43C8F">
              <w:rPr>
                <w:sz w:val="22"/>
                <w:szCs w:val="22"/>
              </w:rPr>
              <w:t>2017 m.</w:t>
            </w:r>
          </w:p>
        </w:tc>
        <w:tc>
          <w:tcPr>
            <w:tcW w:w="1276" w:type="dxa"/>
          </w:tcPr>
          <w:p w14:paraId="3D4A5692" w14:textId="77777777" w:rsidR="00F60857" w:rsidRPr="00C43C8F" w:rsidRDefault="00F60857" w:rsidP="00F60857">
            <w:pPr>
              <w:ind w:firstLine="0"/>
              <w:jc w:val="center"/>
              <w:rPr>
                <w:sz w:val="22"/>
                <w:szCs w:val="22"/>
              </w:rPr>
            </w:pPr>
            <w:r w:rsidRPr="00C43C8F">
              <w:rPr>
                <w:sz w:val="22"/>
                <w:szCs w:val="22"/>
              </w:rPr>
              <w:t>2018 m.</w:t>
            </w:r>
          </w:p>
        </w:tc>
        <w:tc>
          <w:tcPr>
            <w:tcW w:w="567" w:type="dxa"/>
          </w:tcPr>
          <w:p w14:paraId="67E80384" w14:textId="77777777" w:rsidR="00F60857" w:rsidRPr="00C43C8F" w:rsidRDefault="00F60857" w:rsidP="005D025A">
            <w:pPr>
              <w:ind w:left="-108" w:right="-37" w:firstLine="11"/>
              <w:jc w:val="center"/>
              <w:rPr>
                <w:sz w:val="22"/>
                <w:szCs w:val="22"/>
              </w:rPr>
            </w:pPr>
            <w:r w:rsidRPr="00C43C8F">
              <w:rPr>
                <w:sz w:val="22"/>
                <w:szCs w:val="22"/>
              </w:rPr>
              <w:t>2019 m.</w:t>
            </w:r>
          </w:p>
        </w:tc>
        <w:tc>
          <w:tcPr>
            <w:tcW w:w="637" w:type="dxa"/>
          </w:tcPr>
          <w:p w14:paraId="4ADBCF0C" w14:textId="77777777" w:rsidR="00F60857" w:rsidRPr="00C43C8F" w:rsidRDefault="00F60857" w:rsidP="005D025A">
            <w:pPr>
              <w:ind w:left="-37" w:right="-38" w:firstLine="0"/>
              <w:jc w:val="center"/>
              <w:rPr>
                <w:sz w:val="22"/>
                <w:szCs w:val="22"/>
              </w:rPr>
            </w:pPr>
            <w:r w:rsidRPr="00C43C8F">
              <w:rPr>
                <w:sz w:val="22"/>
                <w:szCs w:val="22"/>
              </w:rPr>
              <w:t>2020 m.</w:t>
            </w:r>
          </w:p>
        </w:tc>
        <w:tc>
          <w:tcPr>
            <w:tcW w:w="1382" w:type="dxa"/>
            <w:gridSpan w:val="2"/>
          </w:tcPr>
          <w:p w14:paraId="6DA2CF01" w14:textId="77777777" w:rsidR="00F60857" w:rsidRPr="00C43C8F" w:rsidRDefault="00F60857" w:rsidP="00F60857">
            <w:pPr>
              <w:ind w:firstLine="0"/>
              <w:jc w:val="center"/>
              <w:rPr>
                <w:b/>
                <w:sz w:val="22"/>
                <w:szCs w:val="22"/>
              </w:rPr>
            </w:pPr>
            <w:r w:rsidRPr="00C43C8F">
              <w:rPr>
                <w:b/>
                <w:sz w:val="22"/>
                <w:szCs w:val="22"/>
              </w:rPr>
              <w:t>Iš viso konkrečiam regionui per 2014–2020 m.</w:t>
            </w:r>
          </w:p>
        </w:tc>
      </w:tr>
      <w:tr w:rsidR="002E0124" w:rsidRPr="00C43C8F" w14:paraId="0A083687" w14:textId="77777777" w:rsidTr="005F1378">
        <w:trPr>
          <w:jc w:val="center"/>
        </w:trPr>
        <w:tc>
          <w:tcPr>
            <w:tcW w:w="1809" w:type="dxa"/>
          </w:tcPr>
          <w:p w14:paraId="1BB07BF0" w14:textId="77777777" w:rsidR="002E0124" w:rsidRPr="00C43C8F" w:rsidRDefault="002E0124" w:rsidP="00F60857">
            <w:pPr>
              <w:spacing w:line="20" w:lineRule="atLeast"/>
              <w:ind w:firstLine="0"/>
              <w:jc w:val="left"/>
              <w:rPr>
                <w:sz w:val="22"/>
                <w:szCs w:val="22"/>
              </w:rPr>
            </w:pPr>
            <w:r w:rsidRPr="00C43C8F">
              <w:rPr>
                <w:sz w:val="22"/>
                <w:szCs w:val="22"/>
              </w:rPr>
              <w:t>Alytaus</w:t>
            </w:r>
          </w:p>
        </w:tc>
        <w:tc>
          <w:tcPr>
            <w:tcW w:w="709" w:type="dxa"/>
          </w:tcPr>
          <w:p w14:paraId="5C8F75C3" w14:textId="6A03528D"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06A58FF0" w14:textId="1C82D94C"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188F925A" w14:textId="62D6F107" w:rsidR="002E0124" w:rsidRPr="00C43C8F" w:rsidRDefault="002E0124" w:rsidP="005F1378">
            <w:pPr>
              <w:ind w:left="-37" w:right="-38" w:firstLine="0"/>
              <w:jc w:val="center"/>
              <w:rPr>
                <w:color w:val="000000"/>
                <w:sz w:val="20"/>
                <w:szCs w:val="20"/>
              </w:rPr>
            </w:pPr>
            <w:r w:rsidRPr="00C43C8F">
              <w:rPr>
                <w:sz w:val="20"/>
                <w:szCs w:val="20"/>
              </w:rPr>
              <w:t>0,00</w:t>
            </w:r>
          </w:p>
        </w:tc>
        <w:tc>
          <w:tcPr>
            <w:tcW w:w="1205" w:type="dxa"/>
          </w:tcPr>
          <w:p w14:paraId="56EE47F5" w14:textId="7B9910E7" w:rsidR="002E0124" w:rsidRPr="00C43C8F" w:rsidRDefault="002E0124" w:rsidP="001564B7">
            <w:pPr>
              <w:ind w:left="-37" w:right="-38" w:firstLine="0"/>
              <w:jc w:val="center"/>
              <w:rPr>
                <w:sz w:val="20"/>
                <w:szCs w:val="20"/>
              </w:rPr>
            </w:pPr>
            <w:r w:rsidRPr="00C43C8F">
              <w:rPr>
                <w:color w:val="000000"/>
                <w:sz w:val="20"/>
                <w:szCs w:val="20"/>
              </w:rPr>
              <w:t>515.100,00</w:t>
            </w:r>
          </w:p>
        </w:tc>
        <w:tc>
          <w:tcPr>
            <w:tcW w:w="1276" w:type="dxa"/>
          </w:tcPr>
          <w:p w14:paraId="0E4B63DD" w14:textId="3A2A76D0" w:rsidR="002E0124" w:rsidRPr="00C43C8F" w:rsidRDefault="002E0124" w:rsidP="001564B7">
            <w:pPr>
              <w:ind w:left="-37" w:right="-38" w:firstLine="0"/>
              <w:jc w:val="center"/>
              <w:rPr>
                <w:sz w:val="20"/>
                <w:szCs w:val="20"/>
              </w:rPr>
            </w:pPr>
            <w:r w:rsidRPr="00C43C8F">
              <w:rPr>
                <w:color w:val="000000"/>
                <w:sz w:val="20"/>
                <w:szCs w:val="20"/>
              </w:rPr>
              <w:t>515.181,61</w:t>
            </w:r>
          </w:p>
        </w:tc>
        <w:tc>
          <w:tcPr>
            <w:tcW w:w="567" w:type="dxa"/>
          </w:tcPr>
          <w:p w14:paraId="7D42D14D" w14:textId="050136CB" w:rsidR="002E0124" w:rsidRPr="00C43C8F" w:rsidRDefault="002E0124" w:rsidP="00F60857">
            <w:pPr>
              <w:spacing w:line="20" w:lineRule="atLeast"/>
              <w:ind w:firstLine="0"/>
              <w:jc w:val="center"/>
              <w:rPr>
                <w:sz w:val="20"/>
                <w:szCs w:val="20"/>
              </w:rPr>
            </w:pPr>
            <w:r w:rsidRPr="00C43C8F">
              <w:rPr>
                <w:sz w:val="20"/>
                <w:szCs w:val="20"/>
              </w:rPr>
              <w:t>0,00</w:t>
            </w:r>
          </w:p>
        </w:tc>
        <w:tc>
          <w:tcPr>
            <w:tcW w:w="637" w:type="dxa"/>
          </w:tcPr>
          <w:p w14:paraId="076463C6" w14:textId="7DBD9EC8" w:rsidR="002E0124" w:rsidRPr="00C43C8F" w:rsidRDefault="002E0124" w:rsidP="00F60857">
            <w:pPr>
              <w:spacing w:line="20" w:lineRule="atLeast"/>
              <w:ind w:firstLine="0"/>
              <w:jc w:val="center"/>
              <w:rPr>
                <w:sz w:val="20"/>
                <w:szCs w:val="20"/>
              </w:rPr>
            </w:pPr>
            <w:r w:rsidRPr="00C43C8F">
              <w:rPr>
                <w:sz w:val="20"/>
                <w:szCs w:val="20"/>
              </w:rPr>
              <w:t>0,00</w:t>
            </w:r>
          </w:p>
        </w:tc>
        <w:tc>
          <w:tcPr>
            <w:tcW w:w="1382" w:type="dxa"/>
            <w:gridSpan w:val="2"/>
          </w:tcPr>
          <w:p w14:paraId="31544C84" w14:textId="77777777" w:rsidR="002E0124" w:rsidRPr="00C43C8F" w:rsidRDefault="002E0124" w:rsidP="00F60857">
            <w:pPr>
              <w:ind w:firstLine="0"/>
              <w:jc w:val="right"/>
              <w:rPr>
                <w:sz w:val="20"/>
                <w:szCs w:val="20"/>
              </w:rPr>
            </w:pPr>
            <w:r w:rsidRPr="00C43C8F">
              <w:rPr>
                <w:sz w:val="20"/>
                <w:szCs w:val="20"/>
              </w:rPr>
              <w:t xml:space="preserve">1.030.281,61  </w:t>
            </w:r>
          </w:p>
        </w:tc>
      </w:tr>
      <w:tr w:rsidR="002E0124" w:rsidRPr="00C43C8F" w14:paraId="3FBF9A81" w14:textId="77777777" w:rsidTr="005F1378">
        <w:trPr>
          <w:jc w:val="center"/>
        </w:trPr>
        <w:tc>
          <w:tcPr>
            <w:tcW w:w="1809" w:type="dxa"/>
          </w:tcPr>
          <w:p w14:paraId="782092F6" w14:textId="77777777" w:rsidR="002E0124" w:rsidRPr="00C43C8F" w:rsidRDefault="002E0124" w:rsidP="00F60857">
            <w:pPr>
              <w:spacing w:line="20" w:lineRule="atLeast"/>
              <w:ind w:firstLine="0"/>
              <w:jc w:val="left"/>
              <w:rPr>
                <w:sz w:val="22"/>
                <w:szCs w:val="22"/>
              </w:rPr>
            </w:pPr>
            <w:r w:rsidRPr="00C43C8F">
              <w:rPr>
                <w:sz w:val="22"/>
                <w:szCs w:val="22"/>
              </w:rPr>
              <w:t>Kauno</w:t>
            </w:r>
          </w:p>
        </w:tc>
        <w:tc>
          <w:tcPr>
            <w:tcW w:w="709" w:type="dxa"/>
          </w:tcPr>
          <w:p w14:paraId="14B2D0DF" w14:textId="1D2CCDF3"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2B03A4E6" w14:textId="3564F552"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45D9D3A3" w14:textId="6C6A9F81" w:rsidR="002E0124" w:rsidRPr="00C43C8F" w:rsidRDefault="002E0124" w:rsidP="005F1378">
            <w:pPr>
              <w:ind w:left="-37" w:right="-38" w:firstLine="0"/>
              <w:jc w:val="center"/>
              <w:rPr>
                <w:color w:val="000000"/>
                <w:sz w:val="20"/>
                <w:szCs w:val="20"/>
              </w:rPr>
            </w:pPr>
            <w:r w:rsidRPr="00C43C8F">
              <w:rPr>
                <w:sz w:val="20"/>
                <w:szCs w:val="20"/>
              </w:rPr>
              <w:t>0,00</w:t>
            </w:r>
          </w:p>
        </w:tc>
        <w:tc>
          <w:tcPr>
            <w:tcW w:w="1205" w:type="dxa"/>
          </w:tcPr>
          <w:p w14:paraId="5098E403" w14:textId="0A1CDE03" w:rsidR="002E0124" w:rsidRPr="00C43C8F" w:rsidRDefault="002E0124" w:rsidP="001564B7">
            <w:pPr>
              <w:ind w:left="-37" w:right="-38" w:firstLine="0"/>
              <w:jc w:val="center"/>
              <w:rPr>
                <w:sz w:val="20"/>
                <w:szCs w:val="20"/>
              </w:rPr>
            </w:pPr>
            <w:r w:rsidRPr="00C43C8F">
              <w:rPr>
                <w:color w:val="000000"/>
                <w:sz w:val="20"/>
                <w:szCs w:val="20"/>
              </w:rPr>
              <w:t>671.200,00</w:t>
            </w:r>
          </w:p>
        </w:tc>
        <w:tc>
          <w:tcPr>
            <w:tcW w:w="1276" w:type="dxa"/>
          </w:tcPr>
          <w:p w14:paraId="14703217" w14:textId="107DC168" w:rsidR="002E0124" w:rsidRPr="00C43C8F" w:rsidRDefault="002E0124" w:rsidP="001564B7">
            <w:pPr>
              <w:ind w:left="-37" w:right="-38" w:firstLine="0"/>
              <w:jc w:val="center"/>
              <w:rPr>
                <w:sz w:val="20"/>
                <w:szCs w:val="20"/>
              </w:rPr>
            </w:pPr>
            <w:r w:rsidRPr="00C43C8F">
              <w:rPr>
                <w:color w:val="000000"/>
                <w:sz w:val="20"/>
                <w:szCs w:val="20"/>
              </w:rPr>
              <w:t>671.288,15</w:t>
            </w:r>
          </w:p>
        </w:tc>
        <w:tc>
          <w:tcPr>
            <w:tcW w:w="567" w:type="dxa"/>
          </w:tcPr>
          <w:p w14:paraId="2F3E5E85" w14:textId="714F700D" w:rsidR="002E0124" w:rsidRPr="00C43C8F" w:rsidRDefault="002E0124" w:rsidP="00F60857">
            <w:pPr>
              <w:spacing w:line="20" w:lineRule="atLeast"/>
              <w:ind w:firstLine="0"/>
              <w:jc w:val="center"/>
              <w:rPr>
                <w:sz w:val="20"/>
                <w:szCs w:val="20"/>
              </w:rPr>
            </w:pPr>
            <w:r w:rsidRPr="00C43C8F">
              <w:rPr>
                <w:sz w:val="20"/>
                <w:szCs w:val="20"/>
              </w:rPr>
              <w:t>0,00</w:t>
            </w:r>
          </w:p>
        </w:tc>
        <w:tc>
          <w:tcPr>
            <w:tcW w:w="637" w:type="dxa"/>
          </w:tcPr>
          <w:p w14:paraId="06BCD6B5" w14:textId="545432F3" w:rsidR="002E0124" w:rsidRPr="00C43C8F" w:rsidRDefault="002E0124" w:rsidP="00F60857">
            <w:pPr>
              <w:spacing w:line="20" w:lineRule="atLeast"/>
              <w:ind w:firstLine="0"/>
              <w:jc w:val="center"/>
              <w:rPr>
                <w:sz w:val="20"/>
                <w:szCs w:val="20"/>
              </w:rPr>
            </w:pPr>
            <w:r w:rsidRPr="00C43C8F">
              <w:rPr>
                <w:sz w:val="20"/>
                <w:szCs w:val="20"/>
              </w:rPr>
              <w:t>0,00</w:t>
            </w:r>
          </w:p>
        </w:tc>
        <w:tc>
          <w:tcPr>
            <w:tcW w:w="1382" w:type="dxa"/>
            <w:gridSpan w:val="2"/>
          </w:tcPr>
          <w:p w14:paraId="15858EAF" w14:textId="77777777" w:rsidR="002E0124" w:rsidRPr="00C43C8F" w:rsidRDefault="002E0124" w:rsidP="00101C19">
            <w:pPr>
              <w:ind w:firstLine="0"/>
              <w:jc w:val="right"/>
              <w:rPr>
                <w:sz w:val="20"/>
                <w:szCs w:val="20"/>
              </w:rPr>
            </w:pPr>
            <w:r w:rsidRPr="00C43C8F">
              <w:rPr>
                <w:sz w:val="20"/>
                <w:szCs w:val="20"/>
              </w:rPr>
              <w:t xml:space="preserve">1.342.488,15  </w:t>
            </w:r>
          </w:p>
        </w:tc>
      </w:tr>
      <w:tr w:rsidR="002E0124" w:rsidRPr="00C43C8F" w14:paraId="3742E064" w14:textId="77777777" w:rsidTr="005F1378">
        <w:trPr>
          <w:jc w:val="center"/>
        </w:trPr>
        <w:tc>
          <w:tcPr>
            <w:tcW w:w="1809" w:type="dxa"/>
          </w:tcPr>
          <w:p w14:paraId="349712EB" w14:textId="77777777" w:rsidR="002E0124" w:rsidRPr="00C43C8F" w:rsidRDefault="002E0124" w:rsidP="00F60857">
            <w:pPr>
              <w:spacing w:line="20" w:lineRule="atLeast"/>
              <w:ind w:firstLine="0"/>
              <w:jc w:val="left"/>
              <w:rPr>
                <w:sz w:val="22"/>
                <w:szCs w:val="22"/>
              </w:rPr>
            </w:pPr>
            <w:r w:rsidRPr="00C43C8F">
              <w:rPr>
                <w:sz w:val="22"/>
                <w:szCs w:val="22"/>
              </w:rPr>
              <w:t>Klaipėdos</w:t>
            </w:r>
          </w:p>
        </w:tc>
        <w:tc>
          <w:tcPr>
            <w:tcW w:w="709" w:type="dxa"/>
          </w:tcPr>
          <w:p w14:paraId="22BD82DC" w14:textId="3ACB12D2"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5B520252" w14:textId="0FB9EAB1"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742FD9CE" w14:textId="7E21D5DD" w:rsidR="002E0124" w:rsidRPr="00C43C8F" w:rsidRDefault="002E0124" w:rsidP="005F1378">
            <w:pPr>
              <w:ind w:left="-37" w:right="-38" w:firstLine="0"/>
              <w:jc w:val="center"/>
              <w:rPr>
                <w:color w:val="000000"/>
                <w:sz w:val="20"/>
                <w:szCs w:val="20"/>
              </w:rPr>
            </w:pPr>
            <w:r w:rsidRPr="00C43C8F">
              <w:rPr>
                <w:sz w:val="20"/>
                <w:szCs w:val="20"/>
              </w:rPr>
              <w:t>0,00</w:t>
            </w:r>
          </w:p>
        </w:tc>
        <w:tc>
          <w:tcPr>
            <w:tcW w:w="1205" w:type="dxa"/>
          </w:tcPr>
          <w:p w14:paraId="6AC3A1C1" w14:textId="43715B9E" w:rsidR="002E0124" w:rsidRPr="00C43C8F" w:rsidRDefault="002E0124" w:rsidP="001564B7">
            <w:pPr>
              <w:ind w:left="-37" w:right="-38" w:firstLine="0"/>
              <w:jc w:val="center"/>
              <w:rPr>
                <w:sz w:val="20"/>
                <w:szCs w:val="20"/>
              </w:rPr>
            </w:pPr>
            <w:r w:rsidRPr="00C43C8F">
              <w:rPr>
                <w:color w:val="000000"/>
                <w:sz w:val="20"/>
                <w:szCs w:val="20"/>
              </w:rPr>
              <w:t>593.200,00</w:t>
            </w:r>
          </w:p>
        </w:tc>
        <w:tc>
          <w:tcPr>
            <w:tcW w:w="1276" w:type="dxa"/>
          </w:tcPr>
          <w:p w14:paraId="6E2154EF" w14:textId="6ED49603" w:rsidR="002E0124" w:rsidRPr="00C43C8F" w:rsidRDefault="002E0124" w:rsidP="001564B7">
            <w:pPr>
              <w:ind w:left="-37" w:right="-38" w:firstLine="0"/>
              <w:jc w:val="center"/>
              <w:rPr>
                <w:sz w:val="20"/>
                <w:szCs w:val="20"/>
              </w:rPr>
            </w:pPr>
            <w:r w:rsidRPr="00C43C8F">
              <w:rPr>
                <w:color w:val="000000"/>
                <w:sz w:val="20"/>
                <w:szCs w:val="20"/>
              </w:rPr>
              <w:t>593.184,88</w:t>
            </w:r>
          </w:p>
        </w:tc>
        <w:tc>
          <w:tcPr>
            <w:tcW w:w="567" w:type="dxa"/>
          </w:tcPr>
          <w:p w14:paraId="0FC43D47" w14:textId="77A17740" w:rsidR="002E0124" w:rsidRPr="00C43C8F" w:rsidRDefault="002E0124" w:rsidP="00F60857">
            <w:pPr>
              <w:spacing w:line="20" w:lineRule="atLeast"/>
              <w:ind w:firstLine="0"/>
              <w:jc w:val="center"/>
              <w:rPr>
                <w:sz w:val="20"/>
                <w:szCs w:val="20"/>
              </w:rPr>
            </w:pPr>
            <w:r w:rsidRPr="00C43C8F">
              <w:rPr>
                <w:sz w:val="20"/>
                <w:szCs w:val="20"/>
              </w:rPr>
              <w:t>0,00</w:t>
            </w:r>
          </w:p>
        </w:tc>
        <w:tc>
          <w:tcPr>
            <w:tcW w:w="637" w:type="dxa"/>
          </w:tcPr>
          <w:p w14:paraId="766F885C" w14:textId="377B6808" w:rsidR="002E0124" w:rsidRPr="00C43C8F" w:rsidRDefault="002E0124" w:rsidP="00F60857">
            <w:pPr>
              <w:spacing w:line="20" w:lineRule="atLeast"/>
              <w:ind w:firstLine="0"/>
              <w:jc w:val="center"/>
              <w:rPr>
                <w:sz w:val="20"/>
                <w:szCs w:val="20"/>
              </w:rPr>
            </w:pPr>
            <w:r w:rsidRPr="00C43C8F">
              <w:rPr>
                <w:sz w:val="20"/>
                <w:szCs w:val="20"/>
              </w:rPr>
              <w:t>0,00</w:t>
            </w:r>
          </w:p>
        </w:tc>
        <w:tc>
          <w:tcPr>
            <w:tcW w:w="1382" w:type="dxa"/>
            <w:gridSpan w:val="2"/>
          </w:tcPr>
          <w:p w14:paraId="2FCF1AC6" w14:textId="77777777" w:rsidR="002E0124" w:rsidRPr="00C43C8F" w:rsidRDefault="002E0124" w:rsidP="00F60857">
            <w:pPr>
              <w:ind w:firstLine="0"/>
              <w:jc w:val="right"/>
              <w:rPr>
                <w:sz w:val="20"/>
                <w:szCs w:val="20"/>
              </w:rPr>
            </w:pPr>
            <w:r w:rsidRPr="00C43C8F">
              <w:rPr>
                <w:sz w:val="20"/>
                <w:szCs w:val="20"/>
              </w:rPr>
              <w:t xml:space="preserve">1.186.384,88  </w:t>
            </w:r>
          </w:p>
        </w:tc>
      </w:tr>
      <w:tr w:rsidR="002E0124" w:rsidRPr="00C43C8F" w14:paraId="4EF029EC" w14:textId="77777777" w:rsidTr="005F1378">
        <w:trPr>
          <w:jc w:val="center"/>
        </w:trPr>
        <w:tc>
          <w:tcPr>
            <w:tcW w:w="1809" w:type="dxa"/>
          </w:tcPr>
          <w:p w14:paraId="1BA73A97" w14:textId="77777777" w:rsidR="002E0124" w:rsidRPr="00C43C8F" w:rsidRDefault="002E0124" w:rsidP="00F60857">
            <w:pPr>
              <w:spacing w:line="20" w:lineRule="atLeast"/>
              <w:ind w:firstLine="0"/>
              <w:jc w:val="left"/>
              <w:rPr>
                <w:sz w:val="22"/>
                <w:szCs w:val="22"/>
              </w:rPr>
            </w:pPr>
            <w:r w:rsidRPr="00C43C8F">
              <w:rPr>
                <w:sz w:val="22"/>
                <w:szCs w:val="22"/>
              </w:rPr>
              <w:t>Marijampolės</w:t>
            </w:r>
          </w:p>
        </w:tc>
        <w:tc>
          <w:tcPr>
            <w:tcW w:w="709" w:type="dxa"/>
          </w:tcPr>
          <w:p w14:paraId="797F79A9" w14:textId="401A5C42"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2A6B3B30" w14:textId="4314F1D6"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6ECA5E67" w14:textId="162D785F" w:rsidR="002E0124" w:rsidRPr="00C43C8F" w:rsidRDefault="002E0124" w:rsidP="005F1378">
            <w:pPr>
              <w:ind w:left="-37" w:right="-38" w:firstLine="0"/>
              <w:jc w:val="center"/>
              <w:rPr>
                <w:color w:val="000000"/>
                <w:sz w:val="20"/>
                <w:szCs w:val="20"/>
              </w:rPr>
            </w:pPr>
            <w:r w:rsidRPr="00C43C8F">
              <w:rPr>
                <w:sz w:val="20"/>
                <w:szCs w:val="20"/>
              </w:rPr>
              <w:t>0,00</w:t>
            </w:r>
          </w:p>
        </w:tc>
        <w:tc>
          <w:tcPr>
            <w:tcW w:w="1205" w:type="dxa"/>
          </w:tcPr>
          <w:p w14:paraId="64947792" w14:textId="6C8BD438" w:rsidR="002E0124" w:rsidRPr="00C43C8F" w:rsidRDefault="002E0124" w:rsidP="001564B7">
            <w:pPr>
              <w:ind w:left="-37" w:right="-38" w:firstLine="0"/>
              <w:jc w:val="center"/>
              <w:rPr>
                <w:sz w:val="20"/>
                <w:szCs w:val="20"/>
              </w:rPr>
            </w:pPr>
            <w:r w:rsidRPr="00C43C8F">
              <w:rPr>
                <w:color w:val="000000"/>
                <w:sz w:val="20"/>
                <w:szCs w:val="20"/>
              </w:rPr>
              <w:t>515.100,00</w:t>
            </w:r>
          </w:p>
        </w:tc>
        <w:tc>
          <w:tcPr>
            <w:tcW w:w="1276" w:type="dxa"/>
          </w:tcPr>
          <w:p w14:paraId="2EBC1A72" w14:textId="4B594E2C" w:rsidR="002E0124" w:rsidRPr="00C43C8F" w:rsidRDefault="002E0124" w:rsidP="001564B7">
            <w:pPr>
              <w:ind w:left="-37" w:right="-38" w:firstLine="0"/>
              <w:jc w:val="center"/>
              <w:rPr>
                <w:sz w:val="20"/>
                <w:szCs w:val="20"/>
              </w:rPr>
            </w:pPr>
            <w:r w:rsidRPr="00C43C8F">
              <w:rPr>
                <w:color w:val="000000"/>
                <w:sz w:val="20"/>
                <w:szCs w:val="20"/>
              </w:rPr>
              <w:t>515.181,61</w:t>
            </w:r>
          </w:p>
        </w:tc>
        <w:tc>
          <w:tcPr>
            <w:tcW w:w="567" w:type="dxa"/>
          </w:tcPr>
          <w:p w14:paraId="014F4B4E" w14:textId="45B337D9" w:rsidR="002E0124" w:rsidRPr="00C43C8F" w:rsidRDefault="002E0124" w:rsidP="00F60857">
            <w:pPr>
              <w:spacing w:line="20" w:lineRule="atLeast"/>
              <w:ind w:firstLine="0"/>
              <w:jc w:val="center"/>
              <w:rPr>
                <w:sz w:val="20"/>
                <w:szCs w:val="20"/>
              </w:rPr>
            </w:pPr>
            <w:r w:rsidRPr="00C43C8F">
              <w:rPr>
                <w:sz w:val="20"/>
                <w:szCs w:val="20"/>
              </w:rPr>
              <w:t>0,00</w:t>
            </w:r>
          </w:p>
        </w:tc>
        <w:tc>
          <w:tcPr>
            <w:tcW w:w="637" w:type="dxa"/>
          </w:tcPr>
          <w:p w14:paraId="5A08922D" w14:textId="483D54C9" w:rsidR="002E0124" w:rsidRPr="00C43C8F" w:rsidRDefault="002E0124" w:rsidP="00F60857">
            <w:pPr>
              <w:spacing w:line="20" w:lineRule="atLeast"/>
              <w:ind w:firstLine="0"/>
              <w:jc w:val="center"/>
              <w:rPr>
                <w:sz w:val="20"/>
                <w:szCs w:val="20"/>
              </w:rPr>
            </w:pPr>
            <w:r w:rsidRPr="00C43C8F">
              <w:rPr>
                <w:sz w:val="20"/>
                <w:szCs w:val="20"/>
              </w:rPr>
              <w:t>0,00</w:t>
            </w:r>
          </w:p>
        </w:tc>
        <w:tc>
          <w:tcPr>
            <w:tcW w:w="1382" w:type="dxa"/>
            <w:gridSpan w:val="2"/>
          </w:tcPr>
          <w:p w14:paraId="15DCB3F3" w14:textId="77777777" w:rsidR="002E0124" w:rsidRPr="00C43C8F" w:rsidRDefault="002E0124" w:rsidP="00F60857">
            <w:pPr>
              <w:ind w:firstLine="0"/>
              <w:jc w:val="right"/>
              <w:rPr>
                <w:sz w:val="20"/>
                <w:szCs w:val="20"/>
              </w:rPr>
            </w:pPr>
            <w:r w:rsidRPr="00C43C8F">
              <w:rPr>
                <w:sz w:val="20"/>
                <w:szCs w:val="20"/>
              </w:rPr>
              <w:t xml:space="preserve">1.030.281,61  </w:t>
            </w:r>
          </w:p>
        </w:tc>
      </w:tr>
      <w:tr w:rsidR="002E0124" w:rsidRPr="00C43C8F" w14:paraId="2093F3E2" w14:textId="77777777" w:rsidTr="005F1378">
        <w:trPr>
          <w:jc w:val="center"/>
        </w:trPr>
        <w:tc>
          <w:tcPr>
            <w:tcW w:w="1809" w:type="dxa"/>
          </w:tcPr>
          <w:p w14:paraId="6E8528DC" w14:textId="77777777" w:rsidR="002E0124" w:rsidRPr="00C43C8F" w:rsidRDefault="002E0124" w:rsidP="00F60857">
            <w:pPr>
              <w:spacing w:line="20" w:lineRule="atLeast"/>
              <w:ind w:firstLine="0"/>
              <w:jc w:val="left"/>
              <w:rPr>
                <w:sz w:val="22"/>
                <w:szCs w:val="22"/>
              </w:rPr>
            </w:pPr>
            <w:r w:rsidRPr="00C43C8F">
              <w:rPr>
                <w:sz w:val="22"/>
                <w:szCs w:val="22"/>
              </w:rPr>
              <w:t>Panevėžio</w:t>
            </w:r>
          </w:p>
        </w:tc>
        <w:tc>
          <w:tcPr>
            <w:tcW w:w="709" w:type="dxa"/>
          </w:tcPr>
          <w:p w14:paraId="057D6FDE" w14:textId="797E2706"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38395983" w14:textId="1DDBFD18"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0B2BC378" w14:textId="7C31B528" w:rsidR="002E0124" w:rsidRPr="00C43C8F" w:rsidRDefault="002E0124" w:rsidP="005F1378">
            <w:pPr>
              <w:ind w:left="-37" w:right="-38" w:firstLine="0"/>
              <w:jc w:val="center"/>
              <w:rPr>
                <w:color w:val="000000"/>
                <w:sz w:val="20"/>
                <w:szCs w:val="20"/>
              </w:rPr>
            </w:pPr>
            <w:r w:rsidRPr="00C43C8F">
              <w:rPr>
                <w:sz w:val="20"/>
                <w:szCs w:val="20"/>
              </w:rPr>
              <w:t>0,00</w:t>
            </w:r>
          </w:p>
        </w:tc>
        <w:tc>
          <w:tcPr>
            <w:tcW w:w="1205" w:type="dxa"/>
          </w:tcPr>
          <w:p w14:paraId="28F69402" w14:textId="3C18C221" w:rsidR="002E0124" w:rsidRPr="00C43C8F" w:rsidRDefault="002E0124" w:rsidP="001564B7">
            <w:pPr>
              <w:ind w:left="-37" w:right="-38" w:firstLine="0"/>
              <w:jc w:val="center"/>
              <w:rPr>
                <w:sz w:val="20"/>
                <w:szCs w:val="20"/>
              </w:rPr>
            </w:pPr>
            <w:r w:rsidRPr="00C43C8F">
              <w:rPr>
                <w:color w:val="000000"/>
                <w:sz w:val="20"/>
                <w:szCs w:val="20"/>
              </w:rPr>
              <w:t>437.100,00</w:t>
            </w:r>
          </w:p>
        </w:tc>
        <w:tc>
          <w:tcPr>
            <w:tcW w:w="1276" w:type="dxa"/>
          </w:tcPr>
          <w:p w14:paraId="1698DA29" w14:textId="1CDC4528" w:rsidR="002E0124" w:rsidRPr="00C43C8F" w:rsidRDefault="002E0124" w:rsidP="001564B7">
            <w:pPr>
              <w:ind w:left="-37" w:right="-38" w:firstLine="0"/>
              <w:jc w:val="center"/>
              <w:rPr>
                <w:color w:val="000000"/>
                <w:sz w:val="20"/>
                <w:szCs w:val="20"/>
              </w:rPr>
            </w:pPr>
            <w:r w:rsidRPr="00C43C8F">
              <w:rPr>
                <w:color w:val="000000"/>
                <w:sz w:val="20"/>
                <w:szCs w:val="20"/>
              </w:rPr>
              <w:t>437.078,33</w:t>
            </w:r>
          </w:p>
        </w:tc>
        <w:tc>
          <w:tcPr>
            <w:tcW w:w="567" w:type="dxa"/>
          </w:tcPr>
          <w:p w14:paraId="00F60AAD" w14:textId="07A4E000" w:rsidR="002E0124" w:rsidRPr="00C43C8F" w:rsidRDefault="002E0124" w:rsidP="00F60857">
            <w:pPr>
              <w:spacing w:line="20" w:lineRule="atLeast"/>
              <w:ind w:firstLine="0"/>
              <w:jc w:val="center"/>
              <w:rPr>
                <w:sz w:val="20"/>
                <w:szCs w:val="20"/>
              </w:rPr>
            </w:pPr>
            <w:r w:rsidRPr="00C43C8F">
              <w:rPr>
                <w:sz w:val="20"/>
                <w:szCs w:val="20"/>
              </w:rPr>
              <w:t>0,00</w:t>
            </w:r>
          </w:p>
        </w:tc>
        <w:tc>
          <w:tcPr>
            <w:tcW w:w="637" w:type="dxa"/>
          </w:tcPr>
          <w:p w14:paraId="7A042FAA" w14:textId="2B6CBDA2" w:rsidR="002E0124" w:rsidRPr="00C43C8F" w:rsidRDefault="002E0124" w:rsidP="00F60857">
            <w:pPr>
              <w:spacing w:line="20" w:lineRule="atLeast"/>
              <w:ind w:firstLine="0"/>
              <w:jc w:val="center"/>
              <w:rPr>
                <w:sz w:val="20"/>
                <w:szCs w:val="20"/>
              </w:rPr>
            </w:pPr>
            <w:r w:rsidRPr="00C43C8F">
              <w:rPr>
                <w:sz w:val="20"/>
                <w:szCs w:val="20"/>
              </w:rPr>
              <w:t>0,00</w:t>
            </w:r>
          </w:p>
        </w:tc>
        <w:tc>
          <w:tcPr>
            <w:tcW w:w="1382" w:type="dxa"/>
            <w:gridSpan w:val="2"/>
          </w:tcPr>
          <w:p w14:paraId="0DA57C08" w14:textId="77777777" w:rsidR="002E0124" w:rsidRPr="00C43C8F" w:rsidRDefault="002E0124" w:rsidP="00F60857">
            <w:pPr>
              <w:ind w:firstLine="0"/>
              <w:jc w:val="right"/>
              <w:rPr>
                <w:sz w:val="20"/>
                <w:szCs w:val="20"/>
              </w:rPr>
            </w:pPr>
            <w:r w:rsidRPr="00C43C8F">
              <w:rPr>
                <w:sz w:val="20"/>
                <w:szCs w:val="20"/>
              </w:rPr>
              <w:t xml:space="preserve">874.178,33  </w:t>
            </w:r>
          </w:p>
        </w:tc>
      </w:tr>
      <w:tr w:rsidR="002E0124" w:rsidRPr="00C43C8F" w14:paraId="0D271302" w14:textId="77777777" w:rsidTr="005F1378">
        <w:trPr>
          <w:jc w:val="center"/>
        </w:trPr>
        <w:tc>
          <w:tcPr>
            <w:tcW w:w="1809" w:type="dxa"/>
          </w:tcPr>
          <w:p w14:paraId="66FFE8AF" w14:textId="77777777" w:rsidR="002E0124" w:rsidRPr="00C43C8F" w:rsidRDefault="002E0124" w:rsidP="00F60857">
            <w:pPr>
              <w:spacing w:line="20" w:lineRule="atLeast"/>
              <w:ind w:firstLine="0"/>
              <w:jc w:val="left"/>
              <w:rPr>
                <w:sz w:val="22"/>
                <w:szCs w:val="22"/>
              </w:rPr>
            </w:pPr>
            <w:r w:rsidRPr="00C43C8F">
              <w:rPr>
                <w:sz w:val="22"/>
                <w:szCs w:val="22"/>
              </w:rPr>
              <w:t>Šiaulių</w:t>
            </w:r>
          </w:p>
        </w:tc>
        <w:tc>
          <w:tcPr>
            <w:tcW w:w="709" w:type="dxa"/>
          </w:tcPr>
          <w:p w14:paraId="028E7BA3" w14:textId="2FA6136B"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2F29CB92" w14:textId="6FA4080A"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71737216" w14:textId="1A266B73" w:rsidR="002E0124" w:rsidRPr="00C43C8F" w:rsidRDefault="002E0124" w:rsidP="005F1378">
            <w:pPr>
              <w:ind w:left="-37" w:right="-38" w:firstLine="0"/>
              <w:jc w:val="center"/>
              <w:rPr>
                <w:color w:val="000000"/>
                <w:sz w:val="20"/>
                <w:szCs w:val="20"/>
              </w:rPr>
            </w:pPr>
            <w:r w:rsidRPr="00C43C8F">
              <w:rPr>
                <w:color w:val="000000"/>
                <w:sz w:val="20"/>
                <w:szCs w:val="20"/>
              </w:rPr>
              <w:t>342</w:t>
            </w:r>
            <w:r w:rsidR="005F1378" w:rsidRPr="00C43C8F">
              <w:rPr>
                <w:color w:val="000000"/>
                <w:sz w:val="20"/>
                <w:szCs w:val="20"/>
              </w:rPr>
              <w:t>.</w:t>
            </w:r>
            <w:r w:rsidRPr="00C43C8F">
              <w:rPr>
                <w:color w:val="000000"/>
                <w:sz w:val="20"/>
                <w:szCs w:val="20"/>
              </w:rPr>
              <w:t>815,00</w:t>
            </w:r>
          </w:p>
        </w:tc>
        <w:tc>
          <w:tcPr>
            <w:tcW w:w="1205" w:type="dxa"/>
          </w:tcPr>
          <w:p w14:paraId="74ECA2DC" w14:textId="09A373D0" w:rsidR="002E0124" w:rsidRPr="00C43C8F" w:rsidRDefault="002E0124" w:rsidP="001564B7">
            <w:pPr>
              <w:ind w:left="-37" w:right="-38" w:firstLine="0"/>
              <w:jc w:val="center"/>
              <w:rPr>
                <w:sz w:val="20"/>
                <w:szCs w:val="20"/>
              </w:rPr>
            </w:pPr>
            <w:r w:rsidRPr="00C43C8F">
              <w:rPr>
                <w:color w:val="000000"/>
                <w:sz w:val="20"/>
                <w:szCs w:val="20"/>
              </w:rPr>
              <w:t>437.100,00</w:t>
            </w:r>
          </w:p>
        </w:tc>
        <w:tc>
          <w:tcPr>
            <w:tcW w:w="1276" w:type="dxa"/>
          </w:tcPr>
          <w:p w14:paraId="3530CF47" w14:textId="5E9EBB05" w:rsidR="002E0124" w:rsidRPr="00C43C8F" w:rsidRDefault="002E0124" w:rsidP="001564B7">
            <w:pPr>
              <w:ind w:left="-37" w:right="-38" w:firstLine="0"/>
              <w:jc w:val="center"/>
              <w:rPr>
                <w:color w:val="000000"/>
                <w:sz w:val="20"/>
                <w:szCs w:val="20"/>
              </w:rPr>
            </w:pPr>
            <w:r w:rsidRPr="00C43C8F">
              <w:rPr>
                <w:color w:val="000000"/>
                <w:sz w:val="20"/>
                <w:szCs w:val="20"/>
              </w:rPr>
              <w:t>94.263,33</w:t>
            </w:r>
          </w:p>
        </w:tc>
        <w:tc>
          <w:tcPr>
            <w:tcW w:w="567" w:type="dxa"/>
          </w:tcPr>
          <w:p w14:paraId="2C8CAC4A" w14:textId="424C26ED" w:rsidR="002E0124" w:rsidRPr="00C43C8F" w:rsidRDefault="002E0124" w:rsidP="00CB0FB6">
            <w:pPr>
              <w:spacing w:line="20" w:lineRule="atLeast"/>
              <w:ind w:firstLine="0"/>
              <w:jc w:val="center"/>
              <w:rPr>
                <w:sz w:val="20"/>
                <w:szCs w:val="20"/>
              </w:rPr>
            </w:pPr>
            <w:r w:rsidRPr="00C43C8F">
              <w:rPr>
                <w:sz w:val="20"/>
                <w:szCs w:val="20"/>
              </w:rPr>
              <w:t>0,00</w:t>
            </w:r>
          </w:p>
        </w:tc>
        <w:tc>
          <w:tcPr>
            <w:tcW w:w="637" w:type="dxa"/>
          </w:tcPr>
          <w:p w14:paraId="2BBA5007" w14:textId="4A70DBF6" w:rsidR="002E0124" w:rsidRPr="00C43C8F" w:rsidRDefault="002E0124" w:rsidP="00CB0FB6">
            <w:pPr>
              <w:spacing w:line="20" w:lineRule="atLeast"/>
              <w:ind w:firstLine="0"/>
              <w:jc w:val="center"/>
              <w:rPr>
                <w:sz w:val="20"/>
                <w:szCs w:val="20"/>
              </w:rPr>
            </w:pPr>
            <w:r w:rsidRPr="00C43C8F">
              <w:rPr>
                <w:sz w:val="20"/>
                <w:szCs w:val="20"/>
              </w:rPr>
              <w:t>0,00</w:t>
            </w:r>
          </w:p>
        </w:tc>
        <w:tc>
          <w:tcPr>
            <w:tcW w:w="1382" w:type="dxa"/>
            <w:gridSpan w:val="2"/>
          </w:tcPr>
          <w:p w14:paraId="259CD86A" w14:textId="0A799217" w:rsidR="002E0124" w:rsidRPr="00C43C8F" w:rsidRDefault="002E0124" w:rsidP="00CB0FB6">
            <w:pPr>
              <w:ind w:firstLine="0"/>
              <w:jc w:val="center"/>
              <w:rPr>
                <w:sz w:val="20"/>
                <w:szCs w:val="20"/>
              </w:rPr>
            </w:pPr>
            <w:r w:rsidRPr="00C43C8F">
              <w:rPr>
                <w:sz w:val="20"/>
                <w:szCs w:val="20"/>
              </w:rPr>
              <w:t>874.178,33</w:t>
            </w:r>
          </w:p>
        </w:tc>
      </w:tr>
      <w:tr w:rsidR="002E0124" w:rsidRPr="00C43C8F" w14:paraId="7647D05E" w14:textId="77777777" w:rsidTr="005F1378">
        <w:trPr>
          <w:jc w:val="center"/>
        </w:trPr>
        <w:tc>
          <w:tcPr>
            <w:tcW w:w="1809" w:type="dxa"/>
          </w:tcPr>
          <w:p w14:paraId="2F10E58E" w14:textId="77777777" w:rsidR="002E0124" w:rsidRPr="00C43C8F" w:rsidRDefault="002E0124" w:rsidP="00F60857">
            <w:pPr>
              <w:spacing w:line="20" w:lineRule="atLeast"/>
              <w:ind w:firstLine="0"/>
              <w:jc w:val="left"/>
              <w:rPr>
                <w:sz w:val="22"/>
                <w:szCs w:val="22"/>
              </w:rPr>
            </w:pPr>
            <w:r w:rsidRPr="00C43C8F">
              <w:rPr>
                <w:sz w:val="22"/>
                <w:szCs w:val="22"/>
              </w:rPr>
              <w:t>Tauragės</w:t>
            </w:r>
          </w:p>
        </w:tc>
        <w:tc>
          <w:tcPr>
            <w:tcW w:w="709" w:type="dxa"/>
          </w:tcPr>
          <w:p w14:paraId="36434A69" w14:textId="4C291AAA"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4E8A5F1B" w14:textId="32BF886C"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2D6F7B28" w14:textId="624A4079" w:rsidR="002E0124" w:rsidRPr="00C43C8F" w:rsidRDefault="002E0124" w:rsidP="005F1378">
            <w:pPr>
              <w:ind w:left="-37" w:right="-38" w:firstLine="0"/>
              <w:jc w:val="center"/>
              <w:rPr>
                <w:color w:val="000000"/>
                <w:sz w:val="20"/>
                <w:szCs w:val="20"/>
              </w:rPr>
            </w:pPr>
            <w:r w:rsidRPr="00C43C8F">
              <w:rPr>
                <w:sz w:val="20"/>
                <w:szCs w:val="20"/>
              </w:rPr>
              <w:t>0,00</w:t>
            </w:r>
          </w:p>
        </w:tc>
        <w:tc>
          <w:tcPr>
            <w:tcW w:w="1205" w:type="dxa"/>
          </w:tcPr>
          <w:p w14:paraId="28D47A09" w14:textId="74E63A65" w:rsidR="002E0124" w:rsidRPr="00C43C8F" w:rsidRDefault="002E0124" w:rsidP="001564B7">
            <w:pPr>
              <w:ind w:left="-37" w:right="-38" w:firstLine="0"/>
              <w:jc w:val="center"/>
              <w:rPr>
                <w:sz w:val="20"/>
                <w:szCs w:val="20"/>
              </w:rPr>
            </w:pPr>
            <w:r w:rsidRPr="00C43C8F">
              <w:rPr>
                <w:color w:val="000000"/>
                <w:sz w:val="20"/>
                <w:szCs w:val="20"/>
              </w:rPr>
              <w:t>515.100,00</w:t>
            </w:r>
          </w:p>
        </w:tc>
        <w:tc>
          <w:tcPr>
            <w:tcW w:w="1276" w:type="dxa"/>
          </w:tcPr>
          <w:p w14:paraId="7A5A7033" w14:textId="3F5B1DD1" w:rsidR="002E0124" w:rsidRPr="00C43C8F" w:rsidRDefault="002E0124" w:rsidP="001564B7">
            <w:pPr>
              <w:ind w:left="-37" w:right="-38" w:firstLine="0"/>
              <w:jc w:val="center"/>
              <w:rPr>
                <w:sz w:val="20"/>
                <w:szCs w:val="20"/>
              </w:rPr>
            </w:pPr>
            <w:r w:rsidRPr="00C43C8F">
              <w:rPr>
                <w:color w:val="000000"/>
                <w:sz w:val="20"/>
                <w:szCs w:val="20"/>
              </w:rPr>
              <w:t>515.181,61</w:t>
            </w:r>
          </w:p>
        </w:tc>
        <w:tc>
          <w:tcPr>
            <w:tcW w:w="567" w:type="dxa"/>
          </w:tcPr>
          <w:p w14:paraId="7A8F58EC" w14:textId="073A29B0" w:rsidR="002E0124" w:rsidRPr="00C43C8F" w:rsidRDefault="002E0124" w:rsidP="00CB0FB6">
            <w:pPr>
              <w:spacing w:line="20" w:lineRule="atLeast"/>
              <w:ind w:firstLine="0"/>
              <w:jc w:val="center"/>
              <w:rPr>
                <w:sz w:val="20"/>
                <w:szCs w:val="20"/>
              </w:rPr>
            </w:pPr>
            <w:r w:rsidRPr="00C43C8F">
              <w:rPr>
                <w:sz w:val="20"/>
                <w:szCs w:val="20"/>
              </w:rPr>
              <w:t>0,00</w:t>
            </w:r>
          </w:p>
        </w:tc>
        <w:tc>
          <w:tcPr>
            <w:tcW w:w="637" w:type="dxa"/>
          </w:tcPr>
          <w:p w14:paraId="68535470" w14:textId="78E78DFD" w:rsidR="002E0124" w:rsidRPr="00C43C8F" w:rsidRDefault="002E0124" w:rsidP="00CB0FB6">
            <w:pPr>
              <w:spacing w:line="20" w:lineRule="atLeast"/>
              <w:ind w:firstLine="0"/>
              <w:jc w:val="center"/>
              <w:rPr>
                <w:sz w:val="20"/>
                <w:szCs w:val="20"/>
              </w:rPr>
            </w:pPr>
            <w:r w:rsidRPr="00C43C8F">
              <w:rPr>
                <w:sz w:val="20"/>
                <w:szCs w:val="20"/>
              </w:rPr>
              <w:t>0,00</w:t>
            </w:r>
          </w:p>
        </w:tc>
        <w:tc>
          <w:tcPr>
            <w:tcW w:w="1382" w:type="dxa"/>
            <w:gridSpan w:val="2"/>
          </w:tcPr>
          <w:p w14:paraId="5FDB2C85" w14:textId="2593AEC6" w:rsidR="002E0124" w:rsidRPr="00C43C8F" w:rsidRDefault="002E0124" w:rsidP="00CB0FB6">
            <w:pPr>
              <w:ind w:firstLine="0"/>
              <w:jc w:val="center"/>
              <w:rPr>
                <w:sz w:val="20"/>
                <w:szCs w:val="20"/>
              </w:rPr>
            </w:pPr>
            <w:r w:rsidRPr="00C43C8F">
              <w:rPr>
                <w:sz w:val="20"/>
                <w:szCs w:val="20"/>
              </w:rPr>
              <w:t>1.030.281,61</w:t>
            </w:r>
          </w:p>
        </w:tc>
      </w:tr>
      <w:tr w:rsidR="002E0124" w:rsidRPr="00C43C8F" w14:paraId="1D13490B" w14:textId="77777777" w:rsidTr="005F1378">
        <w:trPr>
          <w:jc w:val="center"/>
        </w:trPr>
        <w:tc>
          <w:tcPr>
            <w:tcW w:w="1809" w:type="dxa"/>
          </w:tcPr>
          <w:p w14:paraId="3C118F20" w14:textId="77777777" w:rsidR="002E0124" w:rsidRPr="00C43C8F" w:rsidRDefault="002E0124" w:rsidP="00F60857">
            <w:pPr>
              <w:spacing w:line="20" w:lineRule="atLeast"/>
              <w:ind w:firstLine="0"/>
              <w:jc w:val="left"/>
              <w:rPr>
                <w:sz w:val="22"/>
                <w:szCs w:val="22"/>
              </w:rPr>
            </w:pPr>
            <w:r w:rsidRPr="00C43C8F">
              <w:rPr>
                <w:sz w:val="22"/>
                <w:szCs w:val="22"/>
              </w:rPr>
              <w:t>Telšių</w:t>
            </w:r>
          </w:p>
        </w:tc>
        <w:tc>
          <w:tcPr>
            <w:tcW w:w="709" w:type="dxa"/>
          </w:tcPr>
          <w:p w14:paraId="08AC8489" w14:textId="7A1DCA32"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5D65414D" w14:textId="0EACEB98"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10871665" w14:textId="4DAAC23A" w:rsidR="002E0124" w:rsidRPr="00C43C8F" w:rsidRDefault="002E0124" w:rsidP="005F1378">
            <w:pPr>
              <w:ind w:left="-37" w:right="-38" w:firstLine="0"/>
              <w:jc w:val="center"/>
              <w:rPr>
                <w:color w:val="000000"/>
                <w:sz w:val="20"/>
                <w:szCs w:val="20"/>
              </w:rPr>
            </w:pPr>
            <w:r w:rsidRPr="00C43C8F">
              <w:rPr>
                <w:sz w:val="20"/>
                <w:szCs w:val="20"/>
              </w:rPr>
              <w:t>0,00</w:t>
            </w:r>
          </w:p>
        </w:tc>
        <w:tc>
          <w:tcPr>
            <w:tcW w:w="1205" w:type="dxa"/>
          </w:tcPr>
          <w:p w14:paraId="2972D7FD" w14:textId="2DA49F39" w:rsidR="002E0124" w:rsidRPr="00C43C8F" w:rsidRDefault="002E0124" w:rsidP="001564B7">
            <w:pPr>
              <w:ind w:left="-37" w:right="-38" w:firstLine="0"/>
              <w:jc w:val="center"/>
              <w:rPr>
                <w:sz w:val="20"/>
                <w:szCs w:val="20"/>
              </w:rPr>
            </w:pPr>
            <w:r w:rsidRPr="00C43C8F">
              <w:rPr>
                <w:color w:val="000000"/>
                <w:sz w:val="20"/>
                <w:szCs w:val="20"/>
              </w:rPr>
              <w:t>515.100,00</w:t>
            </w:r>
          </w:p>
        </w:tc>
        <w:tc>
          <w:tcPr>
            <w:tcW w:w="1276" w:type="dxa"/>
          </w:tcPr>
          <w:p w14:paraId="35D4E0B3" w14:textId="1F7D1784" w:rsidR="002E0124" w:rsidRPr="00C43C8F" w:rsidRDefault="002E0124" w:rsidP="001564B7">
            <w:pPr>
              <w:ind w:left="-37" w:right="-38" w:firstLine="0"/>
              <w:jc w:val="center"/>
              <w:rPr>
                <w:sz w:val="20"/>
                <w:szCs w:val="20"/>
              </w:rPr>
            </w:pPr>
            <w:r w:rsidRPr="00C43C8F">
              <w:rPr>
                <w:color w:val="000000"/>
                <w:sz w:val="20"/>
                <w:szCs w:val="20"/>
              </w:rPr>
              <w:t>515.181,61</w:t>
            </w:r>
          </w:p>
        </w:tc>
        <w:tc>
          <w:tcPr>
            <w:tcW w:w="567" w:type="dxa"/>
          </w:tcPr>
          <w:p w14:paraId="42BCFA0F" w14:textId="1C4782E9" w:rsidR="002E0124" w:rsidRPr="00C43C8F" w:rsidRDefault="002E0124" w:rsidP="00CB0FB6">
            <w:pPr>
              <w:spacing w:line="20" w:lineRule="atLeast"/>
              <w:ind w:firstLine="0"/>
              <w:jc w:val="center"/>
              <w:rPr>
                <w:sz w:val="20"/>
                <w:szCs w:val="20"/>
              </w:rPr>
            </w:pPr>
            <w:r w:rsidRPr="00C43C8F">
              <w:rPr>
                <w:sz w:val="20"/>
                <w:szCs w:val="20"/>
              </w:rPr>
              <w:t>0,00</w:t>
            </w:r>
          </w:p>
        </w:tc>
        <w:tc>
          <w:tcPr>
            <w:tcW w:w="637" w:type="dxa"/>
          </w:tcPr>
          <w:p w14:paraId="66D1F2C7" w14:textId="0A838857" w:rsidR="002E0124" w:rsidRPr="00C43C8F" w:rsidRDefault="002E0124" w:rsidP="00CB0FB6">
            <w:pPr>
              <w:spacing w:line="20" w:lineRule="atLeast"/>
              <w:ind w:firstLine="0"/>
              <w:jc w:val="center"/>
              <w:rPr>
                <w:sz w:val="20"/>
                <w:szCs w:val="20"/>
              </w:rPr>
            </w:pPr>
            <w:r w:rsidRPr="00C43C8F">
              <w:rPr>
                <w:sz w:val="20"/>
                <w:szCs w:val="20"/>
              </w:rPr>
              <w:t>0,00</w:t>
            </w:r>
          </w:p>
        </w:tc>
        <w:tc>
          <w:tcPr>
            <w:tcW w:w="1382" w:type="dxa"/>
            <w:gridSpan w:val="2"/>
          </w:tcPr>
          <w:p w14:paraId="1F5BBAA0" w14:textId="1CFBD336" w:rsidR="002E0124" w:rsidRPr="00C43C8F" w:rsidRDefault="002E0124" w:rsidP="00CB0FB6">
            <w:pPr>
              <w:ind w:firstLine="0"/>
              <w:jc w:val="center"/>
              <w:rPr>
                <w:sz w:val="20"/>
                <w:szCs w:val="20"/>
              </w:rPr>
            </w:pPr>
            <w:r w:rsidRPr="00C43C8F">
              <w:rPr>
                <w:sz w:val="20"/>
                <w:szCs w:val="20"/>
              </w:rPr>
              <w:t>1.030.281,61</w:t>
            </w:r>
          </w:p>
        </w:tc>
      </w:tr>
      <w:tr w:rsidR="002E0124" w:rsidRPr="00C43C8F" w14:paraId="102A318F" w14:textId="77777777" w:rsidTr="005F1378">
        <w:trPr>
          <w:jc w:val="center"/>
        </w:trPr>
        <w:tc>
          <w:tcPr>
            <w:tcW w:w="1809" w:type="dxa"/>
          </w:tcPr>
          <w:p w14:paraId="07E5F853" w14:textId="77777777" w:rsidR="002E0124" w:rsidRPr="00C43C8F" w:rsidRDefault="002E0124" w:rsidP="00F60857">
            <w:pPr>
              <w:spacing w:line="20" w:lineRule="atLeast"/>
              <w:ind w:firstLine="0"/>
              <w:jc w:val="left"/>
              <w:rPr>
                <w:sz w:val="22"/>
                <w:szCs w:val="22"/>
              </w:rPr>
            </w:pPr>
            <w:r w:rsidRPr="00C43C8F">
              <w:rPr>
                <w:sz w:val="22"/>
                <w:szCs w:val="22"/>
              </w:rPr>
              <w:t>Utenos</w:t>
            </w:r>
          </w:p>
        </w:tc>
        <w:tc>
          <w:tcPr>
            <w:tcW w:w="709" w:type="dxa"/>
          </w:tcPr>
          <w:p w14:paraId="1C744D04" w14:textId="3E5EFF5D"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34BB4328" w14:textId="496F6938"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0F0C31EC" w14:textId="7029E089" w:rsidR="002E0124" w:rsidRPr="00C43C8F" w:rsidRDefault="002E0124" w:rsidP="005F1378">
            <w:pPr>
              <w:ind w:left="-37" w:right="-38" w:firstLine="0"/>
              <w:jc w:val="center"/>
              <w:rPr>
                <w:color w:val="000000"/>
                <w:sz w:val="20"/>
                <w:szCs w:val="20"/>
              </w:rPr>
            </w:pPr>
            <w:r w:rsidRPr="00C43C8F">
              <w:rPr>
                <w:sz w:val="20"/>
                <w:szCs w:val="20"/>
              </w:rPr>
              <w:t>0,00</w:t>
            </w:r>
          </w:p>
        </w:tc>
        <w:tc>
          <w:tcPr>
            <w:tcW w:w="1205" w:type="dxa"/>
          </w:tcPr>
          <w:p w14:paraId="61E3DCC9" w14:textId="03E27133" w:rsidR="002E0124" w:rsidRPr="00C43C8F" w:rsidRDefault="002E0124" w:rsidP="001564B7">
            <w:pPr>
              <w:ind w:left="-37" w:right="-38" w:firstLine="0"/>
              <w:jc w:val="center"/>
              <w:rPr>
                <w:sz w:val="20"/>
                <w:szCs w:val="20"/>
              </w:rPr>
            </w:pPr>
            <w:r w:rsidRPr="00C43C8F">
              <w:rPr>
                <w:color w:val="000000"/>
                <w:sz w:val="20"/>
                <w:szCs w:val="20"/>
              </w:rPr>
              <w:t>593.200,00</w:t>
            </w:r>
          </w:p>
        </w:tc>
        <w:tc>
          <w:tcPr>
            <w:tcW w:w="1276" w:type="dxa"/>
          </w:tcPr>
          <w:p w14:paraId="7D99F1BE" w14:textId="211D55F2" w:rsidR="002E0124" w:rsidRPr="00C43C8F" w:rsidRDefault="002E0124" w:rsidP="001564B7">
            <w:pPr>
              <w:ind w:left="-37" w:right="-38" w:firstLine="0"/>
              <w:jc w:val="center"/>
              <w:rPr>
                <w:sz w:val="20"/>
                <w:szCs w:val="20"/>
              </w:rPr>
            </w:pPr>
            <w:r w:rsidRPr="00C43C8F">
              <w:rPr>
                <w:color w:val="000000"/>
                <w:sz w:val="20"/>
                <w:szCs w:val="20"/>
              </w:rPr>
              <w:t>593.184,88</w:t>
            </w:r>
          </w:p>
        </w:tc>
        <w:tc>
          <w:tcPr>
            <w:tcW w:w="567" w:type="dxa"/>
          </w:tcPr>
          <w:p w14:paraId="15DC075A" w14:textId="1D16866B" w:rsidR="002E0124" w:rsidRPr="00C43C8F" w:rsidRDefault="002E0124" w:rsidP="00CB0FB6">
            <w:pPr>
              <w:spacing w:line="20" w:lineRule="atLeast"/>
              <w:ind w:firstLine="0"/>
              <w:jc w:val="center"/>
              <w:rPr>
                <w:sz w:val="20"/>
                <w:szCs w:val="20"/>
              </w:rPr>
            </w:pPr>
            <w:r w:rsidRPr="00C43C8F">
              <w:rPr>
                <w:sz w:val="20"/>
                <w:szCs w:val="20"/>
              </w:rPr>
              <w:t>0,00</w:t>
            </w:r>
          </w:p>
        </w:tc>
        <w:tc>
          <w:tcPr>
            <w:tcW w:w="637" w:type="dxa"/>
          </w:tcPr>
          <w:p w14:paraId="3512CEF4" w14:textId="2EE97223" w:rsidR="002E0124" w:rsidRPr="00C43C8F" w:rsidRDefault="002E0124" w:rsidP="00CB0FB6">
            <w:pPr>
              <w:spacing w:line="20" w:lineRule="atLeast"/>
              <w:ind w:firstLine="0"/>
              <w:jc w:val="center"/>
              <w:rPr>
                <w:sz w:val="20"/>
                <w:szCs w:val="20"/>
              </w:rPr>
            </w:pPr>
            <w:r w:rsidRPr="00C43C8F">
              <w:rPr>
                <w:sz w:val="20"/>
                <w:szCs w:val="20"/>
              </w:rPr>
              <w:t>0,00</w:t>
            </w:r>
          </w:p>
        </w:tc>
        <w:tc>
          <w:tcPr>
            <w:tcW w:w="1382" w:type="dxa"/>
            <w:gridSpan w:val="2"/>
          </w:tcPr>
          <w:p w14:paraId="2D9A3684" w14:textId="7D76E307" w:rsidR="002E0124" w:rsidRPr="00C43C8F" w:rsidRDefault="002E0124" w:rsidP="00CB0FB6">
            <w:pPr>
              <w:ind w:firstLine="0"/>
              <w:jc w:val="center"/>
              <w:rPr>
                <w:sz w:val="20"/>
                <w:szCs w:val="20"/>
              </w:rPr>
            </w:pPr>
            <w:r w:rsidRPr="00C43C8F">
              <w:rPr>
                <w:sz w:val="20"/>
                <w:szCs w:val="20"/>
              </w:rPr>
              <w:t>1.186.384,88</w:t>
            </w:r>
          </w:p>
        </w:tc>
      </w:tr>
      <w:tr w:rsidR="002E0124" w:rsidRPr="00C43C8F" w14:paraId="741D772F" w14:textId="77777777" w:rsidTr="005F1378">
        <w:trPr>
          <w:jc w:val="center"/>
        </w:trPr>
        <w:tc>
          <w:tcPr>
            <w:tcW w:w="1809" w:type="dxa"/>
          </w:tcPr>
          <w:p w14:paraId="3DBBF8FE" w14:textId="77777777" w:rsidR="002E0124" w:rsidRPr="00C43C8F" w:rsidRDefault="002E0124" w:rsidP="00F60857">
            <w:pPr>
              <w:spacing w:line="20" w:lineRule="atLeast"/>
              <w:ind w:firstLine="0"/>
              <w:jc w:val="left"/>
              <w:rPr>
                <w:sz w:val="22"/>
                <w:szCs w:val="22"/>
              </w:rPr>
            </w:pPr>
            <w:r w:rsidRPr="00C43C8F">
              <w:rPr>
                <w:sz w:val="22"/>
                <w:szCs w:val="22"/>
              </w:rPr>
              <w:t>Vilniaus</w:t>
            </w:r>
          </w:p>
        </w:tc>
        <w:tc>
          <w:tcPr>
            <w:tcW w:w="709" w:type="dxa"/>
          </w:tcPr>
          <w:p w14:paraId="6F4BEB08" w14:textId="59F7E87E"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4E848C0A" w14:textId="710C2528"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4DFD3878" w14:textId="4EF4E3FB" w:rsidR="002E0124" w:rsidRPr="00C43C8F" w:rsidRDefault="002E0124" w:rsidP="005F1378">
            <w:pPr>
              <w:ind w:left="-37" w:right="-38" w:firstLine="0"/>
              <w:jc w:val="center"/>
              <w:rPr>
                <w:color w:val="000000"/>
                <w:sz w:val="20"/>
                <w:szCs w:val="20"/>
              </w:rPr>
            </w:pPr>
            <w:r w:rsidRPr="00C43C8F">
              <w:rPr>
                <w:color w:val="000000"/>
                <w:sz w:val="20"/>
                <w:szCs w:val="20"/>
              </w:rPr>
              <w:t>355</w:t>
            </w:r>
            <w:r w:rsidR="005F1378" w:rsidRPr="00C43C8F">
              <w:rPr>
                <w:color w:val="000000"/>
                <w:sz w:val="20"/>
                <w:szCs w:val="20"/>
              </w:rPr>
              <w:t>.</w:t>
            </w:r>
            <w:r w:rsidRPr="00C43C8F">
              <w:rPr>
                <w:color w:val="000000"/>
                <w:sz w:val="20"/>
                <w:szCs w:val="20"/>
              </w:rPr>
              <w:t>200,00</w:t>
            </w:r>
          </w:p>
        </w:tc>
        <w:tc>
          <w:tcPr>
            <w:tcW w:w="1205" w:type="dxa"/>
          </w:tcPr>
          <w:p w14:paraId="066C2F76" w14:textId="54F073A2" w:rsidR="002E0124" w:rsidRPr="00C43C8F" w:rsidRDefault="002E0124" w:rsidP="001564B7">
            <w:pPr>
              <w:ind w:left="-37" w:right="-38" w:firstLine="0"/>
              <w:jc w:val="center"/>
              <w:rPr>
                <w:sz w:val="20"/>
                <w:szCs w:val="20"/>
              </w:rPr>
            </w:pPr>
            <w:r w:rsidRPr="00C43C8F">
              <w:rPr>
                <w:color w:val="000000"/>
                <w:sz w:val="20"/>
                <w:szCs w:val="20"/>
              </w:rPr>
              <w:t>827.300,00</w:t>
            </w:r>
          </w:p>
        </w:tc>
        <w:tc>
          <w:tcPr>
            <w:tcW w:w="1276" w:type="dxa"/>
          </w:tcPr>
          <w:p w14:paraId="7F656980" w14:textId="279103DE" w:rsidR="002E0124" w:rsidRPr="00C43C8F" w:rsidRDefault="002E0124" w:rsidP="001564B7">
            <w:pPr>
              <w:ind w:left="-37" w:right="-38" w:firstLine="0"/>
              <w:jc w:val="center"/>
              <w:rPr>
                <w:sz w:val="20"/>
                <w:szCs w:val="20"/>
              </w:rPr>
            </w:pPr>
            <w:r w:rsidRPr="00C43C8F">
              <w:rPr>
                <w:color w:val="000000"/>
                <w:sz w:val="20"/>
                <w:szCs w:val="20"/>
              </w:rPr>
              <w:t>472.194,69</w:t>
            </w:r>
          </w:p>
        </w:tc>
        <w:tc>
          <w:tcPr>
            <w:tcW w:w="567" w:type="dxa"/>
          </w:tcPr>
          <w:p w14:paraId="708D5712" w14:textId="5A522EEF" w:rsidR="002E0124" w:rsidRPr="00C43C8F" w:rsidRDefault="002E0124" w:rsidP="00CB0FB6">
            <w:pPr>
              <w:spacing w:line="20" w:lineRule="atLeast"/>
              <w:ind w:firstLine="0"/>
              <w:jc w:val="center"/>
              <w:rPr>
                <w:sz w:val="20"/>
                <w:szCs w:val="20"/>
              </w:rPr>
            </w:pPr>
            <w:r w:rsidRPr="00C43C8F">
              <w:rPr>
                <w:sz w:val="20"/>
                <w:szCs w:val="20"/>
              </w:rPr>
              <w:t>0,00</w:t>
            </w:r>
          </w:p>
        </w:tc>
        <w:tc>
          <w:tcPr>
            <w:tcW w:w="637" w:type="dxa"/>
          </w:tcPr>
          <w:p w14:paraId="79524C3D" w14:textId="1D69ACFC" w:rsidR="002E0124" w:rsidRPr="00C43C8F" w:rsidRDefault="002E0124" w:rsidP="00CB0FB6">
            <w:pPr>
              <w:spacing w:line="20" w:lineRule="atLeast"/>
              <w:ind w:firstLine="0"/>
              <w:jc w:val="center"/>
              <w:rPr>
                <w:sz w:val="20"/>
                <w:szCs w:val="20"/>
              </w:rPr>
            </w:pPr>
            <w:r w:rsidRPr="00C43C8F">
              <w:rPr>
                <w:sz w:val="20"/>
                <w:szCs w:val="20"/>
              </w:rPr>
              <w:t>0,00</w:t>
            </w:r>
          </w:p>
        </w:tc>
        <w:tc>
          <w:tcPr>
            <w:tcW w:w="1382" w:type="dxa"/>
            <w:gridSpan w:val="2"/>
          </w:tcPr>
          <w:p w14:paraId="6543C65B" w14:textId="014E125A" w:rsidR="002E0124" w:rsidRPr="00C43C8F" w:rsidRDefault="002E0124" w:rsidP="00CB0FB6">
            <w:pPr>
              <w:ind w:firstLine="0"/>
              <w:jc w:val="center"/>
              <w:rPr>
                <w:sz w:val="20"/>
                <w:szCs w:val="20"/>
              </w:rPr>
            </w:pPr>
            <w:r w:rsidRPr="00C43C8F">
              <w:rPr>
                <w:sz w:val="20"/>
                <w:szCs w:val="20"/>
              </w:rPr>
              <w:t>1.654.694,70</w:t>
            </w:r>
          </w:p>
        </w:tc>
      </w:tr>
      <w:tr w:rsidR="00CA6D48" w:rsidRPr="00C43C8F" w14:paraId="1CA795FB" w14:textId="77777777" w:rsidTr="005F1378">
        <w:trPr>
          <w:jc w:val="center"/>
        </w:trPr>
        <w:tc>
          <w:tcPr>
            <w:tcW w:w="1809" w:type="dxa"/>
          </w:tcPr>
          <w:p w14:paraId="29723605" w14:textId="77777777" w:rsidR="00CA6D48" w:rsidRPr="00C43C8F" w:rsidRDefault="00CA6D48" w:rsidP="00F60857">
            <w:pPr>
              <w:spacing w:line="20" w:lineRule="atLeast"/>
              <w:ind w:firstLine="0"/>
              <w:jc w:val="left"/>
              <w:rPr>
                <w:b/>
                <w:i/>
                <w:sz w:val="22"/>
                <w:szCs w:val="22"/>
              </w:rPr>
            </w:pPr>
            <w:r w:rsidRPr="00C43C8F">
              <w:rPr>
                <w:b/>
                <w:i/>
                <w:sz w:val="22"/>
                <w:szCs w:val="22"/>
              </w:rPr>
              <w:t>Iš viso regionams konkrečiais metais:</w:t>
            </w:r>
          </w:p>
        </w:tc>
        <w:tc>
          <w:tcPr>
            <w:tcW w:w="709" w:type="dxa"/>
          </w:tcPr>
          <w:p w14:paraId="1D8F1FAE" w14:textId="7A1DFDA9" w:rsidR="00CA6D48" w:rsidRPr="00C43C8F" w:rsidRDefault="00CA6D48" w:rsidP="00F60857">
            <w:pPr>
              <w:spacing w:line="20" w:lineRule="atLeast"/>
              <w:ind w:firstLine="0"/>
              <w:jc w:val="center"/>
              <w:rPr>
                <w:b/>
                <w:i/>
                <w:sz w:val="20"/>
                <w:szCs w:val="20"/>
              </w:rPr>
            </w:pPr>
            <w:r w:rsidRPr="00C43C8F">
              <w:rPr>
                <w:b/>
                <w:i/>
                <w:sz w:val="20"/>
                <w:szCs w:val="20"/>
              </w:rPr>
              <w:t>0</w:t>
            </w:r>
            <w:r w:rsidR="002E0124" w:rsidRPr="00C43C8F">
              <w:rPr>
                <w:b/>
                <w:i/>
                <w:sz w:val="20"/>
                <w:szCs w:val="20"/>
              </w:rPr>
              <w:t>,00</w:t>
            </w:r>
          </w:p>
        </w:tc>
        <w:tc>
          <w:tcPr>
            <w:tcW w:w="638" w:type="dxa"/>
          </w:tcPr>
          <w:p w14:paraId="16BF2317" w14:textId="6B992C7C" w:rsidR="00CA6D48" w:rsidRPr="00C43C8F" w:rsidRDefault="00CA6D48" w:rsidP="005F1378">
            <w:pPr>
              <w:spacing w:line="20" w:lineRule="atLeast"/>
              <w:ind w:left="-37" w:right="-37" w:firstLine="0"/>
              <w:jc w:val="center"/>
              <w:rPr>
                <w:b/>
                <w:i/>
                <w:sz w:val="20"/>
                <w:szCs w:val="20"/>
              </w:rPr>
            </w:pPr>
            <w:r w:rsidRPr="00C43C8F">
              <w:rPr>
                <w:b/>
                <w:i/>
                <w:sz w:val="20"/>
                <w:szCs w:val="20"/>
              </w:rPr>
              <w:t>0</w:t>
            </w:r>
            <w:r w:rsidR="002E0124" w:rsidRPr="00C43C8F">
              <w:rPr>
                <w:b/>
                <w:i/>
                <w:sz w:val="20"/>
                <w:szCs w:val="20"/>
              </w:rPr>
              <w:t>,00</w:t>
            </w:r>
          </w:p>
        </w:tc>
        <w:tc>
          <w:tcPr>
            <w:tcW w:w="1063" w:type="dxa"/>
          </w:tcPr>
          <w:p w14:paraId="3DB1EAC5" w14:textId="23DAFFC8" w:rsidR="00CA6D48" w:rsidRPr="00C43C8F" w:rsidRDefault="00CA6D48" w:rsidP="005F1378">
            <w:pPr>
              <w:spacing w:line="20" w:lineRule="atLeast"/>
              <w:ind w:left="-37" w:right="-38" w:firstLine="0"/>
              <w:jc w:val="center"/>
              <w:rPr>
                <w:b/>
                <w:i/>
                <w:sz w:val="20"/>
                <w:szCs w:val="20"/>
              </w:rPr>
            </w:pPr>
            <w:r w:rsidRPr="00C43C8F">
              <w:rPr>
                <w:b/>
                <w:i/>
                <w:sz w:val="20"/>
                <w:szCs w:val="20"/>
              </w:rPr>
              <w:t>698</w:t>
            </w:r>
            <w:r w:rsidR="005F1378" w:rsidRPr="00C43C8F">
              <w:rPr>
                <w:b/>
                <w:i/>
                <w:sz w:val="20"/>
                <w:szCs w:val="20"/>
              </w:rPr>
              <w:t>.</w:t>
            </w:r>
            <w:r w:rsidRPr="00C43C8F">
              <w:rPr>
                <w:b/>
                <w:i/>
                <w:sz w:val="20"/>
                <w:szCs w:val="20"/>
              </w:rPr>
              <w:t>015,00</w:t>
            </w:r>
          </w:p>
        </w:tc>
        <w:tc>
          <w:tcPr>
            <w:tcW w:w="1205" w:type="dxa"/>
          </w:tcPr>
          <w:p w14:paraId="6D8850FE" w14:textId="04A1D26B" w:rsidR="00CA6D48" w:rsidRPr="00C43C8F" w:rsidRDefault="00CA6D48" w:rsidP="001564B7">
            <w:pPr>
              <w:ind w:left="-37" w:right="-38" w:firstLine="0"/>
              <w:jc w:val="center"/>
              <w:rPr>
                <w:b/>
                <w:i/>
                <w:sz w:val="20"/>
                <w:szCs w:val="20"/>
              </w:rPr>
            </w:pPr>
            <w:r w:rsidRPr="00C43C8F">
              <w:rPr>
                <w:b/>
                <w:bCs/>
                <w:i/>
                <w:iCs/>
                <w:color w:val="000000"/>
                <w:sz w:val="20"/>
                <w:szCs w:val="20"/>
              </w:rPr>
              <w:t>5.619.500,00</w:t>
            </w:r>
          </w:p>
        </w:tc>
        <w:tc>
          <w:tcPr>
            <w:tcW w:w="1276" w:type="dxa"/>
          </w:tcPr>
          <w:p w14:paraId="219820C7" w14:textId="4F120A18" w:rsidR="00CA6D48" w:rsidRPr="00C43C8F" w:rsidRDefault="00CA6D48" w:rsidP="001564B7">
            <w:pPr>
              <w:ind w:left="-37" w:right="-38" w:firstLine="0"/>
              <w:jc w:val="center"/>
              <w:rPr>
                <w:b/>
                <w:i/>
                <w:sz w:val="20"/>
                <w:szCs w:val="20"/>
              </w:rPr>
            </w:pPr>
            <w:r w:rsidRPr="00C43C8F">
              <w:rPr>
                <w:b/>
                <w:bCs/>
                <w:i/>
                <w:iCs/>
                <w:color w:val="000000"/>
                <w:sz w:val="20"/>
                <w:szCs w:val="20"/>
              </w:rPr>
              <w:t>4.921.920,70</w:t>
            </w:r>
          </w:p>
        </w:tc>
        <w:tc>
          <w:tcPr>
            <w:tcW w:w="567" w:type="dxa"/>
          </w:tcPr>
          <w:p w14:paraId="642E398C" w14:textId="6E4C870E" w:rsidR="00CA6D48" w:rsidRPr="00C43C8F" w:rsidRDefault="00CA6D48" w:rsidP="00CB0FB6">
            <w:pPr>
              <w:spacing w:line="20" w:lineRule="atLeast"/>
              <w:ind w:firstLine="0"/>
              <w:jc w:val="center"/>
              <w:rPr>
                <w:b/>
                <w:i/>
                <w:sz w:val="20"/>
                <w:szCs w:val="20"/>
              </w:rPr>
            </w:pPr>
            <w:r w:rsidRPr="00C43C8F">
              <w:rPr>
                <w:b/>
                <w:i/>
                <w:sz w:val="20"/>
                <w:szCs w:val="20"/>
              </w:rPr>
              <w:t>0</w:t>
            </w:r>
            <w:r w:rsidR="002E0124" w:rsidRPr="00C43C8F">
              <w:rPr>
                <w:b/>
                <w:i/>
                <w:sz w:val="20"/>
                <w:szCs w:val="20"/>
              </w:rPr>
              <w:t>,00</w:t>
            </w:r>
          </w:p>
        </w:tc>
        <w:tc>
          <w:tcPr>
            <w:tcW w:w="637" w:type="dxa"/>
          </w:tcPr>
          <w:p w14:paraId="5C62A618" w14:textId="08E62797" w:rsidR="00CA6D48" w:rsidRPr="00C43C8F" w:rsidRDefault="00CA6D48" w:rsidP="00CB0FB6">
            <w:pPr>
              <w:spacing w:line="20" w:lineRule="atLeast"/>
              <w:ind w:firstLine="0"/>
              <w:jc w:val="center"/>
              <w:rPr>
                <w:b/>
                <w:i/>
                <w:sz w:val="20"/>
                <w:szCs w:val="20"/>
              </w:rPr>
            </w:pPr>
            <w:r w:rsidRPr="00C43C8F">
              <w:rPr>
                <w:b/>
                <w:i/>
                <w:sz w:val="20"/>
                <w:szCs w:val="20"/>
              </w:rPr>
              <w:t>0</w:t>
            </w:r>
            <w:r w:rsidR="002E0124" w:rsidRPr="00C43C8F">
              <w:rPr>
                <w:b/>
                <w:i/>
                <w:sz w:val="20"/>
                <w:szCs w:val="20"/>
              </w:rPr>
              <w:t>,00</w:t>
            </w:r>
          </w:p>
        </w:tc>
        <w:tc>
          <w:tcPr>
            <w:tcW w:w="1382" w:type="dxa"/>
            <w:gridSpan w:val="2"/>
          </w:tcPr>
          <w:p w14:paraId="4F8AD8AF" w14:textId="021A0F8B" w:rsidR="00CA6D48" w:rsidRPr="00C43C8F" w:rsidRDefault="00CA6D48" w:rsidP="00CB0FB6">
            <w:pPr>
              <w:ind w:firstLine="0"/>
              <w:jc w:val="center"/>
              <w:rPr>
                <w:b/>
                <w:i/>
                <w:sz w:val="20"/>
                <w:szCs w:val="20"/>
              </w:rPr>
            </w:pPr>
            <w:r w:rsidRPr="00C43C8F">
              <w:rPr>
                <w:b/>
                <w:i/>
                <w:sz w:val="20"/>
                <w:szCs w:val="20"/>
              </w:rPr>
              <w:t>11.239.435,70</w:t>
            </w:r>
          </w:p>
        </w:tc>
      </w:tr>
      <w:tr w:rsidR="002E0124" w:rsidRPr="00C43C8F" w14:paraId="51877D53" w14:textId="77777777" w:rsidTr="005F1378">
        <w:trPr>
          <w:jc w:val="center"/>
        </w:trPr>
        <w:tc>
          <w:tcPr>
            <w:tcW w:w="1809" w:type="dxa"/>
            <w:vAlign w:val="bottom"/>
          </w:tcPr>
          <w:p w14:paraId="643180F1" w14:textId="77777777" w:rsidR="002E0124" w:rsidRPr="00C43C8F" w:rsidRDefault="002E0124" w:rsidP="00F60857">
            <w:pPr>
              <w:spacing w:line="20" w:lineRule="atLeast"/>
              <w:ind w:firstLine="0"/>
              <w:jc w:val="left"/>
              <w:rPr>
                <w:sz w:val="22"/>
                <w:szCs w:val="22"/>
              </w:rPr>
            </w:pPr>
            <w:r w:rsidRPr="00C43C8F">
              <w:rPr>
                <w:sz w:val="22"/>
                <w:szCs w:val="22"/>
              </w:rPr>
              <w:t>Vilnius</w:t>
            </w:r>
          </w:p>
        </w:tc>
        <w:tc>
          <w:tcPr>
            <w:tcW w:w="709" w:type="dxa"/>
          </w:tcPr>
          <w:p w14:paraId="5A2C97AF" w14:textId="73CDBB12"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7BC3F142" w14:textId="161CA796"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270B6544" w14:textId="4FDE2C52" w:rsidR="002E0124" w:rsidRPr="00C43C8F" w:rsidRDefault="002E0124" w:rsidP="005F1378">
            <w:pPr>
              <w:ind w:left="-37" w:right="-38" w:firstLine="0"/>
              <w:jc w:val="center"/>
              <w:rPr>
                <w:color w:val="000000"/>
                <w:sz w:val="20"/>
                <w:szCs w:val="20"/>
              </w:rPr>
            </w:pPr>
            <w:r w:rsidRPr="00C43C8F">
              <w:rPr>
                <w:sz w:val="20"/>
                <w:szCs w:val="20"/>
              </w:rPr>
              <w:t>0,00</w:t>
            </w:r>
          </w:p>
        </w:tc>
        <w:tc>
          <w:tcPr>
            <w:tcW w:w="1205" w:type="dxa"/>
          </w:tcPr>
          <w:p w14:paraId="7B38B7F1" w14:textId="4955C8DA" w:rsidR="002E0124" w:rsidRPr="00C43C8F" w:rsidRDefault="002E0124" w:rsidP="001564B7">
            <w:pPr>
              <w:ind w:left="-37" w:right="-38" w:firstLine="0"/>
              <w:jc w:val="center"/>
              <w:rPr>
                <w:sz w:val="20"/>
                <w:szCs w:val="20"/>
              </w:rPr>
            </w:pPr>
            <w:r w:rsidRPr="00C43C8F">
              <w:rPr>
                <w:color w:val="000000"/>
                <w:sz w:val="20"/>
                <w:szCs w:val="20"/>
              </w:rPr>
              <w:t>1.021.800,00</w:t>
            </w:r>
          </w:p>
        </w:tc>
        <w:tc>
          <w:tcPr>
            <w:tcW w:w="1276" w:type="dxa"/>
          </w:tcPr>
          <w:p w14:paraId="49F59B60" w14:textId="7B072B4F" w:rsidR="002E0124" w:rsidRPr="00C43C8F" w:rsidRDefault="002E0124" w:rsidP="001564B7">
            <w:pPr>
              <w:ind w:left="-37" w:right="-38" w:firstLine="0"/>
              <w:jc w:val="center"/>
              <w:rPr>
                <w:sz w:val="20"/>
                <w:szCs w:val="20"/>
              </w:rPr>
            </w:pPr>
            <w:r w:rsidRPr="00C43C8F">
              <w:rPr>
                <w:color w:val="000000"/>
                <w:sz w:val="20"/>
                <w:szCs w:val="20"/>
              </w:rPr>
              <w:t>1.021.733,77</w:t>
            </w:r>
          </w:p>
        </w:tc>
        <w:tc>
          <w:tcPr>
            <w:tcW w:w="567" w:type="dxa"/>
          </w:tcPr>
          <w:p w14:paraId="6E569168" w14:textId="2D3021DB" w:rsidR="002E0124" w:rsidRPr="00C43C8F" w:rsidRDefault="002E0124" w:rsidP="00F60857">
            <w:pPr>
              <w:spacing w:line="20" w:lineRule="atLeast"/>
              <w:ind w:firstLine="0"/>
              <w:jc w:val="center"/>
              <w:rPr>
                <w:sz w:val="20"/>
                <w:szCs w:val="20"/>
              </w:rPr>
            </w:pPr>
            <w:r w:rsidRPr="00C43C8F">
              <w:rPr>
                <w:sz w:val="20"/>
                <w:szCs w:val="20"/>
              </w:rPr>
              <w:t>0,00</w:t>
            </w:r>
          </w:p>
        </w:tc>
        <w:tc>
          <w:tcPr>
            <w:tcW w:w="637" w:type="dxa"/>
          </w:tcPr>
          <w:p w14:paraId="0A153354" w14:textId="62DD7281" w:rsidR="002E0124" w:rsidRPr="00C43C8F" w:rsidRDefault="002E0124" w:rsidP="00F60857">
            <w:pPr>
              <w:spacing w:line="20" w:lineRule="atLeast"/>
              <w:ind w:firstLine="0"/>
              <w:jc w:val="center"/>
              <w:rPr>
                <w:sz w:val="20"/>
                <w:szCs w:val="20"/>
              </w:rPr>
            </w:pPr>
            <w:r w:rsidRPr="00C43C8F">
              <w:rPr>
                <w:sz w:val="20"/>
                <w:szCs w:val="20"/>
              </w:rPr>
              <w:t>0,00</w:t>
            </w:r>
          </w:p>
        </w:tc>
        <w:tc>
          <w:tcPr>
            <w:tcW w:w="1382" w:type="dxa"/>
            <w:gridSpan w:val="2"/>
          </w:tcPr>
          <w:p w14:paraId="6A5ECA65" w14:textId="77777777" w:rsidR="002E0124" w:rsidRPr="00C43C8F" w:rsidRDefault="002E0124" w:rsidP="00F60857">
            <w:pPr>
              <w:ind w:firstLine="0"/>
              <w:jc w:val="right"/>
              <w:rPr>
                <w:sz w:val="20"/>
                <w:szCs w:val="20"/>
              </w:rPr>
            </w:pPr>
            <w:r w:rsidRPr="00C43C8F">
              <w:rPr>
                <w:sz w:val="20"/>
                <w:szCs w:val="20"/>
              </w:rPr>
              <w:t xml:space="preserve">2.043.533,77  </w:t>
            </w:r>
          </w:p>
        </w:tc>
      </w:tr>
      <w:tr w:rsidR="002E0124" w:rsidRPr="00C43C8F" w14:paraId="14140E25" w14:textId="77777777" w:rsidTr="005F1378">
        <w:trPr>
          <w:jc w:val="center"/>
        </w:trPr>
        <w:tc>
          <w:tcPr>
            <w:tcW w:w="1809" w:type="dxa"/>
            <w:vAlign w:val="bottom"/>
          </w:tcPr>
          <w:p w14:paraId="55DFC3ED" w14:textId="77777777" w:rsidR="002E0124" w:rsidRPr="00C43C8F" w:rsidRDefault="002E0124" w:rsidP="00F60857">
            <w:pPr>
              <w:spacing w:line="20" w:lineRule="atLeast"/>
              <w:ind w:firstLine="0"/>
              <w:jc w:val="left"/>
              <w:rPr>
                <w:sz w:val="22"/>
                <w:szCs w:val="22"/>
              </w:rPr>
            </w:pPr>
            <w:r w:rsidRPr="00C43C8F">
              <w:rPr>
                <w:sz w:val="22"/>
                <w:szCs w:val="22"/>
              </w:rPr>
              <w:t>Kaunas</w:t>
            </w:r>
          </w:p>
        </w:tc>
        <w:tc>
          <w:tcPr>
            <w:tcW w:w="709" w:type="dxa"/>
          </w:tcPr>
          <w:p w14:paraId="046C2EB9" w14:textId="3FAFC64A"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45491798" w14:textId="7E91A90F"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201AF863" w14:textId="349C8772" w:rsidR="002E0124" w:rsidRPr="00C43C8F" w:rsidRDefault="002E0124" w:rsidP="005F1378">
            <w:pPr>
              <w:ind w:left="-37" w:right="-38" w:firstLine="0"/>
              <w:jc w:val="center"/>
              <w:rPr>
                <w:color w:val="000000"/>
                <w:sz w:val="20"/>
                <w:szCs w:val="20"/>
              </w:rPr>
            </w:pPr>
            <w:r w:rsidRPr="00C43C8F">
              <w:rPr>
                <w:sz w:val="20"/>
                <w:szCs w:val="20"/>
              </w:rPr>
              <w:t>0,00</w:t>
            </w:r>
          </w:p>
        </w:tc>
        <w:tc>
          <w:tcPr>
            <w:tcW w:w="1205" w:type="dxa"/>
          </w:tcPr>
          <w:p w14:paraId="45B7C375" w14:textId="5D1566EA" w:rsidR="002E0124" w:rsidRPr="00C43C8F" w:rsidRDefault="002E0124" w:rsidP="001564B7">
            <w:pPr>
              <w:ind w:left="-37" w:right="-38" w:firstLine="0"/>
              <w:jc w:val="center"/>
              <w:rPr>
                <w:sz w:val="20"/>
                <w:szCs w:val="20"/>
              </w:rPr>
            </w:pPr>
            <w:r w:rsidRPr="00C43C8F">
              <w:rPr>
                <w:color w:val="000000"/>
                <w:sz w:val="20"/>
                <w:szCs w:val="20"/>
              </w:rPr>
              <w:t>1.021.800,00</w:t>
            </w:r>
          </w:p>
        </w:tc>
        <w:tc>
          <w:tcPr>
            <w:tcW w:w="1276" w:type="dxa"/>
          </w:tcPr>
          <w:p w14:paraId="35D24302" w14:textId="191A0A88" w:rsidR="002E0124" w:rsidRPr="00C43C8F" w:rsidRDefault="002E0124" w:rsidP="001564B7">
            <w:pPr>
              <w:ind w:left="-37" w:right="-38" w:firstLine="0"/>
              <w:jc w:val="center"/>
              <w:rPr>
                <w:sz w:val="20"/>
                <w:szCs w:val="20"/>
              </w:rPr>
            </w:pPr>
            <w:r w:rsidRPr="00C43C8F">
              <w:rPr>
                <w:color w:val="000000"/>
                <w:sz w:val="20"/>
                <w:szCs w:val="20"/>
              </w:rPr>
              <w:t>1.021.733,77</w:t>
            </w:r>
          </w:p>
        </w:tc>
        <w:tc>
          <w:tcPr>
            <w:tcW w:w="567" w:type="dxa"/>
          </w:tcPr>
          <w:p w14:paraId="5E6185F5" w14:textId="683EFCDA" w:rsidR="002E0124" w:rsidRPr="00C43C8F" w:rsidRDefault="002E0124" w:rsidP="00F60857">
            <w:pPr>
              <w:spacing w:line="20" w:lineRule="atLeast"/>
              <w:ind w:firstLine="0"/>
              <w:jc w:val="center"/>
              <w:rPr>
                <w:sz w:val="20"/>
                <w:szCs w:val="20"/>
              </w:rPr>
            </w:pPr>
            <w:r w:rsidRPr="00C43C8F">
              <w:rPr>
                <w:sz w:val="20"/>
                <w:szCs w:val="20"/>
              </w:rPr>
              <w:t>0,00</w:t>
            </w:r>
          </w:p>
        </w:tc>
        <w:tc>
          <w:tcPr>
            <w:tcW w:w="637" w:type="dxa"/>
          </w:tcPr>
          <w:p w14:paraId="5E5CE6DD" w14:textId="1E9DE0DA" w:rsidR="002E0124" w:rsidRPr="00C43C8F" w:rsidRDefault="002E0124" w:rsidP="00F60857">
            <w:pPr>
              <w:spacing w:line="20" w:lineRule="atLeast"/>
              <w:ind w:firstLine="0"/>
              <w:jc w:val="center"/>
              <w:rPr>
                <w:sz w:val="20"/>
                <w:szCs w:val="20"/>
              </w:rPr>
            </w:pPr>
            <w:r w:rsidRPr="00C43C8F">
              <w:rPr>
                <w:sz w:val="20"/>
                <w:szCs w:val="20"/>
              </w:rPr>
              <w:t>0,00</w:t>
            </w:r>
          </w:p>
        </w:tc>
        <w:tc>
          <w:tcPr>
            <w:tcW w:w="1382" w:type="dxa"/>
            <w:gridSpan w:val="2"/>
          </w:tcPr>
          <w:p w14:paraId="2D11847A" w14:textId="77777777" w:rsidR="002E0124" w:rsidRPr="00C43C8F" w:rsidRDefault="002E0124" w:rsidP="00F60857">
            <w:pPr>
              <w:ind w:firstLine="0"/>
              <w:jc w:val="right"/>
              <w:rPr>
                <w:sz w:val="20"/>
                <w:szCs w:val="20"/>
              </w:rPr>
            </w:pPr>
            <w:r w:rsidRPr="00C43C8F">
              <w:rPr>
                <w:sz w:val="20"/>
                <w:szCs w:val="20"/>
              </w:rPr>
              <w:t xml:space="preserve">2.043.533,77  </w:t>
            </w:r>
          </w:p>
        </w:tc>
      </w:tr>
      <w:tr w:rsidR="002E0124" w:rsidRPr="00C43C8F" w14:paraId="3ECB1912" w14:textId="77777777" w:rsidTr="005F1378">
        <w:trPr>
          <w:jc w:val="center"/>
        </w:trPr>
        <w:tc>
          <w:tcPr>
            <w:tcW w:w="1809" w:type="dxa"/>
            <w:vAlign w:val="bottom"/>
          </w:tcPr>
          <w:p w14:paraId="606F6267" w14:textId="77777777" w:rsidR="002E0124" w:rsidRPr="00C43C8F" w:rsidRDefault="002E0124" w:rsidP="00F60857">
            <w:pPr>
              <w:spacing w:line="20" w:lineRule="atLeast"/>
              <w:ind w:firstLine="0"/>
              <w:jc w:val="left"/>
              <w:rPr>
                <w:sz w:val="22"/>
                <w:szCs w:val="22"/>
              </w:rPr>
            </w:pPr>
            <w:r w:rsidRPr="00C43C8F">
              <w:rPr>
                <w:sz w:val="22"/>
                <w:szCs w:val="22"/>
              </w:rPr>
              <w:t>Klaipėda</w:t>
            </w:r>
          </w:p>
        </w:tc>
        <w:tc>
          <w:tcPr>
            <w:tcW w:w="709" w:type="dxa"/>
          </w:tcPr>
          <w:p w14:paraId="2C1EF5C4" w14:textId="7EEFF68C"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3AC72CB5" w14:textId="5F1CC7A5"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060AE0B1" w14:textId="71A7CA81" w:rsidR="002E0124" w:rsidRPr="00C43C8F" w:rsidRDefault="002E0124" w:rsidP="005F1378">
            <w:pPr>
              <w:ind w:left="-37" w:right="-38" w:firstLine="0"/>
              <w:jc w:val="center"/>
              <w:rPr>
                <w:color w:val="000000"/>
                <w:sz w:val="20"/>
                <w:szCs w:val="20"/>
              </w:rPr>
            </w:pPr>
            <w:r w:rsidRPr="00C43C8F">
              <w:rPr>
                <w:sz w:val="20"/>
                <w:szCs w:val="20"/>
              </w:rPr>
              <w:t>0,00</w:t>
            </w:r>
          </w:p>
        </w:tc>
        <w:tc>
          <w:tcPr>
            <w:tcW w:w="1205" w:type="dxa"/>
          </w:tcPr>
          <w:p w14:paraId="6A5A9DF8" w14:textId="1712CFFC" w:rsidR="002E0124" w:rsidRPr="00C43C8F" w:rsidRDefault="002E0124" w:rsidP="001564B7">
            <w:pPr>
              <w:ind w:left="-37" w:right="-38" w:firstLine="0"/>
              <w:jc w:val="center"/>
              <w:rPr>
                <w:sz w:val="20"/>
                <w:szCs w:val="20"/>
              </w:rPr>
            </w:pPr>
            <w:r w:rsidRPr="00C43C8F">
              <w:rPr>
                <w:color w:val="000000"/>
                <w:sz w:val="20"/>
                <w:szCs w:val="20"/>
              </w:rPr>
              <w:t>510.900,00</w:t>
            </w:r>
          </w:p>
        </w:tc>
        <w:tc>
          <w:tcPr>
            <w:tcW w:w="1276" w:type="dxa"/>
          </w:tcPr>
          <w:p w14:paraId="316B31B9" w14:textId="47C1C273" w:rsidR="002E0124" w:rsidRPr="00C43C8F" w:rsidRDefault="002E0124" w:rsidP="001564B7">
            <w:pPr>
              <w:ind w:left="-37" w:right="-38" w:firstLine="0"/>
              <w:jc w:val="center"/>
              <w:rPr>
                <w:sz w:val="20"/>
                <w:szCs w:val="20"/>
              </w:rPr>
            </w:pPr>
            <w:r w:rsidRPr="00C43C8F">
              <w:rPr>
                <w:color w:val="000000"/>
                <w:sz w:val="20"/>
                <w:szCs w:val="20"/>
              </w:rPr>
              <w:t>510.866,88</w:t>
            </w:r>
          </w:p>
        </w:tc>
        <w:tc>
          <w:tcPr>
            <w:tcW w:w="567" w:type="dxa"/>
          </w:tcPr>
          <w:p w14:paraId="785F5EFE" w14:textId="70380F27" w:rsidR="002E0124" w:rsidRPr="00C43C8F" w:rsidRDefault="002E0124" w:rsidP="00F60857">
            <w:pPr>
              <w:spacing w:line="20" w:lineRule="atLeast"/>
              <w:ind w:firstLine="0"/>
              <w:jc w:val="center"/>
              <w:rPr>
                <w:sz w:val="20"/>
                <w:szCs w:val="20"/>
              </w:rPr>
            </w:pPr>
            <w:r w:rsidRPr="00C43C8F">
              <w:rPr>
                <w:sz w:val="20"/>
                <w:szCs w:val="20"/>
              </w:rPr>
              <w:t>0,00</w:t>
            </w:r>
          </w:p>
        </w:tc>
        <w:tc>
          <w:tcPr>
            <w:tcW w:w="637" w:type="dxa"/>
          </w:tcPr>
          <w:p w14:paraId="7DCC3FD7" w14:textId="6A62AC8E" w:rsidR="002E0124" w:rsidRPr="00C43C8F" w:rsidRDefault="002E0124" w:rsidP="00F60857">
            <w:pPr>
              <w:spacing w:line="20" w:lineRule="atLeast"/>
              <w:ind w:firstLine="0"/>
              <w:jc w:val="center"/>
              <w:rPr>
                <w:sz w:val="20"/>
                <w:szCs w:val="20"/>
              </w:rPr>
            </w:pPr>
            <w:r w:rsidRPr="00C43C8F">
              <w:rPr>
                <w:sz w:val="20"/>
                <w:szCs w:val="20"/>
              </w:rPr>
              <w:t>0,00</w:t>
            </w:r>
          </w:p>
        </w:tc>
        <w:tc>
          <w:tcPr>
            <w:tcW w:w="1382" w:type="dxa"/>
            <w:gridSpan w:val="2"/>
          </w:tcPr>
          <w:p w14:paraId="1FBA07D4" w14:textId="77777777" w:rsidR="002E0124" w:rsidRPr="00C43C8F" w:rsidRDefault="002E0124" w:rsidP="00F60857">
            <w:pPr>
              <w:ind w:firstLine="0"/>
              <w:jc w:val="right"/>
              <w:rPr>
                <w:sz w:val="20"/>
                <w:szCs w:val="20"/>
              </w:rPr>
            </w:pPr>
            <w:r w:rsidRPr="00C43C8F">
              <w:rPr>
                <w:sz w:val="20"/>
                <w:szCs w:val="20"/>
              </w:rPr>
              <w:t xml:space="preserve">1.021.766,88  </w:t>
            </w:r>
          </w:p>
        </w:tc>
      </w:tr>
      <w:tr w:rsidR="002E0124" w:rsidRPr="00C43C8F" w14:paraId="10CC754A" w14:textId="77777777" w:rsidTr="005F1378">
        <w:trPr>
          <w:jc w:val="center"/>
        </w:trPr>
        <w:tc>
          <w:tcPr>
            <w:tcW w:w="1809" w:type="dxa"/>
            <w:vAlign w:val="bottom"/>
          </w:tcPr>
          <w:p w14:paraId="108DA534" w14:textId="77777777" w:rsidR="002E0124" w:rsidRPr="00C43C8F" w:rsidRDefault="002E0124" w:rsidP="00F60857">
            <w:pPr>
              <w:spacing w:line="20" w:lineRule="atLeast"/>
              <w:ind w:firstLine="0"/>
              <w:jc w:val="left"/>
              <w:rPr>
                <w:sz w:val="22"/>
                <w:szCs w:val="22"/>
              </w:rPr>
            </w:pPr>
            <w:r w:rsidRPr="00C43C8F">
              <w:rPr>
                <w:sz w:val="22"/>
                <w:szCs w:val="22"/>
              </w:rPr>
              <w:t>Šiauliai</w:t>
            </w:r>
          </w:p>
        </w:tc>
        <w:tc>
          <w:tcPr>
            <w:tcW w:w="709" w:type="dxa"/>
          </w:tcPr>
          <w:p w14:paraId="25077151" w14:textId="1631CE94"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2992F776" w14:textId="0BA8910C"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062C24D7" w14:textId="6169ABA0" w:rsidR="002E0124" w:rsidRPr="00C43C8F" w:rsidRDefault="002E0124" w:rsidP="005F1378">
            <w:pPr>
              <w:spacing w:line="20" w:lineRule="atLeast"/>
              <w:ind w:left="-37" w:right="-38" w:firstLine="0"/>
              <w:jc w:val="center"/>
              <w:rPr>
                <w:sz w:val="20"/>
                <w:szCs w:val="20"/>
              </w:rPr>
            </w:pPr>
            <w:r w:rsidRPr="00C43C8F">
              <w:rPr>
                <w:sz w:val="20"/>
                <w:szCs w:val="20"/>
              </w:rPr>
              <w:t>0,00</w:t>
            </w:r>
          </w:p>
        </w:tc>
        <w:tc>
          <w:tcPr>
            <w:tcW w:w="1205" w:type="dxa"/>
          </w:tcPr>
          <w:p w14:paraId="668DFDB5" w14:textId="2661E229" w:rsidR="002E0124" w:rsidRPr="00C43C8F" w:rsidRDefault="002E0124" w:rsidP="001564B7">
            <w:pPr>
              <w:ind w:left="-37" w:right="-38" w:firstLine="0"/>
              <w:jc w:val="center"/>
              <w:rPr>
                <w:sz w:val="20"/>
                <w:szCs w:val="20"/>
              </w:rPr>
            </w:pPr>
            <w:r w:rsidRPr="00C43C8F">
              <w:rPr>
                <w:color w:val="000000"/>
                <w:sz w:val="20"/>
                <w:szCs w:val="20"/>
              </w:rPr>
              <w:t>0,00</w:t>
            </w:r>
          </w:p>
        </w:tc>
        <w:tc>
          <w:tcPr>
            <w:tcW w:w="1276" w:type="dxa"/>
          </w:tcPr>
          <w:p w14:paraId="704AEC08" w14:textId="142E1238" w:rsidR="002E0124" w:rsidRPr="00C43C8F" w:rsidRDefault="002E0124" w:rsidP="001564B7">
            <w:pPr>
              <w:ind w:left="-37" w:right="-38" w:firstLine="0"/>
              <w:jc w:val="center"/>
              <w:rPr>
                <w:sz w:val="20"/>
                <w:szCs w:val="20"/>
              </w:rPr>
            </w:pPr>
            <w:r w:rsidRPr="00C43C8F">
              <w:rPr>
                <w:color w:val="000000"/>
                <w:sz w:val="20"/>
                <w:szCs w:val="20"/>
              </w:rPr>
              <w:t>0,00</w:t>
            </w:r>
          </w:p>
        </w:tc>
        <w:tc>
          <w:tcPr>
            <w:tcW w:w="567" w:type="dxa"/>
          </w:tcPr>
          <w:p w14:paraId="054DE299" w14:textId="3CD28547" w:rsidR="002E0124" w:rsidRPr="00C43C8F" w:rsidRDefault="002E0124" w:rsidP="00CB0FB6">
            <w:pPr>
              <w:spacing w:line="20" w:lineRule="atLeast"/>
              <w:ind w:firstLine="0"/>
              <w:jc w:val="center"/>
              <w:rPr>
                <w:sz w:val="20"/>
                <w:szCs w:val="20"/>
              </w:rPr>
            </w:pPr>
            <w:r w:rsidRPr="00C43C8F">
              <w:rPr>
                <w:sz w:val="20"/>
                <w:szCs w:val="20"/>
              </w:rPr>
              <w:t>0,00</w:t>
            </w:r>
          </w:p>
        </w:tc>
        <w:tc>
          <w:tcPr>
            <w:tcW w:w="637" w:type="dxa"/>
          </w:tcPr>
          <w:p w14:paraId="17FACC72" w14:textId="56E517F7" w:rsidR="002E0124" w:rsidRPr="00C43C8F" w:rsidRDefault="002E0124" w:rsidP="00CB0FB6">
            <w:pPr>
              <w:spacing w:line="20" w:lineRule="atLeast"/>
              <w:ind w:firstLine="0"/>
              <w:jc w:val="center"/>
              <w:rPr>
                <w:sz w:val="20"/>
                <w:szCs w:val="20"/>
              </w:rPr>
            </w:pPr>
            <w:r w:rsidRPr="00C43C8F">
              <w:rPr>
                <w:sz w:val="20"/>
                <w:szCs w:val="20"/>
              </w:rPr>
              <w:t>0,00</w:t>
            </w:r>
          </w:p>
        </w:tc>
        <w:tc>
          <w:tcPr>
            <w:tcW w:w="1382" w:type="dxa"/>
            <w:gridSpan w:val="2"/>
          </w:tcPr>
          <w:p w14:paraId="0B81E21F" w14:textId="467DA138" w:rsidR="002E0124" w:rsidRPr="00C43C8F" w:rsidRDefault="002E0124" w:rsidP="00CB0FB6">
            <w:pPr>
              <w:ind w:firstLine="0"/>
              <w:jc w:val="center"/>
              <w:rPr>
                <w:sz w:val="20"/>
                <w:szCs w:val="20"/>
              </w:rPr>
            </w:pPr>
            <w:r w:rsidRPr="00C43C8F">
              <w:rPr>
                <w:sz w:val="20"/>
                <w:szCs w:val="20"/>
              </w:rPr>
              <w:t>0,00</w:t>
            </w:r>
          </w:p>
        </w:tc>
      </w:tr>
      <w:tr w:rsidR="002E0124" w:rsidRPr="00C43C8F" w14:paraId="1E014739" w14:textId="77777777" w:rsidTr="005F1378">
        <w:trPr>
          <w:jc w:val="center"/>
        </w:trPr>
        <w:tc>
          <w:tcPr>
            <w:tcW w:w="1809" w:type="dxa"/>
            <w:vAlign w:val="bottom"/>
          </w:tcPr>
          <w:p w14:paraId="0EBC49F0" w14:textId="77777777" w:rsidR="002E0124" w:rsidRPr="00C43C8F" w:rsidRDefault="002E0124" w:rsidP="00F60857">
            <w:pPr>
              <w:spacing w:line="20" w:lineRule="atLeast"/>
              <w:ind w:firstLine="0"/>
              <w:jc w:val="left"/>
              <w:rPr>
                <w:sz w:val="22"/>
                <w:szCs w:val="22"/>
              </w:rPr>
            </w:pPr>
            <w:r w:rsidRPr="00C43C8F">
              <w:rPr>
                <w:sz w:val="22"/>
                <w:szCs w:val="22"/>
              </w:rPr>
              <w:t>Panevėžys</w:t>
            </w:r>
          </w:p>
        </w:tc>
        <w:tc>
          <w:tcPr>
            <w:tcW w:w="709" w:type="dxa"/>
          </w:tcPr>
          <w:p w14:paraId="686D3C8C" w14:textId="06483ACF" w:rsidR="002E0124" w:rsidRPr="00C43C8F" w:rsidRDefault="002E0124" w:rsidP="00F60857">
            <w:pPr>
              <w:spacing w:line="20" w:lineRule="atLeast"/>
              <w:ind w:firstLine="0"/>
              <w:jc w:val="center"/>
              <w:rPr>
                <w:sz w:val="20"/>
                <w:szCs w:val="20"/>
              </w:rPr>
            </w:pPr>
            <w:r w:rsidRPr="00C43C8F">
              <w:rPr>
                <w:sz w:val="20"/>
                <w:szCs w:val="20"/>
              </w:rPr>
              <w:t>0,00</w:t>
            </w:r>
          </w:p>
        </w:tc>
        <w:tc>
          <w:tcPr>
            <w:tcW w:w="638" w:type="dxa"/>
          </w:tcPr>
          <w:p w14:paraId="41B8C830" w14:textId="7C819BCE" w:rsidR="002E0124" w:rsidRPr="00C43C8F" w:rsidRDefault="002E0124" w:rsidP="005F1378">
            <w:pPr>
              <w:spacing w:line="20" w:lineRule="atLeast"/>
              <w:ind w:left="-37" w:right="-37" w:firstLine="0"/>
              <w:jc w:val="center"/>
              <w:rPr>
                <w:sz w:val="20"/>
                <w:szCs w:val="20"/>
              </w:rPr>
            </w:pPr>
            <w:r w:rsidRPr="00C43C8F">
              <w:rPr>
                <w:sz w:val="20"/>
                <w:szCs w:val="20"/>
              </w:rPr>
              <w:t>0,00</w:t>
            </w:r>
          </w:p>
        </w:tc>
        <w:tc>
          <w:tcPr>
            <w:tcW w:w="1063" w:type="dxa"/>
          </w:tcPr>
          <w:p w14:paraId="68E4A08B" w14:textId="114D3E59" w:rsidR="002E0124" w:rsidRPr="00C43C8F" w:rsidRDefault="002E0124" w:rsidP="005F1378">
            <w:pPr>
              <w:spacing w:line="20" w:lineRule="atLeast"/>
              <w:ind w:left="-37" w:right="-38" w:firstLine="0"/>
              <w:jc w:val="center"/>
              <w:rPr>
                <w:sz w:val="20"/>
                <w:szCs w:val="20"/>
              </w:rPr>
            </w:pPr>
            <w:r w:rsidRPr="00C43C8F">
              <w:rPr>
                <w:sz w:val="20"/>
                <w:szCs w:val="20"/>
              </w:rPr>
              <w:t>0,00</w:t>
            </w:r>
          </w:p>
        </w:tc>
        <w:tc>
          <w:tcPr>
            <w:tcW w:w="1205" w:type="dxa"/>
          </w:tcPr>
          <w:p w14:paraId="25EFDCCC" w14:textId="6F4D8FB0" w:rsidR="002E0124" w:rsidRPr="00C43C8F" w:rsidRDefault="002E0124" w:rsidP="001564B7">
            <w:pPr>
              <w:ind w:left="-37" w:right="-38" w:firstLine="0"/>
              <w:jc w:val="center"/>
              <w:rPr>
                <w:sz w:val="20"/>
                <w:szCs w:val="20"/>
              </w:rPr>
            </w:pPr>
            <w:r w:rsidRPr="00C43C8F">
              <w:rPr>
                <w:color w:val="000000"/>
                <w:sz w:val="20"/>
                <w:szCs w:val="20"/>
              </w:rPr>
              <w:t>510.900,00</w:t>
            </w:r>
          </w:p>
        </w:tc>
        <w:tc>
          <w:tcPr>
            <w:tcW w:w="1276" w:type="dxa"/>
          </w:tcPr>
          <w:p w14:paraId="7DF651F3" w14:textId="0D8E51F2" w:rsidR="002E0124" w:rsidRPr="00C43C8F" w:rsidRDefault="002E0124" w:rsidP="001564B7">
            <w:pPr>
              <w:ind w:left="-37" w:right="-38" w:firstLine="0"/>
              <w:jc w:val="center"/>
              <w:rPr>
                <w:sz w:val="20"/>
                <w:szCs w:val="20"/>
              </w:rPr>
            </w:pPr>
            <w:r w:rsidRPr="00C43C8F">
              <w:rPr>
                <w:color w:val="000000"/>
                <w:sz w:val="20"/>
                <w:szCs w:val="20"/>
              </w:rPr>
              <w:t>510.866,88</w:t>
            </w:r>
          </w:p>
        </w:tc>
        <w:tc>
          <w:tcPr>
            <w:tcW w:w="567" w:type="dxa"/>
          </w:tcPr>
          <w:p w14:paraId="6DB2E14B" w14:textId="66F0D5D5" w:rsidR="002E0124" w:rsidRPr="00C43C8F" w:rsidRDefault="002E0124" w:rsidP="00F60857">
            <w:pPr>
              <w:spacing w:line="20" w:lineRule="atLeast"/>
              <w:ind w:firstLine="0"/>
              <w:jc w:val="center"/>
              <w:rPr>
                <w:sz w:val="20"/>
                <w:szCs w:val="20"/>
              </w:rPr>
            </w:pPr>
            <w:r w:rsidRPr="00C43C8F">
              <w:rPr>
                <w:sz w:val="20"/>
                <w:szCs w:val="20"/>
              </w:rPr>
              <w:t>0,00</w:t>
            </w:r>
          </w:p>
        </w:tc>
        <w:tc>
          <w:tcPr>
            <w:tcW w:w="637" w:type="dxa"/>
          </w:tcPr>
          <w:p w14:paraId="0279EA91" w14:textId="2C3C7504" w:rsidR="002E0124" w:rsidRPr="00C43C8F" w:rsidRDefault="002E0124" w:rsidP="00F60857">
            <w:pPr>
              <w:spacing w:line="20" w:lineRule="atLeast"/>
              <w:ind w:firstLine="0"/>
              <w:jc w:val="center"/>
              <w:rPr>
                <w:sz w:val="20"/>
                <w:szCs w:val="20"/>
              </w:rPr>
            </w:pPr>
            <w:r w:rsidRPr="00C43C8F">
              <w:rPr>
                <w:sz w:val="20"/>
                <w:szCs w:val="20"/>
              </w:rPr>
              <w:t>0,00</w:t>
            </w:r>
          </w:p>
        </w:tc>
        <w:tc>
          <w:tcPr>
            <w:tcW w:w="1382" w:type="dxa"/>
            <w:gridSpan w:val="2"/>
          </w:tcPr>
          <w:p w14:paraId="1A287AF2" w14:textId="77777777" w:rsidR="002E0124" w:rsidRPr="00C43C8F" w:rsidRDefault="002E0124" w:rsidP="00F60857">
            <w:pPr>
              <w:ind w:firstLine="0"/>
              <w:jc w:val="right"/>
              <w:rPr>
                <w:sz w:val="20"/>
                <w:szCs w:val="20"/>
              </w:rPr>
            </w:pPr>
            <w:r w:rsidRPr="00C43C8F">
              <w:rPr>
                <w:sz w:val="20"/>
                <w:szCs w:val="20"/>
              </w:rPr>
              <w:t xml:space="preserve">1.021.766,88  </w:t>
            </w:r>
          </w:p>
        </w:tc>
      </w:tr>
      <w:tr w:rsidR="00BF5739" w:rsidRPr="00C43C8F" w14:paraId="4B657446" w14:textId="77777777" w:rsidTr="005F1378">
        <w:trPr>
          <w:jc w:val="center"/>
        </w:trPr>
        <w:tc>
          <w:tcPr>
            <w:tcW w:w="1809" w:type="dxa"/>
          </w:tcPr>
          <w:p w14:paraId="32160DC1" w14:textId="77777777" w:rsidR="00BF5739" w:rsidRPr="00C43C8F" w:rsidRDefault="00BF5739" w:rsidP="00F60857">
            <w:pPr>
              <w:spacing w:line="20" w:lineRule="atLeast"/>
              <w:ind w:firstLine="0"/>
              <w:jc w:val="left"/>
              <w:rPr>
                <w:b/>
                <w:i/>
                <w:sz w:val="22"/>
                <w:szCs w:val="22"/>
              </w:rPr>
            </w:pPr>
            <w:r w:rsidRPr="00C43C8F">
              <w:rPr>
                <w:b/>
                <w:i/>
                <w:sz w:val="22"/>
                <w:szCs w:val="22"/>
              </w:rPr>
              <w:t>Iš viso miestams konkrečiais metais</w:t>
            </w:r>
          </w:p>
        </w:tc>
        <w:tc>
          <w:tcPr>
            <w:tcW w:w="709" w:type="dxa"/>
          </w:tcPr>
          <w:p w14:paraId="131A79DC" w14:textId="6E0AE53D" w:rsidR="00BF5739" w:rsidRPr="00C43C8F" w:rsidRDefault="00BF5739" w:rsidP="00F60857">
            <w:pPr>
              <w:spacing w:line="20" w:lineRule="atLeast"/>
              <w:ind w:firstLine="0"/>
              <w:jc w:val="center"/>
              <w:rPr>
                <w:b/>
                <w:i/>
                <w:sz w:val="20"/>
                <w:szCs w:val="20"/>
              </w:rPr>
            </w:pPr>
            <w:r w:rsidRPr="00C43C8F">
              <w:rPr>
                <w:b/>
                <w:i/>
                <w:sz w:val="20"/>
                <w:szCs w:val="20"/>
              </w:rPr>
              <w:t>0,00</w:t>
            </w:r>
          </w:p>
        </w:tc>
        <w:tc>
          <w:tcPr>
            <w:tcW w:w="638" w:type="dxa"/>
          </w:tcPr>
          <w:p w14:paraId="79C1B11A" w14:textId="33095464" w:rsidR="00BF5739" w:rsidRPr="00C43C8F" w:rsidRDefault="00BF5739" w:rsidP="005F1378">
            <w:pPr>
              <w:spacing w:line="20" w:lineRule="atLeast"/>
              <w:ind w:left="-37" w:right="-37" w:firstLine="0"/>
              <w:jc w:val="center"/>
              <w:rPr>
                <w:b/>
                <w:i/>
                <w:sz w:val="20"/>
                <w:szCs w:val="20"/>
              </w:rPr>
            </w:pPr>
            <w:r w:rsidRPr="00C43C8F">
              <w:rPr>
                <w:b/>
                <w:i/>
                <w:sz w:val="20"/>
                <w:szCs w:val="20"/>
              </w:rPr>
              <w:t>0,00</w:t>
            </w:r>
          </w:p>
        </w:tc>
        <w:tc>
          <w:tcPr>
            <w:tcW w:w="1063" w:type="dxa"/>
          </w:tcPr>
          <w:p w14:paraId="16B43DE4" w14:textId="0017FEB5" w:rsidR="00BF5739" w:rsidRPr="00C43C8F" w:rsidRDefault="00BF5739" w:rsidP="005F1378">
            <w:pPr>
              <w:spacing w:line="20" w:lineRule="atLeast"/>
              <w:ind w:left="-37" w:right="-38" w:firstLine="0"/>
              <w:jc w:val="center"/>
              <w:rPr>
                <w:b/>
                <w:i/>
                <w:sz w:val="20"/>
                <w:szCs w:val="20"/>
              </w:rPr>
            </w:pPr>
            <w:r w:rsidRPr="00C43C8F">
              <w:rPr>
                <w:b/>
                <w:i/>
                <w:sz w:val="20"/>
                <w:szCs w:val="20"/>
              </w:rPr>
              <w:t>0,00</w:t>
            </w:r>
          </w:p>
        </w:tc>
        <w:tc>
          <w:tcPr>
            <w:tcW w:w="1205" w:type="dxa"/>
          </w:tcPr>
          <w:p w14:paraId="1BB708A8" w14:textId="1845F7F4" w:rsidR="00BF5739" w:rsidRPr="00C43C8F" w:rsidRDefault="00BF5739" w:rsidP="001564B7">
            <w:pPr>
              <w:ind w:left="-37" w:right="-38" w:firstLine="0"/>
              <w:jc w:val="center"/>
              <w:rPr>
                <w:b/>
                <w:i/>
                <w:sz w:val="20"/>
                <w:szCs w:val="20"/>
              </w:rPr>
            </w:pPr>
            <w:r w:rsidRPr="00C43C8F">
              <w:rPr>
                <w:b/>
                <w:bCs/>
                <w:i/>
                <w:iCs/>
                <w:color w:val="000000"/>
                <w:sz w:val="20"/>
                <w:szCs w:val="20"/>
              </w:rPr>
              <w:t>3.065.400,00</w:t>
            </w:r>
          </w:p>
        </w:tc>
        <w:tc>
          <w:tcPr>
            <w:tcW w:w="1276" w:type="dxa"/>
          </w:tcPr>
          <w:p w14:paraId="57D3CAAE" w14:textId="4F460D34" w:rsidR="00BF5739" w:rsidRPr="00C43C8F" w:rsidRDefault="00BF5739" w:rsidP="001564B7">
            <w:pPr>
              <w:ind w:left="-37" w:right="-38" w:firstLine="0"/>
              <w:jc w:val="center"/>
              <w:rPr>
                <w:b/>
                <w:i/>
                <w:sz w:val="20"/>
                <w:szCs w:val="20"/>
              </w:rPr>
            </w:pPr>
            <w:r w:rsidRPr="00C43C8F">
              <w:rPr>
                <w:b/>
                <w:bCs/>
                <w:i/>
                <w:iCs/>
                <w:color w:val="000000"/>
                <w:sz w:val="20"/>
                <w:szCs w:val="20"/>
              </w:rPr>
              <w:t>3.065.201,30</w:t>
            </w:r>
          </w:p>
        </w:tc>
        <w:tc>
          <w:tcPr>
            <w:tcW w:w="567" w:type="dxa"/>
          </w:tcPr>
          <w:p w14:paraId="73135125" w14:textId="26DF102B" w:rsidR="00BF5739" w:rsidRPr="00C43C8F" w:rsidRDefault="00BF5739" w:rsidP="00CB0FB6">
            <w:pPr>
              <w:spacing w:line="20" w:lineRule="atLeast"/>
              <w:ind w:firstLine="0"/>
              <w:jc w:val="center"/>
              <w:rPr>
                <w:b/>
                <w:i/>
                <w:sz w:val="20"/>
                <w:szCs w:val="20"/>
              </w:rPr>
            </w:pPr>
            <w:r w:rsidRPr="00C43C8F">
              <w:rPr>
                <w:b/>
                <w:i/>
                <w:sz w:val="20"/>
                <w:szCs w:val="20"/>
              </w:rPr>
              <w:t>0,00</w:t>
            </w:r>
          </w:p>
        </w:tc>
        <w:tc>
          <w:tcPr>
            <w:tcW w:w="637" w:type="dxa"/>
          </w:tcPr>
          <w:p w14:paraId="471CF3C6" w14:textId="6D9604D2" w:rsidR="00BF5739" w:rsidRPr="00C43C8F" w:rsidRDefault="00BF5739" w:rsidP="00CB0FB6">
            <w:pPr>
              <w:spacing w:line="20" w:lineRule="atLeast"/>
              <w:ind w:firstLine="0"/>
              <w:jc w:val="center"/>
              <w:rPr>
                <w:b/>
                <w:i/>
                <w:sz w:val="20"/>
                <w:szCs w:val="20"/>
              </w:rPr>
            </w:pPr>
            <w:r w:rsidRPr="00C43C8F">
              <w:rPr>
                <w:b/>
                <w:i/>
                <w:sz w:val="20"/>
                <w:szCs w:val="20"/>
              </w:rPr>
              <w:t>0,00</w:t>
            </w:r>
          </w:p>
        </w:tc>
        <w:tc>
          <w:tcPr>
            <w:tcW w:w="1382" w:type="dxa"/>
            <w:gridSpan w:val="2"/>
          </w:tcPr>
          <w:p w14:paraId="3CC0CC2B" w14:textId="4D755B42" w:rsidR="00BF5739" w:rsidRPr="00C43C8F" w:rsidRDefault="00BF5739" w:rsidP="00CB0FB6">
            <w:pPr>
              <w:ind w:firstLine="0"/>
              <w:jc w:val="center"/>
              <w:rPr>
                <w:b/>
                <w:i/>
                <w:sz w:val="20"/>
                <w:szCs w:val="20"/>
              </w:rPr>
            </w:pPr>
            <w:r w:rsidRPr="00C43C8F">
              <w:rPr>
                <w:b/>
                <w:i/>
                <w:sz w:val="20"/>
                <w:szCs w:val="20"/>
              </w:rPr>
              <w:t>6.130.601,30</w:t>
            </w:r>
          </w:p>
        </w:tc>
      </w:tr>
      <w:tr w:rsidR="00BF5739" w:rsidRPr="00C43C8F" w14:paraId="70129A53" w14:textId="77777777" w:rsidTr="005F1378">
        <w:trPr>
          <w:jc w:val="center"/>
        </w:trPr>
        <w:tc>
          <w:tcPr>
            <w:tcW w:w="1809" w:type="dxa"/>
          </w:tcPr>
          <w:p w14:paraId="0E2A756D" w14:textId="77777777" w:rsidR="00BF5739" w:rsidRPr="00C43C8F" w:rsidRDefault="00BF5739" w:rsidP="00F60857">
            <w:pPr>
              <w:spacing w:line="20" w:lineRule="atLeast"/>
              <w:ind w:firstLine="0"/>
              <w:jc w:val="left"/>
              <w:rPr>
                <w:b/>
                <w:sz w:val="22"/>
                <w:szCs w:val="22"/>
              </w:rPr>
            </w:pPr>
            <w:r w:rsidRPr="00C43C8F">
              <w:rPr>
                <w:b/>
                <w:sz w:val="22"/>
                <w:szCs w:val="22"/>
              </w:rPr>
              <w:t>Iš viso regionams ir miestams konkrečiais metais</w:t>
            </w:r>
          </w:p>
        </w:tc>
        <w:tc>
          <w:tcPr>
            <w:tcW w:w="709" w:type="dxa"/>
          </w:tcPr>
          <w:p w14:paraId="0DE7A1D4" w14:textId="25DDC18E" w:rsidR="00BF5739" w:rsidRPr="00C43C8F" w:rsidRDefault="00BF5739" w:rsidP="00F60857">
            <w:pPr>
              <w:spacing w:line="20" w:lineRule="atLeast"/>
              <w:ind w:firstLine="0"/>
              <w:jc w:val="center"/>
              <w:rPr>
                <w:b/>
                <w:sz w:val="20"/>
                <w:szCs w:val="20"/>
              </w:rPr>
            </w:pPr>
            <w:r w:rsidRPr="00C43C8F">
              <w:rPr>
                <w:b/>
                <w:i/>
                <w:sz w:val="20"/>
                <w:szCs w:val="20"/>
              </w:rPr>
              <w:t>0,00</w:t>
            </w:r>
          </w:p>
        </w:tc>
        <w:tc>
          <w:tcPr>
            <w:tcW w:w="638" w:type="dxa"/>
          </w:tcPr>
          <w:p w14:paraId="0A380395" w14:textId="78C64FFB" w:rsidR="00BF5739" w:rsidRPr="00C43C8F" w:rsidRDefault="00BF5739" w:rsidP="005F1378">
            <w:pPr>
              <w:spacing w:line="20" w:lineRule="atLeast"/>
              <w:ind w:left="-37" w:right="-37" w:firstLine="0"/>
              <w:jc w:val="center"/>
              <w:rPr>
                <w:b/>
                <w:sz w:val="20"/>
                <w:szCs w:val="20"/>
              </w:rPr>
            </w:pPr>
            <w:r w:rsidRPr="00C43C8F">
              <w:rPr>
                <w:b/>
                <w:i/>
                <w:sz w:val="20"/>
                <w:szCs w:val="20"/>
              </w:rPr>
              <w:t>0,00</w:t>
            </w:r>
          </w:p>
        </w:tc>
        <w:tc>
          <w:tcPr>
            <w:tcW w:w="1063" w:type="dxa"/>
          </w:tcPr>
          <w:p w14:paraId="21EE1C22" w14:textId="23936F34" w:rsidR="00BF5739" w:rsidRPr="00C43C8F" w:rsidRDefault="00BF5739" w:rsidP="005F1378">
            <w:pPr>
              <w:spacing w:line="20" w:lineRule="atLeast"/>
              <w:ind w:left="-37" w:right="-38" w:firstLine="0"/>
              <w:jc w:val="center"/>
              <w:rPr>
                <w:b/>
                <w:sz w:val="20"/>
                <w:szCs w:val="20"/>
              </w:rPr>
            </w:pPr>
            <w:r w:rsidRPr="00C43C8F">
              <w:rPr>
                <w:b/>
                <w:i/>
                <w:sz w:val="20"/>
                <w:szCs w:val="20"/>
              </w:rPr>
              <w:t>698</w:t>
            </w:r>
            <w:r w:rsidR="005F1378" w:rsidRPr="00C43C8F">
              <w:rPr>
                <w:b/>
                <w:i/>
                <w:sz w:val="20"/>
                <w:szCs w:val="20"/>
              </w:rPr>
              <w:t>.</w:t>
            </w:r>
            <w:r w:rsidRPr="00C43C8F">
              <w:rPr>
                <w:b/>
                <w:i/>
                <w:sz w:val="20"/>
                <w:szCs w:val="20"/>
              </w:rPr>
              <w:t>015,00</w:t>
            </w:r>
          </w:p>
        </w:tc>
        <w:tc>
          <w:tcPr>
            <w:tcW w:w="1205" w:type="dxa"/>
          </w:tcPr>
          <w:p w14:paraId="46BA1640" w14:textId="1B47752B" w:rsidR="00BF5739" w:rsidRPr="00C43C8F" w:rsidRDefault="00BF5739" w:rsidP="001564B7">
            <w:pPr>
              <w:ind w:left="-37" w:right="-38" w:firstLine="0"/>
              <w:jc w:val="center"/>
              <w:rPr>
                <w:b/>
                <w:sz w:val="20"/>
                <w:szCs w:val="20"/>
              </w:rPr>
            </w:pPr>
            <w:r w:rsidRPr="00C43C8F">
              <w:rPr>
                <w:b/>
                <w:bCs/>
                <w:color w:val="000000"/>
                <w:sz w:val="20"/>
                <w:szCs w:val="20"/>
              </w:rPr>
              <w:t>8.684.900,00</w:t>
            </w:r>
          </w:p>
        </w:tc>
        <w:tc>
          <w:tcPr>
            <w:tcW w:w="1276" w:type="dxa"/>
          </w:tcPr>
          <w:p w14:paraId="6BF45D2E" w14:textId="1F66C1AC" w:rsidR="00BF5739" w:rsidRPr="00C43C8F" w:rsidRDefault="00BF5739" w:rsidP="001564B7">
            <w:pPr>
              <w:ind w:left="-37" w:right="-38" w:firstLine="0"/>
              <w:jc w:val="center"/>
              <w:rPr>
                <w:b/>
                <w:sz w:val="20"/>
                <w:szCs w:val="20"/>
              </w:rPr>
            </w:pPr>
            <w:r w:rsidRPr="00C43C8F">
              <w:rPr>
                <w:b/>
                <w:bCs/>
                <w:color w:val="000000"/>
                <w:sz w:val="20"/>
                <w:szCs w:val="20"/>
              </w:rPr>
              <w:t>7.987.122,00</w:t>
            </w:r>
          </w:p>
        </w:tc>
        <w:tc>
          <w:tcPr>
            <w:tcW w:w="567" w:type="dxa"/>
          </w:tcPr>
          <w:p w14:paraId="18A795F0" w14:textId="18FE6323" w:rsidR="00BF5739" w:rsidRPr="00C43C8F" w:rsidRDefault="00BF5739" w:rsidP="00CB0FB6">
            <w:pPr>
              <w:spacing w:line="20" w:lineRule="atLeast"/>
              <w:ind w:firstLine="0"/>
              <w:jc w:val="center"/>
              <w:rPr>
                <w:b/>
                <w:sz w:val="20"/>
                <w:szCs w:val="20"/>
              </w:rPr>
            </w:pPr>
            <w:r w:rsidRPr="00C43C8F">
              <w:rPr>
                <w:b/>
                <w:i/>
                <w:sz w:val="20"/>
                <w:szCs w:val="20"/>
              </w:rPr>
              <w:t>0,00</w:t>
            </w:r>
          </w:p>
        </w:tc>
        <w:tc>
          <w:tcPr>
            <w:tcW w:w="637" w:type="dxa"/>
          </w:tcPr>
          <w:p w14:paraId="702FE523" w14:textId="6AEF7993" w:rsidR="00BF5739" w:rsidRPr="00C43C8F" w:rsidRDefault="00BF5739" w:rsidP="00CB0FB6">
            <w:pPr>
              <w:spacing w:line="20" w:lineRule="atLeast"/>
              <w:ind w:firstLine="0"/>
              <w:jc w:val="center"/>
              <w:rPr>
                <w:b/>
                <w:sz w:val="20"/>
                <w:szCs w:val="20"/>
              </w:rPr>
            </w:pPr>
            <w:r w:rsidRPr="00C43C8F">
              <w:rPr>
                <w:b/>
                <w:i/>
                <w:sz w:val="20"/>
                <w:szCs w:val="20"/>
              </w:rPr>
              <w:t>0,00</w:t>
            </w:r>
          </w:p>
        </w:tc>
        <w:tc>
          <w:tcPr>
            <w:tcW w:w="1382" w:type="dxa"/>
            <w:gridSpan w:val="2"/>
          </w:tcPr>
          <w:p w14:paraId="78765E75" w14:textId="4420AF29" w:rsidR="00BF5739" w:rsidRPr="00C43C8F" w:rsidRDefault="00BF5739" w:rsidP="00CB0FB6">
            <w:pPr>
              <w:ind w:firstLine="0"/>
              <w:jc w:val="center"/>
              <w:rPr>
                <w:b/>
                <w:sz w:val="20"/>
                <w:szCs w:val="20"/>
              </w:rPr>
            </w:pPr>
            <w:r w:rsidRPr="00C43C8F">
              <w:rPr>
                <w:b/>
                <w:sz w:val="20"/>
                <w:szCs w:val="20"/>
              </w:rPr>
              <w:t>17.370.037,00</w:t>
            </w:r>
          </w:p>
        </w:tc>
      </w:tr>
    </w:tbl>
    <w:p w14:paraId="14B74AAE" w14:textId="77777777" w:rsidR="009D7D45" w:rsidRPr="00C43C8F" w:rsidRDefault="009D7D45" w:rsidP="00B30FB7"/>
    <w:p w14:paraId="56B8B7AC" w14:textId="77777777" w:rsidR="009D7D45" w:rsidRPr="00C43C8F" w:rsidRDefault="0057039A" w:rsidP="00B30FB7">
      <w:r w:rsidRPr="00C43C8F">
        <w:lastRenderedPageBreak/>
        <w:t>9</w:t>
      </w:r>
      <w:r w:rsidR="009D7D45" w:rsidRPr="00C43C8F">
        <w:t>.</w:t>
      </w:r>
      <w:r w:rsidR="005778BE" w:rsidRPr="00C43C8F">
        <w:t>4</w:t>
      </w:r>
      <w:r w:rsidR="009D7D45" w:rsidRPr="00C43C8F">
        <w:t xml:space="preserve">. </w:t>
      </w:r>
      <w:r w:rsidR="00D63C68" w:rsidRPr="00C43C8F">
        <w:t xml:space="preserve">Priemonei skirtos </w:t>
      </w:r>
      <w:r w:rsidR="009D7D45" w:rsidRPr="00C43C8F">
        <w:t>ES struktūrinių fondų lėšos, kurios kasmet turi būti pripažįstamos deklaruotinomis, pagal regionus:</w:t>
      </w:r>
    </w:p>
    <w:p w14:paraId="076B1FBF" w14:textId="77777777" w:rsidR="00900322" w:rsidRPr="00C43C8F" w:rsidRDefault="00900322" w:rsidP="00B30FB7"/>
    <w:tbl>
      <w:tblPr>
        <w:tblW w:w="943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
        <w:gridCol w:w="1134"/>
        <w:gridCol w:w="993"/>
        <w:gridCol w:w="992"/>
        <w:gridCol w:w="1134"/>
        <w:gridCol w:w="992"/>
        <w:gridCol w:w="567"/>
        <w:gridCol w:w="567"/>
        <w:gridCol w:w="1070"/>
      </w:tblGrid>
      <w:tr w:rsidR="00900322" w:rsidRPr="00C43C8F" w14:paraId="549D182F" w14:textId="77777777" w:rsidTr="00953372">
        <w:trPr>
          <w:trHeight w:val="300"/>
        </w:trPr>
        <w:tc>
          <w:tcPr>
            <w:tcW w:w="1134" w:type="dxa"/>
            <w:vMerge w:val="restart"/>
          </w:tcPr>
          <w:p w14:paraId="33ADA932" w14:textId="77777777" w:rsidR="00900322" w:rsidRPr="00C43C8F" w:rsidRDefault="00555FD1" w:rsidP="003C68D5">
            <w:pPr>
              <w:ind w:left="-108" w:right="-108" w:firstLine="0"/>
              <w:jc w:val="center"/>
              <w:rPr>
                <w:rFonts w:eastAsia="Times New Roman"/>
                <w:b/>
                <w:bCs/>
                <w:color w:val="000000"/>
                <w:sz w:val="20"/>
                <w:szCs w:val="20"/>
                <w:lang w:val="en-US"/>
              </w:rPr>
            </w:pPr>
            <w:proofErr w:type="spellStart"/>
            <w:r w:rsidRPr="00C43C8F">
              <w:rPr>
                <w:rFonts w:eastAsia="Times New Roman"/>
                <w:b/>
                <w:bCs/>
                <w:color w:val="000000"/>
                <w:sz w:val="20"/>
                <w:szCs w:val="20"/>
                <w:lang w:val="en-US"/>
              </w:rPr>
              <w:t>Regiono</w:t>
            </w:r>
            <w:proofErr w:type="spellEnd"/>
            <w:r w:rsidRPr="00C43C8F">
              <w:rPr>
                <w:rFonts w:eastAsia="Times New Roman"/>
                <w:b/>
                <w:bCs/>
                <w:color w:val="000000"/>
                <w:sz w:val="20"/>
                <w:szCs w:val="20"/>
                <w:lang w:val="en-US"/>
              </w:rPr>
              <w:t xml:space="preserve"> / </w:t>
            </w:r>
            <w:proofErr w:type="spellStart"/>
            <w:r w:rsidRPr="00C43C8F">
              <w:rPr>
                <w:rFonts w:eastAsia="Times New Roman"/>
                <w:b/>
                <w:bCs/>
                <w:color w:val="000000"/>
                <w:sz w:val="20"/>
                <w:szCs w:val="20"/>
                <w:lang w:val="en-US"/>
              </w:rPr>
              <w:t>miesto</w:t>
            </w:r>
            <w:proofErr w:type="spellEnd"/>
            <w:r w:rsidRPr="00C43C8F">
              <w:rPr>
                <w:rFonts w:eastAsia="Times New Roman"/>
                <w:b/>
                <w:bCs/>
                <w:color w:val="000000"/>
                <w:sz w:val="20"/>
                <w:szCs w:val="20"/>
                <w:lang w:val="en-US"/>
              </w:rPr>
              <w:t xml:space="preserve"> </w:t>
            </w:r>
            <w:proofErr w:type="spellStart"/>
            <w:r w:rsidRPr="00C43C8F">
              <w:rPr>
                <w:rFonts w:eastAsia="Times New Roman"/>
                <w:b/>
                <w:bCs/>
                <w:color w:val="000000"/>
                <w:sz w:val="20"/>
                <w:szCs w:val="20"/>
                <w:lang w:val="en-US"/>
              </w:rPr>
              <w:t>pavadinimas</w:t>
            </w:r>
            <w:proofErr w:type="spellEnd"/>
          </w:p>
        </w:tc>
        <w:tc>
          <w:tcPr>
            <w:tcW w:w="8299" w:type="dxa"/>
            <w:gridSpan w:val="9"/>
            <w:shd w:val="clear" w:color="auto" w:fill="auto"/>
            <w:noWrap/>
            <w:vAlign w:val="bottom"/>
          </w:tcPr>
          <w:p w14:paraId="2840AF98" w14:textId="4FC4435F" w:rsidR="00900322" w:rsidRPr="00C43C8F" w:rsidRDefault="00F966A9" w:rsidP="00F966A9">
            <w:pPr>
              <w:ind w:firstLine="0"/>
              <w:jc w:val="center"/>
              <w:rPr>
                <w:rFonts w:eastAsia="Times New Roman"/>
                <w:b/>
                <w:bCs/>
                <w:color w:val="000000"/>
                <w:sz w:val="20"/>
                <w:szCs w:val="20"/>
                <w:lang w:val="en-US"/>
              </w:rPr>
            </w:pPr>
            <w:r w:rsidRPr="00C43C8F">
              <w:rPr>
                <w:rFonts w:eastAsia="Times New Roman"/>
                <w:b/>
                <w:bCs/>
                <w:color w:val="000000"/>
                <w:sz w:val="20"/>
                <w:szCs w:val="20"/>
                <w:lang w:val="en-US"/>
              </w:rPr>
              <w:t xml:space="preserve">ES </w:t>
            </w:r>
            <w:proofErr w:type="spellStart"/>
            <w:r w:rsidRPr="00C43C8F">
              <w:rPr>
                <w:rFonts w:eastAsia="Times New Roman"/>
                <w:b/>
                <w:bCs/>
                <w:color w:val="000000"/>
                <w:sz w:val="20"/>
                <w:szCs w:val="20"/>
                <w:lang w:val="en-US"/>
              </w:rPr>
              <w:t>l</w:t>
            </w:r>
            <w:r w:rsidR="00900322" w:rsidRPr="00C43C8F">
              <w:rPr>
                <w:rFonts w:eastAsia="Times New Roman"/>
                <w:b/>
                <w:bCs/>
                <w:color w:val="000000"/>
                <w:sz w:val="20"/>
                <w:szCs w:val="20"/>
                <w:lang w:val="en-US"/>
              </w:rPr>
              <w:t>ėšų</w:t>
            </w:r>
            <w:proofErr w:type="spellEnd"/>
            <w:r w:rsidR="00900322" w:rsidRPr="00C43C8F">
              <w:rPr>
                <w:rFonts w:eastAsia="Times New Roman"/>
                <w:b/>
                <w:bCs/>
                <w:color w:val="000000"/>
                <w:sz w:val="20"/>
                <w:szCs w:val="20"/>
                <w:lang w:val="en-US"/>
              </w:rPr>
              <w:t xml:space="preserve"> </w:t>
            </w:r>
            <w:proofErr w:type="spellStart"/>
            <w:r w:rsidR="00900322" w:rsidRPr="00C43C8F">
              <w:rPr>
                <w:rFonts w:eastAsia="Times New Roman"/>
                <w:b/>
                <w:bCs/>
                <w:color w:val="000000"/>
                <w:sz w:val="20"/>
                <w:szCs w:val="20"/>
                <w:lang w:val="en-US"/>
              </w:rPr>
              <w:t>suma</w:t>
            </w:r>
            <w:proofErr w:type="spellEnd"/>
            <w:r w:rsidR="00900322" w:rsidRPr="00C43C8F">
              <w:rPr>
                <w:rFonts w:eastAsia="Times New Roman"/>
                <w:b/>
                <w:bCs/>
                <w:color w:val="000000"/>
                <w:sz w:val="20"/>
                <w:szCs w:val="20"/>
                <w:lang w:val="en-US"/>
              </w:rPr>
              <w:t xml:space="preserve">, </w:t>
            </w:r>
            <w:proofErr w:type="spellStart"/>
            <w:r w:rsidR="00900322" w:rsidRPr="00C43C8F">
              <w:rPr>
                <w:rFonts w:eastAsia="Times New Roman"/>
                <w:b/>
                <w:bCs/>
                <w:color w:val="000000"/>
                <w:sz w:val="20"/>
                <w:szCs w:val="20"/>
                <w:lang w:val="en-US"/>
              </w:rPr>
              <w:t>Eur</w:t>
            </w:r>
            <w:proofErr w:type="spellEnd"/>
          </w:p>
        </w:tc>
      </w:tr>
      <w:tr w:rsidR="00555FD1" w:rsidRPr="00C43C8F" w14:paraId="4C465C7F" w14:textId="77777777" w:rsidTr="00953372">
        <w:trPr>
          <w:trHeight w:val="300"/>
        </w:trPr>
        <w:tc>
          <w:tcPr>
            <w:tcW w:w="1134" w:type="dxa"/>
            <w:vMerge/>
          </w:tcPr>
          <w:p w14:paraId="29B5A53B" w14:textId="77777777" w:rsidR="00555FD1" w:rsidRPr="00C43C8F" w:rsidRDefault="00555FD1" w:rsidP="00900322">
            <w:pPr>
              <w:ind w:firstLine="0"/>
              <w:jc w:val="center"/>
              <w:rPr>
                <w:rFonts w:eastAsia="Times New Roman"/>
                <w:b/>
                <w:bCs/>
                <w:color w:val="000000"/>
                <w:sz w:val="20"/>
                <w:szCs w:val="20"/>
                <w:lang w:val="en-US"/>
              </w:rPr>
            </w:pPr>
          </w:p>
        </w:tc>
        <w:tc>
          <w:tcPr>
            <w:tcW w:w="850" w:type="dxa"/>
            <w:shd w:val="clear" w:color="auto" w:fill="auto"/>
            <w:noWrap/>
            <w:vAlign w:val="bottom"/>
            <w:hideMark/>
          </w:tcPr>
          <w:p w14:paraId="3890A053" w14:textId="77777777" w:rsidR="00555FD1" w:rsidRPr="00C43C8F" w:rsidRDefault="00555FD1" w:rsidP="00942ABD">
            <w:pPr>
              <w:ind w:left="-108" w:right="-108" w:firstLine="0"/>
              <w:jc w:val="center"/>
              <w:rPr>
                <w:rFonts w:eastAsia="Times New Roman"/>
                <w:b/>
                <w:bCs/>
                <w:color w:val="000000"/>
                <w:sz w:val="20"/>
                <w:szCs w:val="20"/>
                <w:lang w:val="en-US"/>
              </w:rPr>
            </w:pPr>
            <w:r w:rsidRPr="00C43C8F">
              <w:rPr>
                <w:rFonts w:eastAsia="Times New Roman"/>
                <w:b/>
                <w:bCs/>
                <w:color w:val="000000"/>
                <w:sz w:val="20"/>
                <w:szCs w:val="20"/>
                <w:lang w:val="en-US"/>
              </w:rPr>
              <w:t>2016 m.</w:t>
            </w:r>
          </w:p>
        </w:tc>
        <w:tc>
          <w:tcPr>
            <w:tcW w:w="1134" w:type="dxa"/>
            <w:shd w:val="clear" w:color="auto" w:fill="auto"/>
            <w:noWrap/>
            <w:vAlign w:val="bottom"/>
            <w:hideMark/>
          </w:tcPr>
          <w:p w14:paraId="1F636C77" w14:textId="77777777" w:rsidR="00555FD1" w:rsidRPr="00C43C8F" w:rsidRDefault="00555FD1" w:rsidP="00942ABD">
            <w:pPr>
              <w:ind w:left="-108" w:right="-108" w:firstLine="0"/>
              <w:jc w:val="center"/>
              <w:rPr>
                <w:rFonts w:eastAsia="Times New Roman"/>
                <w:b/>
                <w:bCs/>
                <w:color w:val="000000"/>
                <w:sz w:val="20"/>
                <w:szCs w:val="20"/>
                <w:lang w:val="en-US"/>
              </w:rPr>
            </w:pPr>
            <w:r w:rsidRPr="00C43C8F">
              <w:rPr>
                <w:rFonts w:eastAsia="Times New Roman"/>
                <w:b/>
                <w:bCs/>
                <w:color w:val="000000"/>
                <w:sz w:val="20"/>
                <w:szCs w:val="20"/>
                <w:lang w:val="en-US"/>
              </w:rPr>
              <w:t>2017 m.</w:t>
            </w:r>
          </w:p>
        </w:tc>
        <w:tc>
          <w:tcPr>
            <w:tcW w:w="993" w:type="dxa"/>
            <w:shd w:val="clear" w:color="auto" w:fill="auto"/>
            <w:noWrap/>
            <w:vAlign w:val="bottom"/>
            <w:hideMark/>
          </w:tcPr>
          <w:p w14:paraId="4444E2AD" w14:textId="77777777" w:rsidR="00555FD1" w:rsidRPr="00C43C8F" w:rsidRDefault="00555FD1" w:rsidP="00942ABD">
            <w:pPr>
              <w:ind w:left="-108" w:right="-108" w:firstLine="0"/>
              <w:jc w:val="center"/>
              <w:rPr>
                <w:rFonts w:eastAsia="Times New Roman"/>
                <w:b/>
                <w:bCs/>
                <w:color w:val="000000"/>
                <w:sz w:val="20"/>
                <w:szCs w:val="20"/>
                <w:lang w:val="en-US"/>
              </w:rPr>
            </w:pPr>
            <w:r w:rsidRPr="00C43C8F">
              <w:rPr>
                <w:rFonts w:eastAsia="Times New Roman"/>
                <w:b/>
                <w:bCs/>
                <w:color w:val="000000"/>
                <w:sz w:val="20"/>
                <w:szCs w:val="20"/>
                <w:lang w:val="en-US"/>
              </w:rPr>
              <w:t>2018 m.</w:t>
            </w:r>
          </w:p>
        </w:tc>
        <w:tc>
          <w:tcPr>
            <w:tcW w:w="992" w:type="dxa"/>
            <w:shd w:val="clear" w:color="auto" w:fill="auto"/>
            <w:noWrap/>
            <w:vAlign w:val="bottom"/>
            <w:hideMark/>
          </w:tcPr>
          <w:p w14:paraId="21B8F1B3" w14:textId="77777777" w:rsidR="00555FD1" w:rsidRPr="00C43C8F" w:rsidRDefault="00555FD1" w:rsidP="00942ABD">
            <w:pPr>
              <w:ind w:left="-108" w:right="-108" w:firstLine="0"/>
              <w:jc w:val="center"/>
              <w:rPr>
                <w:rFonts w:eastAsia="Times New Roman"/>
                <w:b/>
                <w:bCs/>
                <w:color w:val="000000"/>
                <w:sz w:val="20"/>
                <w:szCs w:val="20"/>
                <w:lang w:val="en-US"/>
              </w:rPr>
            </w:pPr>
            <w:r w:rsidRPr="00C43C8F">
              <w:rPr>
                <w:rFonts w:eastAsia="Times New Roman"/>
                <w:b/>
                <w:bCs/>
                <w:color w:val="000000"/>
                <w:sz w:val="20"/>
                <w:szCs w:val="20"/>
                <w:lang w:val="en-US"/>
              </w:rPr>
              <w:t>2019 m.</w:t>
            </w:r>
          </w:p>
        </w:tc>
        <w:tc>
          <w:tcPr>
            <w:tcW w:w="1134" w:type="dxa"/>
            <w:shd w:val="clear" w:color="auto" w:fill="auto"/>
            <w:noWrap/>
            <w:vAlign w:val="bottom"/>
            <w:hideMark/>
          </w:tcPr>
          <w:p w14:paraId="4F1D1440" w14:textId="77777777" w:rsidR="00555FD1" w:rsidRPr="00C43C8F" w:rsidRDefault="00555FD1" w:rsidP="00942ABD">
            <w:pPr>
              <w:ind w:left="-108" w:right="-108" w:firstLine="0"/>
              <w:jc w:val="center"/>
              <w:rPr>
                <w:rFonts w:eastAsia="Times New Roman"/>
                <w:b/>
                <w:bCs/>
                <w:color w:val="000000"/>
                <w:sz w:val="20"/>
                <w:szCs w:val="20"/>
                <w:lang w:val="en-US"/>
              </w:rPr>
            </w:pPr>
            <w:r w:rsidRPr="00C43C8F">
              <w:rPr>
                <w:rFonts w:eastAsia="Times New Roman"/>
                <w:b/>
                <w:bCs/>
                <w:color w:val="000000"/>
                <w:sz w:val="20"/>
                <w:szCs w:val="20"/>
                <w:lang w:val="en-US"/>
              </w:rPr>
              <w:t>2020 m.</w:t>
            </w:r>
          </w:p>
        </w:tc>
        <w:tc>
          <w:tcPr>
            <w:tcW w:w="992" w:type="dxa"/>
            <w:shd w:val="clear" w:color="auto" w:fill="auto"/>
            <w:noWrap/>
            <w:vAlign w:val="bottom"/>
            <w:hideMark/>
          </w:tcPr>
          <w:p w14:paraId="299ECC3E" w14:textId="77777777" w:rsidR="00555FD1" w:rsidRPr="00C43C8F" w:rsidRDefault="00555FD1" w:rsidP="00942ABD">
            <w:pPr>
              <w:ind w:left="-108" w:right="-108" w:firstLine="0"/>
              <w:jc w:val="center"/>
              <w:rPr>
                <w:rFonts w:eastAsia="Times New Roman"/>
                <w:b/>
                <w:bCs/>
                <w:color w:val="000000"/>
                <w:sz w:val="20"/>
                <w:szCs w:val="20"/>
                <w:lang w:val="en-US"/>
              </w:rPr>
            </w:pPr>
            <w:r w:rsidRPr="00C43C8F">
              <w:rPr>
                <w:rFonts w:eastAsia="Times New Roman"/>
                <w:b/>
                <w:bCs/>
                <w:color w:val="000000"/>
                <w:sz w:val="20"/>
                <w:szCs w:val="20"/>
                <w:lang w:val="en-US"/>
              </w:rPr>
              <w:t>2021 m.</w:t>
            </w:r>
          </w:p>
        </w:tc>
        <w:tc>
          <w:tcPr>
            <w:tcW w:w="567" w:type="dxa"/>
            <w:shd w:val="clear" w:color="auto" w:fill="auto"/>
            <w:noWrap/>
            <w:vAlign w:val="bottom"/>
            <w:hideMark/>
          </w:tcPr>
          <w:p w14:paraId="4C0E3D11" w14:textId="77777777" w:rsidR="00555FD1" w:rsidRPr="00C43C8F" w:rsidRDefault="00555FD1" w:rsidP="00EC50DE">
            <w:pPr>
              <w:ind w:left="-108" w:right="-108" w:firstLine="0"/>
              <w:jc w:val="center"/>
              <w:rPr>
                <w:rFonts w:eastAsia="Times New Roman"/>
                <w:b/>
                <w:bCs/>
                <w:color w:val="000000"/>
                <w:sz w:val="20"/>
                <w:szCs w:val="20"/>
                <w:lang w:val="en-US"/>
              </w:rPr>
            </w:pPr>
            <w:r w:rsidRPr="00C43C8F">
              <w:rPr>
                <w:rFonts w:eastAsia="Times New Roman"/>
                <w:b/>
                <w:bCs/>
                <w:color w:val="000000"/>
                <w:sz w:val="20"/>
                <w:szCs w:val="20"/>
                <w:lang w:val="en-US"/>
              </w:rPr>
              <w:t>2022 m.</w:t>
            </w:r>
          </w:p>
        </w:tc>
        <w:tc>
          <w:tcPr>
            <w:tcW w:w="567" w:type="dxa"/>
            <w:shd w:val="clear" w:color="auto" w:fill="auto"/>
            <w:noWrap/>
            <w:vAlign w:val="bottom"/>
            <w:hideMark/>
          </w:tcPr>
          <w:p w14:paraId="59498725" w14:textId="77777777" w:rsidR="00555FD1" w:rsidRPr="00C43C8F" w:rsidRDefault="00555FD1" w:rsidP="00EC50DE">
            <w:pPr>
              <w:ind w:left="-108" w:right="-108" w:firstLine="0"/>
              <w:jc w:val="center"/>
              <w:rPr>
                <w:rFonts w:eastAsia="Times New Roman"/>
                <w:b/>
                <w:bCs/>
                <w:color w:val="000000"/>
                <w:sz w:val="20"/>
                <w:szCs w:val="20"/>
                <w:lang w:val="en-US"/>
              </w:rPr>
            </w:pPr>
            <w:r w:rsidRPr="00C43C8F">
              <w:rPr>
                <w:rFonts w:eastAsia="Times New Roman"/>
                <w:b/>
                <w:bCs/>
                <w:color w:val="000000"/>
                <w:sz w:val="20"/>
                <w:szCs w:val="20"/>
                <w:lang w:val="en-US"/>
              </w:rPr>
              <w:t>2023 m.</w:t>
            </w:r>
          </w:p>
        </w:tc>
        <w:tc>
          <w:tcPr>
            <w:tcW w:w="1070" w:type="dxa"/>
            <w:shd w:val="clear" w:color="auto" w:fill="auto"/>
            <w:noWrap/>
            <w:hideMark/>
          </w:tcPr>
          <w:p w14:paraId="74D28BB4" w14:textId="625F4765" w:rsidR="00555FD1" w:rsidRPr="00C43C8F" w:rsidRDefault="00555FD1" w:rsidP="002254C3">
            <w:pPr>
              <w:ind w:left="-108" w:firstLine="0"/>
              <w:jc w:val="center"/>
              <w:rPr>
                <w:sz w:val="20"/>
                <w:szCs w:val="20"/>
              </w:rPr>
            </w:pPr>
            <w:r w:rsidRPr="00C43C8F">
              <w:rPr>
                <w:b/>
                <w:sz w:val="20"/>
                <w:szCs w:val="20"/>
              </w:rPr>
              <w:t>Iš viso konkrečiam regionui per 2015–2023</w:t>
            </w:r>
            <w:r w:rsidRPr="00C43C8F">
              <w:rPr>
                <w:sz w:val="20"/>
                <w:szCs w:val="20"/>
              </w:rPr>
              <w:t xml:space="preserve"> </w:t>
            </w:r>
            <w:r w:rsidRPr="00C43C8F">
              <w:rPr>
                <w:b/>
                <w:sz w:val="20"/>
                <w:szCs w:val="20"/>
              </w:rPr>
              <w:t>m</w:t>
            </w:r>
            <w:r w:rsidRPr="00C43C8F">
              <w:rPr>
                <w:sz w:val="20"/>
                <w:szCs w:val="20"/>
              </w:rPr>
              <w:t>.</w:t>
            </w:r>
          </w:p>
        </w:tc>
      </w:tr>
      <w:tr w:rsidR="00CA6D48" w:rsidRPr="00C43C8F" w14:paraId="3A3436CF" w14:textId="77777777" w:rsidTr="00953372">
        <w:trPr>
          <w:trHeight w:val="300"/>
        </w:trPr>
        <w:tc>
          <w:tcPr>
            <w:tcW w:w="1134" w:type="dxa"/>
          </w:tcPr>
          <w:p w14:paraId="42574163" w14:textId="77777777" w:rsidR="00CA6D48" w:rsidRPr="00C43C8F" w:rsidRDefault="00CA6D48" w:rsidP="00D65F62">
            <w:pPr>
              <w:spacing w:line="20" w:lineRule="atLeast"/>
              <w:ind w:left="-108" w:firstLine="0"/>
              <w:jc w:val="left"/>
              <w:rPr>
                <w:sz w:val="20"/>
                <w:szCs w:val="20"/>
              </w:rPr>
            </w:pPr>
            <w:r w:rsidRPr="00C43C8F">
              <w:rPr>
                <w:sz w:val="20"/>
                <w:szCs w:val="20"/>
              </w:rPr>
              <w:t>Alytaus</w:t>
            </w:r>
          </w:p>
        </w:tc>
        <w:tc>
          <w:tcPr>
            <w:tcW w:w="850" w:type="dxa"/>
            <w:shd w:val="clear" w:color="auto" w:fill="auto"/>
            <w:noWrap/>
            <w:vAlign w:val="bottom"/>
            <w:hideMark/>
          </w:tcPr>
          <w:p w14:paraId="28745738" w14:textId="32E085D8"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1134" w:type="dxa"/>
            <w:shd w:val="clear" w:color="auto" w:fill="auto"/>
            <w:noWrap/>
            <w:vAlign w:val="bottom"/>
            <w:hideMark/>
          </w:tcPr>
          <w:p w14:paraId="1242DA89" w14:textId="6A7B711B"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51.510,00</w:t>
            </w:r>
          </w:p>
        </w:tc>
        <w:tc>
          <w:tcPr>
            <w:tcW w:w="993" w:type="dxa"/>
            <w:shd w:val="clear" w:color="auto" w:fill="auto"/>
            <w:noWrap/>
            <w:vAlign w:val="bottom"/>
            <w:hideMark/>
          </w:tcPr>
          <w:p w14:paraId="29C66F6B" w14:textId="1CAEF725"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206.048,16</w:t>
            </w:r>
          </w:p>
        </w:tc>
        <w:tc>
          <w:tcPr>
            <w:tcW w:w="992" w:type="dxa"/>
            <w:shd w:val="clear" w:color="auto" w:fill="auto"/>
            <w:noWrap/>
            <w:vAlign w:val="bottom"/>
            <w:hideMark/>
          </w:tcPr>
          <w:p w14:paraId="3CAD37CF" w14:textId="7F4C1437"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360.594,48</w:t>
            </w:r>
          </w:p>
        </w:tc>
        <w:tc>
          <w:tcPr>
            <w:tcW w:w="1134" w:type="dxa"/>
            <w:shd w:val="clear" w:color="auto" w:fill="auto"/>
            <w:noWrap/>
            <w:vAlign w:val="bottom"/>
            <w:hideMark/>
          </w:tcPr>
          <w:p w14:paraId="5C42D52B" w14:textId="24B070A7"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309.092,64</w:t>
            </w:r>
          </w:p>
        </w:tc>
        <w:tc>
          <w:tcPr>
            <w:tcW w:w="992" w:type="dxa"/>
            <w:shd w:val="clear" w:color="auto" w:fill="auto"/>
            <w:noWrap/>
            <w:vAlign w:val="bottom"/>
            <w:hideMark/>
          </w:tcPr>
          <w:p w14:paraId="0AF8ABB7" w14:textId="1FDE7516"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103.036,32</w:t>
            </w:r>
          </w:p>
        </w:tc>
        <w:tc>
          <w:tcPr>
            <w:tcW w:w="567" w:type="dxa"/>
            <w:shd w:val="clear" w:color="auto" w:fill="auto"/>
            <w:noWrap/>
            <w:vAlign w:val="bottom"/>
            <w:hideMark/>
          </w:tcPr>
          <w:p w14:paraId="00E03DD6" w14:textId="0465C5D3" w:rsidR="00CA6D48" w:rsidRPr="00C43C8F" w:rsidRDefault="00CA6D48" w:rsidP="00403D57">
            <w:pPr>
              <w:ind w:firstLine="0"/>
              <w:jc w:val="center"/>
              <w:rPr>
                <w:rFonts w:eastAsia="Times New Roman"/>
                <w:color w:val="000000"/>
                <w:sz w:val="18"/>
                <w:szCs w:val="18"/>
                <w:lang w:val="en-US"/>
              </w:rPr>
            </w:pPr>
            <w:r w:rsidRPr="00C43C8F">
              <w:rPr>
                <w:color w:val="000000"/>
                <w:sz w:val="18"/>
                <w:szCs w:val="18"/>
              </w:rPr>
              <w:t>0,00</w:t>
            </w:r>
          </w:p>
        </w:tc>
        <w:tc>
          <w:tcPr>
            <w:tcW w:w="567" w:type="dxa"/>
            <w:shd w:val="clear" w:color="auto" w:fill="auto"/>
            <w:noWrap/>
            <w:vAlign w:val="bottom"/>
            <w:hideMark/>
          </w:tcPr>
          <w:p w14:paraId="35B0F09E" w14:textId="7FE350DD" w:rsidR="00CA6D48" w:rsidRPr="00C43C8F" w:rsidRDefault="00CA6D48" w:rsidP="00403D57">
            <w:pPr>
              <w:ind w:firstLine="0"/>
              <w:jc w:val="center"/>
              <w:rPr>
                <w:sz w:val="18"/>
                <w:szCs w:val="18"/>
              </w:rPr>
            </w:pPr>
            <w:r w:rsidRPr="00C43C8F">
              <w:rPr>
                <w:color w:val="000000"/>
                <w:sz w:val="18"/>
                <w:szCs w:val="18"/>
              </w:rPr>
              <w:t>0,00</w:t>
            </w:r>
          </w:p>
        </w:tc>
        <w:tc>
          <w:tcPr>
            <w:tcW w:w="1070" w:type="dxa"/>
            <w:shd w:val="clear" w:color="auto" w:fill="auto"/>
            <w:noWrap/>
            <w:vAlign w:val="bottom"/>
            <w:hideMark/>
          </w:tcPr>
          <w:p w14:paraId="600BA7E0" w14:textId="02C58A9B" w:rsidR="00CA6D48" w:rsidRPr="00C43C8F" w:rsidRDefault="00CA6D48"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1.030.281,61</w:t>
            </w:r>
          </w:p>
        </w:tc>
      </w:tr>
      <w:tr w:rsidR="00CA6D48" w:rsidRPr="00C43C8F" w14:paraId="77CAEEA9" w14:textId="77777777" w:rsidTr="00953372">
        <w:trPr>
          <w:trHeight w:val="300"/>
        </w:trPr>
        <w:tc>
          <w:tcPr>
            <w:tcW w:w="1134" w:type="dxa"/>
          </w:tcPr>
          <w:p w14:paraId="00277566" w14:textId="77777777" w:rsidR="00CA6D48" w:rsidRPr="00C43C8F" w:rsidRDefault="00CA6D48" w:rsidP="00D65F62">
            <w:pPr>
              <w:spacing w:line="20" w:lineRule="atLeast"/>
              <w:ind w:left="-108" w:firstLine="0"/>
              <w:jc w:val="left"/>
              <w:rPr>
                <w:sz w:val="20"/>
                <w:szCs w:val="20"/>
              </w:rPr>
            </w:pPr>
            <w:r w:rsidRPr="00C43C8F">
              <w:rPr>
                <w:sz w:val="20"/>
                <w:szCs w:val="20"/>
              </w:rPr>
              <w:t>Kauno</w:t>
            </w:r>
          </w:p>
        </w:tc>
        <w:tc>
          <w:tcPr>
            <w:tcW w:w="850" w:type="dxa"/>
            <w:shd w:val="clear" w:color="auto" w:fill="auto"/>
            <w:noWrap/>
            <w:vAlign w:val="bottom"/>
            <w:hideMark/>
          </w:tcPr>
          <w:p w14:paraId="04CF8780" w14:textId="5276F3ED"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1134" w:type="dxa"/>
            <w:shd w:val="clear" w:color="auto" w:fill="auto"/>
            <w:noWrap/>
            <w:vAlign w:val="bottom"/>
            <w:hideMark/>
          </w:tcPr>
          <w:p w14:paraId="288DEAE2" w14:textId="3878ADC7"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67.120,00</w:t>
            </w:r>
          </w:p>
        </w:tc>
        <w:tc>
          <w:tcPr>
            <w:tcW w:w="993" w:type="dxa"/>
            <w:shd w:val="clear" w:color="auto" w:fill="auto"/>
            <w:noWrap/>
            <w:vAlign w:val="bottom"/>
            <w:hideMark/>
          </w:tcPr>
          <w:p w14:paraId="6778967C" w14:textId="08AF8D9A"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268.488,82</w:t>
            </w:r>
          </w:p>
        </w:tc>
        <w:tc>
          <w:tcPr>
            <w:tcW w:w="992" w:type="dxa"/>
            <w:shd w:val="clear" w:color="auto" w:fill="auto"/>
            <w:noWrap/>
            <w:vAlign w:val="bottom"/>
            <w:hideMark/>
          </w:tcPr>
          <w:p w14:paraId="1831F76B" w14:textId="51D80C69"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469.866,45</w:t>
            </w:r>
          </w:p>
        </w:tc>
        <w:tc>
          <w:tcPr>
            <w:tcW w:w="1134" w:type="dxa"/>
            <w:shd w:val="clear" w:color="auto" w:fill="auto"/>
            <w:noWrap/>
            <w:vAlign w:val="bottom"/>
            <w:hideMark/>
          </w:tcPr>
          <w:p w14:paraId="4FED6FEE" w14:textId="6860EC36"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402.755,26</w:t>
            </w:r>
          </w:p>
        </w:tc>
        <w:tc>
          <w:tcPr>
            <w:tcW w:w="992" w:type="dxa"/>
            <w:shd w:val="clear" w:color="auto" w:fill="auto"/>
            <w:noWrap/>
            <w:vAlign w:val="bottom"/>
            <w:hideMark/>
          </w:tcPr>
          <w:p w14:paraId="62EBCFCE" w14:textId="6952CC2D"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134.257,63</w:t>
            </w:r>
          </w:p>
        </w:tc>
        <w:tc>
          <w:tcPr>
            <w:tcW w:w="567" w:type="dxa"/>
            <w:shd w:val="clear" w:color="auto" w:fill="auto"/>
            <w:noWrap/>
            <w:vAlign w:val="bottom"/>
            <w:hideMark/>
          </w:tcPr>
          <w:p w14:paraId="0B900395" w14:textId="20907093" w:rsidR="00CA6D48" w:rsidRPr="00C43C8F" w:rsidRDefault="00CA6D48" w:rsidP="00403D57">
            <w:pPr>
              <w:ind w:firstLine="0"/>
              <w:jc w:val="center"/>
              <w:rPr>
                <w:sz w:val="18"/>
                <w:szCs w:val="18"/>
              </w:rPr>
            </w:pPr>
            <w:r w:rsidRPr="00C43C8F">
              <w:rPr>
                <w:color w:val="000000"/>
                <w:sz w:val="18"/>
                <w:szCs w:val="18"/>
              </w:rPr>
              <w:t>0,00</w:t>
            </w:r>
          </w:p>
        </w:tc>
        <w:tc>
          <w:tcPr>
            <w:tcW w:w="567" w:type="dxa"/>
            <w:shd w:val="clear" w:color="auto" w:fill="auto"/>
            <w:noWrap/>
            <w:vAlign w:val="bottom"/>
            <w:hideMark/>
          </w:tcPr>
          <w:p w14:paraId="2EE61444" w14:textId="3ECD03EF" w:rsidR="00CA6D48" w:rsidRPr="00C43C8F" w:rsidRDefault="00CA6D48" w:rsidP="00403D57">
            <w:pPr>
              <w:ind w:firstLine="0"/>
              <w:jc w:val="center"/>
              <w:rPr>
                <w:sz w:val="18"/>
                <w:szCs w:val="18"/>
              </w:rPr>
            </w:pPr>
            <w:r w:rsidRPr="00C43C8F">
              <w:rPr>
                <w:color w:val="000000"/>
                <w:sz w:val="18"/>
                <w:szCs w:val="18"/>
              </w:rPr>
              <w:t>0,00</w:t>
            </w:r>
          </w:p>
        </w:tc>
        <w:tc>
          <w:tcPr>
            <w:tcW w:w="1070" w:type="dxa"/>
            <w:shd w:val="clear" w:color="auto" w:fill="auto"/>
            <w:noWrap/>
            <w:vAlign w:val="bottom"/>
            <w:hideMark/>
          </w:tcPr>
          <w:p w14:paraId="4BA443D4" w14:textId="6F6311F4" w:rsidR="00CA6D48" w:rsidRPr="00C43C8F" w:rsidRDefault="00CA6D48"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1.342.488,15</w:t>
            </w:r>
          </w:p>
        </w:tc>
      </w:tr>
      <w:tr w:rsidR="00CA6D48" w:rsidRPr="00C43C8F" w14:paraId="5999077F" w14:textId="77777777" w:rsidTr="00953372">
        <w:trPr>
          <w:trHeight w:val="300"/>
        </w:trPr>
        <w:tc>
          <w:tcPr>
            <w:tcW w:w="1134" w:type="dxa"/>
          </w:tcPr>
          <w:p w14:paraId="3F32B0A5" w14:textId="77777777" w:rsidR="00CA6D48" w:rsidRPr="00C43C8F" w:rsidRDefault="00CA6D48" w:rsidP="00D65F62">
            <w:pPr>
              <w:spacing w:line="20" w:lineRule="atLeast"/>
              <w:ind w:left="-108" w:firstLine="0"/>
              <w:jc w:val="left"/>
              <w:rPr>
                <w:sz w:val="20"/>
                <w:szCs w:val="20"/>
              </w:rPr>
            </w:pPr>
            <w:r w:rsidRPr="00C43C8F">
              <w:rPr>
                <w:sz w:val="20"/>
                <w:szCs w:val="20"/>
              </w:rPr>
              <w:t>Klaipėdos</w:t>
            </w:r>
          </w:p>
        </w:tc>
        <w:tc>
          <w:tcPr>
            <w:tcW w:w="850" w:type="dxa"/>
            <w:shd w:val="clear" w:color="auto" w:fill="auto"/>
            <w:noWrap/>
            <w:vAlign w:val="bottom"/>
            <w:hideMark/>
          </w:tcPr>
          <w:p w14:paraId="16AF8F79" w14:textId="37F57A05"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1134" w:type="dxa"/>
            <w:shd w:val="clear" w:color="auto" w:fill="auto"/>
            <w:noWrap/>
            <w:vAlign w:val="bottom"/>
            <w:hideMark/>
          </w:tcPr>
          <w:p w14:paraId="681FCD27" w14:textId="5F56EB81"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59.320,00</w:t>
            </w:r>
          </w:p>
        </w:tc>
        <w:tc>
          <w:tcPr>
            <w:tcW w:w="993" w:type="dxa"/>
            <w:shd w:val="clear" w:color="auto" w:fill="auto"/>
            <w:noWrap/>
            <w:vAlign w:val="bottom"/>
            <w:hideMark/>
          </w:tcPr>
          <w:p w14:paraId="270E33DA" w14:textId="24959DF7"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237.278,49</w:t>
            </w:r>
          </w:p>
        </w:tc>
        <w:tc>
          <w:tcPr>
            <w:tcW w:w="992" w:type="dxa"/>
            <w:shd w:val="clear" w:color="auto" w:fill="auto"/>
            <w:noWrap/>
            <w:vAlign w:val="bottom"/>
            <w:hideMark/>
          </w:tcPr>
          <w:p w14:paraId="66E7EE23" w14:textId="1AD9C800"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415.235,46</w:t>
            </w:r>
          </w:p>
        </w:tc>
        <w:tc>
          <w:tcPr>
            <w:tcW w:w="1134" w:type="dxa"/>
            <w:shd w:val="clear" w:color="auto" w:fill="auto"/>
            <w:noWrap/>
            <w:vAlign w:val="bottom"/>
            <w:hideMark/>
          </w:tcPr>
          <w:p w14:paraId="6AA79A8A" w14:textId="2FDA757A"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355.913,95</w:t>
            </w:r>
          </w:p>
        </w:tc>
        <w:tc>
          <w:tcPr>
            <w:tcW w:w="992" w:type="dxa"/>
            <w:shd w:val="clear" w:color="auto" w:fill="auto"/>
            <w:noWrap/>
            <w:vAlign w:val="bottom"/>
            <w:hideMark/>
          </w:tcPr>
          <w:p w14:paraId="3AE09A91" w14:textId="6AD99C1D"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118.636,98</w:t>
            </w:r>
          </w:p>
        </w:tc>
        <w:tc>
          <w:tcPr>
            <w:tcW w:w="567" w:type="dxa"/>
            <w:shd w:val="clear" w:color="auto" w:fill="auto"/>
            <w:noWrap/>
            <w:vAlign w:val="bottom"/>
            <w:hideMark/>
          </w:tcPr>
          <w:p w14:paraId="55967EDF" w14:textId="6600E30F" w:rsidR="00CA6D48" w:rsidRPr="00C43C8F" w:rsidRDefault="00CA6D48" w:rsidP="00403D57">
            <w:pPr>
              <w:ind w:firstLine="0"/>
              <w:jc w:val="center"/>
              <w:rPr>
                <w:sz w:val="18"/>
                <w:szCs w:val="18"/>
              </w:rPr>
            </w:pPr>
            <w:r w:rsidRPr="00C43C8F">
              <w:rPr>
                <w:color w:val="000000"/>
                <w:sz w:val="18"/>
                <w:szCs w:val="18"/>
              </w:rPr>
              <w:t>0,00</w:t>
            </w:r>
          </w:p>
        </w:tc>
        <w:tc>
          <w:tcPr>
            <w:tcW w:w="567" w:type="dxa"/>
            <w:shd w:val="clear" w:color="auto" w:fill="auto"/>
            <w:noWrap/>
            <w:vAlign w:val="bottom"/>
            <w:hideMark/>
          </w:tcPr>
          <w:p w14:paraId="098E14D2" w14:textId="1B2D54B8" w:rsidR="00CA6D48" w:rsidRPr="00C43C8F" w:rsidRDefault="00CA6D48" w:rsidP="00403D57">
            <w:pPr>
              <w:ind w:firstLine="0"/>
              <w:jc w:val="center"/>
              <w:rPr>
                <w:sz w:val="18"/>
                <w:szCs w:val="18"/>
              </w:rPr>
            </w:pPr>
            <w:r w:rsidRPr="00C43C8F">
              <w:rPr>
                <w:color w:val="000000"/>
                <w:sz w:val="18"/>
                <w:szCs w:val="18"/>
              </w:rPr>
              <w:t>0,00</w:t>
            </w:r>
          </w:p>
        </w:tc>
        <w:tc>
          <w:tcPr>
            <w:tcW w:w="1070" w:type="dxa"/>
            <w:shd w:val="clear" w:color="auto" w:fill="auto"/>
            <w:noWrap/>
            <w:vAlign w:val="bottom"/>
            <w:hideMark/>
          </w:tcPr>
          <w:p w14:paraId="2AC16DAB" w14:textId="46B4BFF1" w:rsidR="00CA6D48" w:rsidRPr="00C43C8F" w:rsidRDefault="00CA6D48"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1.186.384,88</w:t>
            </w:r>
          </w:p>
        </w:tc>
      </w:tr>
      <w:tr w:rsidR="00CA6D48" w:rsidRPr="00C43C8F" w14:paraId="4D006D25" w14:textId="77777777" w:rsidTr="00953372">
        <w:trPr>
          <w:trHeight w:val="300"/>
        </w:trPr>
        <w:tc>
          <w:tcPr>
            <w:tcW w:w="1134" w:type="dxa"/>
          </w:tcPr>
          <w:p w14:paraId="5EC16CD3" w14:textId="77777777" w:rsidR="00CA6D48" w:rsidRPr="00C43C8F" w:rsidRDefault="00CA6D48" w:rsidP="00D65F62">
            <w:pPr>
              <w:spacing w:line="20" w:lineRule="atLeast"/>
              <w:ind w:left="-108" w:right="-108" w:firstLine="0"/>
              <w:jc w:val="left"/>
              <w:rPr>
                <w:sz w:val="20"/>
                <w:szCs w:val="20"/>
              </w:rPr>
            </w:pPr>
            <w:r w:rsidRPr="00C43C8F">
              <w:rPr>
                <w:sz w:val="20"/>
                <w:szCs w:val="20"/>
              </w:rPr>
              <w:t>Marijampolės</w:t>
            </w:r>
          </w:p>
        </w:tc>
        <w:tc>
          <w:tcPr>
            <w:tcW w:w="850" w:type="dxa"/>
            <w:shd w:val="clear" w:color="auto" w:fill="auto"/>
            <w:noWrap/>
            <w:vAlign w:val="bottom"/>
            <w:hideMark/>
          </w:tcPr>
          <w:p w14:paraId="3D78C4C0" w14:textId="24AB0058"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1134" w:type="dxa"/>
            <w:shd w:val="clear" w:color="auto" w:fill="auto"/>
            <w:noWrap/>
            <w:vAlign w:val="bottom"/>
            <w:hideMark/>
          </w:tcPr>
          <w:p w14:paraId="5D20DB61" w14:textId="4F38EDA2"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51.510,00</w:t>
            </w:r>
          </w:p>
        </w:tc>
        <w:tc>
          <w:tcPr>
            <w:tcW w:w="993" w:type="dxa"/>
            <w:shd w:val="clear" w:color="auto" w:fill="auto"/>
            <w:noWrap/>
            <w:vAlign w:val="bottom"/>
            <w:hideMark/>
          </w:tcPr>
          <w:p w14:paraId="508D0C14" w14:textId="56014C7F"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206.048,16</w:t>
            </w:r>
          </w:p>
        </w:tc>
        <w:tc>
          <w:tcPr>
            <w:tcW w:w="992" w:type="dxa"/>
            <w:shd w:val="clear" w:color="auto" w:fill="auto"/>
            <w:noWrap/>
            <w:vAlign w:val="bottom"/>
            <w:hideMark/>
          </w:tcPr>
          <w:p w14:paraId="4E152E10" w14:textId="0AE08C84"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360.594,48</w:t>
            </w:r>
          </w:p>
        </w:tc>
        <w:tc>
          <w:tcPr>
            <w:tcW w:w="1134" w:type="dxa"/>
            <w:shd w:val="clear" w:color="auto" w:fill="auto"/>
            <w:noWrap/>
            <w:vAlign w:val="bottom"/>
            <w:hideMark/>
          </w:tcPr>
          <w:p w14:paraId="1D94EAA4" w14:textId="637B5867"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309.092,64</w:t>
            </w:r>
          </w:p>
        </w:tc>
        <w:tc>
          <w:tcPr>
            <w:tcW w:w="992" w:type="dxa"/>
            <w:shd w:val="clear" w:color="auto" w:fill="auto"/>
            <w:noWrap/>
            <w:vAlign w:val="bottom"/>
            <w:hideMark/>
          </w:tcPr>
          <w:p w14:paraId="74FA4C59" w14:textId="0DFB46F4" w:rsidR="00CA6D48" w:rsidRPr="00C43C8F" w:rsidRDefault="00CA6D48" w:rsidP="00942ABD">
            <w:pPr>
              <w:ind w:left="-108" w:right="-108" w:firstLine="0"/>
              <w:jc w:val="center"/>
              <w:rPr>
                <w:rFonts w:eastAsia="Times New Roman"/>
                <w:color w:val="000000"/>
                <w:sz w:val="18"/>
                <w:szCs w:val="18"/>
                <w:lang w:val="en-US"/>
              </w:rPr>
            </w:pPr>
            <w:r w:rsidRPr="00C43C8F">
              <w:rPr>
                <w:color w:val="000000"/>
                <w:sz w:val="18"/>
                <w:szCs w:val="18"/>
              </w:rPr>
              <w:t>103.036,32</w:t>
            </w:r>
          </w:p>
        </w:tc>
        <w:tc>
          <w:tcPr>
            <w:tcW w:w="567" w:type="dxa"/>
            <w:shd w:val="clear" w:color="auto" w:fill="auto"/>
            <w:noWrap/>
            <w:vAlign w:val="bottom"/>
            <w:hideMark/>
          </w:tcPr>
          <w:p w14:paraId="414FEA11" w14:textId="4B4AD942" w:rsidR="00CA6D48" w:rsidRPr="00C43C8F" w:rsidRDefault="00CA6D48" w:rsidP="00403D57">
            <w:pPr>
              <w:ind w:firstLine="0"/>
              <w:jc w:val="center"/>
              <w:rPr>
                <w:sz w:val="18"/>
                <w:szCs w:val="18"/>
              </w:rPr>
            </w:pPr>
            <w:r w:rsidRPr="00C43C8F">
              <w:rPr>
                <w:color w:val="000000"/>
                <w:sz w:val="18"/>
                <w:szCs w:val="18"/>
              </w:rPr>
              <w:t>0,00</w:t>
            </w:r>
          </w:p>
        </w:tc>
        <w:tc>
          <w:tcPr>
            <w:tcW w:w="567" w:type="dxa"/>
            <w:shd w:val="clear" w:color="auto" w:fill="auto"/>
            <w:noWrap/>
            <w:vAlign w:val="bottom"/>
            <w:hideMark/>
          </w:tcPr>
          <w:p w14:paraId="31D37235" w14:textId="6DD610A8" w:rsidR="00CA6D48" w:rsidRPr="00C43C8F" w:rsidRDefault="00CA6D48" w:rsidP="00403D57">
            <w:pPr>
              <w:ind w:firstLine="0"/>
              <w:jc w:val="center"/>
              <w:rPr>
                <w:sz w:val="18"/>
                <w:szCs w:val="18"/>
              </w:rPr>
            </w:pPr>
            <w:r w:rsidRPr="00C43C8F">
              <w:rPr>
                <w:color w:val="000000"/>
                <w:sz w:val="18"/>
                <w:szCs w:val="18"/>
              </w:rPr>
              <w:t>0,00</w:t>
            </w:r>
          </w:p>
        </w:tc>
        <w:tc>
          <w:tcPr>
            <w:tcW w:w="1070" w:type="dxa"/>
            <w:shd w:val="clear" w:color="auto" w:fill="auto"/>
            <w:noWrap/>
            <w:vAlign w:val="bottom"/>
            <w:hideMark/>
          </w:tcPr>
          <w:p w14:paraId="17D1218A" w14:textId="1F346C86" w:rsidR="00CA6D48" w:rsidRPr="00C43C8F" w:rsidRDefault="00CA6D48"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1.030.281,61</w:t>
            </w:r>
          </w:p>
        </w:tc>
      </w:tr>
      <w:tr w:rsidR="00E15570" w:rsidRPr="00C43C8F" w14:paraId="357F7696" w14:textId="77777777" w:rsidTr="00953372">
        <w:trPr>
          <w:trHeight w:val="300"/>
        </w:trPr>
        <w:tc>
          <w:tcPr>
            <w:tcW w:w="1134" w:type="dxa"/>
          </w:tcPr>
          <w:p w14:paraId="2467FF42" w14:textId="77777777" w:rsidR="00E15570" w:rsidRPr="00C43C8F" w:rsidRDefault="00E15570" w:rsidP="00D65F62">
            <w:pPr>
              <w:spacing w:line="20" w:lineRule="atLeast"/>
              <w:ind w:left="-108" w:firstLine="0"/>
              <w:jc w:val="left"/>
              <w:rPr>
                <w:sz w:val="20"/>
                <w:szCs w:val="20"/>
              </w:rPr>
            </w:pPr>
            <w:r w:rsidRPr="00C43C8F">
              <w:rPr>
                <w:sz w:val="20"/>
                <w:szCs w:val="20"/>
              </w:rPr>
              <w:t>Panevėžio</w:t>
            </w:r>
          </w:p>
        </w:tc>
        <w:tc>
          <w:tcPr>
            <w:tcW w:w="850" w:type="dxa"/>
            <w:shd w:val="clear" w:color="auto" w:fill="auto"/>
            <w:noWrap/>
            <w:vAlign w:val="bottom"/>
            <w:hideMark/>
          </w:tcPr>
          <w:p w14:paraId="44B84026" w14:textId="431EE160"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1134" w:type="dxa"/>
            <w:shd w:val="clear" w:color="auto" w:fill="auto"/>
            <w:noWrap/>
            <w:vAlign w:val="bottom"/>
            <w:hideMark/>
          </w:tcPr>
          <w:p w14:paraId="6B81BBFB" w14:textId="12B8F380"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43.710,00</w:t>
            </w:r>
          </w:p>
        </w:tc>
        <w:tc>
          <w:tcPr>
            <w:tcW w:w="993" w:type="dxa"/>
            <w:shd w:val="clear" w:color="auto" w:fill="auto"/>
            <w:noWrap/>
            <w:vAlign w:val="bottom"/>
            <w:hideMark/>
          </w:tcPr>
          <w:p w14:paraId="6B1585A4" w14:textId="5C621DE3"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174.837,83</w:t>
            </w:r>
          </w:p>
        </w:tc>
        <w:tc>
          <w:tcPr>
            <w:tcW w:w="992" w:type="dxa"/>
            <w:shd w:val="clear" w:color="auto" w:fill="auto"/>
            <w:noWrap/>
            <w:vAlign w:val="bottom"/>
            <w:hideMark/>
          </w:tcPr>
          <w:p w14:paraId="33B4CF5A" w14:textId="3B2163A2"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305.963,50</w:t>
            </w:r>
          </w:p>
        </w:tc>
        <w:tc>
          <w:tcPr>
            <w:tcW w:w="1134" w:type="dxa"/>
            <w:shd w:val="clear" w:color="auto" w:fill="auto"/>
            <w:noWrap/>
            <w:vAlign w:val="bottom"/>
            <w:hideMark/>
          </w:tcPr>
          <w:p w14:paraId="3A838364" w14:textId="0AF81359"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262.251,33</w:t>
            </w:r>
          </w:p>
        </w:tc>
        <w:tc>
          <w:tcPr>
            <w:tcW w:w="992" w:type="dxa"/>
            <w:shd w:val="clear" w:color="auto" w:fill="auto"/>
            <w:noWrap/>
            <w:vAlign w:val="bottom"/>
            <w:hideMark/>
          </w:tcPr>
          <w:p w14:paraId="6254690B" w14:textId="6A0AFA79"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87.415,67</w:t>
            </w:r>
          </w:p>
        </w:tc>
        <w:tc>
          <w:tcPr>
            <w:tcW w:w="567" w:type="dxa"/>
            <w:shd w:val="clear" w:color="auto" w:fill="auto"/>
            <w:noWrap/>
            <w:vAlign w:val="bottom"/>
            <w:hideMark/>
          </w:tcPr>
          <w:p w14:paraId="5B4EC368" w14:textId="4237D630"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567" w:type="dxa"/>
            <w:shd w:val="clear" w:color="auto" w:fill="auto"/>
            <w:noWrap/>
            <w:vAlign w:val="bottom"/>
            <w:hideMark/>
          </w:tcPr>
          <w:p w14:paraId="77AB42A5" w14:textId="7320CE4B"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1070" w:type="dxa"/>
            <w:shd w:val="clear" w:color="auto" w:fill="auto"/>
            <w:noWrap/>
            <w:vAlign w:val="bottom"/>
            <w:hideMark/>
          </w:tcPr>
          <w:p w14:paraId="0028BA4B" w14:textId="393420B4" w:rsidR="00E15570" w:rsidRPr="00C43C8F" w:rsidRDefault="00E15570"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874.178,33</w:t>
            </w:r>
          </w:p>
        </w:tc>
      </w:tr>
      <w:tr w:rsidR="00E15570" w:rsidRPr="00C43C8F" w14:paraId="105F7F0D" w14:textId="77777777" w:rsidTr="00953372">
        <w:trPr>
          <w:trHeight w:val="300"/>
        </w:trPr>
        <w:tc>
          <w:tcPr>
            <w:tcW w:w="1134" w:type="dxa"/>
          </w:tcPr>
          <w:p w14:paraId="75F519D4" w14:textId="77777777" w:rsidR="00E15570" w:rsidRPr="00C43C8F" w:rsidRDefault="00E15570" w:rsidP="00D65F62">
            <w:pPr>
              <w:spacing w:line="20" w:lineRule="atLeast"/>
              <w:ind w:left="-108" w:firstLine="0"/>
              <w:jc w:val="left"/>
              <w:rPr>
                <w:sz w:val="20"/>
                <w:szCs w:val="20"/>
              </w:rPr>
            </w:pPr>
            <w:r w:rsidRPr="00C43C8F">
              <w:rPr>
                <w:sz w:val="20"/>
                <w:szCs w:val="20"/>
              </w:rPr>
              <w:t>Šiaulių</w:t>
            </w:r>
          </w:p>
        </w:tc>
        <w:tc>
          <w:tcPr>
            <w:tcW w:w="850" w:type="dxa"/>
            <w:shd w:val="clear" w:color="auto" w:fill="auto"/>
            <w:noWrap/>
            <w:vAlign w:val="bottom"/>
            <w:hideMark/>
          </w:tcPr>
          <w:p w14:paraId="56ECD13A" w14:textId="4C9711CD"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34.281,50</w:t>
            </w:r>
          </w:p>
        </w:tc>
        <w:tc>
          <w:tcPr>
            <w:tcW w:w="1134" w:type="dxa"/>
            <w:shd w:val="clear" w:color="auto" w:fill="auto"/>
            <w:noWrap/>
            <w:vAlign w:val="bottom"/>
            <w:hideMark/>
          </w:tcPr>
          <w:p w14:paraId="5623779C" w14:textId="5A92B75E"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146.554,50</w:t>
            </w:r>
          </w:p>
        </w:tc>
        <w:tc>
          <w:tcPr>
            <w:tcW w:w="993" w:type="dxa"/>
            <w:shd w:val="clear" w:color="auto" w:fill="auto"/>
            <w:noWrap/>
            <w:vAlign w:val="bottom"/>
            <w:hideMark/>
          </w:tcPr>
          <w:p w14:paraId="29B077D6" w14:textId="49917F71"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277.682,33</w:t>
            </w:r>
          </w:p>
        </w:tc>
        <w:tc>
          <w:tcPr>
            <w:tcW w:w="992" w:type="dxa"/>
            <w:shd w:val="clear" w:color="auto" w:fill="auto"/>
            <w:noWrap/>
            <w:vAlign w:val="bottom"/>
            <w:hideMark/>
          </w:tcPr>
          <w:p w14:paraId="71F21040" w14:textId="6DD2FA46"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271.682,00</w:t>
            </w:r>
          </w:p>
        </w:tc>
        <w:tc>
          <w:tcPr>
            <w:tcW w:w="1134" w:type="dxa"/>
            <w:shd w:val="clear" w:color="auto" w:fill="auto"/>
            <w:noWrap/>
            <w:vAlign w:val="bottom"/>
            <w:hideMark/>
          </w:tcPr>
          <w:p w14:paraId="6E665A56" w14:textId="51D842AB"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125.125,33</w:t>
            </w:r>
          </w:p>
        </w:tc>
        <w:tc>
          <w:tcPr>
            <w:tcW w:w="992" w:type="dxa"/>
            <w:shd w:val="clear" w:color="auto" w:fill="auto"/>
            <w:noWrap/>
            <w:vAlign w:val="bottom"/>
            <w:hideMark/>
          </w:tcPr>
          <w:p w14:paraId="67A49571" w14:textId="7082820B"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18.852,67</w:t>
            </w:r>
          </w:p>
        </w:tc>
        <w:tc>
          <w:tcPr>
            <w:tcW w:w="567" w:type="dxa"/>
            <w:shd w:val="clear" w:color="auto" w:fill="auto"/>
            <w:noWrap/>
            <w:vAlign w:val="bottom"/>
            <w:hideMark/>
          </w:tcPr>
          <w:p w14:paraId="3006082A" w14:textId="59C3DDB9"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567" w:type="dxa"/>
            <w:shd w:val="clear" w:color="auto" w:fill="auto"/>
            <w:noWrap/>
            <w:vAlign w:val="bottom"/>
            <w:hideMark/>
          </w:tcPr>
          <w:p w14:paraId="7273ED40" w14:textId="4A1DFA9E"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1070" w:type="dxa"/>
            <w:shd w:val="clear" w:color="auto" w:fill="auto"/>
            <w:noWrap/>
            <w:vAlign w:val="bottom"/>
            <w:hideMark/>
          </w:tcPr>
          <w:p w14:paraId="6461A0B7" w14:textId="1FD772EF" w:rsidR="00E15570" w:rsidRPr="00C43C8F" w:rsidRDefault="00E15570"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874.178,33</w:t>
            </w:r>
          </w:p>
        </w:tc>
      </w:tr>
      <w:tr w:rsidR="00E15570" w:rsidRPr="00C43C8F" w14:paraId="08B18663" w14:textId="77777777" w:rsidTr="00953372">
        <w:trPr>
          <w:trHeight w:val="300"/>
        </w:trPr>
        <w:tc>
          <w:tcPr>
            <w:tcW w:w="1134" w:type="dxa"/>
          </w:tcPr>
          <w:p w14:paraId="3A99BEC9" w14:textId="77777777" w:rsidR="00E15570" w:rsidRPr="00C43C8F" w:rsidRDefault="00E15570" w:rsidP="00D65F62">
            <w:pPr>
              <w:spacing w:line="20" w:lineRule="atLeast"/>
              <w:ind w:left="-108" w:firstLine="0"/>
              <w:jc w:val="left"/>
              <w:rPr>
                <w:sz w:val="20"/>
                <w:szCs w:val="20"/>
              </w:rPr>
            </w:pPr>
            <w:r w:rsidRPr="00C43C8F">
              <w:rPr>
                <w:sz w:val="20"/>
                <w:szCs w:val="20"/>
              </w:rPr>
              <w:t>Tauragės</w:t>
            </w:r>
          </w:p>
        </w:tc>
        <w:tc>
          <w:tcPr>
            <w:tcW w:w="850" w:type="dxa"/>
            <w:shd w:val="clear" w:color="auto" w:fill="auto"/>
            <w:noWrap/>
            <w:vAlign w:val="bottom"/>
            <w:hideMark/>
          </w:tcPr>
          <w:p w14:paraId="3738ED2D" w14:textId="7B245543"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1134" w:type="dxa"/>
            <w:shd w:val="clear" w:color="auto" w:fill="auto"/>
            <w:noWrap/>
            <w:vAlign w:val="bottom"/>
            <w:hideMark/>
          </w:tcPr>
          <w:p w14:paraId="1DEFAE1E" w14:textId="3BE7F1B0"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51.510,00</w:t>
            </w:r>
          </w:p>
        </w:tc>
        <w:tc>
          <w:tcPr>
            <w:tcW w:w="993" w:type="dxa"/>
            <w:shd w:val="clear" w:color="auto" w:fill="auto"/>
            <w:noWrap/>
            <w:vAlign w:val="bottom"/>
            <w:hideMark/>
          </w:tcPr>
          <w:p w14:paraId="0EF7756A" w14:textId="4C2FBAA3"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206.048,16</w:t>
            </w:r>
          </w:p>
        </w:tc>
        <w:tc>
          <w:tcPr>
            <w:tcW w:w="992" w:type="dxa"/>
            <w:shd w:val="clear" w:color="auto" w:fill="auto"/>
            <w:noWrap/>
            <w:vAlign w:val="bottom"/>
            <w:hideMark/>
          </w:tcPr>
          <w:p w14:paraId="4660260B" w14:textId="5E17E6EA"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360.594,48</w:t>
            </w:r>
          </w:p>
        </w:tc>
        <w:tc>
          <w:tcPr>
            <w:tcW w:w="1134" w:type="dxa"/>
            <w:shd w:val="clear" w:color="auto" w:fill="auto"/>
            <w:noWrap/>
            <w:vAlign w:val="bottom"/>
            <w:hideMark/>
          </w:tcPr>
          <w:p w14:paraId="71A05939" w14:textId="560287D5"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309.092,64</w:t>
            </w:r>
          </w:p>
        </w:tc>
        <w:tc>
          <w:tcPr>
            <w:tcW w:w="992" w:type="dxa"/>
            <w:shd w:val="clear" w:color="auto" w:fill="auto"/>
            <w:noWrap/>
            <w:vAlign w:val="bottom"/>
            <w:hideMark/>
          </w:tcPr>
          <w:p w14:paraId="2F8BC8C2" w14:textId="3A21D4A4"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103.036,32</w:t>
            </w:r>
          </w:p>
        </w:tc>
        <w:tc>
          <w:tcPr>
            <w:tcW w:w="567" w:type="dxa"/>
            <w:shd w:val="clear" w:color="auto" w:fill="auto"/>
            <w:noWrap/>
            <w:vAlign w:val="bottom"/>
            <w:hideMark/>
          </w:tcPr>
          <w:p w14:paraId="20A1876E" w14:textId="3EE75E63"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567" w:type="dxa"/>
            <w:shd w:val="clear" w:color="auto" w:fill="auto"/>
            <w:noWrap/>
            <w:vAlign w:val="bottom"/>
            <w:hideMark/>
          </w:tcPr>
          <w:p w14:paraId="6FD54F57" w14:textId="4D1CC864"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1070" w:type="dxa"/>
            <w:shd w:val="clear" w:color="auto" w:fill="auto"/>
            <w:noWrap/>
            <w:vAlign w:val="bottom"/>
            <w:hideMark/>
          </w:tcPr>
          <w:p w14:paraId="6551A847" w14:textId="2760F0A0" w:rsidR="00E15570" w:rsidRPr="00C43C8F" w:rsidRDefault="00E15570"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1.030.281,61</w:t>
            </w:r>
          </w:p>
        </w:tc>
      </w:tr>
      <w:tr w:rsidR="00E15570" w:rsidRPr="00C43C8F" w14:paraId="6CFFB6EF" w14:textId="77777777" w:rsidTr="00953372">
        <w:trPr>
          <w:trHeight w:val="300"/>
        </w:trPr>
        <w:tc>
          <w:tcPr>
            <w:tcW w:w="1134" w:type="dxa"/>
          </w:tcPr>
          <w:p w14:paraId="1D7D283C" w14:textId="77777777" w:rsidR="00E15570" w:rsidRPr="00C43C8F" w:rsidRDefault="00E15570" w:rsidP="00D65F62">
            <w:pPr>
              <w:spacing w:line="20" w:lineRule="atLeast"/>
              <w:ind w:left="-108" w:firstLine="0"/>
              <w:jc w:val="left"/>
              <w:rPr>
                <w:sz w:val="20"/>
                <w:szCs w:val="20"/>
              </w:rPr>
            </w:pPr>
            <w:r w:rsidRPr="00C43C8F">
              <w:rPr>
                <w:sz w:val="20"/>
                <w:szCs w:val="20"/>
              </w:rPr>
              <w:t>Telšių</w:t>
            </w:r>
          </w:p>
        </w:tc>
        <w:tc>
          <w:tcPr>
            <w:tcW w:w="850" w:type="dxa"/>
            <w:shd w:val="clear" w:color="auto" w:fill="auto"/>
            <w:noWrap/>
            <w:vAlign w:val="bottom"/>
            <w:hideMark/>
          </w:tcPr>
          <w:p w14:paraId="657D35F9" w14:textId="644088A8"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1134" w:type="dxa"/>
            <w:shd w:val="clear" w:color="auto" w:fill="auto"/>
            <w:noWrap/>
            <w:vAlign w:val="bottom"/>
            <w:hideMark/>
          </w:tcPr>
          <w:p w14:paraId="0F8C89CC" w14:textId="1AC77731"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51.510,00</w:t>
            </w:r>
          </w:p>
        </w:tc>
        <w:tc>
          <w:tcPr>
            <w:tcW w:w="993" w:type="dxa"/>
            <w:shd w:val="clear" w:color="auto" w:fill="auto"/>
            <w:noWrap/>
            <w:vAlign w:val="bottom"/>
            <w:hideMark/>
          </w:tcPr>
          <w:p w14:paraId="1D8EFFA6" w14:textId="71344453"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206.048,16</w:t>
            </w:r>
          </w:p>
        </w:tc>
        <w:tc>
          <w:tcPr>
            <w:tcW w:w="992" w:type="dxa"/>
            <w:shd w:val="clear" w:color="auto" w:fill="auto"/>
            <w:noWrap/>
            <w:vAlign w:val="bottom"/>
            <w:hideMark/>
          </w:tcPr>
          <w:p w14:paraId="11F2410C" w14:textId="7D2E26D3"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360.594,48</w:t>
            </w:r>
          </w:p>
        </w:tc>
        <w:tc>
          <w:tcPr>
            <w:tcW w:w="1134" w:type="dxa"/>
            <w:shd w:val="clear" w:color="auto" w:fill="auto"/>
            <w:noWrap/>
            <w:vAlign w:val="bottom"/>
            <w:hideMark/>
          </w:tcPr>
          <w:p w14:paraId="15B6369D" w14:textId="6E946476"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309.092,64</w:t>
            </w:r>
          </w:p>
        </w:tc>
        <w:tc>
          <w:tcPr>
            <w:tcW w:w="992" w:type="dxa"/>
            <w:shd w:val="clear" w:color="auto" w:fill="auto"/>
            <w:noWrap/>
            <w:vAlign w:val="bottom"/>
            <w:hideMark/>
          </w:tcPr>
          <w:p w14:paraId="0A59E2EE" w14:textId="4DDEEDCA"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103.036,32</w:t>
            </w:r>
          </w:p>
        </w:tc>
        <w:tc>
          <w:tcPr>
            <w:tcW w:w="567" w:type="dxa"/>
            <w:shd w:val="clear" w:color="auto" w:fill="auto"/>
            <w:noWrap/>
            <w:vAlign w:val="bottom"/>
            <w:hideMark/>
          </w:tcPr>
          <w:p w14:paraId="35637949" w14:textId="7C554003"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567" w:type="dxa"/>
            <w:shd w:val="clear" w:color="auto" w:fill="auto"/>
            <w:noWrap/>
            <w:vAlign w:val="bottom"/>
            <w:hideMark/>
          </w:tcPr>
          <w:p w14:paraId="4430C188" w14:textId="6D85A6ED"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1070" w:type="dxa"/>
            <w:shd w:val="clear" w:color="auto" w:fill="auto"/>
            <w:noWrap/>
            <w:vAlign w:val="bottom"/>
            <w:hideMark/>
          </w:tcPr>
          <w:p w14:paraId="1D7D5A58" w14:textId="4CFBEDA3" w:rsidR="00E15570" w:rsidRPr="00C43C8F" w:rsidRDefault="00E15570"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1.030.281,61</w:t>
            </w:r>
          </w:p>
        </w:tc>
      </w:tr>
      <w:tr w:rsidR="00E15570" w:rsidRPr="00C43C8F" w14:paraId="44126EAB" w14:textId="77777777" w:rsidTr="00953372">
        <w:trPr>
          <w:trHeight w:val="300"/>
        </w:trPr>
        <w:tc>
          <w:tcPr>
            <w:tcW w:w="1134" w:type="dxa"/>
          </w:tcPr>
          <w:p w14:paraId="2919EE47" w14:textId="77777777" w:rsidR="00E15570" w:rsidRPr="00C43C8F" w:rsidRDefault="00E15570" w:rsidP="00D65F62">
            <w:pPr>
              <w:spacing w:line="20" w:lineRule="atLeast"/>
              <w:ind w:left="-108" w:firstLine="0"/>
              <w:jc w:val="left"/>
              <w:rPr>
                <w:sz w:val="20"/>
                <w:szCs w:val="20"/>
              </w:rPr>
            </w:pPr>
            <w:r w:rsidRPr="00C43C8F">
              <w:rPr>
                <w:sz w:val="20"/>
                <w:szCs w:val="20"/>
              </w:rPr>
              <w:t>Utenos</w:t>
            </w:r>
          </w:p>
        </w:tc>
        <w:tc>
          <w:tcPr>
            <w:tcW w:w="850" w:type="dxa"/>
            <w:shd w:val="clear" w:color="auto" w:fill="auto"/>
            <w:noWrap/>
            <w:vAlign w:val="bottom"/>
            <w:hideMark/>
          </w:tcPr>
          <w:p w14:paraId="62D6F295" w14:textId="3B61CB68"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1134" w:type="dxa"/>
            <w:shd w:val="clear" w:color="auto" w:fill="auto"/>
            <w:noWrap/>
            <w:vAlign w:val="bottom"/>
            <w:hideMark/>
          </w:tcPr>
          <w:p w14:paraId="6B252155" w14:textId="31C5319E"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59.320,00</w:t>
            </w:r>
          </w:p>
        </w:tc>
        <w:tc>
          <w:tcPr>
            <w:tcW w:w="993" w:type="dxa"/>
            <w:shd w:val="clear" w:color="auto" w:fill="auto"/>
            <w:noWrap/>
            <w:vAlign w:val="bottom"/>
            <w:hideMark/>
          </w:tcPr>
          <w:p w14:paraId="0A7CA69A" w14:textId="750D5642"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237.278,49</w:t>
            </w:r>
          </w:p>
        </w:tc>
        <w:tc>
          <w:tcPr>
            <w:tcW w:w="992" w:type="dxa"/>
            <w:shd w:val="clear" w:color="auto" w:fill="auto"/>
            <w:noWrap/>
            <w:vAlign w:val="bottom"/>
            <w:hideMark/>
          </w:tcPr>
          <w:p w14:paraId="6B102B00" w14:textId="1BB31658"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415.235,46</w:t>
            </w:r>
          </w:p>
        </w:tc>
        <w:tc>
          <w:tcPr>
            <w:tcW w:w="1134" w:type="dxa"/>
            <w:shd w:val="clear" w:color="auto" w:fill="auto"/>
            <w:noWrap/>
            <w:vAlign w:val="bottom"/>
            <w:hideMark/>
          </w:tcPr>
          <w:p w14:paraId="664E7CA9" w14:textId="406CE4E4"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355.913,95</w:t>
            </w:r>
          </w:p>
        </w:tc>
        <w:tc>
          <w:tcPr>
            <w:tcW w:w="992" w:type="dxa"/>
            <w:shd w:val="clear" w:color="auto" w:fill="auto"/>
            <w:noWrap/>
            <w:vAlign w:val="bottom"/>
            <w:hideMark/>
          </w:tcPr>
          <w:p w14:paraId="6C113B54" w14:textId="2C95DE23"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118.636,98</w:t>
            </w:r>
          </w:p>
        </w:tc>
        <w:tc>
          <w:tcPr>
            <w:tcW w:w="567" w:type="dxa"/>
            <w:shd w:val="clear" w:color="auto" w:fill="auto"/>
            <w:noWrap/>
            <w:vAlign w:val="bottom"/>
            <w:hideMark/>
          </w:tcPr>
          <w:p w14:paraId="6C1E00D8" w14:textId="0C77C05B"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567" w:type="dxa"/>
            <w:shd w:val="clear" w:color="auto" w:fill="auto"/>
            <w:noWrap/>
            <w:vAlign w:val="bottom"/>
            <w:hideMark/>
          </w:tcPr>
          <w:p w14:paraId="56135E12" w14:textId="691B1C27"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1070" w:type="dxa"/>
            <w:shd w:val="clear" w:color="auto" w:fill="auto"/>
            <w:noWrap/>
            <w:vAlign w:val="bottom"/>
            <w:hideMark/>
          </w:tcPr>
          <w:p w14:paraId="400CBF44" w14:textId="77D852F0" w:rsidR="00E15570" w:rsidRPr="00C43C8F" w:rsidRDefault="00E15570"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1.186.384,88</w:t>
            </w:r>
          </w:p>
        </w:tc>
      </w:tr>
      <w:tr w:rsidR="00E15570" w:rsidRPr="00C43C8F" w14:paraId="5375101B" w14:textId="77777777" w:rsidTr="00953372">
        <w:trPr>
          <w:trHeight w:val="300"/>
        </w:trPr>
        <w:tc>
          <w:tcPr>
            <w:tcW w:w="1134" w:type="dxa"/>
          </w:tcPr>
          <w:p w14:paraId="122C5D3B" w14:textId="77777777" w:rsidR="00E15570" w:rsidRPr="00C43C8F" w:rsidRDefault="00E15570" w:rsidP="00D65F62">
            <w:pPr>
              <w:spacing w:line="20" w:lineRule="atLeast"/>
              <w:ind w:left="-108" w:firstLine="0"/>
              <w:jc w:val="left"/>
              <w:rPr>
                <w:sz w:val="20"/>
                <w:szCs w:val="20"/>
              </w:rPr>
            </w:pPr>
            <w:r w:rsidRPr="00C43C8F">
              <w:rPr>
                <w:sz w:val="20"/>
                <w:szCs w:val="20"/>
              </w:rPr>
              <w:t>Vilniaus</w:t>
            </w:r>
          </w:p>
        </w:tc>
        <w:tc>
          <w:tcPr>
            <w:tcW w:w="850" w:type="dxa"/>
            <w:shd w:val="clear" w:color="auto" w:fill="auto"/>
            <w:noWrap/>
            <w:vAlign w:val="bottom"/>
            <w:hideMark/>
          </w:tcPr>
          <w:p w14:paraId="4B01625F" w14:textId="5013EDBE"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35.520,00</w:t>
            </w:r>
          </w:p>
        </w:tc>
        <w:tc>
          <w:tcPr>
            <w:tcW w:w="1134" w:type="dxa"/>
            <w:shd w:val="clear" w:color="auto" w:fill="auto"/>
            <w:noWrap/>
            <w:vAlign w:val="bottom"/>
            <w:hideMark/>
          </w:tcPr>
          <w:p w14:paraId="0F27AA5C" w14:textId="2794693E"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189.290,00</w:t>
            </w:r>
          </w:p>
        </w:tc>
        <w:tc>
          <w:tcPr>
            <w:tcW w:w="993" w:type="dxa"/>
            <w:shd w:val="clear" w:color="auto" w:fill="auto"/>
            <w:noWrap/>
            <w:vAlign w:val="bottom"/>
            <w:hideMark/>
          </w:tcPr>
          <w:p w14:paraId="7FBF48B6" w14:textId="0396337D"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437.489,47</w:t>
            </w:r>
          </w:p>
        </w:tc>
        <w:tc>
          <w:tcPr>
            <w:tcW w:w="992" w:type="dxa"/>
            <w:shd w:val="clear" w:color="auto" w:fill="auto"/>
            <w:noWrap/>
            <w:vAlign w:val="bottom"/>
            <w:hideMark/>
          </w:tcPr>
          <w:p w14:paraId="68555E48" w14:textId="3441EC39"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543.618,41</w:t>
            </w:r>
          </w:p>
        </w:tc>
        <w:tc>
          <w:tcPr>
            <w:tcW w:w="1134" w:type="dxa"/>
            <w:shd w:val="clear" w:color="auto" w:fill="auto"/>
            <w:noWrap/>
            <w:vAlign w:val="bottom"/>
            <w:hideMark/>
          </w:tcPr>
          <w:p w14:paraId="2E0EED37" w14:textId="601007D1"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354.337,88</w:t>
            </w:r>
          </w:p>
        </w:tc>
        <w:tc>
          <w:tcPr>
            <w:tcW w:w="992" w:type="dxa"/>
            <w:shd w:val="clear" w:color="auto" w:fill="auto"/>
            <w:noWrap/>
            <w:vAlign w:val="bottom"/>
            <w:hideMark/>
          </w:tcPr>
          <w:p w14:paraId="0DAF1087" w14:textId="6208D735"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94.438,94</w:t>
            </w:r>
          </w:p>
        </w:tc>
        <w:tc>
          <w:tcPr>
            <w:tcW w:w="567" w:type="dxa"/>
            <w:shd w:val="clear" w:color="auto" w:fill="auto"/>
            <w:noWrap/>
            <w:vAlign w:val="bottom"/>
            <w:hideMark/>
          </w:tcPr>
          <w:p w14:paraId="1019D1B4" w14:textId="0834F6E1"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567" w:type="dxa"/>
            <w:shd w:val="clear" w:color="auto" w:fill="auto"/>
            <w:noWrap/>
            <w:vAlign w:val="bottom"/>
            <w:hideMark/>
          </w:tcPr>
          <w:p w14:paraId="498EA4E1" w14:textId="72EFDB6B"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1070" w:type="dxa"/>
            <w:shd w:val="clear" w:color="auto" w:fill="auto"/>
            <w:noWrap/>
            <w:vAlign w:val="bottom"/>
            <w:hideMark/>
          </w:tcPr>
          <w:p w14:paraId="00583850" w14:textId="40F2C164" w:rsidR="00E15570" w:rsidRPr="00C43C8F" w:rsidRDefault="00E15570"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1.654.694,69</w:t>
            </w:r>
          </w:p>
        </w:tc>
      </w:tr>
      <w:tr w:rsidR="00E15570" w:rsidRPr="00C43C8F" w14:paraId="31BD77E5" w14:textId="77777777" w:rsidTr="00953372">
        <w:trPr>
          <w:trHeight w:val="600"/>
        </w:trPr>
        <w:tc>
          <w:tcPr>
            <w:tcW w:w="1134" w:type="dxa"/>
          </w:tcPr>
          <w:p w14:paraId="4CF7BABE" w14:textId="77777777" w:rsidR="00E15570" w:rsidRPr="00C43C8F" w:rsidRDefault="00E15570" w:rsidP="00D65F62">
            <w:pPr>
              <w:spacing w:line="20" w:lineRule="atLeast"/>
              <w:ind w:left="-108" w:firstLine="0"/>
              <w:jc w:val="left"/>
              <w:rPr>
                <w:b/>
                <w:i/>
                <w:sz w:val="20"/>
                <w:szCs w:val="20"/>
              </w:rPr>
            </w:pPr>
            <w:r w:rsidRPr="00C43C8F">
              <w:rPr>
                <w:b/>
                <w:i/>
                <w:sz w:val="20"/>
                <w:szCs w:val="20"/>
              </w:rPr>
              <w:t>Iš viso regionams konkrečiais metais:</w:t>
            </w:r>
          </w:p>
        </w:tc>
        <w:tc>
          <w:tcPr>
            <w:tcW w:w="850" w:type="dxa"/>
            <w:shd w:val="clear" w:color="auto" w:fill="auto"/>
            <w:noWrap/>
            <w:vAlign w:val="bottom"/>
            <w:hideMark/>
          </w:tcPr>
          <w:p w14:paraId="56C3F891" w14:textId="76C19539" w:rsidR="00E15570" w:rsidRPr="00C43C8F" w:rsidRDefault="00E15570" w:rsidP="00942ABD">
            <w:pPr>
              <w:ind w:left="-108" w:right="-108" w:firstLine="0"/>
              <w:jc w:val="center"/>
              <w:rPr>
                <w:rFonts w:eastAsia="Times New Roman"/>
                <w:b/>
                <w:bCs/>
                <w:i/>
                <w:iCs/>
                <w:color w:val="000000"/>
                <w:sz w:val="18"/>
                <w:szCs w:val="18"/>
                <w:lang w:val="en-US"/>
              </w:rPr>
            </w:pPr>
            <w:r w:rsidRPr="00C43C8F">
              <w:rPr>
                <w:b/>
                <w:bCs/>
                <w:i/>
                <w:iCs/>
                <w:color w:val="000000"/>
                <w:sz w:val="18"/>
                <w:szCs w:val="18"/>
              </w:rPr>
              <w:t>69.801,50</w:t>
            </w:r>
          </w:p>
        </w:tc>
        <w:tc>
          <w:tcPr>
            <w:tcW w:w="1134" w:type="dxa"/>
            <w:shd w:val="clear" w:color="auto" w:fill="auto"/>
            <w:noWrap/>
            <w:vAlign w:val="bottom"/>
            <w:hideMark/>
          </w:tcPr>
          <w:p w14:paraId="3723C1F2" w14:textId="7B86A78F" w:rsidR="00E15570" w:rsidRPr="00C43C8F" w:rsidRDefault="00E15570" w:rsidP="00942ABD">
            <w:pPr>
              <w:ind w:left="-108" w:right="-108" w:firstLine="0"/>
              <w:jc w:val="center"/>
              <w:rPr>
                <w:rFonts w:eastAsia="Times New Roman"/>
                <w:b/>
                <w:bCs/>
                <w:i/>
                <w:iCs/>
                <w:color w:val="000000"/>
                <w:sz w:val="18"/>
                <w:szCs w:val="18"/>
                <w:lang w:val="en-US"/>
              </w:rPr>
            </w:pPr>
            <w:r w:rsidRPr="00C43C8F">
              <w:rPr>
                <w:b/>
                <w:bCs/>
                <w:i/>
                <w:iCs/>
                <w:color w:val="000000"/>
                <w:sz w:val="18"/>
                <w:szCs w:val="18"/>
              </w:rPr>
              <w:t>771.354,50</w:t>
            </w:r>
          </w:p>
        </w:tc>
        <w:tc>
          <w:tcPr>
            <w:tcW w:w="993" w:type="dxa"/>
            <w:shd w:val="clear" w:color="auto" w:fill="auto"/>
            <w:noWrap/>
            <w:vAlign w:val="bottom"/>
            <w:hideMark/>
          </w:tcPr>
          <w:p w14:paraId="71D430A3" w14:textId="77D722E4" w:rsidR="00E15570" w:rsidRPr="00C43C8F" w:rsidRDefault="00E15570" w:rsidP="00942ABD">
            <w:pPr>
              <w:ind w:left="-108" w:right="-108" w:firstLine="0"/>
              <w:jc w:val="center"/>
              <w:rPr>
                <w:rFonts w:eastAsia="Times New Roman"/>
                <w:b/>
                <w:bCs/>
                <w:i/>
                <w:iCs/>
                <w:color w:val="000000"/>
                <w:sz w:val="18"/>
                <w:szCs w:val="18"/>
                <w:lang w:val="en-US"/>
              </w:rPr>
            </w:pPr>
            <w:r w:rsidRPr="00C43C8F">
              <w:rPr>
                <w:b/>
                <w:bCs/>
                <w:i/>
                <w:iCs/>
                <w:color w:val="000000"/>
                <w:sz w:val="18"/>
                <w:szCs w:val="18"/>
              </w:rPr>
              <w:t>2.457.248,07</w:t>
            </w:r>
          </w:p>
        </w:tc>
        <w:tc>
          <w:tcPr>
            <w:tcW w:w="992" w:type="dxa"/>
            <w:shd w:val="clear" w:color="auto" w:fill="auto"/>
            <w:noWrap/>
            <w:vAlign w:val="bottom"/>
            <w:hideMark/>
          </w:tcPr>
          <w:p w14:paraId="745AC13E" w14:textId="13626E1B" w:rsidR="00E15570" w:rsidRPr="00C43C8F" w:rsidRDefault="00E15570" w:rsidP="00942ABD">
            <w:pPr>
              <w:ind w:left="-108" w:right="-108" w:firstLine="0"/>
              <w:jc w:val="center"/>
              <w:rPr>
                <w:rFonts w:eastAsia="Times New Roman"/>
                <w:b/>
                <w:bCs/>
                <w:i/>
                <w:iCs/>
                <w:color w:val="000000"/>
                <w:sz w:val="18"/>
                <w:szCs w:val="18"/>
                <w:lang w:val="en-US"/>
              </w:rPr>
            </w:pPr>
            <w:r w:rsidRPr="00C43C8F">
              <w:rPr>
                <w:b/>
                <w:bCs/>
                <w:i/>
                <w:iCs/>
                <w:color w:val="000000"/>
                <w:sz w:val="18"/>
                <w:szCs w:val="18"/>
              </w:rPr>
              <w:t>3.863.979,21</w:t>
            </w:r>
          </w:p>
        </w:tc>
        <w:tc>
          <w:tcPr>
            <w:tcW w:w="1134" w:type="dxa"/>
            <w:shd w:val="clear" w:color="auto" w:fill="auto"/>
            <w:noWrap/>
            <w:vAlign w:val="bottom"/>
            <w:hideMark/>
          </w:tcPr>
          <w:p w14:paraId="58B4543E" w14:textId="4226BD3A" w:rsidR="00E15570" w:rsidRPr="00C43C8F" w:rsidRDefault="00E15570" w:rsidP="00942ABD">
            <w:pPr>
              <w:ind w:left="-108" w:right="-108" w:firstLine="0"/>
              <w:jc w:val="center"/>
              <w:rPr>
                <w:rFonts w:eastAsia="Times New Roman"/>
                <w:b/>
                <w:bCs/>
                <w:i/>
                <w:iCs/>
                <w:color w:val="000000"/>
                <w:sz w:val="18"/>
                <w:szCs w:val="18"/>
                <w:lang w:val="en-US"/>
              </w:rPr>
            </w:pPr>
            <w:r w:rsidRPr="00C43C8F">
              <w:rPr>
                <w:b/>
                <w:bCs/>
                <w:i/>
                <w:iCs/>
                <w:color w:val="000000"/>
                <w:sz w:val="18"/>
                <w:szCs w:val="18"/>
              </w:rPr>
              <w:t>3.092.668,28</w:t>
            </w:r>
          </w:p>
        </w:tc>
        <w:tc>
          <w:tcPr>
            <w:tcW w:w="992" w:type="dxa"/>
            <w:shd w:val="clear" w:color="auto" w:fill="auto"/>
            <w:noWrap/>
            <w:vAlign w:val="bottom"/>
            <w:hideMark/>
          </w:tcPr>
          <w:p w14:paraId="1910BDF2" w14:textId="6336357B" w:rsidR="00E15570" w:rsidRPr="00C43C8F" w:rsidRDefault="00E15570" w:rsidP="00942ABD">
            <w:pPr>
              <w:ind w:left="-108" w:right="-108" w:firstLine="0"/>
              <w:jc w:val="center"/>
              <w:rPr>
                <w:rFonts w:eastAsia="Times New Roman"/>
                <w:b/>
                <w:bCs/>
                <w:i/>
                <w:iCs/>
                <w:color w:val="000000"/>
                <w:sz w:val="18"/>
                <w:szCs w:val="18"/>
                <w:lang w:val="en-US"/>
              </w:rPr>
            </w:pPr>
            <w:r w:rsidRPr="00C43C8F">
              <w:rPr>
                <w:b/>
                <w:bCs/>
                <w:i/>
                <w:iCs/>
                <w:color w:val="000000"/>
                <w:sz w:val="18"/>
                <w:szCs w:val="18"/>
              </w:rPr>
              <w:t>984.384,14</w:t>
            </w:r>
          </w:p>
        </w:tc>
        <w:tc>
          <w:tcPr>
            <w:tcW w:w="567" w:type="dxa"/>
            <w:shd w:val="clear" w:color="auto" w:fill="auto"/>
            <w:noWrap/>
            <w:vAlign w:val="bottom"/>
            <w:hideMark/>
          </w:tcPr>
          <w:p w14:paraId="3253A436" w14:textId="31AEA09A" w:rsidR="00E15570" w:rsidRPr="00C43C8F" w:rsidRDefault="00E15570" w:rsidP="00403D57">
            <w:pPr>
              <w:ind w:firstLine="0"/>
              <w:jc w:val="center"/>
              <w:rPr>
                <w:rFonts w:eastAsia="Times New Roman"/>
                <w:b/>
                <w:bCs/>
                <w:i/>
                <w:iCs/>
                <w:color w:val="000000"/>
                <w:sz w:val="18"/>
                <w:szCs w:val="18"/>
                <w:lang w:val="en-US"/>
              </w:rPr>
            </w:pPr>
            <w:r w:rsidRPr="00C43C8F">
              <w:rPr>
                <w:rFonts w:eastAsia="Times New Roman"/>
                <w:b/>
                <w:bCs/>
                <w:i/>
                <w:iCs/>
                <w:color w:val="000000"/>
                <w:sz w:val="18"/>
                <w:szCs w:val="18"/>
                <w:lang w:val="en-US"/>
              </w:rPr>
              <w:t>0,00</w:t>
            </w:r>
          </w:p>
        </w:tc>
        <w:tc>
          <w:tcPr>
            <w:tcW w:w="567" w:type="dxa"/>
            <w:shd w:val="clear" w:color="auto" w:fill="auto"/>
            <w:noWrap/>
            <w:vAlign w:val="bottom"/>
            <w:hideMark/>
          </w:tcPr>
          <w:p w14:paraId="4DCF8767" w14:textId="13540386" w:rsidR="00E15570" w:rsidRPr="00C43C8F" w:rsidRDefault="00E15570" w:rsidP="00403D57">
            <w:pPr>
              <w:ind w:firstLine="0"/>
              <w:jc w:val="center"/>
              <w:rPr>
                <w:rFonts w:eastAsia="Times New Roman"/>
                <w:b/>
                <w:bCs/>
                <w:i/>
                <w:iCs/>
                <w:color w:val="000000"/>
                <w:sz w:val="18"/>
                <w:szCs w:val="18"/>
                <w:lang w:val="en-US"/>
              </w:rPr>
            </w:pPr>
            <w:r w:rsidRPr="00C43C8F">
              <w:rPr>
                <w:rFonts w:eastAsia="Times New Roman"/>
                <w:b/>
                <w:bCs/>
                <w:i/>
                <w:iCs/>
                <w:color w:val="000000"/>
                <w:sz w:val="18"/>
                <w:szCs w:val="18"/>
                <w:lang w:val="en-US"/>
              </w:rPr>
              <w:t>0,00</w:t>
            </w:r>
          </w:p>
        </w:tc>
        <w:tc>
          <w:tcPr>
            <w:tcW w:w="1070" w:type="dxa"/>
            <w:shd w:val="clear" w:color="auto" w:fill="auto"/>
            <w:noWrap/>
            <w:vAlign w:val="bottom"/>
            <w:hideMark/>
          </w:tcPr>
          <w:p w14:paraId="2D8A67D1" w14:textId="3BF1EB13" w:rsidR="00E15570" w:rsidRPr="00C43C8F" w:rsidRDefault="00E15570" w:rsidP="00724B22">
            <w:pPr>
              <w:ind w:left="-108" w:right="-172" w:firstLine="0"/>
              <w:jc w:val="center"/>
              <w:rPr>
                <w:rFonts w:eastAsia="Times New Roman"/>
                <w:b/>
                <w:bCs/>
                <w:i/>
                <w:iCs/>
                <w:color w:val="000000"/>
                <w:sz w:val="18"/>
                <w:szCs w:val="18"/>
                <w:lang w:val="en-US"/>
              </w:rPr>
            </w:pPr>
            <w:r w:rsidRPr="00C43C8F">
              <w:rPr>
                <w:rFonts w:eastAsia="Times New Roman"/>
                <w:b/>
                <w:bCs/>
                <w:i/>
                <w:iCs/>
                <w:color w:val="000000"/>
                <w:sz w:val="18"/>
                <w:szCs w:val="18"/>
                <w:lang w:val="en-US"/>
              </w:rPr>
              <w:t>11.239.435,70</w:t>
            </w:r>
          </w:p>
        </w:tc>
      </w:tr>
      <w:tr w:rsidR="00E15570" w:rsidRPr="00C43C8F" w14:paraId="25F3FBC9" w14:textId="77777777" w:rsidTr="00953372">
        <w:trPr>
          <w:trHeight w:val="300"/>
        </w:trPr>
        <w:tc>
          <w:tcPr>
            <w:tcW w:w="1134" w:type="dxa"/>
            <w:vAlign w:val="bottom"/>
          </w:tcPr>
          <w:p w14:paraId="4CAD6428" w14:textId="77777777" w:rsidR="00E15570" w:rsidRPr="00C43C8F" w:rsidRDefault="00E15570" w:rsidP="00D65F62">
            <w:pPr>
              <w:spacing w:line="20" w:lineRule="atLeast"/>
              <w:ind w:left="-108" w:firstLine="0"/>
              <w:jc w:val="left"/>
              <w:rPr>
                <w:sz w:val="20"/>
                <w:szCs w:val="20"/>
              </w:rPr>
            </w:pPr>
            <w:r w:rsidRPr="00C43C8F">
              <w:rPr>
                <w:sz w:val="20"/>
                <w:szCs w:val="20"/>
              </w:rPr>
              <w:t>Vilnius</w:t>
            </w:r>
          </w:p>
        </w:tc>
        <w:tc>
          <w:tcPr>
            <w:tcW w:w="850" w:type="dxa"/>
            <w:shd w:val="clear" w:color="auto" w:fill="auto"/>
            <w:noWrap/>
            <w:vAlign w:val="bottom"/>
            <w:hideMark/>
          </w:tcPr>
          <w:p w14:paraId="32E835D0" w14:textId="1917DB69"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1134" w:type="dxa"/>
            <w:shd w:val="clear" w:color="auto" w:fill="auto"/>
            <w:noWrap/>
            <w:vAlign w:val="bottom"/>
            <w:hideMark/>
          </w:tcPr>
          <w:p w14:paraId="116539E4" w14:textId="434919AB"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102.180,00</w:t>
            </w:r>
          </w:p>
        </w:tc>
        <w:tc>
          <w:tcPr>
            <w:tcW w:w="993" w:type="dxa"/>
            <w:shd w:val="clear" w:color="auto" w:fill="auto"/>
            <w:noWrap/>
            <w:vAlign w:val="bottom"/>
            <w:hideMark/>
          </w:tcPr>
          <w:p w14:paraId="736AA4AF" w14:textId="666A9CBF"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408.713,38</w:t>
            </w:r>
          </w:p>
        </w:tc>
        <w:tc>
          <w:tcPr>
            <w:tcW w:w="992" w:type="dxa"/>
            <w:shd w:val="clear" w:color="auto" w:fill="auto"/>
            <w:noWrap/>
            <w:vAlign w:val="bottom"/>
            <w:hideMark/>
          </w:tcPr>
          <w:p w14:paraId="5D3CCB01" w14:textId="230C2D3F"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715.240,13</w:t>
            </w:r>
          </w:p>
        </w:tc>
        <w:tc>
          <w:tcPr>
            <w:tcW w:w="1134" w:type="dxa"/>
            <w:shd w:val="clear" w:color="auto" w:fill="auto"/>
            <w:noWrap/>
            <w:vAlign w:val="bottom"/>
            <w:hideMark/>
          </w:tcPr>
          <w:p w14:paraId="0044C1E7" w14:textId="253085E8"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613.053,51</w:t>
            </w:r>
          </w:p>
        </w:tc>
        <w:tc>
          <w:tcPr>
            <w:tcW w:w="992" w:type="dxa"/>
            <w:shd w:val="clear" w:color="auto" w:fill="auto"/>
            <w:noWrap/>
            <w:vAlign w:val="bottom"/>
            <w:hideMark/>
          </w:tcPr>
          <w:p w14:paraId="68CF7AE8" w14:textId="518DDBB7"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204.346,75</w:t>
            </w:r>
          </w:p>
        </w:tc>
        <w:tc>
          <w:tcPr>
            <w:tcW w:w="567" w:type="dxa"/>
            <w:shd w:val="clear" w:color="auto" w:fill="auto"/>
            <w:noWrap/>
            <w:vAlign w:val="bottom"/>
            <w:hideMark/>
          </w:tcPr>
          <w:p w14:paraId="7AAAF4C4" w14:textId="4A32CB6E"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567" w:type="dxa"/>
            <w:shd w:val="clear" w:color="auto" w:fill="auto"/>
            <w:noWrap/>
            <w:vAlign w:val="bottom"/>
            <w:hideMark/>
          </w:tcPr>
          <w:p w14:paraId="0B7CED4E" w14:textId="19B30D89"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1070" w:type="dxa"/>
            <w:shd w:val="clear" w:color="auto" w:fill="auto"/>
            <w:noWrap/>
            <w:vAlign w:val="bottom"/>
            <w:hideMark/>
          </w:tcPr>
          <w:p w14:paraId="52A8849A" w14:textId="4AD41843" w:rsidR="00E15570" w:rsidRPr="00C43C8F" w:rsidRDefault="00E15570"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2.043.533,77</w:t>
            </w:r>
          </w:p>
        </w:tc>
      </w:tr>
      <w:tr w:rsidR="00E15570" w:rsidRPr="00C43C8F" w14:paraId="4B78A95D" w14:textId="77777777" w:rsidTr="00953372">
        <w:trPr>
          <w:trHeight w:val="300"/>
        </w:trPr>
        <w:tc>
          <w:tcPr>
            <w:tcW w:w="1134" w:type="dxa"/>
            <w:vAlign w:val="bottom"/>
          </w:tcPr>
          <w:p w14:paraId="1C0F20D1" w14:textId="77777777" w:rsidR="00E15570" w:rsidRPr="00C43C8F" w:rsidRDefault="00E15570" w:rsidP="00D65F62">
            <w:pPr>
              <w:spacing w:line="20" w:lineRule="atLeast"/>
              <w:ind w:left="-108" w:firstLine="0"/>
              <w:jc w:val="left"/>
              <w:rPr>
                <w:sz w:val="20"/>
                <w:szCs w:val="20"/>
              </w:rPr>
            </w:pPr>
            <w:r w:rsidRPr="00C43C8F">
              <w:rPr>
                <w:sz w:val="20"/>
                <w:szCs w:val="20"/>
              </w:rPr>
              <w:t>Kaunas</w:t>
            </w:r>
          </w:p>
        </w:tc>
        <w:tc>
          <w:tcPr>
            <w:tcW w:w="850" w:type="dxa"/>
            <w:shd w:val="clear" w:color="auto" w:fill="auto"/>
            <w:noWrap/>
            <w:vAlign w:val="bottom"/>
            <w:hideMark/>
          </w:tcPr>
          <w:p w14:paraId="0B6AC0C1" w14:textId="051AFAB1"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1134" w:type="dxa"/>
            <w:shd w:val="clear" w:color="auto" w:fill="auto"/>
            <w:noWrap/>
            <w:vAlign w:val="bottom"/>
            <w:hideMark/>
          </w:tcPr>
          <w:p w14:paraId="197162E3" w14:textId="77101B6F"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102.180,00</w:t>
            </w:r>
          </w:p>
        </w:tc>
        <w:tc>
          <w:tcPr>
            <w:tcW w:w="993" w:type="dxa"/>
            <w:shd w:val="clear" w:color="auto" w:fill="auto"/>
            <w:noWrap/>
            <w:vAlign w:val="bottom"/>
            <w:hideMark/>
          </w:tcPr>
          <w:p w14:paraId="2DEB6FD7" w14:textId="3FF967F0"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408.713,38</w:t>
            </w:r>
          </w:p>
        </w:tc>
        <w:tc>
          <w:tcPr>
            <w:tcW w:w="992" w:type="dxa"/>
            <w:shd w:val="clear" w:color="auto" w:fill="auto"/>
            <w:noWrap/>
            <w:vAlign w:val="bottom"/>
            <w:hideMark/>
          </w:tcPr>
          <w:p w14:paraId="3C2E489F" w14:textId="5E152A58"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715.240,13</w:t>
            </w:r>
          </w:p>
        </w:tc>
        <w:tc>
          <w:tcPr>
            <w:tcW w:w="1134" w:type="dxa"/>
            <w:shd w:val="clear" w:color="auto" w:fill="auto"/>
            <w:noWrap/>
            <w:vAlign w:val="bottom"/>
            <w:hideMark/>
          </w:tcPr>
          <w:p w14:paraId="56A4DA78" w14:textId="6D0648BC"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613.053,51</w:t>
            </w:r>
          </w:p>
        </w:tc>
        <w:tc>
          <w:tcPr>
            <w:tcW w:w="992" w:type="dxa"/>
            <w:shd w:val="clear" w:color="auto" w:fill="auto"/>
            <w:noWrap/>
            <w:vAlign w:val="bottom"/>
            <w:hideMark/>
          </w:tcPr>
          <w:p w14:paraId="0D5E1E37" w14:textId="25213B2D"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204.346,75</w:t>
            </w:r>
          </w:p>
        </w:tc>
        <w:tc>
          <w:tcPr>
            <w:tcW w:w="567" w:type="dxa"/>
            <w:shd w:val="clear" w:color="auto" w:fill="auto"/>
            <w:noWrap/>
            <w:vAlign w:val="bottom"/>
            <w:hideMark/>
          </w:tcPr>
          <w:p w14:paraId="6EB9D7AE" w14:textId="06E7EFF6"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567" w:type="dxa"/>
            <w:shd w:val="clear" w:color="auto" w:fill="auto"/>
            <w:noWrap/>
            <w:vAlign w:val="bottom"/>
            <w:hideMark/>
          </w:tcPr>
          <w:p w14:paraId="6A9414C9" w14:textId="0AED7634"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1070" w:type="dxa"/>
            <w:shd w:val="clear" w:color="auto" w:fill="auto"/>
            <w:noWrap/>
            <w:vAlign w:val="bottom"/>
            <w:hideMark/>
          </w:tcPr>
          <w:p w14:paraId="4DEE567C" w14:textId="45B38C72" w:rsidR="00E15570" w:rsidRPr="00C43C8F" w:rsidRDefault="00E15570"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2.043.533,77</w:t>
            </w:r>
          </w:p>
        </w:tc>
      </w:tr>
      <w:tr w:rsidR="00E15570" w:rsidRPr="00C43C8F" w14:paraId="1DD496D9" w14:textId="77777777" w:rsidTr="00953372">
        <w:trPr>
          <w:trHeight w:val="300"/>
        </w:trPr>
        <w:tc>
          <w:tcPr>
            <w:tcW w:w="1134" w:type="dxa"/>
            <w:vAlign w:val="bottom"/>
          </w:tcPr>
          <w:p w14:paraId="6F063836" w14:textId="77777777" w:rsidR="00E15570" w:rsidRPr="00C43C8F" w:rsidRDefault="00E15570" w:rsidP="00D65F62">
            <w:pPr>
              <w:spacing w:line="20" w:lineRule="atLeast"/>
              <w:ind w:left="-108" w:firstLine="0"/>
              <w:jc w:val="left"/>
              <w:rPr>
                <w:sz w:val="20"/>
                <w:szCs w:val="20"/>
              </w:rPr>
            </w:pPr>
            <w:r w:rsidRPr="00C43C8F">
              <w:rPr>
                <w:sz w:val="20"/>
                <w:szCs w:val="20"/>
              </w:rPr>
              <w:t>Klaipėda</w:t>
            </w:r>
          </w:p>
        </w:tc>
        <w:tc>
          <w:tcPr>
            <w:tcW w:w="850" w:type="dxa"/>
            <w:shd w:val="clear" w:color="auto" w:fill="auto"/>
            <w:noWrap/>
            <w:vAlign w:val="bottom"/>
            <w:hideMark/>
          </w:tcPr>
          <w:p w14:paraId="5CA7713E" w14:textId="52DC6774"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1134" w:type="dxa"/>
            <w:shd w:val="clear" w:color="auto" w:fill="auto"/>
            <w:noWrap/>
            <w:vAlign w:val="bottom"/>
            <w:hideMark/>
          </w:tcPr>
          <w:p w14:paraId="1EB03AA8" w14:textId="6C79C0AD"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51.090,00</w:t>
            </w:r>
          </w:p>
        </w:tc>
        <w:tc>
          <w:tcPr>
            <w:tcW w:w="993" w:type="dxa"/>
            <w:shd w:val="clear" w:color="auto" w:fill="auto"/>
            <w:noWrap/>
            <w:vAlign w:val="bottom"/>
            <w:hideMark/>
          </w:tcPr>
          <w:p w14:paraId="69C6FE6B" w14:textId="15E1B080"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204.356,69</w:t>
            </w:r>
          </w:p>
        </w:tc>
        <w:tc>
          <w:tcPr>
            <w:tcW w:w="992" w:type="dxa"/>
            <w:shd w:val="clear" w:color="auto" w:fill="auto"/>
            <w:noWrap/>
            <w:vAlign w:val="bottom"/>
            <w:hideMark/>
          </w:tcPr>
          <w:p w14:paraId="121B4257" w14:textId="0E3CD786"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357.620,06</w:t>
            </w:r>
          </w:p>
        </w:tc>
        <w:tc>
          <w:tcPr>
            <w:tcW w:w="1134" w:type="dxa"/>
            <w:shd w:val="clear" w:color="auto" w:fill="auto"/>
            <w:noWrap/>
            <w:vAlign w:val="bottom"/>
            <w:hideMark/>
          </w:tcPr>
          <w:p w14:paraId="3ACCB38F" w14:textId="4F24EBEC"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306.526,75</w:t>
            </w:r>
          </w:p>
        </w:tc>
        <w:tc>
          <w:tcPr>
            <w:tcW w:w="992" w:type="dxa"/>
            <w:shd w:val="clear" w:color="auto" w:fill="auto"/>
            <w:noWrap/>
            <w:vAlign w:val="bottom"/>
            <w:hideMark/>
          </w:tcPr>
          <w:p w14:paraId="5A115861" w14:textId="567B9812"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102.173,38</w:t>
            </w:r>
          </w:p>
        </w:tc>
        <w:tc>
          <w:tcPr>
            <w:tcW w:w="567" w:type="dxa"/>
            <w:shd w:val="clear" w:color="auto" w:fill="auto"/>
            <w:noWrap/>
            <w:vAlign w:val="bottom"/>
            <w:hideMark/>
          </w:tcPr>
          <w:p w14:paraId="66785C80" w14:textId="5E85D47C"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567" w:type="dxa"/>
            <w:shd w:val="clear" w:color="auto" w:fill="auto"/>
            <w:noWrap/>
            <w:vAlign w:val="bottom"/>
            <w:hideMark/>
          </w:tcPr>
          <w:p w14:paraId="32817D7B" w14:textId="4F35931B"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1070" w:type="dxa"/>
            <w:shd w:val="clear" w:color="auto" w:fill="auto"/>
            <w:noWrap/>
            <w:vAlign w:val="bottom"/>
            <w:hideMark/>
          </w:tcPr>
          <w:p w14:paraId="2CB7AF80" w14:textId="141FBD8B" w:rsidR="00E15570" w:rsidRPr="00C43C8F" w:rsidRDefault="00E15570"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1.021.766,88</w:t>
            </w:r>
          </w:p>
        </w:tc>
      </w:tr>
      <w:tr w:rsidR="00E15570" w:rsidRPr="00C43C8F" w14:paraId="0DE2D9E9" w14:textId="77777777" w:rsidTr="00953372">
        <w:trPr>
          <w:trHeight w:val="300"/>
        </w:trPr>
        <w:tc>
          <w:tcPr>
            <w:tcW w:w="1134" w:type="dxa"/>
            <w:vAlign w:val="bottom"/>
          </w:tcPr>
          <w:p w14:paraId="7FABB209" w14:textId="77777777" w:rsidR="00E15570" w:rsidRPr="00C43C8F" w:rsidRDefault="00E15570" w:rsidP="00D65F62">
            <w:pPr>
              <w:spacing w:line="20" w:lineRule="atLeast"/>
              <w:ind w:left="-108" w:firstLine="0"/>
              <w:jc w:val="left"/>
              <w:rPr>
                <w:sz w:val="20"/>
                <w:szCs w:val="20"/>
              </w:rPr>
            </w:pPr>
            <w:r w:rsidRPr="00C43C8F">
              <w:rPr>
                <w:sz w:val="20"/>
                <w:szCs w:val="20"/>
              </w:rPr>
              <w:t>Šiauliai</w:t>
            </w:r>
          </w:p>
        </w:tc>
        <w:tc>
          <w:tcPr>
            <w:tcW w:w="850" w:type="dxa"/>
            <w:shd w:val="clear" w:color="auto" w:fill="auto"/>
            <w:noWrap/>
            <w:vAlign w:val="bottom"/>
            <w:hideMark/>
          </w:tcPr>
          <w:p w14:paraId="78D9EDBD" w14:textId="55594887"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1134" w:type="dxa"/>
            <w:shd w:val="clear" w:color="auto" w:fill="auto"/>
            <w:noWrap/>
            <w:vAlign w:val="bottom"/>
            <w:hideMark/>
          </w:tcPr>
          <w:p w14:paraId="5B827035" w14:textId="5D403517"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993" w:type="dxa"/>
            <w:shd w:val="clear" w:color="auto" w:fill="auto"/>
            <w:noWrap/>
            <w:vAlign w:val="bottom"/>
            <w:hideMark/>
          </w:tcPr>
          <w:p w14:paraId="36178788" w14:textId="0341893A"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992" w:type="dxa"/>
            <w:shd w:val="clear" w:color="auto" w:fill="auto"/>
            <w:noWrap/>
            <w:vAlign w:val="bottom"/>
            <w:hideMark/>
          </w:tcPr>
          <w:p w14:paraId="3FB743EC" w14:textId="043A2FB2"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1134" w:type="dxa"/>
            <w:shd w:val="clear" w:color="auto" w:fill="auto"/>
            <w:noWrap/>
            <w:vAlign w:val="bottom"/>
            <w:hideMark/>
          </w:tcPr>
          <w:p w14:paraId="74B59491" w14:textId="474466EE"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992" w:type="dxa"/>
            <w:shd w:val="clear" w:color="auto" w:fill="auto"/>
            <w:noWrap/>
            <w:vAlign w:val="bottom"/>
            <w:hideMark/>
          </w:tcPr>
          <w:p w14:paraId="751164BA" w14:textId="262D89D3"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567" w:type="dxa"/>
            <w:shd w:val="clear" w:color="auto" w:fill="auto"/>
            <w:noWrap/>
            <w:vAlign w:val="bottom"/>
            <w:hideMark/>
          </w:tcPr>
          <w:p w14:paraId="37521CB2" w14:textId="3C0D383F"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567" w:type="dxa"/>
            <w:shd w:val="clear" w:color="auto" w:fill="auto"/>
            <w:noWrap/>
            <w:vAlign w:val="bottom"/>
            <w:hideMark/>
          </w:tcPr>
          <w:p w14:paraId="6423AC82" w14:textId="6233A57F"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1070" w:type="dxa"/>
            <w:shd w:val="clear" w:color="auto" w:fill="auto"/>
            <w:noWrap/>
            <w:vAlign w:val="bottom"/>
            <w:hideMark/>
          </w:tcPr>
          <w:p w14:paraId="479DDAE2" w14:textId="20B745F4" w:rsidR="00E15570" w:rsidRPr="00C43C8F" w:rsidRDefault="00E15570"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0,00</w:t>
            </w:r>
          </w:p>
        </w:tc>
      </w:tr>
      <w:tr w:rsidR="00E15570" w:rsidRPr="00C43C8F" w14:paraId="385EFC4A" w14:textId="77777777" w:rsidTr="00953372">
        <w:trPr>
          <w:trHeight w:val="300"/>
        </w:trPr>
        <w:tc>
          <w:tcPr>
            <w:tcW w:w="1134" w:type="dxa"/>
            <w:vAlign w:val="bottom"/>
          </w:tcPr>
          <w:p w14:paraId="52CE6FE6" w14:textId="77777777" w:rsidR="00E15570" w:rsidRPr="00C43C8F" w:rsidRDefault="00E15570" w:rsidP="00D65F62">
            <w:pPr>
              <w:spacing w:line="20" w:lineRule="atLeast"/>
              <w:ind w:left="-108" w:firstLine="0"/>
              <w:jc w:val="left"/>
              <w:rPr>
                <w:sz w:val="20"/>
                <w:szCs w:val="20"/>
              </w:rPr>
            </w:pPr>
            <w:r w:rsidRPr="00C43C8F">
              <w:rPr>
                <w:sz w:val="20"/>
                <w:szCs w:val="20"/>
              </w:rPr>
              <w:t>Panevėžys</w:t>
            </w:r>
          </w:p>
        </w:tc>
        <w:tc>
          <w:tcPr>
            <w:tcW w:w="850" w:type="dxa"/>
            <w:shd w:val="clear" w:color="auto" w:fill="auto"/>
            <w:noWrap/>
            <w:vAlign w:val="bottom"/>
            <w:hideMark/>
          </w:tcPr>
          <w:p w14:paraId="54A7A37E" w14:textId="7260E674"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0,00</w:t>
            </w:r>
          </w:p>
        </w:tc>
        <w:tc>
          <w:tcPr>
            <w:tcW w:w="1134" w:type="dxa"/>
            <w:shd w:val="clear" w:color="auto" w:fill="auto"/>
            <w:noWrap/>
            <w:vAlign w:val="bottom"/>
            <w:hideMark/>
          </w:tcPr>
          <w:p w14:paraId="3E3809EA" w14:textId="0A75F0DF"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51.090,00</w:t>
            </w:r>
          </w:p>
        </w:tc>
        <w:tc>
          <w:tcPr>
            <w:tcW w:w="993" w:type="dxa"/>
            <w:shd w:val="clear" w:color="auto" w:fill="auto"/>
            <w:noWrap/>
            <w:vAlign w:val="bottom"/>
            <w:hideMark/>
          </w:tcPr>
          <w:p w14:paraId="06E13A7E" w14:textId="69A650E2"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204.356,69</w:t>
            </w:r>
          </w:p>
        </w:tc>
        <w:tc>
          <w:tcPr>
            <w:tcW w:w="992" w:type="dxa"/>
            <w:shd w:val="clear" w:color="auto" w:fill="auto"/>
            <w:noWrap/>
            <w:vAlign w:val="bottom"/>
            <w:hideMark/>
          </w:tcPr>
          <w:p w14:paraId="098D9725" w14:textId="2C79DEF2"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357.620,06</w:t>
            </w:r>
          </w:p>
        </w:tc>
        <w:tc>
          <w:tcPr>
            <w:tcW w:w="1134" w:type="dxa"/>
            <w:shd w:val="clear" w:color="auto" w:fill="auto"/>
            <w:noWrap/>
            <w:vAlign w:val="bottom"/>
            <w:hideMark/>
          </w:tcPr>
          <w:p w14:paraId="17EC0FBB" w14:textId="5A6AB285"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306.526,75</w:t>
            </w:r>
          </w:p>
        </w:tc>
        <w:tc>
          <w:tcPr>
            <w:tcW w:w="992" w:type="dxa"/>
            <w:shd w:val="clear" w:color="auto" w:fill="auto"/>
            <w:noWrap/>
            <w:vAlign w:val="bottom"/>
            <w:hideMark/>
          </w:tcPr>
          <w:p w14:paraId="56242FA1" w14:textId="4A4F7288" w:rsidR="00E15570" w:rsidRPr="00C43C8F" w:rsidRDefault="00E15570" w:rsidP="00942ABD">
            <w:pPr>
              <w:ind w:left="-108" w:right="-108" w:firstLine="0"/>
              <w:jc w:val="center"/>
              <w:rPr>
                <w:rFonts w:eastAsia="Times New Roman"/>
                <w:color w:val="000000"/>
                <w:sz w:val="18"/>
                <w:szCs w:val="18"/>
                <w:lang w:val="en-US"/>
              </w:rPr>
            </w:pPr>
            <w:r w:rsidRPr="00C43C8F">
              <w:rPr>
                <w:color w:val="000000"/>
                <w:sz w:val="18"/>
                <w:szCs w:val="18"/>
              </w:rPr>
              <w:t>102.173,38</w:t>
            </w:r>
          </w:p>
        </w:tc>
        <w:tc>
          <w:tcPr>
            <w:tcW w:w="567" w:type="dxa"/>
            <w:shd w:val="clear" w:color="auto" w:fill="auto"/>
            <w:noWrap/>
            <w:vAlign w:val="bottom"/>
            <w:hideMark/>
          </w:tcPr>
          <w:p w14:paraId="45442441" w14:textId="64E9998E"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567" w:type="dxa"/>
            <w:shd w:val="clear" w:color="auto" w:fill="auto"/>
            <w:noWrap/>
            <w:vAlign w:val="bottom"/>
            <w:hideMark/>
          </w:tcPr>
          <w:p w14:paraId="622FB99D" w14:textId="70B4C7BB" w:rsidR="00E15570" w:rsidRPr="00C43C8F" w:rsidRDefault="00E15570" w:rsidP="00403D57">
            <w:pPr>
              <w:ind w:firstLine="0"/>
              <w:jc w:val="center"/>
              <w:rPr>
                <w:sz w:val="18"/>
                <w:szCs w:val="18"/>
              </w:rPr>
            </w:pPr>
            <w:r w:rsidRPr="00C43C8F">
              <w:rPr>
                <w:rFonts w:eastAsia="Times New Roman"/>
                <w:color w:val="000000"/>
                <w:sz w:val="18"/>
                <w:szCs w:val="18"/>
                <w:lang w:val="en-US"/>
              </w:rPr>
              <w:t>0,00</w:t>
            </w:r>
          </w:p>
        </w:tc>
        <w:tc>
          <w:tcPr>
            <w:tcW w:w="1070" w:type="dxa"/>
            <w:shd w:val="clear" w:color="auto" w:fill="auto"/>
            <w:noWrap/>
            <w:vAlign w:val="bottom"/>
            <w:hideMark/>
          </w:tcPr>
          <w:p w14:paraId="5BF09A5E" w14:textId="32036DEB" w:rsidR="00E15570" w:rsidRPr="00C43C8F" w:rsidRDefault="00E15570" w:rsidP="00724B22">
            <w:pPr>
              <w:ind w:left="-108" w:right="-172" w:firstLine="0"/>
              <w:jc w:val="center"/>
              <w:rPr>
                <w:rFonts w:eastAsia="Times New Roman"/>
                <w:color w:val="000000"/>
                <w:sz w:val="18"/>
                <w:szCs w:val="18"/>
                <w:lang w:val="en-US"/>
              </w:rPr>
            </w:pPr>
            <w:r w:rsidRPr="00C43C8F">
              <w:rPr>
                <w:rFonts w:eastAsia="Times New Roman"/>
                <w:color w:val="000000"/>
                <w:sz w:val="18"/>
                <w:szCs w:val="18"/>
                <w:lang w:val="en-US"/>
              </w:rPr>
              <w:t>1.021.766,88</w:t>
            </w:r>
          </w:p>
        </w:tc>
      </w:tr>
      <w:tr w:rsidR="00E15570" w:rsidRPr="00C43C8F" w14:paraId="058BB248" w14:textId="77777777" w:rsidTr="00953372">
        <w:trPr>
          <w:trHeight w:val="300"/>
        </w:trPr>
        <w:tc>
          <w:tcPr>
            <w:tcW w:w="1134" w:type="dxa"/>
          </w:tcPr>
          <w:p w14:paraId="2F016B31" w14:textId="77777777" w:rsidR="00E15570" w:rsidRPr="00C43C8F" w:rsidRDefault="00E15570" w:rsidP="00D65F62">
            <w:pPr>
              <w:spacing w:line="20" w:lineRule="atLeast"/>
              <w:ind w:left="-108" w:firstLine="0"/>
              <w:jc w:val="left"/>
              <w:rPr>
                <w:b/>
                <w:i/>
                <w:sz w:val="20"/>
                <w:szCs w:val="20"/>
              </w:rPr>
            </w:pPr>
            <w:r w:rsidRPr="00C43C8F">
              <w:rPr>
                <w:b/>
                <w:i/>
                <w:sz w:val="20"/>
                <w:szCs w:val="20"/>
              </w:rPr>
              <w:t>Iš viso miestams konkrečiais metais</w:t>
            </w:r>
          </w:p>
        </w:tc>
        <w:tc>
          <w:tcPr>
            <w:tcW w:w="850" w:type="dxa"/>
            <w:shd w:val="clear" w:color="auto" w:fill="auto"/>
            <w:noWrap/>
            <w:vAlign w:val="bottom"/>
            <w:hideMark/>
          </w:tcPr>
          <w:p w14:paraId="6479F524" w14:textId="489CA6C3" w:rsidR="00E15570" w:rsidRPr="00C43C8F" w:rsidRDefault="00E15570" w:rsidP="00942ABD">
            <w:pPr>
              <w:ind w:left="-108" w:right="-108" w:firstLine="0"/>
              <w:jc w:val="center"/>
              <w:rPr>
                <w:rFonts w:eastAsia="Times New Roman"/>
                <w:b/>
                <w:bCs/>
                <w:i/>
                <w:iCs/>
                <w:color w:val="000000"/>
                <w:sz w:val="18"/>
                <w:szCs w:val="18"/>
                <w:lang w:val="en-US"/>
              </w:rPr>
            </w:pPr>
            <w:r w:rsidRPr="00C43C8F">
              <w:rPr>
                <w:b/>
                <w:bCs/>
                <w:i/>
                <w:iCs/>
                <w:color w:val="000000"/>
                <w:sz w:val="18"/>
                <w:szCs w:val="18"/>
              </w:rPr>
              <w:t>0,00</w:t>
            </w:r>
          </w:p>
        </w:tc>
        <w:tc>
          <w:tcPr>
            <w:tcW w:w="1134" w:type="dxa"/>
            <w:shd w:val="clear" w:color="auto" w:fill="auto"/>
            <w:noWrap/>
            <w:vAlign w:val="bottom"/>
            <w:hideMark/>
          </w:tcPr>
          <w:p w14:paraId="35BE44B7" w14:textId="3CB6713D" w:rsidR="00E15570" w:rsidRPr="00C43C8F" w:rsidRDefault="00E15570" w:rsidP="00942ABD">
            <w:pPr>
              <w:ind w:left="-108" w:right="-108" w:firstLine="0"/>
              <w:jc w:val="center"/>
              <w:rPr>
                <w:rFonts w:eastAsia="Times New Roman"/>
                <w:b/>
                <w:bCs/>
                <w:i/>
                <w:iCs/>
                <w:color w:val="000000"/>
                <w:sz w:val="18"/>
                <w:szCs w:val="18"/>
                <w:lang w:val="en-US"/>
              </w:rPr>
            </w:pPr>
            <w:r w:rsidRPr="00C43C8F">
              <w:rPr>
                <w:b/>
                <w:bCs/>
                <w:i/>
                <w:iCs/>
                <w:color w:val="000000"/>
                <w:sz w:val="18"/>
                <w:szCs w:val="18"/>
              </w:rPr>
              <w:t>306.540,00</w:t>
            </w:r>
          </w:p>
        </w:tc>
        <w:tc>
          <w:tcPr>
            <w:tcW w:w="993" w:type="dxa"/>
            <w:shd w:val="clear" w:color="auto" w:fill="auto"/>
            <w:noWrap/>
            <w:vAlign w:val="bottom"/>
            <w:hideMark/>
          </w:tcPr>
          <w:p w14:paraId="5F5EE3C4" w14:textId="3E23084D" w:rsidR="00E15570" w:rsidRPr="00C43C8F" w:rsidRDefault="00E15570" w:rsidP="00942ABD">
            <w:pPr>
              <w:ind w:left="-108" w:right="-108" w:firstLine="0"/>
              <w:jc w:val="center"/>
              <w:rPr>
                <w:rFonts w:eastAsia="Times New Roman"/>
                <w:b/>
                <w:bCs/>
                <w:i/>
                <w:iCs/>
                <w:color w:val="000000"/>
                <w:sz w:val="18"/>
                <w:szCs w:val="18"/>
                <w:lang w:val="en-US"/>
              </w:rPr>
            </w:pPr>
            <w:r w:rsidRPr="00C43C8F">
              <w:rPr>
                <w:b/>
                <w:bCs/>
                <w:i/>
                <w:iCs/>
                <w:color w:val="000000"/>
                <w:sz w:val="18"/>
                <w:szCs w:val="18"/>
              </w:rPr>
              <w:t>1.226.140,13</w:t>
            </w:r>
          </w:p>
        </w:tc>
        <w:tc>
          <w:tcPr>
            <w:tcW w:w="992" w:type="dxa"/>
            <w:shd w:val="clear" w:color="auto" w:fill="auto"/>
            <w:noWrap/>
            <w:vAlign w:val="bottom"/>
            <w:hideMark/>
          </w:tcPr>
          <w:p w14:paraId="5654B463" w14:textId="61025553" w:rsidR="00E15570" w:rsidRPr="00C43C8F" w:rsidRDefault="00E15570" w:rsidP="00942ABD">
            <w:pPr>
              <w:ind w:left="-108" w:right="-108" w:firstLine="0"/>
              <w:jc w:val="center"/>
              <w:rPr>
                <w:rFonts w:eastAsia="Times New Roman"/>
                <w:b/>
                <w:bCs/>
                <w:i/>
                <w:iCs/>
                <w:color w:val="000000"/>
                <w:sz w:val="18"/>
                <w:szCs w:val="18"/>
                <w:lang w:val="en-US"/>
              </w:rPr>
            </w:pPr>
            <w:r w:rsidRPr="00C43C8F">
              <w:rPr>
                <w:b/>
                <w:bCs/>
                <w:i/>
                <w:iCs/>
                <w:color w:val="000000"/>
                <w:sz w:val="18"/>
                <w:szCs w:val="18"/>
              </w:rPr>
              <w:t>2.145.720,39</w:t>
            </w:r>
          </w:p>
        </w:tc>
        <w:tc>
          <w:tcPr>
            <w:tcW w:w="1134" w:type="dxa"/>
            <w:shd w:val="clear" w:color="auto" w:fill="auto"/>
            <w:noWrap/>
            <w:vAlign w:val="bottom"/>
            <w:hideMark/>
          </w:tcPr>
          <w:p w14:paraId="0A99202C" w14:textId="31904BD0" w:rsidR="00E15570" w:rsidRPr="00C43C8F" w:rsidRDefault="00E15570" w:rsidP="00942ABD">
            <w:pPr>
              <w:ind w:left="-108" w:right="-108" w:firstLine="0"/>
              <w:jc w:val="center"/>
              <w:rPr>
                <w:rFonts w:eastAsia="Times New Roman"/>
                <w:b/>
                <w:bCs/>
                <w:i/>
                <w:iCs/>
                <w:color w:val="000000"/>
                <w:sz w:val="18"/>
                <w:szCs w:val="18"/>
                <w:lang w:val="en-US"/>
              </w:rPr>
            </w:pPr>
            <w:r w:rsidRPr="00C43C8F">
              <w:rPr>
                <w:b/>
                <w:bCs/>
                <w:i/>
                <w:iCs/>
                <w:color w:val="000000"/>
                <w:sz w:val="18"/>
                <w:szCs w:val="18"/>
              </w:rPr>
              <w:t>1.839.160,52</w:t>
            </w:r>
          </w:p>
        </w:tc>
        <w:tc>
          <w:tcPr>
            <w:tcW w:w="992" w:type="dxa"/>
            <w:shd w:val="clear" w:color="auto" w:fill="auto"/>
            <w:noWrap/>
            <w:vAlign w:val="bottom"/>
            <w:hideMark/>
          </w:tcPr>
          <w:p w14:paraId="2F73E22C" w14:textId="07B92B4E" w:rsidR="00E15570" w:rsidRPr="00C43C8F" w:rsidRDefault="00E15570" w:rsidP="00942ABD">
            <w:pPr>
              <w:ind w:left="-108" w:right="-108" w:firstLine="0"/>
              <w:jc w:val="center"/>
              <w:rPr>
                <w:rFonts w:eastAsia="Times New Roman"/>
                <w:b/>
                <w:bCs/>
                <w:i/>
                <w:iCs/>
                <w:color w:val="000000"/>
                <w:sz w:val="18"/>
                <w:szCs w:val="18"/>
                <w:lang w:val="en-US"/>
              </w:rPr>
            </w:pPr>
            <w:r w:rsidRPr="00C43C8F">
              <w:rPr>
                <w:b/>
                <w:bCs/>
                <w:i/>
                <w:iCs/>
                <w:color w:val="000000"/>
                <w:sz w:val="18"/>
                <w:szCs w:val="18"/>
              </w:rPr>
              <w:t>613.040,26</w:t>
            </w:r>
          </w:p>
        </w:tc>
        <w:tc>
          <w:tcPr>
            <w:tcW w:w="567" w:type="dxa"/>
            <w:shd w:val="clear" w:color="auto" w:fill="auto"/>
            <w:noWrap/>
            <w:vAlign w:val="bottom"/>
            <w:hideMark/>
          </w:tcPr>
          <w:p w14:paraId="0BB86F94" w14:textId="65BF0069" w:rsidR="00E15570" w:rsidRPr="00C43C8F" w:rsidRDefault="00E15570" w:rsidP="00403D57">
            <w:pPr>
              <w:ind w:firstLine="0"/>
              <w:jc w:val="center"/>
              <w:rPr>
                <w:rFonts w:eastAsia="Times New Roman"/>
                <w:b/>
                <w:bCs/>
                <w:i/>
                <w:iCs/>
                <w:color w:val="000000"/>
                <w:sz w:val="18"/>
                <w:szCs w:val="18"/>
                <w:lang w:val="en-US"/>
              </w:rPr>
            </w:pPr>
            <w:r w:rsidRPr="00C43C8F">
              <w:rPr>
                <w:rFonts w:eastAsia="Times New Roman"/>
                <w:b/>
                <w:bCs/>
                <w:i/>
                <w:iCs/>
                <w:color w:val="000000"/>
                <w:sz w:val="18"/>
                <w:szCs w:val="18"/>
                <w:lang w:val="en-US"/>
              </w:rPr>
              <w:t>0,00</w:t>
            </w:r>
          </w:p>
        </w:tc>
        <w:tc>
          <w:tcPr>
            <w:tcW w:w="567" w:type="dxa"/>
            <w:shd w:val="clear" w:color="auto" w:fill="auto"/>
            <w:noWrap/>
            <w:vAlign w:val="bottom"/>
            <w:hideMark/>
          </w:tcPr>
          <w:p w14:paraId="3D9D4015" w14:textId="6B7FBB5F" w:rsidR="00E15570" w:rsidRPr="00C43C8F" w:rsidRDefault="00E15570" w:rsidP="00403D57">
            <w:pPr>
              <w:ind w:firstLine="0"/>
              <w:jc w:val="center"/>
              <w:rPr>
                <w:rFonts w:eastAsia="Times New Roman"/>
                <w:b/>
                <w:bCs/>
                <w:i/>
                <w:iCs/>
                <w:color w:val="000000"/>
                <w:sz w:val="18"/>
                <w:szCs w:val="18"/>
                <w:lang w:val="en-US"/>
              </w:rPr>
            </w:pPr>
            <w:r w:rsidRPr="00C43C8F">
              <w:rPr>
                <w:rFonts w:eastAsia="Times New Roman"/>
                <w:b/>
                <w:bCs/>
                <w:i/>
                <w:iCs/>
                <w:color w:val="000000"/>
                <w:sz w:val="18"/>
                <w:szCs w:val="18"/>
                <w:lang w:val="en-US"/>
              </w:rPr>
              <w:t>0,00</w:t>
            </w:r>
          </w:p>
        </w:tc>
        <w:tc>
          <w:tcPr>
            <w:tcW w:w="1070" w:type="dxa"/>
            <w:shd w:val="clear" w:color="auto" w:fill="auto"/>
            <w:noWrap/>
            <w:vAlign w:val="bottom"/>
            <w:hideMark/>
          </w:tcPr>
          <w:p w14:paraId="54B02BC3" w14:textId="1E4415B0" w:rsidR="00E15570" w:rsidRPr="00C43C8F" w:rsidRDefault="00E15570" w:rsidP="00724B22">
            <w:pPr>
              <w:ind w:left="-108" w:right="-172" w:firstLine="0"/>
              <w:jc w:val="center"/>
              <w:rPr>
                <w:rFonts w:eastAsia="Times New Roman"/>
                <w:b/>
                <w:bCs/>
                <w:i/>
                <w:iCs/>
                <w:color w:val="000000"/>
                <w:sz w:val="18"/>
                <w:szCs w:val="18"/>
                <w:lang w:val="en-US"/>
              </w:rPr>
            </w:pPr>
            <w:r w:rsidRPr="00C43C8F">
              <w:rPr>
                <w:rFonts w:eastAsia="Times New Roman"/>
                <w:b/>
                <w:bCs/>
                <w:i/>
                <w:iCs/>
                <w:color w:val="000000"/>
                <w:sz w:val="18"/>
                <w:szCs w:val="18"/>
                <w:lang w:val="en-US"/>
              </w:rPr>
              <w:t>6.130.601,30</w:t>
            </w:r>
          </w:p>
        </w:tc>
      </w:tr>
      <w:tr w:rsidR="00E15570" w:rsidRPr="00C43C8F" w14:paraId="34BC05BE" w14:textId="77777777" w:rsidTr="00953372">
        <w:trPr>
          <w:trHeight w:val="585"/>
        </w:trPr>
        <w:tc>
          <w:tcPr>
            <w:tcW w:w="1134" w:type="dxa"/>
          </w:tcPr>
          <w:p w14:paraId="5B4330D9" w14:textId="77777777" w:rsidR="00E15570" w:rsidRPr="00C43C8F" w:rsidRDefault="00E15570" w:rsidP="00D65F62">
            <w:pPr>
              <w:spacing w:line="20" w:lineRule="atLeast"/>
              <w:ind w:left="-108" w:firstLine="0"/>
              <w:jc w:val="left"/>
              <w:rPr>
                <w:b/>
                <w:sz w:val="20"/>
                <w:szCs w:val="20"/>
              </w:rPr>
            </w:pPr>
            <w:r w:rsidRPr="00C43C8F">
              <w:rPr>
                <w:b/>
                <w:sz w:val="20"/>
                <w:szCs w:val="20"/>
              </w:rPr>
              <w:t>Iš viso regionams ir miestams konkrečiais metais</w:t>
            </w:r>
          </w:p>
        </w:tc>
        <w:tc>
          <w:tcPr>
            <w:tcW w:w="850" w:type="dxa"/>
            <w:shd w:val="clear" w:color="auto" w:fill="auto"/>
            <w:noWrap/>
            <w:vAlign w:val="bottom"/>
            <w:hideMark/>
          </w:tcPr>
          <w:p w14:paraId="3BB5D39E" w14:textId="3500C340" w:rsidR="00E15570" w:rsidRPr="00C43C8F" w:rsidRDefault="00E15570" w:rsidP="00942ABD">
            <w:pPr>
              <w:ind w:left="-108" w:right="-108" w:firstLine="0"/>
              <w:jc w:val="center"/>
              <w:rPr>
                <w:rFonts w:eastAsia="Times New Roman"/>
                <w:b/>
                <w:bCs/>
                <w:color w:val="000000"/>
                <w:sz w:val="18"/>
                <w:szCs w:val="18"/>
                <w:lang w:val="en-US"/>
              </w:rPr>
            </w:pPr>
            <w:r w:rsidRPr="00C43C8F">
              <w:rPr>
                <w:b/>
                <w:bCs/>
                <w:color w:val="000000"/>
                <w:sz w:val="18"/>
                <w:szCs w:val="18"/>
              </w:rPr>
              <w:t>69.801,50</w:t>
            </w:r>
          </w:p>
        </w:tc>
        <w:tc>
          <w:tcPr>
            <w:tcW w:w="1134" w:type="dxa"/>
            <w:shd w:val="clear" w:color="auto" w:fill="auto"/>
            <w:noWrap/>
            <w:vAlign w:val="bottom"/>
            <w:hideMark/>
          </w:tcPr>
          <w:p w14:paraId="4984259F" w14:textId="794F3E92" w:rsidR="00E15570" w:rsidRPr="00C43C8F" w:rsidRDefault="00E15570" w:rsidP="00942ABD">
            <w:pPr>
              <w:ind w:left="-108" w:right="-108" w:firstLine="0"/>
              <w:jc w:val="center"/>
              <w:rPr>
                <w:rFonts w:eastAsia="Times New Roman"/>
                <w:b/>
                <w:bCs/>
                <w:color w:val="000000"/>
                <w:sz w:val="18"/>
                <w:szCs w:val="18"/>
                <w:lang w:val="en-US"/>
              </w:rPr>
            </w:pPr>
            <w:r w:rsidRPr="00C43C8F">
              <w:rPr>
                <w:b/>
                <w:bCs/>
                <w:color w:val="000000"/>
                <w:sz w:val="18"/>
                <w:szCs w:val="18"/>
              </w:rPr>
              <w:t>1.077.894,50</w:t>
            </w:r>
          </w:p>
        </w:tc>
        <w:tc>
          <w:tcPr>
            <w:tcW w:w="993" w:type="dxa"/>
            <w:shd w:val="clear" w:color="auto" w:fill="auto"/>
            <w:noWrap/>
            <w:vAlign w:val="bottom"/>
            <w:hideMark/>
          </w:tcPr>
          <w:p w14:paraId="6DA41AB4" w14:textId="70205C73" w:rsidR="00E15570" w:rsidRPr="00C43C8F" w:rsidRDefault="00E15570" w:rsidP="00942ABD">
            <w:pPr>
              <w:ind w:left="-108" w:right="-108" w:firstLine="0"/>
              <w:jc w:val="center"/>
              <w:rPr>
                <w:rFonts w:eastAsia="Times New Roman"/>
                <w:b/>
                <w:bCs/>
                <w:color w:val="000000"/>
                <w:sz w:val="18"/>
                <w:szCs w:val="18"/>
                <w:lang w:val="en-US"/>
              </w:rPr>
            </w:pPr>
            <w:r w:rsidRPr="00C43C8F">
              <w:rPr>
                <w:b/>
                <w:bCs/>
                <w:color w:val="000000"/>
                <w:sz w:val="18"/>
                <w:szCs w:val="18"/>
              </w:rPr>
              <w:t>3.683.388,20</w:t>
            </w:r>
          </w:p>
        </w:tc>
        <w:tc>
          <w:tcPr>
            <w:tcW w:w="992" w:type="dxa"/>
            <w:shd w:val="clear" w:color="auto" w:fill="auto"/>
            <w:noWrap/>
            <w:vAlign w:val="bottom"/>
            <w:hideMark/>
          </w:tcPr>
          <w:p w14:paraId="4BA15257" w14:textId="248799E5" w:rsidR="00E15570" w:rsidRPr="00C43C8F" w:rsidRDefault="00E15570" w:rsidP="00942ABD">
            <w:pPr>
              <w:ind w:left="-108" w:right="-108" w:firstLine="0"/>
              <w:jc w:val="center"/>
              <w:rPr>
                <w:rFonts w:eastAsia="Times New Roman"/>
                <w:b/>
                <w:bCs/>
                <w:color w:val="000000"/>
                <w:sz w:val="18"/>
                <w:szCs w:val="18"/>
                <w:lang w:val="en-US"/>
              </w:rPr>
            </w:pPr>
            <w:r w:rsidRPr="00C43C8F">
              <w:rPr>
                <w:b/>
                <w:bCs/>
                <w:color w:val="000000"/>
                <w:sz w:val="18"/>
                <w:szCs w:val="18"/>
              </w:rPr>
              <w:t>6.009.699,60</w:t>
            </w:r>
          </w:p>
        </w:tc>
        <w:tc>
          <w:tcPr>
            <w:tcW w:w="1134" w:type="dxa"/>
            <w:shd w:val="clear" w:color="auto" w:fill="auto"/>
            <w:noWrap/>
            <w:vAlign w:val="bottom"/>
            <w:hideMark/>
          </w:tcPr>
          <w:p w14:paraId="06E0C3A1" w14:textId="0127B23F" w:rsidR="00E15570" w:rsidRPr="00C43C8F" w:rsidRDefault="00E15570" w:rsidP="00942ABD">
            <w:pPr>
              <w:ind w:left="-108" w:right="-108" w:firstLine="0"/>
              <w:jc w:val="center"/>
              <w:rPr>
                <w:rFonts w:eastAsia="Times New Roman"/>
                <w:b/>
                <w:bCs/>
                <w:color w:val="000000"/>
                <w:sz w:val="18"/>
                <w:szCs w:val="18"/>
                <w:lang w:val="en-US"/>
              </w:rPr>
            </w:pPr>
            <w:r w:rsidRPr="00C43C8F">
              <w:rPr>
                <w:b/>
                <w:bCs/>
                <w:color w:val="000000"/>
                <w:sz w:val="18"/>
                <w:szCs w:val="18"/>
              </w:rPr>
              <w:t>4.931.828,80</w:t>
            </w:r>
          </w:p>
        </w:tc>
        <w:tc>
          <w:tcPr>
            <w:tcW w:w="992" w:type="dxa"/>
            <w:shd w:val="clear" w:color="auto" w:fill="auto"/>
            <w:noWrap/>
            <w:vAlign w:val="bottom"/>
            <w:hideMark/>
          </w:tcPr>
          <w:p w14:paraId="77BD99CD" w14:textId="6AEDDC5F" w:rsidR="00E15570" w:rsidRPr="00C43C8F" w:rsidRDefault="00E15570" w:rsidP="00942ABD">
            <w:pPr>
              <w:ind w:left="-108" w:right="-108" w:firstLine="0"/>
              <w:jc w:val="center"/>
              <w:rPr>
                <w:rFonts w:eastAsia="Times New Roman"/>
                <w:b/>
                <w:bCs/>
                <w:color w:val="000000"/>
                <w:sz w:val="18"/>
                <w:szCs w:val="18"/>
                <w:lang w:val="en-US"/>
              </w:rPr>
            </w:pPr>
            <w:r w:rsidRPr="00C43C8F">
              <w:rPr>
                <w:b/>
                <w:bCs/>
                <w:color w:val="000000"/>
                <w:sz w:val="18"/>
                <w:szCs w:val="18"/>
              </w:rPr>
              <w:t>1.597.424,40</w:t>
            </w:r>
          </w:p>
        </w:tc>
        <w:tc>
          <w:tcPr>
            <w:tcW w:w="567" w:type="dxa"/>
            <w:shd w:val="clear" w:color="auto" w:fill="auto"/>
            <w:noWrap/>
            <w:vAlign w:val="bottom"/>
            <w:hideMark/>
          </w:tcPr>
          <w:p w14:paraId="3FC25505" w14:textId="422C1F46" w:rsidR="00E15570" w:rsidRPr="00C43C8F" w:rsidRDefault="00E15570" w:rsidP="00403D57">
            <w:pPr>
              <w:ind w:firstLine="0"/>
              <w:jc w:val="center"/>
              <w:rPr>
                <w:rFonts w:eastAsia="Times New Roman"/>
                <w:b/>
                <w:bCs/>
                <w:color w:val="000000"/>
                <w:sz w:val="18"/>
                <w:szCs w:val="18"/>
                <w:lang w:val="en-US"/>
              </w:rPr>
            </w:pPr>
            <w:r w:rsidRPr="00C43C8F">
              <w:rPr>
                <w:rFonts w:eastAsia="Times New Roman"/>
                <w:b/>
                <w:bCs/>
                <w:color w:val="000000"/>
                <w:sz w:val="18"/>
                <w:szCs w:val="18"/>
                <w:lang w:val="en-US"/>
              </w:rPr>
              <w:t>0,00</w:t>
            </w:r>
          </w:p>
        </w:tc>
        <w:tc>
          <w:tcPr>
            <w:tcW w:w="567" w:type="dxa"/>
            <w:shd w:val="clear" w:color="auto" w:fill="auto"/>
            <w:noWrap/>
            <w:vAlign w:val="bottom"/>
            <w:hideMark/>
          </w:tcPr>
          <w:p w14:paraId="1D446AEC" w14:textId="31B8A210" w:rsidR="00E15570" w:rsidRPr="00C43C8F" w:rsidRDefault="00E15570" w:rsidP="00403D57">
            <w:pPr>
              <w:ind w:firstLine="0"/>
              <w:jc w:val="center"/>
              <w:rPr>
                <w:rFonts w:eastAsia="Times New Roman"/>
                <w:b/>
                <w:bCs/>
                <w:color w:val="000000"/>
                <w:sz w:val="18"/>
                <w:szCs w:val="18"/>
                <w:lang w:val="en-US"/>
              </w:rPr>
            </w:pPr>
            <w:r w:rsidRPr="00C43C8F">
              <w:rPr>
                <w:rFonts w:eastAsia="Times New Roman"/>
                <w:b/>
                <w:bCs/>
                <w:color w:val="000000"/>
                <w:sz w:val="18"/>
                <w:szCs w:val="18"/>
                <w:lang w:val="en-US"/>
              </w:rPr>
              <w:t>0,00</w:t>
            </w:r>
          </w:p>
        </w:tc>
        <w:tc>
          <w:tcPr>
            <w:tcW w:w="1070" w:type="dxa"/>
            <w:shd w:val="clear" w:color="auto" w:fill="auto"/>
            <w:noWrap/>
            <w:vAlign w:val="bottom"/>
            <w:hideMark/>
          </w:tcPr>
          <w:p w14:paraId="64C6ABDC" w14:textId="132E0D4B" w:rsidR="00E15570" w:rsidRPr="00C43C8F" w:rsidRDefault="00E15570" w:rsidP="00724B22">
            <w:pPr>
              <w:ind w:left="-108" w:right="-172" w:firstLine="0"/>
              <w:jc w:val="center"/>
              <w:rPr>
                <w:rFonts w:eastAsia="Times New Roman"/>
                <w:b/>
                <w:bCs/>
                <w:color w:val="000000"/>
                <w:sz w:val="18"/>
                <w:szCs w:val="18"/>
                <w:lang w:val="en-US"/>
              </w:rPr>
            </w:pPr>
            <w:r w:rsidRPr="00C43C8F">
              <w:rPr>
                <w:rFonts w:eastAsia="Times New Roman"/>
                <w:b/>
                <w:bCs/>
                <w:color w:val="000000"/>
                <w:sz w:val="18"/>
                <w:szCs w:val="18"/>
                <w:lang w:val="en-US"/>
              </w:rPr>
              <w:t>17.370.037,00</w:t>
            </w:r>
          </w:p>
        </w:tc>
      </w:tr>
    </w:tbl>
    <w:p w14:paraId="2C35164D" w14:textId="77777777" w:rsidR="00900322" w:rsidRPr="00C43C8F" w:rsidRDefault="00900322" w:rsidP="00B30FB7"/>
    <w:p w14:paraId="0B8C3B57" w14:textId="77777777" w:rsidR="00701E71" w:rsidRPr="00C43C8F" w:rsidRDefault="00BE6078" w:rsidP="00B30FB7">
      <w:r w:rsidRPr="00C43C8F">
        <w:t>1</w:t>
      </w:r>
      <w:r w:rsidR="008653FE" w:rsidRPr="00C43C8F">
        <w:t>0</w:t>
      </w:r>
      <w:r w:rsidR="00701E71" w:rsidRPr="00C43C8F">
        <w:t xml:space="preserve">. Priemonės tikslas –  </w:t>
      </w:r>
      <w:r w:rsidR="00F34416" w:rsidRPr="00C43C8F">
        <w:t>kultūros paveldo objektų kompleksiškas sutvarkymas ir pritaikymas kultūrinėms ir su jomis susijusioms edukacinėms, ekonominėms, socialinėms ir kt. reikmėms, siekiant išsaugoti bei atskleisti vertingąsias paveldo objektų savybes ir  sudaryti prielaidas lankytojų srautų didinimui, kurti naujas ir plėtoti esamas veiklas, įtraukti vietos, kūrybines bendruomenes, padidinti Lietuvos gyventojų susidomėjimą kultūros paveldu, taip pat pagerinti Lietuvos kaip patrauklios turizmui šalies įvaizdį Lietuvos ir užsienio šalių rinkose</w:t>
      </w:r>
      <w:r w:rsidR="00701E71" w:rsidRPr="00C43C8F">
        <w:t xml:space="preserve">. </w:t>
      </w:r>
    </w:p>
    <w:p w14:paraId="1DCD268A" w14:textId="77777777" w:rsidR="00851C4B" w:rsidRPr="00C43C8F" w:rsidRDefault="00BE6078" w:rsidP="00B30FB7">
      <w:r w:rsidRPr="00C43C8F">
        <w:t>1</w:t>
      </w:r>
      <w:r w:rsidR="008653FE" w:rsidRPr="00C43C8F">
        <w:t>1</w:t>
      </w:r>
      <w:r w:rsidR="00851C4B" w:rsidRPr="00C43C8F">
        <w:t xml:space="preserve">. </w:t>
      </w:r>
      <w:r w:rsidR="005A59CC" w:rsidRPr="00C43C8F">
        <w:t>Pagal Aprašą remiama ši veikla:</w:t>
      </w:r>
      <w:r w:rsidR="00F34416" w:rsidRPr="00C43C8F">
        <w:t xml:space="preserve"> </w:t>
      </w:r>
      <w:r w:rsidR="00792D42" w:rsidRPr="00C43C8F">
        <w:t>regionų kultūros paveldo objektų kompleksiškas sutvarkymas ir pritaikymas kultūrinėms ir su jomis susijusioms edukacinėms, ekonominėms, socialinėms ir panašioms reikmėms.</w:t>
      </w:r>
    </w:p>
    <w:p w14:paraId="624C3CDE" w14:textId="0AA1AF06" w:rsidR="00901614" w:rsidRPr="00C43C8F" w:rsidRDefault="009E1C30" w:rsidP="00B30FB7">
      <w:r w:rsidRPr="00C43C8F">
        <w:t>1</w:t>
      </w:r>
      <w:r w:rsidR="008653FE" w:rsidRPr="00C43C8F">
        <w:t>2</w:t>
      </w:r>
      <w:r w:rsidR="00901614" w:rsidRPr="00C43C8F">
        <w:t xml:space="preserve">. </w:t>
      </w:r>
      <w:r w:rsidR="003536EA" w:rsidRPr="00C43C8F">
        <w:t>Vieš</w:t>
      </w:r>
      <w:r w:rsidR="00F12692" w:rsidRPr="00C43C8F">
        <w:t>ųjų juridinių asmenų, nurodytų šio Aprašo 1</w:t>
      </w:r>
      <w:r w:rsidR="003536EA" w:rsidRPr="00C43C8F">
        <w:t>5</w:t>
      </w:r>
      <w:r w:rsidR="00F12692" w:rsidRPr="00C43C8F">
        <w:t xml:space="preserve"> punkte, objektai, investicijos į kuriuos planuojamos regioninio planavimo būdu pagal priemonę „Aktualizuoti savivaldybių kultūros paveldo objektus“, negalės būti finansuojami pagal Kultūros ministerijos įgyvendinamas priemones „Aktualizuoti viešąjį ir privatų kultūros paveldą“, „Modernizuoti savivaldybių kultūros </w:t>
      </w:r>
      <w:r w:rsidR="00F12692" w:rsidRPr="00C43C8F">
        <w:lastRenderedPageBreak/>
        <w:t>infrastruktūrą“ bei „Modernizuoti viešąją ir privačią kultūros infrastruktūrą“</w:t>
      </w:r>
      <w:r w:rsidR="00BD2A1A" w:rsidRPr="00C43C8F">
        <w:t xml:space="preserve"> ir Aplinkos ministerijos įgyvendinamą 2014–2020 m etų Europos Sąjungos fondų investicijų veiksmų programos 5 prioriteto „Aplinkosauga, gamtos išteklių darnus naudojimas ir prisitaikymas prie klimato kaitos“ priemonę Nr. 05.4.1-APVA-V-016 „Saugomų teritorijų ir valstybinės reikšmės parkų tvarkymas, pritaikymas lankymui“. </w:t>
      </w:r>
    </w:p>
    <w:p w14:paraId="21C80E75" w14:textId="77777777" w:rsidR="008653FE" w:rsidRPr="00C43C8F" w:rsidRDefault="00BE6078" w:rsidP="00D15398">
      <w:pPr>
        <w:pStyle w:val="ListParagraph"/>
        <w:tabs>
          <w:tab w:val="left" w:pos="1134"/>
        </w:tabs>
        <w:ind w:left="0"/>
      </w:pPr>
      <w:r w:rsidRPr="00C43C8F">
        <w:t>1</w:t>
      </w:r>
      <w:r w:rsidR="008653FE" w:rsidRPr="00C43C8F">
        <w:t>3</w:t>
      </w:r>
      <w:r w:rsidR="00D457A2" w:rsidRPr="00C43C8F">
        <w:t xml:space="preserve">. </w:t>
      </w:r>
      <w:r w:rsidR="008653FE" w:rsidRPr="00C43C8F">
        <w:t xml:space="preserve">Pagal Apraše nurodytą remiamą veiklą regionų projektų sąrašas visam pagal Priemonę skirtam ES struktūrinių fondų lėšų regiono ar miesto limitui turi būti sudarytas iki </w:t>
      </w:r>
      <w:r w:rsidR="008653FE" w:rsidRPr="00C43C8F">
        <w:softHyphen/>
      </w:r>
      <w:r w:rsidR="008653FE" w:rsidRPr="00C43C8F">
        <w:softHyphen/>
      </w:r>
      <w:r w:rsidR="008653FE" w:rsidRPr="00C43C8F">
        <w:softHyphen/>
      </w:r>
      <w:r w:rsidR="008653FE" w:rsidRPr="00C43C8F">
        <w:softHyphen/>
      </w:r>
      <w:r w:rsidR="008653FE" w:rsidRPr="00C43C8F">
        <w:softHyphen/>
      </w:r>
      <w:r w:rsidR="008653FE" w:rsidRPr="00C43C8F">
        <w:softHyphen/>
      </w:r>
      <w:r w:rsidR="008653FE" w:rsidRPr="00C43C8F">
        <w:softHyphen/>
      </w:r>
      <w:r w:rsidR="008653FE" w:rsidRPr="00C43C8F">
        <w:softHyphen/>
      </w:r>
      <w:r w:rsidR="008653FE" w:rsidRPr="00C43C8F">
        <w:softHyphen/>
        <w:t>2016 m. gruodžio 31 d., o projektų sutartys pagal regionų projektų sąrašą turi būti pasirašytos iki 2018 m. liepos 1 d.</w:t>
      </w:r>
    </w:p>
    <w:p w14:paraId="12DF5102" w14:textId="37598135" w:rsidR="008653FE" w:rsidRPr="00C43C8F" w:rsidRDefault="008653FE" w:rsidP="00D15398">
      <w:pPr>
        <w:pStyle w:val="ListParagraph"/>
        <w:tabs>
          <w:tab w:val="left" w:pos="1134"/>
        </w:tabs>
        <w:ind w:left="0"/>
      </w:pPr>
      <w:r w:rsidRPr="00C43C8F">
        <w:t>14. Suėjus Aprašo 13 punkte nustatytiems terminams, Min</w:t>
      </w:r>
      <w:r w:rsidR="001610B5" w:rsidRPr="00C43C8F">
        <w:t>i</w:t>
      </w:r>
      <w:r w:rsidRPr="00C43C8F">
        <w:t>sterija turi teisę peržiūrėti ir perskirstyti lėšų regionams ir miestams limitus.</w:t>
      </w:r>
    </w:p>
    <w:p w14:paraId="1C337D8A" w14:textId="77777777" w:rsidR="00341B0A" w:rsidRPr="00C43C8F" w:rsidRDefault="00341B0A" w:rsidP="00B30FB7"/>
    <w:p w14:paraId="7E63D95E" w14:textId="77777777" w:rsidR="0017184B" w:rsidRPr="00C43C8F" w:rsidRDefault="00341B0A" w:rsidP="00B42EBF">
      <w:pPr>
        <w:pStyle w:val="Heading1"/>
      </w:pPr>
      <w:r w:rsidRPr="00C43C8F">
        <w:t>II</w:t>
      </w:r>
      <w:r w:rsidR="007A2C9A" w:rsidRPr="00C43C8F">
        <w:t xml:space="preserve"> </w:t>
      </w:r>
      <w:r w:rsidR="0017184B" w:rsidRPr="00C43C8F">
        <w:t>SKYRIUS</w:t>
      </w:r>
    </w:p>
    <w:p w14:paraId="5796DADE" w14:textId="77777777" w:rsidR="00341B0A" w:rsidRPr="00C43C8F" w:rsidRDefault="00341B0A" w:rsidP="00B42EBF">
      <w:pPr>
        <w:pStyle w:val="Heading1"/>
      </w:pPr>
      <w:r w:rsidRPr="00C43C8F">
        <w:t>REIKALAVIMAI PAREIŠKĖJAMS IR PARTNERIAMS</w:t>
      </w:r>
    </w:p>
    <w:p w14:paraId="515749E5" w14:textId="77777777" w:rsidR="00E83D5C" w:rsidRPr="00C43C8F" w:rsidRDefault="00E83D5C" w:rsidP="00B30FB7"/>
    <w:p w14:paraId="1CBAA877" w14:textId="77777777" w:rsidR="00F34416" w:rsidRPr="00C43C8F" w:rsidRDefault="00F34416" w:rsidP="001D31F4">
      <w:pPr>
        <w:pStyle w:val="ListParagraph"/>
        <w:numPr>
          <w:ilvl w:val="0"/>
          <w:numId w:val="12"/>
        </w:numPr>
        <w:ind w:left="0" w:firstLine="851"/>
      </w:pPr>
      <w:r w:rsidRPr="00C43C8F">
        <w:t>Pagal Aprašą galimi pareiškėjai yra:</w:t>
      </w:r>
    </w:p>
    <w:p w14:paraId="3FDDA1A4" w14:textId="77777777" w:rsidR="00F34416" w:rsidRPr="00C43C8F" w:rsidRDefault="00F34416" w:rsidP="001D31F4">
      <w:pPr>
        <w:pStyle w:val="ListParagraph"/>
        <w:ind w:left="0"/>
      </w:pPr>
      <w:r w:rsidRPr="00C43C8F">
        <w:t>1</w:t>
      </w:r>
      <w:r w:rsidR="00887CE3" w:rsidRPr="00C43C8F">
        <w:t>5</w:t>
      </w:r>
      <w:r w:rsidRPr="00C43C8F">
        <w:t>.1. viešieji juridiniai asmenys, kurių savininko (dalininko) teises ir pareigas įgyvendina savivaldybės taryba;</w:t>
      </w:r>
    </w:p>
    <w:p w14:paraId="348EE433" w14:textId="77777777" w:rsidR="00F34416" w:rsidRPr="00C43C8F" w:rsidRDefault="00887CE3" w:rsidP="001D31F4">
      <w:pPr>
        <w:pStyle w:val="ListParagraph"/>
        <w:ind w:left="0"/>
      </w:pPr>
      <w:r w:rsidRPr="00C43C8F">
        <w:t>15</w:t>
      </w:r>
      <w:r w:rsidR="00F34416" w:rsidRPr="00C43C8F">
        <w:t>.2. religinės bendruomenės ar bendrijos.</w:t>
      </w:r>
    </w:p>
    <w:p w14:paraId="68D54746" w14:textId="77777777" w:rsidR="001D31F4" w:rsidRPr="00C43C8F" w:rsidRDefault="001D31F4" w:rsidP="001D31F4">
      <w:pPr>
        <w:tabs>
          <w:tab w:val="left" w:pos="1134"/>
        </w:tabs>
      </w:pPr>
      <w:r w:rsidRPr="00C43C8F">
        <w:t>16. Galimi partneriai – viešieji ir privatūs juridiniai asmenys. Privatūs partneriai galimi tik įgyvendinant viešos ir privačios partnerystės projektus, skirtus aktualizuoti kultūros paveldą. Partnerystė projekte turi būti pagrįsta, teikti naudą ir prisidėti prie projekto tikslo įgyvendinimo.</w:t>
      </w:r>
    </w:p>
    <w:p w14:paraId="591C44F6" w14:textId="67836938" w:rsidR="00763CC2" w:rsidRPr="00C43C8F" w:rsidRDefault="00BE6078" w:rsidP="00B30FB7">
      <w:r w:rsidRPr="00C43C8F">
        <w:t>1</w:t>
      </w:r>
      <w:r w:rsidR="001D31F4" w:rsidRPr="00C43C8F">
        <w:t>7</w:t>
      </w:r>
      <w:r w:rsidR="00276B93" w:rsidRPr="00C43C8F">
        <w:t xml:space="preserve">. </w:t>
      </w:r>
      <w:r w:rsidR="00763CC2" w:rsidRPr="00C43C8F">
        <w:t>Pareiškėju (projekto vykdytoju) ir partneriu gali būti tik juridiniai asmenys. Pareiškėju (projekto vykdytoju) ir partneriu negali būti juridinių asmenų filialai arba atstovybės</w:t>
      </w:r>
      <w:r w:rsidR="00F7456D" w:rsidRPr="00C43C8F">
        <w:t>.</w:t>
      </w:r>
      <w:r w:rsidR="00EA1E99" w:rsidRPr="00C43C8F">
        <w:rPr>
          <w:i/>
        </w:rPr>
        <w:t xml:space="preserve"> </w:t>
      </w:r>
      <w:r w:rsidR="00763CC2" w:rsidRPr="00C43C8F">
        <w:t xml:space="preserve"> </w:t>
      </w:r>
    </w:p>
    <w:p w14:paraId="554D81E9" w14:textId="2D8D277C" w:rsidR="0017668A" w:rsidRPr="00C43C8F" w:rsidRDefault="0017668A" w:rsidP="0017668A">
      <w:pPr>
        <w:pStyle w:val="ListParagraph"/>
        <w:numPr>
          <w:ilvl w:val="0"/>
          <w:numId w:val="25"/>
        </w:numPr>
        <w:tabs>
          <w:tab w:val="left" w:pos="1276"/>
        </w:tabs>
        <w:ind w:left="0" w:firstLine="851"/>
      </w:pPr>
      <w:r w:rsidRPr="00C43C8F">
        <w:t>Valstybės pagalba neteikiama:</w:t>
      </w:r>
    </w:p>
    <w:p w14:paraId="197DA322" w14:textId="6DF0B355" w:rsidR="0017668A" w:rsidRPr="00C43C8F" w:rsidRDefault="0017668A" w:rsidP="0017668A">
      <w:pPr>
        <w:pStyle w:val="ListParagraph"/>
        <w:tabs>
          <w:tab w:val="left" w:pos="1134"/>
          <w:tab w:val="left" w:pos="1418"/>
        </w:tabs>
        <w:ind w:left="0"/>
      </w:pPr>
      <w:r w:rsidRPr="00C43C8F">
        <w:t>18.1.</w:t>
      </w:r>
      <w:r w:rsidRPr="00C43C8F">
        <w:tab/>
        <w:t>sunkumus patiriantiems ūkio subjektams;</w:t>
      </w:r>
    </w:p>
    <w:p w14:paraId="03E820E1" w14:textId="1CE758F3" w:rsidR="0017668A" w:rsidRPr="00C43C8F" w:rsidRDefault="0017668A" w:rsidP="0017668A">
      <w:pPr>
        <w:tabs>
          <w:tab w:val="left" w:pos="1134"/>
          <w:tab w:val="left" w:pos="1418"/>
        </w:tabs>
      </w:pPr>
      <w:r w:rsidRPr="00C43C8F">
        <w:t>18.2.</w:t>
      </w:r>
      <w:r w:rsidRPr="00C43C8F">
        <w:tab/>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7A16BC94" w14:textId="77777777" w:rsidR="0017668A" w:rsidRPr="00C43C8F" w:rsidRDefault="0017668A" w:rsidP="00B30FB7"/>
    <w:p w14:paraId="2C8E66DD" w14:textId="77777777" w:rsidR="0018255A" w:rsidRPr="00C43C8F" w:rsidRDefault="0018255A" w:rsidP="00B30FB7"/>
    <w:p w14:paraId="6E0CE96D" w14:textId="77777777" w:rsidR="0017184B" w:rsidRPr="00C43C8F" w:rsidRDefault="0018255A" w:rsidP="00B42EBF">
      <w:pPr>
        <w:pStyle w:val="Heading1"/>
      </w:pPr>
      <w:r w:rsidRPr="00C43C8F">
        <w:t>III</w:t>
      </w:r>
      <w:r w:rsidR="007A2C9A" w:rsidRPr="00C43C8F">
        <w:t xml:space="preserve"> </w:t>
      </w:r>
      <w:r w:rsidR="0017184B" w:rsidRPr="00C43C8F">
        <w:t>SKYRIUS</w:t>
      </w:r>
    </w:p>
    <w:p w14:paraId="0063DCD5" w14:textId="77777777" w:rsidR="0018255A" w:rsidRPr="00C43C8F" w:rsidRDefault="0018255A" w:rsidP="00B42EBF">
      <w:pPr>
        <w:pStyle w:val="Heading1"/>
      </w:pPr>
      <w:r w:rsidRPr="00C43C8F">
        <w:t xml:space="preserve"> PROJEKTAMS</w:t>
      </w:r>
      <w:r w:rsidR="00792A49" w:rsidRPr="00C43C8F">
        <w:t xml:space="preserve"> TAIKOMI REIKALAVIMAI</w:t>
      </w:r>
    </w:p>
    <w:p w14:paraId="121B8FF4" w14:textId="77777777" w:rsidR="00792A49" w:rsidRPr="00C43C8F" w:rsidRDefault="00792A49" w:rsidP="00B30FB7"/>
    <w:p w14:paraId="466E3C70" w14:textId="50DC1F05" w:rsidR="00E8415C" w:rsidRPr="00C43C8F" w:rsidRDefault="00D84416" w:rsidP="00B30FB7">
      <w:r w:rsidRPr="00C43C8F">
        <w:t>1</w:t>
      </w:r>
      <w:r w:rsidR="0069689C">
        <w:t>9</w:t>
      </w:r>
      <w:r w:rsidRPr="00C43C8F">
        <w:t>.</w:t>
      </w:r>
      <w:r w:rsidRPr="00C43C8F">
        <w:tab/>
        <w:t xml:space="preserve">Projektas turi atitikti Projektų taisyklių 10 skirsnyje nustatytus bendruosius reikalavimus. </w:t>
      </w:r>
    </w:p>
    <w:p w14:paraId="0E1170C2" w14:textId="08E0CBB7" w:rsidR="00D84416" w:rsidRPr="00C43C8F" w:rsidRDefault="0069689C" w:rsidP="00B30FB7">
      <w:r>
        <w:t>20</w:t>
      </w:r>
      <w:r w:rsidR="00D84416" w:rsidRPr="00C43C8F">
        <w:t>.</w:t>
      </w:r>
      <w:r w:rsidR="00D84416" w:rsidRPr="00C43C8F">
        <w:tab/>
        <w:t xml:space="preserve">Projektas turi atitikti šiuos </w:t>
      </w:r>
      <w:r w:rsidR="00546B8A" w:rsidRPr="00C43C8F">
        <w:t>2015 m. liepos 9 d. 2014–2020 m. ES fondų investicijų veiksmų programos Stebėsenos komiteto posėdyje Nr. 8</w:t>
      </w:r>
      <w:r w:rsidR="00D84416" w:rsidRPr="00C43C8F">
        <w:t xml:space="preserve"> </w:t>
      </w:r>
      <w:r w:rsidR="00546B8A" w:rsidRPr="00C43C8F">
        <w:t xml:space="preserve">patvirtintus specialiuosius </w:t>
      </w:r>
      <w:r w:rsidR="00D84416" w:rsidRPr="00C43C8F">
        <w:t>projektų atrankos kriterijus:</w:t>
      </w:r>
    </w:p>
    <w:p w14:paraId="4E1F86E3" w14:textId="50D14DC5" w:rsidR="00306CF2" w:rsidRPr="00C43C8F" w:rsidRDefault="0069689C" w:rsidP="004C1FA0">
      <w:pPr>
        <w:tabs>
          <w:tab w:val="left" w:pos="1134"/>
        </w:tabs>
      </w:pPr>
      <w:r>
        <w:t>20</w:t>
      </w:r>
      <w:r w:rsidR="00D84416" w:rsidRPr="00C43C8F">
        <w:t xml:space="preserve">.1. </w:t>
      </w:r>
      <w:r w:rsidR="00306CF2" w:rsidRPr="00C43C8F">
        <w:t xml:space="preserve">Projektas turi atitikti Kultūros objektų aktualizavimo programos nuostatas. Laikoma, kad projektas atitinka šį specialųjį atrankos kriterijų, jei </w:t>
      </w:r>
      <w:r w:rsidR="00306CF2" w:rsidRPr="00C43C8F">
        <w:rPr>
          <w:bCs/>
          <w:lang w:eastAsia="lt-LT"/>
        </w:rPr>
        <w:t xml:space="preserve">projekte numatomas tvarkyti kultūros </w:t>
      </w:r>
      <w:r w:rsidR="008F5079" w:rsidRPr="00C43C8F">
        <w:rPr>
          <w:bCs/>
          <w:lang w:eastAsia="lt-LT"/>
        </w:rPr>
        <w:t>paveldo</w:t>
      </w:r>
      <w:r w:rsidR="00306CF2" w:rsidRPr="00C43C8F">
        <w:rPr>
          <w:bCs/>
          <w:lang w:eastAsia="lt-LT"/>
        </w:rPr>
        <w:t xml:space="preserve"> objektas įgyvendina Kultūros objektų aktualizavimo programos IV skyriaus 20</w:t>
      </w:r>
      <w:r w:rsidR="008F5079" w:rsidRPr="00C43C8F">
        <w:rPr>
          <w:bCs/>
          <w:lang w:eastAsia="lt-LT"/>
        </w:rPr>
        <w:t xml:space="preserve"> </w:t>
      </w:r>
      <w:r w:rsidR="00306CF2" w:rsidRPr="00C43C8F">
        <w:rPr>
          <w:bCs/>
          <w:lang w:eastAsia="lt-LT"/>
        </w:rPr>
        <w:t>–</w:t>
      </w:r>
      <w:r w:rsidR="008F5079" w:rsidRPr="00C43C8F">
        <w:rPr>
          <w:bCs/>
          <w:lang w:eastAsia="lt-LT"/>
        </w:rPr>
        <w:t xml:space="preserve"> </w:t>
      </w:r>
      <w:r w:rsidR="00306CF2" w:rsidRPr="00C43C8F">
        <w:rPr>
          <w:bCs/>
          <w:lang w:eastAsia="lt-LT"/>
        </w:rPr>
        <w:t>22 punktų nuostatas bei atitinka minėtos programos 23 punkte nustatytus bendruosius ir 2</w:t>
      </w:r>
      <w:r w:rsidR="008F5079" w:rsidRPr="00C43C8F">
        <w:rPr>
          <w:bCs/>
          <w:lang w:eastAsia="lt-LT"/>
        </w:rPr>
        <w:t>4</w:t>
      </w:r>
      <w:r w:rsidR="00306CF2" w:rsidRPr="00C43C8F">
        <w:rPr>
          <w:bCs/>
          <w:lang w:eastAsia="lt-LT"/>
        </w:rPr>
        <w:t xml:space="preserve"> punkte nustatytus specialiuosius reikalavimus. Projekto atitiktis minėtų  punktų nuostatoms turi būti vertinama pilna apimtimi, t. y. visiems atitinkamo punkto papunkčiuose nustatytiems reikalavimams, kaip nurodoma Kultūros objektų aktualizavimo programoje</w:t>
      </w:r>
      <w:r w:rsidR="00306CF2" w:rsidRPr="00C43C8F">
        <w:t>;</w:t>
      </w:r>
    </w:p>
    <w:p w14:paraId="2A868616" w14:textId="32252FCE" w:rsidR="00306CF2" w:rsidRPr="00C43C8F" w:rsidRDefault="0069689C" w:rsidP="004C1FA0">
      <w:pPr>
        <w:tabs>
          <w:tab w:val="left" w:pos="1134"/>
        </w:tabs>
      </w:pPr>
      <w:r>
        <w:t>20</w:t>
      </w:r>
      <w:r w:rsidR="00306CF2" w:rsidRPr="00C43C8F">
        <w:t xml:space="preserve">.2. Projektas turi atitikti regiono plėtros planą, patvirtintą regiono plėtros tarybos sprendimu. Laikoma, kad projektas atitinka šį specialųjį atrankos kriterijų, jei </w:t>
      </w:r>
      <w:r w:rsidR="00306CF2" w:rsidRPr="00C43C8F">
        <w:rPr>
          <w:bCs/>
          <w:lang w:eastAsia="lt-LT"/>
        </w:rPr>
        <w:t xml:space="preserve">projektiniame pasiūlyme nurodytas projekto pareiškėjas, projekto veiklos atitinka regiono plėtros plano </w:t>
      </w:r>
      <w:r w:rsidR="00306CF2" w:rsidRPr="00C43C8F">
        <w:rPr>
          <w:bCs/>
          <w:lang w:eastAsia="lt-LT"/>
        </w:rPr>
        <w:lastRenderedPageBreak/>
        <w:t>atitinkamoje priemonėje pateiktą informaciją, o finansavimo dydis neviršija regiono plėtros plane nurodytos finansavimo sumos pagal kiekvieną iš šaltinių</w:t>
      </w:r>
      <w:r w:rsidR="00306CF2" w:rsidRPr="00C43C8F">
        <w:t>;</w:t>
      </w:r>
    </w:p>
    <w:p w14:paraId="05D2C8BF" w14:textId="5B2F1E2A" w:rsidR="00D84416" w:rsidRPr="00C43C8F" w:rsidRDefault="0069689C" w:rsidP="004C1FA0">
      <w:r>
        <w:t>20</w:t>
      </w:r>
      <w:r w:rsidR="00306CF2" w:rsidRPr="00C43C8F">
        <w:t xml:space="preserve">.3. Projektas turi atitikti savivaldybės strateginį veiklos planą. Laikoma, kad projektas atitinka šį specialųjį atrankos kriterijų, jei </w:t>
      </w:r>
      <w:r w:rsidR="00306CF2" w:rsidRPr="00C43C8F">
        <w:rPr>
          <w:bCs/>
          <w:lang w:eastAsia="lt-LT"/>
        </w:rPr>
        <w:t>projektiniame pasiūlyme ir projekto paraiškoje nurodytos projekto veiklos atitinka savivaldybės strateginio veiklos plano atitinkamoje priemonėje numatytą priemonės vykdytoją ir jam pavestą įgyvendinti veiklos sritį</w:t>
      </w:r>
      <w:r w:rsidR="008F5079" w:rsidRPr="00C43C8F">
        <w:rPr>
          <w:bCs/>
          <w:lang w:eastAsia="lt-LT"/>
        </w:rPr>
        <w:t>.</w:t>
      </w:r>
    </w:p>
    <w:p w14:paraId="026BF732" w14:textId="0EACCCF8" w:rsidR="008A1729" w:rsidRPr="00C43C8F" w:rsidRDefault="002E5EAE" w:rsidP="00B30FB7">
      <w:r w:rsidRPr="00C43C8F">
        <w:t>2</w:t>
      </w:r>
      <w:r w:rsidR="0069689C">
        <w:t>1</w:t>
      </w:r>
      <w:r w:rsidR="002B603C" w:rsidRPr="00C43C8F">
        <w:t xml:space="preserve">. Pagal Aprašą nefinansuojami didelės apimties projektai. </w:t>
      </w:r>
      <w:r w:rsidR="008A1729" w:rsidRPr="00C43C8F">
        <w:t xml:space="preserve">Didelės apimties projektas suprantamas taip, kaip apibrėžta Atsakomybės ir funkcijų paskirstymo taisyklių 2.26. papunktyje. </w:t>
      </w:r>
    </w:p>
    <w:p w14:paraId="02F6E84C" w14:textId="562BBB5E" w:rsidR="00546B8A" w:rsidRPr="00C43C8F" w:rsidRDefault="0069689C" w:rsidP="00B30FB7">
      <w:r>
        <w:t>22</w:t>
      </w:r>
      <w:r w:rsidR="00546B8A" w:rsidRPr="00C43C8F">
        <w:t>. Vadovaujantis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1 dalies (e) punktu  pagal šį Aprašą finansuojami tik mažos apimties infrastruktūros projektai</w:t>
      </w:r>
      <w:r w:rsidR="004C1FA0" w:rsidRPr="00C43C8F">
        <w:t>.</w:t>
      </w:r>
    </w:p>
    <w:p w14:paraId="553A68C1" w14:textId="6AC0573C" w:rsidR="001C036E" w:rsidRPr="00C43C8F" w:rsidRDefault="003D4A1C" w:rsidP="00B30FB7">
      <w:r w:rsidRPr="00C43C8F">
        <w:t>2</w:t>
      </w:r>
      <w:r w:rsidR="0069689C">
        <w:t>3</w:t>
      </w:r>
      <w:r w:rsidR="003937B3" w:rsidRPr="00C43C8F">
        <w:t xml:space="preserve">. </w:t>
      </w:r>
      <w:r w:rsidR="006D60A1" w:rsidRPr="00C43C8F">
        <w:t>Teikiamų</w:t>
      </w:r>
      <w:r w:rsidR="001C036E" w:rsidRPr="00C43C8F">
        <w:t xml:space="preserve"> pagal Aprašą projektų </w:t>
      </w:r>
      <w:r w:rsidR="006D60A1" w:rsidRPr="00C43C8F">
        <w:t>veiklos turi būti baigtos ne vėliau nei</w:t>
      </w:r>
      <w:r w:rsidR="001C036E" w:rsidRPr="00C43C8F">
        <w:t xml:space="preserve"> </w:t>
      </w:r>
      <w:r w:rsidR="008F5079" w:rsidRPr="00C43C8F">
        <w:t>2021</w:t>
      </w:r>
      <w:r w:rsidR="001C036E" w:rsidRPr="00C43C8F">
        <w:t xml:space="preserve"> m. </w:t>
      </w:r>
      <w:r w:rsidR="008F5079" w:rsidRPr="00C43C8F">
        <w:t>gruodžio 31</w:t>
      </w:r>
      <w:r w:rsidR="001C036E" w:rsidRPr="00C43C8F">
        <w:t xml:space="preserve"> d</w:t>
      </w:r>
      <w:r w:rsidR="000471DA" w:rsidRPr="00C43C8F">
        <w:t>.</w:t>
      </w:r>
      <w:r w:rsidR="008A1967" w:rsidRPr="00C43C8F">
        <w:rPr>
          <w:rFonts w:eastAsia="Times New Roman"/>
          <w:lang w:eastAsia="lt-LT"/>
        </w:rPr>
        <w:t xml:space="preserve"> </w:t>
      </w:r>
      <w:r w:rsidR="000471DA" w:rsidRPr="00C43C8F">
        <w:t xml:space="preserve"> </w:t>
      </w:r>
    </w:p>
    <w:p w14:paraId="3CD186FB" w14:textId="6C824EC3" w:rsidR="0018255A" w:rsidRPr="00C43C8F" w:rsidRDefault="003D4A1C" w:rsidP="00B30FB7">
      <w:r w:rsidRPr="00C43C8F">
        <w:t>2</w:t>
      </w:r>
      <w:r w:rsidR="0069689C">
        <w:t>4</w:t>
      </w:r>
      <w:r w:rsidR="001C036E" w:rsidRPr="00C43C8F">
        <w:t xml:space="preserve">. </w:t>
      </w:r>
      <w:r w:rsidR="00AC75EB" w:rsidRPr="00C43C8F">
        <w:t xml:space="preserve">Tam tikrais </w:t>
      </w:r>
      <w:r w:rsidR="00A04F42" w:rsidRPr="00C43C8F">
        <w:t xml:space="preserve">atvejais dėl objektyvių priežasčių, kurių projekto vykdytojas negalėjo numatyti paraiškos pateikimo ir vertinimo metu, projekto </w:t>
      </w:r>
      <w:r w:rsidR="004D2639" w:rsidRPr="00C43C8F">
        <w:t>veiklų</w:t>
      </w:r>
      <w:r w:rsidR="00627A1C" w:rsidRPr="00C43C8F">
        <w:t xml:space="preserve"> įgyvendinimo</w:t>
      </w:r>
      <w:r w:rsidR="00A04F42" w:rsidRPr="00C43C8F">
        <w:t xml:space="preserve"> laikotarpis gali būti pratęstas</w:t>
      </w:r>
      <w:r w:rsidR="00566F7A" w:rsidRPr="00C43C8F">
        <w:t xml:space="preserve"> </w:t>
      </w:r>
      <w:r w:rsidR="00B43A17" w:rsidRPr="00C43C8F">
        <w:t>Projektų taisyklių</w:t>
      </w:r>
      <w:r w:rsidR="00566F7A" w:rsidRPr="00C43C8F">
        <w:t xml:space="preserve"> nustatyta tvarka, </w:t>
      </w:r>
      <w:r w:rsidR="000A6B5C" w:rsidRPr="00C43C8F">
        <w:t xml:space="preserve">ne vėliau nei </w:t>
      </w:r>
      <w:r w:rsidR="00AD3595" w:rsidRPr="00C43C8F">
        <w:t xml:space="preserve">iki </w:t>
      </w:r>
      <w:r w:rsidR="008F5079" w:rsidRPr="00C43C8F">
        <w:t>2022</w:t>
      </w:r>
      <w:r w:rsidR="000A6B5C" w:rsidRPr="00C43C8F">
        <w:t xml:space="preserve"> m. </w:t>
      </w:r>
      <w:r w:rsidR="008F5079" w:rsidRPr="00C43C8F">
        <w:t xml:space="preserve">gruodžio 31 </w:t>
      </w:r>
      <w:r w:rsidR="000A6B5C" w:rsidRPr="00C43C8F">
        <w:t>d.</w:t>
      </w:r>
      <w:r w:rsidR="00DF1EF0" w:rsidRPr="00C43C8F">
        <w:t xml:space="preserve"> </w:t>
      </w:r>
    </w:p>
    <w:p w14:paraId="4D341955" w14:textId="51AA19D1" w:rsidR="004B3F81" w:rsidRPr="00C43C8F" w:rsidRDefault="003D4A1C" w:rsidP="00B30FB7">
      <w:r w:rsidRPr="00C43C8F">
        <w:t>2</w:t>
      </w:r>
      <w:r w:rsidR="0069689C">
        <w:t>5</w:t>
      </w:r>
      <w:r w:rsidR="001C036E" w:rsidRPr="00C43C8F">
        <w:t>.</w:t>
      </w:r>
      <w:r w:rsidR="00ED5669" w:rsidRPr="00C43C8F">
        <w:rPr>
          <w:i/>
        </w:rPr>
        <w:t xml:space="preserve"> </w:t>
      </w:r>
      <w:r w:rsidR="00ED5669" w:rsidRPr="00C43C8F">
        <w:t>Projekto veiklos turi būti vykdomos Lietuvos Respublikoje</w:t>
      </w:r>
      <w:r w:rsidR="004B3F81" w:rsidRPr="00C43C8F">
        <w:t>.</w:t>
      </w:r>
    </w:p>
    <w:p w14:paraId="62BCBD06" w14:textId="6429FEE6" w:rsidR="00D7666E" w:rsidRPr="00C43C8F" w:rsidRDefault="003D4A1C" w:rsidP="00B30FB7">
      <w:r w:rsidRPr="00C43C8F">
        <w:t>2</w:t>
      </w:r>
      <w:r w:rsidR="0069689C">
        <w:t>6</w:t>
      </w:r>
      <w:r w:rsidR="00D265A6" w:rsidRPr="00C43C8F">
        <w:t xml:space="preserve">. </w:t>
      </w:r>
      <w:r w:rsidR="00D5384C" w:rsidRPr="00C43C8F">
        <w:t>Projekt</w:t>
      </w:r>
      <w:r w:rsidR="00A04995" w:rsidRPr="00C43C8F">
        <w:t>u</w:t>
      </w:r>
      <w:r w:rsidR="00D5384C" w:rsidRPr="00C43C8F">
        <w:t xml:space="preserve"> turi </w:t>
      </w:r>
      <w:r w:rsidR="00A04995" w:rsidRPr="00C43C8F">
        <w:t xml:space="preserve">būti </w:t>
      </w:r>
      <w:r w:rsidR="00D5384C" w:rsidRPr="00C43C8F">
        <w:t>siek</w:t>
      </w:r>
      <w:r w:rsidR="00A04995" w:rsidRPr="00C43C8F">
        <w:t>iama</w:t>
      </w:r>
      <w:r w:rsidR="00D5384C" w:rsidRPr="00C43C8F">
        <w:t xml:space="preserve"> </w:t>
      </w:r>
      <w:r w:rsidR="008B3A74" w:rsidRPr="00C43C8F">
        <w:t>šių</w:t>
      </w:r>
      <w:r w:rsidR="00D5384C" w:rsidRPr="00C43C8F">
        <w:t xml:space="preserve"> </w:t>
      </w:r>
      <w:r w:rsidR="006805AE" w:rsidRPr="00C43C8F">
        <w:t xml:space="preserve">toliau </w:t>
      </w:r>
      <w:r w:rsidR="00D5384C" w:rsidRPr="00C43C8F">
        <w:t xml:space="preserve">išvardytų </w:t>
      </w:r>
      <w:r w:rsidR="00554917" w:rsidRPr="00C43C8F">
        <w:t xml:space="preserve">priemonės įgyvendinimo </w:t>
      </w:r>
      <w:r w:rsidR="00694FCF" w:rsidRPr="00C43C8F">
        <w:t xml:space="preserve">stebėsenos </w:t>
      </w:r>
      <w:r w:rsidR="00D5384C" w:rsidRPr="00C43C8F">
        <w:t>rodiklių:</w:t>
      </w:r>
    </w:p>
    <w:p w14:paraId="7DAC85A3" w14:textId="4FA8BDBE" w:rsidR="00C84561" w:rsidRPr="00C43C8F" w:rsidRDefault="0069689C" w:rsidP="004C1FA0">
      <w:pPr>
        <w:tabs>
          <w:tab w:val="left" w:pos="1418"/>
        </w:tabs>
      </w:pPr>
      <w:r>
        <w:t>26</w:t>
      </w:r>
      <w:r w:rsidR="004C1FA0" w:rsidRPr="00C43C8F">
        <w:t xml:space="preserve">.1. </w:t>
      </w:r>
      <w:r w:rsidR="00C84561" w:rsidRPr="00C43C8F">
        <w:t>„Sutvarkyti, įrengti ir pritaikyti lankymui gamtos ir kultūros paveldo objektai ir teritorijos“, kodas P.S.335;</w:t>
      </w:r>
    </w:p>
    <w:p w14:paraId="5E8FC516" w14:textId="3B82148E" w:rsidR="00C84561" w:rsidRPr="00C43C8F" w:rsidRDefault="0069689C" w:rsidP="004C1FA0">
      <w:pPr>
        <w:tabs>
          <w:tab w:val="left" w:pos="1418"/>
        </w:tabs>
      </w:pPr>
      <w:r>
        <w:t>26</w:t>
      </w:r>
      <w:r w:rsidR="00C84561" w:rsidRPr="00C43C8F">
        <w:t>.2. „Numatomo apsilankymų remiamuose kultūros ir gamtos paveldo objektuose bei turistų traukos vietose skaičiaus padidėjimas“, kodas P.B.209;</w:t>
      </w:r>
    </w:p>
    <w:p w14:paraId="4C88B508" w14:textId="34E47D0E" w:rsidR="00D5384C" w:rsidRPr="00C43C8F" w:rsidRDefault="0069689C" w:rsidP="004C1FA0">
      <w:pPr>
        <w:tabs>
          <w:tab w:val="left" w:pos="1418"/>
        </w:tabs>
      </w:pPr>
      <w:r>
        <w:t>26</w:t>
      </w:r>
      <w:r w:rsidR="004C1FA0" w:rsidRPr="00C43C8F">
        <w:t>.</w:t>
      </w:r>
      <w:r w:rsidR="00C84561" w:rsidRPr="00C43C8F">
        <w:t>3</w:t>
      </w:r>
      <w:r w:rsidR="00D5384C" w:rsidRPr="00C43C8F">
        <w:t xml:space="preserve">. </w:t>
      </w:r>
      <w:r w:rsidR="00C874E8" w:rsidRPr="00C43C8F">
        <w:t>Projekt</w:t>
      </w:r>
      <w:r w:rsidR="00A04995" w:rsidRPr="00C43C8F">
        <w:t>u</w:t>
      </w:r>
      <w:r w:rsidR="00C874E8" w:rsidRPr="00C43C8F">
        <w:t xml:space="preserve"> turi </w:t>
      </w:r>
      <w:r w:rsidR="00A04995" w:rsidRPr="00C43C8F">
        <w:t xml:space="preserve">būti </w:t>
      </w:r>
      <w:r w:rsidR="00C874E8" w:rsidRPr="00C43C8F">
        <w:t>siek</w:t>
      </w:r>
      <w:r w:rsidR="00A04995" w:rsidRPr="00C43C8F">
        <w:t>iama</w:t>
      </w:r>
      <w:r w:rsidR="00C874E8" w:rsidRPr="00C43C8F">
        <w:t xml:space="preserve"> </w:t>
      </w:r>
      <w:r w:rsidR="00B04163" w:rsidRPr="00C43C8F">
        <w:t xml:space="preserve">Aprašo </w:t>
      </w:r>
      <w:r w:rsidR="00C874E8" w:rsidRPr="00C43C8F">
        <w:t>2</w:t>
      </w:r>
      <w:r>
        <w:t>6</w:t>
      </w:r>
      <w:r w:rsidR="00C874E8" w:rsidRPr="00C43C8F">
        <w:t>.1</w:t>
      </w:r>
      <w:r w:rsidR="008B1FF1" w:rsidRPr="00C43C8F">
        <w:t>-2</w:t>
      </w:r>
      <w:r>
        <w:t>6</w:t>
      </w:r>
      <w:r w:rsidR="00D11CFD" w:rsidRPr="00C43C8F">
        <w:t>.</w:t>
      </w:r>
      <w:r w:rsidR="004C1FA0" w:rsidRPr="00C43C8F">
        <w:t>2</w:t>
      </w:r>
      <w:r w:rsidR="00C874E8" w:rsidRPr="00C43C8F">
        <w:t xml:space="preserve"> </w:t>
      </w:r>
      <w:r w:rsidR="00B04163" w:rsidRPr="00C43C8F">
        <w:t>pa</w:t>
      </w:r>
      <w:r w:rsidR="00C874E8" w:rsidRPr="00C43C8F">
        <w:t>punk</w:t>
      </w:r>
      <w:r w:rsidR="00D11CFD" w:rsidRPr="00C43C8F">
        <w:t>čiuose</w:t>
      </w:r>
      <w:r w:rsidR="00C874E8" w:rsidRPr="00C43C8F">
        <w:t xml:space="preserve"> nustatytų stebėsenos rodiklių</w:t>
      </w:r>
      <w:r w:rsidR="00B04163" w:rsidRPr="00C43C8F">
        <w:t xml:space="preserve"> reikšmių</w:t>
      </w:r>
      <w:r w:rsidR="00C874E8" w:rsidRPr="00C43C8F">
        <w:t>, atsižvelg</w:t>
      </w:r>
      <w:r w:rsidR="00B04163" w:rsidRPr="00C43C8F">
        <w:t>iant</w:t>
      </w:r>
      <w:r w:rsidR="00C874E8" w:rsidRPr="00C43C8F">
        <w:t xml:space="preserve"> į pateiktoje lentelėje konkrečiam regionui nustatytas tarpines ir galutin</w:t>
      </w:r>
      <w:r w:rsidR="008B3A74" w:rsidRPr="00C43C8F">
        <w:t>es stebėsenos rodiklių reikšmes:</w:t>
      </w:r>
    </w:p>
    <w:p w14:paraId="3395DE28" w14:textId="77777777" w:rsidR="004C1FA0" w:rsidRPr="00C43C8F" w:rsidRDefault="004C1FA0" w:rsidP="004C1FA0">
      <w:pPr>
        <w:tabs>
          <w:tab w:val="left" w:pos="1418"/>
        </w:tabs>
      </w:pPr>
    </w:p>
    <w:tbl>
      <w:tblPr>
        <w:tblStyle w:val="TableGrid"/>
        <w:tblW w:w="0" w:type="auto"/>
        <w:jc w:val="center"/>
        <w:tblLook w:val="04A0" w:firstRow="1" w:lastRow="0" w:firstColumn="1" w:lastColumn="0" w:noHBand="0" w:noVBand="1"/>
      </w:tblPr>
      <w:tblGrid>
        <w:gridCol w:w="1887"/>
        <w:gridCol w:w="1777"/>
        <w:gridCol w:w="1785"/>
        <w:gridCol w:w="1777"/>
        <w:gridCol w:w="1777"/>
      </w:tblGrid>
      <w:tr w:rsidR="00D65199" w:rsidRPr="00C43C8F" w14:paraId="2E615E72" w14:textId="77777777" w:rsidTr="003C376B">
        <w:trPr>
          <w:jc w:val="center"/>
        </w:trPr>
        <w:tc>
          <w:tcPr>
            <w:tcW w:w="1887" w:type="dxa"/>
            <w:vMerge w:val="restart"/>
          </w:tcPr>
          <w:p w14:paraId="17786DBD" w14:textId="77777777" w:rsidR="00C874E8" w:rsidRPr="00C43C8F" w:rsidRDefault="00C874E8" w:rsidP="00AE4C7A">
            <w:pPr>
              <w:ind w:firstLine="0"/>
              <w:jc w:val="left"/>
              <w:rPr>
                <w:sz w:val="22"/>
                <w:szCs w:val="22"/>
              </w:rPr>
            </w:pPr>
            <w:r w:rsidRPr="00C43C8F">
              <w:rPr>
                <w:sz w:val="22"/>
                <w:szCs w:val="22"/>
              </w:rPr>
              <w:t>Regionas</w:t>
            </w:r>
            <w:r w:rsidR="00AE4C7A" w:rsidRPr="00C43C8F">
              <w:rPr>
                <w:sz w:val="22"/>
                <w:szCs w:val="22"/>
              </w:rPr>
              <w:t xml:space="preserve">  / Miestas</w:t>
            </w:r>
          </w:p>
        </w:tc>
        <w:tc>
          <w:tcPr>
            <w:tcW w:w="3562" w:type="dxa"/>
            <w:gridSpan w:val="2"/>
          </w:tcPr>
          <w:p w14:paraId="0216B0E6" w14:textId="77777777" w:rsidR="00C874E8" w:rsidRPr="00C43C8F" w:rsidRDefault="00AE4C7A" w:rsidP="008B3A74">
            <w:pPr>
              <w:ind w:firstLine="0"/>
              <w:jc w:val="left"/>
              <w:rPr>
                <w:sz w:val="22"/>
                <w:szCs w:val="22"/>
              </w:rPr>
            </w:pPr>
            <w:r w:rsidRPr="00C43C8F">
              <w:rPr>
                <w:sz w:val="22"/>
                <w:szCs w:val="22"/>
              </w:rPr>
              <w:t>Sutvarkyti, įrengti ir pritaikyti lankymui gamtos ir kultūros paveldo objektai ir teritorijos</w:t>
            </w:r>
            <w:r w:rsidR="00C874E8" w:rsidRPr="00C43C8F">
              <w:rPr>
                <w:sz w:val="22"/>
                <w:szCs w:val="22"/>
              </w:rPr>
              <w:t xml:space="preserve"> (kodas</w:t>
            </w:r>
            <w:r w:rsidRPr="00C43C8F">
              <w:rPr>
                <w:sz w:val="22"/>
                <w:szCs w:val="22"/>
              </w:rPr>
              <w:t xml:space="preserve"> P.S.335</w:t>
            </w:r>
            <w:r w:rsidR="00C874E8" w:rsidRPr="00C43C8F">
              <w:rPr>
                <w:sz w:val="22"/>
                <w:szCs w:val="22"/>
              </w:rPr>
              <w:t>)</w:t>
            </w:r>
          </w:p>
        </w:tc>
        <w:tc>
          <w:tcPr>
            <w:tcW w:w="3554" w:type="dxa"/>
            <w:gridSpan w:val="2"/>
          </w:tcPr>
          <w:p w14:paraId="3B8D14BD" w14:textId="77777777" w:rsidR="00C874E8" w:rsidRPr="00C43C8F" w:rsidRDefault="008B3A74" w:rsidP="008B3A74">
            <w:pPr>
              <w:ind w:firstLine="0"/>
              <w:jc w:val="left"/>
              <w:rPr>
                <w:sz w:val="22"/>
                <w:szCs w:val="22"/>
              </w:rPr>
            </w:pPr>
            <w:r w:rsidRPr="00C43C8F">
              <w:rPr>
                <w:sz w:val="22"/>
                <w:szCs w:val="22"/>
              </w:rPr>
              <w:t xml:space="preserve">Numatomo apsilankymų remiamuose kultūros ir gamtos paveldo objektuose bei turistų traukos vietose skaičiaus padidėjimas </w:t>
            </w:r>
            <w:r w:rsidR="00C874E8" w:rsidRPr="00C43C8F">
              <w:rPr>
                <w:sz w:val="22"/>
                <w:szCs w:val="22"/>
              </w:rPr>
              <w:t>(kodas</w:t>
            </w:r>
            <w:r w:rsidRPr="00C43C8F">
              <w:rPr>
                <w:sz w:val="22"/>
                <w:szCs w:val="22"/>
              </w:rPr>
              <w:t xml:space="preserve"> P.B.209</w:t>
            </w:r>
            <w:r w:rsidR="00C874E8" w:rsidRPr="00C43C8F">
              <w:rPr>
                <w:sz w:val="22"/>
                <w:szCs w:val="22"/>
              </w:rPr>
              <w:t>)</w:t>
            </w:r>
          </w:p>
        </w:tc>
      </w:tr>
      <w:tr w:rsidR="00D65199" w:rsidRPr="00C43C8F" w14:paraId="45585BCC" w14:textId="77777777" w:rsidTr="003C376B">
        <w:trPr>
          <w:jc w:val="center"/>
        </w:trPr>
        <w:tc>
          <w:tcPr>
            <w:tcW w:w="1887" w:type="dxa"/>
            <w:vMerge/>
          </w:tcPr>
          <w:p w14:paraId="68710657" w14:textId="77777777" w:rsidR="00C874E8" w:rsidRPr="00C43C8F" w:rsidRDefault="00C874E8" w:rsidP="00554917">
            <w:pPr>
              <w:ind w:firstLine="0"/>
              <w:rPr>
                <w:sz w:val="22"/>
                <w:szCs w:val="22"/>
              </w:rPr>
            </w:pPr>
          </w:p>
        </w:tc>
        <w:tc>
          <w:tcPr>
            <w:tcW w:w="1777" w:type="dxa"/>
          </w:tcPr>
          <w:p w14:paraId="530D2A05" w14:textId="77777777" w:rsidR="00C874E8" w:rsidRPr="00C43C8F" w:rsidRDefault="00C874E8" w:rsidP="00CB235B">
            <w:pPr>
              <w:ind w:firstLine="0"/>
              <w:jc w:val="center"/>
              <w:rPr>
                <w:sz w:val="22"/>
                <w:szCs w:val="22"/>
              </w:rPr>
            </w:pPr>
            <w:r w:rsidRPr="00C43C8F">
              <w:rPr>
                <w:sz w:val="22"/>
                <w:szCs w:val="22"/>
              </w:rPr>
              <w:t>Tarpinė reikšmė</w:t>
            </w:r>
            <w:r w:rsidR="00CB235B" w:rsidRPr="00C43C8F">
              <w:rPr>
                <w:sz w:val="22"/>
                <w:szCs w:val="22"/>
              </w:rPr>
              <w:t xml:space="preserve"> </w:t>
            </w:r>
            <w:r w:rsidRPr="00C43C8F">
              <w:rPr>
                <w:sz w:val="22"/>
                <w:szCs w:val="22"/>
              </w:rPr>
              <w:t>2018 m. pab.</w:t>
            </w:r>
          </w:p>
        </w:tc>
        <w:tc>
          <w:tcPr>
            <w:tcW w:w="1785" w:type="dxa"/>
          </w:tcPr>
          <w:p w14:paraId="3B11E9AB" w14:textId="77777777" w:rsidR="00C874E8" w:rsidRPr="00C43C8F" w:rsidRDefault="00C874E8" w:rsidP="00554917">
            <w:pPr>
              <w:ind w:firstLine="0"/>
              <w:jc w:val="center"/>
              <w:rPr>
                <w:sz w:val="22"/>
                <w:szCs w:val="22"/>
              </w:rPr>
            </w:pPr>
            <w:r w:rsidRPr="00C43C8F">
              <w:rPr>
                <w:sz w:val="22"/>
                <w:szCs w:val="22"/>
              </w:rPr>
              <w:t>Galutinė reikšmė 2023 m. pab.</w:t>
            </w:r>
          </w:p>
        </w:tc>
        <w:tc>
          <w:tcPr>
            <w:tcW w:w="1777" w:type="dxa"/>
          </w:tcPr>
          <w:p w14:paraId="393E1585" w14:textId="77777777" w:rsidR="00C874E8" w:rsidRPr="00C43C8F" w:rsidRDefault="00C874E8" w:rsidP="00554917">
            <w:pPr>
              <w:ind w:firstLine="0"/>
              <w:jc w:val="center"/>
              <w:rPr>
                <w:sz w:val="22"/>
                <w:szCs w:val="22"/>
              </w:rPr>
            </w:pPr>
            <w:r w:rsidRPr="00C43C8F">
              <w:rPr>
                <w:sz w:val="22"/>
                <w:szCs w:val="22"/>
              </w:rPr>
              <w:t>Tarpinė reikšmė 2018 m. pab.</w:t>
            </w:r>
          </w:p>
        </w:tc>
        <w:tc>
          <w:tcPr>
            <w:tcW w:w="1777" w:type="dxa"/>
          </w:tcPr>
          <w:p w14:paraId="1DCC6556" w14:textId="77777777" w:rsidR="00C874E8" w:rsidRPr="00C43C8F" w:rsidRDefault="00C874E8" w:rsidP="00554917">
            <w:pPr>
              <w:ind w:firstLine="0"/>
              <w:jc w:val="center"/>
              <w:rPr>
                <w:sz w:val="22"/>
                <w:szCs w:val="22"/>
              </w:rPr>
            </w:pPr>
            <w:r w:rsidRPr="00C43C8F">
              <w:rPr>
                <w:sz w:val="22"/>
                <w:szCs w:val="22"/>
              </w:rPr>
              <w:t>Galutinė reikšmė 2023 m. pab.</w:t>
            </w:r>
          </w:p>
        </w:tc>
      </w:tr>
      <w:tr w:rsidR="00D65199" w:rsidRPr="00C43C8F" w14:paraId="69C07ED2" w14:textId="77777777" w:rsidTr="00570857">
        <w:trPr>
          <w:jc w:val="center"/>
        </w:trPr>
        <w:tc>
          <w:tcPr>
            <w:tcW w:w="1887" w:type="dxa"/>
          </w:tcPr>
          <w:p w14:paraId="69C68CDB" w14:textId="77777777" w:rsidR="00803936" w:rsidRPr="00C43C8F" w:rsidRDefault="00803936" w:rsidP="00AE4C7A">
            <w:pPr>
              <w:ind w:firstLine="0"/>
              <w:rPr>
                <w:sz w:val="22"/>
                <w:szCs w:val="22"/>
              </w:rPr>
            </w:pPr>
            <w:r w:rsidRPr="00C43C8F">
              <w:rPr>
                <w:sz w:val="22"/>
                <w:szCs w:val="22"/>
              </w:rPr>
              <w:t>Alytaus regionas</w:t>
            </w:r>
          </w:p>
        </w:tc>
        <w:tc>
          <w:tcPr>
            <w:tcW w:w="1777" w:type="dxa"/>
          </w:tcPr>
          <w:p w14:paraId="01168F0B" w14:textId="77777777" w:rsidR="00803936" w:rsidRPr="00C43C8F" w:rsidRDefault="0082132F" w:rsidP="008B3A74">
            <w:pPr>
              <w:jc w:val="left"/>
            </w:pPr>
            <w:r w:rsidRPr="00C43C8F">
              <w:t>0</w:t>
            </w:r>
          </w:p>
        </w:tc>
        <w:tc>
          <w:tcPr>
            <w:tcW w:w="1785" w:type="dxa"/>
          </w:tcPr>
          <w:p w14:paraId="597A5889" w14:textId="77777777" w:rsidR="00803936" w:rsidRPr="00C43C8F" w:rsidRDefault="00803936" w:rsidP="008B3A74">
            <w:pPr>
              <w:jc w:val="left"/>
            </w:pPr>
            <w:r w:rsidRPr="00C43C8F">
              <w:t>1</w:t>
            </w:r>
          </w:p>
        </w:tc>
        <w:tc>
          <w:tcPr>
            <w:tcW w:w="1777" w:type="dxa"/>
          </w:tcPr>
          <w:p w14:paraId="45A35ACF" w14:textId="77777777" w:rsidR="00803936" w:rsidRPr="00C43C8F" w:rsidRDefault="0082132F" w:rsidP="00C25965">
            <w:pPr>
              <w:ind w:firstLine="0"/>
              <w:jc w:val="center"/>
            </w:pPr>
            <w:r w:rsidRPr="00C43C8F">
              <w:t>0</w:t>
            </w:r>
          </w:p>
        </w:tc>
        <w:tc>
          <w:tcPr>
            <w:tcW w:w="1777" w:type="dxa"/>
            <w:vAlign w:val="center"/>
          </w:tcPr>
          <w:p w14:paraId="26DF90BE" w14:textId="68B38ADA" w:rsidR="00803936" w:rsidRPr="00C43C8F" w:rsidRDefault="00803936" w:rsidP="00850912">
            <w:pPr>
              <w:ind w:firstLine="0"/>
              <w:jc w:val="center"/>
            </w:pPr>
            <w:r w:rsidRPr="00C43C8F">
              <w:t xml:space="preserve">1 </w:t>
            </w:r>
            <w:r w:rsidR="00850912" w:rsidRPr="00C43C8F">
              <w:t>200</w:t>
            </w:r>
          </w:p>
        </w:tc>
      </w:tr>
      <w:tr w:rsidR="00D65199" w:rsidRPr="00C43C8F" w14:paraId="7ACA7588" w14:textId="77777777" w:rsidTr="00570857">
        <w:trPr>
          <w:jc w:val="center"/>
        </w:trPr>
        <w:tc>
          <w:tcPr>
            <w:tcW w:w="1887" w:type="dxa"/>
          </w:tcPr>
          <w:p w14:paraId="18CE282A" w14:textId="77777777" w:rsidR="00803936" w:rsidRPr="00C43C8F" w:rsidRDefault="00803936" w:rsidP="00AE4C7A">
            <w:pPr>
              <w:ind w:firstLine="0"/>
              <w:rPr>
                <w:sz w:val="22"/>
                <w:szCs w:val="22"/>
              </w:rPr>
            </w:pPr>
            <w:r w:rsidRPr="00C43C8F">
              <w:rPr>
                <w:sz w:val="22"/>
                <w:szCs w:val="22"/>
              </w:rPr>
              <w:t>Kauno regionas</w:t>
            </w:r>
          </w:p>
        </w:tc>
        <w:tc>
          <w:tcPr>
            <w:tcW w:w="1777" w:type="dxa"/>
          </w:tcPr>
          <w:p w14:paraId="37E79FFC" w14:textId="77777777" w:rsidR="00803936" w:rsidRPr="00C43C8F" w:rsidRDefault="00803936" w:rsidP="008B3A74">
            <w:pPr>
              <w:jc w:val="left"/>
            </w:pPr>
            <w:r w:rsidRPr="00C43C8F">
              <w:t>0</w:t>
            </w:r>
          </w:p>
        </w:tc>
        <w:tc>
          <w:tcPr>
            <w:tcW w:w="1785" w:type="dxa"/>
          </w:tcPr>
          <w:p w14:paraId="4BF16063" w14:textId="77777777" w:rsidR="00803936" w:rsidRPr="00C43C8F" w:rsidRDefault="00803936" w:rsidP="008B3A74">
            <w:pPr>
              <w:jc w:val="left"/>
            </w:pPr>
            <w:r w:rsidRPr="00C43C8F">
              <w:t>1</w:t>
            </w:r>
          </w:p>
        </w:tc>
        <w:tc>
          <w:tcPr>
            <w:tcW w:w="1777" w:type="dxa"/>
          </w:tcPr>
          <w:p w14:paraId="060B87A4" w14:textId="77777777" w:rsidR="00803936" w:rsidRPr="00C43C8F" w:rsidRDefault="00803936" w:rsidP="00803936">
            <w:pPr>
              <w:ind w:firstLine="0"/>
              <w:jc w:val="center"/>
            </w:pPr>
            <w:r w:rsidRPr="00C43C8F">
              <w:t>0</w:t>
            </w:r>
          </w:p>
        </w:tc>
        <w:tc>
          <w:tcPr>
            <w:tcW w:w="1777" w:type="dxa"/>
            <w:vAlign w:val="center"/>
          </w:tcPr>
          <w:p w14:paraId="035F519C" w14:textId="39D36F32" w:rsidR="00803936" w:rsidRPr="00C43C8F" w:rsidRDefault="00850912" w:rsidP="00C25965">
            <w:pPr>
              <w:ind w:firstLine="0"/>
              <w:jc w:val="center"/>
            </w:pPr>
            <w:r w:rsidRPr="00C43C8F">
              <w:t>1500</w:t>
            </w:r>
          </w:p>
        </w:tc>
      </w:tr>
      <w:tr w:rsidR="00C25965" w:rsidRPr="00C43C8F" w14:paraId="14570463" w14:textId="77777777" w:rsidTr="00570857">
        <w:trPr>
          <w:jc w:val="center"/>
        </w:trPr>
        <w:tc>
          <w:tcPr>
            <w:tcW w:w="1887" w:type="dxa"/>
          </w:tcPr>
          <w:p w14:paraId="440BD486" w14:textId="77777777" w:rsidR="00C25965" w:rsidRPr="00C43C8F" w:rsidRDefault="00C25965" w:rsidP="00AE4C7A">
            <w:pPr>
              <w:ind w:firstLine="0"/>
              <w:rPr>
                <w:sz w:val="22"/>
                <w:szCs w:val="22"/>
              </w:rPr>
            </w:pPr>
            <w:r w:rsidRPr="00C43C8F">
              <w:rPr>
                <w:sz w:val="22"/>
                <w:szCs w:val="22"/>
              </w:rPr>
              <w:t>Klaipėdos regionas</w:t>
            </w:r>
          </w:p>
        </w:tc>
        <w:tc>
          <w:tcPr>
            <w:tcW w:w="1777" w:type="dxa"/>
          </w:tcPr>
          <w:p w14:paraId="14E4E4BC" w14:textId="77777777" w:rsidR="00C25965" w:rsidRPr="00C43C8F" w:rsidRDefault="00C25965" w:rsidP="008B3A74">
            <w:pPr>
              <w:jc w:val="left"/>
            </w:pPr>
            <w:r w:rsidRPr="00C43C8F">
              <w:t>0</w:t>
            </w:r>
          </w:p>
        </w:tc>
        <w:tc>
          <w:tcPr>
            <w:tcW w:w="1785" w:type="dxa"/>
          </w:tcPr>
          <w:p w14:paraId="2C27C1C9" w14:textId="77777777" w:rsidR="00C25965" w:rsidRPr="00C43C8F" w:rsidRDefault="00C25965" w:rsidP="008B3A74">
            <w:pPr>
              <w:jc w:val="left"/>
            </w:pPr>
            <w:r w:rsidRPr="00C43C8F">
              <w:t>1</w:t>
            </w:r>
          </w:p>
        </w:tc>
        <w:tc>
          <w:tcPr>
            <w:tcW w:w="1777" w:type="dxa"/>
          </w:tcPr>
          <w:p w14:paraId="0C420C6C" w14:textId="77777777" w:rsidR="00C25965" w:rsidRPr="00C43C8F" w:rsidRDefault="00C25965" w:rsidP="00803936">
            <w:pPr>
              <w:ind w:firstLine="0"/>
              <w:jc w:val="center"/>
            </w:pPr>
            <w:r w:rsidRPr="00C43C8F">
              <w:t>0</w:t>
            </w:r>
          </w:p>
        </w:tc>
        <w:tc>
          <w:tcPr>
            <w:tcW w:w="1777" w:type="dxa"/>
            <w:vAlign w:val="center"/>
          </w:tcPr>
          <w:p w14:paraId="5CE33AE3" w14:textId="77777777" w:rsidR="00C25965" w:rsidRPr="00C43C8F" w:rsidRDefault="00C25965" w:rsidP="000B3FA1">
            <w:pPr>
              <w:ind w:firstLine="0"/>
              <w:jc w:val="center"/>
            </w:pPr>
            <w:r w:rsidRPr="00C43C8F">
              <w:t>1 300</w:t>
            </w:r>
          </w:p>
        </w:tc>
      </w:tr>
      <w:tr w:rsidR="00C25965" w:rsidRPr="00C43C8F" w14:paraId="25CF0942" w14:textId="77777777" w:rsidTr="00570857">
        <w:trPr>
          <w:jc w:val="center"/>
        </w:trPr>
        <w:tc>
          <w:tcPr>
            <w:tcW w:w="1887" w:type="dxa"/>
          </w:tcPr>
          <w:p w14:paraId="69500F59" w14:textId="77777777" w:rsidR="00C25965" w:rsidRPr="00C43C8F" w:rsidRDefault="00C25965" w:rsidP="00AE4C7A">
            <w:pPr>
              <w:ind w:firstLine="0"/>
              <w:rPr>
                <w:sz w:val="22"/>
                <w:szCs w:val="22"/>
              </w:rPr>
            </w:pPr>
            <w:r w:rsidRPr="00C43C8F">
              <w:rPr>
                <w:sz w:val="22"/>
                <w:szCs w:val="22"/>
              </w:rPr>
              <w:t>Marijampolės regionas</w:t>
            </w:r>
          </w:p>
        </w:tc>
        <w:tc>
          <w:tcPr>
            <w:tcW w:w="1777" w:type="dxa"/>
          </w:tcPr>
          <w:p w14:paraId="3F69AAD0" w14:textId="77777777" w:rsidR="00C25965" w:rsidRPr="00C43C8F" w:rsidRDefault="00C25965" w:rsidP="008B3A74">
            <w:pPr>
              <w:jc w:val="left"/>
            </w:pPr>
            <w:r w:rsidRPr="00C43C8F">
              <w:t>0</w:t>
            </w:r>
          </w:p>
        </w:tc>
        <w:tc>
          <w:tcPr>
            <w:tcW w:w="1785" w:type="dxa"/>
          </w:tcPr>
          <w:p w14:paraId="53CAD377" w14:textId="77777777" w:rsidR="00C25965" w:rsidRPr="00C43C8F" w:rsidRDefault="00C25965" w:rsidP="008B3A74">
            <w:pPr>
              <w:jc w:val="left"/>
            </w:pPr>
            <w:r w:rsidRPr="00C43C8F">
              <w:t>1</w:t>
            </w:r>
          </w:p>
        </w:tc>
        <w:tc>
          <w:tcPr>
            <w:tcW w:w="1777" w:type="dxa"/>
          </w:tcPr>
          <w:p w14:paraId="271F5745" w14:textId="77777777" w:rsidR="00C25965" w:rsidRPr="00C43C8F" w:rsidRDefault="00C25965" w:rsidP="00803936">
            <w:pPr>
              <w:ind w:firstLine="0"/>
              <w:jc w:val="center"/>
            </w:pPr>
            <w:r w:rsidRPr="00C43C8F">
              <w:t>0</w:t>
            </w:r>
          </w:p>
        </w:tc>
        <w:tc>
          <w:tcPr>
            <w:tcW w:w="1777" w:type="dxa"/>
            <w:vAlign w:val="center"/>
          </w:tcPr>
          <w:p w14:paraId="7863C023" w14:textId="033486BF" w:rsidR="00C25965" w:rsidRPr="00C43C8F" w:rsidRDefault="00850912" w:rsidP="000B3FA1">
            <w:pPr>
              <w:ind w:firstLine="0"/>
              <w:jc w:val="center"/>
            </w:pPr>
            <w:r w:rsidRPr="00C43C8F">
              <w:t>1200</w:t>
            </w:r>
          </w:p>
        </w:tc>
      </w:tr>
      <w:tr w:rsidR="00C25965" w:rsidRPr="00C43C8F" w14:paraId="61D5B56A" w14:textId="77777777" w:rsidTr="00570857">
        <w:trPr>
          <w:jc w:val="center"/>
        </w:trPr>
        <w:tc>
          <w:tcPr>
            <w:tcW w:w="1887" w:type="dxa"/>
          </w:tcPr>
          <w:p w14:paraId="12A2FD46" w14:textId="77777777" w:rsidR="00C25965" w:rsidRPr="00C43C8F" w:rsidRDefault="00C25965" w:rsidP="00AE4C7A">
            <w:pPr>
              <w:ind w:firstLine="0"/>
              <w:rPr>
                <w:sz w:val="22"/>
                <w:szCs w:val="22"/>
              </w:rPr>
            </w:pPr>
            <w:r w:rsidRPr="00C43C8F">
              <w:rPr>
                <w:sz w:val="22"/>
                <w:szCs w:val="22"/>
              </w:rPr>
              <w:t>Panevėžio regionas</w:t>
            </w:r>
          </w:p>
        </w:tc>
        <w:tc>
          <w:tcPr>
            <w:tcW w:w="1777" w:type="dxa"/>
          </w:tcPr>
          <w:p w14:paraId="11DB272C" w14:textId="77777777" w:rsidR="00C25965" w:rsidRPr="00C43C8F" w:rsidRDefault="00C25965" w:rsidP="008B3A74">
            <w:pPr>
              <w:jc w:val="left"/>
            </w:pPr>
            <w:r w:rsidRPr="00C43C8F">
              <w:t>0</w:t>
            </w:r>
          </w:p>
        </w:tc>
        <w:tc>
          <w:tcPr>
            <w:tcW w:w="1785" w:type="dxa"/>
          </w:tcPr>
          <w:p w14:paraId="1F7A7411" w14:textId="77777777" w:rsidR="00C25965" w:rsidRPr="00C43C8F" w:rsidRDefault="00C25965" w:rsidP="008B3A74">
            <w:pPr>
              <w:jc w:val="left"/>
            </w:pPr>
            <w:r w:rsidRPr="00C43C8F">
              <w:t>1</w:t>
            </w:r>
          </w:p>
        </w:tc>
        <w:tc>
          <w:tcPr>
            <w:tcW w:w="1777" w:type="dxa"/>
          </w:tcPr>
          <w:p w14:paraId="37C362AE" w14:textId="77777777" w:rsidR="00C25965" w:rsidRPr="00C43C8F" w:rsidRDefault="00C25965" w:rsidP="00803936">
            <w:pPr>
              <w:ind w:firstLine="0"/>
              <w:jc w:val="center"/>
            </w:pPr>
            <w:r w:rsidRPr="00C43C8F">
              <w:t>0</w:t>
            </w:r>
          </w:p>
        </w:tc>
        <w:tc>
          <w:tcPr>
            <w:tcW w:w="1777" w:type="dxa"/>
            <w:vAlign w:val="center"/>
          </w:tcPr>
          <w:p w14:paraId="5DAD7105" w14:textId="521492D2" w:rsidR="00C25965" w:rsidRPr="00C43C8F" w:rsidRDefault="00850912" w:rsidP="000B3FA1">
            <w:pPr>
              <w:ind w:firstLine="0"/>
              <w:jc w:val="center"/>
            </w:pPr>
            <w:r w:rsidRPr="00C43C8F">
              <w:t>1000</w:t>
            </w:r>
          </w:p>
        </w:tc>
      </w:tr>
      <w:tr w:rsidR="00C25965" w:rsidRPr="00C43C8F" w14:paraId="7D58AD27" w14:textId="77777777" w:rsidTr="00570857">
        <w:trPr>
          <w:jc w:val="center"/>
        </w:trPr>
        <w:tc>
          <w:tcPr>
            <w:tcW w:w="1887" w:type="dxa"/>
          </w:tcPr>
          <w:p w14:paraId="5E9D9339" w14:textId="77777777" w:rsidR="00C25965" w:rsidRPr="00C43C8F" w:rsidRDefault="00C25965" w:rsidP="00AE4C7A">
            <w:pPr>
              <w:ind w:firstLine="0"/>
              <w:rPr>
                <w:sz w:val="22"/>
                <w:szCs w:val="22"/>
              </w:rPr>
            </w:pPr>
            <w:r w:rsidRPr="00C43C8F">
              <w:rPr>
                <w:sz w:val="22"/>
                <w:szCs w:val="22"/>
              </w:rPr>
              <w:t>Šiaulių regionas</w:t>
            </w:r>
          </w:p>
        </w:tc>
        <w:tc>
          <w:tcPr>
            <w:tcW w:w="1777" w:type="dxa"/>
          </w:tcPr>
          <w:p w14:paraId="5E25EB3D" w14:textId="7A515A8D" w:rsidR="00C25965" w:rsidRPr="00C43C8F" w:rsidRDefault="003511AB" w:rsidP="008B3A74">
            <w:pPr>
              <w:jc w:val="left"/>
            </w:pPr>
            <w:r w:rsidRPr="00C43C8F">
              <w:t>1</w:t>
            </w:r>
          </w:p>
        </w:tc>
        <w:tc>
          <w:tcPr>
            <w:tcW w:w="1785" w:type="dxa"/>
          </w:tcPr>
          <w:p w14:paraId="6FBE74D3" w14:textId="77777777" w:rsidR="00C25965" w:rsidRPr="00C43C8F" w:rsidRDefault="00C25965" w:rsidP="008B3A74">
            <w:pPr>
              <w:jc w:val="left"/>
            </w:pPr>
            <w:r w:rsidRPr="00C43C8F">
              <w:t>1</w:t>
            </w:r>
          </w:p>
        </w:tc>
        <w:tc>
          <w:tcPr>
            <w:tcW w:w="1777" w:type="dxa"/>
          </w:tcPr>
          <w:p w14:paraId="7894B18B" w14:textId="1E0BD261" w:rsidR="00C25965" w:rsidRPr="00C43C8F" w:rsidRDefault="003511AB" w:rsidP="00803936">
            <w:pPr>
              <w:ind w:firstLine="0"/>
              <w:jc w:val="center"/>
            </w:pPr>
            <w:r w:rsidRPr="00C43C8F">
              <w:t>1000</w:t>
            </w:r>
          </w:p>
        </w:tc>
        <w:tc>
          <w:tcPr>
            <w:tcW w:w="1777" w:type="dxa"/>
            <w:vAlign w:val="center"/>
          </w:tcPr>
          <w:p w14:paraId="7B6C1B1A" w14:textId="48868BC8" w:rsidR="00C25965" w:rsidRPr="00C43C8F" w:rsidRDefault="00850912" w:rsidP="000B3FA1">
            <w:pPr>
              <w:ind w:firstLine="0"/>
              <w:jc w:val="center"/>
            </w:pPr>
            <w:r w:rsidRPr="00C43C8F">
              <w:t>1000</w:t>
            </w:r>
          </w:p>
        </w:tc>
      </w:tr>
      <w:tr w:rsidR="00C25965" w:rsidRPr="00C43C8F" w14:paraId="596D9749" w14:textId="77777777" w:rsidTr="000B3FA1">
        <w:trPr>
          <w:jc w:val="center"/>
        </w:trPr>
        <w:tc>
          <w:tcPr>
            <w:tcW w:w="1887" w:type="dxa"/>
          </w:tcPr>
          <w:p w14:paraId="4DF7A2FC" w14:textId="77777777" w:rsidR="00C25965" w:rsidRPr="00C43C8F" w:rsidRDefault="00C25965" w:rsidP="00AE4C7A">
            <w:pPr>
              <w:ind w:firstLine="0"/>
              <w:rPr>
                <w:sz w:val="22"/>
                <w:szCs w:val="22"/>
              </w:rPr>
            </w:pPr>
            <w:r w:rsidRPr="00C43C8F">
              <w:rPr>
                <w:sz w:val="22"/>
                <w:szCs w:val="22"/>
              </w:rPr>
              <w:t>Tauragės regionas</w:t>
            </w:r>
          </w:p>
        </w:tc>
        <w:tc>
          <w:tcPr>
            <w:tcW w:w="1777" w:type="dxa"/>
          </w:tcPr>
          <w:p w14:paraId="30347417" w14:textId="77777777" w:rsidR="00C25965" w:rsidRPr="00C43C8F" w:rsidRDefault="0082132F" w:rsidP="008B3A74">
            <w:pPr>
              <w:jc w:val="left"/>
            </w:pPr>
            <w:r w:rsidRPr="00C43C8F">
              <w:t>0</w:t>
            </w:r>
          </w:p>
        </w:tc>
        <w:tc>
          <w:tcPr>
            <w:tcW w:w="1785" w:type="dxa"/>
          </w:tcPr>
          <w:p w14:paraId="67566853" w14:textId="77777777" w:rsidR="00C25965" w:rsidRPr="00C43C8F" w:rsidRDefault="00C25965" w:rsidP="008B3A74">
            <w:pPr>
              <w:jc w:val="left"/>
            </w:pPr>
            <w:r w:rsidRPr="00C43C8F">
              <w:t>1</w:t>
            </w:r>
          </w:p>
        </w:tc>
        <w:tc>
          <w:tcPr>
            <w:tcW w:w="1777" w:type="dxa"/>
            <w:vAlign w:val="center"/>
          </w:tcPr>
          <w:p w14:paraId="78ED2D69" w14:textId="77777777" w:rsidR="00C25965" w:rsidRPr="00C43C8F" w:rsidRDefault="0082132F" w:rsidP="000B3FA1">
            <w:pPr>
              <w:ind w:firstLine="0"/>
              <w:jc w:val="center"/>
            </w:pPr>
            <w:r w:rsidRPr="00C43C8F">
              <w:t>0</w:t>
            </w:r>
          </w:p>
        </w:tc>
        <w:tc>
          <w:tcPr>
            <w:tcW w:w="1777" w:type="dxa"/>
            <w:vAlign w:val="center"/>
          </w:tcPr>
          <w:p w14:paraId="3DF41F9D" w14:textId="65EE68AC" w:rsidR="00C25965" w:rsidRPr="00C43C8F" w:rsidRDefault="00850912" w:rsidP="000B3FA1">
            <w:pPr>
              <w:ind w:firstLine="0"/>
              <w:jc w:val="center"/>
            </w:pPr>
            <w:r w:rsidRPr="00C43C8F">
              <w:t>1200</w:t>
            </w:r>
          </w:p>
        </w:tc>
      </w:tr>
      <w:tr w:rsidR="00C25965" w:rsidRPr="00C43C8F" w14:paraId="5A6FEF2C" w14:textId="77777777" w:rsidTr="00570857">
        <w:trPr>
          <w:jc w:val="center"/>
        </w:trPr>
        <w:tc>
          <w:tcPr>
            <w:tcW w:w="1887" w:type="dxa"/>
          </w:tcPr>
          <w:p w14:paraId="5C51AFC6" w14:textId="77777777" w:rsidR="00C25965" w:rsidRPr="00C43C8F" w:rsidRDefault="00C25965" w:rsidP="00AE4C7A">
            <w:pPr>
              <w:ind w:firstLine="0"/>
              <w:rPr>
                <w:sz w:val="22"/>
                <w:szCs w:val="22"/>
              </w:rPr>
            </w:pPr>
            <w:r w:rsidRPr="00C43C8F">
              <w:rPr>
                <w:sz w:val="22"/>
                <w:szCs w:val="22"/>
              </w:rPr>
              <w:t>Telšių regionas</w:t>
            </w:r>
          </w:p>
        </w:tc>
        <w:tc>
          <w:tcPr>
            <w:tcW w:w="1777" w:type="dxa"/>
          </w:tcPr>
          <w:p w14:paraId="44D11A1E" w14:textId="77777777" w:rsidR="00C25965" w:rsidRPr="00C43C8F" w:rsidRDefault="00C25965" w:rsidP="008B3A74">
            <w:pPr>
              <w:jc w:val="left"/>
            </w:pPr>
            <w:r w:rsidRPr="00C43C8F">
              <w:t>0</w:t>
            </w:r>
          </w:p>
        </w:tc>
        <w:tc>
          <w:tcPr>
            <w:tcW w:w="1785" w:type="dxa"/>
          </w:tcPr>
          <w:p w14:paraId="24E3CCEA" w14:textId="77777777" w:rsidR="00C25965" w:rsidRPr="00C43C8F" w:rsidRDefault="00C25965" w:rsidP="008B3A74">
            <w:pPr>
              <w:jc w:val="left"/>
            </w:pPr>
            <w:r w:rsidRPr="00C43C8F">
              <w:t>1</w:t>
            </w:r>
          </w:p>
        </w:tc>
        <w:tc>
          <w:tcPr>
            <w:tcW w:w="1777" w:type="dxa"/>
          </w:tcPr>
          <w:p w14:paraId="5238E295" w14:textId="77777777" w:rsidR="00C25965" w:rsidRPr="00C43C8F" w:rsidRDefault="00C25965" w:rsidP="00803936">
            <w:pPr>
              <w:ind w:firstLine="0"/>
              <w:jc w:val="center"/>
            </w:pPr>
            <w:r w:rsidRPr="00C43C8F">
              <w:t>0</w:t>
            </w:r>
          </w:p>
        </w:tc>
        <w:tc>
          <w:tcPr>
            <w:tcW w:w="1777" w:type="dxa"/>
            <w:vAlign w:val="center"/>
          </w:tcPr>
          <w:p w14:paraId="6B594318" w14:textId="3D32E35A" w:rsidR="00C25965" w:rsidRPr="00C43C8F" w:rsidRDefault="00850912" w:rsidP="000B3FA1">
            <w:pPr>
              <w:ind w:firstLine="0"/>
              <w:jc w:val="center"/>
            </w:pPr>
            <w:r w:rsidRPr="00C43C8F">
              <w:t>1200</w:t>
            </w:r>
          </w:p>
        </w:tc>
      </w:tr>
      <w:tr w:rsidR="00C25965" w:rsidRPr="00C43C8F" w14:paraId="22E3F7A8" w14:textId="77777777" w:rsidTr="00570857">
        <w:trPr>
          <w:jc w:val="center"/>
        </w:trPr>
        <w:tc>
          <w:tcPr>
            <w:tcW w:w="1887" w:type="dxa"/>
          </w:tcPr>
          <w:p w14:paraId="133743C7" w14:textId="77777777" w:rsidR="00C25965" w:rsidRPr="00C43C8F" w:rsidRDefault="00C25965" w:rsidP="00AE4C7A">
            <w:pPr>
              <w:ind w:firstLine="0"/>
              <w:rPr>
                <w:sz w:val="22"/>
                <w:szCs w:val="22"/>
              </w:rPr>
            </w:pPr>
            <w:r w:rsidRPr="00C43C8F">
              <w:rPr>
                <w:sz w:val="22"/>
                <w:szCs w:val="22"/>
              </w:rPr>
              <w:t>Utenos regionas</w:t>
            </w:r>
          </w:p>
        </w:tc>
        <w:tc>
          <w:tcPr>
            <w:tcW w:w="1777" w:type="dxa"/>
          </w:tcPr>
          <w:p w14:paraId="4A2FE622" w14:textId="77777777" w:rsidR="00C25965" w:rsidRPr="00C43C8F" w:rsidRDefault="00C25965" w:rsidP="008B3A74">
            <w:pPr>
              <w:jc w:val="left"/>
            </w:pPr>
            <w:r w:rsidRPr="00C43C8F">
              <w:t>0</w:t>
            </w:r>
          </w:p>
        </w:tc>
        <w:tc>
          <w:tcPr>
            <w:tcW w:w="1785" w:type="dxa"/>
          </w:tcPr>
          <w:p w14:paraId="2A9C9313" w14:textId="77777777" w:rsidR="00C25965" w:rsidRPr="00C43C8F" w:rsidRDefault="00C25965" w:rsidP="008B3A74">
            <w:pPr>
              <w:jc w:val="left"/>
            </w:pPr>
            <w:r w:rsidRPr="00C43C8F">
              <w:t>1</w:t>
            </w:r>
          </w:p>
        </w:tc>
        <w:tc>
          <w:tcPr>
            <w:tcW w:w="1777" w:type="dxa"/>
          </w:tcPr>
          <w:p w14:paraId="53C308E2" w14:textId="77777777" w:rsidR="00C25965" w:rsidRPr="00C43C8F" w:rsidRDefault="00C25965" w:rsidP="00803936">
            <w:pPr>
              <w:ind w:firstLine="0"/>
              <w:jc w:val="center"/>
            </w:pPr>
            <w:r w:rsidRPr="00C43C8F">
              <w:t>0</w:t>
            </w:r>
          </w:p>
        </w:tc>
        <w:tc>
          <w:tcPr>
            <w:tcW w:w="1777" w:type="dxa"/>
            <w:vAlign w:val="center"/>
          </w:tcPr>
          <w:p w14:paraId="7C389CCA" w14:textId="77777777" w:rsidR="00C25965" w:rsidRPr="00C43C8F" w:rsidRDefault="00C25965" w:rsidP="000B3FA1">
            <w:pPr>
              <w:ind w:firstLine="0"/>
              <w:jc w:val="center"/>
            </w:pPr>
            <w:r w:rsidRPr="00C43C8F">
              <w:t>1 300</w:t>
            </w:r>
          </w:p>
        </w:tc>
      </w:tr>
      <w:tr w:rsidR="00C25965" w:rsidRPr="00C43C8F" w14:paraId="44DE4C7B" w14:textId="77777777" w:rsidTr="00570857">
        <w:trPr>
          <w:jc w:val="center"/>
        </w:trPr>
        <w:tc>
          <w:tcPr>
            <w:tcW w:w="1887" w:type="dxa"/>
          </w:tcPr>
          <w:p w14:paraId="1EA0AEB1" w14:textId="77777777" w:rsidR="00C25965" w:rsidRPr="00C43C8F" w:rsidRDefault="00C25965" w:rsidP="00AE4C7A">
            <w:pPr>
              <w:ind w:firstLine="0"/>
              <w:rPr>
                <w:sz w:val="22"/>
                <w:szCs w:val="22"/>
              </w:rPr>
            </w:pPr>
            <w:r w:rsidRPr="00C43C8F">
              <w:rPr>
                <w:sz w:val="22"/>
                <w:szCs w:val="22"/>
              </w:rPr>
              <w:t>Vilniaus regionas</w:t>
            </w:r>
          </w:p>
        </w:tc>
        <w:tc>
          <w:tcPr>
            <w:tcW w:w="1777" w:type="dxa"/>
          </w:tcPr>
          <w:p w14:paraId="155A7ACB" w14:textId="77777777" w:rsidR="00C25965" w:rsidRPr="00C43C8F" w:rsidRDefault="0082132F" w:rsidP="008B3A74">
            <w:pPr>
              <w:jc w:val="left"/>
            </w:pPr>
            <w:r w:rsidRPr="00C43C8F">
              <w:t>1</w:t>
            </w:r>
          </w:p>
        </w:tc>
        <w:tc>
          <w:tcPr>
            <w:tcW w:w="1785" w:type="dxa"/>
          </w:tcPr>
          <w:p w14:paraId="4B2583F4" w14:textId="77777777" w:rsidR="00C25965" w:rsidRPr="00C43C8F" w:rsidRDefault="00C25965" w:rsidP="008B3A74">
            <w:pPr>
              <w:jc w:val="left"/>
            </w:pPr>
            <w:r w:rsidRPr="00C43C8F">
              <w:t>2</w:t>
            </w:r>
          </w:p>
        </w:tc>
        <w:tc>
          <w:tcPr>
            <w:tcW w:w="1777" w:type="dxa"/>
          </w:tcPr>
          <w:p w14:paraId="7944090B" w14:textId="6448D6D3" w:rsidR="00C25965" w:rsidRPr="00C43C8F" w:rsidRDefault="003511AB" w:rsidP="00803936">
            <w:pPr>
              <w:ind w:firstLine="0"/>
              <w:jc w:val="center"/>
            </w:pPr>
            <w:r w:rsidRPr="00C43C8F">
              <w:t>1700</w:t>
            </w:r>
          </w:p>
        </w:tc>
        <w:tc>
          <w:tcPr>
            <w:tcW w:w="1777" w:type="dxa"/>
            <w:vAlign w:val="center"/>
          </w:tcPr>
          <w:p w14:paraId="421BF04B" w14:textId="190E206C" w:rsidR="00C25965" w:rsidRPr="00C43C8F" w:rsidRDefault="00850912" w:rsidP="000B3FA1">
            <w:pPr>
              <w:ind w:firstLine="0"/>
              <w:jc w:val="center"/>
            </w:pPr>
            <w:r w:rsidRPr="00C43C8F">
              <w:t>1900</w:t>
            </w:r>
          </w:p>
        </w:tc>
      </w:tr>
      <w:tr w:rsidR="00D65199" w:rsidRPr="00C43C8F" w14:paraId="138DE485" w14:textId="77777777" w:rsidTr="00570857">
        <w:trPr>
          <w:jc w:val="center"/>
        </w:trPr>
        <w:tc>
          <w:tcPr>
            <w:tcW w:w="1887" w:type="dxa"/>
            <w:vAlign w:val="bottom"/>
          </w:tcPr>
          <w:p w14:paraId="1F28DF5B" w14:textId="77777777" w:rsidR="00803936" w:rsidRPr="00C43C8F" w:rsidRDefault="00803936" w:rsidP="00AE4C7A">
            <w:pPr>
              <w:spacing w:line="20" w:lineRule="atLeast"/>
              <w:ind w:firstLine="0"/>
              <w:rPr>
                <w:sz w:val="22"/>
                <w:szCs w:val="22"/>
              </w:rPr>
            </w:pPr>
            <w:r w:rsidRPr="00C43C8F">
              <w:rPr>
                <w:sz w:val="22"/>
                <w:szCs w:val="22"/>
              </w:rPr>
              <w:t>Vilniaus miestas</w:t>
            </w:r>
          </w:p>
        </w:tc>
        <w:tc>
          <w:tcPr>
            <w:tcW w:w="1777" w:type="dxa"/>
          </w:tcPr>
          <w:p w14:paraId="7E0D6346" w14:textId="77777777" w:rsidR="00803936" w:rsidRPr="00C43C8F" w:rsidRDefault="00803936" w:rsidP="008B3A74">
            <w:pPr>
              <w:jc w:val="left"/>
            </w:pPr>
            <w:r w:rsidRPr="00C43C8F">
              <w:t>0</w:t>
            </w:r>
          </w:p>
        </w:tc>
        <w:tc>
          <w:tcPr>
            <w:tcW w:w="1785" w:type="dxa"/>
          </w:tcPr>
          <w:p w14:paraId="62A65DA1" w14:textId="77777777" w:rsidR="00803936" w:rsidRPr="00C43C8F" w:rsidRDefault="00803936" w:rsidP="008B3A74">
            <w:pPr>
              <w:jc w:val="left"/>
            </w:pPr>
            <w:r w:rsidRPr="00C43C8F">
              <w:t>1</w:t>
            </w:r>
          </w:p>
        </w:tc>
        <w:tc>
          <w:tcPr>
            <w:tcW w:w="1777" w:type="dxa"/>
          </w:tcPr>
          <w:p w14:paraId="2362C43A" w14:textId="77777777" w:rsidR="00803936" w:rsidRPr="00C43C8F" w:rsidRDefault="00803936" w:rsidP="00803936">
            <w:pPr>
              <w:ind w:firstLine="0"/>
              <w:jc w:val="center"/>
            </w:pPr>
            <w:r w:rsidRPr="00C43C8F">
              <w:t>0</w:t>
            </w:r>
          </w:p>
        </w:tc>
        <w:tc>
          <w:tcPr>
            <w:tcW w:w="1777" w:type="dxa"/>
            <w:vAlign w:val="center"/>
          </w:tcPr>
          <w:p w14:paraId="1F0EBDA3" w14:textId="4DFE8C4D" w:rsidR="00803936" w:rsidRPr="00C43C8F" w:rsidRDefault="00850912" w:rsidP="00C25965">
            <w:pPr>
              <w:ind w:firstLine="0"/>
              <w:jc w:val="center"/>
            </w:pPr>
            <w:r w:rsidRPr="00C43C8F">
              <w:t>2400</w:t>
            </w:r>
          </w:p>
        </w:tc>
      </w:tr>
      <w:tr w:rsidR="00C25965" w:rsidRPr="00C43C8F" w14:paraId="3C8541D4" w14:textId="77777777" w:rsidTr="00570857">
        <w:trPr>
          <w:jc w:val="center"/>
        </w:trPr>
        <w:tc>
          <w:tcPr>
            <w:tcW w:w="1887" w:type="dxa"/>
            <w:vAlign w:val="bottom"/>
          </w:tcPr>
          <w:p w14:paraId="45846EAD" w14:textId="77777777" w:rsidR="00C25965" w:rsidRPr="00C43C8F" w:rsidRDefault="00C25965" w:rsidP="00AE4C7A">
            <w:pPr>
              <w:spacing w:line="20" w:lineRule="atLeast"/>
              <w:ind w:right="-172" w:firstLine="0"/>
              <w:rPr>
                <w:sz w:val="22"/>
                <w:szCs w:val="22"/>
              </w:rPr>
            </w:pPr>
            <w:r w:rsidRPr="00C43C8F">
              <w:rPr>
                <w:sz w:val="22"/>
                <w:szCs w:val="22"/>
              </w:rPr>
              <w:t>Kauno miestas</w:t>
            </w:r>
          </w:p>
        </w:tc>
        <w:tc>
          <w:tcPr>
            <w:tcW w:w="1777" w:type="dxa"/>
          </w:tcPr>
          <w:p w14:paraId="0496AAB5" w14:textId="77777777" w:rsidR="00C25965" w:rsidRPr="00C43C8F" w:rsidRDefault="00C25965" w:rsidP="008B3A74">
            <w:pPr>
              <w:jc w:val="left"/>
            </w:pPr>
            <w:r w:rsidRPr="00C43C8F">
              <w:t>0</w:t>
            </w:r>
          </w:p>
        </w:tc>
        <w:tc>
          <w:tcPr>
            <w:tcW w:w="1785" w:type="dxa"/>
          </w:tcPr>
          <w:p w14:paraId="231F9CA6" w14:textId="77777777" w:rsidR="00C25965" w:rsidRPr="00C43C8F" w:rsidRDefault="00C25965" w:rsidP="008B3A74">
            <w:pPr>
              <w:jc w:val="left"/>
            </w:pPr>
            <w:r w:rsidRPr="00C43C8F">
              <w:t>1</w:t>
            </w:r>
          </w:p>
        </w:tc>
        <w:tc>
          <w:tcPr>
            <w:tcW w:w="1777" w:type="dxa"/>
          </w:tcPr>
          <w:p w14:paraId="0EC95D4E" w14:textId="77777777" w:rsidR="00C25965" w:rsidRPr="00C43C8F" w:rsidRDefault="00C25965" w:rsidP="00803936">
            <w:pPr>
              <w:ind w:firstLine="0"/>
              <w:jc w:val="center"/>
            </w:pPr>
            <w:r w:rsidRPr="00C43C8F">
              <w:t>0</w:t>
            </w:r>
          </w:p>
        </w:tc>
        <w:tc>
          <w:tcPr>
            <w:tcW w:w="1777" w:type="dxa"/>
            <w:vAlign w:val="center"/>
          </w:tcPr>
          <w:p w14:paraId="5E0D3A5F" w14:textId="3959413C" w:rsidR="00C25965" w:rsidRPr="00C43C8F" w:rsidRDefault="00850912" w:rsidP="000B3FA1">
            <w:pPr>
              <w:ind w:firstLine="0"/>
              <w:jc w:val="center"/>
            </w:pPr>
            <w:r w:rsidRPr="00C43C8F">
              <w:t>2400</w:t>
            </w:r>
          </w:p>
        </w:tc>
      </w:tr>
      <w:tr w:rsidR="00C25965" w:rsidRPr="00C43C8F" w14:paraId="6BEE4D8C" w14:textId="77777777" w:rsidTr="00570857">
        <w:trPr>
          <w:jc w:val="center"/>
        </w:trPr>
        <w:tc>
          <w:tcPr>
            <w:tcW w:w="1887" w:type="dxa"/>
            <w:vAlign w:val="bottom"/>
          </w:tcPr>
          <w:p w14:paraId="5F3B2A65" w14:textId="77777777" w:rsidR="00C25965" w:rsidRPr="00C43C8F" w:rsidRDefault="00C25965" w:rsidP="00AE4C7A">
            <w:pPr>
              <w:spacing w:line="20" w:lineRule="atLeast"/>
              <w:ind w:firstLine="0"/>
              <w:rPr>
                <w:sz w:val="22"/>
                <w:szCs w:val="22"/>
              </w:rPr>
            </w:pPr>
            <w:r w:rsidRPr="00C43C8F">
              <w:rPr>
                <w:sz w:val="22"/>
                <w:szCs w:val="22"/>
              </w:rPr>
              <w:lastRenderedPageBreak/>
              <w:t>Klaipėdos miestas</w:t>
            </w:r>
          </w:p>
        </w:tc>
        <w:tc>
          <w:tcPr>
            <w:tcW w:w="1777" w:type="dxa"/>
          </w:tcPr>
          <w:p w14:paraId="7BD6505C" w14:textId="77777777" w:rsidR="00C25965" w:rsidRPr="00C43C8F" w:rsidRDefault="00C25965" w:rsidP="008B3A74">
            <w:pPr>
              <w:jc w:val="left"/>
            </w:pPr>
            <w:r w:rsidRPr="00C43C8F">
              <w:t>0</w:t>
            </w:r>
          </w:p>
        </w:tc>
        <w:tc>
          <w:tcPr>
            <w:tcW w:w="1785" w:type="dxa"/>
          </w:tcPr>
          <w:p w14:paraId="67D5DA4C" w14:textId="77777777" w:rsidR="00C25965" w:rsidRPr="00C43C8F" w:rsidRDefault="00C25965" w:rsidP="008B3A74">
            <w:pPr>
              <w:jc w:val="left"/>
            </w:pPr>
            <w:r w:rsidRPr="00C43C8F">
              <w:t>1</w:t>
            </w:r>
          </w:p>
        </w:tc>
        <w:tc>
          <w:tcPr>
            <w:tcW w:w="1777" w:type="dxa"/>
          </w:tcPr>
          <w:p w14:paraId="12247FA3" w14:textId="77777777" w:rsidR="00C25965" w:rsidRPr="00C43C8F" w:rsidRDefault="00C25965" w:rsidP="00803936">
            <w:pPr>
              <w:ind w:firstLine="0"/>
              <w:jc w:val="center"/>
            </w:pPr>
            <w:r w:rsidRPr="00C43C8F">
              <w:t>0</w:t>
            </w:r>
          </w:p>
        </w:tc>
        <w:tc>
          <w:tcPr>
            <w:tcW w:w="1777" w:type="dxa"/>
            <w:vAlign w:val="center"/>
          </w:tcPr>
          <w:p w14:paraId="1D414484" w14:textId="45DFEE84" w:rsidR="00C25965" w:rsidRPr="00C43C8F" w:rsidRDefault="003511AB" w:rsidP="000B3FA1">
            <w:pPr>
              <w:ind w:firstLine="0"/>
              <w:jc w:val="center"/>
            </w:pPr>
            <w:r w:rsidRPr="00C43C8F">
              <w:t>1200</w:t>
            </w:r>
          </w:p>
        </w:tc>
      </w:tr>
      <w:tr w:rsidR="00D65199" w:rsidRPr="00C43C8F" w14:paraId="4F5DA806" w14:textId="77777777" w:rsidTr="00570857">
        <w:trPr>
          <w:jc w:val="center"/>
        </w:trPr>
        <w:tc>
          <w:tcPr>
            <w:tcW w:w="1887" w:type="dxa"/>
            <w:vAlign w:val="bottom"/>
          </w:tcPr>
          <w:p w14:paraId="3021ECA5" w14:textId="77777777" w:rsidR="00803936" w:rsidRPr="00C43C8F" w:rsidRDefault="00803936" w:rsidP="00AE4C7A">
            <w:pPr>
              <w:spacing w:line="20" w:lineRule="atLeast"/>
              <w:ind w:firstLine="0"/>
              <w:rPr>
                <w:sz w:val="22"/>
                <w:szCs w:val="22"/>
              </w:rPr>
            </w:pPr>
            <w:r w:rsidRPr="00C43C8F">
              <w:rPr>
                <w:sz w:val="22"/>
                <w:szCs w:val="22"/>
              </w:rPr>
              <w:t>Šiaulių miestas</w:t>
            </w:r>
          </w:p>
        </w:tc>
        <w:tc>
          <w:tcPr>
            <w:tcW w:w="1777" w:type="dxa"/>
          </w:tcPr>
          <w:p w14:paraId="2080484A" w14:textId="77777777" w:rsidR="00803936" w:rsidRPr="00C43C8F" w:rsidRDefault="00803936" w:rsidP="008B3A74">
            <w:pPr>
              <w:jc w:val="left"/>
            </w:pPr>
            <w:r w:rsidRPr="00C43C8F">
              <w:t>0</w:t>
            </w:r>
          </w:p>
        </w:tc>
        <w:tc>
          <w:tcPr>
            <w:tcW w:w="1785" w:type="dxa"/>
          </w:tcPr>
          <w:p w14:paraId="74620A42" w14:textId="77777777" w:rsidR="00803936" w:rsidRPr="00C43C8F" w:rsidRDefault="00C25965" w:rsidP="008B3A74">
            <w:pPr>
              <w:jc w:val="left"/>
            </w:pPr>
            <w:r w:rsidRPr="00C43C8F">
              <w:t>0</w:t>
            </w:r>
          </w:p>
        </w:tc>
        <w:tc>
          <w:tcPr>
            <w:tcW w:w="1777" w:type="dxa"/>
          </w:tcPr>
          <w:p w14:paraId="70307BD6" w14:textId="77777777" w:rsidR="00803936" w:rsidRPr="00C43C8F" w:rsidRDefault="00803936" w:rsidP="00803936">
            <w:pPr>
              <w:ind w:firstLine="0"/>
              <w:jc w:val="center"/>
            </w:pPr>
            <w:r w:rsidRPr="00C43C8F">
              <w:t>0</w:t>
            </w:r>
          </w:p>
        </w:tc>
        <w:tc>
          <w:tcPr>
            <w:tcW w:w="1777" w:type="dxa"/>
            <w:vAlign w:val="center"/>
          </w:tcPr>
          <w:p w14:paraId="0F0BB64F" w14:textId="77777777" w:rsidR="00803936" w:rsidRPr="00C43C8F" w:rsidRDefault="00803936" w:rsidP="00803936">
            <w:pPr>
              <w:ind w:firstLine="0"/>
              <w:jc w:val="center"/>
            </w:pPr>
            <w:r w:rsidRPr="00C43C8F">
              <w:t>0</w:t>
            </w:r>
          </w:p>
        </w:tc>
      </w:tr>
      <w:tr w:rsidR="00C25965" w:rsidRPr="00C43C8F" w14:paraId="49D48455" w14:textId="77777777" w:rsidTr="00570857">
        <w:trPr>
          <w:jc w:val="center"/>
        </w:trPr>
        <w:tc>
          <w:tcPr>
            <w:tcW w:w="1887" w:type="dxa"/>
            <w:vAlign w:val="bottom"/>
          </w:tcPr>
          <w:p w14:paraId="5703D847" w14:textId="77777777" w:rsidR="00C25965" w:rsidRPr="00C43C8F" w:rsidRDefault="00C25965" w:rsidP="00AE4C7A">
            <w:pPr>
              <w:spacing w:line="20" w:lineRule="atLeast"/>
              <w:ind w:firstLine="0"/>
              <w:rPr>
                <w:sz w:val="22"/>
                <w:szCs w:val="22"/>
              </w:rPr>
            </w:pPr>
            <w:r w:rsidRPr="00C43C8F">
              <w:rPr>
                <w:sz w:val="22"/>
                <w:szCs w:val="22"/>
              </w:rPr>
              <w:t>Panevėžio miestas</w:t>
            </w:r>
          </w:p>
        </w:tc>
        <w:tc>
          <w:tcPr>
            <w:tcW w:w="1777" w:type="dxa"/>
          </w:tcPr>
          <w:p w14:paraId="498CFD6D" w14:textId="77777777" w:rsidR="00C25965" w:rsidRPr="00C43C8F" w:rsidRDefault="00C25965" w:rsidP="008B3A74">
            <w:pPr>
              <w:jc w:val="left"/>
            </w:pPr>
            <w:r w:rsidRPr="00C43C8F">
              <w:t>0</w:t>
            </w:r>
          </w:p>
        </w:tc>
        <w:tc>
          <w:tcPr>
            <w:tcW w:w="1785" w:type="dxa"/>
          </w:tcPr>
          <w:p w14:paraId="40E30C13" w14:textId="77777777" w:rsidR="00C25965" w:rsidRPr="00C43C8F" w:rsidRDefault="00C25965" w:rsidP="008B3A74">
            <w:pPr>
              <w:jc w:val="left"/>
            </w:pPr>
            <w:r w:rsidRPr="00C43C8F">
              <w:t>1</w:t>
            </w:r>
          </w:p>
        </w:tc>
        <w:tc>
          <w:tcPr>
            <w:tcW w:w="1777" w:type="dxa"/>
          </w:tcPr>
          <w:p w14:paraId="615307B2" w14:textId="77777777" w:rsidR="00C25965" w:rsidRPr="00C43C8F" w:rsidRDefault="00C25965" w:rsidP="00803936">
            <w:pPr>
              <w:ind w:firstLine="0"/>
              <w:jc w:val="center"/>
            </w:pPr>
            <w:r w:rsidRPr="00C43C8F">
              <w:t>0</w:t>
            </w:r>
          </w:p>
        </w:tc>
        <w:tc>
          <w:tcPr>
            <w:tcW w:w="1777" w:type="dxa"/>
            <w:vAlign w:val="center"/>
          </w:tcPr>
          <w:p w14:paraId="495B2CDA" w14:textId="52FD867E" w:rsidR="00C25965" w:rsidRPr="00C43C8F" w:rsidRDefault="003511AB" w:rsidP="000B3FA1">
            <w:pPr>
              <w:ind w:firstLine="0"/>
              <w:jc w:val="center"/>
            </w:pPr>
            <w:r w:rsidRPr="00C43C8F">
              <w:t>1200</w:t>
            </w:r>
          </w:p>
        </w:tc>
      </w:tr>
      <w:tr w:rsidR="00C874E8" w:rsidRPr="00C43C8F" w14:paraId="6AF5491F" w14:textId="77777777" w:rsidTr="003C376B">
        <w:trPr>
          <w:trHeight w:val="77"/>
          <w:jc w:val="center"/>
        </w:trPr>
        <w:tc>
          <w:tcPr>
            <w:tcW w:w="1887" w:type="dxa"/>
          </w:tcPr>
          <w:p w14:paraId="78E5823F" w14:textId="77777777" w:rsidR="00C874E8" w:rsidRPr="00C43C8F" w:rsidRDefault="00C874E8" w:rsidP="00554917">
            <w:pPr>
              <w:ind w:firstLine="0"/>
              <w:rPr>
                <w:b/>
                <w:sz w:val="22"/>
                <w:szCs w:val="22"/>
              </w:rPr>
            </w:pPr>
            <w:r w:rsidRPr="00C43C8F">
              <w:rPr>
                <w:b/>
                <w:sz w:val="22"/>
                <w:szCs w:val="22"/>
              </w:rPr>
              <w:t>Iš viso:</w:t>
            </w:r>
          </w:p>
        </w:tc>
        <w:tc>
          <w:tcPr>
            <w:tcW w:w="1777" w:type="dxa"/>
          </w:tcPr>
          <w:p w14:paraId="17C2B522" w14:textId="77777777" w:rsidR="00C874E8" w:rsidRPr="00C43C8F" w:rsidRDefault="00AE4C7A" w:rsidP="008B3A74">
            <w:pPr>
              <w:ind w:firstLine="0"/>
              <w:jc w:val="center"/>
              <w:rPr>
                <w:b/>
              </w:rPr>
            </w:pPr>
            <w:r w:rsidRPr="00C43C8F">
              <w:rPr>
                <w:b/>
              </w:rPr>
              <w:t>2</w:t>
            </w:r>
          </w:p>
        </w:tc>
        <w:tc>
          <w:tcPr>
            <w:tcW w:w="1785" w:type="dxa"/>
          </w:tcPr>
          <w:p w14:paraId="23AB91C6" w14:textId="77777777" w:rsidR="00C874E8" w:rsidRPr="00C43C8F" w:rsidRDefault="00AE4C7A" w:rsidP="008B3A74">
            <w:pPr>
              <w:ind w:firstLine="0"/>
              <w:jc w:val="center"/>
              <w:rPr>
                <w:b/>
              </w:rPr>
            </w:pPr>
            <w:r w:rsidRPr="00C43C8F">
              <w:rPr>
                <w:b/>
              </w:rPr>
              <w:t>15</w:t>
            </w:r>
          </w:p>
        </w:tc>
        <w:tc>
          <w:tcPr>
            <w:tcW w:w="1777" w:type="dxa"/>
          </w:tcPr>
          <w:p w14:paraId="08042A28" w14:textId="7B387464" w:rsidR="00C874E8" w:rsidRPr="00C43C8F" w:rsidRDefault="00C25965" w:rsidP="00C3144A">
            <w:pPr>
              <w:ind w:firstLine="0"/>
              <w:jc w:val="center"/>
              <w:rPr>
                <w:b/>
              </w:rPr>
            </w:pPr>
            <w:r w:rsidRPr="00C43C8F">
              <w:rPr>
                <w:b/>
              </w:rPr>
              <w:t xml:space="preserve">2 </w:t>
            </w:r>
            <w:r w:rsidR="00C3144A" w:rsidRPr="00C43C8F">
              <w:rPr>
                <w:b/>
              </w:rPr>
              <w:t>700</w:t>
            </w:r>
          </w:p>
        </w:tc>
        <w:tc>
          <w:tcPr>
            <w:tcW w:w="1777" w:type="dxa"/>
          </w:tcPr>
          <w:p w14:paraId="22D1F01D" w14:textId="77777777" w:rsidR="00C874E8" w:rsidRPr="00C43C8F" w:rsidRDefault="005A7040" w:rsidP="008B3A74">
            <w:pPr>
              <w:ind w:firstLine="0"/>
              <w:jc w:val="center"/>
              <w:rPr>
                <w:b/>
              </w:rPr>
            </w:pPr>
            <w:r w:rsidRPr="00C43C8F">
              <w:rPr>
                <w:b/>
              </w:rPr>
              <w:t>20 000</w:t>
            </w:r>
          </w:p>
        </w:tc>
      </w:tr>
    </w:tbl>
    <w:p w14:paraId="5F031A21" w14:textId="77777777" w:rsidR="003C376B" w:rsidRPr="00C43C8F" w:rsidRDefault="003C376B" w:rsidP="00B30FB7"/>
    <w:p w14:paraId="150E452C" w14:textId="0D15BECD" w:rsidR="00554917" w:rsidRPr="00C43C8F" w:rsidRDefault="004C1FA0" w:rsidP="00B30FB7">
      <w:r w:rsidRPr="00C43C8F">
        <w:t>2</w:t>
      </w:r>
      <w:r w:rsidR="00A15EC2">
        <w:t>7</w:t>
      </w:r>
      <w:r w:rsidR="00554917" w:rsidRPr="00C43C8F">
        <w:t xml:space="preserve">. Aprašo </w:t>
      </w:r>
      <w:r w:rsidRPr="00C43C8F">
        <w:t>2</w:t>
      </w:r>
      <w:r w:rsidR="00A15EC2">
        <w:t>6</w:t>
      </w:r>
      <w:r w:rsidRPr="00C43C8F">
        <w:t>.1-2</w:t>
      </w:r>
      <w:r w:rsidR="00A15EC2">
        <w:t>6</w:t>
      </w:r>
      <w:r w:rsidRPr="00C43C8F">
        <w:t>.2</w:t>
      </w:r>
      <w:r w:rsidR="00554917" w:rsidRPr="00C43C8F">
        <w:t xml:space="preserve"> papunkčiuose nurodytų priemonės įgyvendinimo stebėsenos rodiklių skaičiavimo aprašas nustatytas Veiksmų programos stebėsenos rodiklių skaičiavimo apraše. Visų priemonės įgyvendinimo stebėsenos rodiklių skaičiavimo aprašai skelbiami ES struktūrinių fondų svetainėje </w:t>
      </w:r>
      <w:hyperlink r:id="rId9" w:history="1">
        <w:r w:rsidR="00554917" w:rsidRPr="00C43C8F">
          <w:rPr>
            <w:rStyle w:val="Hyperlink"/>
            <w:color w:val="auto"/>
          </w:rPr>
          <w:t>www.esinvesticijos.lt</w:t>
        </w:r>
      </w:hyperlink>
      <w:r w:rsidR="00554917" w:rsidRPr="00C43C8F">
        <w:t>.</w:t>
      </w:r>
    </w:p>
    <w:p w14:paraId="5F807303" w14:textId="640CA5C5" w:rsidR="001C036E" w:rsidRPr="00C43C8F" w:rsidRDefault="00A15EC2" w:rsidP="004C1FA0">
      <w:r>
        <w:t>28</w:t>
      </w:r>
      <w:r w:rsidR="00245C96" w:rsidRPr="00C43C8F">
        <w:t xml:space="preserve">. </w:t>
      </w:r>
      <w:r w:rsidR="00FB501E" w:rsidRPr="00C43C8F">
        <w:t xml:space="preserve">Projekto parengtumui taikomi šie reikalavimai: </w:t>
      </w:r>
    </w:p>
    <w:p w14:paraId="5DC9259C" w14:textId="4683E779" w:rsidR="007F18A3" w:rsidRPr="00C43C8F" w:rsidRDefault="00A15EC2" w:rsidP="004C1FA0">
      <w:pPr>
        <w:pStyle w:val="ListParagraph"/>
        <w:tabs>
          <w:tab w:val="left" w:pos="0"/>
          <w:tab w:val="left" w:pos="1134"/>
        </w:tabs>
        <w:ind w:left="0"/>
      </w:pPr>
      <w:r>
        <w:t>28</w:t>
      </w:r>
      <w:r w:rsidR="007F18A3" w:rsidRPr="00C43C8F">
        <w:t>.1.  iki projektinio pasiūlymo pateikimo Regiono plėtros tarybai pareiškėjas turi:</w:t>
      </w:r>
    </w:p>
    <w:p w14:paraId="08B4C49E" w14:textId="279048DC" w:rsidR="007F18A3" w:rsidRPr="00C43C8F" w:rsidRDefault="00A15EC2" w:rsidP="004C1FA0">
      <w:pPr>
        <w:pStyle w:val="ListParagraph"/>
        <w:tabs>
          <w:tab w:val="left" w:pos="0"/>
          <w:tab w:val="left" w:pos="1134"/>
        </w:tabs>
        <w:ind w:left="0"/>
        <w:rPr>
          <w:rStyle w:val="Hyperlink"/>
          <w:color w:val="auto"/>
          <w:u w:val="none"/>
        </w:rPr>
      </w:pPr>
      <w:r>
        <w:t>28</w:t>
      </w:r>
      <w:r w:rsidR="007F18A3" w:rsidRPr="00C43C8F">
        <w:t>.1.1. parengti investicijų projektą, vadovaujantis Investicijų projektų, kuriems siekiama gauti finansavimą iš Europos Sąjungos struktūrinės paramos ir valstybės biudžeto lėšų, rengimo metodika, patvirtinta įgyvendinančios institucijos direktoriaus 2014 m. gruodžio 31 d. įsakymu Nr. 2014/8-337 „</w:t>
      </w:r>
      <w:proofErr w:type="spellStart"/>
      <w:r w:rsidR="007F18A3" w:rsidRPr="00C43C8F">
        <w:rPr>
          <w:lang w:val="en-US"/>
        </w:rPr>
        <w:t>Dėl</w:t>
      </w:r>
      <w:proofErr w:type="spellEnd"/>
      <w:r w:rsidR="007F18A3" w:rsidRPr="00C43C8F">
        <w:rPr>
          <w:lang w:val="en-US"/>
        </w:rPr>
        <w:t xml:space="preserve"> </w:t>
      </w:r>
      <w:proofErr w:type="spellStart"/>
      <w:r w:rsidR="007F18A3" w:rsidRPr="00C43C8F">
        <w:rPr>
          <w:lang w:val="en-US"/>
        </w:rPr>
        <w:t>viešojo</w:t>
      </w:r>
      <w:proofErr w:type="spellEnd"/>
      <w:r w:rsidR="007F18A3" w:rsidRPr="00C43C8F">
        <w:rPr>
          <w:lang w:val="en-US"/>
        </w:rPr>
        <w:t xml:space="preserve"> </w:t>
      </w:r>
      <w:proofErr w:type="spellStart"/>
      <w:r w:rsidR="007F18A3" w:rsidRPr="00C43C8F">
        <w:rPr>
          <w:lang w:val="en-US"/>
        </w:rPr>
        <w:t>ir</w:t>
      </w:r>
      <w:proofErr w:type="spellEnd"/>
      <w:r w:rsidR="007F18A3" w:rsidRPr="00C43C8F">
        <w:rPr>
          <w:lang w:val="en-US"/>
        </w:rPr>
        <w:t xml:space="preserve"> </w:t>
      </w:r>
      <w:proofErr w:type="spellStart"/>
      <w:r w:rsidR="007F18A3" w:rsidRPr="00C43C8F">
        <w:rPr>
          <w:lang w:val="en-US"/>
        </w:rPr>
        <w:t>privataus</w:t>
      </w:r>
      <w:proofErr w:type="spellEnd"/>
      <w:r w:rsidR="007F18A3" w:rsidRPr="00C43C8F">
        <w:rPr>
          <w:lang w:val="en-US"/>
        </w:rPr>
        <w:t xml:space="preserve"> </w:t>
      </w:r>
      <w:proofErr w:type="spellStart"/>
      <w:r w:rsidR="007F18A3" w:rsidRPr="00C43C8F">
        <w:rPr>
          <w:lang w:val="en-US"/>
        </w:rPr>
        <w:t>sektorių</w:t>
      </w:r>
      <w:proofErr w:type="spellEnd"/>
      <w:r w:rsidR="007F18A3" w:rsidRPr="00C43C8F">
        <w:rPr>
          <w:lang w:val="en-US"/>
        </w:rPr>
        <w:t xml:space="preserve"> </w:t>
      </w:r>
      <w:proofErr w:type="spellStart"/>
      <w:r w:rsidR="007F18A3" w:rsidRPr="00C43C8F">
        <w:rPr>
          <w:lang w:val="en-US"/>
        </w:rPr>
        <w:t>partnerystės</w:t>
      </w:r>
      <w:proofErr w:type="spellEnd"/>
      <w:r w:rsidR="007F18A3" w:rsidRPr="00C43C8F">
        <w:rPr>
          <w:lang w:val="en-US"/>
        </w:rPr>
        <w:t xml:space="preserve"> </w:t>
      </w:r>
      <w:proofErr w:type="spellStart"/>
      <w:r w:rsidR="007F18A3" w:rsidRPr="00C43C8F">
        <w:rPr>
          <w:lang w:val="en-US"/>
        </w:rPr>
        <w:t>projektų</w:t>
      </w:r>
      <w:proofErr w:type="spellEnd"/>
      <w:r w:rsidR="007F18A3" w:rsidRPr="00C43C8F">
        <w:rPr>
          <w:lang w:val="en-US"/>
        </w:rPr>
        <w:t xml:space="preserve"> </w:t>
      </w:r>
      <w:proofErr w:type="spellStart"/>
      <w:r w:rsidR="007F18A3" w:rsidRPr="00C43C8F">
        <w:rPr>
          <w:lang w:val="en-US"/>
        </w:rPr>
        <w:t>rengimo</w:t>
      </w:r>
      <w:proofErr w:type="spellEnd"/>
      <w:r w:rsidR="007F18A3" w:rsidRPr="00C43C8F">
        <w:rPr>
          <w:lang w:val="en-US"/>
        </w:rPr>
        <w:t xml:space="preserve"> </w:t>
      </w:r>
      <w:proofErr w:type="spellStart"/>
      <w:r w:rsidR="007F18A3" w:rsidRPr="00C43C8F">
        <w:rPr>
          <w:lang w:val="en-US"/>
        </w:rPr>
        <w:t>ir</w:t>
      </w:r>
      <w:proofErr w:type="spellEnd"/>
      <w:r w:rsidR="007F18A3" w:rsidRPr="00C43C8F">
        <w:rPr>
          <w:lang w:val="en-US"/>
        </w:rPr>
        <w:t xml:space="preserve"> </w:t>
      </w:r>
      <w:proofErr w:type="spellStart"/>
      <w:r w:rsidR="007F18A3" w:rsidRPr="00C43C8F">
        <w:rPr>
          <w:lang w:val="en-US"/>
        </w:rPr>
        <w:t>įgyvendinimo</w:t>
      </w:r>
      <w:proofErr w:type="spellEnd"/>
      <w:r w:rsidR="007F18A3" w:rsidRPr="00C43C8F">
        <w:rPr>
          <w:lang w:val="en-US"/>
        </w:rPr>
        <w:t xml:space="preserve"> </w:t>
      </w:r>
      <w:proofErr w:type="spellStart"/>
      <w:r w:rsidR="007F18A3" w:rsidRPr="00C43C8F">
        <w:rPr>
          <w:lang w:val="en-US"/>
        </w:rPr>
        <w:t>metodinių</w:t>
      </w:r>
      <w:proofErr w:type="spellEnd"/>
      <w:r w:rsidR="007F18A3" w:rsidRPr="00C43C8F">
        <w:rPr>
          <w:lang w:val="en-US"/>
        </w:rPr>
        <w:t xml:space="preserve"> </w:t>
      </w:r>
      <w:proofErr w:type="spellStart"/>
      <w:r w:rsidR="007F18A3" w:rsidRPr="00C43C8F">
        <w:rPr>
          <w:lang w:val="en-US"/>
        </w:rPr>
        <w:t>rekomendacijų</w:t>
      </w:r>
      <w:proofErr w:type="spellEnd"/>
      <w:r w:rsidR="007F18A3" w:rsidRPr="00C43C8F">
        <w:rPr>
          <w:lang w:val="en-US"/>
        </w:rPr>
        <w:t xml:space="preserve"> </w:t>
      </w:r>
      <w:proofErr w:type="spellStart"/>
      <w:r w:rsidR="007F18A3" w:rsidRPr="00C43C8F">
        <w:rPr>
          <w:lang w:val="en-US"/>
        </w:rPr>
        <w:t>patvirtinimo</w:t>
      </w:r>
      <w:proofErr w:type="spellEnd"/>
      <w:r w:rsidR="007F18A3" w:rsidRPr="00C43C8F">
        <w:t xml:space="preserve">“ (toliau – Investicijų projektų metodika), kuri paskelbta interneto svetainėje </w:t>
      </w:r>
      <w:r w:rsidR="008A02DF" w:rsidRPr="00C43C8F">
        <w:fldChar w:fldCharType="begin"/>
      </w:r>
      <w:r w:rsidR="008A02DF" w:rsidRPr="00C43C8F">
        <w:instrText xml:space="preserve"> HYPERLINK "http://www.esinvesticijos.lt" </w:instrText>
      </w:r>
      <w:r w:rsidR="008A02DF" w:rsidRPr="00C43C8F">
        <w:fldChar w:fldCharType="separate"/>
      </w:r>
      <w:r w:rsidR="007F18A3" w:rsidRPr="00C43C8F">
        <w:rPr>
          <w:rStyle w:val="Hyperlink"/>
          <w:color w:val="auto"/>
        </w:rPr>
        <w:t>www.esinvesticijos.lt</w:t>
      </w:r>
      <w:r w:rsidR="008A02DF" w:rsidRPr="00C43C8F">
        <w:rPr>
          <w:rStyle w:val="Hyperlink"/>
          <w:color w:val="auto"/>
        </w:rPr>
        <w:fldChar w:fldCharType="end"/>
      </w:r>
      <w:r w:rsidR="007F18A3" w:rsidRPr="00C43C8F">
        <w:rPr>
          <w:rStyle w:val="Hyperlink"/>
          <w:color w:val="auto"/>
        </w:rPr>
        <w:t>.</w:t>
      </w:r>
      <w:r w:rsidR="007F18A3" w:rsidRPr="00C43C8F">
        <w:rPr>
          <w:rStyle w:val="Hyperlink"/>
          <w:color w:val="auto"/>
          <w:u w:val="none"/>
        </w:rPr>
        <w:t xml:space="preserve"> Kartu su investicijų projektu turi būti užpildyta sąnaudų ir naudos analizės skaičiuoklė (Investicijų projektų metodikos dalis);</w:t>
      </w:r>
    </w:p>
    <w:p w14:paraId="19E786F1" w14:textId="12D5BB94" w:rsidR="007F18A3" w:rsidRPr="00C43C8F" w:rsidRDefault="00A15EC2" w:rsidP="004C1FA0">
      <w:pPr>
        <w:tabs>
          <w:tab w:val="left" w:pos="0"/>
          <w:tab w:val="left" w:pos="1134"/>
        </w:tabs>
      </w:pPr>
      <w:r>
        <w:t>28</w:t>
      </w:r>
      <w:r w:rsidR="007F18A3" w:rsidRPr="00C43C8F">
        <w:t>.1.2</w:t>
      </w:r>
      <w:r w:rsidR="003A573B" w:rsidRPr="00C43C8F">
        <w:t xml:space="preserve"> investicijų projekte pareiškėjas turi išnagrinėti projekto alternatyvas vadovaujantis Optimalios projekto įgyvendinimo alternatyvos pasirinkimo kokybės vertinimo metodika, patvirtinta 2014–2020 metų Europos Sąjungos struktūrinių fondų investicijų veiksmų programos valdymo komiteto 2014 m. spalio 13 d. posėdžio protokolu Nr. 35 (toliau – Optimalios projekto įgyvendinimo alternatyvos pasirinkimo kokybės vertinimo metodika). Projektams, </w:t>
      </w:r>
      <w:r w:rsidR="003A573B" w:rsidRPr="00C43C8F">
        <w:rPr>
          <w:rFonts w:eastAsia="Times New Roman"/>
          <w:lang w:eastAsia="lt-LT"/>
        </w:rPr>
        <w:t xml:space="preserve">kuriems įgyvendinti suplanuotų investicijų į investavimo objektus išlaidų suma, išskyrus (atėmus) joms tenkantį pridėtinės vertės mokestį (toliau – PVM) ir išlaidas, kurios yra apmokamos supaprastintai pagal iš anksto nustatytus dydžius (fiksuotuosius įkainius, fiksuotąsias sumas arba fiksuotąsias normas) (toliau – investicijų išlaidų suma), neviršija 300 000 eurų, rengiamas ir </w:t>
      </w:r>
      <w:r w:rsidR="003A573B" w:rsidRPr="00C43C8F">
        <w:t xml:space="preserve">kartu su projektiniu pasiūlymu teikiamas investicijų projektas su viena siūloma įgyvendinti projekto alternatyva. Visais atvejais investicijų efektyvumo vertinimui turi būti taikomas sąnaudų ir naudos analizės metodas. Optimalios projekto įgyvendinimo alternatyvos pasirinkimo kokybės vertinimo metodika skelbiama svetainėje </w:t>
      </w:r>
      <w:hyperlink r:id="rId10" w:history="1">
        <w:r w:rsidR="003A573B" w:rsidRPr="00C43C8F">
          <w:rPr>
            <w:rStyle w:val="Hyperlink"/>
          </w:rPr>
          <w:t>www.esinvesticijos.lt</w:t>
        </w:r>
      </w:hyperlink>
      <w:r w:rsidR="003D0B41" w:rsidRPr="00C43C8F">
        <w:t>.</w:t>
      </w:r>
      <w:r w:rsidR="007F18A3" w:rsidRPr="00C43C8F">
        <w:t xml:space="preserve"> </w:t>
      </w:r>
    </w:p>
    <w:p w14:paraId="62307F1A" w14:textId="7A074C63" w:rsidR="008B1401" w:rsidRPr="00C43C8F" w:rsidRDefault="00A15EC2" w:rsidP="00A15EC2">
      <w:pPr>
        <w:pStyle w:val="ListParagraph"/>
        <w:numPr>
          <w:ilvl w:val="1"/>
          <w:numId w:val="27"/>
        </w:numPr>
        <w:tabs>
          <w:tab w:val="left" w:pos="0"/>
          <w:tab w:val="left" w:pos="1418"/>
        </w:tabs>
        <w:ind w:left="0" w:firstLine="851"/>
      </w:pPr>
      <w:r>
        <w:t xml:space="preserve"> </w:t>
      </w:r>
      <w:r w:rsidR="008B1401" w:rsidRPr="00C43C8F">
        <w:t>iki paraiškos įgyvendinančiajai institucijai pateikimo:</w:t>
      </w:r>
    </w:p>
    <w:p w14:paraId="3065E199" w14:textId="7B2F9FC9" w:rsidR="005127FE" w:rsidRPr="00C43C8F" w:rsidRDefault="005127FE" w:rsidP="00A15EC2">
      <w:pPr>
        <w:pStyle w:val="ListParagraph"/>
        <w:numPr>
          <w:ilvl w:val="2"/>
          <w:numId w:val="27"/>
        </w:numPr>
        <w:tabs>
          <w:tab w:val="left" w:pos="0"/>
          <w:tab w:val="left" w:pos="1418"/>
          <w:tab w:val="left" w:pos="1701"/>
        </w:tabs>
        <w:ind w:left="0" w:firstLine="851"/>
      </w:pPr>
      <w:r w:rsidRPr="00C43C8F">
        <w:t>daiktinės pareiškėjo (partnerio) teisės į statinį ir (ar) žemę, kuriame įgyvendinant projektą bus vykdomi statybos darbai,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w:t>
      </w:r>
    </w:p>
    <w:p w14:paraId="600E6B85" w14:textId="06B4393C" w:rsidR="0082132F" w:rsidRPr="00C43C8F" w:rsidRDefault="0082132F" w:rsidP="00A15EC2">
      <w:pPr>
        <w:pStyle w:val="ListParagraph"/>
        <w:numPr>
          <w:ilvl w:val="2"/>
          <w:numId w:val="27"/>
        </w:numPr>
        <w:tabs>
          <w:tab w:val="left" w:pos="0"/>
          <w:tab w:val="left" w:pos="1276"/>
          <w:tab w:val="left" w:pos="1701"/>
        </w:tabs>
        <w:ind w:left="0" w:firstLine="851"/>
      </w:pPr>
      <w:r w:rsidRPr="00C43C8F">
        <w:rPr>
          <w:rFonts w:eastAsia="Calibri"/>
        </w:rPr>
        <w:t>pareiškėjas (partneris) privalo turėt</w:t>
      </w:r>
      <w:r w:rsidR="00CA112A" w:rsidRPr="00C43C8F">
        <w:rPr>
          <w:rFonts w:eastAsia="Calibri"/>
        </w:rPr>
        <w:t>i</w:t>
      </w:r>
      <w:r w:rsidRPr="00C43C8F">
        <w:rPr>
          <w:rFonts w:eastAsia="Calibri"/>
        </w:rPr>
        <w:t xml:space="preserve"> tvarkybos darbų projektą, parengtą ir patvirtintą PTR 3.06.01:2014</w:t>
      </w:r>
      <w:r w:rsidR="00F66C2A" w:rsidRPr="00C43C8F">
        <w:rPr>
          <w:rFonts w:eastAsia="Calibri"/>
        </w:rPr>
        <w:t xml:space="preserve"> „Kultūros paveldo tvarkybos darbų projektų rengimo taisyklės“ nustatyta tvarka, arba statinio projektą, parengtą ir patvirtintą PTR 3.06.01:2014 „Kultūros paveldo tvarkybos darbų projektų rengimo taisyklės“ bei Statybos techninio reglamento STR 1.05.06:2010 „Statinio projektavimas, patvirtinto Lietuvos Respublikos aplinkos ministro 2004 m. gruodžio 30 d. įsakymu Nr. D1-708 nustatyta tvarka.</w:t>
      </w:r>
    </w:p>
    <w:p w14:paraId="243FC92D" w14:textId="77777777" w:rsidR="00F66C2A" w:rsidRPr="00C43C8F" w:rsidRDefault="00F66C2A" w:rsidP="00A15EC2">
      <w:pPr>
        <w:pStyle w:val="ListParagraph"/>
        <w:numPr>
          <w:ilvl w:val="2"/>
          <w:numId w:val="27"/>
        </w:numPr>
        <w:tabs>
          <w:tab w:val="left" w:pos="0"/>
          <w:tab w:val="left" w:pos="1276"/>
          <w:tab w:val="left" w:pos="1701"/>
        </w:tabs>
        <w:ind w:left="0" w:firstLine="851"/>
      </w:pPr>
      <w:r w:rsidRPr="00C43C8F">
        <w:rPr>
          <w:rFonts w:eastAsia="Calibri"/>
        </w:rPr>
        <w:t>Pareiškėjas (partneris) privalo turėti leidimą atlikti kultūros paveldo objekto ar kultūros paveldo statinio tvarkybos darbus, išduotą vadovaujantis Paveldo tvarkybos reglamento PTR 3.04.01:2014 „Leidimų atlikti tvarkybos darbus išdavimo taisyklės“, patvirtinto Lietuvos Respublikos kultūros ministro 2005 m. balandžio 19 d. įsakymu Nr. ĮV-155 „Dėl Paveldo tvarkybos reglamento PTR 3.04.01:2014 „Leidimų atlikti tvarkybos darbus išdavimo taisyklės“ patvirtinimo“ nustatyta tvarka.</w:t>
      </w:r>
    </w:p>
    <w:p w14:paraId="3E15807D" w14:textId="6D6F1961" w:rsidR="00F66C2A" w:rsidRPr="00C43C8F" w:rsidRDefault="00F66C2A" w:rsidP="00A15EC2">
      <w:pPr>
        <w:pStyle w:val="ListParagraph"/>
        <w:numPr>
          <w:ilvl w:val="2"/>
          <w:numId w:val="27"/>
        </w:numPr>
        <w:tabs>
          <w:tab w:val="left" w:pos="0"/>
          <w:tab w:val="left" w:pos="1276"/>
          <w:tab w:val="left" w:pos="1701"/>
        </w:tabs>
        <w:ind w:left="0" w:firstLine="851"/>
      </w:pPr>
      <w:r w:rsidRPr="00C43C8F">
        <w:rPr>
          <w:rFonts w:eastAsia="Calibri"/>
        </w:rPr>
        <w:lastRenderedPageBreak/>
        <w:t xml:space="preserve">Pareiškėjas (partneris) privalo turėti </w:t>
      </w:r>
      <w:r w:rsidR="003E266E" w:rsidRPr="00C43C8F">
        <w:rPr>
          <w:rFonts w:eastAsia="Calibri"/>
        </w:rPr>
        <w:t xml:space="preserve">statybą leidžiančio dokumento, išduoto vadovaujantis </w:t>
      </w:r>
      <w:r w:rsidR="003E266E" w:rsidRPr="00C43C8F">
        <w:t xml:space="preserve">Statybos techninio reglamento STR 1.07.01:2010 „Statybą leidžiantys dokumentai“, patvirtinto Lietuvos Respublikos aplinkos ministro 2010 m. rugsėjo 27 d. įsakymu Nr. D1-826 „Dėl Statybos techninio reglamento STR 1.07.01:2010 „Statybą leidžiantys dokumentai“ patvirtinimo“ </w:t>
      </w:r>
      <w:r w:rsidR="003E266E" w:rsidRPr="00C43C8F">
        <w:rPr>
          <w:rFonts w:eastAsia="Calibri"/>
        </w:rPr>
        <w:t>nustatyta tvarka ir atvejais, jeigu kultūros paveldo objekte numatoma atlikti  tvarkomuosius statybos darbus, kopiją</w:t>
      </w:r>
    </w:p>
    <w:p w14:paraId="118AE6C7" w14:textId="77777777" w:rsidR="00B90B57" w:rsidRPr="00C43C8F" w:rsidRDefault="00AB22F4" w:rsidP="00A15EC2">
      <w:pPr>
        <w:pStyle w:val="ListParagraph"/>
        <w:numPr>
          <w:ilvl w:val="0"/>
          <w:numId w:val="13"/>
        </w:numPr>
        <w:tabs>
          <w:tab w:val="left" w:pos="0"/>
          <w:tab w:val="left" w:pos="1276"/>
        </w:tabs>
        <w:ind w:left="0" w:firstLine="851"/>
      </w:pPr>
      <w:r w:rsidRPr="00C43C8F">
        <w:t xml:space="preserve">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r w:rsidRPr="00C43C8F">
        <w:rPr>
          <w:lang w:eastAsia="lt-LT"/>
        </w:rPr>
        <w:t xml:space="preserve">Projektai, kuriuose numatoma atnaujinti pastatus atliekant </w:t>
      </w:r>
      <w:r w:rsidRPr="00C43C8F">
        <w:t>paprastojo remonto darbus,</w:t>
      </w:r>
      <w:r w:rsidRPr="00C43C8F">
        <w:rPr>
          <w:lang w:eastAsia="lt-LT"/>
        </w:rPr>
        <w:t xml:space="preserve"> turi prisidėti prie nediskriminavimo dėl lyties, rasės, tautybės, kalbos, kilmės, socialinės padėties, tikėjimo, įsitikinimų ar pažiūrų, amžiaus, negalios, lytinės orientacijos, etninės priklausomybės, religijos principo įgyvendinimo, t. y. pareiškėjas </w:t>
      </w:r>
      <w:r w:rsidRPr="00C43C8F">
        <w:t xml:space="preserve">paraiškoje privalo numatyti ir projekte įgyvendinti bent vieną statybos techninio reglamento STR 2.03.01:2001 „Statiniai ir teritorijos. Reikalavimai žmonių su negalia reikmėms“  7 skyriuje „Negyvenamieji pastatai“, ir (arba) 9 skyriuje „Sanitarinės patalpos“ ir (arba) 10 skyriuje „Teritorijų ir pastatų elementai“ nurodytą priemonę. </w:t>
      </w:r>
    </w:p>
    <w:p w14:paraId="18C42CF3" w14:textId="77777777" w:rsidR="00AB22F4" w:rsidRPr="00C43C8F" w:rsidRDefault="00AB22F4" w:rsidP="002759F7">
      <w:pPr>
        <w:pStyle w:val="ListParagraph"/>
        <w:numPr>
          <w:ilvl w:val="0"/>
          <w:numId w:val="13"/>
        </w:numPr>
        <w:tabs>
          <w:tab w:val="left" w:pos="0"/>
          <w:tab w:val="left" w:pos="1276"/>
        </w:tabs>
        <w:ind w:left="0" w:firstLine="851"/>
      </w:pPr>
      <w:r w:rsidRPr="00C43C8F">
        <w:t xml:space="preserve">Neturi būti numatyti projekto veiksmai, kurie turėtų neigiamą poveikį darnaus vystymosi principo įgyvendinimui. </w:t>
      </w:r>
      <w:proofErr w:type="spellStart"/>
      <w:r w:rsidRPr="00C43C8F">
        <w:rPr>
          <w:lang w:val="en-US"/>
        </w:rPr>
        <w:t>Planuojant</w:t>
      </w:r>
      <w:proofErr w:type="spellEnd"/>
      <w:r w:rsidRPr="00C43C8F">
        <w:rPr>
          <w:lang w:val="en-US"/>
        </w:rPr>
        <w:t xml:space="preserve"> </w:t>
      </w:r>
      <w:proofErr w:type="spellStart"/>
      <w:r w:rsidRPr="00C43C8F">
        <w:rPr>
          <w:lang w:val="en-US"/>
        </w:rPr>
        <w:t>viešuosius</w:t>
      </w:r>
      <w:proofErr w:type="spellEnd"/>
      <w:r w:rsidRPr="00C43C8F">
        <w:rPr>
          <w:lang w:val="en-US"/>
        </w:rPr>
        <w:t xml:space="preserve"> </w:t>
      </w:r>
      <w:proofErr w:type="spellStart"/>
      <w:r w:rsidRPr="00C43C8F">
        <w:rPr>
          <w:lang w:val="en-US"/>
        </w:rPr>
        <w:t>pirkimus</w:t>
      </w:r>
      <w:proofErr w:type="spellEnd"/>
      <w:r w:rsidRPr="00C43C8F">
        <w:rPr>
          <w:lang w:val="en-US"/>
        </w:rPr>
        <w:t xml:space="preserve">, </w:t>
      </w:r>
      <w:proofErr w:type="spellStart"/>
      <w:r w:rsidRPr="00C43C8F">
        <w:rPr>
          <w:lang w:val="en-US"/>
        </w:rPr>
        <w:t>rekomenduojama</w:t>
      </w:r>
      <w:proofErr w:type="spellEnd"/>
      <w:r w:rsidRPr="00C43C8F">
        <w:rPr>
          <w:lang w:val="en-US"/>
        </w:rPr>
        <w:t xml:space="preserve"> </w:t>
      </w:r>
      <w:proofErr w:type="spellStart"/>
      <w:r w:rsidRPr="00C43C8F">
        <w:rPr>
          <w:lang w:val="en-US"/>
        </w:rPr>
        <w:t>numatyti</w:t>
      </w:r>
      <w:proofErr w:type="spellEnd"/>
      <w:r w:rsidRPr="00C43C8F">
        <w:rPr>
          <w:lang w:val="en-US"/>
        </w:rPr>
        <w:t xml:space="preserve"> </w:t>
      </w:r>
      <w:proofErr w:type="spellStart"/>
      <w:r w:rsidRPr="00C43C8F">
        <w:rPr>
          <w:lang w:val="en-US"/>
        </w:rPr>
        <w:t>galimybę</w:t>
      </w:r>
      <w:proofErr w:type="spellEnd"/>
      <w:r w:rsidRPr="00C43C8F">
        <w:rPr>
          <w:lang w:val="en-US"/>
        </w:rPr>
        <w:t xml:space="preserve"> </w:t>
      </w:r>
      <w:proofErr w:type="spellStart"/>
      <w:r w:rsidRPr="00C43C8F">
        <w:rPr>
          <w:lang w:val="en-US"/>
        </w:rPr>
        <w:t>taikyti</w:t>
      </w:r>
      <w:proofErr w:type="spellEnd"/>
      <w:r w:rsidRPr="00C43C8F">
        <w:rPr>
          <w:lang w:val="en-US"/>
        </w:rPr>
        <w:t xml:space="preserve"> </w:t>
      </w:r>
      <w:proofErr w:type="spellStart"/>
      <w:r w:rsidRPr="00C43C8F">
        <w:rPr>
          <w:lang w:val="en-US"/>
        </w:rPr>
        <w:t>aplinkos</w:t>
      </w:r>
      <w:proofErr w:type="spellEnd"/>
      <w:r w:rsidRPr="00C43C8F">
        <w:rPr>
          <w:lang w:val="en-US"/>
        </w:rPr>
        <w:t xml:space="preserve"> </w:t>
      </w:r>
      <w:proofErr w:type="spellStart"/>
      <w:r w:rsidRPr="00C43C8F">
        <w:rPr>
          <w:lang w:val="en-US"/>
        </w:rPr>
        <w:t>apsaugos</w:t>
      </w:r>
      <w:proofErr w:type="spellEnd"/>
      <w:r w:rsidRPr="00C43C8F">
        <w:rPr>
          <w:lang w:val="en-US"/>
        </w:rPr>
        <w:t xml:space="preserve"> </w:t>
      </w:r>
      <w:proofErr w:type="spellStart"/>
      <w:r w:rsidRPr="00C43C8F">
        <w:rPr>
          <w:lang w:val="en-US"/>
        </w:rPr>
        <w:t>kriterijus</w:t>
      </w:r>
      <w:proofErr w:type="spellEnd"/>
      <w:r w:rsidRPr="00C43C8F">
        <w:rPr>
          <w:lang w:val="en-US"/>
        </w:rPr>
        <w:t xml:space="preserve"> (</w:t>
      </w:r>
      <w:proofErr w:type="spellStart"/>
      <w:r w:rsidRPr="00C43C8F">
        <w:rPr>
          <w:lang w:val="en-US"/>
        </w:rPr>
        <w:t>minimalius</w:t>
      </w:r>
      <w:proofErr w:type="spellEnd"/>
      <w:r w:rsidRPr="00C43C8F">
        <w:rPr>
          <w:lang w:val="en-US"/>
        </w:rPr>
        <w:t xml:space="preserve"> </w:t>
      </w:r>
      <w:proofErr w:type="spellStart"/>
      <w:r w:rsidRPr="00C43C8F">
        <w:rPr>
          <w:lang w:val="en-US"/>
        </w:rPr>
        <w:t>aplinkos</w:t>
      </w:r>
      <w:proofErr w:type="spellEnd"/>
      <w:r w:rsidRPr="00C43C8F">
        <w:rPr>
          <w:lang w:val="en-US"/>
        </w:rPr>
        <w:t xml:space="preserve"> </w:t>
      </w:r>
      <w:proofErr w:type="spellStart"/>
      <w:r w:rsidRPr="00C43C8F">
        <w:rPr>
          <w:lang w:val="en-US"/>
        </w:rPr>
        <w:t>apsaugos</w:t>
      </w:r>
      <w:proofErr w:type="spellEnd"/>
      <w:r w:rsidRPr="00C43C8F">
        <w:rPr>
          <w:lang w:val="en-US"/>
        </w:rPr>
        <w:t xml:space="preserve"> </w:t>
      </w:r>
      <w:proofErr w:type="spellStart"/>
      <w:r w:rsidRPr="00C43C8F">
        <w:rPr>
          <w:lang w:val="en-US"/>
        </w:rPr>
        <w:t>kriterijus</w:t>
      </w:r>
      <w:proofErr w:type="spellEnd"/>
      <w:r w:rsidRPr="00C43C8F">
        <w:rPr>
          <w:lang w:val="en-US"/>
        </w:rPr>
        <w:t xml:space="preserve">), </w:t>
      </w:r>
      <w:proofErr w:type="spellStart"/>
      <w:r w:rsidRPr="00C43C8F">
        <w:rPr>
          <w:lang w:val="en-US"/>
        </w:rPr>
        <w:t>nustatytus</w:t>
      </w:r>
      <w:proofErr w:type="spellEnd"/>
      <w:r w:rsidRPr="00C43C8F">
        <w:rPr>
          <w:lang w:val="en-US"/>
        </w:rPr>
        <w:t xml:space="preserve"> </w:t>
      </w:r>
      <w:proofErr w:type="spellStart"/>
      <w:r w:rsidRPr="00C43C8F">
        <w:rPr>
          <w:lang w:val="en-US"/>
        </w:rPr>
        <w:t>Lietuvos</w:t>
      </w:r>
      <w:proofErr w:type="spellEnd"/>
      <w:r w:rsidRPr="00C43C8F">
        <w:rPr>
          <w:lang w:val="en-US"/>
        </w:rPr>
        <w:t xml:space="preserve"> </w:t>
      </w:r>
      <w:proofErr w:type="spellStart"/>
      <w:r w:rsidRPr="00C43C8F">
        <w:rPr>
          <w:lang w:val="en-US"/>
        </w:rPr>
        <w:t>Respublikos</w:t>
      </w:r>
      <w:proofErr w:type="spellEnd"/>
      <w:r w:rsidRPr="00C43C8F">
        <w:rPr>
          <w:lang w:val="en-US"/>
        </w:rPr>
        <w:t xml:space="preserve"> </w:t>
      </w:r>
      <w:proofErr w:type="spellStart"/>
      <w:r w:rsidRPr="00C43C8F">
        <w:rPr>
          <w:lang w:val="en-US"/>
        </w:rPr>
        <w:t>aplinkos</w:t>
      </w:r>
      <w:proofErr w:type="spellEnd"/>
      <w:r w:rsidRPr="00C43C8F">
        <w:rPr>
          <w:lang w:val="en-US"/>
        </w:rPr>
        <w:t xml:space="preserve"> </w:t>
      </w:r>
      <w:proofErr w:type="spellStart"/>
      <w:r w:rsidRPr="00C43C8F">
        <w:rPr>
          <w:lang w:val="en-US"/>
        </w:rPr>
        <w:t>ministro</w:t>
      </w:r>
      <w:proofErr w:type="spellEnd"/>
      <w:r w:rsidRPr="00C43C8F">
        <w:rPr>
          <w:lang w:val="en-US"/>
        </w:rPr>
        <w:t xml:space="preserve"> 2011 m. </w:t>
      </w:r>
      <w:proofErr w:type="spellStart"/>
      <w:r w:rsidRPr="00C43C8F">
        <w:rPr>
          <w:lang w:val="en-US"/>
        </w:rPr>
        <w:t>birželio</w:t>
      </w:r>
      <w:proofErr w:type="spellEnd"/>
      <w:r w:rsidRPr="00C43C8F">
        <w:rPr>
          <w:lang w:val="en-US"/>
        </w:rPr>
        <w:t xml:space="preserve"> 28 d. </w:t>
      </w:r>
      <w:proofErr w:type="spellStart"/>
      <w:r w:rsidRPr="00C43C8F">
        <w:rPr>
          <w:lang w:val="en-US"/>
        </w:rPr>
        <w:t>įsakymu</w:t>
      </w:r>
      <w:proofErr w:type="spellEnd"/>
      <w:r w:rsidRPr="00C43C8F">
        <w:rPr>
          <w:lang w:val="en-US"/>
        </w:rPr>
        <w:t xml:space="preserve"> </w:t>
      </w:r>
      <w:proofErr w:type="spellStart"/>
      <w:r w:rsidRPr="00C43C8F">
        <w:rPr>
          <w:lang w:val="en-US"/>
        </w:rPr>
        <w:t>Nr</w:t>
      </w:r>
      <w:proofErr w:type="spellEnd"/>
      <w:r w:rsidRPr="00C43C8F">
        <w:rPr>
          <w:lang w:val="en-US"/>
        </w:rPr>
        <w:t>. D1-508 „</w:t>
      </w:r>
      <w:proofErr w:type="spellStart"/>
      <w:r w:rsidRPr="00C43C8F">
        <w:rPr>
          <w:lang w:val="en-US"/>
        </w:rPr>
        <w:t>Dėl</w:t>
      </w:r>
      <w:proofErr w:type="spellEnd"/>
      <w:r w:rsidRPr="00C43C8F">
        <w:rPr>
          <w:lang w:val="en-US"/>
        </w:rPr>
        <w:t xml:space="preserve"> </w:t>
      </w:r>
      <w:proofErr w:type="spellStart"/>
      <w:r w:rsidRPr="00C43C8F">
        <w:rPr>
          <w:lang w:val="en-US"/>
        </w:rPr>
        <w:t>Produktų</w:t>
      </w:r>
      <w:proofErr w:type="spellEnd"/>
      <w:r w:rsidRPr="00C43C8F">
        <w:rPr>
          <w:lang w:val="en-US"/>
        </w:rPr>
        <w:t xml:space="preserve">, </w:t>
      </w:r>
      <w:proofErr w:type="spellStart"/>
      <w:r w:rsidRPr="00C43C8F">
        <w:rPr>
          <w:lang w:val="en-US"/>
        </w:rPr>
        <w:t>kurių</w:t>
      </w:r>
      <w:proofErr w:type="spellEnd"/>
      <w:r w:rsidRPr="00C43C8F">
        <w:rPr>
          <w:lang w:val="en-US"/>
        </w:rPr>
        <w:t xml:space="preserve"> </w:t>
      </w:r>
      <w:proofErr w:type="spellStart"/>
      <w:r w:rsidRPr="00C43C8F">
        <w:rPr>
          <w:lang w:val="en-US"/>
        </w:rPr>
        <w:t>viešiesiems</w:t>
      </w:r>
      <w:proofErr w:type="spellEnd"/>
      <w:r w:rsidRPr="00C43C8F">
        <w:rPr>
          <w:lang w:val="en-US"/>
        </w:rPr>
        <w:t xml:space="preserve"> </w:t>
      </w:r>
      <w:proofErr w:type="spellStart"/>
      <w:r w:rsidRPr="00C43C8F">
        <w:rPr>
          <w:lang w:val="en-US"/>
        </w:rPr>
        <w:t>pirkimams</w:t>
      </w:r>
      <w:proofErr w:type="spellEnd"/>
      <w:r w:rsidRPr="00C43C8F">
        <w:rPr>
          <w:lang w:val="en-US"/>
        </w:rPr>
        <w:t xml:space="preserve"> </w:t>
      </w:r>
      <w:proofErr w:type="spellStart"/>
      <w:r w:rsidRPr="00C43C8F">
        <w:rPr>
          <w:lang w:val="en-US"/>
        </w:rPr>
        <w:t>taikytini</w:t>
      </w:r>
      <w:proofErr w:type="spellEnd"/>
      <w:r w:rsidRPr="00C43C8F">
        <w:rPr>
          <w:lang w:val="en-US"/>
        </w:rPr>
        <w:t xml:space="preserve"> </w:t>
      </w:r>
      <w:proofErr w:type="spellStart"/>
      <w:r w:rsidRPr="00C43C8F">
        <w:rPr>
          <w:lang w:val="en-US"/>
        </w:rPr>
        <w:t>aplinkos</w:t>
      </w:r>
      <w:proofErr w:type="spellEnd"/>
      <w:r w:rsidRPr="00C43C8F">
        <w:rPr>
          <w:lang w:val="en-US"/>
        </w:rPr>
        <w:t xml:space="preserve"> </w:t>
      </w:r>
      <w:proofErr w:type="spellStart"/>
      <w:r w:rsidRPr="00C43C8F">
        <w:rPr>
          <w:lang w:val="en-US"/>
        </w:rPr>
        <w:t>apsaugos</w:t>
      </w:r>
      <w:proofErr w:type="spellEnd"/>
      <w:r w:rsidRPr="00C43C8F">
        <w:rPr>
          <w:lang w:val="en-US"/>
        </w:rPr>
        <w:t xml:space="preserve"> </w:t>
      </w:r>
      <w:proofErr w:type="spellStart"/>
      <w:r w:rsidRPr="00C43C8F">
        <w:rPr>
          <w:lang w:val="en-US"/>
        </w:rPr>
        <w:t>kriterijai</w:t>
      </w:r>
      <w:proofErr w:type="spellEnd"/>
      <w:r w:rsidRPr="00C43C8F">
        <w:rPr>
          <w:lang w:val="en-US"/>
        </w:rPr>
        <w:t xml:space="preserve">, </w:t>
      </w:r>
      <w:proofErr w:type="spellStart"/>
      <w:r w:rsidRPr="00C43C8F">
        <w:rPr>
          <w:lang w:val="en-US"/>
        </w:rPr>
        <w:t>sąrašų</w:t>
      </w:r>
      <w:proofErr w:type="spellEnd"/>
      <w:r w:rsidRPr="00C43C8F">
        <w:rPr>
          <w:lang w:val="en-US"/>
        </w:rPr>
        <w:t xml:space="preserve">, </w:t>
      </w:r>
      <w:proofErr w:type="spellStart"/>
      <w:r w:rsidRPr="00C43C8F">
        <w:rPr>
          <w:lang w:val="en-US"/>
        </w:rPr>
        <w:t>Aplinkos</w:t>
      </w:r>
      <w:proofErr w:type="spellEnd"/>
      <w:r w:rsidRPr="00C43C8F">
        <w:rPr>
          <w:lang w:val="en-US"/>
        </w:rPr>
        <w:t xml:space="preserve"> </w:t>
      </w:r>
      <w:proofErr w:type="spellStart"/>
      <w:r w:rsidRPr="00C43C8F">
        <w:rPr>
          <w:lang w:val="en-US"/>
        </w:rPr>
        <w:t>apsaugos</w:t>
      </w:r>
      <w:proofErr w:type="spellEnd"/>
      <w:r w:rsidRPr="00C43C8F">
        <w:rPr>
          <w:lang w:val="en-US"/>
        </w:rPr>
        <w:t xml:space="preserve"> </w:t>
      </w:r>
      <w:proofErr w:type="spellStart"/>
      <w:r w:rsidRPr="00C43C8F">
        <w:rPr>
          <w:lang w:val="en-US"/>
        </w:rPr>
        <w:t>kriterijų</w:t>
      </w:r>
      <w:proofErr w:type="spellEnd"/>
      <w:r w:rsidRPr="00C43C8F">
        <w:rPr>
          <w:lang w:val="en-US"/>
        </w:rPr>
        <w:t xml:space="preserve"> </w:t>
      </w:r>
      <w:proofErr w:type="spellStart"/>
      <w:r w:rsidRPr="00C43C8F">
        <w:rPr>
          <w:lang w:val="en-US"/>
        </w:rPr>
        <w:t>ir</w:t>
      </w:r>
      <w:proofErr w:type="spellEnd"/>
      <w:r w:rsidRPr="00C43C8F">
        <w:rPr>
          <w:lang w:val="en-US"/>
        </w:rPr>
        <w:t xml:space="preserve"> </w:t>
      </w:r>
      <w:proofErr w:type="spellStart"/>
      <w:r w:rsidRPr="00C43C8F">
        <w:rPr>
          <w:lang w:val="en-US"/>
        </w:rPr>
        <w:t>Aplinkos</w:t>
      </w:r>
      <w:proofErr w:type="spellEnd"/>
      <w:r w:rsidRPr="00C43C8F">
        <w:rPr>
          <w:lang w:val="en-US"/>
        </w:rPr>
        <w:t xml:space="preserve"> </w:t>
      </w:r>
      <w:proofErr w:type="spellStart"/>
      <w:r w:rsidRPr="00C43C8F">
        <w:rPr>
          <w:lang w:val="en-US"/>
        </w:rPr>
        <w:t>apsaugos</w:t>
      </w:r>
      <w:proofErr w:type="spellEnd"/>
      <w:r w:rsidRPr="00C43C8F">
        <w:rPr>
          <w:lang w:val="en-US"/>
        </w:rPr>
        <w:t xml:space="preserve"> </w:t>
      </w:r>
      <w:proofErr w:type="spellStart"/>
      <w:r w:rsidRPr="00C43C8F">
        <w:rPr>
          <w:lang w:val="en-US"/>
        </w:rPr>
        <w:t>kriterijų</w:t>
      </w:r>
      <w:proofErr w:type="spellEnd"/>
      <w:r w:rsidRPr="00C43C8F">
        <w:rPr>
          <w:lang w:val="en-US"/>
        </w:rPr>
        <w:t xml:space="preserve">, </w:t>
      </w:r>
      <w:proofErr w:type="spellStart"/>
      <w:r w:rsidRPr="00C43C8F">
        <w:rPr>
          <w:lang w:val="en-US"/>
        </w:rPr>
        <w:t>kuriuos</w:t>
      </w:r>
      <w:proofErr w:type="spellEnd"/>
      <w:r w:rsidRPr="00C43C8F">
        <w:rPr>
          <w:lang w:val="en-US"/>
        </w:rPr>
        <w:t xml:space="preserve"> </w:t>
      </w:r>
      <w:proofErr w:type="spellStart"/>
      <w:r w:rsidRPr="00C43C8F">
        <w:rPr>
          <w:lang w:val="en-US"/>
        </w:rPr>
        <w:t>perkančiosios</w:t>
      </w:r>
      <w:proofErr w:type="spellEnd"/>
      <w:r w:rsidRPr="00C43C8F">
        <w:rPr>
          <w:lang w:val="en-US"/>
        </w:rPr>
        <w:t xml:space="preserve"> </w:t>
      </w:r>
      <w:proofErr w:type="spellStart"/>
      <w:r w:rsidRPr="00C43C8F">
        <w:rPr>
          <w:lang w:val="en-US"/>
        </w:rPr>
        <w:t>organizacijos</w:t>
      </w:r>
      <w:proofErr w:type="spellEnd"/>
      <w:r w:rsidRPr="00C43C8F">
        <w:rPr>
          <w:lang w:val="en-US"/>
        </w:rPr>
        <w:t xml:space="preserve"> </w:t>
      </w:r>
      <w:proofErr w:type="spellStart"/>
      <w:r w:rsidRPr="00C43C8F">
        <w:rPr>
          <w:lang w:val="en-US"/>
        </w:rPr>
        <w:t>turi</w:t>
      </w:r>
      <w:proofErr w:type="spellEnd"/>
      <w:r w:rsidRPr="00C43C8F">
        <w:rPr>
          <w:lang w:val="en-US"/>
        </w:rPr>
        <w:t xml:space="preserve"> </w:t>
      </w:r>
      <w:proofErr w:type="spellStart"/>
      <w:r w:rsidRPr="00C43C8F">
        <w:rPr>
          <w:lang w:val="en-US"/>
        </w:rPr>
        <w:t>taikyti</w:t>
      </w:r>
      <w:proofErr w:type="spellEnd"/>
      <w:r w:rsidRPr="00C43C8F">
        <w:rPr>
          <w:lang w:val="en-US"/>
        </w:rPr>
        <w:t xml:space="preserve"> </w:t>
      </w:r>
      <w:proofErr w:type="spellStart"/>
      <w:r w:rsidRPr="00C43C8F">
        <w:rPr>
          <w:lang w:val="en-US"/>
        </w:rPr>
        <w:t>pirkdamos</w:t>
      </w:r>
      <w:proofErr w:type="spellEnd"/>
      <w:r w:rsidRPr="00C43C8F">
        <w:rPr>
          <w:lang w:val="en-US"/>
        </w:rPr>
        <w:t xml:space="preserve"> </w:t>
      </w:r>
      <w:proofErr w:type="spellStart"/>
      <w:r w:rsidRPr="00C43C8F">
        <w:rPr>
          <w:lang w:val="en-US"/>
        </w:rPr>
        <w:t>prekes</w:t>
      </w:r>
      <w:proofErr w:type="spellEnd"/>
      <w:r w:rsidRPr="00C43C8F">
        <w:rPr>
          <w:lang w:val="en-US"/>
        </w:rPr>
        <w:t xml:space="preserve">, </w:t>
      </w:r>
      <w:proofErr w:type="spellStart"/>
      <w:r w:rsidRPr="00C43C8F">
        <w:rPr>
          <w:lang w:val="en-US"/>
        </w:rPr>
        <w:t>paslaugas</w:t>
      </w:r>
      <w:proofErr w:type="spellEnd"/>
      <w:r w:rsidRPr="00C43C8F">
        <w:rPr>
          <w:lang w:val="en-US"/>
        </w:rPr>
        <w:t xml:space="preserve"> </w:t>
      </w:r>
      <w:proofErr w:type="spellStart"/>
      <w:r w:rsidRPr="00C43C8F">
        <w:rPr>
          <w:lang w:val="en-US"/>
        </w:rPr>
        <w:t>ar</w:t>
      </w:r>
      <w:proofErr w:type="spellEnd"/>
      <w:r w:rsidRPr="00C43C8F">
        <w:rPr>
          <w:lang w:val="en-US"/>
        </w:rPr>
        <w:t xml:space="preserve"> </w:t>
      </w:r>
      <w:proofErr w:type="spellStart"/>
      <w:r w:rsidRPr="00C43C8F">
        <w:rPr>
          <w:lang w:val="en-US"/>
        </w:rPr>
        <w:t>darbus</w:t>
      </w:r>
      <w:proofErr w:type="spellEnd"/>
      <w:r w:rsidRPr="00C43C8F">
        <w:rPr>
          <w:lang w:val="en-US"/>
        </w:rPr>
        <w:t xml:space="preserve">, </w:t>
      </w:r>
      <w:proofErr w:type="spellStart"/>
      <w:r w:rsidRPr="00C43C8F">
        <w:rPr>
          <w:lang w:val="en-US"/>
        </w:rPr>
        <w:t>taikymo</w:t>
      </w:r>
      <w:proofErr w:type="spellEnd"/>
      <w:r w:rsidRPr="00C43C8F">
        <w:rPr>
          <w:lang w:val="en-US"/>
        </w:rPr>
        <w:t xml:space="preserve"> </w:t>
      </w:r>
      <w:proofErr w:type="spellStart"/>
      <w:r w:rsidRPr="00C43C8F">
        <w:rPr>
          <w:lang w:val="en-US"/>
        </w:rPr>
        <w:t>tvarkos</w:t>
      </w:r>
      <w:proofErr w:type="spellEnd"/>
      <w:r w:rsidRPr="00C43C8F">
        <w:rPr>
          <w:lang w:val="en-US"/>
        </w:rPr>
        <w:t xml:space="preserve"> </w:t>
      </w:r>
      <w:proofErr w:type="spellStart"/>
      <w:r w:rsidRPr="00C43C8F">
        <w:rPr>
          <w:lang w:val="en-US"/>
        </w:rPr>
        <w:t>aprašo</w:t>
      </w:r>
      <w:proofErr w:type="spellEnd"/>
      <w:r w:rsidRPr="00C43C8F">
        <w:rPr>
          <w:lang w:val="en-US"/>
        </w:rPr>
        <w:t xml:space="preserve"> </w:t>
      </w:r>
      <w:proofErr w:type="spellStart"/>
      <w:r w:rsidRPr="00C43C8F">
        <w:rPr>
          <w:lang w:val="en-US"/>
        </w:rPr>
        <w:t>patvirtinimo</w:t>
      </w:r>
      <w:proofErr w:type="spellEnd"/>
      <w:r w:rsidRPr="00C43C8F">
        <w:rPr>
          <w:lang w:val="en-US"/>
        </w:rPr>
        <w:t xml:space="preserve">“, </w:t>
      </w:r>
      <w:proofErr w:type="spellStart"/>
      <w:r w:rsidRPr="00C43C8F">
        <w:rPr>
          <w:lang w:val="en-US"/>
        </w:rPr>
        <w:t>elektros</w:t>
      </w:r>
      <w:proofErr w:type="spellEnd"/>
      <w:r w:rsidRPr="00C43C8F">
        <w:rPr>
          <w:lang w:val="en-US"/>
        </w:rPr>
        <w:t xml:space="preserve"> </w:t>
      </w:r>
      <w:proofErr w:type="spellStart"/>
      <w:r w:rsidRPr="00C43C8F">
        <w:rPr>
          <w:lang w:val="en-US"/>
        </w:rPr>
        <w:t>lemputėms</w:t>
      </w:r>
      <w:proofErr w:type="spellEnd"/>
      <w:r w:rsidRPr="00C43C8F">
        <w:rPr>
          <w:lang w:val="en-US"/>
        </w:rPr>
        <w:t xml:space="preserve">, </w:t>
      </w:r>
      <w:proofErr w:type="spellStart"/>
      <w:r w:rsidRPr="00C43C8F">
        <w:rPr>
          <w:lang w:val="en-US"/>
        </w:rPr>
        <w:t>projektavimo</w:t>
      </w:r>
      <w:proofErr w:type="spellEnd"/>
      <w:r w:rsidRPr="00C43C8F">
        <w:rPr>
          <w:lang w:val="en-US"/>
        </w:rPr>
        <w:t xml:space="preserve"> </w:t>
      </w:r>
      <w:proofErr w:type="spellStart"/>
      <w:r w:rsidRPr="00C43C8F">
        <w:rPr>
          <w:lang w:val="en-US"/>
        </w:rPr>
        <w:t>paslaugoms</w:t>
      </w:r>
      <w:proofErr w:type="spellEnd"/>
      <w:r w:rsidRPr="00C43C8F">
        <w:rPr>
          <w:lang w:val="en-US"/>
        </w:rPr>
        <w:t xml:space="preserve">, </w:t>
      </w:r>
      <w:proofErr w:type="spellStart"/>
      <w:r w:rsidRPr="00C43C8F">
        <w:rPr>
          <w:lang w:val="en-US"/>
        </w:rPr>
        <w:t>statybos</w:t>
      </w:r>
      <w:proofErr w:type="spellEnd"/>
      <w:r w:rsidRPr="00C43C8F">
        <w:rPr>
          <w:lang w:val="en-US"/>
        </w:rPr>
        <w:t xml:space="preserve"> </w:t>
      </w:r>
      <w:proofErr w:type="spellStart"/>
      <w:r w:rsidRPr="00C43C8F">
        <w:rPr>
          <w:lang w:val="en-US"/>
        </w:rPr>
        <w:t>darbams</w:t>
      </w:r>
      <w:proofErr w:type="spellEnd"/>
      <w:r w:rsidRPr="00C43C8F">
        <w:rPr>
          <w:lang w:val="en-US"/>
        </w:rPr>
        <w:t xml:space="preserve">, </w:t>
      </w:r>
      <w:proofErr w:type="spellStart"/>
      <w:r w:rsidRPr="00C43C8F">
        <w:rPr>
          <w:lang w:val="en-US"/>
        </w:rPr>
        <w:t>statybinėms</w:t>
      </w:r>
      <w:proofErr w:type="spellEnd"/>
      <w:r w:rsidRPr="00C43C8F">
        <w:rPr>
          <w:lang w:val="en-US"/>
        </w:rPr>
        <w:t xml:space="preserve"> </w:t>
      </w:r>
      <w:proofErr w:type="spellStart"/>
      <w:r w:rsidRPr="00C43C8F">
        <w:rPr>
          <w:lang w:val="en-US"/>
        </w:rPr>
        <w:t>medžiagoms</w:t>
      </w:r>
      <w:proofErr w:type="spellEnd"/>
      <w:r w:rsidRPr="00C43C8F">
        <w:rPr>
          <w:lang w:val="en-US"/>
        </w:rPr>
        <w:t xml:space="preserve"> </w:t>
      </w:r>
      <w:proofErr w:type="spellStart"/>
      <w:r w:rsidRPr="00C43C8F">
        <w:rPr>
          <w:lang w:val="en-US"/>
        </w:rPr>
        <w:t>ir</w:t>
      </w:r>
      <w:proofErr w:type="spellEnd"/>
      <w:r w:rsidRPr="00C43C8F">
        <w:rPr>
          <w:lang w:val="en-US"/>
        </w:rPr>
        <w:t xml:space="preserve"> </w:t>
      </w:r>
      <w:proofErr w:type="spellStart"/>
      <w:r w:rsidRPr="00C43C8F">
        <w:rPr>
          <w:lang w:val="en-US"/>
        </w:rPr>
        <w:t>santechnikos</w:t>
      </w:r>
      <w:proofErr w:type="spellEnd"/>
      <w:r w:rsidRPr="00C43C8F">
        <w:rPr>
          <w:lang w:val="en-US"/>
        </w:rPr>
        <w:t xml:space="preserve"> </w:t>
      </w:r>
      <w:proofErr w:type="spellStart"/>
      <w:r w:rsidRPr="00C43C8F">
        <w:rPr>
          <w:lang w:val="en-US"/>
        </w:rPr>
        <w:t>įrangai</w:t>
      </w:r>
      <w:proofErr w:type="spellEnd"/>
      <w:r w:rsidRPr="00C43C8F">
        <w:rPr>
          <w:lang w:val="en-US"/>
        </w:rPr>
        <w:t xml:space="preserve">, </w:t>
      </w:r>
      <w:proofErr w:type="spellStart"/>
      <w:r w:rsidRPr="00C43C8F">
        <w:rPr>
          <w:lang w:val="en-US"/>
        </w:rPr>
        <w:t>kietosioms</w:t>
      </w:r>
      <w:proofErr w:type="spellEnd"/>
      <w:r w:rsidRPr="00C43C8F">
        <w:rPr>
          <w:lang w:val="en-US"/>
        </w:rPr>
        <w:t xml:space="preserve"> </w:t>
      </w:r>
      <w:proofErr w:type="spellStart"/>
      <w:r w:rsidRPr="00C43C8F">
        <w:rPr>
          <w:lang w:val="en-US"/>
        </w:rPr>
        <w:t>grindų</w:t>
      </w:r>
      <w:proofErr w:type="spellEnd"/>
      <w:r w:rsidRPr="00C43C8F">
        <w:rPr>
          <w:lang w:val="en-US"/>
        </w:rPr>
        <w:t xml:space="preserve"> </w:t>
      </w:r>
      <w:proofErr w:type="spellStart"/>
      <w:r w:rsidRPr="00C43C8F">
        <w:rPr>
          <w:lang w:val="en-US"/>
        </w:rPr>
        <w:t>dangoms</w:t>
      </w:r>
      <w:proofErr w:type="spellEnd"/>
      <w:r w:rsidRPr="00C43C8F">
        <w:rPr>
          <w:lang w:val="en-US"/>
        </w:rPr>
        <w:t xml:space="preserve"> (</w:t>
      </w:r>
      <w:proofErr w:type="spellStart"/>
      <w:r w:rsidRPr="00C43C8F">
        <w:rPr>
          <w:lang w:val="en-US"/>
        </w:rPr>
        <w:t>gamtiniams</w:t>
      </w:r>
      <w:proofErr w:type="spellEnd"/>
      <w:r w:rsidRPr="00C43C8F">
        <w:rPr>
          <w:lang w:val="en-US"/>
        </w:rPr>
        <w:t xml:space="preserve"> </w:t>
      </w:r>
      <w:proofErr w:type="spellStart"/>
      <w:r w:rsidRPr="00C43C8F">
        <w:rPr>
          <w:lang w:val="en-US"/>
        </w:rPr>
        <w:t>produktams</w:t>
      </w:r>
      <w:proofErr w:type="spellEnd"/>
      <w:r w:rsidRPr="00C43C8F">
        <w:rPr>
          <w:lang w:val="en-US"/>
        </w:rPr>
        <w:t xml:space="preserve">, </w:t>
      </w:r>
      <w:proofErr w:type="spellStart"/>
      <w:r w:rsidRPr="00C43C8F">
        <w:rPr>
          <w:lang w:val="en-US"/>
        </w:rPr>
        <w:t>apdorotiems</w:t>
      </w:r>
      <w:proofErr w:type="spellEnd"/>
      <w:r w:rsidRPr="00C43C8F">
        <w:rPr>
          <w:lang w:val="en-US"/>
        </w:rPr>
        <w:t xml:space="preserve"> </w:t>
      </w:r>
      <w:proofErr w:type="spellStart"/>
      <w:r w:rsidRPr="00C43C8F">
        <w:rPr>
          <w:lang w:val="en-US"/>
        </w:rPr>
        <w:t>produktams</w:t>
      </w:r>
      <w:proofErr w:type="spellEnd"/>
      <w:r w:rsidRPr="00C43C8F">
        <w:rPr>
          <w:lang w:val="en-US"/>
        </w:rPr>
        <w:t xml:space="preserve">: </w:t>
      </w:r>
      <w:proofErr w:type="spellStart"/>
      <w:r w:rsidRPr="00C43C8F">
        <w:rPr>
          <w:lang w:val="en-US"/>
        </w:rPr>
        <w:t>aglomeruotiesiems</w:t>
      </w:r>
      <w:proofErr w:type="spellEnd"/>
      <w:r w:rsidRPr="00C43C8F">
        <w:rPr>
          <w:lang w:val="en-US"/>
        </w:rPr>
        <w:t xml:space="preserve"> </w:t>
      </w:r>
      <w:proofErr w:type="spellStart"/>
      <w:r w:rsidRPr="00C43C8F">
        <w:rPr>
          <w:lang w:val="en-US"/>
        </w:rPr>
        <w:t>akmenims</w:t>
      </w:r>
      <w:proofErr w:type="spellEnd"/>
      <w:r w:rsidRPr="00C43C8F">
        <w:rPr>
          <w:lang w:val="en-US"/>
        </w:rPr>
        <w:t xml:space="preserve">, </w:t>
      </w:r>
      <w:proofErr w:type="spellStart"/>
      <w:r w:rsidRPr="00C43C8F">
        <w:rPr>
          <w:lang w:val="en-US"/>
        </w:rPr>
        <w:t>betoninėms</w:t>
      </w:r>
      <w:proofErr w:type="spellEnd"/>
      <w:r w:rsidRPr="00C43C8F">
        <w:rPr>
          <w:lang w:val="en-US"/>
        </w:rPr>
        <w:t xml:space="preserve"> </w:t>
      </w:r>
      <w:proofErr w:type="spellStart"/>
      <w:r w:rsidRPr="00C43C8F">
        <w:rPr>
          <w:lang w:val="en-US"/>
        </w:rPr>
        <w:t>grindinio</w:t>
      </w:r>
      <w:proofErr w:type="spellEnd"/>
      <w:r w:rsidRPr="00C43C8F">
        <w:rPr>
          <w:lang w:val="en-US"/>
        </w:rPr>
        <w:t xml:space="preserve"> </w:t>
      </w:r>
      <w:proofErr w:type="spellStart"/>
      <w:r w:rsidRPr="00C43C8F">
        <w:rPr>
          <w:lang w:val="en-US"/>
        </w:rPr>
        <w:t>plytelėms</w:t>
      </w:r>
      <w:proofErr w:type="spellEnd"/>
      <w:r w:rsidRPr="00C43C8F">
        <w:rPr>
          <w:lang w:val="en-US"/>
        </w:rPr>
        <w:t xml:space="preserve">, </w:t>
      </w:r>
      <w:proofErr w:type="spellStart"/>
      <w:r w:rsidRPr="00C43C8F">
        <w:rPr>
          <w:lang w:val="en-US"/>
        </w:rPr>
        <w:t>mozaikinėms</w:t>
      </w:r>
      <w:proofErr w:type="spellEnd"/>
      <w:r w:rsidRPr="00C43C8F">
        <w:rPr>
          <w:lang w:val="en-US"/>
        </w:rPr>
        <w:t xml:space="preserve">, </w:t>
      </w:r>
      <w:proofErr w:type="spellStart"/>
      <w:r w:rsidRPr="00C43C8F">
        <w:rPr>
          <w:lang w:val="en-US"/>
        </w:rPr>
        <w:t>keramikinėms</w:t>
      </w:r>
      <w:proofErr w:type="spellEnd"/>
      <w:r w:rsidRPr="00C43C8F">
        <w:rPr>
          <w:lang w:val="en-US"/>
        </w:rPr>
        <w:t xml:space="preserve"> </w:t>
      </w:r>
      <w:proofErr w:type="spellStart"/>
      <w:r w:rsidRPr="00C43C8F">
        <w:rPr>
          <w:lang w:val="en-US"/>
        </w:rPr>
        <w:t>ir</w:t>
      </w:r>
      <w:proofErr w:type="spellEnd"/>
      <w:r w:rsidRPr="00C43C8F">
        <w:rPr>
          <w:lang w:val="en-US"/>
        </w:rPr>
        <w:t xml:space="preserve"> </w:t>
      </w:r>
      <w:proofErr w:type="spellStart"/>
      <w:r w:rsidRPr="00C43C8F">
        <w:rPr>
          <w:lang w:val="en-US"/>
        </w:rPr>
        <w:t>molinėms</w:t>
      </w:r>
      <w:proofErr w:type="spellEnd"/>
      <w:r w:rsidRPr="00C43C8F">
        <w:rPr>
          <w:lang w:val="en-US"/>
        </w:rPr>
        <w:t xml:space="preserve"> </w:t>
      </w:r>
      <w:proofErr w:type="spellStart"/>
      <w:r w:rsidRPr="00C43C8F">
        <w:rPr>
          <w:lang w:val="en-US"/>
        </w:rPr>
        <w:t>plytelėms</w:t>
      </w:r>
      <w:proofErr w:type="spellEnd"/>
      <w:r w:rsidRPr="00C43C8F">
        <w:rPr>
          <w:lang w:val="en-US"/>
        </w:rPr>
        <w:t xml:space="preserve">), </w:t>
      </w:r>
      <w:proofErr w:type="spellStart"/>
      <w:r w:rsidRPr="00C43C8F">
        <w:rPr>
          <w:lang w:val="en-US"/>
        </w:rPr>
        <w:t>patalpų</w:t>
      </w:r>
      <w:proofErr w:type="spellEnd"/>
      <w:r w:rsidRPr="00C43C8F">
        <w:rPr>
          <w:lang w:val="en-US"/>
        </w:rPr>
        <w:t xml:space="preserve"> </w:t>
      </w:r>
      <w:proofErr w:type="spellStart"/>
      <w:r w:rsidRPr="00C43C8F">
        <w:rPr>
          <w:lang w:val="en-US"/>
        </w:rPr>
        <w:t>apšvietimui</w:t>
      </w:r>
      <w:proofErr w:type="spellEnd"/>
      <w:r w:rsidRPr="00C43C8F">
        <w:t>.</w:t>
      </w:r>
    </w:p>
    <w:p w14:paraId="38FD12C9" w14:textId="185336DF" w:rsidR="00935622" w:rsidRPr="00C43C8F" w:rsidRDefault="00935622" w:rsidP="002759F7">
      <w:pPr>
        <w:tabs>
          <w:tab w:val="left" w:pos="0"/>
          <w:tab w:val="left" w:pos="1701"/>
        </w:tabs>
      </w:pPr>
      <w:r w:rsidRPr="00C43C8F">
        <w:t>3</w:t>
      </w:r>
      <w:r w:rsidR="00A15EC2">
        <w:t>1</w:t>
      </w:r>
      <w:r w:rsidRPr="00C43C8F">
        <w:t>. Pagal šį Aprašą gali būti teikiama valstybės pagalba, kaip ji apibrėžta Sutarties dėl Europos Sąjungos veikimo (OL 2010 C 83, p. 47) 107 straipsnyje. Finansavimas, skiriamas kaip valstybės pagalba projektams, yra investicinė pagalba, teikiama pagal Reglamento (ES) Nr. 651/2014 53 straipsnį, atsižvelgiant į I skyriaus nuostatas bei 1 straipsnio 2-5 dalyse nustatytus apribojimus. Aprašas nustato valstybės pagalbos kultūros infrastruktūrai teikimo sąlygas, kurios atitinka Reglamento (ES) Nr. 651/2014 nuostatas ir yra suderinamos su vidaus rinka. Pagal Aprašą teikiama pagalba atitinka Reglamento (ES) Nr. 651/2014 6 straipsnio 5 dalies h punktą ir laikoma, jog šiai pagalbai netaikomas skatinamojo poveikio reikalavimas arba, manoma, kad ši  pagalba turi skatinamąjį poveikį. Projektų valstybės pagalbos atitikties Reglamento (ES) Nr. 651/2014 53 straipsnio nuostatoms vertinimą atlieka įgyvendinančioji institucija pagal Aprašo 2 priede nurodytus vertinimo kriterijus.</w:t>
      </w:r>
    </w:p>
    <w:p w14:paraId="5FC67ED0" w14:textId="29E326E8" w:rsidR="00935622" w:rsidRPr="00C43C8F" w:rsidRDefault="00935622" w:rsidP="002759F7">
      <w:pPr>
        <w:tabs>
          <w:tab w:val="left" w:pos="0"/>
          <w:tab w:val="left" w:pos="1701"/>
        </w:tabs>
      </w:pPr>
      <w:r w:rsidRPr="00C43C8F">
        <w:t>3</w:t>
      </w:r>
      <w:r w:rsidR="00A15EC2">
        <w:t>2</w:t>
      </w:r>
      <w:r w:rsidRPr="00C43C8F">
        <w:t xml:space="preserve">. Valstybės pagalbos reikalavimai, nustatyti šiame Apraše, nėra taikomi kultūros infrastruktūros projektams, jeigu jiems  skiriamas finansavimas neatitinka bent vieno Sutarties dėl Europos Sąjungos veikimo 107 straipsnio 1 dalyje nustatyto valstybės pagalbos kriterijaus, t. y.:   </w:t>
      </w:r>
    </w:p>
    <w:p w14:paraId="5CFBCA93" w14:textId="793F20B6" w:rsidR="00935622" w:rsidRPr="00C43C8F" w:rsidRDefault="00A15EC2" w:rsidP="002759F7">
      <w:pPr>
        <w:tabs>
          <w:tab w:val="left" w:pos="0"/>
          <w:tab w:val="left" w:pos="1701"/>
        </w:tabs>
      </w:pPr>
      <w:r>
        <w:t>32</w:t>
      </w:r>
      <w:r w:rsidR="00935622" w:rsidRPr="00C43C8F">
        <w:t>.1. finansavimą tiesiogiai ar netiesiogiai numatoma teikti ūkio subjektams (-ui) ūkinei veiklai vykdyti;</w:t>
      </w:r>
    </w:p>
    <w:p w14:paraId="42976183" w14:textId="2065A881" w:rsidR="00935622" w:rsidRPr="00C43C8F" w:rsidRDefault="00A15EC2" w:rsidP="002759F7">
      <w:pPr>
        <w:tabs>
          <w:tab w:val="left" w:pos="0"/>
          <w:tab w:val="left" w:pos="1701"/>
        </w:tabs>
      </w:pPr>
      <w:r>
        <w:t>32</w:t>
      </w:r>
      <w:r w:rsidR="00935622" w:rsidRPr="00C43C8F">
        <w:t>.2. finansavimas iš valstybės išteklių ūkio subjektams (-ui) suteiktų/suteikia išskirtinę ekonominę naudą, kurios jie/jis negautų rinkos sąlygomis;</w:t>
      </w:r>
    </w:p>
    <w:p w14:paraId="4484BEF3" w14:textId="4782D7E0" w:rsidR="00935622" w:rsidRPr="00C43C8F" w:rsidRDefault="00033E04" w:rsidP="002759F7">
      <w:pPr>
        <w:tabs>
          <w:tab w:val="left" w:pos="0"/>
          <w:tab w:val="left" w:pos="851"/>
          <w:tab w:val="left" w:pos="1701"/>
        </w:tabs>
      </w:pPr>
      <w:r>
        <w:t>32</w:t>
      </w:r>
      <w:r w:rsidR="00935622" w:rsidRPr="00C43C8F">
        <w:t>.3. finansavimą numatoma teikti/teikiamas tam tikroms pasirinktoms prekėms gaminti ar paslaugoms teikti, arba tam tikriems pasirinktiems ūkio subjektams (-ui), t. y. ar finansavimo priemonė yra selektyvaus pobūdžio;</w:t>
      </w:r>
    </w:p>
    <w:p w14:paraId="339E3A62" w14:textId="0575073A" w:rsidR="004334C8" w:rsidRPr="00C43C8F" w:rsidRDefault="00033E04" w:rsidP="002759F7">
      <w:pPr>
        <w:tabs>
          <w:tab w:val="left" w:pos="0"/>
          <w:tab w:val="left" w:pos="1701"/>
        </w:tabs>
      </w:pPr>
      <w:r>
        <w:t>32</w:t>
      </w:r>
      <w:r w:rsidR="00935622" w:rsidRPr="00C43C8F">
        <w:t>.4. finansavimas gali iškraipyti konkurenciją ir veikti prekybą tarp ES šalių</w:t>
      </w:r>
      <w:r w:rsidR="008A1967" w:rsidRPr="00C43C8F">
        <w:rPr>
          <w:i/>
        </w:rPr>
        <w:t>.</w:t>
      </w:r>
    </w:p>
    <w:p w14:paraId="26740764" w14:textId="77777777" w:rsidR="0017184B" w:rsidRPr="00C43C8F" w:rsidRDefault="00F05128" w:rsidP="00774F7D">
      <w:pPr>
        <w:pStyle w:val="Heading1"/>
        <w:keepNext/>
        <w:rPr>
          <w:lang w:eastAsia="lt-LT"/>
        </w:rPr>
      </w:pPr>
      <w:r w:rsidRPr="00C43C8F">
        <w:rPr>
          <w:lang w:eastAsia="lt-LT"/>
        </w:rPr>
        <w:lastRenderedPageBreak/>
        <w:t>IV</w:t>
      </w:r>
      <w:r w:rsidR="00AA4FF5" w:rsidRPr="00C43C8F">
        <w:rPr>
          <w:lang w:eastAsia="lt-LT"/>
        </w:rPr>
        <w:t xml:space="preserve"> </w:t>
      </w:r>
      <w:r w:rsidR="0017184B" w:rsidRPr="00C43C8F">
        <w:rPr>
          <w:lang w:eastAsia="lt-LT"/>
        </w:rPr>
        <w:t>SKYRIUS</w:t>
      </w:r>
    </w:p>
    <w:p w14:paraId="4C4C539B" w14:textId="77777777" w:rsidR="00F05128" w:rsidRPr="00C43C8F" w:rsidRDefault="00F05128" w:rsidP="00774F7D">
      <w:pPr>
        <w:pStyle w:val="Heading1"/>
        <w:keepNext/>
        <w:rPr>
          <w:lang w:eastAsia="lt-LT"/>
        </w:rPr>
      </w:pPr>
      <w:r w:rsidRPr="00C43C8F">
        <w:rPr>
          <w:lang w:eastAsia="lt-LT"/>
        </w:rPr>
        <w:t xml:space="preserve"> TINKAMŲ FINANSUOTI PROJEKTO IŠLAIDŲ IR FINANSAVIMO REIKALAVIMAI</w:t>
      </w:r>
    </w:p>
    <w:p w14:paraId="273037B4" w14:textId="77777777" w:rsidR="00697E65" w:rsidRPr="00C43C8F" w:rsidRDefault="00697E65" w:rsidP="00774F7D">
      <w:pPr>
        <w:keepNext/>
        <w:rPr>
          <w:lang w:eastAsia="lt-LT"/>
        </w:rPr>
      </w:pPr>
    </w:p>
    <w:p w14:paraId="7FD5B86C" w14:textId="0670AF2C" w:rsidR="001D24E0" w:rsidRPr="00C43C8F" w:rsidRDefault="00033E04" w:rsidP="001D24E0">
      <w:pPr>
        <w:tabs>
          <w:tab w:val="left" w:pos="993"/>
        </w:tabs>
        <w:rPr>
          <w:rFonts w:eastAsia="Times New Roman"/>
          <w:lang w:eastAsia="lt-LT"/>
        </w:rPr>
      </w:pPr>
      <w:r>
        <w:rPr>
          <w:lang w:eastAsia="lt-LT"/>
        </w:rPr>
        <w:t>33</w:t>
      </w:r>
      <w:r w:rsidR="005155FA" w:rsidRPr="00C43C8F">
        <w:rPr>
          <w:lang w:eastAsia="lt-LT"/>
        </w:rPr>
        <w:t xml:space="preserve">. </w:t>
      </w:r>
      <w:r w:rsidR="001D24E0" w:rsidRPr="00C43C8F">
        <w:rPr>
          <w:rFonts w:eastAsia="Times New Roman"/>
          <w:lang w:eastAsia="lt-LT"/>
        </w:rPr>
        <w:t xml:space="preserve">Projekto išlaidos turi atitikti Projektų taisyklių VI skyriuje, Rekomendacijose dėl projektų išlaidų atitikties Europos Sąjungos struktūrinių fondų reikalavimams, </w:t>
      </w:r>
      <w:r w:rsidR="001D24E0" w:rsidRPr="00C43C8F">
        <w:t xml:space="preserve">patvirtintose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kurios paskelbtos </w:t>
      </w:r>
      <w:r w:rsidR="006F2B1A" w:rsidRPr="00C43C8F">
        <w:t>ES struktūrinių fondų</w:t>
      </w:r>
      <w:r w:rsidR="001D24E0" w:rsidRPr="00C43C8F">
        <w:t xml:space="preserve"> svetainėje </w:t>
      </w:r>
      <w:hyperlink r:id="rId11" w:history="1">
        <w:r w:rsidR="001D24E0" w:rsidRPr="00C43C8F">
          <w:rPr>
            <w:rStyle w:val="Hyperlink"/>
            <w:color w:val="auto"/>
            <w:u w:val="none"/>
          </w:rPr>
          <w:t>www.esinvesticijos.lt</w:t>
        </w:r>
      </w:hyperlink>
      <w:r w:rsidR="001D24E0" w:rsidRPr="00C43C8F">
        <w:t xml:space="preserve"> </w:t>
      </w:r>
      <w:r w:rsidR="001D24E0" w:rsidRPr="00C43C8F">
        <w:rPr>
          <w:rFonts w:eastAsia="Times New Roman"/>
          <w:lang w:eastAsia="lt-LT"/>
        </w:rPr>
        <w:t xml:space="preserve">(toliau – Rekomendacijos dėl projektų išlaidų atitikties) bei </w:t>
      </w:r>
      <w:r w:rsidR="001D24E0" w:rsidRPr="00C43C8F">
        <w:t>Reglamento (ES) Nr. 651/2014 53 straipsnio 4 dalyje nustatytus reikalavimus</w:t>
      </w:r>
      <w:r w:rsidR="002603BA" w:rsidRPr="00C43C8F">
        <w:t xml:space="preserve">. </w:t>
      </w:r>
      <w:r w:rsidR="001D24E0" w:rsidRPr="00C43C8F">
        <w:rPr>
          <w:rFonts w:eastAsia="Times New Roman"/>
          <w:lang w:eastAsia="lt-LT"/>
        </w:rPr>
        <w:t>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p>
    <w:p w14:paraId="451104BD" w14:textId="1CB04068" w:rsidR="00043383" w:rsidRPr="00C43C8F" w:rsidRDefault="00033E04" w:rsidP="00B30FB7">
      <w:pPr>
        <w:rPr>
          <w:strike/>
          <w:lang w:eastAsia="lt-LT"/>
        </w:rPr>
      </w:pPr>
      <w:r>
        <w:rPr>
          <w:lang w:eastAsia="lt-LT"/>
        </w:rPr>
        <w:t>34</w:t>
      </w:r>
      <w:r w:rsidR="00043383" w:rsidRPr="00C43C8F">
        <w:rPr>
          <w:lang w:eastAsia="lt-LT"/>
        </w:rPr>
        <w:t xml:space="preserve">. </w:t>
      </w:r>
      <w:r w:rsidR="002C37ED" w:rsidRPr="00C43C8F">
        <w:t>Didžiausia bendra investicijų projekto</w:t>
      </w:r>
      <w:r w:rsidR="00F24E5D" w:rsidRPr="00C43C8F">
        <w:t xml:space="preserve"> </w:t>
      </w:r>
      <w:r w:rsidR="002C37ED" w:rsidRPr="00C43C8F">
        <w:t>išlaidų vertė yra 5 000 000,00 Eur (penki milijonai eurų).</w:t>
      </w:r>
    </w:p>
    <w:p w14:paraId="38EFAA17" w14:textId="29EFF993" w:rsidR="00290CD5" w:rsidRPr="00C43C8F" w:rsidRDefault="00033E04" w:rsidP="00B30FB7">
      <w:pPr>
        <w:rPr>
          <w:lang w:eastAsia="lt-LT"/>
        </w:rPr>
      </w:pPr>
      <w:r>
        <w:rPr>
          <w:lang w:eastAsia="lt-LT"/>
        </w:rPr>
        <w:t>35</w:t>
      </w:r>
      <w:r w:rsidR="00043383" w:rsidRPr="00C43C8F">
        <w:rPr>
          <w:lang w:eastAsia="lt-LT"/>
        </w:rPr>
        <w:t xml:space="preserve">. </w:t>
      </w:r>
      <w:r w:rsidR="008817C6">
        <w:t xml:space="preserve">Didžiausia galima projekto finansuojamoji dalis sudaro 85 proc. visų tinkamų finansuoti </w:t>
      </w:r>
      <w:r w:rsidR="008817C6" w:rsidRPr="008817C6">
        <w:t>projekto išlaidų. Projekto vykdytojas ir (ar) partneris (-iai) privalo prisidėti prie projekto ne mažiau nei 15 proc. visų tinkamų finansuoti projekto išlaidų. Pareiškėjo ir (arba) partnerio nuosavo indėlio dalis, sudaranti 15 proc. nuo visų tinkamų finansuoti projekto išlaidų, negali būti finansuojama Valstybės investicijų programos lėšomis. Pareiškėjas ir (arba) partneris savo iniciatyva ir savo ir (arba) kitų šaltinių lėšomis gali prisidėti prie projekto įgyvendinimo didesne, nei reikalaujama suma.</w:t>
      </w:r>
      <w:r w:rsidR="008817C6">
        <w:t xml:space="preserve"> </w:t>
      </w:r>
    </w:p>
    <w:p w14:paraId="221964AC" w14:textId="64244AF5" w:rsidR="00E6643E" w:rsidRPr="00C43C8F" w:rsidRDefault="002759F7" w:rsidP="00E6643E">
      <w:pPr>
        <w:pStyle w:val="ListParagraph"/>
        <w:tabs>
          <w:tab w:val="left" w:pos="993"/>
          <w:tab w:val="left" w:pos="1134"/>
        </w:tabs>
        <w:ind w:left="0"/>
      </w:pPr>
      <w:r w:rsidRPr="00C43C8F">
        <w:rPr>
          <w:lang w:eastAsia="lt-LT"/>
        </w:rPr>
        <w:t>3</w:t>
      </w:r>
      <w:r w:rsidR="00033E04">
        <w:rPr>
          <w:lang w:eastAsia="lt-LT"/>
        </w:rPr>
        <w:t>6</w:t>
      </w:r>
      <w:r w:rsidR="00290CD5" w:rsidRPr="00C43C8F">
        <w:rPr>
          <w:lang w:eastAsia="lt-LT"/>
        </w:rPr>
        <w:t>.</w:t>
      </w:r>
      <w:r w:rsidR="00A73FB0" w:rsidRPr="00C43C8F">
        <w:rPr>
          <w:rFonts w:eastAsia="Times New Roman"/>
          <w:lang w:eastAsia="lt-LT"/>
        </w:rPr>
        <w:t xml:space="preserve"> </w:t>
      </w:r>
      <w:r w:rsidR="00E6643E" w:rsidRPr="00C43C8F">
        <w:rPr>
          <w:rFonts w:eastAsia="Times New Roman"/>
        </w:rPr>
        <w:t xml:space="preserve">Jeigu projektui taikoma valstybės pagalba, vadovaujantis </w:t>
      </w:r>
      <w:r w:rsidR="00E6643E" w:rsidRPr="00C43C8F">
        <w:t>Reglamento (ES) Nr. 651/2014 53 straipsnio 6 dalimi valstybės pagalbos dydis negali viršyti tinkamų finansuoti išlaidų ir investicijos veiklos pelno skirtumo. Valstybės pagalbos dydžiui nustatyti pareiškėjas, teikdamas paraišką, turi pateikti informaciją apie prognozuojamus finansinius srautus (pildomas Aprašo 3 priedas).</w:t>
      </w:r>
    </w:p>
    <w:p w14:paraId="562D0361" w14:textId="4632E7B6" w:rsidR="00AB1676" w:rsidRPr="00C43C8F" w:rsidRDefault="002759F7" w:rsidP="00B30FB7">
      <w:pPr>
        <w:rPr>
          <w:lang w:eastAsia="lt-LT"/>
        </w:rPr>
      </w:pPr>
      <w:r w:rsidRPr="00C43C8F">
        <w:rPr>
          <w:lang w:eastAsia="lt-LT"/>
        </w:rPr>
        <w:t>3</w:t>
      </w:r>
      <w:r w:rsidR="00033E04">
        <w:rPr>
          <w:lang w:eastAsia="lt-LT"/>
        </w:rPr>
        <w:t>7</w:t>
      </w:r>
      <w:r w:rsidR="00043383" w:rsidRPr="00C43C8F">
        <w:rPr>
          <w:lang w:eastAsia="lt-LT"/>
        </w:rPr>
        <w:t xml:space="preserve">. </w:t>
      </w:r>
      <w:r w:rsidR="00DE6E2E">
        <w:t>Projekto išlaidų dalis, kurios nepadengia projektui skiriamo finansavimo lėšos, turi būti finansuojama iš projekto vykdytojo ir (ar) partnerio (-ių) lėšų</w:t>
      </w:r>
      <w:r w:rsidR="00825B45" w:rsidRPr="00C43C8F">
        <w:rPr>
          <w:lang w:eastAsia="lt-LT"/>
        </w:rPr>
        <w:t xml:space="preserve">. </w:t>
      </w:r>
    </w:p>
    <w:p w14:paraId="17E7780F" w14:textId="76874548" w:rsidR="00217458" w:rsidRPr="00C43C8F" w:rsidRDefault="002759F7" w:rsidP="00B30FB7">
      <w:pPr>
        <w:rPr>
          <w:lang w:eastAsia="lt-LT"/>
        </w:rPr>
      </w:pPr>
      <w:r w:rsidRPr="00C43C8F">
        <w:rPr>
          <w:lang w:eastAsia="lt-LT"/>
        </w:rPr>
        <w:t>3</w:t>
      </w:r>
      <w:r w:rsidR="00033E04">
        <w:rPr>
          <w:lang w:eastAsia="lt-LT"/>
        </w:rPr>
        <w:t>8</w:t>
      </w:r>
      <w:r w:rsidR="00217458" w:rsidRPr="00C43C8F">
        <w:rPr>
          <w:lang w:eastAsia="lt-LT"/>
        </w:rPr>
        <w:t>. Pagal Apr</w:t>
      </w:r>
      <w:r w:rsidR="002C501E" w:rsidRPr="00C43C8F">
        <w:rPr>
          <w:lang w:eastAsia="lt-LT"/>
        </w:rPr>
        <w:t>ašą tinkamų</w:t>
      </w:r>
      <w:r w:rsidR="00B805A4" w:rsidRPr="00C43C8F">
        <w:rPr>
          <w:lang w:eastAsia="lt-LT"/>
        </w:rPr>
        <w:t xml:space="preserve"> arba netinkamų</w:t>
      </w:r>
      <w:r w:rsidR="00217458" w:rsidRPr="00C43C8F">
        <w:rPr>
          <w:lang w:eastAsia="lt-LT"/>
        </w:rPr>
        <w:t xml:space="preserve"> finansuoti išlaidų kategorijos yra šios: </w:t>
      </w:r>
    </w:p>
    <w:p w14:paraId="25F5866E" w14:textId="77777777" w:rsidR="00774F7D" w:rsidRPr="00C43C8F" w:rsidRDefault="00774F7D"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103"/>
      </w:tblGrid>
      <w:tr w:rsidR="00D65199" w:rsidRPr="00C43C8F" w14:paraId="75D1F006"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32FF87" w14:textId="77777777" w:rsidR="00B805A4" w:rsidRPr="00C43C8F" w:rsidRDefault="00B805A4" w:rsidP="002E50EA">
            <w:pPr>
              <w:ind w:firstLine="0"/>
              <w:rPr>
                <w:lang w:eastAsia="lt-LT"/>
              </w:rPr>
            </w:pPr>
            <w:r w:rsidRPr="00C43C8F">
              <w:rPr>
                <w:lang w:eastAsia="lt-LT"/>
              </w:rPr>
              <w:t>Išlaidų katego</w:t>
            </w:r>
            <w:r w:rsidR="00245FAB" w:rsidRPr="00C43C8F">
              <w:rPr>
                <w:lang w:eastAsia="lt-LT"/>
              </w:rPr>
              <w:t>-</w:t>
            </w:r>
            <w:r w:rsidRPr="00C43C8F">
              <w:rPr>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1C884" w14:textId="77777777" w:rsidR="00B805A4" w:rsidRPr="00C43C8F" w:rsidRDefault="00B805A4" w:rsidP="002E50EA">
            <w:pPr>
              <w:ind w:firstLine="0"/>
              <w:jc w:val="left"/>
              <w:rPr>
                <w:lang w:eastAsia="lt-LT"/>
              </w:rPr>
            </w:pPr>
            <w:r w:rsidRPr="00C43C8F">
              <w:rPr>
                <w:lang w:eastAsia="lt-LT"/>
              </w:rPr>
              <w:t>Išlaidų kategorijos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F64E10" w14:textId="77777777" w:rsidR="00A8163F" w:rsidRPr="00C43C8F" w:rsidRDefault="00C500B9" w:rsidP="002E50EA">
            <w:pPr>
              <w:ind w:firstLine="0"/>
              <w:rPr>
                <w:lang w:eastAsia="lt-LT"/>
              </w:rPr>
            </w:pPr>
            <w:r w:rsidRPr="00C43C8F">
              <w:rPr>
                <w:lang w:eastAsia="lt-LT"/>
              </w:rPr>
              <w:t xml:space="preserve">Reikalavimai ir </w:t>
            </w:r>
            <w:r w:rsidR="00410562" w:rsidRPr="00C43C8F">
              <w:rPr>
                <w:lang w:eastAsia="lt-LT"/>
              </w:rPr>
              <w:t>paaiškinimai</w:t>
            </w:r>
          </w:p>
          <w:p w14:paraId="671D9B0B" w14:textId="77777777" w:rsidR="00B805A4" w:rsidRPr="00C43C8F" w:rsidRDefault="00B805A4" w:rsidP="002E50EA">
            <w:pPr>
              <w:ind w:firstLine="0"/>
              <w:rPr>
                <w:lang w:eastAsia="lt-LT"/>
              </w:rPr>
            </w:pPr>
          </w:p>
        </w:tc>
      </w:tr>
      <w:tr w:rsidR="00D65199" w:rsidRPr="00C43C8F" w14:paraId="77315FC3"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F22020" w14:textId="77777777" w:rsidR="00191288" w:rsidRPr="00C43C8F" w:rsidRDefault="00191288" w:rsidP="002E50EA">
            <w:pPr>
              <w:ind w:firstLine="0"/>
              <w:rPr>
                <w:lang w:eastAsia="lt-LT"/>
              </w:rPr>
            </w:pPr>
            <w:r w:rsidRPr="00C43C8F">
              <w:rPr>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72E8A" w14:textId="77777777" w:rsidR="00191288" w:rsidRPr="00C43C8F" w:rsidRDefault="00191288" w:rsidP="002E50EA">
            <w:pPr>
              <w:ind w:firstLine="0"/>
              <w:rPr>
                <w:lang w:eastAsia="lt-LT"/>
              </w:rPr>
            </w:pPr>
            <w:r w:rsidRPr="00C43C8F">
              <w:rPr>
                <w:lang w:eastAsia="lt-LT"/>
              </w:rPr>
              <w:t>Žemė</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44511F7A" w14:textId="77777777" w:rsidR="00191288" w:rsidRPr="00C43C8F" w:rsidRDefault="00191288" w:rsidP="001D51A5">
            <w:pPr>
              <w:rPr>
                <w:rFonts w:eastAsia="Times New Roman"/>
                <w:lang w:eastAsia="lt-LT"/>
              </w:rPr>
            </w:pPr>
            <w:r w:rsidRPr="00C43C8F">
              <w:rPr>
                <w:rFonts w:eastAsia="Times New Roman"/>
                <w:lang w:eastAsia="lt-LT"/>
              </w:rPr>
              <w:t>Netinkama finansuoti.</w:t>
            </w:r>
          </w:p>
        </w:tc>
      </w:tr>
      <w:tr w:rsidR="00D65199" w:rsidRPr="00C43C8F" w14:paraId="604BA562"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33B0E1" w14:textId="77777777" w:rsidR="00191288" w:rsidRPr="00C43C8F" w:rsidRDefault="00191288" w:rsidP="002E50EA">
            <w:pPr>
              <w:ind w:firstLine="0"/>
              <w:rPr>
                <w:lang w:eastAsia="lt-LT"/>
              </w:rPr>
            </w:pPr>
            <w:r w:rsidRPr="00C43C8F">
              <w:rPr>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157717" w14:textId="77777777" w:rsidR="00191288" w:rsidRPr="00C43C8F" w:rsidRDefault="00191288" w:rsidP="002E50EA">
            <w:pPr>
              <w:ind w:firstLine="0"/>
              <w:rPr>
                <w:lang w:eastAsia="lt-LT"/>
              </w:rPr>
            </w:pPr>
            <w:r w:rsidRPr="00C43C8F">
              <w:rPr>
                <w:lang w:eastAsia="lt-LT"/>
              </w:rPr>
              <w:t>Nekilnojamasis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20866E8C" w14:textId="77777777" w:rsidR="00191288" w:rsidRPr="00C43C8F" w:rsidRDefault="00191288" w:rsidP="001D51A5">
            <w:pPr>
              <w:rPr>
                <w:rFonts w:eastAsia="Times New Roman"/>
                <w:b/>
                <w:bCs/>
                <w:lang w:eastAsia="lt-LT"/>
              </w:rPr>
            </w:pPr>
            <w:r w:rsidRPr="00C43C8F">
              <w:rPr>
                <w:rFonts w:eastAsia="Times New Roman"/>
                <w:lang w:eastAsia="lt-LT"/>
              </w:rPr>
              <w:t>Netinkama finansuoti.</w:t>
            </w:r>
          </w:p>
        </w:tc>
      </w:tr>
      <w:tr w:rsidR="00D65199" w:rsidRPr="00C43C8F" w14:paraId="326D5AED"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4871A" w14:textId="77777777" w:rsidR="003738E6" w:rsidRPr="00C43C8F" w:rsidRDefault="003738E6" w:rsidP="002E50EA">
            <w:pPr>
              <w:ind w:firstLine="0"/>
              <w:rPr>
                <w:lang w:eastAsia="lt-LT"/>
              </w:rPr>
            </w:pPr>
            <w:r w:rsidRPr="00C43C8F">
              <w:rPr>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FDCDE" w14:textId="77777777" w:rsidR="003738E6" w:rsidRPr="00C43C8F" w:rsidRDefault="003738E6" w:rsidP="00C4067F">
            <w:pPr>
              <w:ind w:firstLine="0"/>
              <w:jc w:val="left"/>
              <w:rPr>
                <w:lang w:eastAsia="lt-LT"/>
              </w:rPr>
            </w:pPr>
            <w:r w:rsidRPr="00C43C8F">
              <w:rPr>
                <w:lang w:eastAsia="lt-LT"/>
              </w:rPr>
              <w:t>Statyba, rekonstravimas, remontas ir kiti darbai</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7919041E" w14:textId="77777777" w:rsidR="003738E6" w:rsidRPr="00305AA7" w:rsidRDefault="003738E6" w:rsidP="001528FC">
            <w:pPr>
              <w:pStyle w:val="ListParagraph"/>
              <w:tabs>
                <w:tab w:val="left" w:pos="993"/>
              </w:tabs>
              <w:ind w:left="33"/>
              <w:rPr>
                <w:bCs/>
              </w:rPr>
            </w:pPr>
            <w:r w:rsidRPr="00305AA7">
              <w:rPr>
                <w:rFonts w:eastAsia="Times New Roman"/>
                <w:bCs/>
                <w:lang w:eastAsia="lt-LT"/>
              </w:rPr>
              <w:t>Tinkamomis finansuoti laikomos išlaidos atitinkančios Rekomendacijų dėl išlaidų atitikties 1 lentelės „</w:t>
            </w:r>
            <w:r w:rsidRPr="00305AA7">
              <w:rPr>
                <w:bCs/>
              </w:rPr>
              <w:t>Projekto biudžeto išlaidų kategorijų aprašas“ nuostatas.</w:t>
            </w:r>
          </w:p>
          <w:p w14:paraId="4904510F" w14:textId="77777777" w:rsidR="00305AA7" w:rsidRPr="00305AA7" w:rsidRDefault="00305AA7" w:rsidP="00305AA7">
            <w:pPr>
              <w:pStyle w:val="ListParagraph"/>
              <w:tabs>
                <w:tab w:val="left" w:pos="993"/>
              </w:tabs>
              <w:ind w:left="33"/>
              <w:rPr>
                <w:bCs/>
              </w:rPr>
            </w:pPr>
            <w:r w:rsidRPr="00305AA7">
              <w:rPr>
                <w:bCs/>
              </w:rPr>
              <w:t>Projektui taikoma kasmetinių atostogų išmokų fiksuotoji norma, taikoma projektą vykdančio personalo darbo užmokesčio už kasmetines atostogas ir (ar) kompensacijos už nepanaudotas kasmetines atostogas išlaidoms, vadovaujantis 2016 m. sausio 19 d. Lietuvos Respublikos finansų ministerijos patvirtinta Kasmetinių atostogų išmokų fiksuotųjų normų nustatymo tyrimo ataskaita.</w:t>
            </w:r>
          </w:p>
          <w:p w14:paraId="4FBFDA13" w14:textId="77777777" w:rsidR="003738E6" w:rsidRPr="00305AA7" w:rsidRDefault="003738E6" w:rsidP="00AC773D">
            <w:pPr>
              <w:pStyle w:val="ListParagraph"/>
              <w:tabs>
                <w:tab w:val="left" w:pos="993"/>
              </w:tabs>
              <w:ind w:left="33" w:firstLine="709"/>
              <w:rPr>
                <w:b/>
                <w:bCs/>
              </w:rPr>
            </w:pPr>
            <w:r w:rsidRPr="00305AA7">
              <w:rPr>
                <w:bCs/>
              </w:rPr>
              <w:t xml:space="preserve">Netinkamomis finansuoti laikomos </w:t>
            </w:r>
            <w:r w:rsidRPr="00305AA7">
              <w:rPr>
                <w:bCs/>
              </w:rPr>
              <w:lastRenderedPageBreak/>
              <w:t>išlaidos:</w:t>
            </w:r>
            <w:r w:rsidRPr="00305AA7">
              <w:rPr>
                <w:b/>
                <w:bCs/>
              </w:rPr>
              <w:t xml:space="preserve"> </w:t>
            </w:r>
          </w:p>
          <w:p w14:paraId="0E1DE964" w14:textId="77777777" w:rsidR="003738E6" w:rsidRPr="00305AA7" w:rsidRDefault="003738E6" w:rsidP="003738E6">
            <w:pPr>
              <w:pStyle w:val="ListParagraph"/>
              <w:numPr>
                <w:ilvl w:val="0"/>
                <w:numId w:val="14"/>
              </w:numPr>
              <w:tabs>
                <w:tab w:val="left" w:pos="993"/>
              </w:tabs>
              <w:rPr>
                <w:lang w:eastAsia="lt-LT"/>
              </w:rPr>
            </w:pPr>
            <w:r w:rsidRPr="00305AA7">
              <w:rPr>
                <w:rFonts w:eastAsia="Times New Roman"/>
                <w:lang w:eastAsia="lt-LT"/>
              </w:rPr>
              <w:t xml:space="preserve">naujų pastatų statybos išlaidos; </w:t>
            </w:r>
          </w:p>
          <w:p w14:paraId="2C8F56AE" w14:textId="77777777" w:rsidR="00A80486" w:rsidRPr="00305AA7" w:rsidRDefault="003738E6" w:rsidP="003738E6">
            <w:pPr>
              <w:pStyle w:val="ListParagraph"/>
              <w:numPr>
                <w:ilvl w:val="0"/>
                <w:numId w:val="14"/>
              </w:numPr>
              <w:tabs>
                <w:tab w:val="left" w:pos="993"/>
              </w:tabs>
            </w:pPr>
            <w:r w:rsidRPr="00305AA7">
              <w:rPr>
                <w:rFonts w:eastAsia="Times New Roman"/>
                <w:lang w:eastAsia="lt-LT"/>
              </w:rPr>
              <w:t>naujų ir esamų inžinerinių statinių statybos išlaidos, išskyrus išlaidas, kurios</w:t>
            </w:r>
            <w:r w:rsidR="00A80486" w:rsidRPr="00305AA7">
              <w:rPr>
                <w:rFonts w:eastAsia="Times New Roman"/>
                <w:lang w:eastAsia="lt-LT"/>
              </w:rPr>
              <w:t>:</w:t>
            </w:r>
          </w:p>
          <w:p w14:paraId="11FD1147" w14:textId="77777777" w:rsidR="003738E6" w:rsidRPr="00305AA7" w:rsidRDefault="00A80486" w:rsidP="00A80486">
            <w:pPr>
              <w:pStyle w:val="ListParagraph"/>
              <w:tabs>
                <w:tab w:val="left" w:pos="884"/>
              </w:tabs>
              <w:ind w:left="753" w:firstLine="0"/>
              <w:rPr>
                <w:rFonts w:eastAsia="Times New Roman"/>
                <w:lang w:eastAsia="lt-LT"/>
              </w:rPr>
            </w:pPr>
            <w:r w:rsidRPr="00305AA7">
              <w:rPr>
                <w:rFonts w:eastAsia="Times New Roman"/>
                <w:lang w:eastAsia="lt-LT"/>
              </w:rPr>
              <w:t xml:space="preserve">- </w:t>
            </w:r>
            <w:r w:rsidR="00DA3FA4" w:rsidRPr="00305AA7">
              <w:rPr>
                <w:rFonts w:eastAsia="Times New Roman"/>
                <w:lang w:eastAsia="lt-LT"/>
              </w:rPr>
              <w:t xml:space="preserve">    </w:t>
            </w:r>
            <w:r w:rsidR="003738E6" w:rsidRPr="00305AA7">
              <w:rPr>
                <w:rFonts w:eastAsia="Times New Roman"/>
                <w:lang w:eastAsia="lt-LT"/>
              </w:rPr>
              <w:t>būtinos pastatą tinkamai naudoti;</w:t>
            </w:r>
          </w:p>
          <w:p w14:paraId="348C8FE2" w14:textId="1B6300F7" w:rsidR="00A80486" w:rsidRPr="00305AA7" w:rsidRDefault="00A80486" w:rsidP="007217C1">
            <w:pPr>
              <w:pStyle w:val="ListParagraph"/>
              <w:tabs>
                <w:tab w:val="left" w:pos="1026"/>
                <w:tab w:val="left" w:pos="1167"/>
              </w:tabs>
              <w:ind w:left="753" w:firstLine="0"/>
            </w:pPr>
            <w:r w:rsidRPr="00305AA7">
              <w:rPr>
                <w:rFonts w:eastAsia="Times New Roman"/>
                <w:lang w:eastAsia="lt-LT"/>
              </w:rPr>
              <w:t>- skirtas sutvarkyti nacionalinio reikšmingumo lygio kultūr</w:t>
            </w:r>
            <w:r w:rsidR="00024BB0" w:rsidRPr="00305AA7">
              <w:rPr>
                <w:rFonts w:eastAsia="Times New Roman"/>
                <w:lang w:eastAsia="lt-LT"/>
              </w:rPr>
              <w:t>os paveldo objektui ar vietovei;</w:t>
            </w:r>
          </w:p>
          <w:p w14:paraId="0F78A8B2" w14:textId="6365E149" w:rsidR="003738E6" w:rsidRPr="00305AA7" w:rsidRDefault="003738E6" w:rsidP="003738E6">
            <w:pPr>
              <w:pStyle w:val="ListParagraph"/>
              <w:numPr>
                <w:ilvl w:val="0"/>
                <w:numId w:val="14"/>
              </w:numPr>
              <w:tabs>
                <w:tab w:val="left" w:pos="993"/>
              </w:tabs>
            </w:pPr>
            <w:r w:rsidRPr="00305AA7">
              <w:rPr>
                <w:rFonts w:eastAsia="Times New Roman"/>
                <w:lang w:eastAsia="lt-LT"/>
              </w:rPr>
              <w:t xml:space="preserve">naujų pastato aukštų, rūsių ar priestatų statybos išlaidos, išskyrus kai </w:t>
            </w:r>
            <w:r w:rsidR="00305AA7" w:rsidRPr="00305AA7">
              <w:rPr>
                <w:rFonts w:eastAsia="Times New Roman"/>
                <w:lang w:eastAsia="lt-LT"/>
              </w:rPr>
              <w:t>tokios i</w:t>
            </w:r>
            <w:r w:rsidR="005C339A">
              <w:rPr>
                <w:rFonts w:eastAsia="Times New Roman"/>
                <w:lang w:eastAsia="lt-LT"/>
              </w:rPr>
              <w:t>š</w:t>
            </w:r>
            <w:r w:rsidR="00305AA7" w:rsidRPr="00305AA7">
              <w:rPr>
                <w:rFonts w:eastAsia="Times New Roman"/>
                <w:lang w:eastAsia="lt-LT"/>
              </w:rPr>
              <w:t>laidos yra būtinos kultūrinės veiklos vykdymui, j</w:t>
            </w:r>
            <w:r w:rsidRPr="00305AA7">
              <w:rPr>
                <w:rFonts w:eastAsia="Times New Roman"/>
                <w:lang w:eastAsia="lt-LT"/>
              </w:rPr>
              <w:t xml:space="preserve">ų būtinumas yra pagrįstas investicijų projekte ir jos nurodytos patvirtintame projektiniame pasiūlyme; </w:t>
            </w:r>
          </w:p>
          <w:p w14:paraId="22EC751B" w14:textId="77777777" w:rsidR="00DA3FA4" w:rsidRPr="00305AA7" w:rsidRDefault="003738E6" w:rsidP="003738E6">
            <w:pPr>
              <w:pStyle w:val="ListParagraph"/>
              <w:numPr>
                <w:ilvl w:val="0"/>
                <w:numId w:val="14"/>
              </w:numPr>
              <w:rPr>
                <w:rFonts w:eastAsia="Times New Roman"/>
                <w:b/>
                <w:bCs/>
                <w:lang w:eastAsia="lt-LT"/>
              </w:rPr>
            </w:pPr>
            <w:r w:rsidRPr="00305AA7">
              <w:rPr>
                <w:rFonts w:eastAsia="Times New Roman"/>
                <w:lang w:eastAsia="lt-LT"/>
              </w:rPr>
              <w:t>viešųjų erdvių, aplinkos (sklypo) tvarkymo ir su tuo susijusios išlaidos, išskyrus išlaidas, kurios</w:t>
            </w:r>
            <w:r w:rsidR="00DA3FA4" w:rsidRPr="00305AA7">
              <w:rPr>
                <w:rFonts w:eastAsia="Times New Roman"/>
                <w:lang w:eastAsia="lt-LT"/>
              </w:rPr>
              <w:t>:</w:t>
            </w:r>
          </w:p>
          <w:p w14:paraId="64554860" w14:textId="77777777" w:rsidR="003738E6" w:rsidRPr="00305AA7" w:rsidRDefault="00DA3FA4" w:rsidP="00DA3FA4">
            <w:pPr>
              <w:pStyle w:val="ListParagraph"/>
              <w:ind w:left="753" w:firstLine="0"/>
              <w:rPr>
                <w:rFonts w:eastAsia="Times New Roman"/>
                <w:lang w:eastAsia="lt-LT"/>
              </w:rPr>
            </w:pPr>
            <w:r w:rsidRPr="00305AA7">
              <w:rPr>
                <w:rFonts w:eastAsia="Times New Roman"/>
                <w:lang w:eastAsia="lt-LT"/>
              </w:rPr>
              <w:t>-</w:t>
            </w:r>
            <w:r w:rsidR="003738E6" w:rsidRPr="00305AA7">
              <w:rPr>
                <w:rFonts w:eastAsia="Times New Roman"/>
                <w:lang w:eastAsia="lt-LT"/>
              </w:rPr>
              <w:t xml:space="preserve"> </w:t>
            </w:r>
            <w:r w:rsidRPr="00305AA7">
              <w:rPr>
                <w:rFonts w:eastAsia="Times New Roman"/>
                <w:lang w:eastAsia="lt-LT"/>
              </w:rPr>
              <w:t xml:space="preserve">  </w:t>
            </w:r>
            <w:r w:rsidR="003738E6" w:rsidRPr="00305AA7">
              <w:rPr>
                <w:rFonts w:eastAsia="Times New Roman"/>
                <w:lang w:eastAsia="lt-LT"/>
              </w:rPr>
              <w:t xml:space="preserve">būtinos </w:t>
            </w:r>
            <w:r w:rsidR="009D49E7" w:rsidRPr="00305AA7">
              <w:rPr>
                <w:rFonts w:eastAsia="Times New Roman"/>
                <w:lang w:eastAsia="lt-LT"/>
              </w:rPr>
              <w:t>pastatą tinkamai naudoti</w:t>
            </w:r>
            <w:r w:rsidRPr="00305AA7">
              <w:rPr>
                <w:rFonts w:eastAsia="Times New Roman"/>
                <w:lang w:eastAsia="lt-LT"/>
              </w:rPr>
              <w:t>;</w:t>
            </w:r>
          </w:p>
          <w:p w14:paraId="36C6743A" w14:textId="784DB84A" w:rsidR="00DA3FA4" w:rsidRPr="00305AA7" w:rsidRDefault="00292E49" w:rsidP="00292E49">
            <w:pPr>
              <w:tabs>
                <w:tab w:val="left" w:pos="1026"/>
              </w:tabs>
              <w:ind w:left="742" w:firstLine="0"/>
            </w:pPr>
            <w:r w:rsidRPr="00305AA7">
              <w:t xml:space="preserve">- </w:t>
            </w:r>
            <w:r w:rsidR="00DA3FA4" w:rsidRPr="00305AA7">
              <w:t>skirtas sutvarkyti nacionalinio reikšmingumo lygio kultūros paveldo objektui ar vietovei</w:t>
            </w:r>
            <w:r w:rsidR="00024BB0" w:rsidRPr="00305AA7">
              <w:t>;</w:t>
            </w:r>
          </w:p>
          <w:p w14:paraId="76659761" w14:textId="77777777" w:rsidR="00186328" w:rsidRPr="00305AA7" w:rsidRDefault="00186328" w:rsidP="003738E6">
            <w:pPr>
              <w:pStyle w:val="ListParagraph"/>
              <w:numPr>
                <w:ilvl w:val="0"/>
                <w:numId w:val="14"/>
              </w:numPr>
              <w:rPr>
                <w:rFonts w:eastAsia="Times New Roman"/>
                <w:b/>
                <w:bCs/>
                <w:lang w:eastAsia="lt-LT"/>
              </w:rPr>
            </w:pPr>
            <w:r w:rsidRPr="00305AA7">
              <w:rPr>
                <w:rFonts w:eastAsia="Times New Roman"/>
                <w:lang w:eastAsia="lt-LT"/>
              </w:rPr>
              <w:t>neišlikusių kultūros paveldo objektų atkūrimo išlaidos.</w:t>
            </w:r>
          </w:p>
        </w:tc>
      </w:tr>
      <w:tr w:rsidR="00D65199" w:rsidRPr="00C43C8F" w14:paraId="258753AB"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460526" w14:textId="77777777" w:rsidR="003738E6" w:rsidRPr="00C43C8F" w:rsidRDefault="003738E6" w:rsidP="002E50EA">
            <w:pPr>
              <w:ind w:firstLine="0"/>
              <w:rPr>
                <w:lang w:eastAsia="lt-LT"/>
              </w:rPr>
            </w:pPr>
            <w:r w:rsidRPr="00C43C8F">
              <w:rPr>
                <w:lang w:eastAsia="lt-LT"/>
              </w:rPr>
              <w:lastRenderedPageBreak/>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404E7C" w14:textId="77777777" w:rsidR="003738E6" w:rsidRPr="00C43C8F" w:rsidRDefault="003738E6" w:rsidP="00C4067F">
            <w:pPr>
              <w:ind w:firstLine="0"/>
              <w:jc w:val="left"/>
              <w:rPr>
                <w:lang w:eastAsia="lt-LT"/>
              </w:rPr>
            </w:pPr>
            <w:r w:rsidRPr="00C43C8F">
              <w:rPr>
                <w:lang w:eastAsia="lt-LT"/>
              </w:rPr>
              <w:t>Įranga, įrenginiai ir kitas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3B0FB00E" w14:textId="77777777" w:rsidR="003738E6" w:rsidRPr="00305AA7" w:rsidRDefault="003738E6" w:rsidP="001528FC">
            <w:pPr>
              <w:pStyle w:val="ListParagraph"/>
              <w:tabs>
                <w:tab w:val="left" w:pos="993"/>
              </w:tabs>
              <w:ind w:left="33"/>
              <w:rPr>
                <w:bCs/>
              </w:rPr>
            </w:pPr>
            <w:r w:rsidRPr="00305AA7">
              <w:rPr>
                <w:rFonts w:eastAsia="Times New Roman"/>
                <w:bCs/>
                <w:lang w:eastAsia="lt-LT"/>
              </w:rPr>
              <w:t>Tinkamomis finansuoti laikomos išlaidos atitinkančios Rekomendacijų dėl išlaidų atitikties 1 lentelės „</w:t>
            </w:r>
            <w:r w:rsidRPr="00305AA7">
              <w:rPr>
                <w:bCs/>
              </w:rPr>
              <w:t>Projekto biudžeto išlaidų kategorijų aprašas“ nuostatas.</w:t>
            </w:r>
          </w:p>
          <w:p w14:paraId="06B9FE9E" w14:textId="77777777" w:rsidR="007A1C28" w:rsidRPr="00305AA7" w:rsidRDefault="003738E6" w:rsidP="007A1C28">
            <w:pPr>
              <w:pStyle w:val="ListParagraph"/>
              <w:tabs>
                <w:tab w:val="left" w:pos="993"/>
              </w:tabs>
              <w:ind w:left="884" w:firstLine="0"/>
              <w:rPr>
                <w:bCs/>
              </w:rPr>
            </w:pPr>
            <w:r w:rsidRPr="00305AA7">
              <w:rPr>
                <w:bCs/>
              </w:rPr>
              <w:t>Netinkamomis finansuoti laikomos</w:t>
            </w:r>
            <w:r w:rsidR="007A1C28" w:rsidRPr="00305AA7">
              <w:rPr>
                <w:bCs/>
              </w:rPr>
              <w:t>:</w:t>
            </w:r>
          </w:p>
          <w:p w14:paraId="63E1EE16" w14:textId="76C6A178" w:rsidR="003738E6" w:rsidRPr="00305AA7" w:rsidRDefault="003738E6" w:rsidP="007A1C28">
            <w:pPr>
              <w:pStyle w:val="ListParagraph"/>
              <w:numPr>
                <w:ilvl w:val="0"/>
                <w:numId w:val="14"/>
              </w:numPr>
              <w:tabs>
                <w:tab w:val="left" w:pos="993"/>
              </w:tabs>
              <w:ind w:left="884"/>
            </w:pPr>
            <w:r w:rsidRPr="00305AA7">
              <w:t>tikslinių transpor</w:t>
            </w:r>
            <w:r w:rsidR="007A1C28" w:rsidRPr="00305AA7">
              <w:t>to priemonių įsigijimo išlaidos;</w:t>
            </w:r>
          </w:p>
          <w:p w14:paraId="029B958C" w14:textId="4F0761D3" w:rsidR="007A1C28" w:rsidRPr="00305AA7" w:rsidRDefault="007A1C28" w:rsidP="007A1C28">
            <w:pPr>
              <w:pStyle w:val="ListParagraph"/>
              <w:numPr>
                <w:ilvl w:val="0"/>
                <w:numId w:val="26"/>
              </w:numPr>
              <w:tabs>
                <w:tab w:val="left" w:pos="993"/>
              </w:tabs>
              <w:ind w:left="884"/>
              <w:rPr>
                <w:b/>
                <w:bCs/>
              </w:rPr>
            </w:pPr>
            <w:r w:rsidRPr="00305AA7">
              <w:rPr>
                <w:iCs/>
              </w:rPr>
              <w:t xml:space="preserve">kilnojamųjų kultūros vertybių </w:t>
            </w:r>
            <w:r w:rsidR="00417E06" w:rsidRPr="00305AA7">
              <w:rPr>
                <w:iCs/>
              </w:rPr>
              <w:t>įsigijimo išlaidos;</w:t>
            </w:r>
          </w:p>
          <w:p w14:paraId="6940CDD7" w14:textId="4025573B" w:rsidR="00417E06" w:rsidRPr="00305AA7" w:rsidRDefault="00417E06" w:rsidP="007A1C28">
            <w:pPr>
              <w:pStyle w:val="ListParagraph"/>
              <w:numPr>
                <w:ilvl w:val="0"/>
                <w:numId w:val="26"/>
              </w:numPr>
              <w:tabs>
                <w:tab w:val="left" w:pos="993"/>
              </w:tabs>
              <w:ind w:left="884"/>
              <w:rPr>
                <w:b/>
                <w:bCs/>
              </w:rPr>
            </w:pPr>
            <w:r w:rsidRPr="00305AA7">
              <w:t>baldų, kaip eksponavimo objektų, įsigijimo išlaidos.</w:t>
            </w:r>
          </w:p>
          <w:p w14:paraId="31FE46BB" w14:textId="77777777" w:rsidR="00305AA7" w:rsidRPr="00305AA7" w:rsidRDefault="00305AA7" w:rsidP="00305AA7">
            <w:pPr>
              <w:pStyle w:val="ListParagraph"/>
              <w:tabs>
                <w:tab w:val="left" w:pos="993"/>
              </w:tabs>
              <w:ind w:left="33"/>
              <w:rPr>
                <w:bCs/>
              </w:rPr>
            </w:pPr>
            <w:r w:rsidRPr="00305AA7">
              <w:rPr>
                <w:bCs/>
              </w:rPr>
              <w:t>Projektui taikoma kasmetinių atostogų išmokų fiksuotoji norma, taikoma projektą vykdančio personalo darbo užmokesčio už kasmetines atostogas ir (ar) kompensacijos už nepanaudotas kasmetines atostogas išlaidoms, vadovaujantis 2016 m. sausio 19 d. Lietuvos Respublikos finansų ministerijos patvirtinta Kasmetinių atostogų išmokų fiksuotųjų normų nustatymo tyrimo ataskaita.</w:t>
            </w:r>
          </w:p>
          <w:p w14:paraId="6D77BC7F" w14:textId="77777777" w:rsidR="003738E6" w:rsidRPr="00305AA7" w:rsidRDefault="003738E6" w:rsidP="001528FC">
            <w:pPr>
              <w:pStyle w:val="ListParagraph"/>
              <w:tabs>
                <w:tab w:val="left" w:pos="993"/>
              </w:tabs>
              <w:ind w:left="33"/>
              <w:rPr>
                <w:rFonts w:eastAsia="Times New Roman"/>
                <w:lang w:eastAsia="lt-LT"/>
              </w:rPr>
            </w:pPr>
            <w:r w:rsidRPr="00305AA7">
              <w:rPr>
                <w:rFonts w:eastAsia="Times New Roman"/>
                <w:bCs/>
                <w:lang w:eastAsia="lt-LT"/>
              </w:rPr>
              <w:t>Muzikos instrumentų įsigijimo išlaidos laikomos tinkamomis finansuoti, kai tokių išlaidų būtinumas pagrindžiamas investicijų projekte ir jos nurodytos patvirtintame projektiniame pasiūlyme.</w:t>
            </w:r>
          </w:p>
        </w:tc>
      </w:tr>
      <w:tr w:rsidR="00D65199" w:rsidRPr="00C43C8F" w14:paraId="1B1C230F"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A18097" w14:textId="7625AA69" w:rsidR="00A7349D" w:rsidRPr="00C43C8F" w:rsidRDefault="00A7349D" w:rsidP="002E50EA">
            <w:pPr>
              <w:ind w:firstLine="0"/>
              <w:rPr>
                <w:lang w:eastAsia="lt-LT"/>
              </w:rPr>
            </w:pPr>
            <w:r w:rsidRPr="00C43C8F">
              <w:rPr>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F06E8" w14:textId="77777777" w:rsidR="00A7349D" w:rsidRPr="00C43C8F" w:rsidRDefault="00A7349D" w:rsidP="002E50EA">
            <w:pPr>
              <w:ind w:firstLine="0"/>
              <w:rPr>
                <w:lang w:eastAsia="lt-LT"/>
              </w:rPr>
            </w:pPr>
            <w:r w:rsidRPr="00C43C8F">
              <w:rPr>
                <w:lang w:eastAsia="lt-LT"/>
              </w:rPr>
              <w:t>Projekto vykdymas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2248DB42" w14:textId="77777777" w:rsidR="00A7349D" w:rsidRPr="00305AA7" w:rsidRDefault="00A7349D" w:rsidP="001D51A5">
            <w:pPr>
              <w:rPr>
                <w:rFonts w:eastAsia="Times New Roman"/>
                <w:lang w:eastAsia="lt-LT"/>
              </w:rPr>
            </w:pPr>
            <w:r w:rsidRPr="00305AA7">
              <w:rPr>
                <w:rFonts w:eastAsia="Times New Roman"/>
                <w:lang w:eastAsia="lt-LT"/>
              </w:rPr>
              <w:t xml:space="preserve">Tinkamomis finansuoti laikomos rinkodaros plano ir investicijų projekto parengimo </w:t>
            </w:r>
            <w:r w:rsidRPr="00305AA7">
              <w:rPr>
                <w:rFonts w:eastAsia="Times New Roman"/>
                <w:lang w:eastAsia="lt-LT"/>
              </w:rPr>
              <w:lastRenderedPageBreak/>
              <w:t xml:space="preserve">išlaidos. </w:t>
            </w:r>
          </w:p>
          <w:p w14:paraId="601038E2" w14:textId="77777777" w:rsidR="00A7349D" w:rsidRPr="00305AA7" w:rsidRDefault="00A7349D" w:rsidP="001D51A5">
            <w:pPr>
              <w:rPr>
                <w:rFonts w:eastAsia="Times New Roman"/>
                <w:lang w:eastAsia="lt-LT"/>
              </w:rPr>
            </w:pPr>
            <w:r w:rsidRPr="00305AA7">
              <w:rPr>
                <w:rFonts w:eastAsia="Times New Roman"/>
                <w:lang w:eastAsia="lt-LT"/>
              </w:rPr>
              <w:t>Investicijų projekto parengimo išlaidos gali būti finansuojamos projekto lėšomis ne didesne kaip 10 000 Eur suma.</w:t>
            </w:r>
          </w:p>
          <w:p w14:paraId="68A2FB6E" w14:textId="77777777" w:rsidR="00305AA7" w:rsidRDefault="00A7349D" w:rsidP="00305AA7">
            <w:pPr>
              <w:pStyle w:val="ListParagraph"/>
              <w:tabs>
                <w:tab w:val="left" w:pos="993"/>
              </w:tabs>
              <w:ind w:left="33"/>
              <w:rPr>
                <w:bCs/>
              </w:rPr>
            </w:pPr>
            <w:r w:rsidRPr="00305AA7">
              <w:t>Netinkamomis finansuoti laikomos paraiškos,  projektinio pasiūlymo parengimo išlaidos ir kitos projekto tiesioginių veiklų, kurių išlaidos nepriskirtos biudžeto 3 ir 4 kategorijoms, vykdymo išlaidos.</w:t>
            </w:r>
            <w:r w:rsidR="00305AA7" w:rsidRPr="00305AA7">
              <w:rPr>
                <w:bCs/>
              </w:rPr>
              <w:t xml:space="preserve"> </w:t>
            </w:r>
          </w:p>
          <w:p w14:paraId="2DBCD873" w14:textId="4F94A2C5" w:rsidR="00305AA7" w:rsidRPr="00305AA7" w:rsidRDefault="00305AA7" w:rsidP="00305AA7">
            <w:pPr>
              <w:pStyle w:val="ListParagraph"/>
              <w:tabs>
                <w:tab w:val="left" w:pos="993"/>
              </w:tabs>
              <w:ind w:left="33"/>
              <w:rPr>
                <w:bCs/>
              </w:rPr>
            </w:pPr>
            <w:r w:rsidRPr="00305AA7">
              <w:rPr>
                <w:bCs/>
              </w:rPr>
              <w:t>Projektui taikoma kasmetinių atostogų išmokų fiksuotoji norma, taikoma projektą vykdančio personalo darbo užmokesčio už kasmetines atostogas ir (ar) kompensacijos už nepanaudotas kasmetines atostogas išlaidoms, vadovaujantis 2016 m. sausio 19 d. Lietuvos Respublikos finansų ministerijos patvirtinta Kasmetinių atostogų išmokų fiksuotųjų normų nustatymo tyrimo ataskaita.</w:t>
            </w:r>
          </w:p>
          <w:p w14:paraId="696321FF" w14:textId="77777777" w:rsidR="00A7349D" w:rsidRPr="00305AA7" w:rsidRDefault="00A7349D" w:rsidP="001D51A5">
            <w:pPr>
              <w:rPr>
                <w:rFonts w:eastAsia="Times New Roman"/>
                <w:i/>
                <w:lang w:eastAsia="lt-LT"/>
              </w:rPr>
            </w:pPr>
          </w:p>
        </w:tc>
      </w:tr>
      <w:tr w:rsidR="00D65199" w:rsidRPr="00C43C8F" w14:paraId="4C3DA5A5"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79ADC0" w14:textId="77777777" w:rsidR="00A7349D" w:rsidRPr="00C43C8F" w:rsidRDefault="00A7349D" w:rsidP="002E50EA">
            <w:pPr>
              <w:ind w:firstLine="0"/>
              <w:rPr>
                <w:lang w:eastAsia="lt-LT"/>
              </w:rPr>
            </w:pPr>
            <w:r w:rsidRPr="00C43C8F">
              <w:rPr>
                <w:lang w:eastAsia="lt-LT"/>
              </w:rPr>
              <w:lastRenderedPageBreak/>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B542C" w14:textId="77777777" w:rsidR="00A7349D" w:rsidRPr="00C43C8F" w:rsidRDefault="00A7349D" w:rsidP="00C4067F">
            <w:pPr>
              <w:ind w:firstLine="0"/>
              <w:jc w:val="left"/>
              <w:rPr>
                <w:lang w:eastAsia="lt-LT"/>
              </w:rPr>
            </w:pPr>
            <w:r w:rsidRPr="00C43C8F">
              <w:rPr>
                <w:lang w:eastAsia="lt-LT"/>
              </w:rPr>
              <w:t xml:space="preserve">Informavimas apie projektą </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51A90961" w14:textId="77777777" w:rsidR="00A7349D" w:rsidRPr="00C43C8F" w:rsidRDefault="00A7349D" w:rsidP="001D51A5">
            <w:pPr>
              <w:pStyle w:val="ListParagraph"/>
              <w:tabs>
                <w:tab w:val="left" w:pos="993"/>
              </w:tabs>
              <w:ind w:left="33"/>
              <w:rPr>
                <w:bCs/>
              </w:rPr>
            </w:pPr>
            <w:r w:rsidRPr="00C43C8F">
              <w:rPr>
                <w:rFonts w:eastAsia="Times New Roman"/>
                <w:bCs/>
                <w:lang w:eastAsia="lt-LT"/>
              </w:rPr>
              <w:t>Tinkamomis finansuoti laikomos išlaidos atitinkančios Rekomendacijų dėl išlaidų atitikties 1 lentelės „</w:t>
            </w:r>
            <w:r w:rsidRPr="00C43C8F">
              <w:rPr>
                <w:bCs/>
              </w:rPr>
              <w:t>Projekto biudžeto išlaidų kategorijų aprašas“ nuostatas.</w:t>
            </w:r>
          </w:p>
          <w:p w14:paraId="5CD9AF92" w14:textId="77777777" w:rsidR="00A7349D" w:rsidRPr="00C43C8F" w:rsidRDefault="00A7349D" w:rsidP="001D51A5">
            <w:pPr>
              <w:pStyle w:val="ListParagraph"/>
              <w:tabs>
                <w:tab w:val="left" w:pos="993"/>
              </w:tabs>
              <w:ind w:left="33"/>
              <w:rPr>
                <w:bCs/>
              </w:rPr>
            </w:pPr>
            <w:r w:rsidRPr="00C43C8F">
              <w:rPr>
                <w:bCs/>
              </w:rPr>
              <w:t>Pagal Aprašą gali būti finansuojamos išlaidos, skirtos ne tik privalomiems informavimo apie projektą veiksmams, bet taip pat kitų informavimo apie projektą veiksmų išlaidos.</w:t>
            </w:r>
          </w:p>
          <w:p w14:paraId="14354A6B" w14:textId="77777777" w:rsidR="00A7349D" w:rsidRPr="00305AA7" w:rsidRDefault="00A7349D" w:rsidP="001D51A5">
            <w:pPr>
              <w:pStyle w:val="ListParagraph"/>
              <w:tabs>
                <w:tab w:val="left" w:pos="993"/>
              </w:tabs>
              <w:ind w:left="33"/>
              <w:rPr>
                <w:rFonts w:eastAsia="Times New Roman"/>
                <w:lang w:eastAsia="lt-LT"/>
              </w:rPr>
            </w:pPr>
            <w:r w:rsidRPr="00305AA7">
              <w:rPr>
                <w:rFonts w:eastAsia="Times New Roman"/>
                <w:lang w:eastAsia="lt-LT"/>
              </w:rPr>
              <w:t>Bendra informavimo apie projektą išlaidų suma neturi viršyti 0,25 proc. projekto tinkamų finansuoti išlaidų sumos ir gali sudaryti ne daugiau kaip 10  000,00 Eur.</w:t>
            </w:r>
          </w:p>
          <w:p w14:paraId="26314C02" w14:textId="3AABE5A5" w:rsidR="00305AA7" w:rsidRPr="00305AA7" w:rsidRDefault="00305AA7" w:rsidP="00305AA7">
            <w:pPr>
              <w:pStyle w:val="ListParagraph"/>
              <w:tabs>
                <w:tab w:val="left" w:pos="993"/>
              </w:tabs>
              <w:ind w:left="33"/>
              <w:rPr>
                <w:bCs/>
              </w:rPr>
            </w:pPr>
            <w:r w:rsidRPr="00305AA7">
              <w:rPr>
                <w:bCs/>
              </w:rPr>
              <w:t>Projektui taikoma kasmetinių atostogų išmokų fiksuotoji norma, taikoma projektą vykdančio personalo darbo užmokesčio už kasmetines atostogas ir (ar) kompensacijos už nepanaudotas kasmetines atostogas išlaidoms, vadovaujantis 2016 m. sausio 19 d. Lietuvos Respublikos finansų ministerijos patvirtinta Kasmetinių atostogų išmokų fiksuotųjų normų nustatymo tyrimo ataskaita.</w:t>
            </w:r>
          </w:p>
        </w:tc>
      </w:tr>
      <w:tr w:rsidR="00D65199" w:rsidRPr="00C43C8F" w14:paraId="5B486D10" w14:textId="77777777" w:rsidTr="00186328">
        <w:trPr>
          <w:trHeight w:val="69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87844" w14:textId="77777777" w:rsidR="00A7349D" w:rsidRPr="00C43C8F" w:rsidRDefault="00A7349D" w:rsidP="002E50EA">
            <w:pPr>
              <w:ind w:firstLine="0"/>
              <w:rPr>
                <w:lang w:eastAsia="lt-LT"/>
              </w:rPr>
            </w:pPr>
            <w:r w:rsidRPr="00C43C8F">
              <w:rPr>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AB3EE" w14:textId="77777777" w:rsidR="00A7349D" w:rsidRPr="00C43C8F" w:rsidRDefault="00A7349D" w:rsidP="002E50EA">
            <w:pPr>
              <w:ind w:firstLine="0"/>
              <w:rPr>
                <w:lang w:eastAsia="lt-LT"/>
              </w:rPr>
            </w:pPr>
            <w:r w:rsidRPr="00C43C8F">
              <w:rPr>
                <w:lang w:eastAsia="lt-LT"/>
              </w:rPr>
              <w:t>Netiesioginės išlaidos ir kitos išlaidos pagal fiksuotąją projekto išlaidų normą</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43D5623D" w14:textId="77777777" w:rsidR="00A7349D" w:rsidRPr="00C43C8F" w:rsidRDefault="00A7349D" w:rsidP="001D51A5">
            <w:pPr>
              <w:pStyle w:val="ListParagraph"/>
              <w:tabs>
                <w:tab w:val="left" w:pos="993"/>
              </w:tabs>
              <w:ind w:left="33"/>
              <w:rPr>
                <w:bCs/>
              </w:rPr>
            </w:pPr>
            <w:r w:rsidRPr="00C43C8F">
              <w:rPr>
                <w:rFonts w:eastAsia="Times New Roman"/>
                <w:bCs/>
                <w:lang w:eastAsia="lt-LT"/>
              </w:rPr>
              <w:t>Tinkamomis finansuoti laikomos išlaidos atitinkančios Rekomendacijų dėl išlaidų atitikties 1 lentelės „</w:t>
            </w:r>
            <w:r w:rsidRPr="00C43C8F">
              <w:rPr>
                <w:bCs/>
              </w:rPr>
              <w:t>Projekto biudžeto išlaidų kategorijų aprašas“ nuostatas.</w:t>
            </w:r>
          </w:p>
          <w:p w14:paraId="6C26A183" w14:textId="77777777" w:rsidR="00A7349D" w:rsidRPr="00C43C8F" w:rsidRDefault="00A7349D" w:rsidP="001D51A5">
            <w:pPr>
              <w:pStyle w:val="ListParagraph"/>
              <w:tabs>
                <w:tab w:val="left" w:pos="993"/>
              </w:tabs>
              <w:ind w:left="33"/>
              <w:rPr>
                <w:bCs/>
              </w:rPr>
            </w:pPr>
            <w:r w:rsidRPr="00C43C8F">
              <w:rPr>
                <w:bCs/>
              </w:rPr>
              <w:t>Netinkamomis laikomos paraiškos parengimo išlaidos.</w:t>
            </w:r>
          </w:p>
          <w:p w14:paraId="210F1940" w14:textId="77777777" w:rsidR="00A7349D" w:rsidRPr="00C43C8F" w:rsidRDefault="00A7349D" w:rsidP="001D51A5">
            <w:pPr>
              <w:pStyle w:val="ListParagraph"/>
              <w:tabs>
                <w:tab w:val="left" w:pos="993"/>
              </w:tabs>
              <w:ind w:left="33"/>
              <w:rPr>
                <w:lang w:eastAsia="lt-LT"/>
              </w:rPr>
            </w:pPr>
            <w:r w:rsidRPr="00C43C8F">
              <w:rPr>
                <w:lang w:eastAsia="lt-LT"/>
              </w:rPr>
              <w:t xml:space="preserve">Projektui taikoma fiksuotoji projekto išlaidų norma netiesioginėms išlaidoms nustatoma  vadovaujantis Projektų taisyklių 10 priedu „Fiksuotosios normos taikymo netiesioginėms </w:t>
            </w:r>
            <w:r w:rsidRPr="00C43C8F">
              <w:rPr>
                <w:lang w:eastAsia="lt-LT"/>
              </w:rPr>
              <w:lastRenderedPageBreak/>
              <w:t xml:space="preserve">projekto išlaidoms apmokėti tvarkos aprašas“. </w:t>
            </w:r>
          </w:p>
        </w:tc>
      </w:tr>
    </w:tbl>
    <w:p w14:paraId="048CDD3A" w14:textId="77777777" w:rsidR="00652283" w:rsidRPr="00C43C8F" w:rsidRDefault="00DF2A86" w:rsidP="002759F7">
      <w:pPr>
        <w:rPr>
          <w:rFonts w:ascii="Helv" w:eastAsia="Calibri" w:hAnsi="Helv" w:cs="Helv"/>
          <w:sz w:val="20"/>
          <w:szCs w:val="20"/>
          <w:lang w:eastAsia="lt-LT"/>
        </w:rPr>
      </w:pPr>
      <w:r w:rsidRPr="00C43C8F">
        <w:rPr>
          <w:rFonts w:eastAsia="Times New Roman"/>
          <w:lang w:eastAsia="lt-LT"/>
        </w:rPr>
        <w:lastRenderedPageBreak/>
        <w:t xml:space="preserve">Pastaba: </w:t>
      </w:r>
      <w:r w:rsidR="00113F60" w:rsidRPr="00C43C8F">
        <w:rPr>
          <w:rFonts w:eastAsia="Times New Roman"/>
          <w:lang w:eastAsia="lt-LT"/>
        </w:rPr>
        <w:t xml:space="preserve">Paraiškos formos projekto biudžeto </w:t>
      </w:r>
      <w:r w:rsidR="00113F60" w:rsidRPr="00C43C8F">
        <w:rPr>
          <w:lang w:eastAsia="lt-LT"/>
        </w:rPr>
        <w:t>l</w:t>
      </w:r>
      <w:r w:rsidR="00652283" w:rsidRPr="00C43C8F">
        <w:rPr>
          <w:lang w:eastAsia="lt-LT"/>
        </w:rPr>
        <w:t xml:space="preserve">entelė pildoma vadovaujantis </w:t>
      </w:r>
      <w:r w:rsidRPr="00C43C8F">
        <w:rPr>
          <w:lang w:eastAsia="lt-LT"/>
        </w:rPr>
        <w:t>instrukcija Projekto b</w:t>
      </w:r>
      <w:r w:rsidR="00652283" w:rsidRPr="00C43C8F">
        <w:rPr>
          <w:lang w:eastAsia="lt-LT"/>
        </w:rPr>
        <w:t xml:space="preserve">iudžeto </w:t>
      </w:r>
      <w:r w:rsidRPr="00C43C8F">
        <w:rPr>
          <w:lang w:eastAsia="lt-LT"/>
        </w:rPr>
        <w:t xml:space="preserve">formos </w:t>
      </w:r>
      <w:r w:rsidR="00652283" w:rsidRPr="00C43C8F">
        <w:rPr>
          <w:lang w:eastAsia="lt-LT"/>
        </w:rPr>
        <w:t>pildym</w:t>
      </w:r>
      <w:r w:rsidRPr="00C43C8F">
        <w:rPr>
          <w:lang w:eastAsia="lt-LT"/>
        </w:rPr>
        <w:t>as</w:t>
      </w:r>
      <w:r w:rsidR="00652283" w:rsidRPr="00C43C8F">
        <w:rPr>
          <w:lang w:eastAsia="lt-LT"/>
        </w:rPr>
        <w:t xml:space="preserve">, pateikta Rekomendacijose dėl projektų išlaidų atitikties Europos </w:t>
      </w:r>
      <w:r w:rsidR="00842A6F" w:rsidRPr="00C43C8F">
        <w:rPr>
          <w:lang w:eastAsia="lt-LT"/>
        </w:rPr>
        <w:t>S</w:t>
      </w:r>
      <w:r w:rsidR="00652283" w:rsidRPr="00C43C8F">
        <w:rPr>
          <w:lang w:eastAsia="lt-LT"/>
        </w:rPr>
        <w:t xml:space="preserve">ąjungos struktūrinių fondų reikalavimams, </w:t>
      </w:r>
      <w:r w:rsidRPr="00C43C8F">
        <w:rPr>
          <w:lang w:eastAsia="lt-LT"/>
        </w:rPr>
        <w:t xml:space="preserve">kurios </w:t>
      </w:r>
      <w:r w:rsidR="00842A6F" w:rsidRPr="00C43C8F">
        <w:rPr>
          <w:lang w:eastAsia="lt-LT"/>
        </w:rPr>
        <w:t>skelbiam</w:t>
      </w:r>
      <w:r w:rsidR="00C4067F" w:rsidRPr="00C43C8F">
        <w:rPr>
          <w:lang w:eastAsia="lt-LT"/>
        </w:rPr>
        <w:t>os</w:t>
      </w:r>
      <w:r w:rsidR="00842A6F" w:rsidRPr="00C43C8F">
        <w:rPr>
          <w:lang w:eastAsia="lt-LT"/>
        </w:rPr>
        <w:t xml:space="preserve"> adresu </w:t>
      </w:r>
      <w:r w:rsidR="00652283" w:rsidRPr="00C43C8F">
        <w:rPr>
          <w:rFonts w:eastAsia="Calibri"/>
          <w:i/>
          <w:lang w:eastAsia="lt-LT"/>
        </w:rPr>
        <w:t>http://www.esinvesticijos.lt/lt/dokumentai/2014-2020-m-rekomendacijos-del-projektu-islaidu-atitikties-europos-sajungos-strukturiniu-fondu-reikalavimams</w:t>
      </w:r>
      <w:r w:rsidR="003A4AEE" w:rsidRPr="00C43C8F">
        <w:rPr>
          <w:rFonts w:eastAsia="Calibri"/>
          <w:i/>
          <w:lang w:eastAsia="lt-LT"/>
        </w:rPr>
        <w:t>.</w:t>
      </w:r>
      <w:r w:rsidR="00652283" w:rsidRPr="00C43C8F" w:rsidDel="00396B5B">
        <w:rPr>
          <w:rStyle w:val="CommentReference"/>
          <w:rFonts w:ascii="Helv" w:eastAsia="Calibri" w:hAnsi="Helv" w:cs="Helv"/>
          <w:i/>
          <w:sz w:val="20"/>
          <w:szCs w:val="20"/>
          <w:lang w:eastAsia="lt-LT"/>
        </w:rPr>
        <w:t xml:space="preserve"> </w:t>
      </w:r>
    </w:p>
    <w:p w14:paraId="6F95B0EC" w14:textId="2CB22DA5" w:rsidR="00305AA7" w:rsidRDefault="00B206F3" w:rsidP="002759F7">
      <w:pPr>
        <w:tabs>
          <w:tab w:val="left" w:pos="1134"/>
        </w:tabs>
        <w:rPr>
          <w:lang w:eastAsia="lt-LT"/>
        </w:rPr>
      </w:pPr>
      <w:r w:rsidRPr="00C43C8F">
        <w:rPr>
          <w:lang w:eastAsia="lt-LT"/>
        </w:rPr>
        <w:t>3</w:t>
      </w:r>
      <w:r w:rsidR="00033E04">
        <w:rPr>
          <w:lang w:eastAsia="lt-LT"/>
        </w:rPr>
        <w:t>9</w:t>
      </w:r>
      <w:r w:rsidRPr="00C43C8F">
        <w:rPr>
          <w:lang w:eastAsia="lt-LT"/>
        </w:rPr>
        <w:t xml:space="preserve">. </w:t>
      </w:r>
      <w:r w:rsidR="00305AA7">
        <w:rPr>
          <w:lang w:eastAsia="lt-LT"/>
        </w:rPr>
        <w:t>Pagal Aprašą kryžminis finansavimas netaikomas.</w:t>
      </w:r>
    </w:p>
    <w:p w14:paraId="170818F5" w14:textId="7B63AE36" w:rsidR="00305AA7" w:rsidRDefault="00305AA7" w:rsidP="002759F7">
      <w:pPr>
        <w:tabs>
          <w:tab w:val="left" w:pos="1134"/>
        </w:tabs>
        <w:rPr>
          <w:lang w:eastAsia="lt-LT"/>
        </w:rPr>
      </w:pPr>
      <w:r>
        <w:rPr>
          <w:lang w:eastAsia="lt-LT"/>
        </w:rPr>
        <w:t>40. Išlaidos, apmokamos taikant Aprašo 38 punkte nurodytas fiksuotąsias normas, turi atitikti Projektų taisyklių 35 skirsnį.</w:t>
      </w:r>
    </w:p>
    <w:p w14:paraId="2B0FA874" w14:textId="27B2FA7A" w:rsidR="00B206F3" w:rsidRPr="00C43C8F" w:rsidRDefault="00361DD0" w:rsidP="002759F7">
      <w:pPr>
        <w:tabs>
          <w:tab w:val="left" w:pos="1134"/>
        </w:tabs>
        <w:rPr>
          <w:lang w:eastAsia="lt-LT"/>
        </w:rPr>
      </w:pPr>
      <w:r>
        <w:rPr>
          <w:rFonts w:eastAsia="Times New Roman"/>
          <w:lang w:eastAsia="lt-LT"/>
        </w:rPr>
        <w:t xml:space="preserve">41. </w:t>
      </w:r>
      <w:r w:rsidR="00B206F3" w:rsidRPr="00C43C8F">
        <w:rPr>
          <w:rFonts w:eastAsia="Times New Roman"/>
          <w:lang w:eastAsia="lt-LT"/>
        </w:rPr>
        <w:t xml:space="preserve">Pajamoms iš projekto veiklų, gautoms projekto įgyvendinimo metu ir projekto tęstinumo laikotarpiu, taikomi reikalavimai nustatyti Projektų taisyklių 36 skirsnyje (netaikoma projektams, </w:t>
      </w:r>
      <w:r w:rsidR="009F0DF1" w:rsidRPr="00C43C8F">
        <w:rPr>
          <w:rFonts w:eastAsia="Times New Roman"/>
          <w:lang w:eastAsia="lt-LT"/>
        </w:rPr>
        <w:t>jeigu projekto tinkamų finansuoti išlaidų suma neviršija 50 000 eurų ir jeig</w:t>
      </w:r>
      <w:r w:rsidR="00F55E84" w:rsidRPr="00C43C8F">
        <w:rPr>
          <w:rFonts w:eastAsia="Times New Roman"/>
          <w:lang w:eastAsia="lt-LT"/>
        </w:rPr>
        <w:t>u</w:t>
      </w:r>
      <w:r w:rsidR="009F0DF1" w:rsidRPr="00C43C8F">
        <w:rPr>
          <w:rFonts w:eastAsia="Times New Roman"/>
          <w:lang w:eastAsia="lt-LT"/>
        </w:rPr>
        <w:t xml:space="preserve"> projektui </w:t>
      </w:r>
      <w:r w:rsidR="00B206F3" w:rsidRPr="00C43C8F">
        <w:rPr>
          <w:rFonts w:eastAsia="Times New Roman"/>
          <w:lang w:eastAsia="lt-LT"/>
        </w:rPr>
        <w:t>teikiama valstybės pagalba).</w:t>
      </w:r>
    </w:p>
    <w:p w14:paraId="12BE2E54" w14:textId="6855BCC3" w:rsidR="00B206F3" w:rsidRPr="00C43C8F" w:rsidRDefault="00361DD0" w:rsidP="002759F7">
      <w:pPr>
        <w:pStyle w:val="ListParagraph"/>
        <w:tabs>
          <w:tab w:val="left" w:pos="1134"/>
        </w:tabs>
        <w:ind w:left="0"/>
        <w:rPr>
          <w:rFonts w:eastAsia="Times New Roman"/>
          <w:lang w:eastAsia="lt-LT"/>
        </w:rPr>
      </w:pPr>
      <w:r>
        <w:rPr>
          <w:lang w:eastAsia="lt-LT"/>
        </w:rPr>
        <w:t>42</w:t>
      </w:r>
      <w:r w:rsidR="00B206F3" w:rsidRPr="00C43C8F">
        <w:rPr>
          <w:lang w:eastAsia="lt-LT"/>
        </w:rPr>
        <w:t xml:space="preserve">. </w:t>
      </w:r>
      <w:r w:rsidR="00B206F3" w:rsidRPr="00C43C8F">
        <w:rPr>
          <w:rFonts w:eastAsia="Times New Roman"/>
          <w:lang w:eastAsia="lt-LT"/>
        </w:rPr>
        <w:t>Valstybės pagalba, kurios tinkamas finansuoti išlaidas galima nustatyti ir kuriai pagal Reglamento (ES) Nr. 651/2014 53 straipsnį taikoma išimtis, gali būti sumuojama su:</w:t>
      </w:r>
    </w:p>
    <w:p w14:paraId="25040B3C" w14:textId="37E6B4F4" w:rsidR="00B206F3" w:rsidRPr="00C43C8F" w:rsidRDefault="00361DD0" w:rsidP="002759F7">
      <w:pPr>
        <w:tabs>
          <w:tab w:val="left" w:pos="1134"/>
        </w:tabs>
        <w:rPr>
          <w:rFonts w:eastAsia="Times New Roman"/>
          <w:lang w:eastAsia="lt-LT"/>
        </w:rPr>
      </w:pPr>
      <w:r>
        <w:rPr>
          <w:rFonts w:eastAsia="Times New Roman"/>
          <w:lang w:eastAsia="lt-LT"/>
        </w:rPr>
        <w:t>42</w:t>
      </w:r>
      <w:r w:rsidR="00B206F3" w:rsidRPr="00C43C8F">
        <w:rPr>
          <w:rFonts w:eastAsia="Times New Roman"/>
          <w:lang w:eastAsia="lt-LT"/>
        </w:rPr>
        <w:t>.1. bet kokia kita valstybės pagalba, jei tos priemonės yra susijusios su skirtingomis tinkamomis finansuoti išlaidomis, kurias galima nustatyti;</w:t>
      </w:r>
    </w:p>
    <w:p w14:paraId="272FB18C" w14:textId="55F2A98D" w:rsidR="00B206F3" w:rsidRPr="00C43C8F" w:rsidRDefault="00361DD0" w:rsidP="002759F7">
      <w:pPr>
        <w:tabs>
          <w:tab w:val="left" w:pos="1134"/>
        </w:tabs>
        <w:rPr>
          <w:rFonts w:eastAsia="Times New Roman"/>
          <w:lang w:eastAsia="lt-LT"/>
        </w:rPr>
      </w:pPr>
      <w:r>
        <w:rPr>
          <w:rFonts w:eastAsia="Times New Roman"/>
          <w:lang w:eastAsia="lt-LT"/>
        </w:rPr>
        <w:t>42</w:t>
      </w:r>
      <w:r w:rsidR="00B206F3" w:rsidRPr="00C43C8F">
        <w:rPr>
          <w:rFonts w:eastAsia="Times New Roman"/>
          <w:lang w:eastAsia="lt-LT"/>
        </w:rPr>
        <w:t xml:space="preserve">.2. bet kokia kita valstybės pagalba, susijusia su tomis pačiomis tinkamomis finansuoti išlaidomis, kurios iš dalies arba visiškai sutampa, tik jeigu taip susumavus neviršijamas didžiausias pagalbos intensyvumas ar pagalbos suma, leistina pagal </w:t>
      </w:r>
      <w:r w:rsidR="00B206F3" w:rsidRPr="00C43C8F">
        <w:t>R</w:t>
      </w:r>
      <w:r w:rsidR="00B206F3" w:rsidRPr="00C43C8F">
        <w:rPr>
          <w:rFonts w:eastAsia="Times New Roman"/>
          <w:lang w:eastAsia="lt-LT"/>
        </w:rPr>
        <w:t xml:space="preserve">eglamento </w:t>
      </w:r>
      <w:r w:rsidR="00B206F3" w:rsidRPr="00C43C8F">
        <w:t>(ES) Nr. 651/2014</w:t>
      </w:r>
      <w:r w:rsidR="00B206F3" w:rsidRPr="00C43C8F">
        <w:rPr>
          <w:rFonts w:eastAsia="Times New Roman"/>
          <w:lang w:eastAsia="lt-LT"/>
        </w:rPr>
        <w:t xml:space="preserve"> </w:t>
      </w:r>
      <w:r w:rsidR="00E947C1" w:rsidRPr="00C43C8F">
        <w:rPr>
          <w:rFonts w:eastAsia="Times New Roman"/>
          <w:lang w:eastAsia="lt-LT"/>
        </w:rPr>
        <w:t>4</w:t>
      </w:r>
      <w:r w:rsidR="00B206F3" w:rsidRPr="00C43C8F">
        <w:rPr>
          <w:rFonts w:eastAsia="Times New Roman"/>
          <w:lang w:eastAsia="lt-LT"/>
        </w:rPr>
        <w:t xml:space="preserve"> straipsnį.</w:t>
      </w:r>
    </w:p>
    <w:p w14:paraId="6BBB1CE7" w14:textId="3CFD6014" w:rsidR="00B206F3" w:rsidRPr="00C43C8F" w:rsidRDefault="002759F7" w:rsidP="002759F7">
      <w:pPr>
        <w:tabs>
          <w:tab w:val="left" w:pos="1134"/>
        </w:tabs>
        <w:rPr>
          <w:rFonts w:eastAsia="Times New Roman"/>
          <w:lang w:eastAsia="lt-LT"/>
        </w:rPr>
      </w:pPr>
      <w:r w:rsidRPr="00C43C8F">
        <w:rPr>
          <w:rFonts w:eastAsia="Times New Roman"/>
          <w:lang w:eastAsia="lt-LT"/>
        </w:rPr>
        <w:t>4</w:t>
      </w:r>
      <w:r w:rsidR="00361DD0">
        <w:rPr>
          <w:rFonts w:eastAsia="Times New Roman"/>
          <w:lang w:eastAsia="lt-LT"/>
        </w:rPr>
        <w:t>3</w:t>
      </w:r>
      <w:r w:rsidR="00B206F3" w:rsidRPr="00C43C8F">
        <w:rPr>
          <w:rFonts w:eastAsia="Times New Roman"/>
          <w:lang w:eastAsia="lt-LT"/>
        </w:rPr>
        <w:t xml:space="preserve">. Valstybės pagalba, kuriai pagal </w:t>
      </w:r>
      <w:r w:rsidR="00B206F3" w:rsidRPr="00C43C8F">
        <w:t>R</w:t>
      </w:r>
      <w:r w:rsidR="00B206F3" w:rsidRPr="00C43C8F">
        <w:rPr>
          <w:rFonts w:eastAsia="Times New Roman"/>
          <w:lang w:eastAsia="lt-LT"/>
        </w:rPr>
        <w:t xml:space="preserve">eglamento </w:t>
      </w:r>
      <w:r w:rsidR="00B206F3" w:rsidRPr="00C43C8F">
        <w:t>(ES) Nr. 651/2014</w:t>
      </w:r>
      <w:r w:rsidR="00B206F3" w:rsidRPr="00C43C8F">
        <w:rPr>
          <w:rFonts w:eastAsia="Times New Roman"/>
          <w:lang w:eastAsia="lt-LT"/>
        </w:rPr>
        <w:t xml:space="preserve"> 53 straipsnį taikoma išimtis, nesumuojama su jokia de minimis pagalba, susijusia su tomis pačiomis tinkamomis finansuoti išlaidomis, jeigu susumavus būtų viršytas didžiausias pagalbos intensyvumas ar pagalbos suma, leistina pagal </w:t>
      </w:r>
      <w:r w:rsidR="00B206F3" w:rsidRPr="00C43C8F">
        <w:t>R</w:t>
      </w:r>
      <w:r w:rsidR="00B206F3" w:rsidRPr="00C43C8F">
        <w:rPr>
          <w:rFonts w:eastAsia="Times New Roman"/>
          <w:lang w:eastAsia="lt-LT"/>
        </w:rPr>
        <w:t xml:space="preserve">eglamento </w:t>
      </w:r>
      <w:r w:rsidR="00B206F3" w:rsidRPr="00C43C8F">
        <w:t>(ES) Nr. 651/2014</w:t>
      </w:r>
      <w:r w:rsidR="00B206F3" w:rsidRPr="00C43C8F">
        <w:rPr>
          <w:rFonts w:eastAsia="Times New Roman"/>
          <w:lang w:eastAsia="lt-LT"/>
        </w:rPr>
        <w:t xml:space="preserve"> </w:t>
      </w:r>
      <w:r w:rsidR="00E947C1" w:rsidRPr="00C43C8F">
        <w:rPr>
          <w:rFonts w:eastAsia="Times New Roman"/>
          <w:lang w:eastAsia="lt-LT"/>
        </w:rPr>
        <w:t>4</w:t>
      </w:r>
      <w:r w:rsidR="00B206F3" w:rsidRPr="00C43C8F">
        <w:rPr>
          <w:rFonts w:eastAsia="Times New Roman"/>
          <w:lang w:eastAsia="lt-LT"/>
        </w:rPr>
        <w:t xml:space="preserve"> straipsnį.</w:t>
      </w:r>
    </w:p>
    <w:p w14:paraId="0450A9FB" w14:textId="77777777" w:rsidR="003656A7" w:rsidRPr="00C43C8F" w:rsidRDefault="003656A7" w:rsidP="00B30FB7">
      <w:pPr>
        <w:rPr>
          <w:lang w:eastAsia="lt-LT"/>
        </w:rPr>
      </w:pPr>
    </w:p>
    <w:p w14:paraId="2595B091" w14:textId="77777777" w:rsidR="00871EF1" w:rsidRPr="00C43C8F" w:rsidRDefault="00924EB7" w:rsidP="00B42EBF">
      <w:pPr>
        <w:pStyle w:val="Heading1"/>
        <w:rPr>
          <w:lang w:eastAsia="lt-LT"/>
        </w:rPr>
      </w:pPr>
      <w:r w:rsidRPr="00C43C8F">
        <w:rPr>
          <w:lang w:eastAsia="lt-LT"/>
        </w:rPr>
        <w:t>V</w:t>
      </w:r>
      <w:r w:rsidR="00871EF1" w:rsidRPr="00C43C8F">
        <w:rPr>
          <w:lang w:eastAsia="lt-LT"/>
        </w:rPr>
        <w:t xml:space="preserve"> SKYRIUS</w:t>
      </w:r>
    </w:p>
    <w:p w14:paraId="7AA36EDB" w14:textId="77777777" w:rsidR="00924EB7" w:rsidRPr="00C43C8F" w:rsidRDefault="00924EB7" w:rsidP="00B42EBF">
      <w:pPr>
        <w:pStyle w:val="Heading1"/>
        <w:rPr>
          <w:lang w:eastAsia="lt-LT"/>
        </w:rPr>
      </w:pPr>
      <w:r w:rsidRPr="00C43C8F">
        <w:rPr>
          <w:lang w:eastAsia="lt-LT"/>
        </w:rPr>
        <w:t xml:space="preserve"> PARAIŠKŲ RENGIMAS, PAREIŠKĖJŲ INFORMAVIMAS, KONSULTAVIMAS, PARAIŠKŲ TEIKIMAS IR VERTINIMAS</w:t>
      </w:r>
    </w:p>
    <w:p w14:paraId="6AE0D2FF" w14:textId="77777777" w:rsidR="00871EF1" w:rsidRPr="00C43C8F" w:rsidRDefault="00871EF1" w:rsidP="00B30FB7">
      <w:pPr>
        <w:rPr>
          <w:lang w:eastAsia="lt-LT"/>
        </w:rPr>
      </w:pPr>
    </w:p>
    <w:p w14:paraId="4E0B8230" w14:textId="477D41CD" w:rsidR="000F23B1" w:rsidRPr="00C43C8F" w:rsidRDefault="00903060" w:rsidP="002759F7">
      <w:r>
        <w:t>44</w:t>
      </w:r>
      <w:r w:rsidR="009D1AD3" w:rsidRPr="00C43C8F">
        <w:t xml:space="preserve">. </w:t>
      </w:r>
      <w:r w:rsidR="0008429C" w:rsidRPr="00C43C8F">
        <w:t>S</w:t>
      </w:r>
      <w:r w:rsidR="00680203" w:rsidRPr="00C43C8F">
        <w:t>avivaldybių vykdomosios institucijos</w:t>
      </w:r>
      <w:r w:rsidR="0008429C" w:rsidRPr="00C43C8F">
        <w:t xml:space="preserve"> (toliau – savivaldybių institucijos)</w:t>
      </w:r>
      <w:r w:rsidR="009D1AD3" w:rsidRPr="00C43C8F">
        <w:t xml:space="preserve"> iki </w:t>
      </w:r>
      <w:r w:rsidR="00D97277" w:rsidRPr="00C43C8F">
        <w:t>Regiono plėtros tarybos sekretoriato</w:t>
      </w:r>
      <w:r w:rsidR="00D97277" w:rsidRPr="00C43C8F">
        <w:rPr>
          <w:iCs/>
        </w:rPr>
        <w:t xml:space="preserve"> kvietime teikti projektinius pasiūlymus nurodyto termino</w:t>
      </w:r>
      <w:r w:rsidR="009D1AD3" w:rsidRPr="00C43C8F">
        <w:t xml:space="preserve"> turi Regiono plėtros taryb</w:t>
      </w:r>
      <w:r w:rsidR="00735134" w:rsidRPr="00C43C8F">
        <w:t>os sekretoriatui</w:t>
      </w:r>
      <w:r w:rsidR="009D1AD3" w:rsidRPr="00C43C8F">
        <w:t xml:space="preserve"> </w:t>
      </w:r>
      <w:r w:rsidR="001B4A70" w:rsidRPr="00C43C8F">
        <w:t xml:space="preserve">raštu </w:t>
      </w:r>
      <w:r w:rsidR="009D1AD3" w:rsidRPr="00C43C8F">
        <w:t xml:space="preserve">pateikti </w:t>
      </w:r>
      <w:r w:rsidR="00680203" w:rsidRPr="00C43C8F">
        <w:t xml:space="preserve">projektinius pasiūlymus dėl regiono projektų įgyvendinimo (toliau – projektinis pasiūlymas) </w:t>
      </w:r>
      <w:r w:rsidR="009D1AD3" w:rsidRPr="00C43C8F">
        <w:t xml:space="preserve">pagal formą, </w:t>
      </w:r>
      <w:r w:rsidR="0003739D" w:rsidRPr="00C43C8F">
        <w:t xml:space="preserve">nustatytą </w:t>
      </w:r>
      <w:r w:rsidR="000E7575" w:rsidRPr="00C43C8F">
        <w:t>Iš Europos Sąjungos struktūrinių fondų lėšų bendrai finansuojamų regionų projektų atrankos tvarkos aprašo</w:t>
      </w:r>
      <w:r w:rsidR="0003739D" w:rsidRPr="00C43C8F">
        <w:t>,</w:t>
      </w:r>
      <w:r w:rsidR="000E7575" w:rsidRPr="00C43C8F">
        <w:t xml:space="preserve"> patvirtinto</w:t>
      </w:r>
      <w:r w:rsidR="0003739D" w:rsidRPr="00C43C8F">
        <w:t xml:space="preserve"> </w:t>
      </w:r>
      <w:r w:rsidR="004B2DE9" w:rsidRPr="00C43C8F">
        <w:t>Lietuvos Respublikos vidaus reikalų ministro 2014 m. gruodžio 22 d.</w:t>
      </w:r>
      <w:r w:rsidR="0003739D" w:rsidRPr="00C43C8F">
        <w:t xml:space="preserve"> įsakymu Nr.</w:t>
      </w:r>
      <w:r w:rsidR="004B2DE9" w:rsidRPr="00C43C8F">
        <w:t xml:space="preserve"> 1</w:t>
      </w:r>
      <w:r w:rsidR="004B2DE9" w:rsidRPr="00C43C8F">
        <w:rPr>
          <w:lang w:eastAsia="lt-LT"/>
        </w:rPr>
        <w:t>V-893</w:t>
      </w:r>
      <w:r w:rsidR="0003739D" w:rsidRPr="00C43C8F">
        <w:t xml:space="preserve"> </w:t>
      </w:r>
      <w:r w:rsidR="00AA64E1" w:rsidRPr="00C43C8F">
        <w:t xml:space="preserve">„Dėl </w:t>
      </w:r>
      <w:r w:rsidR="004B2DE9" w:rsidRPr="00C43C8F">
        <w:t>iš Europos Sąjungos struktūrinių fondų lėšų bendrai finansuojamų regionų projektų atrankos tvarkos aprašo patvirtinimo</w:t>
      </w:r>
      <w:r w:rsidR="00AA64E1" w:rsidRPr="00C43C8F">
        <w:t>“</w:t>
      </w:r>
      <w:r w:rsidR="004B2DE9" w:rsidRPr="00C43C8F">
        <w:t xml:space="preserve"> 1 priede ir paskelbtą interneto</w:t>
      </w:r>
      <w:r w:rsidR="0003739D" w:rsidRPr="00C43C8F">
        <w:t xml:space="preserve"> svetainėje www.esinvesticijos.lt</w:t>
      </w:r>
      <w:r w:rsidR="009D1AD3" w:rsidRPr="00C43C8F">
        <w:t xml:space="preserve">. Kartu su projektiniu pasiūlymu </w:t>
      </w:r>
      <w:r w:rsidR="00680203" w:rsidRPr="00C43C8F">
        <w:t>savivaldybių institucijos</w:t>
      </w:r>
      <w:r w:rsidR="009D1AD3" w:rsidRPr="00C43C8F">
        <w:t xml:space="preserve"> turi pateikti:</w:t>
      </w:r>
    </w:p>
    <w:p w14:paraId="2A8E4787" w14:textId="09D14E8B" w:rsidR="000E7575" w:rsidRPr="00C43C8F" w:rsidRDefault="00903060" w:rsidP="002759F7">
      <w:pPr>
        <w:tabs>
          <w:tab w:val="left" w:pos="1134"/>
        </w:tabs>
      </w:pPr>
      <w:r>
        <w:t>44</w:t>
      </w:r>
      <w:r w:rsidR="009D1AD3" w:rsidRPr="00C43C8F">
        <w:t xml:space="preserve">.1. </w:t>
      </w:r>
      <w:r w:rsidR="000E7575" w:rsidRPr="00C43C8F">
        <w:t>investicijų projektą, parengtą pagal Investicijų projektų metodiką</w:t>
      </w:r>
      <w:r w:rsidR="009F0DF1" w:rsidRPr="00C43C8F">
        <w:t xml:space="preserve"> ir įrašytą į elektroninę laikmeną</w:t>
      </w:r>
      <w:r w:rsidR="000E7575" w:rsidRPr="00C43C8F">
        <w:t xml:space="preserve">; </w:t>
      </w:r>
    </w:p>
    <w:p w14:paraId="2F5AC296" w14:textId="5C2BA416" w:rsidR="000E7575" w:rsidRPr="00C43C8F" w:rsidRDefault="00903060" w:rsidP="002759F7">
      <w:pPr>
        <w:tabs>
          <w:tab w:val="left" w:pos="1418"/>
        </w:tabs>
        <w:contextualSpacing/>
      </w:pPr>
      <w:r>
        <w:t>44</w:t>
      </w:r>
      <w:r w:rsidR="000E7575" w:rsidRPr="00C43C8F">
        <w:t xml:space="preserve">.2. užpildytą sąnaudų ir naudos analizės skaičiuoklę ir jos elektroninę versiją </w:t>
      </w:r>
      <w:r w:rsidR="009F0DF1" w:rsidRPr="00C43C8F">
        <w:t xml:space="preserve">Excel formatu </w:t>
      </w:r>
      <w:r w:rsidR="000E7575" w:rsidRPr="00C43C8F">
        <w:t>(Invest</w:t>
      </w:r>
      <w:r w:rsidR="00C65F0C" w:rsidRPr="00C43C8F">
        <w:t>icijų projektų metodikos dalis).</w:t>
      </w:r>
    </w:p>
    <w:p w14:paraId="47E7C557" w14:textId="4C04A254" w:rsidR="009D1AD3" w:rsidRPr="00C43C8F" w:rsidRDefault="00903060" w:rsidP="00B30FB7">
      <w:pPr>
        <w:rPr>
          <w:rFonts w:eastAsia="Times New Roman"/>
          <w:lang w:eastAsia="lt-LT"/>
        </w:rPr>
      </w:pPr>
      <w:r>
        <w:t>45</w:t>
      </w:r>
      <w:r w:rsidR="009D1AD3" w:rsidRPr="00C43C8F">
        <w:t>.</w:t>
      </w:r>
      <w:r w:rsidR="009D1AD3" w:rsidRPr="00C43C8F">
        <w:rPr>
          <w:i/>
        </w:rPr>
        <w:t xml:space="preserve"> </w:t>
      </w:r>
      <w:r w:rsidR="009D1AD3" w:rsidRPr="00C43C8F">
        <w:t>Regiono plėtros taryba</w:t>
      </w:r>
      <w:r w:rsidR="00835B55" w:rsidRPr="00C43C8F">
        <w:t>,</w:t>
      </w:r>
      <w:r w:rsidR="009D1AD3" w:rsidRPr="00C43C8F">
        <w:t xml:space="preserve"> </w:t>
      </w:r>
      <w:r w:rsidR="00BF371D" w:rsidRPr="00C43C8F">
        <w:t xml:space="preserve">Regiono plėtros tarybos sekretoriatui </w:t>
      </w:r>
      <w:r w:rsidR="009D1AD3" w:rsidRPr="00C43C8F">
        <w:t xml:space="preserve">įvertinus projektinius pasiūlymus, </w:t>
      </w:r>
      <w:r w:rsidR="00835B55" w:rsidRPr="00C43C8F">
        <w:t>priims sprendimą dėl</w:t>
      </w:r>
      <w:r w:rsidR="009D1AD3" w:rsidRPr="00C43C8F">
        <w:t xml:space="preserve"> regionų projektų sąraš</w:t>
      </w:r>
      <w:r w:rsidR="00835B55" w:rsidRPr="00C43C8F">
        <w:t>o</w:t>
      </w:r>
      <w:r w:rsidR="009D1AD3" w:rsidRPr="00C43C8F">
        <w:t xml:space="preserve"> (-</w:t>
      </w:r>
      <w:r w:rsidR="00835B55" w:rsidRPr="00C43C8F">
        <w:t>ų</w:t>
      </w:r>
      <w:r w:rsidR="009D1AD3" w:rsidRPr="00C43C8F">
        <w:t>)</w:t>
      </w:r>
      <w:r w:rsidR="00835B55" w:rsidRPr="00C43C8F">
        <w:t xml:space="preserve"> sudarymo. Į regiono projektų sąrašą gali būti įtraukti tik</w:t>
      </w:r>
      <w:r w:rsidR="009D1AD3" w:rsidRPr="00C43C8F">
        <w:t xml:space="preserve"> </w:t>
      </w:r>
      <w:r w:rsidR="00835B55" w:rsidRPr="00C43C8F">
        <w:t>Projektų taisyklių 4</w:t>
      </w:r>
      <w:r w:rsidR="0089420F" w:rsidRPr="00C43C8F">
        <w:t>9</w:t>
      </w:r>
      <w:r w:rsidR="00835B55" w:rsidRPr="00C43C8F">
        <w:t xml:space="preserve"> punkte nustatytus reikalavimus atitinkantys projektai. </w:t>
      </w:r>
      <w:r w:rsidR="00E571A0" w:rsidRPr="00C43C8F">
        <w:t>Pareiškėjai, kurių p</w:t>
      </w:r>
      <w:r w:rsidR="00835B55" w:rsidRPr="00C43C8F">
        <w:t>rojektai įtraukti į regiono projektų sąrašą</w:t>
      </w:r>
      <w:r w:rsidR="005114CA" w:rsidRPr="00C43C8F">
        <w:t>,</w:t>
      </w:r>
      <w:r w:rsidR="009D1AD3" w:rsidRPr="00C43C8F">
        <w:t xml:space="preserve"> įgis teisę teikti paraišką finansuoti</w:t>
      </w:r>
      <w:r w:rsidR="008A34A6" w:rsidRPr="00C43C8F">
        <w:t xml:space="preserve"> projektą</w:t>
      </w:r>
      <w:r w:rsidR="009D1AD3" w:rsidRPr="00C43C8F">
        <w:t>.</w:t>
      </w:r>
    </w:p>
    <w:p w14:paraId="218A7412" w14:textId="34AA22C1" w:rsidR="00742C25" w:rsidRPr="00C43C8F" w:rsidRDefault="00324115" w:rsidP="00B30FB7">
      <w:pPr>
        <w:rPr>
          <w:rFonts w:eastAsia="Times New Roman"/>
          <w:lang w:eastAsia="lt-LT"/>
        </w:rPr>
      </w:pPr>
      <w:r>
        <w:rPr>
          <w:rFonts w:eastAsia="Times New Roman"/>
          <w:lang w:eastAsia="lt-LT"/>
        </w:rPr>
        <w:t>46</w:t>
      </w:r>
      <w:r w:rsidR="00407E2A" w:rsidRPr="00C43C8F">
        <w:rPr>
          <w:rFonts w:eastAsia="Times New Roman"/>
          <w:lang w:eastAsia="lt-LT"/>
        </w:rPr>
        <w:t xml:space="preserve">. </w:t>
      </w:r>
      <w:r w:rsidR="00742C25" w:rsidRPr="00C43C8F">
        <w:rPr>
          <w:rFonts w:eastAsia="Times New Roman"/>
          <w:lang w:eastAsia="lt-LT"/>
        </w:rPr>
        <w:t xml:space="preserve">Siekdamas gauti finansavimą pareiškėjas turi </w:t>
      </w:r>
      <w:r w:rsidR="00EC5C72" w:rsidRPr="00C43C8F">
        <w:rPr>
          <w:rFonts w:eastAsia="Times New Roman"/>
          <w:lang w:eastAsia="lt-LT"/>
        </w:rPr>
        <w:t xml:space="preserve">užpildyti paraišką, kurios </w:t>
      </w:r>
      <w:r w:rsidR="00C878CC" w:rsidRPr="00C43C8F">
        <w:rPr>
          <w:rFonts w:eastAsia="Times New Roman"/>
          <w:lang w:eastAsia="lt-LT"/>
        </w:rPr>
        <w:t xml:space="preserve">iš dalies užpildyta </w:t>
      </w:r>
      <w:r w:rsidR="00EC5C72" w:rsidRPr="00C43C8F">
        <w:rPr>
          <w:rFonts w:eastAsia="Times New Roman"/>
          <w:lang w:eastAsia="lt-LT"/>
        </w:rPr>
        <w:t>forma</w:t>
      </w:r>
      <w:r w:rsidR="00742C25" w:rsidRPr="00C43C8F">
        <w:rPr>
          <w:rFonts w:eastAsia="Times New Roman"/>
          <w:lang w:eastAsia="lt-LT"/>
        </w:rPr>
        <w:t xml:space="preserve"> </w:t>
      </w:r>
      <w:r w:rsidR="00C878CC" w:rsidRPr="00C43C8F">
        <w:rPr>
          <w:rFonts w:eastAsia="Times New Roman"/>
          <w:lang w:eastAsia="lt-LT"/>
        </w:rPr>
        <w:t>PDF formatu</w:t>
      </w:r>
      <w:r w:rsidR="00C878CC" w:rsidRPr="00C43C8F" w:rsidDel="00775916">
        <w:rPr>
          <w:rFonts w:eastAsia="Times New Roman"/>
          <w:lang w:eastAsia="lt-LT"/>
        </w:rPr>
        <w:t xml:space="preserve"> </w:t>
      </w:r>
      <w:r w:rsidR="00C878CC" w:rsidRPr="00C43C8F">
        <w:t>skelbiama</w:t>
      </w:r>
      <w:r w:rsidR="00775916" w:rsidRPr="00C43C8F">
        <w:t xml:space="preserve"> </w:t>
      </w:r>
      <w:r w:rsidR="00775916" w:rsidRPr="00C43C8F">
        <w:rPr>
          <w:rFonts w:eastAsia="Times New Roman"/>
          <w:lang w:eastAsia="lt-LT"/>
        </w:rPr>
        <w:t xml:space="preserve">ES struktūrinių fondų </w:t>
      </w:r>
      <w:r w:rsidR="00C878CC" w:rsidRPr="00C43C8F">
        <w:t>svetainės</w:t>
      </w:r>
      <w:r w:rsidR="00775916" w:rsidRPr="00C43C8F">
        <w:t xml:space="preserve"> </w:t>
      </w:r>
      <w:hyperlink r:id="rId12" w:history="1">
        <w:r w:rsidR="00775916" w:rsidRPr="00C43C8F">
          <w:rPr>
            <w:rStyle w:val="Hyperlink"/>
            <w:color w:val="auto"/>
            <w:u w:val="none"/>
          </w:rPr>
          <w:t>www.esinvesticijos.lt</w:t>
        </w:r>
      </w:hyperlink>
      <w:r w:rsidR="00775916" w:rsidRPr="00C43C8F">
        <w:t xml:space="preserve"> </w:t>
      </w:r>
      <w:r w:rsidR="00C878CC" w:rsidRPr="00C43C8F">
        <w:lastRenderedPageBreak/>
        <w:t xml:space="preserve">skiltyje „Finansavimas/Planuojami valstybės (regionų) projektai“ prie konkretaus planuojamo projekto </w:t>
      </w:r>
      <w:r w:rsidR="000A5053" w:rsidRPr="00C43C8F">
        <w:t xml:space="preserve">„Susijusių </w:t>
      </w:r>
      <w:r w:rsidR="00C878CC" w:rsidRPr="00C43C8F">
        <w:t>dokumentų</w:t>
      </w:r>
      <w:r w:rsidR="000A5053" w:rsidRPr="00C43C8F">
        <w:t>“.</w:t>
      </w:r>
    </w:p>
    <w:p w14:paraId="1003C7E9" w14:textId="7E423135" w:rsidR="00AA631E" w:rsidRPr="00C43C8F" w:rsidRDefault="00324115" w:rsidP="00B30FB7">
      <w:pPr>
        <w:rPr>
          <w:lang w:eastAsia="lt-LT"/>
        </w:rPr>
      </w:pPr>
      <w:r>
        <w:rPr>
          <w:lang w:eastAsia="lt-LT"/>
        </w:rPr>
        <w:t>47</w:t>
      </w:r>
      <w:r w:rsidR="006E0364" w:rsidRPr="00C43C8F">
        <w:rPr>
          <w:lang w:eastAsia="lt-LT"/>
        </w:rPr>
        <w:t xml:space="preserve">. </w:t>
      </w:r>
      <w:r w:rsidR="001571A2" w:rsidRPr="00C43C8F">
        <w:rPr>
          <w:rFonts w:eastAsia="Times New Roman"/>
          <w:lang w:eastAsia="lt-LT"/>
        </w:rPr>
        <w:t xml:space="preserve">Jei paraiškos gali būti teikiamos per DMS, </w:t>
      </w:r>
      <w:r w:rsidR="001571A2" w:rsidRPr="00C43C8F">
        <w:rPr>
          <w:lang w:eastAsia="lt-LT"/>
        </w:rPr>
        <w:t>pareiškėjas prie DMS jungiasi naudodamasis Valstybės informacinių išteklių sąveikumo platforma ir užsiregistravęs tampa DMS naudotoju.</w:t>
      </w:r>
    </w:p>
    <w:p w14:paraId="573012ED" w14:textId="1BED6888" w:rsidR="00D278A8" w:rsidRPr="00C43C8F" w:rsidRDefault="00324115" w:rsidP="00B30FB7">
      <w:pPr>
        <w:rPr>
          <w:lang w:eastAsia="lt-LT"/>
        </w:rPr>
      </w:pPr>
      <w:r>
        <w:rPr>
          <w:lang w:eastAsia="lt-LT"/>
        </w:rPr>
        <w:t>48</w:t>
      </w:r>
      <w:r w:rsidR="00AA631E" w:rsidRPr="00C43C8F">
        <w:rPr>
          <w:lang w:eastAsia="lt-LT"/>
        </w:rPr>
        <w:t xml:space="preserve">. </w:t>
      </w:r>
      <w:r w:rsidR="00AA631E" w:rsidRPr="00C43C8F">
        <w:rPr>
          <w:rFonts w:eastAsia="Times New Roman"/>
          <w:lang w:eastAsia="lt-LT"/>
        </w:rPr>
        <w:t>Jei laikinai nėra užtikrintos DMS funkcinės galimybės ir dėl to pareiškėjai negali pateikti paraiškos ar jos priedo (-ų) paskutinę paraiškų pateikimo termino dieną, įgyvendinančioji institucija paraiškų pateikimo terminą pratęsia 7 dienoms ir (arba) sudaro galimybę paraiškas ar jų priedus pateikti kitu būdu bei apie tai informuoja pareiškėjus per DMS arba raštu, jei nėra įdiegtos arba neužtikrinamos DMS funkcinės galimybės.</w:t>
      </w:r>
      <w:r w:rsidR="006E0364" w:rsidRPr="00C43C8F">
        <w:rPr>
          <w:lang w:eastAsia="lt-LT"/>
        </w:rPr>
        <w:t xml:space="preserve"> </w:t>
      </w:r>
    </w:p>
    <w:p w14:paraId="6A5300D0" w14:textId="0519BD49" w:rsidR="00490812" w:rsidRPr="00C43C8F" w:rsidRDefault="00324115" w:rsidP="00B30FB7">
      <w:pPr>
        <w:rPr>
          <w:lang w:eastAsia="lt-LT"/>
        </w:rPr>
      </w:pPr>
      <w:r>
        <w:rPr>
          <w:lang w:eastAsia="lt-LT"/>
        </w:rPr>
        <w:t>49</w:t>
      </w:r>
      <w:r w:rsidR="00490812" w:rsidRPr="00C43C8F">
        <w:rPr>
          <w:lang w:eastAsia="lt-LT"/>
        </w:rPr>
        <w:t>. Kartu su paraiška pareiškėjas turi pateikti šiuos priedus</w:t>
      </w:r>
      <w:r w:rsidR="005307E6" w:rsidRPr="00C43C8F">
        <w:rPr>
          <w:lang w:eastAsia="lt-LT"/>
        </w:rPr>
        <w:t xml:space="preserve"> (</w:t>
      </w:r>
      <w:r w:rsidR="000441F4" w:rsidRPr="00C43C8F">
        <w:rPr>
          <w:lang w:eastAsia="lt-LT"/>
        </w:rPr>
        <w:t xml:space="preserve">Aprašo </w:t>
      </w:r>
      <w:r>
        <w:rPr>
          <w:lang w:eastAsia="lt-LT"/>
        </w:rPr>
        <w:t>49</w:t>
      </w:r>
      <w:r w:rsidR="00C15C84" w:rsidRPr="00C43C8F">
        <w:rPr>
          <w:lang w:eastAsia="lt-LT"/>
        </w:rPr>
        <w:t>.2</w:t>
      </w:r>
      <w:r w:rsidR="000441F4" w:rsidRPr="00C43C8F">
        <w:rPr>
          <w:lang w:eastAsia="lt-LT"/>
        </w:rPr>
        <w:t>–</w:t>
      </w:r>
      <w:r>
        <w:rPr>
          <w:lang w:eastAsia="lt-LT"/>
        </w:rPr>
        <w:t>49</w:t>
      </w:r>
      <w:r w:rsidR="002759F7" w:rsidRPr="00C43C8F">
        <w:rPr>
          <w:lang w:eastAsia="lt-LT"/>
        </w:rPr>
        <w:t>.4</w:t>
      </w:r>
      <w:r w:rsidR="005307E6" w:rsidRPr="00C43C8F">
        <w:rPr>
          <w:lang w:eastAsia="lt-LT"/>
        </w:rPr>
        <w:t xml:space="preserve"> papunkčiuose nurodytų paraiškos </w:t>
      </w:r>
      <w:r w:rsidR="00D859F1" w:rsidRPr="00C43C8F">
        <w:rPr>
          <w:lang w:eastAsia="lt-LT"/>
        </w:rPr>
        <w:t>priedų form</w:t>
      </w:r>
      <w:r w:rsidR="00C604E2" w:rsidRPr="00C43C8F">
        <w:rPr>
          <w:lang w:eastAsia="lt-LT"/>
        </w:rPr>
        <w:t>o</w:t>
      </w:r>
      <w:r w:rsidR="00D859F1" w:rsidRPr="00C43C8F">
        <w:rPr>
          <w:lang w:eastAsia="lt-LT"/>
        </w:rPr>
        <w:t>s skelbia</w:t>
      </w:r>
      <w:r w:rsidR="00C604E2" w:rsidRPr="00C43C8F">
        <w:rPr>
          <w:lang w:eastAsia="lt-LT"/>
        </w:rPr>
        <w:t>mos</w:t>
      </w:r>
      <w:r w:rsidR="00D859F1" w:rsidRPr="00C43C8F">
        <w:rPr>
          <w:lang w:eastAsia="lt-LT"/>
        </w:rPr>
        <w:t xml:space="preserve"> </w:t>
      </w:r>
      <w:r w:rsidR="005307E6" w:rsidRPr="00C43C8F">
        <w:rPr>
          <w:lang w:eastAsia="lt-LT"/>
        </w:rPr>
        <w:t>ES</w:t>
      </w:r>
      <w:r w:rsidR="00C15C84" w:rsidRPr="00C43C8F">
        <w:rPr>
          <w:lang w:eastAsia="lt-LT"/>
        </w:rPr>
        <w:t xml:space="preserve"> struktūrinių fondų svetainės</w:t>
      </w:r>
      <w:r w:rsidR="005307E6" w:rsidRPr="00C43C8F">
        <w:rPr>
          <w:lang w:eastAsia="lt-LT"/>
        </w:rPr>
        <w:t xml:space="preserve"> </w:t>
      </w:r>
      <w:hyperlink r:id="rId13" w:history="1">
        <w:r w:rsidR="005307E6" w:rsidRPr="00C43C8F">
          <w:rPr>
            <w:rStyle w:val="Hyperlink"/>
            <w:rFonts w:eastAsia="Times New Roman"/>
            <w:color w:val="auto"/>
            <w:lang w:eastAsia="lt-LT"/>
          </w:rPr>
          <w:t>www.esinvesticijos.lt</w:t>
        </w:r>
      </w:hyperlink>
      <w:r w:rsidR="00C15C84" w:rsidRPr="00C43C8F">
        <w:rPr>
          <w:rStyle w:val="Hyperlink"/>
          <w:rFonts w:eastAsia="Times New Roman"/>
          <w:color w:val="auto"/>
          <w:u w:val="none"/>
          <w:lang w:eastAsia="lt-LT"/>
        </w:rPr>
        <w:t xml:space="preserve"> skiltyje „Dokumentai“</w:t>
      </w:r>
      <w:r w:rsidR="00D859F1" w:rsidRPr="00C43C8F">
        <w:rPr>
          <w:rStyle w:val="Hyperlink"/>
          <w:rFonts w:eastAsia="Times New Roman"/>
          <w:color w:val="auto"/>
          <w:u w:val="none"/>
          <w:lang w:eastAsia="lt-LT"/>
        </w:rPr>
        <w:t xml:space="preserve">, ieškant </w:t>
      </w:r>
      <w:r w:rsidR="00C604E2" w:rsidRPr="00C43C8F">
        <w:rPr>
          <w:rStyle w:val="Hyperlink"/>
          <w:rFonts w:eastAsia="Times New Roman"/>
          <w:color w:val="auto"/>
          <w:u w:val="none"/>
          <w:lang w:eastAsia="lt-LT"/>
        </w:rPr>
        <w:t xml:space="preserve">dokumento tipo </w:t>
      </w:r>
      <w:r w:rsidR="00D859F1" w:rsidRPr="00C43C8F">
        <w:rPr>
          <w:rStyle w:val="Hyperlink"/>
          <w:rFonts w:eastAsia="Times New Roman"/>
          <w:color w:val="auto"/>
          <w:u w:val="none"/>
          <w:lang w:eastAsia="lt-LT"/>
        </w:rPr>
        <w:t>„</w:t>
      </w:r>
      <w:r w:rsidR="00C604E2" w:rsidRPr="00C43C8F">
        <w:rPr>
          <w:rFonts w:cs="Arial"/>
        </w:rPr>
        <w:t>p</w:t>
      </w:r>
      <w:r w:rsidR="00D859F1" w:rsidRPr="00C43C8F">
        <w:rPr>
          <w:rFonts w:cs="Arial"/>
        </w:rPr>
        <w:t>a</w:t>
      </w:r>
      <w:r w:rsidR="00C604E2" w:rsidRPr="00C43C8F">
        <w:rPr>
          <w:rFonts w:cs="Arial"/>
        </w:rPr>
        <w:t>raiškų priedų formos</w:t>
      </w:r>
      <w:r w:rsidR="00D859F1" w:rsidRPr="00C43C8F">
        <w:rPr>
          <w:rFonts w:cs="Arial"/>
        </w:rPr>
        <w:t>“</w:t>
      </w:r>
      <w:r w:rsidR="005307E6" w:rsidRPr="00C43C8F">
        <w:rPr>
          <w:rStyle w:val="Hyperlink"/>
          <w:rFonts w:eastAsia="Times New Roman"/>
          <w:color w:val="auto"/>
          <w:u w:val="none"/>
          <w:lang w:eastAsia="lt-LT"/>
        </w:rPr>
        <w:t>)</w:t>
      </w:r>
      <w:r w:rsidR="00490812" w:rsidRPr="00C43C8F">
        <w:rPr>
          <w:lang w:eastAsia="lt-LT"/>
        </w:rPr>
        <w:t xml:space="preserve">: </w:t>
      </w:r>
    </w:p>
    <w:p w14:paraId="0D5308ED" w14:textId="65B9F1A3" w:rsidR="00245121" w:rsidRPr="00C43C8F" w:rsidRDefault="002204C8" w:rsidP="00B30FB7">
      <w:pPr>
        <w:rPr>
          <w:lang w:eastAsia="lt-LT"/>
        </w:rPr>
      </w:pPr>
      <w:r>
        <w:rPr>
          <w:lang w:eastAsia="lt-LT"/>
        </w:rPr>
        <w:t>49</w:t>
      </w:r>
      <w:r w:rsidR="00245121" w:rsidRPr="00C43C8F">
        <w:rPr>
          <w:lang w:eastAsia="lt-LT"/>
        </w:rPr>
        <w:t xml:space="preserve">.1. </w:t>
      </w:r>
      <w:r w:rsidR="00024954" w:rsidRPr="00C43C8F">
        <w:rPr>
          <w:lang w:eastAsia="lt-LT"/>
        </w:rPr>
        <w:t>p</w:t>
      </w:r>
      <w:r w:rsidR="00245121" w:rsidRPr="00C43C8F">
        <w:rPr>
          <w:lang w:eastAsia="lt-LT"/>
        </w:rPr>
        <w:t xml:space="preserve">artnerio </w:t>
      </w:r>
      <w:r w:rsidR="004857C5" w:rsidRPr="00C43C8F">
        <w:rPr>
          <w:lang w:eastAsia="lt-LT"/>
        </w:rPr>
        <w:t xml:space="preserve">(-ių) </w:t>
      </w:r>
      <w:r w:rsidR="00245121" w:rsidRPr="00C43C8F">
        <w:rPr>
          <w:lang w:eastAsia="lt-LT"/>
        </w:rPr>
        <w:t>deklaracij</w:t>
      </w:r>
      <w:r w:rsidR="00024954" w:rsidRPr="00C43C8F">
        <w:rPr>
          <w:lang w:eastAsia="lt-LT"/>
        </w:rPr>
        <w:t>ą</w:t>
      </w:r>
      <w:r w:rsidR="004857C5" w:rsidRPr="00C43C8F">
        <w:rPr>
          <w:lang w:eastAsia="lt-LT"/>
        </w:rPr>
        <w:t xml:space="preserve"> (-</w:t>
      </w:r>
      <w:r w:rsidR="00024954" w:rsidRPr="00C43C8F">
        <w:rPr>
          <w:lang w:eastAsia="lt-LT"/>
        </w:rPr>
        <w:t>a</w:t>
      </w:r>
      <w:r w:rsidR="004857C5" w:rsidRPr="00C43C8F">
        <w:rPr>
          <w:lang w:eastAsia="lt-LT"/>
        </w:rPr>
        <w:t>s)</w:t>
      </w:r>
      <w:r w:rsidR="00857B95" w:rsidRPr="00C43C8F">
        <w:rPr>
          <w:lang w:eastAsia="lt-LT"/>
        </w:rPr>
        <w:t>, jei projektą numatyta įgyvendinti kartu su partner</w:t>
      </w:r>
      <w:r w:rsidR="00AA641B" w:rsidRPr="00C43C8F">
        <w:rPr>
          <w:lang w:eastAsia="lt-LT"/>
        </w:rPr>
        <w:t>iais</w:t>
      </w:r>
      <w:r w:rsidR="00C15C84" w:rsidRPr="00C43C8F">
        <w:rPr>
          <w:lang w:eastAsia="lt-LT"/>
        </w:rPr>
        <w:t xml:space="preserve"> (Partnerio deklaracijos forma integruota į pildomą paraiškos formą</w:t>
      </w:r>
      <w:r w:rsidR="00AA641B" w:rsidRPr="00C43C8F">
        <w:rPr>
          <w:lang w:eastAsia="lt-LT"/>
        </w:rPr>
        <w:t>)</w:t>
      </w:r>
      <w:r w:rsidR="00245121" w:rsidRPr="00C43C8F">
        <w:rPr>
          <w:lang w:eastAsia="lt-LT"/>
        </w:rPr>
        <w:t>;</w:t>
      </w:r>
    </w:p>
    <w:p w14:paraId="458A2C03" w14:textId="75A747E7" w:rsidR="00245121" w:rsidRPr="00C43C8F" w:rsidRDefault="002204C8" w:rsidP="00B30FB7">
      <w:pPr>
        <w:rPr>
          <w:lang w:eastAsia="lt-LT"/>
        </w:rPr>
      </w:pPr>
      <w:r>
        <w:rPr>
          <w:lang w:eastAsia="lt-LT"/>
        </w:rPr>
        <w:t>49</w:t>
      </w:r>
      <w:r w:rsidR="00245121" w:rsidRPr="00C43C8F">
        <w:rPr>
          <w:lang w:eastAsia="lt-LT"/>
        </w:rPr>
        <w:t xml:space="preserve">.2. </w:t>
      </w:r>
      <w:r w:rsidR="00695386" w:rsidRPr="00C43C8F">
        <w:rPr>
          <w:lang w:eastAsia="lt-LT"/>
        </w:rPr>
        <w:t xml:space="preserve">Klausimyną apie </w:t>
      </w:r>
      <w:r w:rsidR="00024954" w:rsidRPr="00C43C8F">
        <w:rPr>
          <w:lang w:eastAsia="lt-LT"/>
        </w:rPr>
        <w:t>p</w:t>
      </w:r>
      <w:r w:rsidR="00DA6CAD" w:rsidRPr="00C43C8F">
        <w:rPr>
          <w:lang w:eastAsia="lt-LT"/>
        </w:rPr>
        <w:t>irkimo ir (arba) importo pridėtinės vertės mokesčio tinkamum</w:t>
      </w:r>
      <w:r w:rsidR="00695386" w:rsidRPr="00C43C8F">
        <w:rPr>
          <w:lang w:eastAsia="lt-LT"/>
        </w:rPr>
        <w:t>ą</w:t>
      </w:r>
      <w:r w:rsidR="00DA6CAD" w:rsidRPr="00C43C8F">
        <w:rPr>
          <w:lang w:eastAsia="lt-LT"/>
        </w:rPr>
        <w:t xml:space="preserve"> finansuoti </w:t>
      </w:r>
      <w:r w:rsidR="00695386" w:rsidRPr="00C43C8F">
        <w:rPr>
          <w:lang w:eastAsia="lt-LT"/>
        </w:rPr>
        <w:t xml:space="preserve">iš </w:t>
      </w:r>
      <w:r w:rsidR="00DA6CAD" w:rsidRPr="00C43C8F">
        <w:rPr>
          <w:lang w:eastAsia="lt-LT"/>
        </w:rPr>
        <w:t xml:space="preserve">Europos Sąjungos </w:t>
      </w:r>
      <w:r w:rsidR="00695386" w:rsidRPr="00C43C8F">
        <w:rPr>
          <w:lang w:eastAsia="lt-LT"/>
        </w:rPr>
        <w:t xml:space="preserve">struktūrinių </w:t>
      </w:r>
      <w:r w:rsidR="00DA6CAD" w:rsidRPr="00C43C8F">
        <w:rPr>
          <w:lang w:eastAsia="lt-LT"/>
        </w:rPr>
        <w:t xml:space="preserve">fondų ir (arba) Lietuvos </w:t>
      </w:r>
      <w:r w:rsidR="0089420F" w:rsidRPr="00C43C8F">
        <w:rPr>
          <w:lang w:eastAsia="lt-LT"/>
        </w:rPr>
        <w:t>R</w:t>
      </w:r>
      <w:r w:rsidR="00DA6CAD" w:rsidRPr="00C43C8F">
        <w:rPr>
          <w:lang w:eastAsia="lt-LT"/>
        </w:rPr>
        <w:t>espublikos biudžeto lėš</w:t>
      </w:r>
      <w:r w:rsidR="00695386" w:rsidRPr="00C43C8F">
        <w:rPr>
          <w:lang w:eastAsia="lt-LT"/>
        </w:rPr>
        <w:t>ų</w:t>
      </w:r>
      <w:r w:rsidR="00D8500A" w:rsidRPr="00C43C8F">
        <w:rPr>
          <w:lang w:eastAsia="lt-LT"/>
        </w:rPr>
        <w:t>, j</w:t>
      </w:r>
      <w:r w:rsidR="00134D85" w:rsidRPr="00C43C8F">
        <w:rPr>
          <w:lang w:eastAsia="lt-LT"/>
        </w:rPr>
        <w:t>ei</w:t>
      </w:r>
      <w:r w:rsidR="00D8500A" w:rsidRPr="00C43C8F">
        <w:rPr>
          <w:lang w:eastAsia="lt-LT"/>
        </w:rPr>
        <w:t xml:space="preserve"> </w:t>
      </w:r>
      <w:r w:rsidR="00D8500A" w:rsidRPr="00C43C8F">
        <w:t>pareiškėjas prašo PVM išlaidas pripažinti tinkamomis finansuot</w:t>
      </w:r>
      <w:r w:rsidR="00C15C84" w:rsidRPr="00C43C8F">
        <w:t>i</w:t>
      </w:r>
      <w:r w:rsidR="00D8500A" w:rsidRPr="00C43C8F">
        <w:t>, t.</w:t>
      </w:r>
      <w:r w:rsidR="00C15C84" w:rsidRPr="00C43C8F">
        <w:t xml:space="preserve"> </w:t>
      </w:r>
      <w:r w:rsidR="00D8500A" w:rsidRPr="00C43C8F">
        <w:t>y. įtraukia šias išlaidas į p</w:t>
      </w:r>
      <w:r w:rsidR="00A46ECA" w:rsidRPr="00C43C8F">
        <w:t>rojekto biudžetą</w:t>
      </w:r>
      <w:r w:rsidR="00DA6CAD" w:rsidRPr="00C43C8F">
        <w:rPr>
          <w:lang w:eastAsia="lt-LT"/>
        </w:rPr>
        <w:t>;</w:t>
      </w:r>
    </w:p>
    <w:p w14:paraId="60C7469B" w14:textId="6185EAC5" w:rsidR="00DA6CAD" w:rsidRPr="00C43C8F" w:rsidRDefault="002204C8" w:rsidP="00B30FB7">
      <w:r>
        <w:rPr>
          <w:lang w:eastAsia="lt-LT"/>
        </w:rPr>
        <w:t>49</w:t>
      </w:r>
      <w:r w:rsidR="00A46ECA" w:rsidRPr="00C43C8F">
        <w:rPr>
          <w:lang w:eastAsia="lt-LT"/>
        </w:rPr>
        <w:t xml:space="preserve">.3. </w:t>
      </w:r>
      <w:r w:rsidR="001571A2" w:rsidRPr="00C43C8F">
        <w:rPr>
          <w:rFonts w:eastAsia="Times New Roman"/>
        </w:rPr>
        <w:t>i</w:t>
      </w:r>
      <w:r w:rsidR="001571A2" w:rsidRPr="00C43C8F">
        <w:t>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„Natura 2000“ teritorijomis);</w:t>
      </w:r>
    </w:p>
    <w:p w14:paraId="39BBE4D7" w14:textId="4A423BCA" w:rsidR="00F65620" w:rsidRPr="00C43C8F" w:rsidRDefault="002204C8" w:rsidP="00F65620">
      <w:r>
        <w:t>49</w:t>
      </w:r>
      <w:r w:rsidR="00F65620" w:rsidRPr="00C43C8F">
        <w:t xml:space="preserve">.4. </w:t>
      </w:r>
      <w:r w:rsidR="00F65620" w:rsidRPr="00C43C8F">
        <w:rPr>
          <w:lang w:eastAsia="lt-LT"/>
        </w:rPr>
        <w:t xml:space="preserve">Informaciją apie iš Europos Sąjungos struktūrinių fondų lėšų bendrai finansuojamų projektų gaunamas pajamas </w:t>
      </w:r>
      <w:r w:rsidR="00F65620" w:rsidRPr="00C43C8F">
        <w:rPr>
          <w:rFonts w:eastAsia="Times New Roman"/>
          <w:lang w:eastAsia="lt-LT"/>
        </w:rPr>
        <w:t>(netaikoma projektams, kuriems teikiama valstybės pagalba)</w:t>
      </w:r>
    </w:p>
    <w:p w14:paraId="57EC8824" w14:textId="17B56038" w:rsidR="00805310" w:rsidRPr="00C43C8F" w:rsidRDefault="002204C8" w:rsidP="00B30FB7">
      <w:pPr>
        <w:rPr>
          <w:lang w:eastAsia="lt-LT"/>
        </w:rPr>
      </w:pPr>
      <w:r>
        <w:rPr>
          <w:lang w:eastAsia="lt-LT"/>
        </w:rPr>
        <w:t>49</w:t>
      </w:r>
      <w:r w:rsidR="00805310" w:rsidRPr="00C43C8F">
        <w:rPr>
          <w:lang w:eastAsia="lt-LT"/>
        </w:rPr>
        <w:t>.</w:t>
      </w:r>
      <w:r w:rsidR="00F65620" w:rsidRPr="00C43C8F">
        <w:rPr>
          <w:lang w:eastAsia="lt-LT"/>
        </w:rPr>
        <w:t>5</w:t>
      </w:r>
      <w:r w:rsidR="00805310" w:rsidRPr="00C43C8F">
        <w:rPr>
          <w:lang w:eastAsia="lt-LT"/>
        </w:rPr>
        <w:t xml:space="preserve">. </w:t>
      </w:r>
      <w:r w:rsidR="00FD59FC" w:rsidRPr="00C43C8F">
        <w:rPr>
          <w:lang w:eastAsia="lt-LT"/>
        </w:rPr>
        <w:t>i</w:t>
      </w:r>
      <w:r w:rsidR="00805310" w:rsidRPr="00C43C8F">
        <w:rPr>
          <w:lang w:eastAsia="lt-LT"/>
        </w:rPr>
        <w:t>nformacij</w:t>
      </w:r>
      <w:r w:rsidR="00FD59FC" w:rsidRPr="00C43C8F">
        <w:rPr>
          <w:lang w:eastAsia="lt-LT"/>
        </w:rPr>
        <w:t>ą</w:t>
      </w:r>
      <w:r w:rsidR="00805310" w:rsidRPr="00C43C8F">
        <w:rPr>
          <w:lang w:eastAsia="lt-LT"/>
        </w:rPr>
        <w:t xml:space="preserve"> apie</w:t>
      </w:r>
      <w:r w:rsidR="004C02E5" w:rsidRPr="00C43C8F">
        <w:rPr>
          <w:lang w:eastAsia="lt-LT"/>
        </w:rPr>
        <w:t xml:space="preserve"> </w:t>
      </w:r>
      <w:r w:rsidR="00805310" w:rsidRPr="00C43C8F">
        <w:rPr>
          <w:lang w:eastAsia="lt-LT"/>
        </w:rPr>
        <w:t xml:space="preserve">pareiškėjui (partneriui) suteiktą valstybės pagalbą (išskyrus </w:t>
      </w:r>
      <w:r w:rsidR="00805310" w:rsidRPr="00C43C8F">
        <w:rPr>
          <w:i/>
          <w:lang w:eastAsia="lt-LT"/>
        </w:rPr>
        <w:t>de minimis</w:t>
      </w:r>
      <w:r w:rsidR="00FD59FC" w:rsidRPr="00C43C8F">
        <w:rPr>
          <w:lang w:eastAsia="lt-LT"/>
        </w:rPr>
        <w:t xml:space="preserve"> pagalbą</w:t>
      </w:r>
      <w:r w:rsidR="00805310" w:rsidRPr="00C43C8F">
        <w:rPr>
          <w:lang w:eastAsia="lt-LT"/>
        </w:rPr>
        <w:t>)</w:t>
      </w:r>
      <w:r w:rsidR="004C02E5" w:rsidRPr="00C43C8F">
        <w:rPr>
          <w:lang w:eastAsia="lt-LT"/>
        </w:rPr>
        <w:t xml:space="preserve">, užpildytą pagal formą </w:t>
      </w:r>
      <w:r w:rsidR="004C02E5" w:rsidRPr="00C43C8F">
        <w:t>Informacija apie iš Europos Sąjungos struktūrinių fondų lėšų bendrai finansuojamiems projektams suteiktą valstybės pagal</w:t>
      </w:r>
      <w:r w:rsidR="004B397B" w:rsidRPr="00C43C8F">
        <w:t xml:space="preserve">bą (išskyrus </w:t>
      </w:r>
      <w:r w:rsidR="004B397B" w:rsidRPr="00C43C8F">
        <w:rPr>
          <w:i/>
        </w:rPr>
        <w:t>de minimis</w:t>
      </w:r>
      <w:r w:rsidR="004C02E5" w:rsidRPr="00C43C8F">
        <w:t xml:space="preserve"> pagalbą)</w:t>
      </w:r>
      <w:r w:rsidR="00093AFF" w:rsidRPr="00C43C8F">
        <w:rPr>
          <w:lang w:eastAsia="lt-LT"/>
        </w:rPr>
        <w:t>;</w:t>
      </w:r>
      <w:r w:rsidR="004C02E5" w:rsidRPr="00C43C8F">
        <w:rPr>
          <w:b/>
        </w:rPr>
        <w:t xml:space="preserve"> </w:t>
      </w:r>
    </w:p>
    <w:p w14:paraId="282FB322" w14:textId="77777777" w:rsidR="006064DC" w:rsidRPr="00C43C8F" w:rsidRDefault="006064DC" w:rsidP="006064DC">
      <w:pPr>
        <w:pStyle w:val="ListParagraph"/>
        <w:numPr>
          <w:ilvl w:val="0"/>
          <w:numId w:val="16"/>
        </w:numPr>
        <w:tabs>
          <w:tab w:val="left" w:pos="1134"/>
        </w:tabs>
        <w:rPr>
          <w:vanish/>
        </w:rPr>
      </w:pPr>
    </w:p>
    <w:p w14:paraId="48F7E1F6" w14:textId="77777777" w:rsidR="006064DC" w:rsidRPr="00C43C8F" w:rsidRDefault="006064DC" w:rsidP="006064DC">
      <w:pPr>
        <w:pStyle w:val="ListParagraph"/>
        <w:numPr>
          <w:ilvl w:val="0"/>
          <w:numId w:val="16"/>
        </w:numPr>
        <w:tabs>
          <w:tab w:val="left" w:pos="1134"/>
        </w:tabs>
        <w:rPr>
          <w:vanish/>
        </w:rPr>
      </w:pPr>
    </w:p>
    <w:p w14:paraId="68A48690" w14:textId="77777777" w:rsidR="006064DC" w:rsidRPr="00C43C8F" w:rsidRDefault="006064DC" w:rsidP="006064DC">
      <w:pPr>
        <w:pStyle w:val="ListParagraph"/>
        <w:numPr>
          <w:ilvl w:val="0"/>
          <w:numId w:val="16"/>
        </w:numPr>
        <w:tabs>
          <w:tab w:val="left" w:pos="1134"/>
        </w:tabs>
        <w:rPr>
          <w:vanish/>
        </w:rPr>
      </w:pPr>
    </w:p>
    <w:p w14:paraId="0ACB273F" w14:textId="77777777" w:rsidR="006064DC" w:rsidRPr="00C43C8F" w:rsidRDefault="006064DC" w:rsidP="006064DC">
      <w:pPr>
        <w:pStyle w:val="ListParagraph"/>
        <w:numPr>
          <w:ilvl w:val="0"/>
          <w:numId w:val="16"/>
        </w:numPr>
        <w:tabs>
          <w:tab w:val="left" w:pos="1134"/>
        </w:tabs>
        <w:rPr>
          <w:vanish/>
        </w:rPr>
      </w:pPr>
    </w:p>
    <w:p w14:paraId="2EAD42B3" w14:textId="77777777" w:rsidR="006064DC" w:rsidRPr="00C43C8F" w:rsidRDefault="006064DC" w:rsidP="006064DC">
      <w:pPr>
        <w:pStyle w:val="ListParagraph"/>
        <w:numPr>
          <w:ilvl w:val="0"/>
          <w:numId w:val="16"/>
        </w:numPr>
        <w:tabs>
          <w:tab w:val="left" w:pos="1134"/>
        </w:tabs>
        <w:rPr>
          <w:vanish/>
        </w:rPr>
      </w:pPr>
    </w:p>
    <w:p w14:paraId="47E4AA50" w14:textId="77777777" w:rsidR="006064DC" w:rsidRPr="00C43C8F" w:rsidRDefault="006064DC" w:rsidP="006064DC">
      <w:pPr>
        <w:pStyle w:val="ListParagraph"/>
        <w:numPr>
          <w:ilvl w:val="0"/>
          <w:numId w:val="16"/>
        </w:numPr>
        <w:tabs>
          <w:tab w:val="left" w:pos="1134"/>
        </w:tabs>
        <w:rPr>
          <w:vanish/>
        </w:rPr>
      </w:pPr>
    </w:p>
    <w:p w14:paraId="2A669E5F" w14:textId="77777777" w:rsidR="006064DC" w:rsidRPr="00C43C8F" w:rsidRDefault="006064DC" w:rsidP="006064DC">
      <w:pPr>
        <w:pStyle w:val="ListParagraph"/>
        <w:numPr>
          <w:ilvl w:val="0"/>
          <w:numId w:val="16"/>
        </w:numPr>
        <w:tabs>
          <w:tab w:val="left" w:pos="1134"/>
        </w:tabs>
        <w:rPr>
          <w:vanish/>
        </w:rPr>
      </w:pPr>
    </w:p>
    <w:p w14:paraId="3DD67E26" w14:textId="77777777" w:rsidR="006064DC" w:rsidRPr="00C43C8F" w:rsidRDefault="006064DC" w:rsidP="006064DC">
      <w:pPr>
        <w:pStyle w:val="ListParagraph"/>
        <w:numPr>
          <w:ilvl w:val="1"/>
          <w:numId w:val="16"/>
        </w:numPr>
        <w:tabs>
          <w:tab w:val="left" w:pos="1134"/>
        </w:tabs>
        <w:rPr>
          <w:vanish/>
        </w:rPr>
      </w:pPr>
    </w:p>
    <w:p w14:paraId="68B25743" w14:textId="77777777" w:rsidR="006064DC" w:rsidRPr="00C43C8F" w:rsidRDefault="006064DC" w:rsidP="006064DC">
      <w:pPr>
        <w:pStyle w:val="ListParagraph"/>
        <w:numPr>
          <w:ilvl w:val="1"/>
          <w:numId w:val="16"/>
        </w:numPr>
        <w:tabs>
          <w:tab w:val="left" w:pos="1134"/>
        </w:tabs>
        <w:rPr>
          <w:vanish/>
        </w:rPr>
      </w:pPr>
    </w:p>
    <w:p w14:paraId="1CCA8EEB" w14:textId="77777777" w:rsidR="006064DC" w:rsidRPr="00C43C8F" w:rsidRDefault="006064DC" w:rsidP="006064DC">
      <w:pPr>
        <w:pStyle w:val="ListParagraph"/>
        <w:numPr>
          <w:ilvl w:val="1"/>
          <w:numId w:val="16"/>
        </w:numPr>
        <w:tabs>
          <w:tab w:val="left" w:pos="1134"/>
        </w:tabs>
        <w:rPr>
          <w:vanish/>
        </w:rPr>
      </w:pPr>
    </w:p>
    <w:p w14:paraId="21D97E3A" w14:textId="77777777" w:rsidR="006064DC" w:rsidRPr="00C43C8F" w:rsidRDefault="006064DC" w:rsidP="006064DC">
      <w:pPr>
        <w:pStyle w:val="ListParagraph"/>
        <w:numPr>
          <w:ilvl w:val="1"/>
          <w:numId w:val="16"/>
        </w:numPr>
        <w:tabs>
          <w:tab w:val="left" w:pos="1134"/>
        </w:tabs>
        <w:rPr>
          <w:vanish/>
        </w:rPr>
      </w:pPr>
    </w:p>
    <w:p w14:paraId="597E284F" w14:textId="77777777" w:rsidR="002204C8" w:rsidRPr="002204C8" w:rsidRDefault="002204C8" w:rsidP="002204C8">
      <w:pPr>
        <w:pStyle w:val="ListParagraph"/>
        <w:numPr>
          <w:ilvl w:val="0"/>
          <w:numId w:val="22"/>
        </w:numPr>
        <w:rPr>
          <w:vanish/>
        </w:rPr>
      </w:pPr>
    </w:p>
    <w:p w14:paraId="5E3627A3" w14:textId="77777777" w:rsidR="002204C8" w:rsidRPr="002204C8" w:rsidRDefault="002204C8" w:rsidP="002204C8">
      <w:pPr>
        <w:pStyle w:val="ListParagraph"/>
        <w:numPr>
          <w:ilvl w:val="0"/>
          <w:numId w:val="22"/>
        </w:numPr>
        <w:rPr>
          <w:vanish/>
        </w:rPr>
      </w:pPr>
    </w:p>
    <w:p w14:paraId="0FAC4FA5" w14:textId="77777777" w:rsidR="002204C8" w:rsidRPr="002204C8" w:rsidRDefault="002204C8" w:rsidP="002204C8">
      <w:pPr>
        <w:pStyle w:val="ListParagraph"/>
        <w:numPr>
          <w:ilvl w:val="0"/>
          <w:numId w:val="22"/>
        </w:numPr>
        <w:rPr>
          <w:vanish/>
        </w:rPr>
      </w:pPr>
    </w:p>
    <w:p w14:paraId="7C695010" w14:textId="77777777" w:rsidR="002204C8" w:rsidRPr="002204C8" w:rsidRDefault="002204C8" w:rsidP="002204C8">
      <w:pPr>
        <w:pStyle w:val="ListParagraph"/>
        <w:numPr>
          <w:ilvl w:val="0"/>
          <w:numId w:val="22"/>
        </w:numPr>
        <w:rPr>
          <w:vanish/>
        </w:rPr>
      </w:pPr>
    </w:p>
    <w:p w14:paraId="2FCC3B08" w14:textId="6078267C" w:rsidR="000E7575" w:rsidRPr="00C43C8F" w:rsidRDefault="00F65620" w:rsidP="002204C8">
      <w:pPr>
        <w:pStyle w:val="ListParagraph"/>
        <w:numPr>
          <w:ilvl w:val="1"/>
          <w:numId w:val="22"/>
        </w:numPr>
        <w:ind w:left="0" w:firstLine="856"/>
      </w:pPr>
      <w:r w:rsidRPr="00C43C8F">
        <w:t xml:space="preserve">. </w:t>
      </w:r>
      <w:r w:rsidRPr="00C43C8F">
        <w:rPr>
          <w:rFonts w:cstheme="minorBidi"/>
          <w:lang w:eastAsia="lt-LT"/>
        </w:rPr>
        <w:t xml:space="preserve">pareiškėjo (partneris) </w:t>
      </w:r>
      <w:r w:rsidRPr="00C43C8F">
        <w:t>daiktinę teisę į statinį ir (ar) žemę, kuriame įgyvendinant projektą bus vykdomi statybos darbai, įrodančius dokumentus. Daiktinė teisė turi būti įregistruotos įstatymų nustatyta tvarka ir galioti ne trumpiau kaip penkerius metus nuo projekto finansavimo pabaigos. Jei statinys ar žemės sklypas yra naudojamas pagal panaudos ar nuomos sutartį, pareiškėjas turi pateikti panaudos davėjo ar nuomotojo raštišką sutikimą vykdyti projekto veiklas</w:t>
      </w:r>
      <w:r w:rsidR="00C65F0C" w:rsidRPr="00C43C8F">
        <w:t>;</w:t>
      </w:r>
    </w:p>
    <w:p w14:paraId="512CD8AD" w14:textId="34F73886" w:rsidR="00F65620" w:rsidRPr="00C43C8F" w:rsidRDefault="00F65620" w:rsidP="008A02DF">
      <w:pPr>
        <w:pStyle w:val="ListParagraph"/>
        <w:numPr>
          <w:ilvl w:val="1"/>
          <w:numId w:val="22"/>
        </w:numPr>
        <w:ind w:left="0" w:firstLine="856"/>
      </w:pPr>
      <w:r w:rsidRPr="00C43C8F">
        <w:t>. Rašytinius gretimų žemės sklypų (teritorijų) savininkų ar valdytojų sutikimus (susitarimus) (jei privaloma pagal Statybos techninio reglamento STR 1.07.01:2010 „Statybą leidžiantys dokumentai“, patvirtinto Lietuvos Respublikos aplinkos ministro 2010 m. rugsėjo 27 d. įsakymu Nr. D1-826 „Dėl Statybos techninio reglamento STR 1.07.01:2010 „Statybą leidžiantys dokumentai“ patvirtinimo“ (toliau - STR 1.07.01:2010 „Statybą leidžiantys dokumentai“) 11 priedą).</w:t>
      </w:r>
    </w:p>
    <w:p w14:paraId="49017214" w14:textId="27CF3930" w:rsidR="00C65F0C" w:rsidRPr="00C43C8F" w:rsidRDefault="00F65620" w:rsidP="008A02DF">
      <w:pPr>
        <w:pStyle w:val="ListParagraph"/>
        <w:numPr>
          <w:ilvl w:val="1"/>
          <w:numId w:val="22"/>
        </w:numPr>
        <w:tabs>
          <w:tab w:val="left" w:pos="1276"/>
          <w:tab w:val="left" w:pos="1418"/>
        </w:tabs>
        <w:ind w:left="0" w:firstLine="856"/>
        <w:rPr>
          <w:b/>
        </w:rPr>
      </w:pPr>
      <w:r w:rsidRPr="00C43C8F">
        <w:t xml:space="preserve">.  </w:t>
      </w:r>
      <w:r w:rsidR="00C65F0C" w:rsidRPr="00C43C8F">
        <w:t>jeigu tiesiogiai su projekto veiklų įgyvendinimu susijęs statinys</w:t>
      </w:r>
      <w:r w:rsidR="001571A2" w:rsidRPr="00C43C8F">
        <w:t xml:space="preserve"> ir (ar) žemės sklypas</w:t>
      </w:r>
      <w:r w:rsidR="00C65F0C" w:rsidRPr="00C43C8F">
        <w:t xml:space="preserve">, kuriame numatoma atlikti statybos darbus, turi bendraturčių, pareiškėjas (partneris) turi pateikti statinio bendraturčių sutikimo vykdyti statybos darbus ir bendraturčių įsipareigojimo prisidėti prie pastato sutvarkymo atitinkama dalimi pagal užimamą plotą kopijas; </w:t>
      </w:r>
    </w:p>
    <w:p w14:paraId="29E611E6" w14:textId="592FD643" w:rsidR="000E7575" w:rsidRPr="00C43C8F" w:rsidRDefault="002204C8" w:rsidP="008A02DF">
      <w:pPr>
        <w:tabs>
          <w:tab w:val="left" w:pos="1276"/>
          <w:tab w:val="left" w:pos="1418"/>
        </w:tabs>
        <w:rPr>
          <w:rFonts w:eastAsia="Calibri"/>
        </w:rPr>
      </w:pPr>
      <w:r>
        <w:rPr>
          <w:rFonts w:eastAsia="Calibri"/>
        </w:rPr>
        <w:t>49</w:t>
      </w:r>
      <w:r w:rsidR="00035375" w:rsidRPr="00C43C8F">
        <w:rPr>
          <w:rFonts w:eastAsia="Calibri"/>
        </w:rPr>
        <w:t xml:space="preserve">.9. </w:t>
      </w:r>
      <w:r w:rsidR="000E7575" w:rsidRPr="00C43C8F">
        <w:rPr>
          <w:rFonts w:eastAsia="Calibri"/>
        </w:rPr>
        <w:t xml:space="preserve">Tvarkybos darbų projekto, parengto ir patvirtinto PTR 3.06.01:2014 „Kultūros paveldo tvarkybos darbų projektų rengimo taisyklės“ nustatyta tvarka, arba statinio projekto, kurio sudėtinė dalis yra tvarkybos darbų projektas, parengto ir patvirtinto PTR 3.06.01:2014 „Kultūros paveldo tvarkybos darbų projektų rengimo taisyklės“ bei Statybos techninio reglamento STR 1.05.06:2010 „Statinio projektavimas“, patvirtinto Lietuvos Respublikos aplinkos ministro 2004 m. gruodžio 30 d. įsakymu Nr. D1-708 nustatyta tvarka,  kopiją.  </w:t>
      </w:r>
      <w:r w:rsidR="000E7575" w:rsidRPr="00C43C8F">
        <w:t>Teikiama visos sudėties statinio projekto elektroninė versija (PDF formatu ar kitu formatu, kurį būtų galima peržiūrėti naudojantis Microsoft Office programine įranga) nurodomas paraiškos kodas, projekto pavadinimas, data ir numeris. P</w:t>
      </w:r>
      <w:r w:rsidR="000E7575" w:rsidRPr="00C43C8F">
        <w:rPr>
          <w:rFonts w:eastAsia="Times New Roman"/>
          <w:lang w:eastAsia="lt-LT"/>
        </w:rPr>
        <w:t>atvirtinto statinio techninio projekto popierinė versija neteikiama</w:t>
      </w:r>
      <w:r w:rsidR="000E7575" w:rsidRPr="00C43C8F">
        <w:t>;</w:t>
      </w:r>
    </w:p>
    <w:p w14:paraId="7ECF90E4" w14:textId="77777777" w:rsidR="002204C8" w:rsidRPr="002204C8" w:rsidRDefault="002204C8" w:rsidP="002204C8">
      <w:pPr>
        <w:pStyle w:val="ListParagraph"/>
        <w:numPr>
          <w:ilvl w:val="0"/>
          <w:numId w:val="24"/>
        </w:numPr>
        <w:tabs>
          <w:tab w:val="left" w:pos="1134"/>
          <w:tab w:val="left" w:pos="1418"/>
        </w:tabs>
        <w:rPr>
          <w:rFonts w:eastAsia="Calibri"/>
          <w:vanish/>
        </w:rPr>
      </w:pPr>
    </w:p>
    <w:p w14:paraId="3AFA26B9" w14:textId="77777777" w:rsidR="002204C8" w:rsidRPr="002204C8" w:rsidRDefault="002204C8" w:rsidP="002204C8">
      <w:pPr>
        <w:pStyle w:val="ListParagraph"/>
        <w:numPr>
          <w:ilvl w:val="0"/>
          <w:numId w:val="24"/>
        </w:numPr>
        <w:tabs>
          <w:tab w:val="left" w:pos="1134"/>
          <w:tab w:val="left" w:pos="1418"/>
        </w:tabs>
        <w:rPr>
          <w:rFonts w:eastAsia="Calibri"/>
          <w:vanish/>
        </w:rPr>
      </w:pPr>
    </w:p>
    <w:p w14:paraId="51CC80CB" w14:textId="77777777" w:rsidR="002204C8" w:rsidRPr="002204C8" w:rsidRDefault="002204C8" w:rsidP="002204C8">
      <w:pPr>
        <w:pStyle w:val="ListParagraph"/>
        <w:numPr>
          <w:ilvl w:val="0"/>
          <w:numId w:val="24"/>
        </w:numPr>
        <w:tabs>
          <w:tab w:val="left" w:pos="1134"/>
          <w:tab w:val="left" w:pos="1418"/>
        </w:tabs>
        <w:rPr>
          <w:rFonts w:eastAsia="Calibri"/>
          <w:vanish/>
        </w:rPr>
      </w:pPr>
    </w:p>
    <w:p w14:paraId="1C3505A1" w14:textId="77777777" w:rsidR="002204C8" w:rsidRPr="002204C8" w:rsidRDefault="002204C8" w:rsidP="002204C8">
      <w:pPr>
        <w:pStyle w:val="ListParagraph"/>
        <w:numPr>
          <w:ilvl w:val="0"/>
          <w:numId w:val="24"/>
        </w:numPr>
        <w:tabs>
          <w:tab w:val="left" w:pos="1134"/>
          <w:tab w:val="left" w:pos="1418"/>
        </w:tabs>
        <w:rPr>
          <w:rFonts w:eastAsia="Calibri"/>
          <w:vanish/>
        </w:rPr>
      </w:pPr>
    </w:p>
    <w:p w14:paraId="7A4979F8" w14:textId="733ADFD2" w:rsidR="000E7575" w:rsidRPr="00C43C8F" w:rsidRDefault="000E7575" w:rsidP="002204C8">
      <w:pPr>
        <w:pStyle w:val="ListParagraph"/>
        <w:numPr>
          <w:ilvl w:val="1"/>
          <w:numId w:val="24"/>
        </w:numPr>
        <w:tabs>
          <w:tab w:val="left" w:pos="1134"/>
          <w:tab w:val="left" w:pos="1560"/>
        </w:tabs>
        <w:ind w:left="0" w:firstLine="851"/>
        <w:rPr>
          <w:rFonts w:eastAsia="Calibri"/>
        </w:rPr>
      </w:pPr>
      <w:r w:rsidRPr="00C43C8F">
        <w:rPr>
          <w:rFonts w:eastAsia="Calibri"/>
        </w:rPr>
        <w:t xml:space="preserve">Leidimo atlikti kultūros paveldo objekto ar kultūros paveldo statinio tvarkybos darbus išduoto vadovaujantis </w:t>
      </w:r>
      <w:r w:rsidRPr="00C43C8F">
        <w:t>Paveldo tvarkybos reglamento PTR 3.04.01:2014 „Leidimų atlikti tvarkybos darbus išdavimo taisyklės“, patvirtinto Lietuvos Respublikos kultūros ministro 2005 m. balandžio 19 d. įsakymu Nr. ĮV-155 „Dėl Paveldo tvarkybos reglamento PTR 3.04.01:2014 „Leidimų atlikti tvarkybos darbus išdavimo taisyklės“ patvirtinimo“</w:t>
      </w:r>
      <w:r w:rsidR="003E266E" w:rsidRPr="00C43C8F">
        <w:rPr>
          <w:rFonts w:eastAsia="Calibri"/>
        </w:rPr>
        <w:t xml:space="preserve"> nustatyta tvarka, kopiją</w:t>
      </w:r>
      <w:r w:rsidRPr="00C43C8F">
        <w:rPr>
          <w:rFonts w:eastAsia="Calibri"/>
        </w:rPr>
        <w:t xml:space="preserve">; </w:t>
      </w:r>
    </w:p>
    <w:p w14:paraId="4B2599EB" w14:textId="77777777" w:rsidR="002204C8" w:rsidRPr="002204C8" w:rsidRDefault="002204C8" w:rsidP="002204C8">
      <w:pPr>
        <w:pStyle w:val="ListParagraph"/>
        <w:numPr>
          <w:ilvl w:val="0"/>
          <w:numId w:val="23"/>
        </w:numPr>
        <w:tabs>
          <w:tab w:val="left" w:pos="0"/>
          <w:tab w:val="left" w:pos="1560"/>
        </w:tabs>
        <w:ind w:left="0" w:firstLine="851"/>
        <w:rPr>
          <w:rFonts w:eastAsia="Calibri"/>
          <w:vanish/>
        </w:rPr>
      </w:pPr>
    </w:p>
    <w:p w14:paraId="08FE069C" w14:textId="77777777" w:rsidR="002204C8" w:rsidRPr="002204C8" w:rsidRDefault="002204C8" w:rsidP="002204C8">
      <w:pPr>
        <w:pStyle w:val="ListParagraph"/>
        <w:numPr>
          <w:ilvl w:val="0"/>
          <w:numId w:val="23"/>
        </w:numPr>
        <w:tabs>
          <w:tab w:val="left" w:pos="0"/>
          <w:tab w:val="left" w:pos="1560"/>
        </w:tabs>
        <w:ind w:left="0" w:firstLine="851"/>
        <w:rPr>
          <w:rFonts w:eastAsia="Calibri"/>
          <w:vanish/>
        </w:rPr>
      </w:pPr>
    </w:p>
    <w:p w14:paraId="66C9F4AE" w14:textId="77777777" w:rsidR="002204C8" w:rsidRPr="002204C8" w:rsidRDefault="002204C8" w:rsidP="002204C8">
      <w:pPr>
        <w:pStyle w:val="ListParagraph"/>
        <w:numPr>
          <w:ilvl w:val="0"/>
          <w:numId w:val="23"/>
        </w:numPr>
        <w:tabs>
          <w:tab w:val="left" w:pos="0"/>
          <w:tab w:val="left" w:pos="1560"/>
        </w:tabs>
        <w:ind w:left="0" w:firstLine="851"/>
        <w:rPr>
          <w:rFonts w:eastAsia="Calibri"/>
          <w:vanish/>
        </w:rPr>
      </w:pPr>
    </w:p>
    <w:p w14:paraId="1D038422" w14:textId="77777777" w:rsidR="002204C8" w:rsidRPr="002204C8" w:rsidRDefault="002204C8" w:rsidP="002204C8">
      <w:pPr>
        <w:pStyle w:val="ListParagraph"/>
        <w:numPr>
          <w:ilvl w:val="0"/>
          <w:numId w:val="23"/>
        </w:numPr>
        <w:tabs>
          <w:tab w:val="left" w:pos="0"/>
          <w:tab w:val="left" w:pos="1560"/>
        </w:tabs>
        <w:ind w:left="0" w:firstLine="851"/>
        <w:rPr>
          <w:rFonts w:eastAsia="Calibri"/>
          <w:vanish/>
        </w:rPr>
      </w:pPr>
    </w:p>
    <w:p w14:paraId="6FD921FE" w14:textId="6CBCAB46" w:rsidR="000E7575" w:rsidRPr="00C43C8F" w:rsidRDefault="000E7575" w:rsidP="002204C8">
      <w:pPr>
        <w:pStyle w:val="ListParagraph"/>
        <w:numPr>
          <w:ilvl w:val="1"/>
          <w:numId w:val="23"/>
        </w:numPr>
        <w:tabs>
          <w:tab w:val="left" w:pos="0"/>
          <w:tab w:val="left" w:pos="1560"/>
        </w:tabs>
        <w:ind w:left="0" w:firstLine="851"/>
        <w:rPr>
          <w:rFonts w:eastAsia="Calibri"/>
        </w:rPr>
      </w:pPr>
      <w:r w:rsidRPr="00C43C8F">
        <w:rPr>
          <w:rFonts w:eastAsia="Calibri"/>
        </w:rPr>
        <w:t xml:space="preserve">Statybą leidžiančio dokumento, išduoto vadovaujantis </w:t>
      </w:r>
      <w:r w:rsidRPr="00C43C8F">
        <w:t xml:space="preserve">Statybos techninio reglamento STR 1.07.01:2010 „Statybą leidžiantys dokumentai“, patvirtinto Lietuvos Respublikos aplinkos ministro 2010 m. rugsėjo 27 d. įsakymu Nr. D1-826 „Dėl Statybos techninio reglamento STR 1.07.01:2010 „Statybą leidžiantys dokumentai“ patvirtinimo“ </w:t>
      </w:r>
      <w:r w:rsidRPr="00C43C8F">
        <w:rPr>
          <w:rFonts w:eastAsia="Calibri"/>
        </w:rPr>
        <w:t xml:space="preserve">nustatyta tvarka ir atvejais, jeigu kultūros paveldo objekte numatoma atlikti  tvarkomuosius statybos darbus, kopiją; </w:t>
      </w:r>
    </w:p>
    <w:p w14:paraId="77F9F3B3" w14:textId="77777777" w:rsidR="000E7575" w:rsidRPr="00C43C8F" w:rsidRDefault="000E7575" w:rsidP="008A02DF">
      <w:pPr>
        <w:pStyle w:val="ListParagraph"/>
        <w:numPr>
          <w:ilvl w:val="1"/>
          <w:numId w:val="23"/>
        </w:numPr>
        <w:tabs>
          <w:tab w:val="left" w:pos="1134"/>
          <w:tab w:val="left" w:pos="1560"/>
        </w:tabs>
        <w:ind w:left="0" w:firstLine="851"/>
        <w:rPr>
          <w:rFonts w:eastAsia="Times New Roman"/>
          <w:lang w:eastAsia="lt-LT"/>
        </w:rPr>
      </w:pPr>
      <w:r w:rsidRPr="00C43C8F">
        <w:t xml:space="preserve">jei projekte numatomi statybos darbai, </w:t>
      </w:r>
      <w:r w:rsidRPr="00C43C8F">
        <w:rPr>
          <w:rFonts w:eastAsia="Times New Roman"/>
          <w:lang w:eastAsia="lt-LT"/>
        </w:rPr>
        <w:t xml:space="preserve">numatomų sutvarkyti patalpų brėžinius iš inventorinės bylos ir/ar orientacinius numatomos sutvarkyti aplinkos planus/brėžinius/schemas bei  preliminarius darbų kiekių žiniaraščius, kuriuose nurodytos orientacinės planuojamų atlikti darbų kainos, arba dokumentus, kuriuose nustatyti orientaciniai statybos darbų kiekiai ir jų kainos. Ši informacija teikiama tuo atveju, jeigu kartu su paraiška nėra pateiktas patvirtintas statinio projektas arba jį rengti nėra privaloma; </w:t>
      </w:r>
    </w:p>
    <w:p w14:paraId="4B06FF8E" w14:textId="77777777" w:rsidR="000E7575" w:rsidRPr="00C43C8F" w:rsidRDefault="000E7575" w:rsidP="008A02DF">
      <w:pPr>
        <w:pStyle w:val="ListParagraph"/>
        <w:numPr>
          <w:ilvl w:val="1"/>
          <w:numId w:val="23"/>
        </w:numPr>
        <w:tabs>
          <w:tab w:val="left" w:pos="1134"/>
          <w:tab w:val="left" w:pos="1560"/>
        </w:tabs>
        <w:ind w:left="0" w:firstLine="851"/>
        <w:rPr>
          <w:rFonts w:eastAsia="Times New Roman"/>
          <w:lang w:eastAsia="lt-LT"/>
        </w:rPr>
      </w:pPr>
      <w:r w:rsidRPr="00C43C8F">
        <w:rPr>
          <w:rFonts w:eastAsia="Times New Roman"/>
          <w:lang w:eastAsia="lt-LT"/>
        </w:rPr>
        <w:t>dokumentus, pagrindžiančius projekto biudžeto pagrįstumą (sudarytas sutartis, komercinius pasiūlymus, nuorodas į rinkoje esančias kainas);</w:t>
      </w:r>
    </w:p>
    <w:p w14:paraId="6686C938" w14:textId="77777777" w:rsidR="000E7575" w:rsidRPr="00C43C8F" w:rsidRDefault="000E7575" w:rsidP="008A02DF">
      <w:pPr>
        <w:pStyle w:val="ListParagraph"/>
        <w:numPr>
          <w:ilvl w:val="1"/>
          <w:numId w:val="23"/>
        </w:numPr>
        <w:tabs>
          <w:tab w:val="left" w:pos="1134"/>
          <w:tab w:val="left" w:pos="1560"/>
        </w:tabs>
        <w:ind w:left="0" w:firstLine="851"/>
        <w:rPr>
          <w:rFonts w:eastAsia="Times New Roman"/>
          <w:lang w:eastAsia="lt-LT"/>
        </w:rPr>
      </w:pPr>
      <w:r w:rsidRPr="00C43C8F">
        <w:rPr>
          <w:rFonts w:eastAsia="Times New Roman"/>
          <w:lang w:eastAsia="lt-LT"/>
        </w:rPr>
        <w:t xml:space="preserve">pareiškėjo ir (ar) partnerio įsipareigojimą padengti netinkamas finansuoti, tačiau šiam projektui įgyvendinti būtinas išlaidas, ir tinkamas išlaidas, kurių nepadengia projekto finansavimas, įrodančius dokumentus; </w:t>
      </w:r>
    </w:p>
    <w:p w14:paraId="5BE252FE" w14:textId="22604AED" w:rsidR="000E7575" w:rsidRPr="00C43C8F" w:rsidRDefault="000E7575" w:rsidP="008A02DF">
      <w:pPr>
        <w:pStyle w:val="ListParagraph"/>
        <w:numPr>
          <w:ilvl w:val="1"/>
          <w:numId w:val="23"/>
        </w:numPr>
        <w:tabs>
          <w:tab w:val="left" w:pos="1134"/>
          <w:tab w:val="left" w:pos="1560"/>
        </w:tabs>
        <w:ind w:left="0" w:firstLine="851"/>
        <w:rPr>
          <w:rFonts w:eastAsia="Times New Roman"/>
          <w:lang w:eastAsia="lt-LT"/>
        </w:rPr>
      </w:pPr>
      <w:r w:rsidRPr="00C43C8F">
        <w:rPr>
          <w:rFonts w:eastAsia="Times New Roman"/>
          <w:lang w:eastAsia="lt-LT"/>
        </w:rPr>
        <w:t xml:space="preserve">iki paraiškos pateikimo </w:t>
      </w:r>
      <w:r w:rsidRPr="00C43C8F">
        <w:rPr>
          <w:iCs/>
          <w:lang w:eastAsia="lt-LT"/>
        </w:rPr>
        <w:t xml:space="preserve">paskutinių metų </w:t>
      </w:r>
      <w:r w:rsidRPr="00C43C8F">
        <w:rPr>
          <w:rFonts w:eastAsia="Times New Roman"/>
          <w:lang w:eastAsia="lt-LT"/>
        </w:rPr>
        <w:t>Lietuvos Respublikos įstatymų nustatyta tvarka</w:t>
      </w:r>
      <w:r w:rsidRPr="00C43C8F">
        <w:rPr>
          <w:iCs/>
          <w:lang w:eastAsia="lt-LT"/>
        </w:rPr>
        <w:t xml:space="preserve"> patvirtintos </w:t>
      </w:r>
      <w:r w:rsidRPr="00C43C8F">
        <w:rPr>
          <w:rFonts w:eastAsia="Times New Roman"/>
          <w:lang w:eastAsia="lt-LT"/>
        </w:rPr>
        <w:t xml:space="preserve">pareiškėjo (partnerio) </w:t>
      </w:r>
      <w:r w:rsidRPr="00C43C8F">
        <w:rPr>
          <w:iCs/>
          <w:lang w:eastAsia="lt-LT"/>
        </w:rPr>
        <w:t>metinės finansinės atskaitomybės dokumentų kopijos</w:t>
      </w:r>
      <w:r w:rsidRPr="00C43C8F">
        <w:rPr>
          <w:rFonts w:eastAsia="Times New Roman"/>
          <w:lang w:eastAsia="lt-LT"/>
        </w:rPr>
        <w:t xml:space="preserve"> ir </w:t>
      </w:r>
      <w:r w:rsidRPr="00C43C8F">
        <w:rPr>
          <w:iCs/>
          <w:lang w:eastAsia="lt-LT"/>
        </w:rPr>
        <w:t xml:space="preserve">paskutinio ketvirčio iki paraiškos pateikimo </w:t>
      </w:r>
      <w:r w:rsidRPr="00C43C8F">
        <w:rPr>
          <w:rFonts w:eastAsia="Times New Roman"/>
          <w:lang w:eastAsia="lt-LT"/>
        </w:rPr>
        <w:t xml:space="preserve">pareiškėjo (partnerio) </w:t>
      </w:r>
      <w:r w:rsidRPr="00C43C8F">
        <w:rPr>
          <w:iCs/>
          <w:lang w:eastAsia="lt-LT"/>
        </w:rPr>
        <w:t xml:space="preserve">tarpinės finansinės atskaitomybės dokumentai, pasirašyti įmonės/įstaigos direktoriaus ir patvirtinti įmonės/įstaigos  antspaudu </w:t>
      </w:r>
      <w:r w:rsidRPr="00C43C8F">
        <w:rPr>
          <w:rFonts w:eastAsia="Times New Roman"/>
          <w:lang w:eastAsia="lt-LT"/>
        </w:rPr>
        <w:t>(šis reikalavimas netaikomas biudžetinėms įstaigoms</w:t>
      </w:r>
      <w:r w:rsidR="00916DD4" w:rsidRPr="00C43C8F">
        <w:rPr>
          <w:rFonts w:eastAsia="Times New Roman"/>
          <w:lang w:eastAsia="lt-LT"/>
        </w:rPr>
        <w:t xml:space="preserve"> arba jei projektui teikiamas finansavimas nėra valstybės pagalba</w:t>
      </w:r>
      <w:r w:rsidRPr="00C43C8F">
        <w:rPr>
          <w:rFonts w:eastAsia="Times New Roman"/>
          <w:lang w:eastAsia="lt-LT"/>
        </w:rPr>
        <w:t>);</w:t>
      </w:r>
    </w:p>
    <w:p w14:paraId="1496B876" w14:textId="63272C4E" w:rsidR="000E7575" w:rsidRPr="00C43C8F" w:rsidRDefault="000E7575" w:rsidP="008A02DF">
      <w:pPr>
        <w:pStyle w:val="ListParagraph"/>
        <w:numPr>
          <w:ilvl w:val="1"/>
          <w:numId w:val="23"/>
        </w:numPr>
        <w:tabs>
          <w:tab w:val="left" w:pos="1134"/>
          <w:tab w:val="left" w:pos="1560"/>
        </w:tabs>
        <w:ind w:left="0" w:firstLine="851"/>
        <w:rPr>
          <w:rFonts w:eastAsia="Times New Roman"/>
          <w:lang w:eastAsia="lt-LT"/>
        </w:rPr>
      </w:pPr>
      <w:r w:rsidRPr="00C43C8F">
        <w:rPr>
          <w:rFonts w:eastAsia="Times New Roman"/>
          <w:lang w:eastAsia="lt-LT"/>
        </w:rPr>
        <w:t>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(šis reikalavimas netaikomas biudžetinėms įstaigoms</w:t>
      </w:r>
      <w:r w:rsidR="00916DD4" w:rsidRPr="00C43C8F">
        <w:rPr>
          <w:rFonts w:eastAsia="Times New Roman"/>
          <w:lang w:eastAsia="lt-LT"/>
        </w:rPr>
        <w:t xml:space="preserve"> arba jei projektui teikiamas finansavimas nėra valstybės pagalba</w:t>
      </w:r>
      <w:r w:rsidRPr="00C43C8F">
        <w:rPr>
          <w:rFonts w:eastAsia="Times New Roman"/>
          <w:lang w:eastAsia="lt-LT"/>
        </w:rPr>
        <w:t>);</w:t>
      </w:r>
    </w:p>
    <w:p w14:paraId="752F46B4" w14:textId="77777777" w:rsidR="000E7575" w:rsidRPr="00C43C8F" w:rsidRDefault="000E7575" w:rsidP="008A02DF">
      <w:pPr>
        <w:pStyle w:val="ListParagraph"/>
        <w:numPr>
          <w:ilvl w:val="1"/>
          <w:numId w:val="23"/>
        </w:numPr>
        <w:tabs>
          <w:tab w:val="left" w:pos="1134"/>
          <w:tab w:val="left" w:pos="1560"/>
        </w:tabs>
        <w:ind w:left="0" w:firstLine="851"/>
        <w:rPr>
          <w:rFonts w:eastAsia="+mn-ea"/>
          <w:kern w:val="24"/>
          <w:lang w:eastAsia="lt-LT"/>
        </w:rPr>
      </w:pPr>
      <w:r w:rsidRPr="00C43C8F">
        <w:rPr>
          <w:rFonts w:eastAsia="+mn-ea"/>
          <w:kern w:val="24"/>
          <w:lang w:eastAsia="lt-LT"/>
        </w:rPr>
        <w:t>Įvykdytų viešųjų pirkimų, viršijančių tarptautinio pirkimo vertę, apibrėžtą Lietuvos Respublikos viešųjų pirkimų įstatymo 11 str., kurių prašoma finansuoti projekte suma viršija 175 000 Eur, dokumentus;</w:t>
      </w:r>
    </w:p>
    <w:p w14:paraId="31B85E4E" w14:textId="77777777" w:rsidR="00093AFF" w:rsidRPr="00C43C8F" w:rsidRDefault="000E7575" w:rsidP="008A02DF">
      <w:pPr>
        <w:pStyle w:val="ListParagraph"/>
        <w:numPr>
          <w:ilvl w:val="1"/>
          <w:numId w:val="23"/>
        </w:numPr>
        <w:tabs>
          <w:tab w:val="left" w:pos="1560"/>
        </w:tabs>
        <w:ind w:left="0" w:firstLine="851"/>
        <w:rPr>
          <w:rFonts w:eastAsia="+mn-ea"/>
          <w:kern w:val="24"/>
        </w:rPr>
      </w:pPr>
      <w:r w:rsidRPr="00C43C8F">
        <w:rPr>
          <w:rFonts w:eastAsia="+mn-ea"/>
          <w:kern w:val="24"/>
        </w:rPr>
        <w:t>pagrindinio projekto pirkimo, kurio prašoma finansuoti projekte suma sudaro didžiausią projekto biudžeto dalį, dokumentus, jeigu šis pirkimas teikiant projekto paraišką yra įvykdytas</w:t>
      </w:r>
      <w:r w:rsidR="008B0D55" w:rsidRPr="00C43C8F">
        <w:rPr>
          <w:rFonts w:eastAsia="+mn-ea"/>
          <w:kern w:val="24"/>
        </w:rPr>
        <w:t>;</w:t>
      </w:r>
    </w:p>
    <w:p w14:paraId="09069401" w14:textId="6FE54A1A" w:rsidR="008B0D55" w:rsidRPr="00C43C8F" w:rsidRDefault="008B0D55" w:rsidP="008A02DF">
      <w:pPr>
        <w:pStyle w:val="ListParagraph"/>
        <w:numPr>
          <w:ilvl w:val="1"/>
          <w:numId w:val="23"/>
        </w:numPr>
        <w:tabs>
          <w:tab w:val="left" w:pos="1560"/>
        </w:tabs>
        <w:ind w:left="0" w:firstLine="851"/>
        <w:rPr>
          <w:rFonts w:eastAsia="Times New Roman"/>
          <w:lang w:eastAsia="lt-LT"/>
        </w:rPr>
      </w:pPr>
      <w:r w:rsidRPr="00C43C8F">
        <w:t xml:space="preserve">užpildytą Aprašo </w:t>
      </w:r>
      <w:r w:rsidR="00035375" w:rsidRPr="00C43C8F">
        <w:t>3</w:t>
      </w:r>
      <w:r w:rsidRPr="00C43C8F">
        <w:t xml:space="preserve"> priedą „Informacija apie iš Europos Sąjungos struktūrinių  fondų lėšų bendrai finansuojamų projektų gaunamas pajamas ir valstybės pagalbą“ bei užpildytą sąnaudų ir naudos analizės skaičiuoklę, kurioje rodiklių reikšmės būtų apskaičiuotos pagal investicijų projekto rengimo metu galiojančią bazinę normą, kuri skelbiama internetinėje svetainėje http://ec.europa.eu/competition/state_aid/legislation/reference_rates.html, ją padidinant 100 bazinių punktų dydžio fiksuota marža, kaip tai numato Komisijos komunikatas dėl orientacinių ir diskonto normų nustatymo metodo pakeitimo (OJ C 14, 19.01.2008, p.6.) ir jų elek</w:t>
      </w:r>
      <w:r w:rsidR="001571A2" w:rsidRPr="00C43C8F">
        <w:t xml:space="preserve">tronines versijas </w:t>
      </w:r>
      <w:r w:rsidR="003112BA" w:rsidRPr="00C43C8F">
        <w:t xml:space="preserve">Excel formatu </w:t>
      </w:r>
      <w:r w:rsidR="001571A2" w:rsidRPr="00C43C8F">
        <w:t>(jei taikoma);</w:t>
      </w:r>
    </w:p>
    <w:p w14:paraId="374D9251" w14:textId="33C525A8" w:rsidR="00881B4C" w:rsidRPr="00C43C8F" w:rsidRDefault="002204C8" w:rsidP="002759F7">
      <w:pPr>
        <w:rPr>
          <w:lang w:eastAsia="lt-LT"/>
        </w:rPr>
      </w:pPr>
      <w:r>
        <w:rPr>
          <w:lang w:eastAsia="lt-LT"/>
        </w:rPr>
        <w:t>50</w:t>
      </w:r>
      <w:r w:rsidR="00825F79" w:rsidRPr="00C43C8F">
        <w:rPr>
          <w:lang w:eastAsia="lt-LT"/>
        </w:rPr>
        <w:t xml:space="preserve">. </w:t>
      </w:r>
      <w:r w:rsidR="000E7575" w:rsidRPr="00C43C8F">
        <w:rPr>
          <w:rFonts w:eastAsia="Times New Roman"/>
          <w:lang w:eastAsia="lt-LT"/>
        </w:rPr>
        <w:t>Visi Aprašo 4</w:t>
      </w:r>
      <w:r>
        <w:rPr>
          <w:rFonts w:eastAsia="Times New Roman"/>
          <w:lang w:eastAsia="lt-LT"/>
        </w:rPr>
        <w:t>9</w:t>
      </w:r>
      <w:r w:rsidR="000E7575" w:rsidRPr="00C43C8F">
        <w:rPr>
          <w:rFonts w:eastAsia="Times New Roman"/>
          <w:lang w:eastAsia="lt-LT"/>
        </w:rPr>
        <w:t xml:space="preserve"> punkte nurodyti priedai turi būti teikiami raštu (išskyrus patvirtintą statinio projektą, kuris teikiamas tik el. laikmenoje), kartu su paraiška (kartu pateikiant į elektroninę laikmeną įrašytus paraiškos priedus. Priedai turi būti pateikiami atskiruose failuose elektroniniais dokumentais). Jeigu įdiegtos funkcinės galimybės - visi Aprašo 4</w:t>
      </w:r>
      <w:r>
        <w:rPr>
          <w:rFonts w:eastAsia="Times New Roman"/>
          <w:lang w:eastAsia="lt-LT"/>
        </w:rPr>
        <w:t>9</w:t>
      </w:r>
      <w:r w:rsidR="000E7575" w:rsidRPr="00C43C8F">
        <w:rPr>
          <w:rFonts w:eastAsia="Times New Roman"/>
          <w:lang w:eastAsia="lt-LT"/>
        </w:rPr>
        <w:t xml:space="preserve"> punkte nurodyti priedai teikiami </w:t>
      </w:r>
      <w:r w:rsidR="000E7575" w:rsidRPr="00C43C8F">
        <w:rPr>
          <w:rFonts w:eastAsia="Times New Roman"/>
          <w:lang w:eastAsia="lt-LT"/>
        </w:rPr>
        <w:lastRenderedPageBreak/>
        <w:t>per DMS</w:t>
      </w:r>
      <w:r w:rsidR="000E7575" w:rsidRPr="00C43C8F">
        <w:rPr>
          <w:rFonts w:eastAsia="Times New Roman"/>
          <w:i/>
          <w:lang w:eastAsia="lt-LT"/>
        </w:rPr>
        <w:t xml:space="preserve">. </w:t>
      </w:r>
      <w:r w:rsidR="000E7575" w:rsidRPr="00C43C8F">
        <w:rPr>
          <w:rFonts w:eastAsia="Times New Roman"/>
          <w:lang w:eastAsia="lt-LT"/>
        </w:rPr>
        <w:t>Jei priedai teikiami ne kartu su paraiška, jie turi būti pateikti iki paraiškai teikti nustatyto termino paskutinės dienos. Paraiškos pateikimo data ir laikas nustatomi pagal paskutinio pateikto priedo pateikimo datą ir laiką</w:t>
      </w:r>
      <w:r w:rsidR="00825F79" w:rsidRPr="00C43C8F">
        <w:rPr>
          <w:lang w:eastAsia="lt-LT"/>
        </w:rPr>
        <w:t>.</w:t>
      </w:r>
      <w:r w:rsidR="0062248E" w:rsidRPr="00C43C8F">
        <w:rPr>
          <w:lang w:eastAsia="lt-LT"/>
        </w:rPr>
        <w:t xml:space="preserve"> </w:t>
      </w:r>
    </w:p>
    <w:p w14:paraId="4DCAB939" w14:textId="77777777" w:rsidR="002204C8" w:rsidRPr="002204C8" w:rsidRDefault="002204C8" w:rsidP="00A257EE">
      <w:pPr>
        <w:pStyle w:val="ListParagraph"/>
        <w:numPr>
          <w:ilvl w:val="0"/>
          <w:numId w:val="19"/>
        </w:numPr>
        <w:ind w:left="0" w:firstLine="851"/>
        <w:rPr>
          <w:vanish/>
          <w:lang w:eastAsia="lt-LT"/>
        </w:rPr>
      </w:pPr>
    </w:p>
    <w:p w14:paraId="66BB67CB" w14:textId="77777777" w:rsidR="002204C8" w:rsidRPr="002204C8" w:rsidRDefault="002204C8" w:rsidP="00A257EE">
      <w:pPr>
        <w:pStyle w:val="ListParagraph"/>
        <w:numPr>
          <w:ilvl w:val="0"/>
          <w:numId w:val="19"/>
        </w:numPr>
        <w:ind w:left="0" w:firstLine="851"/>
        <w:rPr>
          <w:vanish/>
          <w:lang w:eastAsia="lt-LT"/>
        </w:rPr>
      </w:pPr>
    </w:p>
    <w:p w14:paraId="46CED38E" w14:textId="77777777" w:rsidR="002204C8" w:rsidRPr="002204C8" w:rsidRDefault="002204C8" w:rsidP="00A257EE">
      <w:pPr>
        <w:pStyle w:val="ListParagraph"/>
        <w:numPr>
          <w:ilvl w:val="0"/>
          <w:numId w:val="19"/>
        </w:numPr>
        <w:ind w:left="0" w:firstLine="851"/>
        <w:rPr>
          <w:vanish/>
          <w:lang w:eastAsia="lt-LT"/>
        </w:rPr>
      </w:pPr>
    </w:p>
    <w:p w14:paraId="35F3083D" w14:textId="3E89C81D" w:rsidR="00233F49" w:rsidRPr="00C43C8F" w:rsidRDefault="00233F49" w:rsidP="00A257EE">
      <w:pPr>
        <w:pStyle w:val="ListParagraph"/>
        <w:numPr>
          <w:ilvl w:val="0"/>
          <w:numId w:val="19"/>
        </w:numPr>
        <w:ind w:left="0" w:firstLine="851"/>
        <w:rPr>
          <w:lang w:eastAsia="lt-LT"/>
        </w:rPr>
      </w:pPr>
      <w:r w:rsidRPr="00C43C8F">
        <w:rPr>
          <w:lang w:eastAsia="lt-LT"/>
        </w:rPr>
        <w:t xml:space="preserve">Paraiškų pateikimo </w:t>
      </w:r>
      <w:r w:rsidR="004857C5" w:rsidRPr="00C43C8F">
        <w:rPr>
          <w:lang w:eastAsia="lt-LT"/>
        </w:rPr>
        <w:t xml:space="preserve">paskutinė diena </w:t>
      </w:r>
      <w:r w:rsidRPr="00C43C8F">
        <w:rPr>
          <w:lang w:eastAsia="lt-LT"/>
        </w:rPr>
        <w:t>nustat</w:t>
      </w:r>
      <w:r w:rsidR="00AA64E1" w:rsidRPr="00C43C8F">
        <w:rPr>
          <w:lang w:eastAsia="lt-LT"/>
        </w:rPr>
        <w:t>oma</w:t>
      </w:r>
      <w:r w:rsidRPr="00C43C8F">
        <w:rPr>
          <w:lang w:eastAsia="lt-LT"/>
        </w:rPr>
        <w:t xml:space="preserve"> regionų projektų sąraše</w:t>
      </w:r>
      <w:r w:rsidR="00D87723" w:rsidRPr="00C43C8F">
        <w:rPr>
          <w:lang w:eastAsia="lt-LT"/>
        </w:rPr>
        <w:t xml:space="preserve">, kuris skelbiamas ES struktūrinių fondų svetainėje </w:t>
      </w:r>
      <w:hyperlink r:id="rId14" w:history="1">
        <w:r w:rsidR="005106C5" w:rsidRPr="00C43C8F">
          <w:rPr>
            <w:rStyle w:val="Hyperlink"/>
            <w:color w:val="auto"/>
            <w:u w:val="none"/>
            <w:lang w:eastAsia="lt-LT"/>
          </w:rPr>
          <w:t>www.esinvesticijos.lt</w:t>
        </w:r>
      </w:hyperlink>
      <w:r w:rsidRPr="00C43C8F">
        <w:rPr>
          <w:lang w:eastAsia="lt-LT"/>
        </w:rPr>
        <w:t>.</w:t>
      </w:r>
      <w:r w:rsidR="00D87723" w:rsidRPr="00C43C8F">
        <w:rPr>
          <w:lang w:eastAsia="lt-LT"/>
        </w:rPr>
        <w:t xml:space="preserve"> </w:t>
      </w:r>
    </w:p>
    <w:p w14:paraId="478FEBB2" w14:textId="77777777" w:rsidR="00761FCB" w:rsidRPr="00C43C8F" w:rsidRDefault="00222D9F" w:rsidP="00A257EE">
      <w:pPr>
        <w:pStyle w:val="ListParagraph"/>
        <w:numPr>
          <w:ilvl w:val="0"/>
          <w:numId w:val="19"/>
        </w:numPr>
        <w:ind w:left="0" w:firstLine="851"/>
        <w:rPr>
          <w:lang w:eastAsia="lt-LT"/>
        </w:rPr>
      </w:pPr>
      <w:r w:rsidRPr="00C43C8F">
        <w:rPr>
          <w:lang w:eastAsia="lt-LT"/>
        </w:rPr>
        <w:t xml:space="preserve">Pareiškėjai informuojami ir konsultuojami Projektų taisyklių 5 skirsnyje nustatyta tvarka. Informacija apie konkrečius įgyvendinančiosios institucijos konsultuojančius asmenis ir jų kontaktus bus nurodyta </w:t>
      </w:r>
      <w:r w:rsidRPr="00C43C8F">
        <w:rPr>
          <w:rStyle w:val="Hyperlink"/>
          <w:rFonts w:eastAsia="Times New Roman"/>
          <w:color w:val="auto"/>
          <w:u w:val="none"/>
          <w:lang w:eastAsia="lt-LT"/>
        </w:rPr>
        <w:t xml:space="preserve">įgyvendinančiosios institucijos siunčiamame </w:t>
      </w:r>
      <w:r w:rsidR="00872B60" w:rsidRPr="00C43C8F">
        <w:rPr>
          <w:rStyle w:val="Hyperlink"/>
          <w:rFonts w:eastAsia="Times New Roman"/>
          <w:color w:val="auto"/>
          <w:u w:val="none"/>
          <w:lang w:eastAsia="lt-LT"/>
        </w:rPr>
        <w:t>pasiūlyme</w:t>
      </w:r>
      <w:r w:rsidR="002B280F" w:rsidRPr="00C43C8F">
        <w:rPr>
          <w:rStyle w:val="Hyperlink"/>
          <w:rFonts w:eastAsia="Times New Roman"/>
          <w:color w:val="auto"/>
          <w:u w:val="none"/>
          <w:lang w:eastAsia="lt-LT"/>
        </w:rPr>
        <w:t xml:space="preserve"> teikti paraiškas pagal regionų projektų sąrašą</w:t>
      </w:r>
      <w:r w:rsidR="003C6839" w:rsidRPr="00C43C8F">
        <w:rPr>
          <w:rStyle w:val="Hyperlink"/>
          <w:rFonts w:eastAsia="Times New Roman"/>
          <w:color w:val="auto"/>
          <w:u w:val="none"/>
          <w:lang w:eastAsia="lt-LT"/>
        </w:rPr>
        <w:t>.</w:t>
      </w:r>
      <w:r w:rsidRPr="00C43C8F">
        <w:rPr>
          <w:lang w:eastAsia="lt-LT"/>
        </w:rPr>
        <w:t xml:space="preserve"> </w:t>
      </w:r>
    </w:p>
    <w:p w14:paraId="7751D5D7" w14:textId="77777777" w:rsidR="00360E7A" w:rsidRPr="00C43C8F" w:rsidRDefault="006C2F18" w:rsidP="00A257EE">
      <w:pPr>
        <w:pStyle w:val="ListParagraph"/>
        <w:numPr>
          <w:ilvl w:val="0"/>
          <w:numId w:val="19"/>
        </w:numPr>
        <w:ind w:left="0" w:firstLine="851"/>
        <w:rPr>
          <w:lang w:eastAsia="lt-LT"/>
        </w:rPr>
      </w:pPr>
      <w:r w:rsidRPr="00C43C8F">
        <w:rPr>
          <w:lang w:eastAsia="lt-LT"/>
        </w:rPr>
        <w:t>Įgyvendinančioji institucija atlieka projekto tinkamumo finansuoti vertinimą Projektų taisyklių 14 ir 15 skirsniuose nustatyta tvarka pagal Aprašo 1 priede „</w:t>
      </w:r>
      <w:r w:rsidR="00513802" w:rsidRPr="00C43C8F">
        <w:rPr>
          <w:lang w:eastAsia="lt-LT"/>
        </w:rPr>
        <w:t>Projekto t</w:t>
      </w:r>
      <w:r w:rsidRPr="00C43C8F">
        <w:rPr>
          <w:lang w:eastAsia="lt-LT"/>
        </w:rPr>
        <w:t>inkamumo finansuoti vertinimo le</w:t>
      </w:r>
      <w:r w:rsidR="004B3F81" w:rsidRPr="00C43C8F">
        <w:rPr>
          <w:lang w:eastAsia="lt-LT"/>
        </w:rPr>
        <w:t>ntelė“ nustatytus reikalavimus</w:t>
      </w:r>
      <w:r w:rsidRPr="00C43C8F">
        <w:rPr>
          <w:lang w:eastAsia="lt-LT"/>
        </w:rPr>
        <w:t>.</w:t>
      </w:r>
    </w:p>
    <w:p w14:paraId="19859291" w14:textId="77777777" w:rsidR="00490812" w:rsidRPr="00C43C8F" w:rsidRDefault="00360E7A" w:rsidP="00A257EE">
      <w:pPr>
        <w:pStyle w:val="ListParagraph"/>
        <w:numPr>
          <w:ilvl w:val="0"/>
          <w:numId w:val="19"/>
        </w:numPr>
        <w:ind w:left="0" w:firstLine="851"/>
        <w:rPr>
          <w:lang w:eastAsia="lt-LT"/>
        </w:rPr>
      </w:pPr>
      <w:r w:rsidRPr="00C43C8F">
        <w:rPr>
          <w:lang w:eastAsia="lt-LT"/>
        </w:rPr>
        <w:t>Paraiškos vertinimo metu įgyvendinančioji institucija gali paprašyti pareiškėj</w:t>
      </w:r>
      <w:r w:rsidR="00FD59FC" w:rsidRPr="00C43C8F">
        <w:rPr>
          <w:lang w:eastAsia="lt-LT"/>
        </w:rPr>
        <w:t>o</w:t>
      </w:r>
      <w:r w:rsidRPr="00C43C8F">
        <w:rPr>
          <w:lang w:eastAsia="lt-LT"/>
        </w:rPr>
        <w:t xml:space="preserve"> pateikti trūkstamą informaciją ir (arba) dokumentus. Pareiškėjas privalo pateikti šią informaciją ir (arba) dokumentus per įgyvendinančiosios institucijos nustatytą terminą. </w:t>
      </w:r>
    </w:p>
    <w:p w14:paraId="34548916" w14:textId="77777777" w:rsidR="00430A01" w:rsidRPr="00C43C8F" w:rsidRDefault="00310642" w:rsidP="00A257EE">
      <w:pPr>
        <w:pStyle w:val="ListParagraph"/>
        <w:numPr>
          <w:ilvl w:val="0"/>
          <w:numId w:val="19"/>
        </w:numPr>
        <w:ind w:left="0" w:firstLine="851"/>
        <w:rPr>
          <w:lang w:eastAsia="lt-LT"/>
        </w:rPr>
      </w:pPr>
      <w:r w:rsidRPr="00C43C8F">
        <w:rPr>
          <w:lang w:eastAsia="lt-LT"/>
        </w:rPr>
        <w:t xml:space="preserve">Paraiškos vertinamos ne ilgiau kaip  </w:t>
      </w:r>
      <w:r w:rsidR="00430A01" w:rsidRPr="00C43C8F">
        <w:rPr>
          <w:lang w:eastAsia="lt-LT"/>
        </w:rPr>
        <w:t>60</w:t>
      </w:r>
      <w:r w:rsidRPr="00C43C8F">
        <w:rPr>
          <w:lang w:eastAsia="lt-LT"/>
        </w:rPr>
        <w:t xml:space="preserve"> dienų</w:t>
      </w:r>
      <w:r w:rsidR="00750682" w:rsidRPr="00C43C8F">
        <w:rPr>
          <w:lang w:eastAsia="lt-LT"/>
        </w:rPr>
        <w:t xml:space="preserve"> </w:t>
      </w:r>
      <w:r w:rsidR="003C6839" w:rsidRPr="00C43C8F">
        <w:rPr>
          <w:lang w:eastAsia="lt-LT"/>
        </w:rPr>
        <w:t xml:space="preserve">nuo </w:t>
      </w:r>
      <w:r w:rsidR="006C2F18" w:rsidRPr="00C43C8F">
        <w:rPr>
          <w:lang w:eastAsia="lt-LT"/>
        </w:rPr>
        <w:t>regiono projekto paraiškos gavimo dienos</w:t>
      </w:r>
      <w:r w:rsidR="00430A01" w:rsidRPr="00C43C8F">
        <w:rPr>
          <w:lang w:eastAsia="lt-LT"/>
        </w:rPr>
        <w:t>.</w:t>
      </w:r>
      <w:r w:rsidR="006C2F18" w:rsidRPr="00C43C8F">
        <w:rPr>
          <w:lang w:eastAsia="lt-LT"/>
        </w:rPr>
        <w:t xml:space="preserve"> </w:t>
      </w:r>
    </w:p>
    <w:p w14:paraId="2A1BE49D" w14:textId="77777777" w:rsidR="008A61DC" w:rsidRPr="00C43C8F" w:rsidRDefault="008A61DC" w:rsidP="00A257EE">
      <w:pPr>
        <w:pStyle w:val="ListParagraph"/>
        <w:numPr>
          <w:ilvl w:val="0"/>
          <w:numId w:val="19"/>
        </w:numPr>
        <w:ind w:left="0" w:firstLine="851"/>
        <w:rPr>
          <w:lang w:eastAsia="lt-LT"/>
        </w:rPr>
      </w:pPr>
      <w:r w:rsidRPr="00C43C8F">
        <w:rPr>
          <w:lang w:eastAsia="lt-LT"/>
        </w:rPr>
        <w:t xml:space="preserve">Nepavykus paraiškų įvertinti per nustatytą terminą </w:t>
      </w:r>
      <w:r w:rsidR="0089420F" w:rsidRPr="00C43C8F">
        <w:rPr>
          <w:lang w:eastAsia="lt-LT"/>
        </w:rPr>
        <w:t xml:space="preserve">(kai paraiškų vertinimo metu reikia kreiptis į kitas institucijas, atliekama patikra projekto įgyvendinimo ir (ar) administravimo vietoje, </w:t>
      </w:r>
      <w:r w:rsidRPr="00C43C8F">
        <w:rPr>
          <w:lang w:eastAsia="lt-LT"/>
        </w:rPr>
        <w:t xml:space="preserve">vertinimo terminas gali būti pratęstas įgyvendinančiosios institucijos sprendimu. Apie naują paraiškų vertinimo terminą įgyvendinančioji institucija informuoja pareiškėjus </w:t>
      </w:r>
      <w:r w:rsidR="006B0D62" w:rsidRPr="00C43C8F">
        <w:rPr>
          <w:lang w:eastAsia="lt-LT"/>
        </w:rPr>
        <w:t>raštu (jeigu įdiegtos funkcinės galimybės - per DMS)</w:t>
      </w:r>
      <w:r w:rsidRPr="00C43C8F">
        <w:rPr>
          <w:i/>
          <w:lang w:eastAsia="lt-LT"/>
        </w:rPr>
        <w:t>.</w:t>
      </w:r>
    </w:p>
    <w:p w14:paraId="0B1E29CA" w14:textId="77777777" w:rsidR="00587127" w:rsidRPr="00C43C8F" w:rsidRDefault="00747BA9" w:rsidP="00A257EE">
      <w:pPr>
        <w:pStyle w:val="ListParagraph"/>
        <w:numPr>
          <w:ilvl w:val="0"/>
          <w:numId w:val="19"/>
        </w:numPr>
        <w:ind w:left="0" w:firstLine="851"/>
        <w:rPr>
          <w:lang w:eastAsia="lt-LT"/>
        </w:rPr>
      </w:pPr>
      <w:r w:rsidRPr="00C43C8F">
        <w:rPr>
          <w:lang w:eastAsia="lt-LT"/>
        </w:rPr>
        <w:t xml:space="preserve">Paraiška </w:t>
      </w:r>
      <w:r w:rsidR="00587127" w:rsidRPr="00C43C8F">
        <w:rPr>
          <w:lang w:eastAsia="lt-LT"/>
        </w:rPr>
        <w:t>atmetama</w:t>
      </w:r>
      <w:r w:rsidRPr="00C43C8F">
        <w:rPr>
          <w:lang w:eastAsia="lt-LT"/>
        </w:rPr>
        <w:t xml:space="preserve"> dėl priežasčių, nustatytų </w:t>
      </w:r>
      <w:r w:rsidR="007A1C46" w:rsidRPr="00C43C8F">
        <w:rPr>
          <w:lang w:eastAsia="lt-LT"/>
        </w:rPr>
        <w:t>Apraše ir</w:t>
      </w:r>
      <w:r w:rsidR="002E3715" w:rsidRPr="00C43C8F">
        <w:rPr>
          <w:lang w:eastAsia="lt-LT"/>
        </w:rPr>
        <w:t xml:space="preserve"> (arba)</w:t>
      </w:r>
      <w:r w:rsidR="007A1C46" w:rsidRPr="00C43C8F">
        <w:rPr>
          <w:lang w:eastAsia="lt-LT"/>
        </w:rPr>
        <w:t xml:space="preserve"> </w:t>
      </w:r>
      <w:r w:rsidRPr="00C43C8F">
        <w:rPr>
          <w:lang w:eastAsia="lt-LT"/>
        </w:rPr>
        <w:t>Projektų taisyklių 14</w:t>
      </w:r>
      <w:r w:rsidR="00E279C5" w:rsidRPr="00C43C8F">
        <w:rPr>
          <w:lang w:eastAsia="lt-LT"/>
        </w:rPr>
        <w:t>–</w:t>
      </w:r>
      <w:r w:rsidR="00DC605E" w:rsidRPr="00C43C8F">
        <w:rPr>
          <w:lang w:eastAsia="lt-LT"/>
        </w:rPr>
        <w:t>16 skirsniuose</w:t>
      </w:r>
      <w:r w:rsidR="00FF0F15" w:rsidRPr="00C43C8F">
        <w:rPr>
          <w:lang w:eastAsia="lt-LT"/>
        </w:rPr>
        <w:t>,</w:t>
      </w:r>
      <w:r w:rsidR="00C279A2" w:rsidRPr="00C43C8F">
        <w:rPr>
          <w:lang w:eastAsia="lt-LT"/>
        </w:rPr>
        <w:t xml:space="preserve"> </w:t>
      </w:r>
      <w:r w:rsidR="00354B1C" w:rsidRPr="00C43C8F">
        <w:rPr>
          <w:lang w:eastAsia="lt-LT"/>
        </w:rPr>
        <w:t>juose</w:t>
      </w:r>
      <w:r w:rsidR="00DC605E" w:rsidRPr="00C43C8F">
        <w:rPr>
          <w:lang w:eastAsia="lt-LT"/>
        </w:rPr>
        <w:t xml:space="preserve"> nustatyta tvarka. Apie paraiškos atmetimą pareiškėjas informuojamas </w:t>
      </w:r>
      <w:r w:rsidR="000B1DB5" w:rsidRPr="00C43C8F">
        <w:rPr>
          <w:lang w:eastAsia="lt-LT"/>
        </w:rPr>
        <w:t xml:space="preserve">raštu (jeigu įdiegtos funkcinės galimybės - per DMS) </w:t>
      </w:r>
      <w:r w:rsidR="00917740" w:rsidRPr="00C43C8F">
        <w:rPr>
          <w:lang w:eastAsia="lt-LT"/>
        </w:rPr>
        <w:t xml:space="preserve">per 3 darbo dienas </w:t>
      </w:r>
      <w:r w:rsidR="00360E7A" w:rsidRPr="00C43C8F">
        <w:rPr>
          <w:lang w:eastAsia="lt-LT"/>
        </w:rPr>
        <w:t>nuo sprendimo dėl paraiškos atmetimo priėmimo dienos</w:t>
      </w:r>
      <w:r w:rsidR="00DC605E" w:rsidRPr="00C43C8F">
        <w:rPr>
          <w:lang w:eastAsia="lt-LT"/>
        </w:rPr>
        <w:t>.</w:t>
      </w:r>
    </w:p>
    <w:p w14:paraId="1F35DA30" w14:textId="77777777" w:rsidR="0016442C" w:rsidRPr="00C43C8F" w:rsidRDefault="00360E7A" w:rsidP="00A257EE">
      <w:pPr>
        <w:pStyle w:val="ListParagraph"/>
        <w:numPr>
          <w:ilvl w:val="0"/>
          <w:numId w:val="19"/>
        </w:numPr>
        <w:ind w:left="0" w:firstLine="851"/>
        <w:rPr>
          <w:lang w:eastAsia="lt-LT"/>
        </w:rPr>
      </w:pPr>
      <w:r w:rsidRPr="00C43C8F">
        <w:rPr>
          <w:lang w:eastAsia="lt-LT"/>
        </w:rPr>
        <w:t>Pareiškėjas sprendimą</w:t>
      </w:r>
      <w:r w:rsidR="0016442C" w:rsidRPr="00C43C8F">
        <w:rPr>
          <w:lang w:eastAsia="lt-LT"/>
        </w:rPr>
        <w:t xml:space="preserve"> dėl paraiš</w:t>
      </w:r>
      <w:r w:rsidRPr="00C43C8F">
        <w:rPr>
          <w:lang w:eastAsia="lt-LT"/>
        </w:rPr>
        <w:t>kos atmetimo gali apskųsti</w:t>
      </w:r>
      <w:r w:rsidR="0016442C" w:rsidRPr="00C43C8F">
        <w:rPr>
          <w:lang w:eastAsia="lt-LT"/>
        </w:rPr>
        <w:t xml:space="preserve"> Projektų taisyklių 4</w:t>
      </w:r>
      <w:r w:rsidR="00E279C5" w:rsidRPr="00C43C8F">
        <w:rPr>
          <w:lang w:eastAsia="lt-LT"/>
        </w:rPr>
        <w:t>3</w:t>
      </w:r>
      <w:r w:rsidR="0016442C" w:rsidRPr="00C43C8F">
        <w:rPr>
          <w:lang w:eastAsia="lt-LT"/>
        </w:rPr>
        <w:t xml:space="preserve"> skirsnyje nustatyta tvarka</w:t>
      </w:r>
      <w:r w:rsidRPr="00C43C8F">
        <w:rPr>
          <w:lang w:eastAsia="lt-LT"/>
        </w:rPr>
        <w:t xml:space="preserve"> ne vėliau kaip per 14 dienų nuo tos dienos, kurią pareiškėjas sužinojo ar turėjo sužinoti apie skundžiamus įgyvendinančiosios institucijos veiksmus ar neveikimą</w:t>
      </w:r>
      <w:r w:rsidR="0016442C" w:rsidRPr="00C43C8F">
        <w:rPr>
          <w:lang w:eastAsia="lt-LT"/>
        </w:rPr>
        <w:t xml:space="preserve">. </w:t>
      </w:r>
    </w:p>
    <w:p w14:paraId="700038EE" w14:textId="77777777" w:rsidR="00407E2A" w:rsidRPr="00C43C8F" w:rsidRDefault="00AC668D" w:rsidP="00A257EE">
      <w:pPr>
        <w:pStyle w:val="ListParagraph"/>
        <w:numPr>
          <w:ilvl w:val="0"/>
          <w:numId w:val="19"/>
        </w:numPr>
        <w:ind w:left="0" w:firstLine="851"/>
        <w:rPr>
          <w:lang w:eastAsia="lt-LT"/>
        </w:rPr>
      </w:pPr>
      <w:r w:rsidRPr="00C43C8F">
        <w:rPr>
          <w:lang w:eastAsia="lt-LT"/>
        </w:rPr>
        <w:t>Įgyvendinančiajai institucijai baigus paraiškų vertinimą</w:t>
      </w:r>
      <w:r w:rsidR="004D2B39" w:rsidRPr="00C43C8F">
        <w:rPr>
          <w:lang w:eastAsia="lt-LT"/>
        </w:rPr>
        <w:t>, s</w:t>
      </w:r>
      <w:r w:rsidR="00222D9F" w:rsidRPr="00C43C8F">
        <w:rPr>
          <w:lang w:eastAsia="lt-LT"/>
        </w:rPr>
        <w:t>prendimą dėl projekto finansavimo arba nefinansavimo priima</w:t>
      </w:r>
      <w:r w:rsidR="00E279C5" w:rsidRPr="00C43C8F">
        <w:rPr>
          <w:lang w:eastAsia="lt-LT"/>
        </w:rPr>
        <w:t xml:space="preserve"> </w:t>
      </w:r>
      <w:r w:rsidR="00363C32" w:rsidRPr="00C43C8F">
        <w:rPr>
          <w:lang w:eastAsia="lt-LT"/>
        </w:rPr>
        <w:t>M</w:t>
      </w:r>
      <w:r w:rsidR="00E279C5" w:rsidRPr="00C43C8F">
        <w:rPr>
          <w:lang w:eastAsia="lt-LT"/>
        </w:rPr>
        <w:t>inisterija Projektų taisyklių 17 skirsnyje nustatyta tvarka.</w:t>
      </w:r>
      <w:r w:rsidR="00EF7E3B" w:rsidRPr="00C43C8F">
        <w:rPr>
          <w:lang w:eastAsia="lt-LT"/>
        </w:rPr>
        <w:t xml:space="preserve"> </w:t>
      </w:r>
    </w:p>
    <w:p w14:paraId="5394E5F7" w14:textId="77777777" w:rsidR="00102879" w:rsidRPr="00C43C8F" w:rsidRDefault="00E279C5" w:rsidP="00A257EE">
      <w:pPr>
        <w:pStyle w:val="ListParagraph"/>
        <w:numPr>
          <w:ilvl w:val="0"/>
          <w:numId w:val="19"/>
        </w:numPr>
        <w:ind w:left="0" w:firstLine="851"/>
        <w:rPr>
          <w:lang w:eastAsia="lt-LT"/>
        </w:rPr>
      </w:pPr>
      <w:r w:rsidRPr="00C43C8F">
        <w:rPr>
          <w:lang w:eastAsia="lt-LT"/>
        </w:rPr>
        <w:t xml:space="preserve">Ministerijai </w:t>
      </w:r>
      <w:r w:rsidR="006E5357" w:rsidRPr="00C43C8F">
        <w:rPr>
          <w:lang w:eastAsia="lt-LT"/>
        </w:rPr>
        <w:t xml:space="preserve">priėmus sprendimą finansuoti projektą, įgyvendinančioji institucija per 3 darbo dienas nuo </w:t>
      </w:r>
      <w:r w:rsidR="003F62EF" w:rsidRPr="00C43C8F">
        <w:rPr>
          <w:lang w:eastAsia="lt-LT"/>
        </w:rPr>
        <w:t>šio</w:t>
      </w:r>
      <w:r w:rsidR="00CE09F3" w:rsidRPr="00C43C8F">
        <w:rPr>
          <w:lang w:eastAsia="lt-LT"/>
        </w:rPr>
        <w:t xml:space="preserve"> </w:t>
      </w:r>
      <w:r w:rsidR="006E5357" w:rsidRPr="00C43C8F">
        <w:rPr>
          <w:lang w:eastAsia="lt-LT"/>
        </w:rPr>
        <w:t>sprendimo</w:t>
      </w:r>
      <w:r w:rsidRPr="00C43C8F">
        <w:rPr>
          <w:lang w:eastAsia="lt-LT"/>
        </w:rPr>
        <w:t xml:space="preserve"> gavimo</w:t>
      </w:r>
      <w:r w:rsidR="006E5357" w:rsidRPr="00C43C8F">
        <w:rPr>
          <w:lang w:eastAsia="lt-LT"/>
        </w:rPr>
        <w:t xml:space="preserve"> dienos </w:t>
      </w:r>
      <w:r w:rsidR="00810137" w:rsidRPr="00C43C8F">
        <w:rPr>
          <w:lang w:eastAsia="lt-LT"/>
        </w:rPr>
        <w:t xml:space="preserve">raštu (jeigu įdiegtos funkcinės galimybės - </w:t>
      </w:r>
      <w:r w:rsidR="006E5357" w:rsidRPr="00C43C8F">
        <w:rPr>
          <w:lang w:eastAsia="lt-LT"/>
        </w:rPr>
        <w:t>per DMS</w:t>
      </w:r>
      <w:r w:rsidR="00810137" w:rsidRPr="00C43C8F">
        <w:rPr>
          <w:lang w:eastAsia="lt-LT"/>
        </w:rPr>
        <w:t>)</w:t>
      </w:r>
      <w:r w:rsidR="006E5357" w:rsidRPr="00C43C8F">
        <w:rPr>
          <w:lang w:eastAsia="lt-LT"/>
        </w:rPr>
        <w:t xml:space="preserve"> pateikia šį sprendimą pareiškėjams</w:t>
      </w:r>
      <w:r w:rsidR="00172E5B" w:rsidRPr="00C43C8F">
        <w:rPr>
          <w:lang w:eastAsia="lt-LT"/>
        </w:rPr>
        <w:t>.</w:t>
      </w:r>
      <w:r w:rsidR="00EF7E3B" w:rsidRPr="00C43C8F">
        <w:rPr>
          <w:lang w:eastAsia="lt-LT"/>
        </w:rPr>
        <w:t xml:space="preserve"> </w:t>
      </w:r>
    </w:p>
    <w:p w14:paraId="124716F7" w14:textId="77777777" w:rsidR="006F060F" w:rsidRPr="00C43C8F" w:rsidRDefault="006F060F" w:rsidP="00A257EE">
      <w:pPr>
        <w:pStyle w:val="ListParagraph"/>
        <w:numPr>
          <w:ilvl w:val="0"/>
          <w:numId w:val="19"/>
        </w:numPr>
        <w:ind w:left="0" w:firstLine="851"/>
        <w:rPr>
          <w:lang w:eastAsia="lt-LT"/>
        </w:rPr>
      </w:pPr>
      <w:r w:rsidRPr="00C43C8F">
        <w:rPr>
          <w:lang w:eastAsia="lt-LT"/>
        </w:rPr>
        <w:t xml:space="preserve">Pagal Aprašą finansuojamiems projektams </w:t>
      </w:r>
      <w:r w:rsidR="00C771E9" w:rsidRPr="00C43C8F">
        <w:rPr>
          <w:lang w:eastAsia="lt-LT"/>
        </w:rPr>
        <w:t xml:space="preserve">įgyvendinti </w:t>
      </w:r>
      <w:r w:rsidRPr="00C43C8F">
        <w:rPr>
          <w:lang w:eastAsia="lt-LT"/>
        </w:rPr>
        <w:t xml:space="preserve">bus sudaromos dvišalės </w:t>
      </w:r>
      <w:r w:rsidR="00E53F31" w:rsidRPr="00C43C8F">
        <w:rPr>
          <w:lang w:eastAsia="lt-LT"/>
        </w:rPr>
        <w:t xml:space="preserve">projektų </w:t>
      </w:r>
      <w:r w:rsidRPr="00C43C8F">
        <w:rPr>
          <w:lang w:eastAsia="lt-LT"/>
        </w:rPr>
        <w:t>sutartys</w:t>
      </w:r>
      <w:r w:rsidR="00E53F31" w:rsidRPr="00C43C8F">
        <w:rPr>
          <w:lang w:eastAsia="lt-LT"/>
        </w:rPr>
        <w:t xml:space="preserve"> tarp pareiškėj</w:t>
      </w:r>
      <w:r w:rsidR="00637274" w:rsidRPr="00C43C8F">
        <w:rPr>
          <w:lang w:eastAsia="lt-LT"/>
        </w:rPr>
        <w:t>ų</w:t>
      </w:r>
      <w:r w:rsidR="007370B8" w:rsidRPr="00C43C8F">
        <w:rPr>
          <w:lang w:eastAsia="lt-LT"/>
        </w:rPr>
        <w:t xml:space="preserve"> ir</w:t>
      </w:r>
      <w:r w:rsidR="00321720" w:rsidRPr="00C43C8F">
        <w:rPr>
          <w:lang w:eastAsia="lt-LT"/>
        </w:rPr>
        <w:t xml:space="preserve"> įgyvendinančiosios institucijos</w:t>
      </w:r>
      <w:r w:rsidR="007370B8" w:rsidRPr="00C43C8F">
        <w:rPr>
          <w:i/>
          <w:lang w:eastAsia="lt-LT"/>
        </w:rPr>
        <w:t>.</w:t>
      </w:r>
    </w:p>
    <w:p w14:paraId="4C48BA3A" w14:textId="77777777" w:rsidR="006E5357" w:rsidRPr="00C43C8F" w:rsidRDefault="00B06B38" w:rsidP="00A257EE">
      <w:pPr>
        <w:pStyle w:val="ListParagraph"/>
        <w:numPr>
          <w:ilvl w:val="0"/>
          <w:numId w:val="19"/>
        </w:numPr>
        <w:ind w:left="0" w:firstLine="851"/>
        <w:rPr>
          <w:i/>
          <w:lang w:eastAsia="lt-LT"/>
        </w:rPr>
      </w:pPr>
      <w:r w:rsidRPr="00C43C8F">
        <w:rPr>
          <w:lang w:eastAsia="lt-LT"/>
        </w:rPr>
        <w:t>Ministerijai priėmus sprendimą dėl projekto finansavimo, į</w:t>
      </w:r>
      <w:r w:rsidR="00FD712A" w:rsidRPr="00C43C8F">
        <w:rPr>
          <w:lang w:eastAsia="lt-LT"/>
        </w:rPr>
        <w:t xml:space="preserve">gyvendinančioji institucija </w:t>
      </w:r>
      <w:r w:rsidR="006E5357" w:rsidRPr="00C43C8F">
        <w:rPr>
          <w:lang w:eastAsia="lt-LT"/>
        </w:rPr>
        <w:t xml:space="preserve">Projektų taisyklių 18 skirsnyje nustatyta tvarka </w:t>
      </w:r>
      <w:r w:rsidR="007B42EF" w:rsidRPr="00C43C8F">
        <w:rPr>
          <w:lang w:eastAsia="lt-LT"/>
        </w:rPr>
        <w:t xml:space="preserve">pagal Projektų taisyklių 4 priede nustatytą formą </w:t>
      </w:r>
      <w:r w:rsidR="006E5357" w:rsidRPr="00C43C8F">
        <w:rPr>
          <w:lang w:eastAsia="lt-LT"/>
        </w:rPr>
        <w:t>parengia ir pateikia pareiškėjui projekto sutarties projektą i</w:t>
      </w:r>
      <w:r w:rsidR="00EF7E3B" w:rsidRPr="00C43C8F">
        <w:rPr>
          <w:lang w:eastAsia="lt-LT"/>
        </w:rPr>
        <w:t>r</w:t>
      </w:r>
      <w:r w:rsidR="006E5357" w:rsidRPr="00C43C8F">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C43C8F">
        <w:rPr>
          <w:lang w:eastAsia="lt-LT"/>
        </w:rPr>
        <w:t xml:space="preserve"> </w:t>
      </w:r>
      <w:r w:rsidR="00FD712A" w:rsidRPr="00C43C8F">
        <w:rPr>
          <w:lang w:eastAsia="lt-LT"/>
        </w:rPr>
        <w:t>Pareiškėjas turi teisę kreiptis į įgyvendinančiąją instituciją su prašymu dėl objektyvių priežasčių, nepriklausančių nuo pareiškėjo, pakeisti sutarties pasirašymo terminą</w:t>
      </w:r>
      <w:r w:rsidR="00C771E9" w:rsidRPr="00C43C8F">
        <w:rPr>
          <w:lang w:eastAsia="lt-LT"/>
        </w:rPr>
        <w:t xml:space="preserve">. </w:t>
      </w:r>
    </w:p>
    <w:p w14:paraId="1D1D1B43" w14:textId="77777777" w:rsidR="00E279C5" w:rsidRPr="00C43C8F" w:rsidRDefault="006F060F" w:rsidP="00A257EE">
      <w:pPr>
        <w:pStyle w:val="ListParagraph"/>
        <w:numPr>
          <w:ilvl w:val="0"/>
          <w:numId w:val="19"/>
        </w:numPr>
        <w:ind w:left="0" w:firstLine="851"/>
        <w:rPr>
          <w:lang w:eastAsia="lt-LT"/>
        </w:rPr>
      </w:pPr>
      <w:r w:rsidRPr="00C43C8F">
        <w:rPr>
          <w:lang w:eastAsia="lt-LT"/>
        </w:rPr>
        <w:t xml:space="preserve">Projekto </w:t>
      </w:r>
      <w:r w:rsidR="00E279C5" w:rsidRPr="00C43C8F">
        <w:rPr>
          <w:lang w:eastAsia="lt-LT"/>
        </w:rPr>
        <w:t>sutarties originala</w:t>
      </w:r>
      <w:r w:rsidR="00C771E9" w:rsidRPr="00C43C8F">
        <w:rPr>
          <w:lang w:eastAsia="lt-LT"/>
        </w:rPr>
        <w:t>s</w:t>
      </w:r>
      <w:r w:rsidR="00E279C5" w:rsidRPr="00C43C8F">
        <w:rPr>
          <w:lang w:eastAsia="lt-LT"/>
        </w:rPr>
        <w:t xml:space="preserve"> gali būti rengiam</w:t>
      </w:r>
      <w:r w:rsidR="00C771E9" w:rsidRPr="00C43C8F">
        <w:rPr>
          <w:lang w:eastAsia="lt-LT"/>
        </w:rPr>
        <w:t>as</w:t>
      </w:r>
      <w:r w:rsidR="00E279C5" w:rsidRPr="00C43C8F">
        <w:rPr>
          <w:lang w:eastAsia="lt-LT"/>
        </w:rPr>
        <w:t xml:space="preserve"> ir teikiam</w:t>
      </w:r>
      <w:r w:rsidR="00C771E9" w:rsidRPr="00C43C8F">
        <w:rPr>
          <w:lang w:eastAsia="lt-LT"/>
        </w:rPr>
        <w:t>as</w:t>
      </w:r>
      <w:r w:rsidR="00E279C5" w:rsidRPr="00C43C8F">
        <w:rPr>
          <w:lang w:eastAsia="lt-LT"/>
        </w:rPr>
        <w:t xml:space="preserve">: </w:t>
      </w:r>
    </w:p>
    <w:p w14:paraId="00ABAB2A" w14:textId="400F3E33" w:rsidR="00E279C5" w:rsidRPr="00C43C8F" w:rsidRDefault="002204C8" w:rsidP="00A257EE">
      <w:pPr>
        <w:pStyle w:val="ListParagraph"/>
        <w:ind w:left="0"/>
        <w:rPr>
          <w:lang w:eastAsia="lt-LT"/>
        </w:rPr>
      </w:pPr>
      <w:r>
        <w:rPr>
          <w:lang w:eastAsia="lt-LT"/>
        </w:rPr>
        <w:t>63</w:t>
      </w:r>
      <w:r w:rsidR="00A257EE" w:rsidRPr="00C43C8F">
        <w:rPr>
          <w:lang w:eastAsia="lt-LT"/>
        </w:rPr>
        <w:t>.</w:t>
      </w:r>
      <w:r w:rsidR="00E279C5" w:rsidRPr="00C43C8F">
        <w:rPr>
          <w:lang w:eastAsia="lt-LT"/>
        </w:rPr>
        <w:t>1. kaip pasirašyt</w:t>
      </w:r>
      <w:r w:rsidR="00C771E9" w:rsidRPr="00C43C8F">
        <w:rPr>
          <w:lang w:eastAsia="lt-LT"/>
        </w:rPr>
        <w:t>as</w:t>
      </w:r>
      <w:r w:rsidR="00E279C5" w:rsidRPr="00C43C8F">
        <w:rPr>
          <w:lang w:eastAsia="lt-LT"/>
        </w:rPr>
        <w:t xml:space="preserve"> popierini</w:t>
      </w:r>
      <w:r w:rsidR="00C771E9" w:rsidRPr="00C43C8F">
        <w:rPr>
          <w:lang w:eastAsia="lt-LT"/>
        </w:rPr>
        <w:t>s</w:t>
      </w:r>
      <w:r w:rsidR="00E279C5" w:rsidRPr="00C43C8F">
        <w:rPr>
          <w:lang w:eastAsia="lt-LT"/>
        </w:rPr>
        <w:t xml:space="preserve"> dokumenta</w:t>
      </w:r>
      <w:r w:rsidR="00C771E9" w:rsidRPr="00C43C8F">
        <w:rPr>
          <w:lang w:eastAsia="lt-LT"/>
        </w:rPr>
        <w:t>s</w:t>
      </w:r>
      <w:r w:rsidR="00E279C5" w:rsidRPr="00C43C8F">
        <w:rPr>
          <w:lang w:eastAsia="lt-LT"/>
        </w:rPr>
        <w:t xml:space="preserve"> </w:t>
      </w:r>
      <w:r w:rsidR="00EF7E3B" w:rsidRPr="00C43C8F">
        <w:rPr>
          <w:lang w:eastAsia="lt-LT"/>
        </w:rPr>
        <w:t>arba</w:t>
      </w:r>
    </w:p>
    <w:p w14:paraId="54D22B38" w14:textId="49E4A87E" w:rsidR="0016111B" w:rsidRPr="00C43C8F" w:rsidRDefault="002204C8" w:rsidP="00A257EE">
      <w:pPr>
        <w:pStyle w:val="ListParagraph"/>
        <w:ind w:left="0"/>
        <w:rPr>
          <w:lang w:eastAsia="lt-LT"/>
        </w:rPr>
      </w:pPr>
      <w:r>
        <w:rPr>
          <w:lang w:eastAsia="lt-LT"/>
        </w:rPr>
        <w:t>63</w:t>
      </w:r>
      <w:r w:rsidR="00E279C5" w:rsidRPr="00C43C8F">
        <w:rPr>
          <w:lang w:eastAsia="lt-LT"/>
        </w:rPr>
        <w:t>.2. kaip elektronini</w:t>
      </w:r>
      <w:r w:rsidR="00C771E9" w:rsidRPr="00C43C8F">
        <w:rPr>
          <w:lang w:eastAsia="lt-LT"/>
        </w:rPr>
        <w:t>s</w:t>
      </w:r>
      <w:r w:rsidR="00E279C5" w:rsidRPr="00C43C8F">
        <w:rPr>
          <w:lang w:eastAsia="lt-LT"/>
        </w:rPr>
        <w:t xml:space="preserve"> dokumenta</w:t>
      </w:r>
      <w:r w:rsidR="00C771E9" w:rsidRPr="00C43C8F">
        <w:rPr>
          <w:lang w:eastAsia="lt-LT"/>
        </w:rPr>
        <w:t>s</w:t>
      </w:r>
      <w:r w:rsidR="00E279C5" w:rsidRPr="00C43C8F">
        <w:rPr>
          <w:lang w:eastAsia="lt-LT"/>
        </w:rPr>
        <w:t>, pasirašyt</w:t>
      </w:r>
      <w:r w:rsidR="00C771E9" w:rsidRPr="00C43C8F">
        <w:rPr>
          <w:lang w:eastAsia="lt-LT"/>
        </w:rPr>
        <w:t>as</w:t>
      </w:r>
      <w:r w:rsidR="00E279C5" w:rsidRPr="00C43C8F">
        <w:rPr>
          <w:lang w:eastAsia="lt-LT"/>
        </w:rPr>
        <w:t xml:space="preserve"> elektroniniu parašu, priklausomai nuo to, kokią ši</w:t>
      </w:r>
      <w:r w:rsidR="00A6509F" w:rsidRPr="00C43C8F">
        <w:rPr>
          <w:lang w:eastAsia="lt-LT"/>
        </w:rPr>
        <w:t>o</w:t>
      </w:r>
      <w:r w:rsidR="00E279C5" w:rsidRPr="00C43C8F">
        <w:rPr>
          <w:lang w:eastAsia="lt-LT"/>
        </w:rPr>
        <w:t xml:space="preserve"> dokument</w:t>
      </w:r>
      <w:r w:rsidR="00B06B38" w:rsidRPr="00C43C8F">
        <w:rPr>
          <w:lang w:eastAsia="lt-LT"/>
        </w:rPr>
        <w:t>o</w:t>
      </w:r>
      <w:r w:rsidR="00E279C5" w:rsidRPr="00C43C8F">
        <w:rPr>
          <w:lang w:eastAsia="lt-LT"/>
        </w:rPr>
        <w:t xml:space="preserve"> formą pasirenka projekto vykdytojas</w:t>
      </w:r>
      <w:r w:rsidR="0016111B" w:rsidRPr="00C43C8F">
        <w:rPr>
          <w:lang w:eastAsia="lt-LT"/>
        </w:rPr>
        <w:t xml:space="preserve">.  </w:t>
      </w:r>
    </w:p>
    <w:p w14:paraId="1DD0EFB2" w14:textId="77777777" w:rsidR="009B520B" w:rsidRPr="00C43C8F" w:rsidRDefault="009B520B" w:rsidP="00A257EE">
      <w:pPr>
        <w:rPr>
          <w:lang w:eastAsia="lt-LT"/>
        </w:rPr>
      </w:pPr>
    </w:p>
    <w:p w14:paraId="73883144" w14:textId="77777777" w:rsidR="0017184B" w:rsidRPr="00C43C8F" w:rsidRDefault="002B568D" w:rsidP="00A257EE">
      <w:pPr>
        <w:pStyle w:val="Heading1"/>
        <w:ind w:firstLine="851"/>
        <w:rPr>
          <w:lang w:eastAsia="lt-LT"/>
        </w:rPr>
      </w:pPr>
      <w:r w:rsidRPr="00C43C8F">
        <w:rPr>
          <w:lang w:eastAsia="lt-LT"/>
        </w:rPr>
        <w:t>VI</w:t>
      </w:r>
      <w:r w:rsidR="00AA64E1" w:rsidRPr="00C43C8F">
        <w:rPr>
          <w:lang w:eastAsia="lt-LT"/>
        </w:rPr>
        <w:t xml:space="preserve"> </w:t>
      </w:r>
      <w:r w:rsidR="0017184B" w:rsidRPr="00C43C8F">
        <w:rPr>
          <w:lang w:eastAsia="lt-LT"/>
        </w:rPr>
        <w:t>SKYRIUS</w:t>
      </w:r>
    </w:p>
    <w:p w14:paraId="4AD6E0FC" w14:textId="77777777" w:rsidR="009B520B" w:rsidRPr="00C43C8F" w:rsidRDefault="009B520B" w:rsidP="00A257EE">
      <w:pPr>
        <w:pStyle w:val="Heading1"/>
        <w:ind w:firstLine="851"/>
        <w:rPr>
          <w:lang w:eastAsia="lt-LT"/>
        </w:rPr>
      </w:pPr>
      <w:r w:rsidRPr="00C43C8F">
        <w:rPr>
          <w:lang w:eastAsia="lt-LT"/>
        </w:rPr>
        <w:t>PROJEKTŲ ĮGYVENDINIM</w:t>
      </w:r>
      <w:r w:rsidR="00F64BE6" w:rsidRPr="00C43C8F">
        <w:rPr>
          <w:lang w:eastAsia="lt-LT"/>
        </w:rPr>
        <w:t>O REIKALAVIMAI</w:t>
      </w:r>
    </w:p>
    <w:p w14:paraId="3081F0F3" w14:textId="77777777" w:rsidR="009517F7" w:rsidRPr="00C43C8F" w:rsidRDefault="009517F7" w:rsidP="00A257EE">
      <w:pPr>
        <w:rPr>
          <w:lang w:eastAsia="lt-LT"/>
        </w:rPr>
      </w:pPr>
    </w:p>
    <w:p w14:paraId="0405661C" w14:textId="77777777" w:rsidR="0063551E" w:rsidRPr="00C43C8F" w:rsidRDefault="00954B55" w:rsidP="00A257EE">
      <w:pPr>
        <w:pStyle w:val="ListParagraph"/>
        <w:numPr>
          <w:ilvl w:val="0"/>
          <w:numId w:val="19"/>
        </w:numPr>
        <w:ind w:left="0" w:firstLine="851"/>
        <w:rPr>
          <w:lang w:eastAsia="lt-LT"/>
        </w:rPr>
      </w:pPr>
      <w:r w:rsidRPr="00C43C8F">
        <w:rPr>
          <w:lang w:eastAsia="lt-LT"/>
        </w:rPr>
        <w:t xml:space="preserve">Projektas įgyvendinamas pagal </w:t>
      </w:r>
      <w:r w:rsidR="006E5357" w:rsidRPr="00C43C8F">
        <w:rPr>
          <w:lang w:eastAsia="lt-LT"/>
        </w:rPr>
        <w:t>projekto</w:t>
      </w:r>
      <w:r w:rsidR="00AA0DDF" w:rsidRPr="00C43C8F">
        <w:rPr>
          <w:lang w:eastAsia="lt-LT"/>
        </w:rPr>
        <w:t xml:space="preserve"> </w:t>
      </w:r>
      <w:r w:rsidR="006E5357" w:rsidRPr="00C43C8F">
        <w:rPr>
          <w:lang w:eastAsia="lt-LT"/>
        </w:rPr>
        <w:t>sutartyje</w:t>
      </w:r>
      <w:r w:rsidR="00B23D32" w:rsidRPr="00C43C8F">
        <w:rPr>
          <w:lang w:eastAsia="lt-LT"/>
        </w:rPr>
        <w:t xml:space="preserve">, </w:t>
      </w:r>
      <w:r w:rsidR="007B42EF" w:rsidRPr="00C43C8F">
        <w:rPr>
          <w:lang w:eastAsia="lt-LT"/>
        </w:rPr>
        <w:t xml:space="preserve">Apraše </w:t>
      </w:r>
      <w:r w:rsidR="006E5357" w:rsidRPr="00C43C8F">
        <w:rPr>
          <w:lang w:eastAsia="lt-LT"/>
        </w:rPr>
        <w:t xml:space="preserve">ir </w:t>
      </w:r>
      <w:r w:rsidRPr="00C43C8F">
        <w:rPr>
          <w:lang w:eastAsia="lt-LT"/>
        </w:rPr>
        <w:t>Projektų taisyklėse nustatytus reikalavimus</w:t>
      </w:r>
      <w:r w:rsidR="006E5357" w:rsidRPr="00C43C8F">
        <w:rPr>
          <w:lang w:eastAsia="lt-LT"/>
        </w:rPr>
        <w:t xml:space="preserve">. </w:t>
      </w:r>
    </w:p>
    <w:p w14:paraId="5E2AECC1" w14:textId="77777777" w:rsidR="0036731D" w:rsidRPr="00C43C8F" w:rsidRDefault="0036731D" w:rsidP="00A257EE">
      <w:pPr>
        <w:pStyle w:val="ListParagraph"/>
        <w:numPr>
          <w:ilvl w:val="0"/>
          <w:numId w:val="19"/>
        </w:numPr>
        <w:ind w:left="0" w:firstLine="851"/>
        <w:rPr>
          <w:noProof/>
        </w:rPr>
      </w:pPr>
      <w:r w:rsidRPr="00C43C8F">
        <w:rPr>
          <w:rFonts w:eastAsia="Calibri"/>
          <w:iCs/>
          <w:color w:val="000000" w:themeColor="text1"/>
        </w:rPr>
        <w:t>D</w:t>
      </w:r>
      <w:r w:rsidRPr="00C43C8F">
        <w:t>ėl objektyvių, pagrįstų projekto įgyvendinimo aplinkybių, įgyvendinančioji institucija turi teisę nustatyti reikalavimą apdrausti turtą, pranešdama apie tai projekto vykdytojui raštu ir nurodydama reikalavimo įvykdymo terminą, draudimo laikotarpį ir sąlygas.</w:t>
      </w:r>
    </w:p>
    <w:p w14:paraId="2FC984E0" w14:textId="0B7F86D5" w:rsidR="00D82171" w:rsidRPr="00C43C8F" w:rsidRDefault="00D82171" w:rsidP="00A257EE">
      <w:pPr>
        <w:pStyle w:val="ListParagraph"/>
        <w:numPr>
          <w:ilvl w:val="0"/>
          <w:numId w:val="19"/>
        </w:numPr>
        <w:ind w:left="0" w:firstLine="851"/>
        <w:rPr>
          <w:noProof/>
        </w:rPr>
      </w:pPr>
      <w:r w:rsidRPr="00C43C8F">
        <w:rPr>
          <w:lang w:eastAsia="lt-LT"/>
        </w:rPr>
        <w:t xml:space="preserve">Projekto vykdytojas įsipareigoja įgyvendinti projektą taip, kaip aprašyta projekto sutartyje. </w:t>
      </w:r>
      <w:r w:rsidRPr="00C43C8F">
        <w:t xml:space="preserve">Jei Projekto vykdytojas, įgyvendindamas Projektą, nesilaiko </w:t>
      </w:r>
      <w:r w:rsidRPr="00C43C8F">
        <w:rPr>
          <w:lang w:eastAsia="lt-LT"/>
        </w:rPr>
        <w:t>projekto sutarties</w:t>
      </w:r>
      <w:r w:rsidRPr="00C43C8F">
        <w:t xml:space="preserve"> sąlygų, Įgyvendinančioji institucija turi teisę inicijuoti, o Ministerija turi teisę vienašaliu sprendimu sumažinti, sustabdyti arba nutraukti Projekto finansavimą ir (arba) nutraukti projekto sutartį, ir (arba) pareikalauti grąžinti sumokėtas Projekto finansavimo lėšas ar jų dalį pagal Ministerijos ir (arba) kitos valstybės institucijos sprendimo nuostatas. </w:t>
      </w:r>
    </w:p>
    <w:p w14:paraId="60FB5A44" w14:textId="77777777" w:rsidR="00D82171" w:rsidRPr="00C43C8F" w:rsidRDefault="00D82171" w:rsidP="00A257EE">
      <w:pPr>
        <w:pStyle w:val="ListParagraph"/>
        <w:numPr>
          <w:ilvl w:val="0"/>
          <w:numId w:val="19"/>
        </w:numPr>
        <w:tabs>
          <w:tab w:val="left" w:pos="993"/>
        </w:tabs>
        <w:ind w:left="0" w:firstLine="851"/>
      </w:pPr>
      <w:r w:rsidRPr="00C43C8F">
        <w:t>Projekto vykdytojas projektui (vykdyti) administruoti turi suformuoti projekto komandą, kurios nariai turėtų patirties investicijų projektų valdymo, projektų finansų valdymo, viešųjų pirkimų vykdymo, specifinės įrangos (jei projekte numatyta įsigyti specifinę įrangą (pvz., muzikos instrumentus, scenos įrangą ir pan.) techninių specifikacijų rengimo, statybos projektų valdymo (jei projekte numatyti statybos darbai) srityse.</w:t>
      </w:r>
    </w:p>
    <w:p w14:paraId="25C2DB31" w14:textId="77777777" w:rsidR="00D82171" w:rsidRPr="00C43C8F" w:rsidRDefault="00D82171" w:rsidP="00A257EE">
      <w:pPr>
        <w:pStyle w:val="ListParagraph"/>
        <w:numPr>
          <w:ilvl w:val="0"/>
          <w:numId w:val="19"/>
        </w:numPr>
        <w:tabs>
          <w:tab w:val="left" w:pos="993"/>
        </w:tabs>
        <w:ind w:left="0" w:firstLine="851"/>
      </w:pPr>
      <w:r w:rsidRPr="00C43C8F">
        <w:t>Atsakomybė už projekto įgyvendinimą pagal projekto sutartį tenka projekto vykdytojui.</w:t>
      </w:r>
    </w:p>
    <w:p w14:paraId="7A1BB2FC" w14:textId="21750700" w:rsidR="00C57456" w:rsidRPr="00C43C8F" w:rsidRDefault="00C57456" w:rsidP="00A257EE">
      <w:pPr>
        <w:pStyle w:val="ListParagraph"/>
        <w:numPr>
          <w:ilvl w:val="0"/>
          <w:numId w:val="19"/>
        </w:numPr>
        <w:tabs>
          <w:tab w:val="left" w:pos="993"/>
        </w:tabs>
        <w:ind w:left="0" w:firstLine="851"/>
      </w:pPr>
      <w:r w:rsidRPr="00C43C8F">
        <w:t>5 metus po projekto finansavimo pabaigos turi būti užtikrintas investicijų tęstinumas Projektų taisyklių 27 skirsnyje nustatyta tvarka</w:t>
      </w:r>
    </w:p>
    <w:p w14:paraId="65C4A53F" w14:textId="77777777" w:rsidR="007935E5" w:rsidRPr="00C43C8F" w:rsidRDefault="007935E5" w:rsidP="00A257EE">
      <w:pPr>
        <w:rPr>
          <w:lang w:eastAsia="lt-LT"/>
        </w:rPr>
      </w:pPr>
    </w:p>
    <w:p w14:paraId="44043F19" w14:textId="77777777" w:rsidR="0063551E" w:rsidRPr="00C43C8F" w:rsidRDefault="0063551E" w:rsidP="00A257EE">
      <w:pPr>
        <w:rPr>
          <w:lang w:eastAsia="lt-LT"/>
        </w:rPr>
      </w:pPr>
    </w:p>
    <w:p w14:paraId="71F57A6B" w14:textId="77777777" w:rsidR="007935E5" w:rsidRPr="00C43C8F" w:rsidRDefault="00954B55" w:rsidP="00A257EE">
      <w:pPr>
        <w:pStyle w:val="Heading1"/>
        <w:ind w:firstLine="851"/>
        <w:rPr>
          <w:lang w:eastAsia="lt-LT"/>
        </w:rPr>
      </w:pPr>
      <w:r w:rsidRPr="00C43C8F">
        <w:rPr>
          <w:lang w:eastAsia="lt-LT"/>
        </w:rPr>
        <w:t>VII</w:t>
      </w:r>
      <w:r w:rsidR="007935E5" w:rsidRPr="00C43C8F">
        <w:rPr>
          <w:lang w:eastAsia="lt-LT"/>
        </w:rPr>
        <w:t xml:space="preserve"> SKYRIUS</w:t>
      </w:r>
    </w:p>
    <w:p w14:paraId="716660FD" w14:textId="77777777" w:rsidR="00954B55" w:rsidRPr="00C43C8F" w:rsidRDefault="00954B55" w:rsidP="00A257EE">
      <w:pPr>
        <w:pStyle w:val="Heading1"/>
        <w:ind w:firstLine="851"/>
        <w:rPr>
          <w:lang w:eastAsia="lt-LT"/>
        </w:rPr>
      </w:pPr>
      <w:r w:rsidRPr="00C43C8F">
        <w:rPr>
          <w:lang w:eastAsia="lt-LT"/>
        </w:rPr>
        <w:t>APRAŠO KEITIMO TVARKA</w:t>
      </w:r>
    </w:p>
    <w:p w14:paraId="7FA3CF81" w14:textId="77777777" w:rsidR="007935E5" w:rsidRPr="00C43C8F" w:rsidRDefault="007935E5" w:rsidP="00A257EE">
      <w:pPr>
        <w:rPr>
          <w:lang w:eastAsia="lt-LT"/>
        </w:rPr>
      </w:pPr>
    </w:p>
    <w:p w14:paraId="4A5C82F8" w14:textId="77777777" w:rsidR="0094491F" w:rsidRPr="00C43C8F" w:rsidRDefault="00CB0108" w:rsidP="00A257EE">
      <w:pPr>
        <w:pStyle w:val="ListParagraph"/>
        <w:numPr>
          <w:ilvl w:val="0"/>
          <w:numId w:val="19"/>
        </w:numPr>
        <w:ind w:left="0" w:firstLine="851"/>
        <w:rPr>
          <w:lang w:eastAsia="lt-LT"/>
        </w:rPr>
      </w:pPr>
      <w:r w:rsidRPr="00C43C8F">
        <w:rPr>
          <w:lang w:eastAsia="lt-LT"/>
        </w:rPr>
        <w:t xml:space="preserve">Aprašo keitimo tvarka nustatyta Projektų taisyklių 11 skirsnyje. </w:t>
      </w:r>
    </w:p>
    <w:p w14:paraId="5A194EB7" w14:textId="77777777" w:rsidR="00A21544" w:rsidRPr="00C43C8F" w:rsidRDefault="00A21544" w:rsidP="00A257EE">
      <w:pPr>
        <w:pStyle w:val="ListParagraph"/>
        <w:numPr>
          <w:ilvl w:val="0"/>
          <w:numId w:val="19"/>
        </w:numPr>
        <w:ind w:left="0" w:firstLine="851"/>
        <w:rPr>
          <w:lang w:eastAsia="lt-LT"/>
        </w:rPr>
      </w:pPr>
      <w:r w:rsidRPr="00C43C8F">
        <w:rPr>
          <w:lang w:eastAsia="lt-LT"/>
        </w:rPr>
        <w:t xml:space="preserve">Jei Aprašas keičiamas jau atrinkus projektus, šie pakeitimai, nepažeidžiant lygiateisiškumo principo, taikomi ir įgyvendinamiems projektams Projektų taisyklių 91 punkte nustatytais atvejais. </w:t>
      </w:r>
    </w:p>
    <w:p w14:paraId="17EDAE88" w14:textId="77777777" w:rsidR="003D2DCF" w:rsidRPr="00C43C8F" w:rsidRDefault="003D2DCF" w:rsidP="00A257EE">
      <w:pPr>
        <w:rPr>
          <w:lang w:eastAsia="lt-LT"/>
        </w:rPr>
      </w:pPr>
    </w:p>
    <w:p w14:paraId="144D480A" w14:textId="77777777" w:rsidR="00D340D5" w:rsidRPr="00D65199" w:rsidRDefault="00187135" w:rsidP="00187135">
      <w:pPr>
        <w:jc w:val="center"/>
        <w:rPr>
          <w:lang w:eastAsia="lt-LT"/>
        </w:rPr>
      </w:pPr>
      <w:r w:rsidRPr="00C43C8F">
        <w:rPr>
          <w:lang w:eastAsia="lt-LT"/>
        </w:rPr>
        <w:t>__________________</w:t>
      </w:r>
    </w:p>
    <w:sectPr w:rsidR="00D340D5" w:rsidRPr="00D65199" w:rsidSect="00900322">
      <w:headerReference w:type="default" r:id="rId15"/>
      <w:pgSz w:w="11906" w:h="16838"/>
      <w:pgMar w:top="1701" w:right="567" w:bottom="1134" w:left="1560"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225A62" w15:done="0"/>
  <w15:commentEx w15:paraId="4DF2470E" w15:done="0"/>
  <w15:commentEx w15:paraId="121AACDC" w15:done="0"/>
  <w15:commentEx w15:paraId="290CBC14" w15:done="0"/>
  <w15:commentEx w15:paraId="1EF0E24A" w15:done="0"/>
  <w15:commentEx w15:paraId="6CF71256" w15:done="0"/>
  <w15:commentEx w15:paraId="456749DB" w15:done="0"/>
  <w15:commentEx w15:paraId="65C3450C" w15:done="0"/>
  <w15:commentEx w15:paraId="112D19EC" w15:done="0"/>
  <w15:commentEx w15:paraId="5B548790" w15:done="0"/>
  <w15:commentEx w15:paraId="219A59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D2352" w14:textId="77777777" w:rsidR="00043DA1" w:rsidRDefault="00043DA1" w:rsidP="00B30FB7">
      <w:r>
        <w:separator/>
      </w:r>
    </w:p>
    <w:p w14:paraId="2FD0DEE6" w14:textId="77777777" w:rsidR="00043DA1" w:rsidRDefault="00043DA1" w:rsidP="00B30FB7"/>
    <w:p w14:paraId="7B03FCC9" w14:textId="77777777" w:rsidR="00043DA1" w:rsidRDefault="00043DA1" w:rsidP="00B30FB7"/>
  </w:endnote>
  <w:endnote w:type="continuationSeparator" w:id="0">
    <w:p w14:paraId="6AC02473" w14:textId="77777777" w:rsidR="00043DA1" w:rsidRDefault="00043DA1" w:rsidP="00B30FB7">
      <w:r>
        <w:continuationSeparator/>
      </w:r>
    </w:p>
    <w:p w14:paraId="684346E9" w14:textId="77777777" w:rsidR="00043DA1" w:rsidRDefault="00043DA1" w:rsidP="00B30FB7"/>
    <w:p w14:paraId="78045180" w14:textId="77777777" w:rsidR="00043DA1" w:rsidRDefault="00043DA1"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3966A" w14:textId="77777777" w:rsidR="00043DA1" w:rsidRDefault="00043DA1" w:rsidP="00B30FB7">
      <w:r>
        <w:separator/>
      </w:r>
    </w:p>
    <w:p w14:paraId="3E5E1482" w14:textId="77777777" w:rsidR="00043DA1" w:rsidRDefault="00043DA1" w:rsidP="00B30FB7"/>
    <w:p w14:paraId="3A459B50" w14:textId="77777777" w:rsidR="00043DA1" w:rsidRDefault="00043DA1" w:rsidP="00B30FB7"/>
  </w:footnote>
  <w:footnote w:type="continuationSeparator" w:id="0">
    <w:p w14:paraId="6D6AB0F0" w14:textId="77777777" w:rsidR="00043DA1" w:rsidRDefault="00043DA1" w:rsidP="00B30FB7">
      <w:r>
        <w:continuationSeparator/>
      </w:r>
    </w:p>
    <w:p w14:paraId="3112E704" w14:textId="77777777" w:rsidR="00043DA1" w:rsidRDefault="00043DA1" w:rsidP="00B30FB7"/>
    <w:p w14:paraId="3D3559CC" w14:textId="77777777" w:rsidR="00043DA1" w:rsidRDefault="00043DA1"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5799"/>
      <w:docPartObj>
        <w:docPartGallery w:val="Page Numbers (Top of Page)"/>
        <w:docPartUnique/>
      </w:docPartObj>
    </w:sdtPr>
    <w:sdtEndPr/>
    <w:sdtContent>
      <w:p w14:paraId="3E9FE731" w14:textId="77777777" w:rsidR="00043DA1" w:rsidRDefault="00043DA1" w:rsidP="00874A3D">
        <w:pPr>
          <w:pStyle w:val="Header"/>
          <w:jc w:val="center"/>
        </w:pPr>
        <w:r>
          <w:fldChar w:fldCharType="begin"/>
        </w:r>
        <w:r>
          <w:instrText>PAGE   \* MERGEFORMAT</w:instrText>
        </w:r>
        <w:r>
          <w:fldChar w:fldCharType="separate"/>
        </w:r>
        <w:r w:rsidR="00987CF8">
          <w:rPr>
            <w:noProof/>
          </w:rPr>
          <w:t>2</w:t>
        </w:r>
        <w:r>
          <w:fldChar w:fldCharType="end"/>
        </w:r>
      </w:p>
    </w:sdtContent>
  </w:sdt>
  <w:p w14:paraId="1775135A" w14:textId="77777777" w:rsidR="00043DA1" w:rsidRDefault="00043DA1" w:rsidP="00B30FB7">
    <w:pPr>
      <w:pStyle w:val="Header"/>
    </w:pPr>
  </w:p>
  <w:p w14:paraId="0174214A" w14:textId="77777777" w:rsidR="00043DA1" w:rsidRDefault="00043DA1" w:rsidP="00B30FB7"/>
  <w:p w14:paraId="5F2DD332" w14:textId="77777777" w:rsidR="00043DA1" w:rsidRDefault="00043DA1" w:rsidP="00B30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E22"/>
    <w:multiLevelType w:val="multilevel"/>
    <w:tmpl w:val="294235B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2">
    <w:nsid w:val="05FD5E92"/>
    <w:multiLevelType w:val="multilevel"/>
    <w:tmpl w:val="C178AACE"/>
    <w:lvl w:ilvl="0">
      <w:start w:val="2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A714705"/>
    <w:multiLevelType w:val="multilevel"/>
    <w:tmpl w:val="DA186996"/>
    <w:lvl w:ilvl="0">
      <w:start w:val="46"/>
      <w:numFmt w:val="decimal"/>
      <w:lvlText w:val="%1."/>
      <w:lvlJc w:val="left"/>
      <w:pPr>
        <w:ind w:left="600" w:hanging="600"/>
      </w:pPr>
      <w:rPr>
        <w:rFonts w:hint="default"/>
      </w:rPr>
    </w:lvl>
    <w:lvl w:ilvl="1">
      <w:start w:val="1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00132A3"/>
    <w:multiLevelType w:val="hybridMultilevel"/>
    <w:tmpl w:val="A9F47F0C"/>
    <w:lvl w:ilvl="0" w:tplc="0427000B">
      <w:start w:val="1"/>
      <w:numFmt w:val="bullet"/>
      <w:lvlText w:val=""/>
      <w:lvlJc w:val="left"/>
      <w:pPr>
        <w:ind w:left="1604" w:hanging="360"/>
      </w:pPr>
      <w:rPr>
        <w:rFonts w:ascii="Wingdings" w:hAnsi="Wingdings" w:hint="default"/>
      </w:rPr>
    </w:lvl>
    <w:lvl w:ilvl="1" w:tplc="04270003" w:tentative="1">
      <w:start w:val="1"/>
      <w:numFmt w:val="bullet"/>
      <w:lvlText w:val="o"/>
      <w:lvlJc w:val="left"/>
      <w:pPr>
        <w:ind w:left="2324" w:hanging="360"/>
      </w:pPr>
      <w:rPr>
        <w:rFonts w:ascii="Courier New" w:hAnsi="Courier New" w:cs="Courier New" w:hint="default"/>
      </w:rPr>
    </w:lvl>
    <w:lvl w:ilvl="2" w:tplc="04270005" w:tentative="1">
      <w:start w:val="1"/>
      <w:numFmt w:val="bullet"/>
      <w:lvlText w:val=""/>
      <w:lvlJc w:val="left"/>
      <w:pPr>
        <w:ind w:left="3044" w:hanging="360"/>
      </w:pPr>
      <w:rPr>
        <w:rFonts w:ascii="Wingdings" w:hAnsi="Wingdings" w:hint="default"/>
      </w:rPr>
    </w:lvl>
    <w:lvl w:ilvl="3" w:tplc="04270001" w:tentative="1">
      <w:start w:val="1"/>
      <w:numFmt w:val="bullet"/>
      <w:lvlText w:val=""/>
      <w:lvlJc w:val="left"/>
      <w:pPr>
        <w:ind w:left="3764" w:hanging="360"/>
      </w:pPr>
      <w:rPr>
        <w:rFonts w:ascii="Symbol" w:hAnsi="Symbol" w:hint="default"/>
      </w:rPr>
    </w:lvl>
    <w:lvl w:ilvl="4" w:tplc="04270003" w:tentative="1">
      <w:start w:val="1"/>
      <w:numFmt w:val="bullet"/>
      <w:lvlText w:val="o"/>
      <w:lvlJc w:val="left"/>
      <w:pPr>
        <w:ind w:left="4484" w:hanging="360"/>
      </w:pPr>
      <w:rPr>
        <w:rFonts w:ascii="Courier New" w:hAnsi="Courier New" w:cs="Courier New" w:hint="default"/>
      </w:rPr>
    </w:lvl>
    <w:lvl w:ilvl="5" w:tplc="04270005" w:tentative="1">
      <w:start w:val="1"/>
      <w:numFmt w:val="bullet"/>
      <w:lvlText w:val=""/>
      <w:lvlJc w:val="left"/>
      <w:pPr>
        <w:ind w:left="5204" w:hanging="360"/>
      </w:pPr>
      <w:rPr>
        <w:rFonts w:ascii="Wingdings" w:hAnsi="Wingdings" w:hint="default"/>
      </w:rPr>
    </w:lvl>
    <w:lvl w:ilvl="6" w:tplc="04270001" w:tentative="1">
      <w:start w:val="1"/>
      <w:numFmt w:val="bullet"/>
      <w:lvlText w:val=""/>
      <w:lvlJc w:val="left"/>
      <w:pPr>
        <w:ind w:left="5924" w:hanging="360"/>
      </w:pPr>
      <w:rPr>
        <w:rFonts w:ascii="Symbol" w:hAnsi="Symbol" w:hint="default"/>
      </w:rPr>
    </w:lvl>
    <w:lvl w:ilvl="7" w:tplc="04270003" w:tentative="1">
      <w:start w:val="1"/>
      <w:numFmt w:val="bullet"/>
      <w:lvlText w:val="o"/>
      <w:lvlJc w:val="left"/>
      <w:pPr>
        <w:ind w:left="6644" w:hanging="360"/>
      </w:pPr>
      <w:rPr>
        <w:rFonts w:ascii="Courier New" w:hAnsi="Courier New" w:cs="Courier New" w:hint="default"/>
      </w:rPr>
    </w:lvl>
    <w:lvl w:ilvl="8" w:tplc="04270005" w:tentative="1">
      <w:start w:val="1"/>
      <w:numFmt w:val="bullet"/>
      <w:lvlText w:val=""/>
      <w:lvlJc w:val="left"/>
      <w:pPr>
        <w:ind w:left="7364" w:hanging="360"/>
      </w:pPr>
      <w:rPr>
        <w:rFonts w:ascii="Wingdings" w:hAnsi="Wingdings" w:hint="default"/>
      </w:rPr>
    </w:lvl>
  </w:abstractNum>
  <w:abstractNum w:abstractNumId="7">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5326468"/>
    <w:multiLevelType w:val="multilevel"/>
    <w:tmpl w:val="7B3887D4"/>
    <w:lvl w:ilvl="0">
      <w:start w:val="40"/>
      <w:numFmt w:val="decimal"/>
      <w:lvlText w:val="%1."/>
      <w:lvlJc w:val="left"/>
      <w:pPr>
        <w:ind w:left="360" w:hanging="360"/>
      </w:pPr>
      <w:rPr>
        <w:rFonts w:hint="default"/>
        <w:b w:val="0"/>
        <w:i w:val="0"/>
      </w:rPr>
    </w:lvl>
    <w:lvl w:ilvl="1">
      <w:start w:val="1"/>
      <w:numFmt w:val="decimal"/>
      <w:lvlText w:val="%1.%2."/>
      <w:lvlJc w:val="left"/>
      <w:pPr>
        <w:ind w:left="1440" w:hanging="360"/>
      </w:pPr>
      <w:rPr>
        <w:rFonts w:hint="default"/>
        <w:b w:val="0"/>
        <w:i w:val="0"/>
      </w:rPr>
    </w:lvl>
    <w:lvl w:ilvl="2">
      <w:start w:val="6"/>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8094168"/>
    <w:multiLevelType w:val="hybridMultilevel"/>
    <w:tmpl w:val="040A2E56"/>
    <w:lvl w:ilvl="0" w:tplc="1EC0FBF4">
      <w:start w:val="11"/>
      <w:numFmt w:val="decimal"/>
      <w:lvlText w:val="%1."/>
      <w:lvlJc w:val="left"/>
      <w:pPr>
        <w:ind w:left="720" w:hanging="360"/>
      </w:pPr>
      <w:rPr>
        <w:rFonts w:hint="default"/>
        <w:b w:val="0"/>
        <w:i w:val="0"/>
      </w:rPr>
    </w:lvl>
    <w:lvl w:ilvl="1" w:tplc="B8C4B77C">
      <w:start w:val="1"/>
      <w:numFmt w:val="decimal"/>
      <w:lvlText w:val="%2.1."/>
      <w:lvlJc w:val="left"/>
      <w:pPr>
        <w:ind w:left="1440" w:hanging="360"/>
      </w:pPr>
      <w:rPr>
        <w:rFonts w:hint="default"/>
        <w:color w:val="auto"/>
        <w:spacing w:val="0"/>
        <w:kern w:val="2"/>
        <w:position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9F800F3"/>
    <w:multiLevelType w:val="multilevel"/>
    <w:tmpl w:val="479807F6"/>
    <w:lvl w:ilvl="0">
      <w:start w:val="3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B303058"/>
    <w:multiLevelType w:val="hybridMultilevel"/>
    <w:tmpl w:val="D74AD1D0"/>
    <w:lvl w:ilvl="0" w:tplc="874C0EB6">
      <w:start w:val="1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1CC3177D"/>
    <w:multiLevelType w:val="multilevel"/>
    <w:tmpl w:val="F0940852"/>
    <w:lvl w:ilvl="0">
      <w:start w:val="46"/>
      <w:numFmt w:val="decimal"/>
      <w:lvlText w:val="%1"/>
      <w:lvlJc w:val="left"/>
      <w:pPr>
        <w:ind w:left="420" w:hanging="420"/>
      </w:pPr>
      <w:rPr>
        <w:rFonts w:hint="default"/>
      </w:rPr>
    </w:lvl>
    <w:lvl w:ilvl="1">
      <w:start w:val="6"/>
      <w:numFmt w:val="decimal"/>
      <w:lvlText w:val="%1.%2"/>
      <w:lvlJc w:val="left"/>
      <w:pPr>
        <w:ind w:left="1271" w:hanging="4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1E945654"/>
    <w:multiLevelType w:val="multilevel"/>
    <w:tmpl w:val="18BC40B6"/>
    <w:lvl w:ilvl="0">
      <w:start w:val="28"/>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0AE71AA"/>
    <w:multiLevelType w:val="hybridMultilevel"/>
    <w:tmpl w:val="C1347B5C"/>
    <w:lvl w:ilvl="0" w:tplc="0554C710">
      <w:start w:val="15"/>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5EE425F"/>
    <w:multiLevelType w:val="multilevel"/>
    <w:tmpl w:val="6CA08EEE"/>
    <w:lvl w:ilvl="0">
      <w:start w:val="46"/>
      <w:numFmt w:val="decimal"/>
      <w:lvlText w:val="%1."/>
      <w:lvlJc w:val="left"/>
      <w:pPr>
        <w:ind w:left="927" w:hanging="360"/>
      </w:pPr>
      <w:rPr>
        <w:rFonts w:hint="default"/>
        <w:i w:val="0"/>
      </w:rPr>
    </w:lvl>
    <w:lvl w:ilvl="1">
      <w:start w:val="5"/>
      <w:numFmt w:val="decimal"/>
      <w:isLgl/>
      <w:lvlText w:val="%1.%2."/>
      <w:lvlJc w:val="left"/>
      <w:pPr>
        <w:ind w:left="1047" w:hanging="48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38513012"/>
    <w:multiLevelType w:val="multilevel"/>
    <w:tmpl w:val="E8FE0A5A"/>
    <w:lvl w:ilvl="0">
      <w:start w:val="48"/>
      <w:numFmt w:val="decimal"/>
      <w:lvlText w:val="%1."/>
      <w:lvlJc w:val="left"/>
      <w:pPr>
        <w:ind w:left="360" w:hanging="360"/>
      </w:pPr>
      <w:rPr>
        <w:rFonts w:hint="default"/>
        <w:b w:val="0"/>
        <w:i w:val="0"/>
      </w:rPr>
    </w:lvl>
    <w:lvl w:ilvl="1">
      <w:start w:val="1"/>
      <w:numFmt w:val="decimal"/>
      <w:lvlText w:val="%1.%2."/>
      <w:lvlJc w:val="left"/>
      <w:pPr>
        <w:ind w:left="1440" w:hanging="360"/>
      </w:pPr>
      <w:rPr>
        <w:rFonts w:hint="default"/>
        <w:i w:val="0"/>
      </w:rPr>
    </w:lvl>
    <w:lvl w:ilvl="2">
      <w:start w:val="6"/>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3C4740F0"/>
    <w:multiLevelType w:val="multilevel"/>
    <w:tmpl w:val="41B04712"/>
    <w:lvl w:ilvl="0">
      <w:start w:val="29"/>
      <w:numFmt w:val="decimal"/>
      <w:lvlText w:val="%1."/>
      <w:lvlJc w:val="left"/>
      <w:pPr>
        <w:ind w:left="660" w:hanging="660"/>
      </w:pPr>
      <w:rPr>
        <w:rFonts w:ascii="Times-Roman" w:hAnsi="Times-Roman" w:cs="Times-Roman" w:hint="default"/>
        <w:i w:val="0"/>
      </w:rPr>
    </w:lvl>
    <w:lvl w:ilvl="1">
      <w:start w:val="2"/>
      <w:numFmt w:val="decimal"/>
      <w:lvlText w:val="%1.%2."/>
      <w:lvlJc w:val="left"/>
      <w:pPr>
        <w:ind w:left="1905" w:hanging="660"/>
      </w:pPr>
      <w:rPr>
        <w:rFonts w:ascii="Times-Roman" w:hAnsi="Times-Roman" w:cs="Times-Roman" w:hint="default"/>
      </w:rPr>
    </w:lvl>
    <w:lvl w:ilvl="2">
      <w:start w:val="3"/>
      <w:numFmt w:val="decimal"/>
      <w:lvlText w:val="%1.%2.%3."/>
      <w:lvlJc w:val="left"/>
      <w:pPr>
        <w:ind w:left="3210" w:hanging="720"/>
      </w:pPr>
      <w:rPr>
        <w:rFonts w:ascii="Times-Roman" w:hAnsi="Times-Roman" w:cs="Times-Roman" w:hint="default"/>
      </w:rPr>
    </w:lvl>
    <w:lvl w:ilvl="3">
      <w:start w:val="1"/>
      <w:numFmt w:val="decimal"/>
      <w:lvlText w:val="%1.%2.%3.%4."/>
      <w:lvlJc w:val="left"/>
      <w:pPr>
        <w:ind w:left="4455" w:hanging="720"/>
      </w:pPr>
      <w:rPr>
        <w:rFonts w:ascii="Times-Roman" w:hAnsi="Times-Roman" w:cs="Times-Roman" w:hint="default"/>
      </w:rPr>
    </w:lvl>
    <w:lvl w:ilvl="4">
      <w:start w:val="1"/>
      <w:numFmt w:val="decimal"/>
      <w:lvlText w:val="%1.%2.%3.%4.%5."/>
      <w:lvlJc w:val="left"/>
      <w:pPr>
        <w:ind w:left="6060" w:hanging="1080"/>
      </w:pPr>
      <w:rPr>
        <w:rFonts w:ascii="Times-Roman" w:hAnsi="Times-Roman" w:cs="Times-Roman" w:hint="default"/>
      </w:rPr>
    </w:lvl>
    <w:lvl w:ilvl="5">
      <w:start w:val="1"/>
      <w:numFmt w:val="decimal"/>
      <w:lvlText w:val="%1.%2.%3.%4.%5.%6."/>
      <w:lvlJc w:val="left"/>
      <w:pPr>
        <w:ind w:left="7305" w:hanging="1080"/>
      </w:pPr>
      <w:rPr>
        <w:rFonts w:ascii="Times-Roman" w:hAnsi="Times-Roman" w:cs="Times-Roman" w:hint="default"/>
      </w:rPr>
    </w:lvl>
    <w:lvl w:ilvl="6">
      <w:start w:val="1"/>
      <w:numFmt w:val="decimal"/>
      <w:lvlText w:val="%1.%2.%3.%4.%5.%6.%7."/>
      <w:lvlJc w:val="left"/>
      <w:pPr>
        <w:ind w:left="8910" w:hanging="1440"/>
      </w:pPr>
      <w:rPr>
        <w:rFonts w:ascii="Times-Roman" w:hAnsi="Times-Roman" w:cs="Times-Roman" w:hint="default"/>
      </w:rPr>
    </w:lvl>
    <w:lvl w:ilvl="7">
      <w:start w:val="1"/>
      <w:numFmt w:val="decimal"/>
      <w:lvlText w:val="%1.%2.%3.%4.%5.%6.%7.%8."/>
      <w:lvlJc w:val="left"/>
      <w:pPr>
        <w:ind w:left="10155" w:hanging="1440"/>
      </w:pPr>
      <w:rPr>
        <w:rFonts w:ascii="Times-Roman" w:hAnsi="Times-Roman" w:cs="Times-Roman" w:hint="default"/>
      </w:rPr>
    </w:lvl>
    <w:lvl w:ilvl="8">
      <w:start w:val="1"/>
      <w:numFmt w:val="decimal"/>
      <w:lvlText w:val="%1.%2.%3.%4.%5.%6.%7.%8.%9."/>
      <w:lvlJc w:val="left"/>
      <w:pPr>
        <w:ind w:left="11760" w:hanging="1800"/>
      </w:pPr>
      <w:rPr>
        <w:rFonts w:ascii="Times-Roman" w:hAnsi="Times-Roman" w:cs="Times-Roman" w:hint="default"/>
      </w:rPr>
    </w:lvl>
  </w:abstractNum>
  <w:abstractNum w:abstractNumId="18">
    <w:nsid w:val="50A80381"/>
    <w:multiLevelType w:val="multilevel"/>
    <w:tmpl w:val="031A76BC"/>
    <w:lvl w:ilvl="0">
      <w:start w:val="2"/>
      <w:numFmt w:val="decimal"/>
      <w:lvlText w:val="%1."/>
      <w:lvlJc w:val="left"/>
      <w:pPr>
        <w:ind w:left="360" w:hanging="360"/>
      </w:pPr>
      <w:rPr>
        <w:rFonts w:hint="default"/>
        <w:b w:val="0"/>
        <w:i w:val="0"/>
      </w:rPr>
    </w:lvl>
    <w:lvl w:ilvl="1">
      <w:start w:val="1"/>
      <w:numFmt w:val="decimal"/>
      <w:lvlText w:val="%1.%2."/>
      <w:lvlJc w:val="left"/>
      <w:pPr>
        <w:ind w:left="1440"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51381735"/>
    <w:multiLevelType w:val="multilevel"/>
    <w:tmpl w:val="F4CCC038"/>
    <w:lvl w:ilvl="0">
      <w:start w:val="2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520016FF"/>
    <w:multiLevelType w:val="multilevel"/>
    <w:tmpl w:val="C9C873A4"/>
    <w:lvl w:ilvl="0">
      <w:start w:val="46"/>
      <w:numFmt w:val="decimal"/>
      <w:lvlText w:val="%1"/>
      <w:lvlJc w:val="left"/>
      <w:pPr>
        <w:ind w:left="540" w:hanging="540"/>
      </w:pPr>
      <w:rPr>
        <w:rFonts w:hint="default"/>
      </w:rPr>
    </w:lvl>
    <w:lvl w:ilvl="1">
      <w:start w:val="10"/>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3">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nsid w:val="6D471663"/>
    <w:multiLevelType w:val="hybridMultilevel"/>
    <w:tmpl w:val="7A5824C0"/>
    <w:lvl w:ilvl="0" w:tplc="0427000B">
      <w:start w:val="1"/>
      <w:numFmt w:val="bullet"/>
      <w:lvlText w:val=""/>
      <w:lvlJc w:val="left"/>
      <w:pPr>
        <w:ind w:left="753" w:hanging="360"/>
      </w:pPr>
      <w:rPr>
        <w:rFonts w:ascii="Wingdings" w:hAnsi="Wingdings"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6">
    <w:nsid w:val="72BB3271"/>
    <w:multiLevelType w:val="multilevel"/>
    <w:tmpl w:val="031A76BC"/>
    <w:lvl w:ilvl="0">
      <w:start w:val="2"/>
      <w:numFmt w:val="decimal"/>
      <w:lvlText w:val="%1."/>
      <w:lvlJc w:val="left"/>
      <w:pPr>
        <w:ind w:left="360" w:hanging="360"/>
      </w:pPr>
      <w:rPr>
        <w:rFonts w:hint="default"/>
        <w:b w:val="0"/>
        <w:i w:val="0"/>
      </w:rPr>
    </w:lvl>
    <w:lvl w:ilvl="1">
      <w:start w:val="1"/>
      <w:numFmt w:val="decimal"/>
      <w:lvlText w:val="%1.%2."/>
      <w:lvlJc w:val="left"/>
      <w:pPr>
        <w:ind w:left="1440"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21"/>
  </w:num>
  <w:num w:numId="3">
    <w:abstractNumId w:val="24"/>
  </w:num>
  <w:num w:numId="4">
    <w:abstractNumId w:val="1"/>
  </w:num>
  <w:num w:numId="5">
    <w:abstractNumId w:val="22"/>
  </w:num>
  <w:num w:numId="6">
    <w:abstractNumId w:val="23"/>
  </w:num>
  <w:num w:numId="7">
    <w:abstractNumId w:val="4"/>
  </w:num>
  <w:num w:numId="8">
    <w:abstractNumId w:val="3"/>
  </w:num>
  <w:num w:numId="9">
    <w:abstractNumId w:val="9"/>
  </w:num>
  <w:num w:numId="10">
    <w:abstractNumId w:val="18"/>
  </w:num>
  <w:num w:numId="11">
    <w:abstractNumId w:val="0"/>
  </w:num>
  <w:num w:numId="12">
    <w:abstractNumId w:val="14"/>
  </w:num>
  <w:num w:numId="13">
    <w:abstractNumId w:val="17"/>
  </w:num>
  <w:num w:numId="14">
    <w:abstractNumId w:val="25"/>
  </w:num>
  <w:num w:numId="15">
    <w:abstractNumId w:val="10"/>
  </w:num>
  <w:num w:numId="16">
    <w:abstractNumId w:val="8"/>
  </w:num>
  <w:num w:numId="17">
    <w:abstractNumId w:val="19"/>
  </w:num>
  <w:num w:numId="18">
    <w:abstractNumId w:val="2"/>
  </w:num>
  <w:num w:numId="19">
    <w:abstractNumId w:val="16"/>
  </w:num>
  <w:num w:numId="20">
    <w:abstractNumId w:val="26"/>
  </w:num>
  <w:num w:numId="21">
    <w:abstractNumId w:val="15"/>
  </w:num>
  <w:num w:numId="22">
    <w:abstractNumId w:val="12"/>
  </w:num>
  <w:num w:numId="23">
    <w:abstractNumId w:val="5"/>
  </w:num>
  <w:num w:numId="24">
    <w:abstractNumId w:val="20"/>
  </w:num>
  <w:num w:numId="25">
    <w:abstractNumId w:val="11"/>
  </w:num>
  <w:num w:numId="26">
    <w:abstractNumId w:val="6"/>
  </w:num>
  <w:num w:numId="2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nkevičienė">
    <w15:presenceInfo w15:providerId="AD" w15:userId="S-1-5-21-435918606-2984255037-1919720017-6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B38"/>
    <w:rsid w:val="0000781B"/>
    <w:rsid w:val="0001208C"/>
    <w:rsid w:val="000122D7"/>
    <w:rsid w:val="00014D0B"/>
    <w:rsid w:val="00014D19"/>
    <w:rsid w:val="000168F5"/>
    <w:rsid w:val="00017CD5"/>
    <w:rsid w:val="00021A88"/>
    <w:rsid w:val="00023973"/>
    <w:rsid w:val="00024485"/>
    <w:rsid w:val="00024954"/>
    <w:rsid w:val="00024BB0"/>
    <w:rsid w:val="00024EBE"/>
    <w:rsid w:val="000252A5"/>
    <w:rsid w:val="00025E27"/>
    <w:rsid w:val="00026525"/>
    <w:rsid w:val="00033E04"/>
    <w:rsid w:val="00035375"/>
    <w:rsid w:val="0003739D"/>
    <w:rsid w:val="00037A1A"/>
    <w:rsid w:val="00040811"/>
    <w:rsid w:val="00040A08"/>
    <w:rsid w:val="00041B03"/>
    <w:rsid w:val="00043383"/>
    <w:rsid w:val="0004349E"/>
    <w:rsid w:val="00043DA1"/>
    <w:rsid w:val="000441F4"/>
    <w:rsid w:val="00044C92"/>
    <w:rsid w:val="00046A6F"/>
    <w:rsid w:val="000471DA"/>
    <w:rsid w:val="00054FC1"/>
    <w:rsid w:val="0006015D"/>
    <w:rsid w:val="000623F3"/>
    <w:rsid w:val="00063893"/>
    <w:rsid w:val="000673F7"/>
    <w:rsid w:val="00070923"/>
    <w:rsid w:val="00070BE9"/>
    <w:rsid w:val="00070C0B"/>
    <w:rsid w:val="0007140E"/>
    <w:rsid w:val="000729EB"/>
    <w:rsid w:val="00073CE2"/>
    <w:rsid w:val="0008230C"/>
    <w:rsid w:val="0008426D"/>
    <w:rsid w:val="0008429C"/>
    <w:rsid w:val="00086C29"/>
    <w:rsid w:val="0009082C"/>
    <w:rsid w:val="00091C63"/>
    <w:rsid w:val="00091C66"/>
    <w:rsid w:val="00092BD2"/>
    <w:rsid w:val="00093AFF"/>
    <w:rsid w:val="00094657"/>
    <w:rsid w:val="000960DA"/>
    <w:rsid w:val="000A0FF2"/>
    <w:rsid w:val="000A16D0"/>
    <w:rsid w:val="000A1F72"/>
    <w:rsid w:val="000A2496"/>
    <w:rsid w:val="000A2C3F"/>
    <w:rsid w:val="000A370E"/>
    <w:rsid w:val="000A5053"/>
    <w:rsid w:val="000A5F77"/>
    <w:rsid w:val="000A6B5C"/>
    <w:rsid w:val="000A7410"/>
    <w:rsid w:val="000B0F95"/>
    <w:rsid w:val="000B11E0"/>
    <w:rsid w:val="000B1803"/>
    <w:rsid w:val="000B1DB5"/>
    <w:rsid w:val="000B3E3D"/>
    <w:rsid w:val="000B3FA1"/>
    <w:rsid w:val="000B424C"/>
    <w:rsid w:val="000C4869"/>
    <w:rsid w:val="000C4ACF"/>
    <w:rsid w:val="000C63E6"/>
    <w:rsid w:val="000C6E5B"/>
    <w:rsid w:val="000D1990"/>
    <w:rsid w:val="000D4619"/>
    <w:rsid w:val="000E7575"/>
    <w:rsid w:val="000F0240"/>
    <w:rsid w:val="000F1F5F"/>
    <w:rsid w:val="000F23B1"/>
    <w:rsid w:val="000F4D5D"/>
    <w:rsid w:val="00101C19"/>
    <w:rsid w:val="00102879"/>
    <w:rsid w:val="00104E51"/>
    <w:rsid w:val="0010544A"/>
    <w:rsid w:val="00106073"/>
    <w:rsid w:val="0011320F"/>
    <w:rsid w:val="00113F60"/>
    <w:rsid w:val="00114D71"/>
    <w:rsid w:val="00115D71"/>
    <w:rsid w:val="00117409"/>
    <w:rsid w:val="0011773E"/>
    <w:rsid w:val="00121608"/>
    <w:rsid w:val="00122315"/>
    <w:rsid w:val="00123B93"/>
    <w:rsid w:val="00127356"/>
    <w:rsid w:val="001317DD"/>
    <w:rsid w:val="00131A87"/>
    <w:rsid w:val="001325B2"/>
    <w:rsid w:val="00132F14"/>
    <w:rsid w:val="00134D85"/>
    <w:rsid w:val="001356B2"/>
    <w:rsid w:val="0013722E"/>
    <w:rsid w:val="00141100"/>
    <w:rsid w:val="00143107"/>
    <w:rsid w:val="00144B17"/>
    <w:rsid w:val="00146754"/>
    <w:rsid w:val="00147CD8"/>
    <w:rsid w:val="0015064E"/>
    <w:rsid w:val="001528FC"/>
    <w:rsid w:val="00153D84"/>
    <w:rsid w:val="001564B7"/>
    <w:rsid w:val="00156CC8"/>
    <w:rsid w:val="001571A2"/>
    <w:rsid w:val="00160ED2"/>
    <w:rsid w:val="001610B5"/>
    <w:rsid w:val="0016111B"/>
    <w:rsid w:val="0016196E"/>
    <w:rsid w:val="0016442C"/>
    <w:rsid w:val="001648A1"/>
    <w:rsid w:val="001672CF"/>
    <w:rsid w:val="00171433"/>
    <w:rsid w:val="0017184B"/>
    <w:rsid w:val="00172E5B"/>
    <w:rsid w:val="00173B8B"/>
    <w:rsid w:val="00173FA6"/>
    <w:rsid w:val="00175826"/>
    <w:rsid w:val="0017668A"/>
    <w:rsid w:val="00176D62"/>
    <w:rsid w:val="0018255A"/>
    <w:rsid w:val="0018413F"/>
    <w:rsid w:val="00186328"/>
    <w:rsid w:val="00186CCD"/>
    <w:rsid w:val="0018705C"/>
    <w:rsid w:val="00187135"/>
    <w:rsid w:val="00187A02"/>
    <w:rsid w:val="00191288"/>
    <w:rsid w:val="00191953"/>
    <w:rsid w:val="00196008"/>
    <w:rsid w:val="00196A1E"/>
    <w:rsid w:val="001A5962"/>
    <w:rsid w:val="001B28F4"/>
    <w:rsid w:val="001B2ABF"/>
    <w:rsid w:val="001B4A70"/>
    <w:rsid w:val="001B4BD8"/>
    <w:rsid w:val="001B5392"/>
    <w:rsid w:val="001C036E"/>
    <w:rsid w:val="001C69F7"/>
    <w:rsid w:val="001C7388"/>
    <w:rsid w:val="001C7AB2"/>
    <w:rsid w:val="001D0A5B"/>
    <w:rsid w:val="001D0FC1"/>
    <w:rsid w:val="001D16C5"/>
    <w:rsid w:val="001D1C90"/>
    <w:rsid w:val="001D24E0"/>
    <w:rsid w:val="001D31F4"/>
    <w:rsid w:val="001D51A5"/>
    <w:rsid w:val="001D7D1F"/>
    <w:rsid w:val="001E6299"/>
    <w:rsid w:val="001F00FA"/>
    <w:rsid w:val="001F1DD6"/>
    <w:rsid w:val="001F2AD4"/>
    <w:rsid w:val="001F6BD6"/>
    <w:rsid w:val="0020045E"/>
    <w:rsid w:val="0020212E"/>
    <w:rsid w:val="002037A6"/>
    <w:rsid w:val="00205EAF"/>
    <w:rsid w:val="00211EE5"/>
    <w:rsid w:val="0021231A"/>
    <w:rsid w:val="00217458"/>
    <w:rsid w:val="00217EA1"/>
    <w:rsid w:val="002204C8"/>
    <w:rsid w:val="00222D9F"/>
    <w:rsid w:val="002254C3"/>
    <w:rsid w:val="0023305D"/>
    <w:rsid w:val="00233F49"/>
    <w:rsid w:val="002437FF"/>
    <w:rsid w:val="0024451E"/>
    <w:rsid w:val="00245121"/>
    <w:rsid w:val="00245C96"/>
    <w:rsid w:val="00245FAB"/>
    <w:rsid w:val="0024608F"/>
    <w:rsid w:val="002544CA"/>
    <w:rsid w:val="002603BA"/>
    <w:rsid w:val="002626C6"/>
    <w:rsid w:val="0026561F"/>
    <w:rsid w:val="0026648B"/>
    <w:rsid w:val="00271E9C"/>
    <w:rsid w:val="00274893"/>
    <w:rsid w:val="002759F7"/>
    <w:rsid w:val="00276B93"/>
    <w:rsid w:val="002812BF"/>
    <w:rsid w:val="002821D1"/>
    <w:rsid w:val="00282F50"/>
    <w:rsid w:val="00285BEA"/>
    <w:rsid w:val="002875B4"/>
    <w:rsid w:val="00287D92"/>
    <w:rsid w:val="00290CD5"/>
    <w:rsid w:val="00291667"/>
    <w:rsid w:val="00292E49"/>
    <w:rsid w:val="00293616"/>
    <w:rsid w:val="00293665"/>
    <w:rsid w:val="002958F9"/>
    <w:rsid w:val="002965F2"/>
    <w:rsid w:val="002A4B16"/>
    <w:rsid w:val="002A55F9"/>
    <w:rsid w:val="002B0932"/>
    <w:rsid w:val="002B280F"/>
    <w:rsid w:val="002B3841"/>
    <w:rsid w:val="002B568D"/>
    <w:rsid w:val="002B603C"/>
    <w:rsid w:val="002B616D"/>
    <w:rsid w:val="002C37ED"/>
    <w:rsid w:val="002C38BC"/>
    <w:rsid w:val="002C501E"/>
    <w:rsid w:val="002C50A6"/>
    <w:rsid w:val="002C5522"/>
    <w:rsid w:val="002C5FE8"/>
    <w:rsid w:val="002C75E6"/>
    <w:rsid w:val="002D1AC9"/>
    <w:rsid w:val="002D52FB"/>
    <w:rsid w:val="002E0124"/>
    <w:rsid w:val="002E0DEF"/>
    <w:rsid w:val="002E2838"/>
    <w:rsid w:val="002E3715"/>
    <w:rsid w:val="002E42FF"/>
    <w:rsid w:val="002E50EA"/>
    <w:rsid w:val="002E5EAE"/>
    <w:rsid w:val="002E6CDB"/>
    <w:rsid w:val="002F5B2F"/>
    <w:rsid w:val="002F61A3"/>
    <w:rsid w:val="00303C5D"/>
    <w:rsid w:val="003043BF"/>
    <w:rsid w:val="00304E50"/>
    <w:rsid w:val="003056A3"/>
    <w:rsid w:val="00305AA7"/>
    <w:rsid w:val="003068DE"/>
    <w:rsid w:val="00306CF2"/>
    <w:rsid w:val="0030711B"/>
    <w:rsid w:val="00310642"/>
    <w:rsid w:val="003112BA"/>
    <w:rsid w:val="00312DC2"/>
    <w:rsid w:val="00313EFE"/>
    <w:rsid w:val="00317B95"/>
    <w:rsid w:val="00321720"/>
    <w:rsid w:val="00323FF9"/>
    <w:rsid w:val="00324115"/>
    <w:rsid w:val="00327E97"/>
    <w:rsid w:val="003300B6"/>
    <w:rsid w:val="00333482"/>
    <w:rsid w:val="00333A3C"/>
    <w:rsid w:val="00335140"/>
    <w:rsid w:val="00337511"/>
    <w:rsid w:val="00341B0A"/>
    <w:rsid w:val="003438C5"/>
    <w:rsid w:val="00345A11"/>
    <w:rsid w:val="00346473"/>
    <w:rsid w:val="0034769B"/>
    <w:rsid w:val="003507F2"/>
    <w:rsid w:val="003511AB"/>
    <w:rsid w:val="003536EA"/>
    <w:rsid w:val="00354B1C"/>
    <w:rsid w:val="00360E7A"/>
    <w:rsid w:val="00361DD0"/>
    <w:rsid w:val="00363748"/>
    <w:rsid w:val="003638B1"/>
    <w:rsid w:val="00363C32"/>
    <w:rsid w:val="0036467C"/>
    <w:rsid w:val="003647DD"/>
    <w:rsid w:val="00364D8A"/>
    <w:rsid w:val="003656A7"/>
    <w:rsid w:val="0036731D"/>
    <w:rsid w:val="003705CE"/>
    <w:rsid w:val="00370C60"/>
    <w:rsid w:val="0037127F"/>
    <w:rsid w:val="00371BA4"/>
    <w:rsid w:val="00371D95"/>
    <w:rsid w:val="003738E6"/>
    <w:rsid w:val="0037444B"/>
    <w:rsid w:val="00374B74"/>
    <w:rsid w:val="00375881"/>
    <w:rsid w:val="00376B95"/>
    <w:rsid w:val="00376F7B"/>
    <w:rsid w:val="00380D5E"/>
    <w:rsid w:val="003818AE"/>
    <w:rsid w:val="00383DA1"/>
    <w:rsid w:val="003874ED"/>
    <w:rsid w:val="0038759B"/>
    <w:rsid w:val="0039208F"/>
    <w:rsid w:val="003937B3"/>
    <w:rsid w:val="00393EBD"/>
    <w:rsid w:val="00395E80"/>
    <w:rsid w:val="00396EC6"/>
    <w:rsid w:val="00397C1A"/>
    <w:rsid w:val="00397ED0"/>
    <w:rsid w:val="003A39CB"/>
    <w:rsid w:val="003A4AEE"/>
    <w:rsid w:val="003A573B"/>
    <w:rsid w:val="003B0475"/>
    <w:rsid w:val="003B0912"/>
    <w:rsid w:val="003B1312"/>
    <w:rsid w:val="003B2678"/>
    <w:rsid w:val="003B40FD"/>
    <w:rsid w:val="003C0061"/>
    <w:rsid w:val="003C376B"/>
    <w:rsid w:val="003C5A71"/>
    <w:rsid w:val="003C6839"/>
    <w:rsid w:val="003C68D5"/>
    <w:rsid w:val="003C70DB"/>
    <w:rsid w:val="003D0B41"/>
    <w:rsid w:val="003D1D57"/>
    <w:rsid w:val="003D2DCF"/>
    <w:rsid w:val="003D2F77"/>
    <w:rsid w:val="003D32D6"/>
    <w:rsid w:val="003D4A1C"/>
    <w:rsid w:val="003D542D"/>
    <w:rsid w:val="003D725B"/>
    <w:rsid w:val="003D782D"/>
    <w:rsid w:val="003E024E"/>
    <w:rsid w:val="003E1D5D"/>
    <w:rsid w:val="003E266E"/>
    <w:rsid w:val="003E53CB"/>
    <w:rsid w:val="003E5D03"/>
    <w:rsid w:val="003F093C"/>
    <w:rsid w:val="003F3A22"/>
    <w:rsid w:val="003F4BD5"/>
    <w:rsid w:val="003F4E68"/>
    <w:rsid w:val="003F62EF"/>
    <w:rsid w:val="003F7F51"/>
    <w:rsid w:val="00403D57"/>
    <w:rsid w:val="004049E2"/>
    <w:rsid w:val="004054FC"/>
    <w:rsid w:val="00406E16"/>
    <w:rsid w:val="00407E2A"/>
    <w:rsid w:val="00410562"/>
    <w:rsid w:val="004119C1"/>
    <w:rsid w:val="00414D69"/>
    <w:rsid w:val="00417A9F"/>
    <w:rsid w:val="00417E06"/>
    <w:rsid w:val="0042391B"/>
    <w:rsid w:val="00426B9B"/>
    <w:rsid w:val="00430202"/>
    <w:rsid w:val="004302E6"/>
    <w:rsid w:val="00430A01"/>
    <w:rsid w:val="00430D62"/>
    <w:rsid w:val="00431B87"/>
    <w:rsid w:val="00432C85"/>
    <w:rsid w:val="00432E23"/>
    <w:rsid w:val="004334C8"/>
    <w:rsid w:val="00434686"/>
    <w:rsid w:val="00446891"/>
    <w:rsid w:val="00447065"/>
    <w:rsid w:val="0044763B"/>
    <w:rsid w:val="0045587C"/>
    <w:rsid w:val="004563E6"/>
    <w:rsid w:val="00464558"/>
    <w:rsid w:val="00464DC9"/>
    <w:rsid w:val="004667A3"/>
    <w:rsid w:val="00466DE9"/>
    <w:rsid w:val="00471136"/>
    <w:rsid w:val="004761ED"/>
    <w:rsid w:val="004803A1"/>
    <w:rsid w:val="00484B80"/>
    <w:rsid w:val="004857C5"/>
    <w:rsid w:val="004875E3"/>
    <w:rsid w:val="00490812"/>
    <w:rsid w:val="0049376D"/>
    <w:rsid w:val="00495887"/>
    <w:rsid w:val="00497E8E"/>
    <w:rsid w:val="004A05A6"/>
    <w:rsid w:val="004A3055"/>
    <w:rsid w:val="004A431D"/>
    <w:rsid w:val="004A6E97"/>
    <w:rsid w:val="004B0E1B"/>
    <w:rsid w:val="004B2DE9"/>
    <w:rsid w:val="004B3399"/>
    <w:rsid w:val="004B397B"/>
    <w:rsid w:val="004B3F81"/>
    <w:rsid w:val="004B7422"/>
    <w:rsid w:val="004B7F3A"/>
    <w:rsid w:val="004C02E5"/>
    <w:rsid w:val="004C1FA0"/>
    <w:rsid w:val="004C2A39"/>
    <w:rsid w:val="004C3B22"/>
    <w:rsid w:val="004C77FC"/>
    <w:rsid w:val="004D1960"/>
    <w:rsid w:val="004D2639"/>
    <w:rsid w:val="004D2B39"/>
    <w:rsid w:val="004D472F"/>
    <w:rsid w:val="004D63AF"/>
    <w:rsid w:val="004D7975"/>
    <w:rsid w:val="004F44F4"/>
    <w:rsid w:val="004F54A8"/>
    <w:rsid w:val="004F5CAD"/>
    <w:rsid w:val="004F65B2"/>
    <w:rsid w:val="004F6C2E"/>
    <w:rsid w:val="004F7EC5"/>
    <w:rsid w:val="0050012B"/>
    <w:rsid w:val="00500EB5"/>
    <w:rsid w:val="00501463"/>
    <w:rsid w:val="00507223"/>
    <w:rsid w:val="005106C5"/>
    <w:rsid w:val="005114CA"/>
    <w:rsid w:val="005127FE"/>
    <w:rsid w:val="00513802"/>
    <w:rsid w:val="005155FA"/>
    <w:rsid w:val="005163CE"/>
    <w:rsid w:val="005203A0"/>
    <w:rsid w:val="005241C7"/>
    <w:rsid w:val="00526105"/>
    <w:rsid w:val="005307E6"/>
    <w:rsid w:val="005426B7"/>
    <w:rsid w:val="005432FA"/>
    <w:rsid w:val="0054422D"/>
    <w:rsid w:val="005444A8"/>
    <w:rsid w:val="005468E4"/>
    <w:rsid w:val="00546B8A"/>
    <w:rsid w:val="00546BA9"/>
    <w:rsid w:val="0055014E"/>
    <w:rsid w:val="005503BF"/>
    <w:rsid w:val="00551C56"/>
    <w:rsid w:val="00551CEF"/>
    <w:rsid w:val="005528BC"/>
    <w:rsid w:val="00554342"/>
    <w:rsid w:val="00554917"/>
    <w:rsid w:val="00555FD1"/>
    <w:rsid w:val="00556767"/>
    <w:rsid w:val="00557C49"/>
    <w:rsid w:val="00557C8A"/>
    <w:rsid w:val="00561135"/>
    <w:rsid w:val="00562DEB"/>
    <w:rsid w:val="00565E2E"/>
    <w:rsid w:val="00566F7A"/>
    <w:rsid w:val="0057039A"/>
    <w:rsid w:val="00570857"/>
    <w:rsid w:val="00571316"/>
    <w:rsid w:val="00572CE6"/>
    <w:rsid w:val="00574FEA"/>
    <w:rsid w:val="005764D7"/>
    <w:rsid w:val="00577000"/>
    <w:rsid w:val="005778BE"/>
    <w:rsid w:val="00582C48"/>
    <w:rsid w:val="00584AFD"/>
    <w:rsid w:val="0058540C"/>
    <w:rsid w:val="0058572A"/>
    <w:rsid w:val="00587127"/>
    <w:rsid w:val="0058765E"/>
    <w:rsid w:val="00591503"/>
    <w:rsid w:val="0059258A"/>
    <w:rsid w:val="00592B99"/>
    <w:rsid w:val="0059785D"/>
    <w:rsid w:val="005A59CC"/>
    <w:rsid w:val="005A7040"/>
    <w:rsid w:val="005B3975"/>
    <w:rsid w:val="005B426F"/>
    <w:rsid w:val="005B69B3"/>
    <w:rsid w:val="005B7056"/>
    <w:rsid w:val="005C339A"/>
    <w:rsid w:val="005C574B"/>
    <w:rsid w:val="005D025A"/>
    <w:rsid w:val="005D0730"/>
    <w:rsid w:val="005D26F0"/>
    <w:rsid w:val="005D3C3B"/>
    <w:rsid w:val="005D4CA4"/>
    <w:rsid w:val="005F1378"/>
    <w:rsid w:val="005F2FBE"/>
    <w:rsid w:val="005F64D0"/>
    <w:rsid w:val="005F66C2"/>
    <w:rsid w:val="005F6DDA"/>
    <w:rsid w:val="005F7E7B"/>
    <w:rsid w:val="00600DD7"/>
    <w:rsid w:val="0060236B"/>
    <w:rsid w:val="00602F3D"/>
    <w:rsid w:val="00604C5B"/>
    <w:rsid w:val="006064DC"/>
    <w:rsid w:val="00610C3A"/>
    <w:rsid w:val="006128A6"/>
    <w:rsid w:val="00612C97"/>
    <w:rsid w:val="00620A62"/>
    <w:rsid w:val="0062248E"/>
    <w:rsid w:val="00624761"/>
    <w:rsid w:val="00624BE0"/>
    <w:rsid w:val="00627A1C"/>
    <w:rsid w:val="00633EE8"/>
    <w:rsid w:val="00634FD0"/>
    <w:rsid w:val="0063551E"/>
    <w:rsid w:val="0063605C"/>
    <w:rsid w:val="006363C1"/>
    <w:rsid w:val="006365C7"/>
    <w:rsid w:val="00637274"/>
    <w:rsid w:val="006402DD"/>
    <w:rsid w:val="00641ED5"/>
    <w:rsid w:val="00644024"/>
    <w:rsid w:val="00644482"/>
    <w:rsid w:val="00644D97"/>
    <w:rsid w:val="006517EC"/>
    <w:rsid w:val="0065186C"/>
    <w:rsid w:val="00652283"/>
    <w:rsid w:val="00652EFD"/>
    <w:rsid w:val="00655952"/>
    <w:rsid w:val="00655B12"/>
    <w:rsid w:val="006628A2"/>
    <w:rsid w:val="00662E61"/>
    <w:rsid w:val="00663D7B"/>
    <w:rsid w:val="00666AB1"/>
    <w:rsid w:val="0067300F"/>
    <w:rsid w:val="00674B85"/>
    <w:rsid w:val="00676594"/>
    <w:rsid w:val="00680203"/>
    <w:rsid w:val="006805AE"/>
    <w:rsid w:val="006837C8"/>
    <w:rsid w:val="006863BE"/>
    <w:rsid w:val="006870F1"/>
    <w:rsid w:val="00694FCF"/>
    <w:rsid w:val="00695386"/>
    <w:rsid w:val="0069689C"/>
    <w:rsid w:val="00697538"/>
    <w:rsid w:val="0069791F"/>
    <w:rsid w:val="00697E65"/>
    <w:rsid w:val="006A050E"/>
    <w:rsid w:val="006A4EF4"/>
    <w:rsid w:val="006A5D74"/>
    <w:rsid w:val="006A61EC"/>
    <w:rsid w:val="006A65C0"/>
    <w:rsid w:val="006A66C4"/>
    <w:rsid w:val="006B0614"/>
    <w:rsid w:val="006B0D62"/>
    <w:rsid w:val="006B49F7"/>
    <w:rsid w:val="006C09F2"/>
    <w:rsid w:val="006C1F2C"/>
    <w:rsid w:val="006C2F18"/>
    <w:rsid w:val="006C3B42"/>
    <w:rsid w:val="006C51E5"/>
    <w:rsid w:val="006C65C2"/>
    <w:rsid w:val="006D52E3"/>
    <w:rsid w:val="006D562B"/>
    <w:rsid w:val="006D60A1"/>
    <w:rsid w:val="006D7951"/>
    <w:rsid w:val="006E0364"/>
    <w:rsid w:val="006E45AF"/>
    <w:rsid w:val="006E5357"/>
    <w:rsid w:val="006E77B6"/>
    <w:rsid w:val="006F0018"/>
    <w:rsid w:val="006F060F"/>
    <w:rsid w:val="006F0D2A"/>
    <w:rsid w:val="006F2B1A"/>
    <w:rsid w:val="006F46E1"/>
    <w:rsid w:val="006F580B"/>
    <w:rsid w:val="006F5847"/>
    <w:rsid w:val="00701E71"/>
    <w:rsid w:val="00710C62"/>
    <w:rsid w:val="00711146"/>
    <w:rsid w:val="00712EC3"/>
    <w:rsid w:val="00713279"/>
    <w:rsid w:val="00713719"/>
    <w:rsid w:val="007217C1"/>
    <w:rsid w:val="00721A68"/>
    <w:rsid w:val="00722384"/>
    <w:rsid w:val="00722764"/>
    <w:rsid w:val="00724B22"/>
    <w:rsid w:val="00724C40"/>
    <w:rsid w:val="00730887"/>
    <w:rsid w:val="00730A4D"/>
    <w:rsid w:val="00735134"/>
    <w:rsid w:val="00736DBD"/>
    <w:rsid w:val="007370B8"/>
    <w:rsid w:val="00737838"/>
    <w:rsid w:val="00742C25"/>
    <w:rsid w:val="007445FA"/>
    <w:rsid w:val="00744BCE"/>
    <w:rsid w:val="00745F0F"/>
    <w:rsid w:val="00747BA9"/>
    <w:rsid w:val="00750682"/>
    <w:rsid w:val="00761FCB"/>
    <w:rsid w:val="00763B7A"/>
    <w:rsid w:val="00763CC2"/>
    <w:rsid w:val="00765F0E"/>
    <w:rsid w:val="00770198"/>
    <w:rsid w:val="00770C3F"/>
    <w:rsid w:val="00773B0F"/>
    <w:rsid w:val="007747E7"/>
    <w:rsid w:val="00774F49"/>
    <w:rsid w:val="00774F7D"/>
    <w:rsid w:val="00775916"/>
    <w:rsid w:val="00775EC3"/>
    <w:rsid w:val="00776EB3"/>
    <w:rsid w:val="00777D75"/>
    <w:rsid w:val="007802F9"/>
    <w:rsid w:val="00786EA4"/>
    <w:rsid w:val="0079024B"/>
    <w:rsid w:val="00791536"/>
    <w:rsid w:val="00792A49"/>
    <w:rsid w:val="00792D42"/>
    <w:rsid w:val="007935E5"/>
    <w:rsid w:val="00795423"/>
    <w:rsid w:val="007961DA"/>
    <w:rsid w:val="007A1C28"/>
    <w:rsid w:val="007A1C46"/>
    <w:rsid w:val="007A2C9A"/>
    <w:rsid w:val="007A403B"/>
    <w:rsid w:val="007A44C4"/>
    <w:rsid w:val="007A69B5"/>
    <w:rsid w:val="007A7252"/>
    <w:rsid w:val="007A735E"/>
    <w:rsid w:val="007B2A96"/>
    <w:rsid w:val="007B42EF"/>
    <w:rsid w:val="007B4340"/>
    <w:rsid w:val="007B4662"/>
    <w:rsid w:val="007C13C4"/>
    <w:rsid w:val="007C48E8"/>
    <w:rsid w:val="007C544A"/>
    <w:rsid w:val="007C5DDC"/>
    <w:rsid w:val="007C76EA"/>
    <w:rsid w:val="007C774C"/>
    <w:rsid w:val="007D0E46"/>
    <w:rsid w:val="007D2186"/>
    <w:rsid w:val="007D28D5"/>
    <w:rsid w:val="007D3AAD"/>
    <w:rsid w:val="007D3FDF"/>
    <w:rsid w:val="007D57DD"/>
    <w:rsid w:val="007D67EA"/>
    <w:rsid w:val="007D70C9"/>
    <w:rsid w:val="007E0918"/>
    <w:rsid w:val="007E0E83"/>
    <w:rsid w:val="007E0FD9"/>
    <w:rsid w:val="007E1623"/>
    <w:rsid w:val="007E2607"/>
    <w:rsid w:val="007E556B"/>
    <w:rsid w:val="007E7CC8"/>
    <w:rsid w:val="007F1131"/>
    <w:rsid w:val="007F12C6"/>
    <w:rsid w:val="007F18A3"/>
    <w:rsid w:val="007F26A7"/>
    <w:rsid w:val="007F6806"/>
    <w:rsid w:val="007F76F4"/>
    <w:rsid w:val="007F7AC2"/>
    <w:rsid w:val="00800DCC"/>
    <w:rsid w:val="00802A49"/>
    <w:rsid w:val="00802EAF"/>
    <w:rsid w:val="00803395"/>
    <w:rsid w:val="008038B2"/>
    <w:rsid w:val="00803936"/>
    <w:rsid w:val="00803E99"/>
    <w:rsid w:val="008044D2"/>
    <w:rsid w:val="00805310"/>
    <w:rsid w:val="0080603D"/>
    <w:rsid w:val="00810137"/>
    <w:rsid w:val="0081033C"/>
    <w:rsid w:val="00810402"/>
    <w:rsid w:val="00810E99"/>
    <w:rsid w:val="0081103D"/>
    <w:rsid w:val="0081224A"/>
    <w:rsid w:val="0081475F"/>
    <w:rsid w:val="0082007C"/>
    <w:rsid w:val="00820B52"/>
    <w:rsid w:val="0082132F"/>
    <w:rsid w:val="008237A2"/>
    <w:rsid w:val="00824BE7"/>
    <w:rsid w:val="00825B45"/>
    <w:rsid w:val="00825F79"/>
    <w:rsid w:val="00825FFF"/>
    <w:rsid w:val="00826FB9"/>
    <w:rsid w:val="00830A27"/>
    <w:rsid w:val="00831DFE"/>
    <w:rsid w:val="00832ABA"/>
    <w:rsid w:val="008333E4"/>
    <w:rsid w:val="00834A2D"/>
    <w:rsid w:val="00835B55"/>
    <w:rsid w:val="0083600F"/>
    <w:rsid w:val="00840831"/>
    <w:rsid w:val="00842A6F"/>
    <w:rsid w:val="0084387F"/>
    <w:rsid w:val="00844B6C"/>
    <w:rsid w:val="00845786"/>
    <w:rsid w:val="00850912"/>
    <w:rsid w:val="00850FEC"/>
    <w:rsid w:val="00851C4B"/>
    <w:rsid w:val="0085355F"/>
    <w:rsid w:val="008545D2"/>
    <w:rsid w:val="008547FE"/>
    <w:rsid w:val="00855D07"/>
    <w:rsid w:val="00855FBA"/>
    <w:rsid w:val="00857B95"/>
    <w:rsid w:val="00860302"/>
    <w:rsid w:val="00864CBD"/>
    <w:rsid w:val="008653FE"/>
    <w:rsid w:val="00865507"/>
    <w:rsid w:val="00866219"/>
    <w:rsid w:val="00871EF1"/>
    <w:rsid w:val="00872B60"/>
    <w:rsid w:val="0087398D"/>
    <w:rsid w:val="00874A3D"/>
    <w:rsid w:val="00876578"/>
    <w:rsid w:val="008817C6"/>
    <w:rsid w:val="00881B4C"/>
    <w:rsid w:val="0088713E"/>
    <w:rsid w:val="00887CE3"/>
    <w:rsid w:val="00892317"/>
    <w:rsid w:val="0089420F"/>
    <w:rsid w:val="008967E5"/>
    <w:rsid w:val="008A026B"/>
    <w:rsid w:val="008A02DF"/>
    <w:rsid w:val="008A1729"/>
    <w:rsid w:val="008A1967"/>
    <w:rsid w:val="008A34A6"/>
    <w:rsid w:val="008A61DC"/>
    <w:rsid w:val="008A6D80"/>
    <w:rsid w:val="008B0D55"/>
    <w:rsid w:val="008B1401"/>
    <w:rsid w:val="008B1560"/>
    <w:rsid w:val="008B1D26"/>
    <w:rsid w:val="008B1FF1"/>
    <w:rsid w:val="008B21D2"/>
    <w:rsid w:val="008B3A74"/>
    <w:rsid w:val="008C0591"/>
    <w:rsid w:val="008C1734"/>
    <w:rsid w:val="008C1D98"/>
    <w:rsid w:val="008C4BC0"/>
    <w:rsid w:val="008C4C4C"/>
    <w:rsid w:val="008C6B3E"/>
    <w:rsid w:val="008D1B61"/>
    <w:rsid w:val="008D36EA"/>
    <w:rsid w:val="008D654E"/>
    <w:rsid w:val="008D674A"/>
    <w:rsid w:val="008E0CEF"/>
    <w:rsid w:val="008E0F43"/>
    <w:rsid w:val="008F1941"/>
    <w:rsid w:val="008F2613"/>
    <w:rsid w:val="008F263B"/>
    <w:rsid w:val="008F5079"/>
    <w:rsid w:val="008F6697"/>
    <w:rsid w:val="00900322"/>
    <w:rsid w:val="00900ADD"/>
    <w:rsid w:val="00901614"/>
    <w:rsid w:val="00901FF8"/>
    <w:rsid w:val="00903060"/>
    <w:rsid w:val="00910F71"/>
    <w:rsid w:val="00916DD4"/>
    <w:rsid w:val="00917740"/>
    <w:rsid w:val="00921AF9"/>
    <w:rsid w:val="00921C24"/>
    <w:rsid w:val="00924EB7"/>
    <w:rsid w:val="00925208"/>
    <w:rsid w:val="00927BE2"/>
    <w:rsid w:val="00932F49"/>
    <w:rsid w:val="00934E39"/>
    <w:rsid w:val="009350BD"/>
    <w:rsid w:val="00935622"/>
    <w:rsid w:val="00937040"/>
    <w:rsid w:val="00937D07"/>
    <w:rsid w:val="009409FD"/>
    <w:rsid w:val="00940B12"/>
    <w:rsid w:val="00942ABD"/>
    <w:rsid w:val="009430A6"/>
    <w:rsid w:val="0094491F"/>
    <w:rsid w:val="0094760D"/>
    <w:rsid w:val="009517F7"/>
    <w:rsid w:val="00953372"/>
    <w:rsid w:val="00954077"/>
    <w:rsid w:val="00954B55"/>
    <w:rsid w:val="0095736F"/>
    <w:rsid w:val="009619CC"/>
    <w:rsid w:val="0096233B"/>
    <w:rsid w:val="00964074"/>
    <w:rsid w:val="009646BC"/>
    <w:rsid w:val="009670F7"/>
    <w:rsid w:val="00970AC0"/>
    <w:rsid w:val="00977448"/>
    <w:rsid w:val="0098155D"/>
    <w:rsid w:val="00981FF5"/>
    <w:rsid w:val="00982EA1"/>
    <w:rsid w:val="009836D5"/>
    <w:rsid w:val="00983B02"/>
    <w:rsid w:val="00986ED8"/>
    <w:rsid w:val="0098759C"/>
    <w:rsid w:val="00987CF8"/>
    <w:rsid w:val="00992586"/>
    <w:rsid w:val="00993CF6"/>
    <w:rsid w:val="00993FB4"/>
    <w:rsid w:val="00995B8F"/>
    <w:rsid w:val="00996826"/>
    <w:rsid w:val="009A188A"/>
    <w:rsid w:val="009A3573"/>
    <w:rsid w:val="009A444E"/>
    <w:rsid w:val="009A6877"/>
    <w:rsid w:val="009B520B"/>
    <w:rsid w:val="009C150D"/>
    <w:rsid w:val="009C3762"/>
    <w:rsid w:val="009C693F"/>
    <w:rsid w:val="009D1AD3"/>
    <w:rsid w:val="009D49E7"/>
    <w:rsid w:val="009D54F4"/>
    <w:rsid w:val="009D58BC"/>
    <w:rsid w:val="009D7D45"/>
    <w:rsid w:val="009E1C30"/>
    <w:rsid w:val="009E6C1D"/>
    <w:rsid w:val="009F0DF1"/>
    <w:rsid w:val="009F3350"/>
    <w:rsid w:val="009F3C37"/>
    <w:rsid w:val="00A04995"/>
    <w:rsid w:val="00A04F42"/>
    <w:rsid w:val="00A05DB4"/>
    <w:rsid w:val="00A10AF9"/>
    <w:rsid w:val="00A12149"/>
    <w:rsid w:val="00A12C6F"/>
    <w:rsid w:val="00A15EC2"/>
    <w:rsid w:val="00A16849"/>
    <w:rsid w:val="00A17A35"/>
    <w:rsid w:val="00A21544"/>
    <w:rsid w:val="00A2232B"/>
    <w:rsid w:val="00A2319D"/>
    <w:rsid w:val="00A23ACD"/>
    <w:rsid w:val="00A257EE"/>
    <w:rsid w:val="00A2784E"/>
    <w:rsid w:val="00A34DE1"/>
    <w:rsid w:val="00A452D4"/>
    <w:rsid w:val="00A46ECA"/>
    <w:rsid w:val="00A520F3"/>
    <w:rsid w:val="00A54710"/>
    <w:rsid w:val="00A57556"/>
    <w:rsid w:val="00A60374"/>
    <w:rsid w:val="00A6509F"/>
    <w:rsid w:val="00A657F2"/>
    <w:rsid w:val="00A66D26"/>
    <w:rsid w:val="00A70277"/>
    <w:rsid w:val="00A71A4F"/>
    <w:rsid w:val="00A728E0"/>
    <w:rsid w:val="00A7349D"/>
    <w:rsid w:val="00A73906"/>
    <w:rsid w:val="00A73FB0"/>
    <w:rsid w:val="00A745F4"/>
    <w:rsid w:val="00A80486"/>
    <w:rsid w:val="00A805D3"/>
    <w:rsid w:val="00A815D4"/>
    <w:rsid w:val="00A815FC"/>
    <w:rsid w:val="00A8163F"/>
    <w:rsid w:val="00A82490"/>
    <w:rsid w:val="00A82835"/>
    <w:rsid w:val="00A8379D"/>
    <w:rsid w:val="00A839D3"/>
    <w:rsid w:val="00A8774B"/>
    <w:rsid w:val="00A92300"/>
    <w:rsid w:val="00A940A7"/>
    <w:rsid w:val="00A952B0"/>
    <w:rsid w:val="00A97BDD"/>
    <w:rsid w:val="00AA0C4F"/>
    <w:rsid w:val="00AA0DDF"/>
    <w:rsid w:val="00AA3482"/>
    <w:rsid w:val="00AA42B9"/>
    <w:rsid w:val="00AA4FF5"/>
    <w:rsid w:val="00AA52C0"/>
    <w:rsid w:val="00AA6308"/>
    <w:rsid w:val="00AA631E"/>
    <w:rsid w:val="00AA641B"/>
    <w:rsid w:val="00AA64E1"/>
    <w:rsid w:val="00AA6B9C"/>
    <w:rsid w:val="00AB02A7"/>
    <w:rsid w:val="00AB1538"/>
    <w:rsid w:val="00AB1676"/>
    <w:rsid w:val="00AB22F4"/>
    <w:rsid w:val="00AB36BC"/>
    <w:rsid w:val="00AB4334"/>
    <w:rsid w:val="00AB4717"/>
    <w:rsid w:val="00AB472D"/>
    <w:rsid w:val="00AB52B2"/>
    <w:rsid w:val="00AC1C37"/>
    <w:rsid w:val="00AC4856"/>
    <w:rsid w:val="00AC668D"/>
    <w:rsid w:val="00AC75EB"/>
    <w:rsid w:val="00AC773D"/>
    <w:rsid w:val="00AC7A43"/>
    <w:rsid w:val="00AD176D"/>
    <w:rsid w:val="00AD2624"/>
    <w:rsid w:val="00AD3595"/>
    <w:rsid w:val="00AD56D3"/>
    <w:rsid w:val="00AD7F5D"/>
    <w:rsid w:val="00AE04E9"/>
    <w:rsid w:val="00AE177D"/>
    <w:rsid w:val="00AE26EF"/>
    <w:rsid w:val="00AE4C7A"/>
    <w:rsid w:val="00AE6B23"/>
    <w:rsid w:val="00AE7E2A"/>
    <w:rsid w:val="00AF165A"/>
    <w:rsid w:val="00AF4494"/>
    <w:rsid w:val="00AF656C"/>
    <w:rsid w:val="00AF6C47"/>
    <w:rsid w:val="00B02980"/>
    <w:rsid w:val="00B04163"/>
    <w:rsid w:val="00B0469F"/>
    <w:rsid w:val="00B06B38"/>
    <w:rsid w:val="00B12486"/>
    <w:rsid w:val="00B1411C"/>
    <w:rsid w:val="00B16B16"/>
    <w:rsid w:val="00B17C25"/>
    <w:rsid w:val="00B206F3"/>
    <w:rsid w:val="00B21652"/>
    <w:rsid w:val="00B23D32"/>
    <w:rsid w:val="00B308D4"/>
    <w:rsid w:val="00B30FB7"/>
    <w:rsid w:val="00B32193"/>
    <w:rsid w:val="00B32E92"/>
    <w:rsid w:val="00B3361B"/>
    <w:rsid w:val="00B41209"/>
    <w:rsid w:val="00B42EBF"/>
    <w:rsid w:val="00B42F17"/>
    <w:rsid w:val="00B43A17"/>
    <w:rsid w:val="00B4465E"/>
    <w:rsid w:val="00B47323"/>
    <w:rsid w:val="00B52832"/>
    <w:rsid w:val="00B559E9"/>
    <w:rsid w:val="00B56346"/>
    <w:rsid w:val="00B57418"/>
    <w:rsid w:val="00B57EF5"/>
    <w:rsid w:val="00B60DB9"/>
    <w:rsid w:val="00B63512"/>
    <w:rsid w:val="00B6438D"/>
    <w:rsid w:val="00B7081C"/>
    <w:rsid w:val="00B7172D"/>
    <w:rsid w:val="00B71AEF"/>
    <w:rsid w:val="00B71BAD"/>
    <w:rsid w:val="00B805A4"/>
    <w:rsid w:val="00B8112F"/>
    <w:rsid w:val="00B8409A"/>
    <w:rsid w:val="00B860BC"/>
    <w:rsid w:val="00B866D5"/>
    <w:rsid w:val="00B870DC"/>
    <w:rsid w:val="00B903BF"/>
    <w:rsid w:val="00B90B57"/>
    <w:rsid w:val="00B9160E"/>
    <w:rsid w:val="00B91CC0"/>
    <w:rsid w:val="00B96867"/>
    <w:rsid w:val="00BA32D4"/>
    <w:rsid w:val="00BA5685"/>
    <w:rsid w:val="00BA608A"/>
    <w:rsid w:val="00BA79B8"/>
    <w:rsid w:val="00BB4ECF"/>
    <w:rsid w:val="00BB5A07"/>
    <w:rsid w:val="00BB7221"/>
    <w:rsid w:val="00BB7BE0"/>
    <w:rsid w:val="00BC22C1"/>
    <w:rsid w:val="00BC401C"/>
    <w:rsid w:val="00BD0C3C"/>
    <w:rsid w:val="00BD2A1A"/>
    <w:rsid w:val="00BD2FF4"/>
    <w:rsid w:val="00BD3503"/>
    <w:rsid w:val="00BE12F7"/>
    <w:rsid w:val="00BE5080"/>
    <w:rsid w:val="00BE6078"/>
    <w:rsid w:val="00BF04EC"/>
    <w:rsid w:val="00BF1E56"/>
    <w:rsid w:val="00BF3128"/>
    <w:rsid w:val="00BF3425"/>
    <w:rsid w:val="00BF371D"/>
    <w:rsid w:val="00BF3E90"/>
    <w:rsid w:val="00BF441C"/>
    <w:rsid w:val="00BF5739"/>
    <w:rsid w:val="00C04511"/>
    <w:rsid w:val="00C052ED"/>
    <w:rsid w:val="00C05FE3"/>
    <w:rsid w:val="00C063A3"/>
    <w:rsid w:val="00C06ADE"/>
    <w:rsid w:val="00C13796"/>
    <w:rsid w:val="00C14AC0"/>
    <w:rsid w:val="00C15C84"/>
    <w:rsid w:val="00C16392"/>
    <w:rsid w:val="00C16B4E"/>
    <w:rsid w:val="00C227B2"/>
    <w:rsid w:val="00C23E46"/>
    <w:rsid w:val="00C25965"/>
    <w:rsid w:val="00C279A2"/>
    <w:rsid w:val="00C30C1E"/>
    <w:rsid w:val="00C3144A"/>
    <w:rsid w:val="00C3312E"/>
    <w:rsid w:val="00C37412"/>
    <w:rsid w:val="00C4067F"/>
    <w:rsid w:val="00C407A3"/>
    <w:rsid w:val="00C4159D"/>
    <w:rsid w:val="00C41C86"/>
    <w:rsid w:val="00C43C8F"/>
    <w:rsid w:val="00C445F5"/>
    <w:rsid w:val="00C44922"/>
    <w:rsid w:val="00C46FB8"/>
    <w:rsid w:val="00C47B41"/>
    <w:rsid w:val="00C500B9"/>
    <w:rsid w:val="00C50907"/>
    <w:rsid w:val="00C51100"/>
    <w:rsid w:val="00C51A83"/>
    <w:rsid w:val="00C51E95"/>
    <w:rsid w:val="00C55C73"/>
    <w:rsid w:val="00C57456"/>
    <w:rsid w:val="00C604E2"/>
    <w:rsid w:val="00C63A48"/>
    <w:rsid w:val="00C65A82"/>
    <w:rsid w:val="00C65F0C"/>
    <w:rsid w:val="00C66ACE"/>
    <w:rsid w:val="00C76100"/>
    <w:rsid w:val="00C771E9"/>
    <w:rsid w:val="00C80EFB"/>
    <w:rsid w:val="00C827CE"/>
    <w:rsid w:val="00C82F3F"/>
    <w:rsid w:val="00C83FD8"/>
    <w:rsid w:val="00C84050"/>
    <w:rsid w:val="00C84561"/>
    <w:rsid w:val="00C850DB"/>
    <w:rsid w:val="00C8538E"/>
    <w:rsid w:val="00C874E8"/>
    <w:rsid w:val="00C878CC"/>
    <w:rsid w:val="00C93AE5"/>
    <w:rsid w:val="00C95119"/>
    <w:rsid w:val="00CA112A"/>
    <w:rsid w:val="00CA16F9"/>
    <w:rsid w:val="00CA2C13"/>
    <w:rsid w:val="00CA32B9"/>
    <w:rsid w:val="00CA583D"/>
    <w:rsid w:val="00CA6D48"/>
    <w:rsid w:val="00CB0108"/>
    <w:rsid w:val="00CB0FB6"/>
    <w:rsid w:val="00CB235B"/>
    <w:rsid w:val="00CB367C"/>
    <w:rsid w:val="00CC3494"/>
    <w:rsid w:val="00CD1121"/>
    <w:rsid w:val="00CD183D"/>
    <w:rsid w:val="00CD1D6E"/>
    <w:rsid w:val="00CD5951"/>
    <w:rsid w:val="00CD7DF2"/>
    <w:rsid w:val="00CE09F3"/>
    <w:rsid w:val="00CE0CF4"/>
    <w:rsid w:val="00CE1C9B"/>
    <w:rsid w:val="00CF03AE"/>
    <w:rsid w:val="00CF1DCF"/>
    <w:rsid w:val="00CF2E9C"/>
    <w:rsid w:val="00CF371B"/>
    <w:rsid w:val="00D01EFE"/>
    <w:rsid w:val="00D02566"/>
    <w:rsid w:val="00D052DC"/>
    <w:rsid w:val="00D05C1F"/>
    <w:rsid w:val="00D0657F"/>
    <w:rsid w:val="00D109B0"/>
    <w:rsid w:val="00D116AF"/>
    <w:rsid w:val="00D11CFD"/>
    <w:rsid w:val="00D124B0"/>
    <w:rsid w:val="00D15398"/>
    <w:rsid w:val="00D167C8"/>
    <w:rsid w:val="00D2016E"/>
    <w:rsid w:val="00D2174F"/>
    <w:rsid w:val="00D23FB5"/>
    <w:rsid w:val="00D265A6"/>
    <w:rsid w:val="00D278A8"/>
    <w:rsid w:val="00D31B48"/>
    <w:rsid w:val="00D32753"/>
    <w:rsid w:val="00D3365D"/>
    <w:rsid w:val="00D340D5"/>
    <w:rsid w:val="00D3460F"/>
    <w:rsid w:val="00D40351"/>
    <w:rsid w:val="00D4061B"/>
    <w:rsid w:val="00D457A2"/>
    <w:rsid w:val="00D47095"/>
    <w:rsid w:val="00D519C7"/>
    <w:rsid w:val="00D5384C"/>
    <w:rsid w:val="00D55A6A"/>
    <w:rsid w:val="00D609A2"/>
    <w:rsid w:val="00D61022"/>
    <w:rsid w:val="00D612AC"/>
    <w:rsid w:val="00D62736"/>
    <w:rsid w:val="00D634CB"/>
    <w:rsid w:val="00D63C68"/>
    <w:rsid w:val="00D65199"/>
    <w:rsid w:val="00D65BE8"/>
    <w:rsid w:val="00D65F62"/>
    <w:rsid w:val="00D66315"/>
    <w:rsid w:val="00D668B1"/>
    <w:rsid w:val="00D70321"/>
    <w:rsid w:val="00D741ED"/>
    <w:rsid w:val="00D7666E"/>
    <w:rsid w:val="00D80A1B"/>
    <w:rsid w:val="00D80BDF"/>
    <w:rsid w:val="00D82171"/>
    <w:rsid w:val="00D84416"/>
    <w:rsid w:val="00D8500A"/>
    <w:rsid w:val="00D859F1"/>
    <w:rsid w:val="00D86BD7"/>
    <w:rsid w:val="00D872DF"/>
    <w:rsid w:val="00D87723"/>
    <w:rsid w:val="00D94061"/>
    <w:rsid w:val="00D949C5"/>
    <w:rsid w:val="00D95E3B"/>
    <w:rsid w:val="00D97277"/>
    <w:rsid w:val="00D9759C"/>
    <w:rsid w:val="00D97CE1"/>
    <w:rsid w:val="00DA297E"/>
    <w:rsid w:val="00DA3FA4"/>
    <w:rsid w:val="00DA4F36"/>
    <w:rsid w:val="00DA6CAD"/>
    <w:rsid w:val="00DB0694"/>
    <w:rsid w:val="00DB10BB"/>
    <w:rsid w:val="00DB4A0E"/>
    <w:rsid w:val="00DB6CA0"/>
    <w:rsid w:val="00DC3004"/>
    <w:rsid w:val="00DC42B9"/>
    <w:rsid w:val="00DC5D85"/>
    <w:rsid w:val="00DC605E"/>
    <w:rsid w:val="00DC7682"/>
    <w:rsid w:val="00DE018A"/>
    <w:rsid w:val="00DE2FA9"/>
    <w:rsid w:val="00DE3E96"/>
    <w:rsid w:val="00DE6E2E"/>
    <w:rsid w:val="00DF066F"/>
    <w:rsid w:val="00DF0B70"/>
    <w:rsid w:val="00DF1855"/>
    <w:rsid w:val="00DF1EF0"/>
    <w:rsid w:val="00DF2A86"/>
    <w:rsid w:val="00DF2D61"/>
    <w:rsid w:val="00DF5789"/>
    <w:rsid w:val="00DF6185"/>
    <w:rsid w:val="00E00488"/>
    <w:rsid w:val="00E0098B"/>
    <w:rsid w:val="00E02305"/>
    <w:rsid w:val="00E045D8"/>
    <w:rsid w:val="00E059A3"/>
    <w:rsid w:val="00E1457B"/>
    <w:rsid w:val="00E154E5"/>
    <w:rsid w:val="00E15570"/>
    <w:rsid w:val="00E17883"/>
    <w:rsid w:val="00E279C5"/>
    <w:rsid w:val="00E319F1"/>
    <w:rsid w:val="00E36F52"/>
    <w:rsid w:val="00E416C6"/>
    <w:rsid w:val="00E444BA"/>
    <w:rsid w:val="00E46C7D"/>
    <w:rsid w:val="00E47732"/>
    <w:rsid w:val="00E521B5"/>
    <w:rsid w:val="00E53F31"/>
    <w:rsid w:val="00E571A0"/>
    <w:rsid w:val="00E62551"/>
    <w:rsid w:val="00E62C47"/>
    <w:rsid w:val="00E63CAA"/>
    <w:rsid w:val="00E65BE1"/>
    <w:rsid w:val="00E65E97"/>
    <w:rsid w:val="00E6643E"/>
    <w:rsid w:val="00E67D6A"/>
    <w:rsid w:val="00E701E1"/>
    <w:rsid w:val="00E732C2"/>
    <w:rsid w:val="00E80369"/>
    <w:rsid w:val="00E8236A"/>
    <w:rsid w:val="00E839CB"/>
    <w:rsid w:val="00E83D5C"/>
    <w:rsid w:val="00E8415C"/>
    <w:rsid w:val="00E860E5"/>
    <w:rsid w:val="00E86DBF"/>
    <w:rsid w:val="00E947C1"/>
    <w:rsid w:val="00E95F4D"/>
    <w:rsid w:val="00E9664C"/>
    <w:rsid w:val="00E97A5A"/>
    <w:rsid w:val="00EA1E99"/>
    <w:rsid w:val="00EA2018"/>
    <w:rsid w:val="00EA2784"/>
    <w:rsid w:val="00EB59DB"/>
    <w:rsid w:val="00EB6963"/>
    <w:rsid w:val="00EC2C02"/>
    <w:rsid w:val="00EC50DE"/>
    <w:rsid w:val="00EC596D"/>
    <w:rsid w:val="00EC5C72"/>
    <w:rsid w:val="00EC5D15"/>
    <w:rsid w:val="00ED0130"/>
    <w:rsid w:val="00ED1CDE"/>
    <w:rsid w:val="00ED5669"/>
    <w:rsid w:val="00EE029B"/>
    <w:rsid w:val="00EE6B21"/>
    <w:rsid w:val="00EE75D2"/>
    <w:rsid w:val="00EF2C18"/>
    <w:rsid w:val="00EF4C67"/>
    <w:rsid w:val="00EF5314"/>
    <w:rsid w:val="00EF5FCC"/>
    <w:rsid w:val="00EF7AA2"/>
    <w:rsid w:val="00EF7C41"/>
    <w:rsid w:val="00EF7E3B"/>
    <w:rsid w:val="00F0106C"/>
    <w:rsid w:val="00F03959"/>
    <w:rsid w:val="00F03BD6"/>
    <w:rsid w:val="00F05128"/>
    <w:rsid w:val="00F05527"/>
    <w:rsid w:val="00F10797"/>
    <w:rsid w:val="00F12692"/>
    <w:rsid w:val="00F1397D"/>
    <w:rsid w:val="00F15ABE"/>
    <w:rsid w:val="00F15B2B"/>
    <w:rsid w:val="00F1680D"/>
    <w:rsid w:val="00F16860"/>
    <w:rsid w:val="00F24E5D"/>
    <w:rsid w:val="00F25C41"/>
    <w:rsid w:val="00F26F7F"/>
    <w:rsid w:val="00F27732"/>
    <w:rsid w:val="00F33269"/>
    <w:rsid w:val="00F33EA9"/>
    <w:rsid w:val="00F34344"/>
    <w:rsid w:val="00F34416"/>
    <w:rsid w:val="00F35BA7"/>
    <w:rsid w:val="00F40B70"/>
    <w:rsid w:val="00F44566"/>
    <w:rsid w:val="00F47BFE"/>
    <w:rsid w:val="00F47C35"/>
    <w:rsid w:val="00F502B8"/>
    <w:rsid w:val="00F519DC"/>
    <w:rsid w:val="00F54397"/>
    <w:rsid w:val="00F543EF"/>
    <w:rsid w:val="00F54550"/>
    <w:rsid w:val="00F54EA2"/>
    <w:rsid w:val="00F55E84"/>
    <w:rsid w:val="00F60857"/>
    <w:rsid w:val="00F641C6"/>
    <w:rsid w:val="00F64BE6"/>
    <w:rsid w:val="00F65620"/>
    <w:rsid w:val="00F65813"/>
    <w:rsid w:val="00F65DF3"/>
    <w:rsid w:val="00F66C2A"/>
    <w:rsid w:val="00F67943"/>
    <w:rsid w:val="00F707A6"/>
    <w:rsid w:val="00F7165D"/>
    <w:rsid w:val="00F743E7"/>
    <w:rsid w:val="00F7456D"/>
    <w:rsid w:val="00F7628C"/>
    <w:rsid w:val="00F76502"/>
    <w:rsid w:val="00F772B8"/>
    <w:rsid w:val="00F773F8"/>
    <w:rsid w:val="00F817FA"/>
    <w:rsid w:val="00F85C62"/>
    <w:rsid w:val="00F90C0A"/>
    <w:rsid w:val="00F92A6E"/>
    <w:rsid w:val="00F966A9"/>
    <w:rsid w:val="00F96A75"/>
    <w:rsid w:val="00F96B61"/>
    <w:rsid w:val="00F97662"/>
    <w:rsid w:val="00FA0095"/>
    <w:rsid w:val="00FA0122"/>
    <w:rsid w:val="00FA0A57"/>
    <w:rsid w:val="00FA1536"/>
    <w:rsid w:val="00FA7C02"/>
    <w:rsid w:val="00FB0898"/>
    <w:rsid w:val="00FB501E"/>
    <w:rsid w:val="00FC0FF9"/>
    <w:rsid w:val="00FC48CD"/>
    <w:rsid w:val="00FC7882"/>
    <w:rsid w:val="00FD0346"/>
    <w:rsid w:val="00FD0567"/>
    <w:rsid w:val="00FD0D65"/>
    <w:rsid w:val="00FD105F"/>
    <w:rsid w:val="00FD26D3"/>
    <w:rsid w:val="00FD2DD5"/>
    <w:rsid w:val="00FD529E"/>
    <w:rsid w:val="00FD59FC"/>
    <w:rsid w:val="00FD712A"/>
    <w:rsid w:val="00FE04D8"/>
    <w:rsid w:val="00FE1AA1"/>
    <w:rsid w:val="00FE1AF4"/>
    <w:rsid w:val="00FE537E"/>
    <w:rsid w:val="00FE72FB"/>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96233B"/>
    <w:rPr>
      <w:sz w:val="20"/>
      <w:szCs w:val="20"/>
    </w:rPr>
  </w:style>
  <w:style w:type="character" w:customStyle="1" w:styleId="FootnoteTextChar">
    <w:name w:val="Footnote Text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table" w:customStyle="1" w:styleId="TableGrid1">
    <w:name w:val="Table Grid1"/>
    <w:basedOn w:val="TableNormal"/>
    <w:next w:val="TableGrid"/>
    <w:uiPriority w:val="59"/>
    <w:rsid w:val="00F60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96233B"/>
    <w:rPr>
      <w:sz w:val="20"/>
      <w:szCs w:val="20"/>
    </w:rPr>
  </w:style>
  <w:style w:type="character" w:customStyle="1" w:styleId="FootnoteTextChar">
    <w:name w:val="Footnote Text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table" w:customStyle="1" w:styleId="TableGrid1">
    <w:name w:val="Table Grid1"/>
    <w:basedOn w:val="TableNormal"/>
    <w:next w:val="TableGrid"/>
    <w:uiPriority w:val="59"/>
    <w:rsid w:val="00F60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123">
      <w:bodyDiv w:val="1"/>
      <w:marLeft w:val="0"/>
      <w:marRight w:val="0"/>
      <w:marTop w:val="0"/>
      <w:marBottom w:val="0"/>
      <w:divBdr>
        <w:top w:val="none" w:sz="0" w:space="0" w:color="auto"/>
        <w:left w:val="none" w:sz="0" w:space="0" w:color="auto"/>
        <w:bottom w:val="none" w:sz="0" w:space="0" w:color="auto"/>
        <w:right w:val="none" w:sz="0" w:space="0" w:color="auto"/>
      </w:divBdr>
    </w:div>
    <w:div w:id="68384370">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794153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465077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46301869">
      <w:bodyDiv w:val="1"/>
      <w:marLeft w:val="0"/>
      <w:marRight w:val="0"/>
      <w:marTop w:val="0"/>
      <w:marBottom w:val="0"/>
      <w:divBdr>
        <w:top w:val="none" w:sz="0" w:space="0" w:color="auto"/>
        <w:left w:val="none" w:sz="0" w:space="0" w:color="auto"/>
        <w:bottom w:val="none" w:sz="0" w:space="0" w:color="auto"/>
        <w:right w:val="none" w:sz="0" w:space="0" w:color="auto"/>
      </w:divBdr>
    </w:div>
    <w:div w:id="1834056569">
      <w:bodyDiv w:val="1"/>
      <w:marLeft w:val="0"/>
      <w:marRight w:val="0"/>
      <w:marTop w:val="0"/>
      <w:marBottom w:val="0"/>
      <w:divBdr>
        <w:top w:val="none" w:sz="0" w:space="0" w:color="auto"/>
        <w:left w:val="none" w:sz="0" w:space="0" w:color="auto"/>
        <w:bottom w:val="none" w:sz="0" w:space="0" w:color="auto"/>
        <w:right w:val="none" w:sz="0" w:space="0" w:color="auto"/>
      </w:divBdr>
    </w:div>
    <w:div w:id="18361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851A7-AA4A-4E22-B52C-7CDEFAE4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16</Pages>
  <Words>32628</Words>
  <Characters>18598</Characters>
  <Application>Microsoft Office Word</Application>
  <DocSecurity>0</DocSecurity>
  <Lines>154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51124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Jaugaitė</dc:creator>
  <cp:lastModifiedBy>Dovilė Jaugaitė</cp:lastModifiedBy>
  <cp:revision>76</cp:revision>
  <cp:lastPrinted>2015-11-23T08:45:00Z</cp:lastPrinted>
  <dcterms:created xsi:type="dcterms:W3CDTF">2016-02-24T14:24:00Z</dcterms:created>
  <dcterms:modified xsi:type="dcterms:W3CDTF">2016-03-31T10:32:00Z</dcterms:modified>
</cp:coreProperties>
</file>