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94" w:rsidRPr="00655494" w:rsidRDefault="00655494" w:rsidP="00726872">
      <w:pPr>
        <w:spacing w:after="0" w:line="240" w:lineRule="auto"/>
        <w:ind w:left="7797" w:right="-881"/>
        <w:jc w:val="both"/>
        <w:rPr>
          <w:rFonts w:ascii="Times New Roman" w:eastAsia="Calibri" w:hAnsi="Times New Roman" w:cs="Times New Roman"/>
          <w:sz w:val="24"/>
          <w:szCs w:val="24"/>
        </w:rPr>
      </w:pPr>
      <w:bookmarkStart w:id="0" w:name="_GoBack"/>
      <w:bookmarkEnd w:id="0"/>
      <w:r w:rsidRPr="00655494">
        <w:rPr>
          <w:rFonts w:ascii="Times New Roman" w:eastAsia="Calibri" w:hAnsi="Times New Roman" w:cs="Times New Roman"/>
          <w:sz w:val="24"/>
          <w:szCs w:val="24"/>
        </w:rPr>
        <w:t>2014–2020 metų Europos Sąj</w:t>
      </w:r>
      <w:r w:rsidR="00726872">
        <w:rPr>
          <w:rFonts w:ascii="Times New Roman" w:eastAsia="Calibri" w:hAnsi="Times New Roman" w:cs="Times New Roman"/>
          <w:sz w:val="24"/>
          <w:szCs w:val="24"/>
        </w:rPr>
        <w:t xml:space="preserve">ungos fondų investicijų veiksmų </w:t>
      </w:r>
      <w:r w:rsidRPr="00655494">
        <w:rPr>
          <w:rFonts w:ascii="Times New Roman" w:eastAsia="Calibri" w:hAnsi="Times New Roman" w:cs="Times New Roman"/>
          <w:sz w:val="24"/>
          <w:szCs w:val="24"/>
        </w:rPr>
        <w:t>programos</w:t>
      </w:r>
      <w:r w:rsidR="00726872">
        <w:rPr>
          <w:rFonts w:ascii="Times New Roman" w:eastAsia="Calibri" w:hAnsi="Times New Roman" w:cs="Times New Roman"/>
          <w:sz w:val="24"/>
          <w:szCs w:val="24"/>
        </w:rPr>
        <w:t xml:space="preserve"> </w:t>
      </w:r>
      <w:r w:rsidRPr="00655494">
        <w:rPr>
          <w:rFonts w:ascii="Times New Roman" w:eastAsia="Calibri" w:hAnsi="Times New Roman" w:cs="Times New Roman"/>
          <w:sz w:val="24"/>
          <w:szCs w:val="24"/>
        </w:rPr>
        <w:t>1 prioriteto „Mokslinių tyrimų, eksperimentinės plėtros ir inovacijų skatinimas“</w:t>
      </w:r>
      <w:r w:rsidR="00AC1F8D">
        <w:rPr>
          <w:rFonts w:ascii="Times New Roman" w:eastAsia="Calibri" w:hAnsi="Times New Roman" w:cs="Times New Roman"/>
          <w:sz w:val="24"/>
          <w:szCs w:val="24"/>
        </w:rPr>
        <w:t xml:space="preserve"> priemonės Nr. 01.2.2-CPVA-K-703 „Kompetencijos centrų ir inovacijų ir technologijų perdavimo centrų veiklos skatinimas</w:t>
      </w:r>
      <w:r w:rsidRPr="00655494">
        <w:rPr>
          <w:rFonts w:ascii="Times New Roman" w:eastAsia="Calibri" w:hAnsi="Times New Roman" w:cs="Times New Roman"/>
          <w:sz w:val="24"/>
          <w:szCs w:val="24"/>
        </w:rPr>
        <w:t>“ projektų finansavimo sąlygų aprašo Nr. 1</w:t>
      </w:r>
    </w:p>
    <w:p w:rsidR="00655494" w:rsidRPr="00655494" w:rsidRDefault="00655494" w:rsidP="00726872">
      <w:pPr>
        <w:spacing w:after="0" w:line="240" w:lineRule="auto"/>
        <w:ind w:left="7371" w:firstLine="405"/>
        <w:jc w:val="both"/>
        <w:rPr>
          <w:rFonts w:ascii="Times New Roman" w:eastAsia="Calibri" w:hAnsi="Times New Roman" w:cs="Times New Roman"/>
          <w:b/>
          <w:bCs/>
          <w:sz w:val="24"/>
        </w:rPr>
      </w:pPr>
      <w:r w:rsidRPr="00655494">
        <w:rPr>
          <w:rFonts w:ascii="Times New Roman" w:eastAsia="Calibri" w:hAnsi="Times New Roman" w:cs="Times New Roman"/>
          <w:sz w:val="24"/>
        </w:rPr>
        <w:t>2 priedas</w:t>
      </w:r>
    </w:p>
    <w:tbl>
      <w:tblPr>
        <w:tblW w:w="14940" w:type="dxa"/>
        <w:tblInd w:w="108" w:type="dxa"/>
        <w:tblLayout w:type="fixed"/>
        <w:tblLook w:val="0000" w:firstRow="0" w:lastRow="0" w:firstColumn="0" w:lastColumn="0" w:noHBand="0" w:noVBand="0"/>
      </w:tblPr>
      <w:tblGrid>
        <w:gridCol w:w="14940"/>
      </w:tblGrid>
      <w:tr w:rsidR="00655494" w:rsidRPr="00655494" w:rsidTr="000265C2">
        <w:trPr>
          <w:trHeight w:val="20"/>
        </w:trPr>
        <w:tc>
          <w:tcPr>
            <w:tcW w:w="14940" w:type="dxa"/>
            <w:tcBorders>
              <w:top w:val="nil"/>
              <w:left w:val="nil"/>
              <w:right w:val="nil"/>
            </w:tcBorders>
          </w:tcPr>
          <w:p w:rsidR="00655494" w:rsidRPr="00655494" w:rsidRDefault="00655494" w:rsidP="00655494">
            <w:pPr>
              <w:spacing w:after="0" w:line="276" w:lineRule="auto"/>
              <w:jc w:val="center"/>
              <w:rPr>
                <w:rFonts w:ascii="Times New Roman" w:eastAsia="Calibri" w:hAnsi="Times New Roman" w:cs="Times New Roman"/>
                <w:b/>
                <w:bCs/>
                <w:caps/>
                <w:sz w:val="24"/>
                <w:szCs w:val="24"/>
              </w:rPr>
            </w:pPr>
          </w:p>
          <w:p w:rsidR="00655494" w:rsidRPr="00655494" w:rsidRDefault="00655494" w:rsidP="00655494">
            <w:pPr>
              <w:spacing w:after="0" w:line="276"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PROJEKTO Naudos ir kokybės vertinimo LENTELĖ</w:t>
            </w:r>
          </w:p>
          <w:p w:rsidR="00655494" w:rsidRPr="00655494"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Paraiškos kodas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i/>
                      <w:sz w:val="24"/>
                      <w:szCs w:val="24"/>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Pareiškėjo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Projekto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Projektą planuojama įgyvendinti: </w:t>
                  </w:r>
                  <w:r w:rsidRPr="00655494">
                    <w:rPr>
                      <w:rFonts w:ascii="Times New Roman" w:eastAsia="Calibri" w:hAnsi="Times New Roman" w:cs="Times New Roman"/>
                      <w:i/>
                      <w:sz w:val="24"/>
                      <w:szCs w:val="24"/>
                    </w:rPr>
                    <w:t>Pažymima projekto naudos ir kokybės vertinimo metu.</w:t>
                  </w: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su partneriu (-iais)              </w:t>
                  </w:r>
                  <w:r w:rsidRPr="00655494">
                    <w:rPr>
                      <w:rFonts w:ascii="Times New Roman" w:eastAsia="Calibri" w:hAnsi="Times New Roman" w:cs="Times New Roman"/>
                      <w:b/>
                      <w:bCs/>
                      <w:sz w:val="24"/>
                      <w:szCs w:val="24"/>
                      <w:lang w:eastAsia="lt-LT"/>
                    </w:rPr>
                    <w:t> be partnerio (-ių)</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PIRMINĖ               </w:t>
                  </w:r>
                  <w:r w:rsidRPr="00655494">
                    <w:rPr>
                      <w:rFonts w:ascii="Times New Roman" w:eastAsia="Calibri" w:hAnsi="Times New Roman" w:cs="Times New Roman"/>
                      <w:b/>
                      <w:bCs/>
                      <w:sz w:val="24"/>
                      <w:szCs w:val="24"/>
                      <w:lang w:eastAsia="lt-LT"/>
                    </w:rPr>
                    <w:t>PATIKSLINTA</w:t>
                  </w:r>
                </w:p>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bCs/>
                      <w:i/>
                      <w:sz w:val="24"/>
                      <w:szCs w:val="24"/>
                      <w:lang w:eastAsia="lt-LT"/>
                    </w:rPr>
                    <w:t>(Žymima „Patikslinta“ tais atvejais, kai ši lentelė tikslinama po to, kai paraiška grąžinama pakartotiniam vertinimui.)</w:t>
                  </w:r>
                </w:p>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i/>
                      <w:sz w:val="24"/>
                      <w:szCs w:val="24"/>
                    </w:rPr>
                    <w:t>Pildoma projekto naudos ir kokybės vertinimo metu.</w:t>
                  </w:r>
                </w:p>
              </w:tc>
            </w:tr>
          </w:tbl>
          <w:p w:rsidR="00655494" w:rsidRDefault="00655494" w:rsidP="00655494">
            <w:pPr>
              <w:spacing w:after="0" w:line="276" w:lineRule="auto"/>
              <w:ind w:right="373"/>
              <w:rPr>
                <w:rFonts w:ascii="Times New Roman" w:eastAsia="Calibri" w:hAnsi="Times New Roman" w:cs="Times New Roman"/>
                <w:b/>
                <w:sz w:val="24"/>
                <w:szCs w:val="24"/>
              </w:rPr>
            </w:pPr>
          </w:p>
          <w:p w:rsidR="006C7CA2" w:rsidRPr="00655494" w:rsidRDefault="006C7CA2"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1984"/>
              <w:gridCol w:w="1701"/>
              <w:gridCol w:w="1843"/>
            </w:tblGrid>
            <w:tr w:rsidR="00655494" w:rsidRPr="00655494" w:rsidTr="000265C2">
              <w:trPr>
                <w:trHeight w:val="276"/>
              </w:trPr>
              <w:tc>
                <w:tcPr>
                  <w:tcW w:w="3006"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Prioritetinis projektų atrankos kriterijaus  (toliau – kriterijus) pavadinimas</w:t>
                  </w:r>
                </w:p>
              </w:tc>
              <w:tc>
                <w:tcPr>
                  <w:tcW w:w="6271"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 xml:space="preserve">Kriterijaus vertinimo aspektai ir paaiškinimai </w:t>
                  </w:r>
                </w:p>
                <w:p w:rsidR="00655494" w:rsidRPr="00655494" w:rsidRDefault="00655494" w:rsidP="00655494">
                  <w:pPr>
                    <w:keepNext/>
                    <w:spacing w:after="0" w:line="240" w:lineRule="auto"/>
                    <w:jc w:val="center"/>
                    <w:rPr>
                      <w:rFonts w:ascii="Times New Roman" w:eastAsia="Calibri" w:hAnsi="Times New Roman" w:cs="Times New Roman"/>
                      <w:b/>
                      <w:bCs/>
                      <w:i/>
                      <w:caps/>
                      <w:sz w:val="24"/>
                      <w:szCs w:val="24"/>
                    </w:rPr>
                  </w:pPr>
                </w:p>
              </w:tc>
              <w:tc>
                <w:tcPr>
                  <w:tcW w:w="1984"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Vertinimo metu suteiktų balų skaičius</w:t>
                  </w:r>
                </w:p>
              </w:tc>
              <w:tc>
                <w:tcPr>
                  <w:tcW w:w="1843"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Komentarai</w:t>
                  </w:r>
                </w:p>
              </w:tc>
            </w:tr>
            <w:tr w:rsidR="00655494" w:rsidRPr="00655494" w:rsidTr="000265C2">
              <w:trPr>
                <w:trHeight w:val="276"/>
              </w:trPr>
              <w:tc>
                <w:tcPr>
                  <w:tcW w:w="3006" w:type="dxa"/>
                  <w:vMerge/>
                  <w:shd w:val="clear" w:color="auto" w:fill="auto"/>
                </w:tcPr>
                <w:p w:rsidR="00655494" w:rsidRPr="00655494" w:rsidRDefault="00655494" w:rsidP="00655494">
                  <w:pPr>
                    <w:spacing w:after="0" w:line="240" w:lineRule="auto"/>
                    <w:rPr>
                      <w:rFonts w:ascii="Times New Roman" w:eastAsia="Calibri" w:hAnsi="Times New Roman" w:cs="Times New Roman"/>
                      <w:b/>
                      <w:bCs/>
                      <w:caps/>
                      <w:sz w:val="24"/>
                      <w:szCs w:val="24"/>
                    </w:rPr>
                  </w:pPr>
                </w:p>
              </w:tc>
              <w:tc>
                <w:tcPr>
                  <w:tcW w:w="6271"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Cs/>
                      <w:i/>
                      <w:caps/>
                      <w:sz w:val="24"/>
                      <w:szCs w:val="24"/>
                    </w:rPr>
                  </w:pPr>
                </w:p>
              </w:tc>
              <w:tc>
                <w:tcPr>
                  <w:tcW w:w="1984"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c>
                <w:tcPr>
                  <w:tcW w:w="1843"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rsidTr="000265C2">
              <w:tc>
                <w:tcPr>
                  <w:tcW w:w="3006" w:type="dxa"/>
                  <w:shd w:val="clear" w:color="auto" w:fill="auto"/>
                </w:tcPr>
                <w:p w:rsidR="00655494" w:rsidRPr="00655494" w:rsidRDefault="00655494" w:rsidP="00D05767">
                  <w:pPr>
                    <w:spacing w:after="0" w:line="240" w:lineRule="auto"/>
                    <w:jc w:val="both"/>
                    <w:rPr>
                      <w:rFonts w:ascii="Times New Roman" w:eastAsia="Calibri" w:hAnsi="Times New Roman" w:cs="Times New Roman"/>
                      <w:b/>
                      <w:bCs/>
                      <w:caps/>
                      <w:sz w:val="24"/>
                      <w:szCs w:val="24"/>
                    </w:rPr>
                  </w:pPr>
                  <w:r w:rsidRPr="00655494">
                    <w:rPr>
                      <w:rFonts w:ascii="Times New Roman" w:eastAsia="Times New Roman" w:hAnsi="Times New Roman" w:cs="Times New Roman"/>
                      <w:b/>
                      <w:bCs/>
                      <w:sz w:val="24"/>
                      <w:szCs w:val="24"/>
                      <w:lang w:eastAsia="lt-LT"/>
                    </w:rPr>
                    <w:t xml:space="preserve">1. </w:t>
                  </w:r>
                  <w:r w:rsidR="00D05767" w:rsidRPr="00D05767">
                    <w:rPr>
                      <w:rFonts w:ascii="Times New Roman" w:eastAsia="Times New Roman" w:hAnsi="Times New Roman" w:cs="Times New Roman"/>
                      <w:b/>
                      <w:bCs/>
                      <w:sz w:val="24"/>
                      <w:szCs w:val="24"/>
                      <w:lang w:eastAsia="lt-LT"/>
                    </w:rPr>
                    <w:t xml:space="preserve">Pareiškėjo ir partnerių patirtį, vykdant MTEP veiklą, dalyvaujant tarptautinėse MTEP programose, bendradarbiaujant su verslu atspindintys </w:t>
                  </w:r>
                  <w:r w:rsidR="00D05767" w:rsidRPr="00D05767">
                    <w:rPr>
                      <w:rFonts w:ascii="Times New Roman" w:eastAsia="Times New Roman" w:hAnsi="Times New Roman" w:cs="Times New Roman"/>
                      <w:b/>
                      <w:bCs/>
                      <w:sz w:val="24"/>
                      <w:szCs w:val="24"/>
                      <w:lang w:eastAsia="lt-LT"/>
                    </w:rPr>
                    <w:lastRenderedPageBreak/>
                    <w:t>rezultatai, atitinkantys veiksmų planų teminį specifiškumą.</w:t>
                  </w:r>
                </w:p>
              </w:tc>
              <w:tc>
                <w:tcPr>
                  <w:tcW w:w="6271" w:type="dxa"/>
                  <w:shd w:val="clear" w:color="auto" w:fill="auto"/>
                </w:tcPr>
                <w:p w:rsidR="009E73C5" w:rsidRDefault="009E73C5"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E73C5">
                    <w:rPr>
                      <w:rFonts w:ascii="Times New Roman" w:eastAsia="Times New Roman" w:hAnsi="Times New Roman" w:cs="Times New Roman"/>
                      <w:bCs/>
                      <w:sz w:val="24"/>
                      <w:szCs w:val="24"/>
                      <w:lang w:eastAsia="lt-LT"/>
                    </w:rPr>
                    <w:lastRenderedPageBreak/>
                    <w:t xml:space="preserve">Vertinami pareiškėjo ir partnerio mokslo darbų vertinimo rezultatai MTEP srityse, atitinkančiose bent vieną kurio nors prioriteto veiksmų plane nustatytą teminį specifiškumą, vadovaujantis paskutiniais turimais Lietuvos mokslo tarybos duomenimis, gautais atliekant mokslo ir studijų institucijų mokslo (meno) darbų vertinimą, vadovaujantis Lietuvos Respublikos valstybės biudžeto lėšų moksliniams tyrimams, </w:t>
                  </w:r>
                  <w:r w:rsidRPr="009E73C5">
                    <w:rPr>
                      <w:rFonts w:ascii="Times New Roman" w:eastAsia="Times New Roman" w:hAnsi="Times New Roman" w:cs="Times New Roman"/>
                      <w:bCs/>
                      <w:sz w:val="24"/>
                      <w:szCs w:val="24"/>
                      <w:lang w:eastAsia="lt-LT"/>
                    </w:rPr>
                    <w:lastRenderedPageBreak/>
                    <w:t xml:space="preserve">eksperimentinei (socialinei, kultūrinei) plėtrai ir meno veiklai plėtoti valstybinėms mokslo ir studijų institucijoms skyrimo tvarkos aprašu, patvirtintu Lietuvos Respublikos Vyriausybės 2009 m. birželio 17 d. nutarimu Nr. 597, Mokslo ir studijų institucijų mokslo (meno) darbų vertinimo metodika, patvirtinta Lietuvos Respublikos švietimo ir mokslo ministro 2010 </w:t>
                  </w:r>
                  <w:r>
                    <w:rPr>
                      <w:rFonts w:ascii="Times New Roman" w:eastAsia="Times New Roman" w:hAnsi="Times New Roman" w:cs="Times New Roman"/>
                      <w:bCs/>
                      <w:sz w:val="24"/>
                      <w:szCs w:val="24"/>
                      <w:lang w:eastAsia="lt-LT"/>
                    </w:rPr>
                    <w:t xml:space="preserve">m. liepos 10 d. įsakymu </w:t>
                  </w:r>
                  <w:r w:rsidRPr="009E73C5">
                    <w:rPr>
                      <w:rFonts w:ascii="Times New Roman" w:eastAsia="Times New Roman" w:hAnsi="Times New Roman" w:cs="Times New Roman"/>
                      <w:bCs/>
                      <w:sz w:val="24"/>
                      <w:szCs w:val="24"/>
                      <w:lang w:eastAsia="lt-LT"/>
                    </w:rPr>
                    <w:t>Nr. V-1128 (2015 m. vasario 5 d. įsakymo Nr. V-79 redakcija) ir Lietuvos mokslo ir studijų institucijų mokslo (meno) darbų ekspertinio vertinimo reglamentu, patvirtintu Lietuvos mokslo tarybos pirmininko 2011 m. lapkričio 28 d. įsakymu Nr. V-200 (2015 m. balandžio 17 d. įsakymo Nr. V-85 redakcija). Vertinamas Lietuvos mokslo tarybos organizuoto ekspertinio vertinimo suminis įvertis, didesnį balų skaičių suteikiant tiems pareiškėjams, kurių suminis įvertis yra didesnis.</w:t>
                  </w:r>
                  <w:r w:rsidR="00275886">
                    <w:rPr>
                      <w:rFonts w:ascii="Times New Roman" w:eastAsia="Times New Roman" w:hAnsi="Times New Roman" w:cs="Times New Roman"/>
                      <w:bCs/>
                      <w:sz w:val="24"/>
                      <w:szCs w:val="24"/>
                      <w:lang w:eastAsia="lt-LT"/>
                    </w:rPr>
                    <w:t xml:space="preserve"> Pagal šį vertinimo aspektą </w:t>
                  </w:r>
                  <w:r w:rsidR="00275886" w:rsidRPr="00275886">
                    <w:rPr>
                      <w:rFonts w:ascii="Times New Roman" w:eastAsia="Times New Roman" w:hAnsi="Times New Roman" w:cs="Times New Roman"/>
                      <w:bCs/>
                      <w:sz w:val="24"/>
                      <w:szCs w:val="24"/>
                      <w:lang w:eastAsia="lt-LT"/>
                    </w:rPr>
                    <w:t>Projektui gali būti skiriama 30 balų</w:t>
                  </w:r>
                  <w:r w:rsidR="00275886">
                    <w:rPr>
                      <w:rFonts w:ascii="Times New Roman" w:eastAsia="Times New Roman" w:hAnsi="Times New Roman" w:cs="Times New Roman"/>
                      <w:bCs/>
                      <w:sz w:val="24"/>
                      <w:szCs w:val="24"/>
                      <w:lang w:eastAsia="lt-LT"/>
                    </w:rPr>
                    <w:t>.</w:t>
                  </w:r>
                </w:p>
                <w:p w:rsidR="00275886" w:rsidRPr="009E73C5" w:rsidRDefault="00275886"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EF0860">
                    <w:rPr>
                      <w:rFonts w:ascii="Times New Roman" w:eastAsia="Calibri" w:hAnsi="Times New Roman" w:cs="Times New Roman"/>
                      <w:sz w:val="24"/>
                      <w:szCs w:val="24"/>
                      <w:lang w:eastAsia="lt-LT"/>
                    </w:rPr>
                    <w:t xml:space="preserve">Projektai suranguojami nuo </w:t>
                  </w:r>
                  <w:r>
                    <w:rPr>
                      <w:rFonts w:ascii="Times New Roman" w:eastAsia="Calibri" w:hAnsi="Times New Roman" w:cs="Times New Roman"/>
                      <w:sz w:val="24"/>
                      <w:szCs w:val="24"/>
                      <w:lang w:eastAsia="lt-LT"/>
                    </w:rPr>
                    <w:t xml:space="preserve">didžiausio iki mažiausio pagal </w:t>
                  </w:r>
                  <w:r w:rsidRPr="009E73C5">
                    <w:rPr>
                      <w:rFonts w:ascii="Times New Roman" w:eastAsia="Times New Roman" w:hAnsi="Times New Roman" w:cs="Times New Roman"/>
                      <w:bCs/>
                      <w:sz w:val="24"/>
                      <w:szCs w:val="24"/>
                      <w:lang w:eastAsia="lt-LT"/>
                    </w:rPr>
                    <w:t>Lietuvos mokslo tarybos organizuo</w:t>
                  </w:r>
                  <w:r>
                    <w:rPr>
                      <w:rFonts w:ascii="Times New Roman" w:eastAsia="Times New Roman" w:hAnsi="Times New Roman" w:cs="Times New Roman"/>
                      <w:bCs/>
                      <w:sz w:val="24"/>
                      <w:szCs w:val="24"/>
                      <w:lang w:eastAsia="lt-LT"/>
                    </w:rPr>
                    <w:t>to ekspertinio vertinimo suminį įvertį</w:t>
                  </w:r>
                  <w:r>
                    <w:rPr>
                      <w:rFonts w:ascii="Times New Roman" w:eastAsia="Calibri" w:hAnsi="Times New Roman" w:cs="Times New Roman"/>
                      <w:sz w:val="24"/>
                      <w:szCs w:val="24"/>
                      <w:lang w:eastAsia="lt-LT"/>
                    </w:rPr>
                    <w:t>. 10 procentų projektų, kuriuose yra didžiausias</w:t>
                  </w:r>
                  <w:r>
                    <w:t xml:space="preserve"> </w:t>
                  </w:r>
                  <w:r w:rsidRPr="00275886">
                    <w:rPr>
                      <w:rFonts w:ascii="Times New Roman" w:eastAsia="Calibri" w:hAnsi="Times New Roman" w:cs="Times New Roman"/>
                      <w:sz w:val="24"/>
                      <w:szCs w:val="24"/>
                      <w:lang w:eastAsia="lt-LT"/>
                    </w:rPr>
                    <w:t>Lietuvos mokslo tarybos organizu</w:t>
                  </w:r>
                  <w:r>
                    <w:rPr>
                      <w:rFonts w:ascii="Times New Roman" w:eastAsia="Calibri" w:hAnsi="Times New Roman" w:cs="Times New Roman"/>
                      <w:sz w:val="24"/>
                      <w:szCs w:val="24"/>
                      <w:lang w:eastAsia="lt-LT"/>
                    </w:rPr>
                    <w:t>oto ekspertinio vertinimo suminis įvertis, vertinami 30</w:t>
                  </w:r>
                  <w:r w:rsidRPr="00EF0860">
                    <w:rPr>
                      <w:rFonts w:ascii="Times New Roman" w:eastAsia="Calibri" w:hAnsi="Times New Roman" w:cs="Times New Roman"/>
                      <w:sz w:val="24"/>
                      <w:szCs w:val="24"/>
                      <w:lang w:eastAsia="lt-LT"/>
                    </w:rPr>
                    <w:t xml:space="preserve"> balų. Į kiekvieną kitą 10 procentų intervalą patenkantys </w:t>
                  </w:r>
                  <w:r>
                    <w:rPr>
                      <w:rFonts w:ascii="Times New Roman" w:eastAsia="Calibri" w:hAnsi="Times New Roman" w:cs="Times New Roman"/>
                      <w:sz w:val="24"/>
                      <w:szCs w:val="24"/>
                      <w:lang w:eastAsia="lt-LT"/>
                    </w:rPr>
                    <w:t>mažesnį</w:t>
                  </w:r>
                  <w:r>
                    <w:t xml:space="preserve"> </w:t>
                  </w:r>
                  <w:r w:rsidRPr="009E73C5">
                    <w:rPr>
                      <w:rFonts w:ascii="Times New Roman" w:eastAsia="Times New Roman" w:hAnsi="Times New Roman" w:cs="Times New Roman"/>
                      <w:bCs/>
                      <w:sz w:val="24"/>
                      <w:szCs w:val="24"/>
                      <w:lang w:eastAsia="lt-LT"/>
                    </w:rPr>
                    <w:t>Lietuvos mokslo tarybos organizuo</w:t>
                  </w:r>
                  <w:r>
                    <w:rPr>
                      <w:rFonts w:ascii="Times New Roman" w:eastAsia="Times New Roman" w:hAnsi="Times New Roman" w:cs="Times New Roman"/>
                      <w:bCs/>
                      <w:sz w:val="24"/>
                      <w:szCs w:val="24"/>
                      <w:lang w:eastAsia="lt-LT"/>
                    </w:rPr>
                    <w:t>to ekspertinio vertinimo suminį įvertį</w:t>
                  </w:r>
                  <w:r w:rsidRPr="004911C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turintys projektai vertinami suteikiant 3 balais mažesnį įvertinimą.</w:t>
                  </w:r>
                </w:p>
                <w:p w:rsidR="009E73C5" w:rsidRPr="009E73C5" w:rsidRDefault="009E73C5"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E73C5">
                    <w:rPr>
                      <w:rFonts w:ascii="Times New Roman" w:eastAsia="Times New Roman" w:hAnsi="Times New Roman" w:cs="Times New Roman"/>
                      <w:bCs/>
                      <w:sz w:val="24"/>
                      <w:szCs w:val="24"/>
                      <w:lang w:eastAsia="lt-LT"/>
                    </w:rPr>
                    <w:t>Taip pat vertinama ši pareiškėjo paskutinių 2 metų (skaičiuojant nuo paraiškos padavimo datos) veikla MTEP srityse, atitinkančiose bent vieną kurio nors prioriteto veiksmų plane nustatytą teminį specifiškumą</w:t>
                  </w:r>
                  <w:r w:rsidR="00275886">
                    <w:rPr>
                      <w:rFonts w:ascii="Times New Roman" w:eastAsia="Times New Roman" w:hAnsi="Times New Roman" w:cs="Times New Roman"/>
                      <w:bCs/>
                      <w:sz w:val="24"/>
                      <w:szCs w:val="24"/>
                      <w:lang w:eastAsia="lt-LT"/>
                    </w:rPr>
                    <w:t xml:space="preserve">. </w:t>
                  </w:r>
                  <w:r w:rsidR="00275886" w:rsidRPr="00275886">
                    <w:rPr>
                      <w:rFonts w:ascii="Times New Roman" w:eastAsia="Times New Roman" w:hAnsi="Times New Roman" w:cs="Times New Roman"/>
                      <w:bCs/>
                      <w:sz w:val="24"/>
                      <w:szCs w:val="24"/>
                      <w:lang w:eastAsia="lt-LT"/>
                    </w:rPr>
                    <w:t>Pagal šį vertinimo aspektą</w:t>
                  </w:r>
                  <w:r w:rsidR="00275886">
                    <w:rPr>
                      <w:rFonts w:ascii="Times New Roman" w:eastAsia="Times New Roman" w:hAnsi="Times New Roman" w:cs="Times New Roman"/>
                      <w:bCs/>
                      <w:sz w:val="24"/>
                      <w:szCs w:val="24"/>
                      <w:lang w:eastAsia="lt-LT"/>
                    </w:rPr>
                    <w:t xml:space="preserve"> Projektui gali būti skiriama 2</w:t>
                  </w:r>
                  <w:r w:rsidR="00275886" w:rsidRPr="00275886">
                    <w:rPr>
                      <w:rFonts w:ascii="Times New Roman" w:eastAsia="Times New Roman" w:hAnsi="Times New Roman" w:cs="Times New Roman"/>
                      <w:bCs/>
                      <w:sz w:val="24"/>
                      <w:szCs w:val="24"/>
                      <w:lang w:eastAsia="lt-LT"/>
                    </w:rPr>
                    <w:t>0 balų</w:t>
                  </w:r>
                  <w:r w:rsidRPr="009E73C5">
                    <w:rPr>
                      <w:rFonts w:ascii="Times New Roman" w:eastAsia="Times New Roman" w:hAnsi="Times New Roman" w:cs="Times New Roman"/>
                      <w:bCs/>
                      <w:sz w:val="24"/>
                      <w:szCs w:val="24"/>
                      <w:lang w:eastAsia="lt-LT"/>
                    </w:rPr>
                    <w:t>:</w:t>
                  </w:r>
                </w:p>
                <w:p w:rsidR="009E73C5" w:rsidRPr="009E73C5" w:rsidRDefault="009E73C5"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E73C5">
                    <w:rPr>
                      <w:rFonts w:ascii="Times New Roman" w:eastAsia="Times New Roman" w:hAnsi="Times New Roman" w:cs="Times New Roman"/>
                      <w:bCs/>
                      <w:sz w:val="24"/>
                      <w:szCs w:val="24"/>
                      <w:lang w:eastAsia="lt-LT"/>
                    </w:rPr>
                    <w:t>1. Pateiktos patentinės paraiškos Europos patentų biurui (EPO), JAV patentų ir prekių ženklų biurui (USPTO) ar Japonijos patentų biurui (JPO)</w:t>
                  </w:r>
                  <w:r w:rsidR="00275886">
                    <w:rPr>
                      <w:rFonts w:ascii="Times New Roman" w:eastAsia="Times New Roman" w:hAnsi="Times New Roman" w:cs="Times New Roman"/>
                      <w:bCs/>
                      <w:sz w:val="24"/>
                      <w:szCs w:val="24"/>
                      <w:lang w:eastAsia="lt-LT"/>
                    </w:rPr>
                    <w:t>.</w:t>
                  </w:r>
                  <w:r w:rsidR="00275886">
                    <w:t xml:space="preserve"> </w:t>
                  </w:r>
                  <w:r w:rsidR="00275886" w:rsidRPr="00275886">
                    <w:rPr>
                      <w:rFonts w:ascii="Times New Roman" w:eastAsia="Times New Roman" w:hAnsi="Times New Roman" w:cs="Times New Roman"/>
                      <w:bCs/>
                      <w:sz w:val="24"/>
                      <w:szCs w:val="24"/>
                      <w:lang w:eastAsia="lt-LT"/>
                    </w:rPr>
                    <w:t>Vertinimo skalė:</w:t>
                  </w:r>
                  <w:r w:rsidR="00275886">
                    <w:rPr>
                      <w:rFonts w:ascii="Times New Roman" w:eastAsia="Times New Roman" w:hAnsi="Times New Roman" w:cs="Times New Roman"/>
                      <w:bCs/>
                      <w:sz w:val="24"/>
                      <w:szCs w:val="24"/>
                      <w:lang w:eastAsia="lt-LT"/>
                    </w:rPr>
                    <w:t xml:space="preserve"> 1 paraiška – 1 balas, 2 paraiškos – 2 balai; 3 paraiškos – 3 balai; 4 paraiškos – 4 balai; 5 ir daugiau paraiškų – 5 balai;</w:t>
                  </w:r>
                </w:p>
                <w:p w:rsidR="009E73C5" w:rsidRPr="009E73C5" w:rsidRDefault="009E73C5"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E73C5">
                    <w:rPr>
                      <w:rFonts w:ascii="Times New Roman" w:eastAsia="Times New Roman" w:hAnsi="Times New Roman" w:cs="Times New Roman"/>
                      <w:bCs/>
                      <w:sz w:val="24"/>
                      <w:szCs w:val="24"/>
                      <w:lang w:eastAsia="lt-LT"/>
                    </w:rPr>
                    <w:t>2. Sukurtų ir rinkai pateiktų produktų, paslaugų skaičius</w:t>
                  </w:r>
                  <w:r w:rsidR="0023656C">
                    <w:rPr>
                      <w:rFonts w:ascii="Times New Roman" w:eastAsia="Times New Roman" w:hAnsi="Times New Roman" w:cs="Times New Roman"/>
                      <w:bCs/>
                      <w:sz w:val="24"/>
                      <w:szCs w:val="24"/>
                      <w:lang w:eastAsia="lt-LT"/>
                    </w:rPr>
                    <w:t xml:space="preserve">. </w:t>
                  </w:r>
                  <w:r w:rsidR="0023656C" w:rsidRPr="0023656C">
                    <w:rPr>
                      <w:rFonts w:ascii="Times New Roman" w:eastAsia="Times New Roman" w:hAnsi="Times New Roman" w:cs="Times New Roman"/>
                      <w:bCs/>
                      <w:sz w:val="24"/>
                      <w:szCs w:val="24"/>
                      <w:lang w:eastAsia="lt-LT"/>
                    </w:rPr>
                    <w:t xml:space="preserve">Vertinimo skalė: 1 </w:t>
                  </w:r>
                  <w:r w:rsidR="0023656C">
                    <w:rPr>
                      <w:rFonts w:ascii="Times New Roman" w:eastAsia="Times New Roman" w:hAnsi="Times New Roman" w:cs="Times New Roman"/>
                      <w:bCs/>
                      <w:sz w:val="24"/>
                      <w:szCs w:val="24"/>
                      <w:lang w:eastAsia="lt-LT"/>
                    </w:rPr>
                    <w:t>produktas arba paslauga</w:t>
                  </w:r>
                  <w:r w:rsidR="0023656C" w:rsidRPr="0023656C">
                    <w:rPr>
                      <w:rFonts w:ascii="Times New Roman" w:eastAsia="Times New Roman" w:hAnsi="Times New Roman" w:cs="Times New Roman"/>
                      <w:bCs/>
                      <w:sz w:val="24"/>
                      <w:szCs w:val="24"/>
                      <w:lang w:eastAsia="lt-LT"/>
                    </w:rPr>
                    <w:t xml:space="preserve"> – 1 balas, 2 produkta</w:t>
                  </w:r>
                  <w:r w:rsidR="0023656C">
                    <w:rPr>
                      <w:rFonts w:ascii="Times New Roman" w:eastAsia="Times New Roman" w:hAnsi="Times New Roman" w:cs="Times New Roman"/>
                      <w:bCs/>
                      <w:sz w:val="24"/>
                      <w:szCs w:val="24"/>
                      <w:lang w:eastAsia="lt-LT"/>
                    </w:rPr>
                    <w:t>i ir (arba) paslaugos</w:t>
                  </w:r>
                  <w:r w:rsidR="0023656C" w:rsidRPr="0023656C">
                    <w:rPr>
                      <w:rFonts w:ascii="Times New Roman" w:eastAsia="Times New Roman" w:hAnsi="Times New Roman" w:cs="Times New Roman"/>
                      <w:bCs/>
                      <w:sz w:val="24"/>
                      <w:szCs w:val="24"/>
                      <w:lang w:eastAsia="lt-LT"/>
                    </w:rPr>
                    <w:t xml:space="preserve"> – 2 balai; 3 produktai ir (arba) paslaugos – 3 balai; 4 produktai ir (arba) paslaugos – 4 balai; 5 ir daugiau </w:t>
                  </w:r>
                  <w:r w:rsidR="0023656C">
                    <w:rPr>
                      <w:rFonts w:ascii="Times New Roman" w:eastAsia="Times New Roman" w:hAnsi="Times New Roman" w:cs="Times New Roman"/>
                      <w:bCs/>
                      <w:sz w:val="24"/>
                      <w:szCs w:val="24"/>
                      <w:lang w:eastAsia="lt-LT"/>
                    </w:rPr>
                    <w:t>produktų ir (arba) paslaugų</w:t>
                  </w:r>
                  <w:r w:rsidR="0023656C" w:rsidRPr="0023656C">
                    <w:rPr>
                      <w:rFonts w:ascii="Times New Roman" w:eastAsia="Times New Roman" w:hAnsi="Times New Roman" w:cs="Times New Roman"/>
                      <w:bCs/>
                      <w:sz w:val="24"/>
                      <w:szCs w:val="24"/>
                      <w:lang w:eastAsia="lt-LT"/>
                    </w:rPr>
                    <w:t xml:space="preserve"> – 5 balai;</w:t>
                  </w:r>
                </w:p>
                <w:p w:rsidR="009E73C5" w:rsidRPr="009E73C5" w:rsidRDefault="009E73C5"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E73C5">
                    <w:rPr>
                      <w:rFonts w:ascii="Times New Roman" w:eastAsia="Times New Roman" w:hAnsi="Times New Roman" w:cs="Times New Roman"/>
                      <w:bCs/>
                      <w:sz w:val="24"/>
                      <w:szCs w:val="24"/>
                      <w:lang w:eastAsia="lt-LT"/>
                    </w:rPr>
                    <w:lastRenderedPageBreak/>
                    <w:t>3. Susikūrusių naujų žinioms imlių įmonių (angl. spin-off) skaičius</w:t>
                  </w:r>
                  <w:r w:rsidR="0023656C">
                    <w:rPr>
                      <w:rFonts w:ascii="Times New Roman" w:eastAsia="Times New Roman" w:hAnsi="Times New Roman" w:cs="Times New Roman"/>
                      <w:bCs/>
                      <w:sz w:val="24"/>
                      <w:szCs w:val="24"/>
                      <w:lang w:eastAsia="lt-LT"/>
                    </w:rPr>
                    <w:t xml:space="preserve">. </w:t>
                  </w:r>
                  <w:r w:rsidR="0023656C">
                    <w:t xml:space="preserve"> </w:t>
                  </w:r>
                  <w:r w:rsidR="0023656C" w:rsidRPr="0023656C">
                    <w:rPr>
                      <w:rFonts w:ascii="Times New Roman" w:eastAsia="Times New Roman" w:hAnsi="Times New Roman" w:cs="Times New Roman"/>
                      <w:bCs/>
                      <w:sz w:val="24"/>
                      <w:szCs w:val="24"/>
                      <w:lang w:eastAsia="lt-LT"/>
                    </w:rPr>
                    <w:t xml:space="preserve">Vertinimo skalė: 1 </w:t>
                  </w:r>
                  <w:r w:rsidR="0023656C">
                    <w:rPr>
                      <w:rFonts w:ascii="Times New Roman" w:eastAsia="Times New Roman" w:hAnsi="Times New Roman" w:cs="Times New Roman"/>
                      <w:bCs/>
                      <w:sz w:val="24"/>
                      <w:szCs w:val="24"/>
                      <w:lang w:eastAsia="lt-LT"/>
                    </w:rPr>
                    <w:t>įmonė</w:t>
                  </w:r>
                  <w:r w:rsidR="0023656C" w:rsidRPr="0023656C">
                    <w:rPr>
                      <w:rFonts w:ascii="Times New Roman" w:eastAsia="Times New Roman" w:hAnsi="Times New Roman" w:cs="Times New Roman"/>
                      <w:bCs/>
                      <w:sz w:val="24"/>
                      <w:szCs w:val="24"/>
                      <w:lang w:eastAsia="lt-LT"/>
                    </w:rPr>
                    <w:t xml:space="preserve"> – 1 balas, 2 </w:t>
                  </w:r>
                  <w:r w:rsidR="0023656C">
                    <w:rPr>
                      <w:rFonts w:ascii="Times New Roman" w:eastAsia="Times New Roman" w:hAnsi="Times New Roman" w:cs="Times New Roman"/>
                      <w:bCs/>
                      <w:sz w:val="24"/>
                      <w:szCs w:val="24"/>
                      <w:lang w:eastAsia="lt-LT"/>
                    </w:rPr>
                    <w:t>įmonės</w:t>
                  </w:r>
                  <w:r w:rsidR="0023656C" w:rsidRPr="0023656C">
                    <w:rPr>
                      <w:rFonts w:ascii="Times New Roman" w:eastAsia="Times New Roman" w:hAnsi="Times New Roman" w:cs="Times New Roman"/>
                      <w:bCs/>
                      <w:sz w:val="24"/>
                      <w:szCs w:val="24"/>
                      <w:lang w:eastAsia="lt-LT"/>
                    </w:rPr>
                    <w:t xml:space="preserve"> – 2 balai; 3 įmonės – 3 balai; 4 įmonės – 4 balai; 5 ir daugiau </w:t>
                  </w:r>
                  <w:r w:rsidR="0023656C">
                    <w:rPr>
                      <w:rFonts w:ascii="Times New Roman" w:eastAsia="Times New Roman" w:hAnsi="Times New Roman" w:cs="Times New Roman"/>
                      <w:bCs/>
                      <w:sz w:val="24"/>
                      <w:szCs w:val="24"/>
                      <w:lang w:eastAsia="lt-LT"/>
                    </w:rPr>
                    <w:t xml:space="preserve">įmonių </w:t>
                  </w:r>
                  <w:r w:rsidR="0023656C" w:rsidRPr="0023656C">
                    <w:rPr>
                      <w:rFonts w:ascii="Times New Roman" w:eastAsia="Times New Roman" w:hAnsi="Times New Roman" w:cs="Times New Roman"/>
                      <w:bCs/>
                      <w:sz w:val="24"/>
                      <w:szCs w:val="24"/>
                      <w:lang w:eastAsia="lt-LT"/>
                    </w:rPr>
                    <w:t>– 5 balai;</w:t>
                  </w:r>
                </w:p>
                <w:p w:rsidR="0023656C" w:rsidRDefault="009E73C5"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E73C5">
                    <w:rPr>
                      <w:rFonts w:ascii="Times New Roman" w:eastAsia="Times New Roman" w:hAnsi="Times New Roman" w:cs="Times New Roman"/>
                      <w:bCs/>
                      <w:sz w:val="24"/>
                      <w:szCs w:val="24"/>
                      <w:lang w:eastAsia="lt-LT"/>
                    </w:rPr>
                    <w:t>4. Kitos bendros veiklos su verslo įmonėmis (išskyrus ūkio subjektų taikomųjų mokslinių tyrimų užsakymus) sutarčių skaičius ir jų finansinė vertė.</w:t>
                  </w:r>
                  <w:r w:rsidR="0023656C">
                    <w:t xml:space="preserve"> </w:t>
                  </w:r>
                  <w:r w:rsidR="0023656C" w:rsidRPr="0023656C">
                    <w:rPr>
                      <w:rFonts w:ascii="Times New Roman" w:eastAsia="Times New Roman" w:hAnsi="Times New Roman" w:cs="Times New Roman"/>
                      <w:bCs/>
                      <w:sz w:val="24"/>
                      <w:szCs w:val="24"/>
                      <w:lang w:eastAsia="lt-LT"/>
                    </w:rPr>
                    <w:t>Vertinimo skalė</w:t>
                  </w:r>
                  <w:r w:rsidR="0023656C">
                    <w:rPr>
                      <w:rFonts w:ascii="Times New Roman" w:eastAsia="Times New Roman" w:hAnsi="Times New Roman" w:cs="Times New Roman"/>
                      <w:bCs/>
                      <w:sz w:val="24"/>
                      <w:szCs w:val="24"/>
                      <w:lang w:eastAsia="lt-LT"/>
                    </w:rPr>
                    <w:t>s</w:t>
                  </w:r>
                  <w:r w:rsidR="0023656C" w:rsidRPr="0023656C">
                    <w:rPr>
                      <w:rFonts w:ascii="Times New Roman" w:eastAsia="Times New Roman" w:hAnsi="Times New Roman" w:cs="Times New Roman"/>
                      <w:bCs/>
                      <w:sz w:val="24"/>
                      <w:szCs w:val="24"/>
                      <w:lang w:eastAsia="lt-LT"/>
                    </w:rPr>
                    <w:t xml:space="preserve">: </w:t>
                  </w:r>
                </w:p>
                <w:p w:rsidR="0023656C" w:rsidRDefault="0023656C"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iki 5</w:t>
                  </w:r>
                  <w:r w:rsidRPr="0023656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sutarčių</w:t>
                  </w:r>
                  <w:r w:rsidRPr="0023656C">
                    <w:rPr>
                      <w:rFonts w:ascii="Times New Roman" w:eastAsia="Times New Roman" w:hAnsi="Times New Roman" w:cs="Times New Roman"/>
                      <w:bCs/>
                      <w:sz w:val="24"/>
                      <w:szCs w:val="24"/>
                      <w:lang w:eastAsia="lt-LT"/>
                    </w:rPr>
                    <w:t xml:space="preserve"> – 1 balas, </w:t>
                  </w:r>
                  <w:r>
                    <w:rPr>
                      <w:rFonts w:ascii="Times New Roman" w:eastAsia="Times New Roman" w:hAnsi="Times New Roman" w:cs="Times New Roman"/>
                      <w:bCs/>
                      <w:sz w:val="24"/>
                      <w:szCs w:val="24"/>
                      <w:lang w:eastAsia="lt-LT"/>
                    </w:rPr>
                    <w:t>5 ir daugiau sutarčių</w:t>
                  </w:r>
                  <w:r w:rsidRPr="0023656C">
                    <w:rPr>
                      <w:rFonts w:ascii="Times New Roman" w:eastAsia="Times New Roman" w:hAnsi="Times New Roman" w:cs="Times New Roman"/>
                      <w:bCs/>
                      <w:sz w:val="24"/>
                      <w:szCs w:val="24"/>
                      <w:lang w:eastAsia="lt-LT"/>
                    </w:rPr>
                    <w:t xml:space="preserve"> – 2 balai;</w:t>
                  </w:r>
                </w:p>
                <w:p w:rsidR="009E73C5" w:rsidRPr="009E73C5" w:rsidRDefault="0023656C"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sutarčių kurių suminė finansinė yra nuo 100 000 eurų iki 200 000 eurų – 1 balas, </w:t>
                  </w:r>
                  <w:r w:rsidRPr="0023656C">
                    <w:rPr>
                      <w:rFonts w:ascii="Times New Roman" w:eastAsia="Times New Roman" w:hAnsi="Times New Roman" w:cs="Times New Roman"/>
                      <w:bCs/>
                      <w:sz w:val="24"/>
                      <w:szCs w:val="24"/>
                      <w:lang w:eastAsia="lt-LT"/>
                    </w:rPr>
                    <w:t xml:space="preserve"> sutarčių kurių suminė fina</w:t>
                  </w:r>
                  <w:r>
                    <w:rPr>
                      <w:rFonts w:ascii="Times New Roman" w:eastAsia="Times New Roman" w:hAnsi="Times New Roman" w:cs="Times New Roman"/>
                      <w:bCs/>
                      <w:sz w:val="24"/>
                      <w:szCs w:val="24"/>
                      <w:lang w:eastAsia="lt-LT"/>
                    </w:rPr>
                    <w:t>nsinė yra nuo 100 001 eurų iki 500 000 eurų – 2 balai</w:t>
                  </w:r>
                  <w:r w:rsidRPr="0023656C">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Pr="0023656C">
                    <w:rPr>
                      <w:rFonts w:ascii="Times New Roman" w:eastAsia="Times New Roman" w:hAnsi="Times New Roman" w:cs="Times New Roman"/>
                      <w:bCs/>
                      <w:sz w:val="24"/>
                      <w:szCs w:val="24"/>
                      <w:lang w:eastAsia="lt-LT"/>
                    </w:rPr>
                    <w:t xml:space="preserve">sutarčių </w:t>
                  </w:r>
                  <w:r>
                    <w:rPr>
                      <w:rFonts w:ascii="Times New Roman" w:eastAsia="Times New Roman" w:hAnsi="Times New Roman" w:cs="Times New Roman"/>
                      <w:bCs/>
                      <w:sz w:val="24"/>
                      <w:szCs w:val="24"/>
                      <w:lang w:eastAsia="lt-LT"/>
                    </w:rPr>
                    <w:t>kurių suminė finansinė yra didesnė nei 500 000</w:t>
                  </w:r>
                  <w:r w:rsidRPr="0023656C">
                    <w:rPr>
                      <w:rFonts w:ascii="Times New Roman" w:eastAsia="Times New Roman" w:hAnsi="Times New Roman" w:cs="Times New Roman"/>
                      <w:bCs/>
                      <w:sz w:val="24"/>
                      <w:szCs w:val="24"/>
                      <w:lang w:eastAsia="lt-LT"/>
                    </w:rPr>
                    <w:t xml:space="preserve"> eurų</w:t>
                  </w:r>
                  <w:r>
                    <w:rPr>
                      <w:rFonts w:ascii="Times New Roman" w:eastAsia="Times New Roman" w:hAnsi="Times New Roman" w:cs="Times New Roman"/>
                      <w:bCs/>
                      <w:sz w:val="24"/>
                      <w:szCs w:val="24"/>
                      <w:lang w:eastAsia="lt-LT"/>
                    </w:rPr>
                    <w:t xml:space="preserve"> – 3</w:t>
                  </w:r>
                  <w:r w:rsidRPr="0023656C">
                    <w:rPr>
                      <w:rFonts w:ascii="Times New Roman" w:eastAsia="Times New Roman" w:hAnsi="Times New Roman" w:cs="Times New Roman"/>
                      <w:bCs/>
                      <w:sz w:val="24"/>
                      <w:szCs w:val="24"/>
                      <w:lang w:eastAsia="lt-LT"/>
                    </w:rPr>
                    <w:t xml:space="preserve"> balai</w:t>
                  </w:r>
                  <w:r>
                    <w:rPr>
                      <w:rFonts w:ascii="Times New Roman" w:eastAsia="Times New Roman" w:hAnsi="Times New Roman" w:cs="Times New Roman"/>
                      <w:bCs/>
                      <w:sz w:val="24"/>
                      <w:szCs w:val="24"/>
                      <w:lang w:eastAsia="lt-LT"/>
                    </w:rPr>
                    <w:t>.</w:t>
                  </w:r>
                </w:p>
                <w:p w:rsidR="00484138" w:rsidRDefault="009E73C5"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9E73C5">
                    <w:rPr>
                      <w:rFonts w:ascii="Times New Roman" w:eastAsia="Times New Roman" w:hAnsi="Times New Roman" w:cs="Times New Roman"/>
                      <w:bCs/>
                      <w:sz w:val="24"/>
                      <w:szCs w:val="24"/>
                      <w:lang w:eastAsia="lt-LT"/>
                    </w:rPr>
                    <w:t>Didesnis balų skaičius suteikiamas tiems pareiškėjams, kurių MTEP veiklos rezultatai yra aukštesni pagal nurodytus kriterijus.</w:t>
                  </w:r>
                  <w:r w:rsidR="0023656C">
                    <w:rPr>
                      <w:rFonts w:ascii="Times New Roman" w:eastAsia="Times New Roman" w:hAnsi="Times New Roman" w:cs="Times New Roman"/>
                      <w:bCs/>
                      <w:sz w:val="24"/>
                      <w:szCs w:val="24"/>
                      <w:lang w:eastAsia="lt-LT"/>
                    </w:rPr>
                    <w:t xml:space="preserve"> Balai sumuojami.</w:t>
                  </w:r>
                </w:p>
                <w:p w:rsidR="006C7CA2" w:rsidRPr="00655494" w:rsidRDefault="006C7CA2" w:rsidP="009E73C5">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c>
                <w:tcPr>
                  <w:tcW w:w="1984" w:type="dxa"/>
                  <w:shd w:val="clear" w:color="auto" w:fill="auto"/>
                </w:tcPr>
                <w:p w:rsidR="00655494" w:rsidRPr="00655494" w:rsidRDefault="009E73C5"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50</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3006" w:type="dxa"/>
                  <w:shd w:val="clear" w:color="auto" w:fill="auto"/>
                </w:tcPr>
                <w:p w:rsidR="00D05767" w:rsidRPr="00655494" w:rsidRDefault="00655494" w:rsidP="00D05767">
                  <w:pPr>
                    <w:spacing w:after="0" w:line="240" w:lineRule="auto"/>
                    <w:jc w:val="both"/>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lastRenderedPageBreak/>
                    <w:t xml:space="preserve">2. </w:t>
                  </w:r>
                  <w:r w:rsidR="009E73C5">
                    <w:rPr>
                      <w:rFonts w:ascii="Times New Roman" w:eastAsia="Calibri" w:hAnsi="Times New Roman" w:cs="Times New Roman"/>
                      <w:b/>
                      <w:bCs/>
                      <w:caps/>
                      <w:sz w:val="24"/>
                      <w:szCs w:val="24"/>
                    </w:rPr>
                    <w:t>P</w:t>
                  </w:r>
                  <w:r w:rsidR="009E73C5" w:rsidRPr="009E73C5">
                    <w:rPr>
                      <w:rFonts w:ascii="Times New Roman" w:eastAsia="Calibri" w:hAnsi="Times New Roman" w:cs="Times New Roman"/>
                      <w:b/>
                      <w:bCs/>
                      <w:sz w:val="24"/>
                      <w:szCs w:val="24"/>
                    </w:rPr>
                    <w:t>areiškėjų ir (arba) par</w:t>
                  </w:r>
                  <w:r w:rsidR="009E73C5">
                    <w:rPr>
                      <w:rFonts w:ascii="Times New Roman" w:eastAsia="Calibri" w:hAnsi="Times New Roman" w:cs="Times New Roman"/>
                      <w:b/>
                      <w:bCs/>
                      <w:sz w:val="24"/>
                      <w:szCs w:val="24"/>
                    </w:rPr>
                    <w:t>tnerių galimybės komercinti MTEP</w:t>
                  </w:r>
                  <w:r w:rsidR="009E73C5" w:rsidRPr="009E73C5">
                    <w:rPr>
                      <w:rFonts w:ascii="Times New Roman" w:eastAsia="Calibri" w:hAnsi="Times New Roman" w:cs="Times New Roman"/>
                      <w:b/>
                      <w:bCs/>
                      <w:sz w:val="24"/>
                      <w:szCs w:val="24"/>
                    </w:rPr>
                    <w:t xml:space="preserve"> veiklos rezultatus, kurie gali būti sukurti įgyvendinant projektą.</w:t>
                  </w:r>
                </w:p>
              </w:tc>
              <w:tc>
                <w:tcPr>
                  <w:tcW w:w="6271" w:type="dxa"/>
                  <w:shd w:val="clear" w:color="auto" w:fill="auto"/>
                </w:tcPr>
                <w:p w:rsidR="009E73C5" w:rsidRPr="009E73C5" w:rsidRDefault="009E73C5" w:rsidP="009E73C5">
                  <w:pPr>
                    <w:widowControl w:val="0"/>
                    <w:adjustRightInd w:val="0"/>
                    <w:spacing w:after="0" w:line="240" w:lineRule="auto"/>
                    <w:jc w:val="both"/>
                    <w:textAlignment w:val="baseline"/>
                    <w:rPr>
                      <w:rFonts w:ascii="Times New Roman" w:eastAsia="Times New Roman" w:hAnsi="Times New Roman" w:cs="Times New Roman"/>
                      <w:sz w:val="24"/>
                      <w:szCs w:val="24"/>
                    </w:rPr>
                  </w:pPr>
                  <w:r w:rsidRPr="009E73C5">
                    <w:rPr>
                      <w:rFonts w:ascii="Times New Roman" w:eastAsia="Times New Roman" w:hAnsi="Times New Roman" w:cs="Times New Roman"/>
                      <w:sz w:val="24"/>
                      <w:szCs w:val="24"/>
                    </w:rPr>
                    <w:t xml:space="preserve">Vertinama ar pareiškėjas ir (arba) partneris planuoja komerciškai panaudoti MTEP veiklos rezultatus, </w:t>
                  </w:r>
                  <w:r w:rsidRPr="009E73C5">
                    <w:rPr>
                      <w:rFonts w:ascii="Times New Roman" w:eastAsia="Times New Roman" w:hAnsi="Times New Roman" w:cs="Times New Roman"/>
                      <w:bCs/>
                      <w:sz w:val="24"/>
                      <w:szCs w:val="24"/>
                      <w:lang w:eastAsia="lt-LT"/>
                    </w:rPr>
                    <w:t>kurie gali būti sukurti</w:t>
                  </w:r>
                  <w:r w:rsidRPr="009E73C5">
                    <w:rPr>
                      <w:rFonts w:ascii="Times New Roman" w:eastAsia="Times New Roman" w:hAnsi="Times New Roman" w:cs="Times New Roman"/>
                      <w:b/>
                      <w:bCs/>
                      <w:sz w:val="24"/>
                      <w:szCs w:val="24"/>
                      <w:lang w:eastAsia="lt-LT"/>
                    </w:rPr>
                    <w:t xml:space="preserve"> </w:t>
                  </w:r>
                  <w:r w:rsidRPr="009E73C5">
                    <w:rPr>
                      <w:rFonts w:ascii="Times New Roman" w:eastAsia="Times New Roman" w:hAnsi="Times New Roman" w:cs="Times New Roman"/>
                      <w:sz w:val="24"/>
                      <w:szCs w:val="24"/>
                    </w:rPr>
                    <w:t>įgyvendinant projektą, t. y.:</w:t>
                  </w:r>
                </w:p>
                <w:p w:rsidR="009201EE" w:rsidRDefault="009E73C5" w:rsidP="009E73C5">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9E73C5">
                    <w:rPr>
                      <w:rFonts w:ascii="Times New Roman" w:eastAsia="Times New Roman" w:hAnsi="Times New Roman" w:cs="Times New Roman"/>
                      <w:sz w:val="24"/>
                      <w:szCs w:val="24"/>
                    </w:rPr>
                    <w:t>1. ketina įsteigti naują žinioms imlią įmonę (angl.</w:t>
                  </w:r>
                  <w:r w:rsidRPr="009E73C5">
                    <w:rPr>
                      <w:rFonts w:ascii="Times New Roman" w:eastAsia="Times New Roman" w:hAnsi="Times New Roman" w:cs="Times New Roman"/>
                      <w:i/>
                      <w:sz w:val="24"/>
                      <w:szCs w:val="24"/>
                    </w:rPr>
                    <w:t xml:space="preserve"> spin-off</w:t>
                  </w:r>
                  <w:r w:rsidRPr="009E73C5">
                    <w:rPr>
                      <w:rFonts w:ascii="Times New Roman" w:eastAsia="Times New Roman" w:hAnsi="Times New Roman" w:cs="Times New Roman"/>
                      <w:sz w:val="24"/>
                      <w:szCs w:val="24"/>
                    </w:rPr>
                    <w:t xml:space="preserve">), kurioje bus komerciškai panaudoti projekto metu sukurti MTEP veiklos rezultatai, pateikti patentinę paraišką </w:t>
                  </w:r>
                  <w:r w:rsidRPr="009E73C5">
                    <w:rPr>
                      <w:rFonts w:ascii="Times New Roman" w:eastAsia="Times New Roman" w:hAnsi="Times New Roman" w:cs="Times New Roman"/>
                      <w:color w:val="000000"/>
                      <w:sz w:val="24"/>
                      <w:szCs w:val="24"/>
                    </w:rPr>
                    <w:t>Europos patentų biurui (</w:t>
                  </w:r>
                  <w:r w:rsidRPr="009E73C5">
                    <w:rPr>
                      <w:rFonts w:ascii="Times New Roman" w:eastAsia="Times New Roman" w:hAnsi="Times New Roman" w:cs="Times New Roman"/>
                      <w:i/>
                      <w:iCs/>
                      <w:color w:val="000000"/>
                      <w:sz w:val="24"/>
                      <w:szCs w:val="24"/>
                    </w:rPr>
                    <w:t>EPO</w:t>
                  </w:r>
                  <w:r w:rsidRPr="009E73C5">
                    <w:rPr>
                      <w:rFonts w:ascii="Times New Roman" w:eastAsia="Times New Roman" w:hAnsi="Times New Roman" w:cs="Times New Roman"/>
                      <w:color w:val="000000"/>
                      <w:sz w:val="24"/>
                      <w:szCs w:val="24"/>
                    </w:rPr>
                    <w:t>), JAV patentų ir prekių ženklų biurui (</w:t>
                  </w:r>
                  <w:r w:rsidRPr="009E73C5">
                    <w:rPr>
                      <w:rFonts w:ascii="Times New Roman" w:eastAsia="Times New Roman" w:hAnsi="Times New Roman" w:cs="Times New Roman"/>
                      <w:i/>
                      <w:iCs/>
                      <w:color w:val="000000"/>
                      <w:sz w:val="24"/>
                      <w:szCs w:val="24"/>
                    </w:rPr>
                    <w:t>USPTO</w:t>
                  </w:r>
                  <w:r w:rsidRPr="009E73C5">
                    <w:rPr>
                      <w:rFonts w:ascii="Times New Roman" w:eastAsia="Times New Roman" w:hAnsi="Times New Roman" w:cs="Times New Roman"/>
                      <w:color w:val="000000"/>
                      <w:sz w:val="24"/>
                      <w:szCs w:val="24"/>
                    </w:rPr>
                    <w:t>) ar Japonijos patentų biurui (</w:t>
                  </w:r>
                  <w:r w:rsidRPr="009E73C5">
                    <w:rPr>
                      <w:rFonts w:ascii="Times New Roman" w:eastAsia="Times New Roman" w:hAnsi="Times New Roman" w:cs="Times New Roman"/>
                      <w:i/>
                      <w:iCs/>
                      <w:color w:val="000000"/>
                      <w:sz w:val="24"/>
                      <w:szCs w:val="24"/>
                    </w:rPr>
                    <w:t>JPO</w:t>
                  </w:r>
                  <w:r w:rsidRPr="009E73C5">
                    <w:rPr>
                      <w:rFonts w:ascii="Times New Roman" w:eastAsia="Times New Roman" w:hAnsi="Times New Roman" w:cs="Times New Roman"/>
                      <w:color w:val="000000"/>
                      <w:sz w:val="24"/>
                      <w:szCs w:val="24"/>
                    </w:rPr>
                    <w:t xml:space="preserve">). </w:t>
                  </w:r>
                  <w:r w:rsidRPr="009E73C5">
                    <w:rPr>
                      <w:rFonts w:ascii="Times New Roman" w:eastAsia="Times New Roman" w:hAnsi="Times New Roman" w:cs="Times New Roman"/>
                      <w:bCs/>
                      <w:sz w:val="24"/>
                      <w:szCs w:val="24"/>
                      <w:lang w:eastAsia="lt-LT"/>
                    </w:rPr>
                    <w:t>Vertinama pagal pareiškėjo pateiktą ekonomiškai pagrįstą, potencialius vartotojus nustatančią, projekto pareiškėjui gautiną naudą analizuojančią, pelningumo prognozes pagrindžiančią, ilgalaikių perspektyvų viziją apimančią, rizikas įvertinančią projekto rezultatų komercinimo strategija, rinkos analizę ar kitą aukščiau nustatytus segmentus apimantį dokumentą, leidžiantį įvertinti, kaip sukurtas projekto rezultatas atitinka rinkos poreikius (potenciali nišinė rinka, konkurencingumas joje)</w:t>
                  </w:r>
                  <w:r w:rsidR="009201EE">
                    <w:rPr>
                      <w:rFonts w:ascii="Times New Roman" w:eastAsia="Times New Roman" w:hAnsi="Times New Roman" w:cs="Times New Roman"/>
                      <w:color w:val="000000"/>
                      <w:sz w:val="24"/>
                      <w:szCs w:val="24"/>
                    </w:rPr>
                    <w:t>.</w:t>
                  </w:r>
                </w:p>
                <w:p w:rsidR="009201EE" w:rsidRDefault="009201EE" w:rsidP="009E73C5">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Vertinimo skalės:</w:t>
                  </w:r>
                </w:p>
                <w:p w:rsidR="009E73C5" w:rsidRPr="0078569C" w:rsidRDefault="009201EE" w:rsidP="0078569C">
                  <w:pPr>
                    <w:pStyle w:val="Sraopastraipa"/>
                    <w:widowControl w:val="0"/>
                    <w:numPr>
                      <w:ilvl w:val="0"/>
                      <w:numId w:val="3"/>
                    </w:numPr>
                    <w:adjustRightInd w:val="0"/>
                    <w:spacing w:after="0" w:line="240" w:lineRule="auto"/>
                    <w:jc w:val="both"/>
                    <w:textAlignment w:val="baseline"/>
                    <w:rPr>
                      <w:rFonts w:ascii="Times New Roman" w:eastAsia="Times New Roman" w:hAnsi="Times New Roman" w:cs="Times New Roman"/>
                      <w:color w:val="000000"/>
                      <w:sz w:val="24"/>
                      <w:szCs w:val="24"/>
                    </w:rPr>
                  </w:pPr>
                  <w:r w:rsidRPr="0078569C">
                    <w:rPr>
                      <w:rFonts w:ascii="Times New Roman" w:eastAsia="Times New Roman" w:hAnsi="Times New Roman" w:cs="Times New Roman"/>
                      <w:color w:val="000000"/>
                      <w:sz w:val="24"/>
                      <w:szCs w:val="24"/>
                    </w:rPr>
                    <w:t>1 įmonė – 1 balas, 2 įmonės – 2 balai, 3 įmonės – 3 balai, 4 įmonės – 4 balai, 5 įmonės – 5 balai ir taip toliau. 15 įmonių ir daugiau – 15 balų;</w:t>
                  </w:r>
                </w:p>
                <w:p w:rsidR="009201EE" w:rsidRPr="0078569C" w:rsidRDefault="009201EE" w:rsidP="0078569C">
                  <w:pPr>
                    <w:pStyle w:val="Sraopastraipa"/>
                    <w:widowControl w:val="0"/>
                    <w:numPr>
                      <w:ilvl w:val="0"/>
                      <w:numId w:val="3"/>
                    </w:numPr>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paraiška </w:t>
                  </w:r>
                  <w:r w:rsidRPr="009E73C5">
                    <w:rPr>
                      <w:rFonts w:ascii="Times New Roman" w:eastAsia="Times New Roman" w:hAnsi="Times New Roman" w:cs="Times New Roman"/>
                      <w:color w:val="000000"/>
                      <w:sz w:val="24"/>
                      <w:szCs w:val="24"/>
                    </w:rPr>
                    <w:t>Europos patentų biurui (</w:t>
                  </w:r>
                  <w:r w:rsidRPr="009E73C5">
                    <w:rPr>
                      <w:rFonts w:ascii="Times New Roman" w:eastAsia="Times New Roman" w:hAnsi="Times New Roman" w:cs="Times New Roman"/>
                      <w:i/>
                      <w:iCs/>
                      <w:color w:val="000000"/>
                      <w:sz w:val="24"/>
                      <w:szCs w:val="24"/>
                    </w:rPr>
                    <w:t>EPO</w:t>
                  </w:r>
                  <w:r w:rsidRPr="009E73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C003F">
                    <w:rPr>
                      <w:rFonts w:ascii="Times New Roman" w:eastAsia="Times New Roman" w:hAnsi="Times New Roman" w:cs="Times New Roman"/>
                      <w:color w:val="000000"/>
                      <w:sz w:val="24"/>
                      <w:szCs w:val="24"/>
                    </w:rPr>
                    <w:t xml:space="preserve"> – 3 </w:t>
                  </w:r>
                  <w:r>
                    <w:rPr>
                      <w:rFonts w:ascii="Times New Roman" w:eastAsia="Times New Roman" w:hAnsi="Times New Roman" w:cs="Times New Roman"/>
                      <w:color w:val="000000"/>
                      <w:sz w:val="24"/>
                      <w:szCs w:val="24"/>
                    </w:rPr>
                    <w:t>balai</w:t>
                  </w:r>
                  <w:r w:rsidRPr="009E73C5">
                    <w:rPr>
                      <w:rFonts w:ascii="Times New Roman" w:eastAsia="Times New Roman" w:hAnsi="Times New Roman" w:cs="Times New Roman"/>
                      <w:color w:val="000000"/>
                      <w:sz w:val="24"/>
                      <w:szCs w:val="24"/>
                    </w:rPr>
                    <w:t xml:space="preserve">, </w:t>
                  </w:r>
                  <w:r w:rsidR="002C003F">
                    <w:rPr>
                      <w:rFonts w:ascii="Times New Roman" w:eastAsia="Times New Roman" w:hAnsi="Times New Roman" w:cs="Times New Roman"/>
                      <w:color w:val="000000"/>
                      <w:sz w:val="24"/>
                      <w:szCs w:val="24"/>
                    </w:rPr>
                    <w:t xml:space="preserve">2 paraiškos 5 balai, 3 ir daugiau paraiškų – 7 balai; 1 </w:t>
                  </w:r>
                  <w:r w:rsidR="002C003F">
                    <w:rPr>
                      <w:rFonts w:ascii="Times New Roman" w:eastAsia="Times New Roman" w:hAnsi="Times New Roman" w:cs="Times New Roman"/>
                      <w:color w:val="000000"/>
                      <w:sz w:val="24"/>
                      <w:szCs w:val="24"/>
                    </w:rPr>
                    <w:lastRenderedPageBreak/>
                    <w:t xml:space="preserve">paraiška </w:t>
                  </w:r>
                  <w:r w:rsidRPr="009E73C5">
                    <w:rPr>
                      <w:rFonts w:ascii="Times New Roman" w:eastAsia="Times New Roman" w:hAnsi="Times New Roman" w:cs="Times New Roman"/>
                      <w:color w:val="000000"/>
                      <w:sz w:val="24"/>
                      <w:szCs w:val="24"/>
                    </w:rPr>
                    <w:t>JAV patentų ir prekių ženklų biurui (</w:t>
                  </w:r>
                  <w:r w:rsidRPr="009E73C5">
                    <w:rPr>
                      <w:rFonts w:ascii="Times New Roman" w:eastAsia="Times New Roman" w:hAnsi="Times New Roman" w:cs="Times New Roman"/>
                      <w:i/>
                      <w:iCs/>
                      <w:color w:val="000000"/>
                      <w:sz w:val="24"/>
                      <w:szCs w:val="24"/>
                    </w:rPr>
                    <w:t>USPTO</w:t>
                  </w:r>
                  <w:r w:rsidRPr="009E73C5">
                    <w:rPr>
                      <w:rFonts w:ascii="Times New Roman" w:eastAsia="Times New Roman" w:hAnsi="Times New Roman" w:cs="Times New Roman"/>
                      <w:color w:val="000000"/>
                      <w:sz w:val="24"/>
                      <w:szCs w:val="24"/>
                    </w:rPr>
                    <w:t>)</w:t>
                  </w:r>
                  <w:r w:rsidR="002C003F">
                    <w:rPr>
                      <w:rFonts w:ascii="Times New Roman" w:eastAsia="Times New Roman" w:hAnsi="Times New Roman" w:cs="Times New Roman"/>
                      <w:color w:val="000000"/>
                      <w:sz w:val="24"/>
                      <w:szCs w:val="24"/>
                    </w:rPr>
                    <w:t xml:space="preserve"> – 3 balai, 2 paraiškos – 5 balai; 3 ir daugiau paraiškų – 7 balai; 1 paraiška</w:t>
                  </w:r>
                  <w:r w:rsidRPr="009E73C5">
                    <w:rPr>
                      <w:rFonts w:ascii="Times New Roman" w:eastAsia="Times New Roman" w:hAnsi="Times New Roman" w:cs="Times New Roman"/>
                      <w:color w:val="000000"/>
                      <w:sz w:val="24"/>
                      <w:szCs w:val="24"/>
                    </w:rPr>
                    <w:t xml:space="preserve"> Japonijos patentų biurui (</w:t>
                  </w:r>
                  <w:r w:rsidRPr="009E73C5">
                    <w:rPr>
                      <w:rFonts w:ascii="Times New Roman" w:eastAsia="Times New Roman" w:hAnsi="Times New Roman" w:cs="Times New Roman"/>
                      <w:i/>
                      <w:iCs/>
                      <w:color w:val="000000"/>
                      <w:sz w:val="24"/>
                      <w:szCs w:val="24"/>
                    </w:rPr>
                    <w:t>JPO</w:t>
                  </w:r>
                  <w:r w:rsidRPr="009E73C5">
                    <w:rPr>
                      <w:rFonts w:ascii="Times New Roman" w:eastAsia="Times New Roman" w:hAnsi="Times New Roman" w:cs="Times New Roman"/>
                      <w:color w:val="000000"/>
                      <w:sz w:val="24"/>
                      <w:szCs w:val="24"/>
                    </w:rPr>
                    <w:t>)</w:t>
                  </w:r>
                  <w:r w:rsidR="002C003F">
                    <w:rPr>
                      <w:rFonts w:ascii="Times New Roman" w:eastAsia="Times New Roman" w:hAnsi="Times New Roman" w:cs="Times New Roman"/>
                      <w:color w:val="000000"/>
                      <w:sz w:val="24"/>
                      <w:szCs w:val="24"/>
                    </w:rPr>
                    <w:t xml:space="preserve"> – 3 balai, 2 paraiškos – 5 balai; 3 ir daugiau paraiškų 7 valai</w:t>
                  </w:r>
                  <w:r w:rsidRPr="009E73C5">
                    <w:rPr>
                      <w:rFonts w:ascii="Times New Roman" w:eastAsia="Times New Roman" w:hAnsi="Times New Roman" w:cs="Times New Roman"/>
                      <w:color w:val="000000"/>
                      <w:sz w:val="24"/>
                      <w:szCs w:val="24"/>
                    </w:rPr>
                    <w:t>.</w:t>
                  </w:r>
                  <w:r w:rsidR="002C003F">
                    <w:rPr>
                      <w:rFonts w:ascii="Times New Roman" w:eastAsia="Times New Roman" w:hAnsi="Times New Roman" w:cs="Times New Roman"/>
                      <w:color w:val="000000"/>
                      <w:sz w:val="24"/>
                      <w:szCs w:val="24"/>
                    </w:rPr>
                    <w:t xml:space="preserve"> (balai sumuojami).</w:t>
                  </w:r>
                </w:p>
                <w:p w:rsidR="00F27F90" w:rsidRDefault="009E73C5" w:rsidP="00F27F90">
                  <w:pPr>
                    <w:widowControl w:val="0"/>
                    <w:adjustRightInd w:val="0"/>
                    <w:spacing w:after="0" w:line="240" w:lineRule="auto"/>
                    <w:jc w:val="both"/>
                    <w:textAlignment w:val="baseline"/>
                    <w:rPr>
                      <w:rFonts w:ascii="Times New Roman" w:eastAsia="Times New Roman" w:hAnsi="Times New Roman" w:cs="Times New Roman"/>
                      <w:sz w:val="24"/>
                      <w:szCs w:val="24"/>
                    </w:rPr>
                  </w:pPr>
                  <w:r w:rsidRPr="009E73C5">
                    <w:rPr>
                      <w:rFonts w:ascii="Times New Roman" w:eastAsia="Times New Roman" w:hAnsi="Times New Roman" w:cs="Times New Roman"/>
                      <w:sz w:val="24"/>
                      <w:szCs w:val="24"/>
                    </w:rPr>
                    <w:t>2. ir (arba) yra pasirašęs ketinimų protokolą, sutartį ar kitos formos įpareigojantį dokumentą su ūkio subjektu dėl MTEP veiklos rezultato, kurį planuojama sukurti projekto įgyvendinimo metu, panaudojimo.</w:t>
                  </w:r>
                  <w:r w:rsidR="002C003F">
                    <w:rPr>
                      <w:rFonts w:ascii="Times New Roman" w:eastAsia="Times New Roman" w:hAnsi="Times New Roman" w:cs="Times New Roman"/>
                      <w:sz w:val="24"/>
                      <w:szCs w:val="24"/>
                    </w:rPr>
                    <w:t xml:space="preserve"> Vertinama 9 balais.</w:t>
                  </w:r>
                </w:p>
                <w:p w:rsidR="006C7CA2" w:rsidRPr="00AC1F8D" w:rsidRDefault="006C7CA2" w:rsidP="00F27F90">
                  <w:pPr>
                    <w:widowControl w:val="0"/>
                    <w:adjustRightInd w:val="0"/>
                    <w:spacing w:after="0" w:line="240" w:lineRule="auto"/>
                    <w:jc w:val="both"/>
                    <w:textAlignment w:val="baseline"/>
                    <w:rPr>
                      <w:rFonts w:ascii="Times New Roman" w:eastAsia="Times New Roman" w:hAnsi="Times New Roman" w:cs="Times New Roman"/>
                      <w:sz w:val="24"/>
                      <w:szCs w:val="24"/>
                    </w:rPr>
                  </w:pPr>
                </w:p>
              </w:tc>
              <w:tc>
                <w:tcPr>
                  <w:tcW w:w="1984" w:type="dxa"/>
                  <w:shd w:val="clear" w:color="auto" w:fill="auto"/>
                </w:tcPr>
                <w:p w:rsidR="00655494" w:rsidRPr="00655494" w:rsidRDefault="009E73C5"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45</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3006" w:type="dxa"/>
                  <w:shd w:val="clear" w:color="auto" w:fill="auto"/>
                </w:tcPr>
                <w:p w:rsidR="00655494" w:rsidRPr="00655494" w:rsidRDefault="00D05767" w:rsidP="00655494">
                  <w:pPr>
                    <w:spacing w:after="0" w:line="240" w:lineRule="auto"/>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3</w:t>
                  </w:r>
                  <w:r w:rsidR="00655494" w:rsidRPr="00655494">
                    <w:rPr>
                      <w:rFonts w:ascii="Times New Roman" w:eastAsia="Calibri" w:hAnsi="Times New Roman" w:cs="Times New Roman"/>
                      <w:b/>
                      <w:bCs/>
                      <w:caps/>
                      <w:sz w:val="24"/>
                      <w:szCs w:val="24"/>
                    </w:rPr>
                    <w:t xml:space="preserve">. </w:t>
                  </w:r>
                  <w:r w:rsidR="00655494" w:rsidRPr="00655494">
                    <w:rPr>
                      <w:rFonts w:ascii="Times New Roman" w:eastAsia="Times New Roman" w:hAnsi="Times New Roman" w:cs="Times New Roman"/>
                      <w:b/>
                      <w:sz w:val="24"/>
                      <w:szCs w:val="24"/>
                      <w:lang w:eastAsia="lt-LT"/>
                    </w:rPr>
                    <w:t>Projektas prisideda prie bent vieno Europos Sąjungos Baltijos jūros regiono strategijos tikslo ir veiksmų plano prioritetinės srities „Inovacijos“ ir (arba) „Švietimas“ įgyvendinimo.</w:t>
                  </w:r>
                </w:p>
              </w:tc>
              <w:tc>
                <w:tcPr>
                  <w:tcW w:w="6271" w:type="dxa"/>
                  <w:shd w:val="clear" w:color="auto" w:fill="auto"/>
                </w:tcPr>
                <w:p w:rsidR="00655494" w:rsidRPr="00655494" w:rsidRDefault="00655494" w:rsidP="00655494">
                  <w:pPr>
                    <w:spacing w:after="0" w:line="240" w:lineRule="auto"/>
                    <w:jc w:val="both"/>
                    <w:rPr>
                      <w:rFonts w:ascii="Times New Roman" w:eastAsia="Times New Roman" w:hAnsi="Times New Roman" w:cs="Times New Roman"/>
                      <w:sz w:val="24"/>
                      <w:szCs w:val="24"/>
                      <w:lang w:eastAsia="lt-LT"/>
                    </w:rPr>
                  </w:pPr>
                  <w:r w:rsidRPr="00655494">
                    <w:rPr>
                      <w:rFonts w:ascii="Times New Roman" w:eastAsia="Times New Roman" w:hAnsi="Times New Roman" w:cs="Times New Roman"/>
                      <w:sz w:val="24"/>
                      <w:szCs w:val="24"/>
                      <w:lang w:eastAsia="lt-LT"/>
                    </w:rPr>
                    <w:t>Papildomai skatinami tie projektai, kurie prisideda prie bent vieno Europos Sąjungos Baltijos jūros regiono strategijos (toliau – ES BJRS) tikslo ir veiksmų plano prioritetinės srities „Inovacijos“ ir (arba) „Švietimas“ įgyvendinimo.</w:t>
                  </w:r>
                </w:p>
                <w:p w:rsidR="00655494" w:rsidRPr="00655494" w:rsidRDefault="00655494" w:rsidP="00655494">
                  <w:pPr>
                    <w:spacing w:after="0" w:line="240" w:lineRule="auto"/>
                    <w:jc w:val="both"/>
                    <w:rPr>
                      <w:rFonts w:ascii="Times New Roman" w:eastAsia="Calibri" w:hAnsi="Times New Roman" w:cs="Times New Roman"/>
                      <w:sz w:val="24"/>
                      <w:szCs w:val="24"/>
                      <w:lang w:eastAsia="lt-LT"/>
                    </w:rPr>
                  </w:pPr>
                  <w:r w:rsidRPr="00655494">
                    <w:rPr>
                      <w:rFonts w:ascii="Times New Roman" w:eastAsia="Calibri" w:hAnsi="Times New Roman" w:cs="Times New Roman"/>
                      <w:sz w:val="24"/>
                      <w:szCs w:val="24"/>
                      <w:lang w:eastAsia="lt-LT"/>
                    </w:rPr>
                    <w:t>Jeigu projektas prisideda prie bent vieno ES BJRS tikslo ir veiksmų plano prioritetinės srities „Inovacijos“ ir (arba) „Švietimas“ įgyvendinimo, skiriami 5 balai, priešingu atveju skiriama 0 balų.</w:t>
                  </w:r>
                </w:p>
                <w:p w:rsidR="00655494" w:rsidRDefault="00655494" w:rsidP="00655494">
                  <w:pPr>
                    <w:spacing w:after="0" w:line="240" w:lineRule="auto"/>
                    <w:jc w:val="both"/>
                    <w:rPr>
                      <w:rFonts w:ascii="Times New Roman" w:eastAsia="Calibri" w:hAnsi="Times New Roman" w:cs="Times New Roman"/>
                      <w:color w:val="000000"/>
                      <w:sz w:val="24"/>
                      <w:szCs w:val="24"/>
                      <w:u w:val="single"/>
                    </w:rPr>
                  </w:pPr>
                  <w:r w:rsidRPr="00655494">
                    <w:rPr>
                      <w:rFonts w:ascii="Times New Roman" w:eastAsia="Calibri" w:hAnsi="Times New Roman" w:cs="Times New Roman"/>
                      <w:sz w:val="24"/>
                      <w:szCs w:val="24"/>
                    </w:rPr>
                    <w:t xml:space="preserve">ES BJRS patvirtinta </w:t>
                  </w:r>
                  <w:r w:rsidRPr="00655494">
                    <w:rPr>
                      <w:rFonts w:ascii="Times New Roman" w:eastAsia="Calibri" w:hAnsi="Times New Roman" w:cs="Times New Roman"/>
                      <w:color w:val="000000"/>
                      <w:sz w:val="24"/>
                      <w:szCs w:val="24"/>
                    </w:rPr>
                    <w:t xml:space="preserve">Europos Komisijos (toliau – EK) 2009 m. birželio 10 d. komunikatu Nr. COM(2009) 248 final ir skelbiama EK svetainėje adresu </w:t>
                  </w:r>
                  <w:hyperlink r:id="rId5" w:anchor="1" w:history="1">
                    <w:r w:rsidRPr="00655494">
                      <w:rPr>
                        <w:rFonts w:ascii="Times New Roman" w:eastAsia="Calibri" w:hAnsi="Times New Roman" w:cs="Times New Roman"/>
                        <w:color w:val="000000"/>
                        <w:sz w:val="24"/>
                        <w:szCs w:val="24"/>
                        <w:u w:val="single"/>
                      </w:rPr>
                      <w:t>http://ec.europa.eu/regional_policy/lt/policy/cooperation/macro-regional-strategies/baltic-sea/library/#1</w:t>
                    </w:r>
                  </w:hyperlink>
                  <w:r w:rsidRPr="00655494">
                    <w:rPr>
                      <w:rFonts w:ascii="Times New Roman" w:eastAsia="Calibri" w:hAnsi="Times New Roman" w:cs="Times New Roman"/>
                      <w:sz w:val="24"/>
                      <w:szCs w:val="24"/>
                    </w:rPr>
                    <w:t xml:space="preserve">, ES BJRS veiksmų planas, </w:t>
                  </w:r>
                  <w:r w:rsidRPr="00655494">
                    <w:rPr>
                      <w:rFonts w:ascii="Times New Roman" w:eastAsia="Calibri" w:hAnsi="Times New Roman" w:cs="Times New Roman"/>
                      <w:iCs/>
                      <w:sz w:val="24"/>
                      <w:szCs w:val="24"/>
                    </w:rPr>
                    <w:t>patvirtintas EK 2015 m. rugsėjo 10 d. sprendimu Nr. SWD(2015)177 final ir</w:t>
                  </w:r>
                  <w:r w:rsidRPr="00655494">
                    <w:rPr>
                      <w:rFonts w:ascii="Times New Roman" w:eastAsia="Calibri" w:hAnsi="Times New Roman" w:cs="Times New Roman"/>
                      <w:bCs/>
                      <w:sz w:val="24"/>
                      <w:szCs w:val="24"/>
                      <w:lang w:eastAsia="lt-LT"/>
                    </w:rPr>
                    <w:t xml:space="preserve"> skelbiamas </w:t>
                  </w:r>
                  <w:r w:rsidRPr="00655494">
                    <w:rPr>
                      <w:rFonts w:ascii="Times New Roman" w:eastAsia="Calibri" w:hAnsi="Times New Roman" w:cs="Times New Roman"/>
                      <w:color w:val="000000"/>
                      <w:sz w:val="24"/>
                      <w:szCs w:val="24"/>
                    </w:rPr>
                    <w:t xml:space="preserve">EK svetainėje </w:t>
                  </w:r>
                  <w:r w:rsidRPr="00655494">
                    <w:rPr>
                      <w:rFonts w:ascii="Times New Roman" w:eastAsia="Calibri" w:hAnsi="Times New Roman" w:cs="Times New Roman"/>
                      <w:bCs/>
                      <w:sz w:val="24"/>
                      <w:szCs w:val="24"/>
                      <w:lang w:eastAsia="lt-LT"/>
                    </w:rPr>
                    <w:t xml:space="preserve">adresu </w:t>
                  </w:r>
                  <w:hyperlink r:id="rId6" w:anchor="1" w:history="1">
                    <w:r w:rsidRPr="00655494">
                      <w:rPr>
                        <w:rFonts w:ascii="Times New Roman" w:eastAsia="Calibri" w:hAnsi="Times New Roman" w:cs="Times New Roman"/>
                        <w:color w:val="000000"/>
                        <w:sz w:val="24"/>
                        <w:szCs w:val="24"/>
                        <w:u w:val="single"/>
                      </w:rPr>
                      <w:t>http://ec.europa.eu/regional_policy/lt/policy/cooperation/macro-regional-strategies/baltic-sea/library/#1</w:t>
                    </w:r>
                  </w:hyperlink>
                </w:p>
                <w:p w:rsidR="006C7CA2" w:rsidRPr="00655494" w:rsidRDefault="006C7CA2" w:rsidP="00655494">
                  <w:pPr>
                    <w:spacing w:after="0" w:line="240" w:lineRule="auto"/>
                    <w:jc w:val="both"/>
                    <w:rPr>
                      <w:rFonts w:ascii="Times New Roman" w:eastAsia="Calibri" w:hAnsi="Times New Roman" w:cs="Times New Roman"/>
                      <w:sz w:val="24"/>
                      <w:szCs w:val="24"/>
                    </w:rPr>
                  </w:pPr>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caps/>
                      <w:sz w:val="24"/>
                      <w:szCs w:val="24"/>
                      <w:highlight w:val="yellow"/>
                    </w:rPr>
                  </w:pPr>
                  <w:r w:rsidRPr="00655494">
                    <w:rPr>
                      <w:rFonts w:ascii="Times New Roman" w:eastAsia="Calibri" w:hAnsi="Times New Roman" w:cs="Times New Roman"/>
                      <w:bCs/>
                      <w:caps/>
                      <w:sz w:val="24"/>
                      <w:szCs w:val="24"/>
                    </w:rPr>
                    <w:t>5</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9277" w:type="dxa"/>
                  <w:gridSpan w:val="2"/>
                  <w:shd w:val="clear" w:color="auto" w:fill="auto"/>
                </w:tcPr>
                <w:p w:rsidR="00655494" w:rsidRPr="00655494" w:rsidRDefault="00655494" w:rsidP="00655494">
                  <w:pPr>
                    <w:spacing w:after="0" w:line="240" w:lineRule="auto"/>
                    <w:jc w:val="right"/>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Suma</w:t>
                  </w:r>
                  <w:r w:rsidRPr="00655494">
                    <w:rPr>
                      <w:rFonts w:ascii="Times New Roman" w:eastAsia="Calibri" w:hAnsi="Times New Roman" w:cs="Times New Roman"/>
                      <w:b/>
                      <w:bCs/>
                      <w:caps/>
                      <w:sz w:val="24"/>
                      <w:szCs w:val="24"/>
                    </w:rPr>
                    <w:t>:</w:t>
                  </w:r>
                </w:p>
              </w:tc>
              <w:tc>
                <w:tcPr>
                  <w:tcW w:w="1984" w:type="dxa"/>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highlight w:val="yellow"/>
                    </w:rPr>
                  </w:pPr>
                  <w:r w:rsidRPr="00655494">
                    <w:rPr>
                      <w:rFonts w:ascii="Times New Roman" w:eastAsia="Calibri" w:hAnsi="Times New Roman" w:cs="Times New Roman"/>
                      <w:b/>
                      <w:bCs/>
                      <w:caps/>
                      <w:sz w:val="24"/>
                      <w:szCs w:val="24"/>
                    </w:rPr>
                    <w:t>100</w:t>
                  </w:r>
                </w:p>
              </w:tc>
              <w:tc>
                <w:tcPr>
                  <w:tcW w:w="1701" w:type="dxa"/>
                  <w:shd w:val="clear" w:color="auto" w:fill="auto"/>
                </w:tcPr>
                <w:p w:rsidR="00655494" w:rsidRPr="00655494" w:rsidRDefault="00655494" w:rsidP="00655494">
                  <w:pPr>
                    <w:spacing w:after="0" w:line="240" w:lineRule="auto"/>
                    <w:ind w:left="-57" w:right="-57"/>
                    <w:rPr>
                      <w:rFonts w:ascii="Times New Roman" w:eastAsia="Calibri" w:hAnsi="Times New Roman" w:cs="Times New Roman"/>
                      <w:bCs/>
                      <w:i/>
                      <w:sz w:val="24"/>
                      <w:szCs w:val="24"/>
                    </w:rPr>
                  </w:pPr>
                </w:p>
              </w:tc>
              <w:tc>
                <w:tcPr>
                  <w:tcW w:w="1843" w:type="dxa"/>
                  <w:shd w:val="clear" w:color="auto" w:fill="BFBFBF"/>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rsidTr="000265C2">
              <w:tc>
                <w:tcPr>
                  <w:tcW w:w="9277" w:type="dxa"/>
                  <w:gridSpan w:val="2"/>
                  <w:shd w:val="clear" w:color="auto" w:fill="auto"/>
                </w:tcPr>
                <w:p w:rsidR="00655494" w:rsidRPr="00655494" w:rsidRDefault="00655494" w:rsidP="00655494">
                  <w:pPr>
                    <w:spacing w:after="0" w:line="240" w:lineRule="auto"/>
                    <w:jc w:val="right"/>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Minimali privaloma surinkti balų suma:</w:t>
                  </w:r>
                </w:p>
              </w:tc>
              <w:tc>
                <w:tcPr>
                  <w:tcW w:w="1984" w:type="dxa"/>
                  <w:shd w:val="clear" w:color="auto" w:fill="auto"/>
                </w:tcPr>
                <w:p w:rsidR="00655494" w:rsidRPr="00655494" w:rsidRDefault="002C003F" w:rsidP="00655494">
                  <w:pPr>
                    <w:spacing w:after="0" w:line="240" w:lineRule="auto"/>
                    <w:jc w:val="center"/>
                    <w:rPr>
                      <w:rFonts w:ascii="Times New Roman" w:eastAsia="Calibri" w:hAnsi="Times New Roman" w:cs="Times New Roman"/>
                      <w:b/>
                      <w:bCs/>
                      <w:caps/>
                      <w:sz w:val="24"/>
                      <w:szCs w:val="24"/>
                      <w:highlight w:val="yellow"/>
                    </w:rPr>
                  </w:pPr>
                  <w:r w:rsidRPr="0078569C">
                    <w:rPr>
                      <w:rFonts w:ascii="Times New Roman" w:eastAsia="Calibri" w:hAnsi="Times New Roman" w:cs="Times New Roman"/>
                      <w:b/>
                      <w:bCs/>
                      <w:caps/>
                      <w:sz w:val="24"/>
                      <w:szCs w:val="24"/>
                    </w:rPr>
                    <w:t>5</w:t>
                  </w:r>
                  <w:r w:rsidR="0078569C" w:rsidRPr="0078569C">
                    <w:rPr>
                      <w:rFonts w:ascii="Times New Roman" w:eastAsia="Calibri" w:hAnsi="Times New Roman" w:cs="Times New Roman"/>
                      <w:b/>
                      <w:bCs/>
                      <w:caps/>
                      <w:sz w:val="24"/>
                      <w:szCs w:val="24"/>
                    </w:rPr>
                    <w:t>1</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BFBFBF"/>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bl>
          <w:p w:rsidR="00655494" w:rsidRPr="00655494" w:rsidRDefault="00655494" w:rsidP="00655494">
            <w:pPr>
              <w:spacing w:after="200" w:line="276" w:lineRule="auto"/>
              <w:jc w:val="center"/>
              <w:rPr>
                <w:rFonts w:ascii="Times New Roman" w:eastAsia="Calibri" w:hAnsi="Times New Roman" w:cs="Times New Roman"/>
                <w:caps/>
                <w:sz w:val="24"/>
                <w:szCs w:val="24"/>
              </w:rPr>
            </w:pPr>
          </w:p>
        </w:tc>
      </w:tr>
    </w:tbl>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p>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r w:rsidRPr="00655494">
        <w:rPr>
          <w:rFonts w:ascii="Times New Roman" w:eastAsia="Calibri" w:hAnsi="Times New Roman" w:cs="Times New Roman"/>
        </w:rPr>
        <w:t>____________________________________                                     ______________________</w:t>
      </w:r>
      <w:r w:rsidRPr="00655494">
        <w:rPr>
          <w:rFonts w:ascii="Times New Roman" w:eastAsia="Calibri" w:hAnsi="Times New Roman" w:cs="Times New Roman"/>
        </w:rPr>
        <w:tab/>
        <w:t xml:space="preserve">  ___________________________</w:t>
      </w:r>
    </w:p>
    <w:p w:rsidR="00655494" w:rsidRPr="00655494" w:rsidRDefault="00655494" w:rsidP="00655494">
      <w:pPr>
        <w:tabs>
          <w:tab w:val="center" w:pos="10800"/>
        </w:tabs>
        <w:spacing w:after="0" w:line="240" w:lineRule="auto"/>
        <w:ind w:left="426"/>
        <w:jc w:val="both"/>
        <w:rPr>
          <w:rFonts w:ascii="Times New Roman" w:eastAsia="Calibri" w:hAnsi="Times New Roman" w:cs="Times New Roman"/>
        </w:rPr>
      </w:pPr>
      <w:r w:rsidRPr="00655494">
        <w:rPr>
          <w:rFonts w:ascii="Times New Roman" w:eastAsia="Calibri" w:hAnsi="Times New Roman" w:cs="Times New Roman"/>
        </w:rPr>
        <w:lastRenderedPageBreak/>
        <w:t xml:space="preserve">(paraiškos vertinimą atlikusios institucijos atsakingo </w:t>
      </w:r>
    </w:p>
    <w:p w:rsidR="00A9102F" w:rsidRDefault="00655494" w:rsidP="00655494">
      <w:r w:rsidRPr="00655494">
        <w:rPr>
          <w:rFonts w:ascii="Times New Roman" w:eastAsia="Calibri" w:hAnsi="Times New Roman" w:cs="Times New Roman"/>
        </w:rPr>
        <w:t xml:space="preserve">asmens pareigų pavadinimas)                                                                              (data) </w:t>
      </w:r>
      <w:r w:rsidRPr="00655494">
        <w:rPr>
          <w:rFonts w:ascii="Times New Roman" w:eastAsia="Calibri" w:hAnsi="Times New Roman" w:cs="Times New Roman"/>
        </w:rPr>
        <w:tab/>
        <w:t xml:space="preserve">        </w:t>
      </w:r>
      <w:r>
        <w:rPr>
          <w:rFonts w:ascii="Times New Roman" w:eastAsia="Calibri" w:hAnsi="Times New Roman" w:cs="Times New Roman"/>
        </w:rPr>
        <w:t xml:space="preserve">             </w:t>
      </w:r>
      <w:r w:rsidRPr="00655494">
        <w:rPr>
          <w:rFonts w:ascii="Times New Roman" w:eastAsia="Calibri" w:hAnsi="Times New Roman" w:cs="Times New Roman"/>
        </w:rPr>
        <w:t>(vardas ir pavardė, parašas</w:t>
      </w:r>
      <w:r>
        <w:rPr>
          <w:rFonts w:ascii="Times New Roman" w:eastAsia="Calibri" w:hAnsi="Times New Roman" w:cs="Times New Roman"/>
        </w:rPr>
        <w:t xml:space="preserve">, jei pildoma popierinė </w:t>
      </w:r>
      <w:r w:rsidRPr="00655494">
        <w:rPr>
          <w:rFonts w:ascii="Times New Roman" w:eastAsia="Calibri" w:hAnsi="Times New Roman" w:cs="Times New Roman"/>
        </w:rPr>
        <w:t>versija</w:t>
      </w:r>
      <w:r>
        <w:rPr>
          <w:rFonts w:ascii="Times New Roman" w:eastAsia="Calibri" w:hAnsi="Times New Roman" w:cs="Times New Roman"/>
        </w:rPr>
        <w:t>)</w:t>
      </w:r>
    </w:p>
    <w:sectPr w:rsidR="00A9102F" w:rsidSect="0065549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F21455"/>
    <w:multiLevelType w:val="hybridMultilevel"/>
    <w:tmpl w:val="B5806B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4"/>
    <w:rsid w:val="0023656C"/>
    <w:rsid w:val="00275886"/>
    <w:rsid w:val="002C003F"/>
    <w:rsid w:val="00385ADC"/>
    <w:rsid w:val="003B782C"/>
    <w:rsid w:val="00484138"/>
    <w:rsid w:val="00655494"/>
    <w:rsid w:val="006C7CA2"/>
    <w:rsid w:val="006E3E19"/>
    <w:rsid w:val="00726872"/>
    <w:rsid w:val="0078569C"/>
    <w:rsid w:val="009201EE"/>
    <w:rsid w:val="009E73C5"/>
    <w:rsid w:val="00A9102F"/>
    <w:rsid w:val="00AC1F8D"/>
    <w:rsid w:val="00D05767"/>
    <w:rsid w:val="00F02E4D"/>
    <w:rsid w:val="00F27F90"/>
    <w:rsid w:val="00F36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C86B3-F5D2-4E8A-89DE-1560C90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4138"/>
    <w:rPr>
      <w:sz w:val="16"/>
      <w:szCs w:val="16"/>
    </w:rPr>
  </w:style>
  <w:style w:type="paragraph" w:styleId="Komentarotekstas">
    <w:name w:val="annotation text"/>
    <w:basedOn w:val="prastasis"/>
    <w:link w:val="KomentarotekstasDiagrama"/>
    <w:uiPriority w:val="99"/>
    <w:semiHidden/>
    <w:unhideWhenUsed/>
    <w:rsid w:val="004841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4138"/>
    <w:rPr>
      <w:sz w:val="20"/>
      <w:szCs w:val="20"/>
    </w:rPr>
  </w:style>
  <w:style w:type="paragraph" w:styleId="Komentarotema">
    <w:name w:val="annotation subject"/>
    <w:basedOn w:val="Komentarotekstas"/>
    <w:next w:val="Komentarotekstas"/>
    <w:link w:val="KomentarotemaDiagrama"/>
    <w:uiPriority w:val="99"/>
    <w:semiHidden/>
    <w:unhideWhenUsed/>
    <w:rsid w:val="00484138"/>
    <w:rPr>
      <w:b/>
      <w:bCs/>
    </w:rPr>
  </w:style>
  <w:style w:type="character" w:customStyle="1" w:styleId="KomentarotemaDiagrama">
    <w:name w:val="Komentaro tema Diagrama"/>
    <w:basedOn w:val="KomentarotekstasDiagrama"/>
    <w:link w:val="Komentarotema"/>
    <w:uiPriority w:val="99"/>
    <w:semiHidden/>
    <w:rsid w:val="00484138"/>
    <w:rPr>
      <w:b/>
      <w:bCs/>
      <w:sz w:val="20"/>
      <w:szCs w:val="20"/>
    </w:rPr>
  </w:style>
  <w:style w:type="paragraph" w:styleId="Debesliotekstas">
    <w:name w:val="Balloon Text"/>
    <w:basedOn w:val="prastasis"/>
    <w:link w:val="DebesliotekstasDiagrama"/>
    <w:uiPriority w:val="99"/>
    <w:semiHidden/>
    <w:unhideWhenUsed/>
    <w:rsid w:val="004841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138"/>
    <w:rPr>
      <w:rFonts w:ascii="Segoe UI" w:hAnsi="Segoe UI" w:cs="Segoe UI"/>
      <w:sz w:val="18"/>
      <w:szCs w:val="18"/>
    </w:rPr>
  </w:style>
  <w:style w:type="paragraph" w:styleId="Sraopastraipa">
    <w:name w:val="List Paragraph"/>
    <w:basedOn w:val="prastasis"/>
    <w:uiPriority w:val="34"/>
    <w:qFormat/>
    <w:rsid w:val="00920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lt/policy/cooperation/macro-regional-strategies/baltic-sea/library/" TargetMode="External"/><Relationship Id="rId5" Type="http://schemas.openxmlformats.org/officeDocument/2006/relationships/hyperlink" Target="http://ec.europa.eu/regional_policy/lt/policy/cooperation/macro-regional-strategies/baltic-sea/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5377</Words>
  <Characters>3066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Ivanauskienė Rasa</cp:lastModifiedBy>
  <cp:revision>2</cp:revision>
  <dcterms:created xsi:type="dcterms:W3CDTF">2016-05-11T12:35:00Z</dcterms:created>
  <dcterms:modified xsi:type="dcterms:W3CDTF">2016-05-11T12:35:00Z</dcterms:modified>
</cp:coreProperties>
</file>