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47" w:rsidRDefault="004D2C47">
      <w:pPr>
        <w:spacing w:line="240" w:lineRule="auto"/>
        <w:jc w:val="left"/>
        <w:rPr>
          <w:lang w:val="lt-LT"/>
        </w:rPr>
      </w:pPr>
    </w:p>
    <w:p w:rsidR="008A772D" w:rsidRPr="00FE68E4" w:rsidRDefault="008A772D" w:rsidP="008A772D">
      <w:pPr>
        <w:tabs>
          <w:tab w:val="left" w:pos="0"/>
          <w:tab w:val="left" w:pos="1026"/>
          <w:tab w:val="left" w:pos="8505"/>
        </w:tabs>
        <w:spacing w:after="200" w:line="276" w:lineRule="auto"/>
        <w:ind w:left="8505"/>
        <w:contextualSpacing/>
        <w:rPr>
          <w:sz w:val="22"/>
          <w:szCs w:val="22"/>
        </w:rPr>
      </w:pPr>
      <w:r w:rsidRPr="00FE68E4">
        <w:rPr>
          <w:kern w:val="16"/>
          <w:sz w:val="22"/>
          <w:szCs w:val="22"/>
        </w:rPr>
        <w:t xml:space="preserve">2014–2020 m. </w:t>
      </w:r>
      <w:proofErr w:type="spellStart"/>
      <w:r w:rsidRPr="00FE68E4">
        <w:rPr>
          <w:kern w:val="16"/>
          <w:sz w:val="22"/>
          <w:szCs w:val="22"/>
        </w:rPr>
        <w:t>Europos</w:t>
      </w:r>
      <w:proofErr w:type="spellEnd"/>
      <w:r w:rsidRPr="00FE68E4">
        <w:rPr>
          <w:kern w:val="16"/>
          <w:sz w:val="22"/>
          <w:szCs w:val="22"/>
        </w:rPr>
        <w:t xml:space="preserve"> </w:t>
      </w:r>
      <w:proofErr w:type="spellStart"/>
      <w:r w:rsidRPr="00FE68E4">
        <w:rPr>
          <w:kern w:val="16"/>
          <w:sz w:val="22"/>
          <w:szCs w:val="22"/>
        </w:rPr>
        <w:t>Sąjungos</w:t>
      </w:r>
      <w:proofErr w:type="spellEnd"/>
      <w:r w:rsidRPr="00FE68E4">
        <w:rPr>
          <w:kern w:val="16"/>
          <w:sz w:val="22"/>
          <w:szCs w:val="22"/>
        </w:rPr>
        <w:t xml:space="preserve"> </w:t>
      </w:r>
      <w:proofErr w:type="spellStart"/>
      <w:r w:rsidRPr="00FE68E4">
        <w:rPr>
          <w:kern w:val="16"/>
          <w:sz w:val="22"/>
          <w:szCs w:val="22"/>
        </w:rPr>
        <w:t>fondų</w:t>
      </w:r>
      <w:proofErr w:type="spellEnd"/>
      <w:r w:rsidRPr="00FE68E4">
        <w:rPr>
          <w:kern w:val="16"/>
          <w:sz w:val="22"/>
          <w:szCs w:val="22"/>
        </w:rPr>
        <w:t xml:space="preserve"> </w:t>
      </w:r>
      <w:proofErr w:type="spellStart"/>
      <w:r w:rsidRPr="00FE68E4">
        <w:rPr>
          <w:kern w:val="16"/>
          <w:sz w:val="22"/>
          <w:szCs w:val="22"/>
        </w:rPr>
        <w:t>investicijų</w:t>
      </w:r>
      <w:proofErr w:type="spellEnd"/>
      <w:r w:rsidRPr="00FE68E4">
        <w:rPr>
          <w:kern w:val="16"/>
          <w:sz w:val="22"/>
          <w:szCs w:val="22"/>
        </w:rPr>
        <w:t xml:space="preserve"> </w:t>
      </w:r>
      <w:proofErr w:type="spellStart"/>
      <w:r w:rsidRPr="00FE68E4">
        <w:rPr>
          <w:kern w:val="16"/>
          <w:sz w:val="22"/>
          <w:szCs w:val="22"/>
        </w:rPr>
        <w:t>veiksmų</w:t>
      </w:r>
      <w:proofErr w:type="spellEnd"/>
      <w:r w:rsidRPr="00FE68E4">
        <w:rPr>
          <w:kern w:val="16"/>
          <w:sz w:val="22"/>
          <w:szCs w:val="22"/>
        </w:rPr>
        <w:t xml:space="preserve"> </w:t>
      </w:r>
      <w:proofErr w:type="spellStart"/>
      <w:r w:rsidRPr="00FE68E4">
        <w:rPr>
          <w:kern w:val="16"/>
          <w:sz w:val="22"/>
          <w:szCs w:val="22"/>
        </w:rPr>
        <w:t>programos</w:t>
      </w:r>
      <w:proofErr w:type="spellEnd"/>
      <w:r w:rsidRPr="00FE68E4">
        <w:rPr>
          <w:kern w:val="16"/>
          <w:sz w:val="22"/>
          <w:szCs w:val="22"/>
        </w:rPr>
        <w:t xml:space="preserve"> 5 </w:t>
      </w:r>
      <w:proofErr w:type="spellStart"/>
      <w:r w:rsidRPr="00FE68E4">
        <w:rPr>
          <w:kern w:val="16"/>
          <w:sz w:val="22"/>
          <w:szCs w:val="22"/>
        </w:rPr>
        <w:t>prioriteto</w:t>
      </w:r>
      <w:proofErr w:type="spellEnd"/>
      <w:r w:rsidRPr="00FE68E4">
        <w:rPr>
          <w:kern w:val="16"/>
          <w:sz w:val="22"/>
          <w:szCs w:val="22"/>
        </w:rPr>
        <w:t xml:space="preserve">  „</w:t>
      </w:r>
      <w:proofErr w:type="spellStart"/>
      <w:r w:rsidRPr="00FE68E4">
        <w:rPr>
          <w:kern w:val="16"/>
          <w:sz w:val="22"/>
          <w:szCs w:val="22"/>
        </w:rPr>
        <w:t>Aplinkosauga</w:t>
      </w:r>
      <w:proofErr w:type="spellEnd"/>
      <w:r w:rsidRPr="00FE68E4">
        <w:rPr>
          <w:kern w:val="16"/>
          <w:sz w:val="22"/>
          <w:szCs w:val="22"/>
        </w:rPr>
        <w:t xml:space="preserve">, </w:t>
      </w:r>
      <w:proofErr w:type="spellStart"/>
      <w:r w:rsidRPr="00FE68E4">
        <w:rPr>
          <w:kern w:val="16"/>
          <w:sz w:val="22"/>
          <w:szCs w:val="22"/>
        </w:rPr>
        <w:t>gamtos</w:t>
      </w:r>
      <w:proofErr w:type="spellEnd"/>
      <w:r w:rsidRPr="00FE68E4">
        <w:rPr>
          <w:kern w:val="16"/>
          <w:sz w:val="22"/>
          <w:szCs w:val="22"/>
        </w:rPr>
        <w:t xml:space="preserve"> </w:t>
      </w:r>
      <w:proofErr w:type="spellStart"/>
      <w:r w:rsidRPr="00FE68E4">
        <w:rPr>
          <w:kern w:val="16"/>
          <w:sz w:val="22"/>
          <w:szCs w:val="22"/>
        </w:rPr>
        <w:t>išteklių</w:t>
      </w:r>
      <w:proofErr w:type="spellEnd"/>
      <w:r w:rsidRPr="00FE68E4">
        <w:rPr>
          <w:kern w:val="16"/>
          <w:sz w:val="22"/>
          <w:szCs w:val="22"/>
        </w:rPr>
        <w:t xml:space="preserve"> </w:t>
      </w:r>
      <w:proofErr w:type="spellStart"/>
      <w:r w:rsidRPr="00FE68E4">
        <w:rPr>
          <w:kern w:val="16"/>
          <w:sz w:val="22"/>
          <w:szCs w:val="22"/>
        </w:rPr>
        <w:t>darnus</w:t>
      </w:r>
      <w:proofErr w:type="spellEnd"/>
      <w:r w:rsidRPr="00FE68E4">
        <w:rPr>
          <w:kern w:val="16"/>
          <w:sz w:val="22"/>
          <w:szCs w:val="22"/>
        </w:rPr>
        <w:t xml:space="preserve"> </w:t>
      </w:r>
      <w:proofErr w:type="spellStart"/>
      <w:r w:rsidRPr="00FE68E4">
        <w:rPr>
          <w:kern w:val="16"/>
          <w:sz w:val="22"/>
          <w:szCs w:val="22"/>
        </w:rPr>
        <w:t>naudojimas</w:t>
      </w:r>
      <w:proofErr w:type="spellEnd"/>
      <w:r w:rsidRPr="00FE68E4">
        <w:rPr>
          <w:kern w:val="16"/>
          <w:sz w:val="22"/>
          <w:szCs w:val="22"/>
        </w:rPr>
        <w:t xml:space="preserve"> </w:t>
      </w:r>
      <w:proofErr w:type="spellStart"/>
      <w:r w:rsidRPr="00FE68E4">
        <w:rPr>
          <w:kern w:val="16"/>
          <w:sz w:val="22"/>
          <w:szCs w:val="22"/>
        </w:rPr>
        <w:t>ir</w:t>
      </w:r>
      <w:proofErr w:type="spellEnd"/>
      <w:r w:rsidRPr="00FE68E4">
        <w:rPr>
          <w:kern w:val="16"/>
          <w:sz w:val="22"/>
          <w:szCs w:val="22"/>
        </w:rPr>
        <w:t xml:space="preserve"> </w:t>
      </w:r>
      <w:proofErr w:type="spellStart"/>
      <w:r w:rsidRPr="00FE68E4">
        <w:rPr>
          <w:kern w:val="16"/>
          <w:sz w:val="22"/>
          <w:szCs w:val="22"/>
        </w:rPr>
        <w:t>prisitaikymas</w:t>
      </w:r>
      <w:proofErr w:type="spellEnd"/>
      <w:r w:rsidRPr="00FE68E4">
        <w:rPr>
          <w:kern w:val="16"/>
          <w:sz w:val="22"/>
          <w:szCs w:val="22"/>
        </w:rPr>
        <w:t xml:space="preserve"> </w:t>
      </w:r>
      <w:proofErr w:type="spellStart"/>
      <w:r w:rsidRPr="00FE68E4">
        <w:rPr>
          <w:kern w:val="16"/>
          <w:sz w:val="22"/>
          <w:szCs w:val="22"/>
        </w:rPr>
        <w:t>prie</w:t>
      </w:r>
      <w:proofErr w:type="spellEnd"/>
      <w:r w:rsidRPr="00FE68E4">
        <w:rPr>
          <w:kern w:val="16"/>
          <w:sz w:val="22"/>
          <w:szCs w:val="22"/>
        </w:rPr>
        <w:t xml:space="preserve"> </w:t>
      </w:r>
      <w:proofErr w:type="spellStart"/>
      <w:r w:rsidRPr="00FE68E4">
        <w:rPr>
          <w:kern w:val="16"/>
          <w:sz w:val="22"/>
          <w:szCs w:val="22"/>
        </w:rPr>
        <w:t>klimato</w:t>
      </w:r>
      <w:proofErr w:type="spellEnd"/>
      <w:r w:rsidRPr="00FE68E4">
        <w:rPr>
          <w:kern w:val="16"/>
          <w:sz w:val="22"/>
          <w:szCs w:val="22"/>
        </w:rPr>
        <w:t xml:space="preserve"> </w:t>
      </w:r>
      <w:proofErr w:type="spellStart"/>
      <w:r w:rsidRPr="00FE68E4">
        <w:rPr>
          <w:kern w:val="16"/>
          <w:sz w:val="22"/>
          <w:szCs w:val="22"/>
        </w:rPr>
        <w:t>kaitos</w:t>
      </w:r>
      <w:proofErr w:type="spellEnd"/>
      <w:r w:rsidRPr="00FE68E4">
        <w:rPr>
          <w:kern w:val="16"/>
          <w:sz w:val="22"/>
          <w:szCs w:val="22"/>
        </w:rPr>
        <w:t xml:space="preserve">“ 05.1.1-APVA-V-004 </w:t>
      </w:r>
      <w:proofErr w:type="spellStart"/>
      <w:r w:rsidRPr="00FE68E4">
        <w:rPr>
          <w:kern w:val="16"/>
          <w:sz w:val="22"/>
          <w:szCs w:val="22"/>
        </w:rPr>
        <w:t>priemonės</w:t>
      </w:r>
      <w:proofErr w:type="spellEnd"/>
      <w:r w:rsidRPr="00FE68E4">
        <w:rPr>
          <w:kern w:val="16"/>
          <w:sz w:val="22"/>
          <w:szCs w:val="22"/>
        </w:rPr>
        <w:t xml:space="preserve"> „</w:t>
      </w:r>
      <w:proofErr w:type="spellStart"/>
      <w:r w:rsidRPr="00FE68E4">
        <w:rPr>
          <w:kern w:val="16"/>
          <w:sz w:val="22"/>
          <w:szCs w:val="22"/>
        </w:rPr>
        <w:t>Aplinkos</w:t>
      </w:r>
      <w:proofErr w:type="spellEnd"/>
      <w:r w:rsidRPr="00FE68E4">
        <w:rPr>
          <w:kern w:val="16"/>
          <w:sz w:val="22"/>
          <w:szCs w:val="22"/>
        </w:rPr>
        <w:t xml:space="preserve"> </w:t>
      </w:r>
      <w:proofErr w:type="spellStart"/>
      <w:r w:rsidRPr="00FE68E4">
        <w:rPr>
          <w:kern w:val="16"/>
          <w:sz w:val="22"/>
          <w:szCs w:val="22"/>
        </w:rPr>
        <w:t>monitoringo</w:t>
      </w:r>
      <w:proofErr w:type="spellEnd"/>
      <w:r w:rsidRPr="00FE68E4">
        <w:rPr>
          <w:kern w:val="16"/>
          <w:sz w:val="22"/>
          <w:szCs w:val="22"/>
        </w:rPr>
        <w:t xml:space="preserve"> </w:t>
      </w:r>
      <w:proofErr w:type="spellStart"/>
      <w:r w:rsidRPr="00FE68E4">
        <w:rPr>
          <w:kern w:val="16"/>
          <w:sz w:val="22"/>
          <w:szCs w:val="22"/>
        </w:rPr>
        <w:t>ir</w:t>
      </w:r>
      <w:proofErr w:type="spellEnd"/>
      <w:r w:rsidRPr="00FE68E4">
        <w:rPr>
          <w:kern w:val="16"/>
          <w:sz w:val="22"/>
          <w:szCs w:val="22"/>
        </w:rPr>
        <w:t xml:space="preserve"> </w:t>
      </w:r>
      <w:proofErr w:type="spellStart"/>
      <w:r w:rsidRPr="00FE68E4">
        <w:rPr>
          <w:kern w:val="16"/>
          <w:sz w:val="22"/>
          <w:szCs w:val="22"/>
        </w:rPr>
        <w:t>kontrolės</w:t>
      </w:r>
      <w:proofErr w:type="spellEnd"/>
      <w:r w:rsidRPr="00FE68E4">
        <w:rPr>
          <w:kern w:val="16"/>
          <w:sz w:val="22"/>
          <w:szCs w:val="22"/>
        </w:rPr>
        <w:t xml:space="preserve"> </w:t>
      </w:r>
      <w:proofErr w:type="spellStart"/>
      <w:r w:rsidRPr="00FE68E4">
        <w:rPr>
          <w:kern w:val="16"/>
          <w:sz w:val="22"/>
          <w:szCs w:val="22"/>
        </w:rPr>
        <w:t>stiprinimas</w:t>
      </w:r>
      <w:proofErr w:type="spellEnd"/>
      <w:r w:rsidRPr="00FE68E4">
        <w:rPr>
          <w:kern w:val="16"/>
          <w:sz w:val="22"/>
          <w:szCs w:val="22"/>
        </w:rPr>
        <w:t>“</w:t>
      </w:r>
      <w:r w:rsidRPr="00FE68E4">
        <w:rPr>
          <w:bCs/>
          <w:sz w:val="22"/>
          <w:szCs w:val="22"/>
        </w:rPr>
        <w:t xml:space="preserve"> </w:t>
      </w:r>
      <w:proofErr w:type="spellStart"/>
      <w:r w:rsidRPr="00FE68E4">
        <w:rPr>
          <w:kern w:val="16"/>
          <w:sz w:val="22"/>
          <w:szCs w:val="22"/>
        </w:rPr>
        <w:t>projektų</w:t>
      </w:r>
      <w:proofErr w:type="spellEnd"/>
      <w:r w:rsidRPr="00FE68E4">
        <w:rPr>
          <w:kern w:val="16"/>
          <w:sz w:val="22"/>
          <w:szCs w:val="22"/>
        </w:rPr>
        <w:t xml:space="preserve"> </w:t>
      </w:r>
      <w:proofErr w:type="spellStart"/>
      <w:r w:rsidRPr="00FE68E4">
        <w:rPr>
          <w:kern w:val="16"/>
          <w:sz w:val="22"/>
          <w:szCs w:val="22"/>
        </w:rPr>
        <w:t>finansavimo</w:t>
      </w:r>
      <w:proofErr w:type="spellEnd"/>
      <w:r w:rsidRPr="00FE68E4">
        <w:rPr>
          <w:kern w:val="16"/>
          <w:sz w:val="22"/>
          <w:szCs w:val="22"/>
        </w:rPr>
        <w:t xml:space="preserve"> </w:t>
      </w:r>
      <w:proofErr w:type="spellStart"/>
      <w:r w:rsidRPr="00FE68E4">
        <w:rPr>
          <w:kern w:val="16"/>
          <w:sz w:val="22"/>
          <w:szCs w:val="22"/>
        </w:rPr>
        <w:t>sąlygų</w:t>
      </w:r>
      <w:proofErr w:type="spellEnd"/>
      <w:r w:rsidRPr="00FE68E4">
        <w:rPr>
          <w:kern w:val="16"/>
          <w:sz w:val="22"/>
          <w:szCs w:val="22"/>
        </w:rPr>
        <w:t xml:space="preserve"> </w:t>
      </w:r>
      <w:proofErr w:type="spellStart"/>
      <w:r w:rsidRPr="00FE68E4">
        <w:rPr>
          <w:kern w:val="16"/>
          <w:sz w:val="22"/>
          <w:szCs w:val="22"/>
        </w:rPr>
        <w:t>aprašo</w:t>
      </w:r>
      <w:proofErr w:type="spellEnd"/>
      <w:r w:rsidRPr="00FE68E4">
        <w:rPr>
          <w:kern w:val="16"/>
          <w:sz w:val="22"/>
          <w:szCs w:val="22"/>
        </w:rPr>
        <w:t xml:space="preserve"> </w:t>
      </w:r>
      <w:proofErr w:type="spellStart"/>
      <w:r w:rsidRPr="00FE68E4">
        <w:rPr>
          <w:kern w:val="16"/>
          <w:sz w:val="22"/>
          <w:szCs w:val="22"/>
        </w:rPr>
        <w:t>Nr</w:t>
      </w:r>
      <w:proofErr w:type="spellEnd"/>
      <w:r w:rsidRPr="00FE68E4">
        <w:rPr>
          <w:kern w:val="16"/>
          <w:sz w:val="22"/>
          <w:szCs w:val="22"/>
        </w:rPr>
        <w:t>. 1</w:t>
      </w:r>
      <w:r w:rsidRPr="00FE68E4">
        <w:rPr>
          <w:sz w:val="22"/>
          <w:szCs w:val="22"/>
        </w:rPr>
        <w:t xml:space="preserve"> </w:t>
      </w:r>
    </w:p>
    <w:p w:rsidR="006D264C" w:rsidRDefault="006D264C" w:rsidP="008A772D">
      <w:pPr>
        <w:spacing w:line="240" w:lineRule="auto"/>
        <w:ind w:left="8505"/>
        <w:jc w:val="left"/>
      </w:pPr>
      <w:r>
        <w:t xml:space="preserve">2 </w:t>
      </w:r>
      <w:proofErr w:type="spellStart"/>
      <w:r>
        <w:t>priedas</w:t>
      </w:r>
      <w:proofErr w:type="spellEnd"/>
    </w:p>
    <w:p w:rsidR="008A772D" w:rsidRDefault="008A772D" w:rsidP="008A772D">
      <w:pPr>
        <w:spacing w:line="240" w:lineRule="auto"/>
        <w:ind w:left="8505"/>
        <w:jc w:val="left"/>
        <w:rPr>
          <w:lang w:val="lt-LT"/>
        </w:rPr>
      </w:pPr>
    </w:p>
    <w:p w:rsidR="004D2C47" w:rsidRPr="008A772D" w:rsidRDefault="008A772D" w:rsidP="008A772D">
      <w:pPr>
        <w:spacing w:line="240" w:lineRule="auto"/>
        <w:jc w:val="center"/>
        <w:rPr>
          <w:b/>
          <w:bCs/>
          <w:lang w:val="lt-LT" w:eastAsia="lt-LT"/>
        </w:rPr>
      </w:pPr>
      <w:r w:rsidRPr="008A772D">
        <w:rPr>
          <w:b/>
        </w:rPr>
        <w:t>SPECIAL</w:t>
      </w:r>
      <w:r>
        <w:rPr>
          <w:b/>
        </w:rPr>
        <w:t>IEJI</w:t>
      </w:r>
      <w:r w:rsidRPr="008A772D">
        <w:rPr>
          <w:b/>
        </w:rPr>
        <w:t xml:space="preserve"> PROJEKTŲ ATRANKOS </w:t>
      </w:r>
      <w:r>
        <w:rPr>
          <w:b/>
        </w:rPr>
        <w:t>KRITERIJAI</w:t>
      </w:r>
    </w:p>
    <w:p w:rsidR="008A772D" w:rsidRDefault="008A772D">
      <w:pPr>
        <w:spacing w:line="240" w:lineRule="auto"/>
        <w:jc w:val="left"/>
        <w:rPr>
          <w:bCs/>
          <w:i/>
          <w:lang w:val="lt-LT" w:eastAsia="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395"/>
        <w:gridCol w:w="8843"/>
      </w:tblGrid>
      <w:tr w:rsidR="008A772D" w:rsidRPr="006E5A58" w:rsidTr="00A75C4D">
        <w:tc>
          <w:tcPr>
            <w:tcW w:w="2410" w:type="dxa"/>
          </w:tcPr>
          <w:p w:rsidR="008A772D" w:rsidRPr="006E5A58" w:rsidRDefault="008A772D" w:rsidP="00F354B5">
            <w:pPr>
              <w:spacing w:line="240" w:lineRule="auto"/>
              <w:jc w:val="center"/>
              <w:rPr>
                <w:b/>
                <w:bCs/>
                <w:lang w:val="lt-LT" w:eastAsia="lt-LT"/>
              </w:rPr>
            </w:pPr>
            <w:r>
              <w:rPr>
                <w:b/>
                <w:bCs/>
                <w:lang w:val="lt-LT" w:eastAsia="lt-LT"/>
              </w:rPr>
              <w:t xml:space="preserve">Veikla, kuriai </w:t>
            </w:r>
            <w:r w:rsidR="002C2662">
              <w:rPr>
                <w:b/>
                <w:bCs/>
                <w:lang w:val="lt-LT" w:eastAsia="lt-LT"/>
              </w:rPr>
              <w:t>taikomas atrankos kriterijus</w:t>
            </w:r>
          </w:p>
        </w:tc>
        <w:tc>
          <w:tcPr>
            <w:tcW w:w="4395" w:type="dxa"/>
            <w:shd w:val="clear" w:color="auto" w:fill="auto"/>
          </w:tcPr>
          <w:p w:rsidR="008A772D" w:rsidRPr="006E5A58" w:rsidRDefault="008A772D" w:rsidP="00F354B5">
            <w:pPr>
              <w:spacing w:line="240" w:lineRule="auto"/>
              <w:jc w:val="center"/>
              <w:rPr>
                <w:b/>
                <w:lang w:val="lt-LT"/>
              </w:rPr>
            </w:pPr>
            <w:r w:rsidRPr="006E5A58">
              <w:rPr>
                <w:b/>
                <w:bCs/>
                <w:lang w:val="lt-LT" w:eastAsia="lt-LT"/>
              </w:rPr>
              <w:t>Projektų atrankos kriterijaus numeris ir pavadinimas</w:t>
            </w:r>
          </w:p>
        </w:tc>
        <w:tc>
          <w:tcPr>
            <w:tcW w:w="8843" w:type="dxa"/>
            <w:shd w:val="clear" w:color="auto" w:fill="auto"/>
          </w:tcPr>
          <w:p w:rsidR="00F354B5" w:rsidRDefault="00F354B5" w:rsidP="00F354B5">
            <w:pPr>
              <w:spacing w:line="240" w:lineRule="auto"/>
              <w:jc w:val="center"/>
              <w:rPr>
                <w:b/>
                <w:bCs/>
                <w:lang w:val="lt-LT" w:eastAsia="lt-LT"/>
              </w:rPr>
            </w:pPr>
          </w:p>
          <w:p w:rsidR="008A772D" w:rsidRPr="006E5A58" w:rsidRDefault="008A772D" w:rsidP="00F354B5">
            <w:pPr>
              <w:spacing w:line="240" w:lineRule="auto"/>
              <w:jc w:val="center"/>
              <w:rPr>
                <w:lang w:val="lt-LT"/>
              </w:rPr>
            </w:pPr>
            <w:r w:rsidRPr="006E5A58">
              <w:rPr>
                <w:b/>
                <w:bCs/>
                <w:lang w:val="lt-LT" w:eastAsia="lt-LT"/>
              </w:rPr>
              <w:t>Projektų atrankos kriterijaus vertinimo aspektai ir paaiškinimai</w:t>
            </w:r>
          </w:p>
        </w:tc>
      </w:tr>
      <w:tr w:rsidR="008A772D" w:rsidRPr="002C2662" w:rsidTr="00A75C4D">
        <w:tc>
          <w:tcPr>
            <w:tcW w:w="2410" w:type="dxa"/>
          </w:tcPr>
          <w:p w:rsidR="008A772D" w:rsidRDefault="002C2662" w:rsidP="00F354B5">
            <w:pPr>
              <w:spacing w:line="240" w:lineRule="auto"/>
              <w:jc w:val="left"/>
              <w:rPr>
                <w:lang w:val="lt-LT"/>
              </w:rPr>
            </w:pPr>
            <w:r w:rsidRPr="002C2662">
              <w:rPr>
                <w:lang w:val="lt-LT"/>
              </w:rPr>
              <w:t xml:space="preserve">Nacionalinei oro teršalų ir </w:t>
            </w:r>
            <w:r w:rsidR="008B6846" w:rsidRPr="008B6846">
              <w:rPr>
                <w:lang w:val="lt-LT"/>
              </w:rPr>
              <w:t xml:space="preserve">šiltnamio efektą sukeliančių dujų (ŠESD) </w:t>
            </w:r>
            <w:r w:rsidRPr="002C2662">
              <w:rPr>
                <w:lang w:val="lt-LT"/>
              </w:rPr>
              <w:t>apskaitos sistemai tobulinti reikalingų dokumentų parengimas ir priemonių įsigijimas</w:t>
            </w:r>
          </w:p>
          <w:p w:rsidR="000F1283" w:rsidRPr="002C2662" w:rsidRDefault="000F1283" w:rsidP="002F2A88">
            <w:pPr>
              <w:spacing w:line="240" w:lineRule="auto"/>
              <w:jc w:val="left"/>
              <w:rPr>
                <w:lang w:val="lt-LT"/>
              </w:rPr>
            </w:pPr>
            <w:r>
              <w:rPr>
                <w:lang w:val="lt-LT"/>
              </w:rPr>
              <w:t>(</w:t>
            </w:r>
            <w:r w:rsidR="00F81F3C">
              <w:rPr>
                <w:lang w:val="lt-LT"/>
              </w:rPr>
              <w:t xml:space="preserve">šio </w:t>
            </w:r>
            <w:proofErr w:type="spellStart"/>
            <w:r w:rsidRPr="00E03F09">
              <w:t>Aprašo</w:t>
            </w:r>
            <w:proofErr w:type="spellEnd"/>
            <w:r w:rsidRPr="00E03F09">
              <w:t xml:space="preserve"> </w:t>
            </w:r>
            <w:r w:rsidR="002F2A88">
              <w:t>9</w:t>
            </w:r>
            <w:r w:rsidRPr="00E03F09">
              <w:t>.</w:t>
            </w:r>
            <w:r>
              <w:t>1</w:t>
            </w:r>
            <w:r w:rsidRPr="00E03F09">
              <w:t xml:space="preserve"> </w:t>
            </w:r>
            <w:proofErr w:type="spellStart"/>
            <w:r w:rsidRPr="00E03F09">
              <w:t>papunktyje</w:t>
            </w:r>
            <w:proofErr w:type="spellEnd"/>
            <w:r w:rsidRPr="00E03F09">
              <w:t xml:space="preserve"> </w:t>
            </w:r>
            <w:proofErr w:type="spellStart"/>
            <w:r w:rsidRPr="00E03F09">
              <w:t>nurodyta</w:t>
            </w:r>
            <w:proofErr w:type="spellEnd"/>
            <w:r w:rsidRPr="00E03F09">
              <w:t xml:space="preserve"> </w:t>
            </w:r>
            <w:proofErr w:type="spellStart"/>
            <w:r w:rsidRPr="00E03F09">
              <w:t>veikla</w:t>
            </w:r>
            <w:proofErr w:type="spellEnd"/>
            <w:r>
              <w:t>)</w:t>
            </w:r>
          </w:p>
        </w:tc>
        <w:tc>
          <w:tcPr>
            <w:tcW w:w="4395" w:type="dxa"/>
            <w:shd w:val="clear" w:color="auto" w:fill="auto"/>
          </w:tcPr>
          <w:p w:rsidR="008A772D" w:rsidRPr="002C2662" w:rsidRDefault="00F354B5" w:rsidP="002B7202">
            <w:pPr>
              <w:spacing w:line="240" w:lineRule="auto"/>
              <w:ind w:left="34" w:firstLine="326"/>
              <w:rPr>
                <w:lang w:val="lt-LT"/>
              </w:rPr>
            </w:pPr>
            <w:r w:rsidRPr="006E5A58">
              <w:rPr>
                <w:lang w:val="lt-LT"/>
              </w:rPr>
              <w:t xml:space="preserve">1. </w:t>
            </w:r>
            <w:r w:rsidR="002B7202" w:rsidRPr="002B7202">
              <w:rPr>
                <w:lang w:val="lt-LT"/>
              </w:rPr>
              <w:t>Projekto atitiktis Valstybinei aplinkos monitoringo 2011–2017 metų programai, patvirtintai Lietuvos Respublikos Vyriausybės 2011 m. kovo 2 d. nutarimu Nr. 315 “Dėl Valstybinės aplinkos monitoringo programos patvirtinimo” (toliau – Valstybinės aplinkos monitoringo 2011–2017 metų programa) ir/arba Nacionalinės į aplinkos orą išmetamų teršalų kiekio apskaitos gerinimo 2015-2020 m. planui, patvirtintam Lietuvos Respublikos aplinkos ministro 2015 m. balandžio 1 d. įsakymu Nr. D1-262 „Dėl Nacionalinės į aplinkos orą išmetamų teršalų kiekio apskaitos gerinimo 2015–2020 metų plano patvirtinimo“ (2016 m. vasario 18 d. įsakymo Nr. D1-111 redakcija) (toliau – Nacionalinės į aplinkos orą išmetamų teršalų kiekio apskaitos gerinimo 2015–2020 metų planas).</w:t>
            </w:r>
          </w:p>
        </w:tc>
        <w:tc>
          <w:tcPr>
            <w:tcW w:w="8843" w:type="dxa"/>
            <w:shd w:val="clear" w:color="auto" w:fill="auto"/>
          </w:tcPr>
          <w:p w:rsidR="002B7202" w:rsidRPr="002B7202" w:rsidRDefault="002B7202" w:rsidP="002B7202">
            <w:pPr>
              <w:spacing w:line="240" w:lineRule="auto"/>
              <w:rPr>
                <w:bCs/>
                <w:lang w:val="lt-LT" w:eastAsia="lt-LT"/>
              </w:rPr>
            </w:pPr>
            <w:r w:rsidRPr="002B7202">
              <w:rPr>
                <w:bCs/>
                <w:lang w:val="lt-LT" w:eastAsia="lt-LT"/>
              </w:rPr>
              <w:t>Vertinama, ar projekto veiklos atitinka bent vieną iš šių aspektų:</w:t>
            </w:r>
          </w:p>
          <w:p w:rsidR="002B7202" w:rsidRPr="002B7202" w:rsidRDefault="002B7202" w:rsidP="002B7202">
            <w:pPr>
              <w:spacing w:line="240" w:lineRule="auto"/>
              <w:ind w:left="34" w:firstLine="207"/>
              <w:rPr>
                <w:bCs/>
                <w:lang w:val="lt-LT" w:eastAsia="lt-LT"/>
              </w:rPr>
            </w:pPr>
            <w:r w:rsidRPr="002B7202">
              <w:rPr>
                <w:lang w:val="lt-LT"/>
              </w:rPr>
              <w:t>1) Valstybinės aplinkos monitoringo 2011–2017 metų programos</w:t>
            </w:r>
            <w:r>
              <w:rPr>
                <w:lang w:val="lt-LT"/>
              </w:rPr>
              <w:t xml:space="preserve"> </w:t>
            </w:r>
            <w:r w:rsidRPr="002B7202">
              <w:rPr>
                <w:lang w:val="lt-LT"/>
              </w:rPr>
              <w:t>12.3 ir/arba 12.6 tikslų 12.3.1. ir/arba 12.3.2. ir/arba 12.6.1. ir/arba 12.6.2. uždavinius:</w:t>
            </w:r>
          </w:p>
          <w:p w:rsidR="002B7202" w:rsidRPr="002B7202" w:rsidRDefault="002B7202" w:rsidP="002B7202">
            <w:pPr>
              <w:spacing w:line="240" w:lineRule="auto"/>
              <w:ind w:left="34" w:firstLine="567"/>
              <w:rPr>
                <w:lang w:val="lt-LT"/>
              </w:rPr>
            </w:pPr>
            <w:r w:rsidRPr="002B7202">
              <w:rPr>
                <w:lang w:val="lt-LT"/>
              </w:rPr>
              <w:t>Valstybinės aplinkos monitoringo 2011–2017 metų programos tikslai ir uždaviniai:</w:t>
            </w:r>
          </w:p>
          <w:p w:rsidR="002B7202" w:rsidRPr="002B7202" w:rsidRDefault="002B7202" w:rsidP="002B7202">
            <w:pPr>
              <w:spacing w:line="240" w:lineRule="auto"/>
              <w:ind w:firstLine="567"/>
              <w:rPr>
                <w:lang w:val="lt-LT"/>
              </w:rPr>
            </w:pPr>
            <w:r w:rsidRPr="002B7202">
              <w:rPr>
                <w:bCs/>
                <w:lang w:val="lt-LT"/>
              </w:rPr>
              <w:t xml:space="preserve">12.3. </w:t>
            </w:r>
            <w:r w:rsidRPr="002B7202">
              <w:rPr>
                <w:lang w:val="lt-LT"/>
              </w:rPr>
              <w:t>tikslas –</w:t>
            </w:r>
            <w:r w:rsidRPr="002B7202">
              <w:rPr>
                <w:bCs/>
                <w:lang w:val="lt-LT"/>
              </w:rPr>
              <w:t xml:space="preserve"> vertinti </w:t>
            </w:r>
            <w:r w:rsidRPr="002B7202">
              <w:rPr>
                <w:bCs/>
                <w:color w:val="000000"/>
                <w:lang w:val="lt-LT"/>
              </w:rPr>
              <w:t>teršalų pernašų iš kitų valstybių poveikį</w:t>
            </w:r>
            <w:r w:rsidRPr="002B7202">
              <w:rPr>
                <w:bCs/>
                <w:lang w:val="lt-LT"/>
              </w:rPr>
              <w:t xml:space="preserve"> bendram Lietuvos oro baseino užterštumo lygiui. </w:t>
            </w:r>
            <w:r w:rsidRPr="002B7202">
              <w:rPr>
                <w:lang w:val="lt-LT"/>
              </w:rPr>
              <w:t>Uždaviniai tikslui pasiekti:</w:t>
            </w:r>
          </w:p>
          <w:p w:rsidR="002B7202" w:rsidRPr="002B7202" w:rsidRDefault="002B7202" w:rsidP="002B7202">
            <w:pPr>
              <w:spacing w:line="240" w:lineRule="auto"/>
              <w:ind w:firstLine="567"/>
              <w:rPr>
                <w:lang w:val="lt-LT"/>
              </w:rPr>
            </w:pPr>
            <w:bookmarkStart w:id="0" w:name="X664a4fee1fb04c68b6188274a22c50c6"/>
            <w:r w:rsidRPr="002B7202">
              <w:rPr>
                <w:lang w:val="lt-LT"/>
              </w:rPr>
              <w:t>12.3.1. atlikti foninį oro monitoringą;</w:t>
            </w:r>
          </w:p>
          <w:bookmarkEnd w:id="0"/>
          <w:p w:rsidR="002B7202" w:rsidRPr="002B7202" w:rsidRDefault="002B7202" w:rsidP="002B7202">
            <w:pPr>
              <w:spacing w:line="240" w:lineRule="auto"/>
              <w:ind w:left="601"/>
              <w:rPr>
                <w:lang w:val="lt-LT"/>
              </w:rPr>
            </w:pPr>
            <w:r w:rsidRPr="002B7202">
              <w:rPr>
                <w:lang w:val="lt-LT"/>
              </w:rPr>
              <w:t xml:space="preserve">12.3.2. atlikti foninį atmosferos kritulių monitoringą; </w:t>
            </w:r>
          </w:p>
          <w:p w:rsidR="002B7202" w:rsidRPr="002B7202" w:rsidRDefault="002B7202" w:rsidP="002B7202">
            <w:pPr>
              <w:suppressAutoHyphens/>
              <w:spacing w:line="240" w:lineRule="auto"/>
              <w:ind w:firstLine="567"/>
              <w:rPr>
                <w:color w:val="000000"/>
                <w:kern w:val="1"/>
                <w:lang w:val="lt-LT"/>
              </w:rPr>
            </w:pPr>
            <w:r w:rsidRPr="002B7202">
              <w:rPr>
                <w:bCs/>
                <w:color w:val="000000"/>
                <w:kern w:val="1"/>
                <w:lang w:val="lt-LT"/>
              </w:rPr>
              <w:t xml:space="preserve">12.6. </w:t>
            </w:r>
            <w:r w:rsidRPr="002B7202">
              <w:rPr>
                <w:color w:val="000000"/>
                <w:kern w:val="1"/>
                <w:lang w:val="lt-LT"/>
              </w:rPr>
              <w:t>tikslas –</w:t>
            </w:r>
            <w:r w:rsidRPr="002B7202">
              <w:rPr>
                <w:bCs/>
                <w:color w:val="000000"/>
                <w:kern w:val="1"/>
                <w:lang w:val="lt-LT"/>
              </w:rPr>
              <w:t xml:space="preserve"> </w:t>
            </w:r>
            <w:r w:rsidRPr="002B7202">
              <w:rPr>
                <w:color w:val="000000"/>
                <w:kern w:val="1"/>
                <w:lang w:val="lt-LT"/>
              </w:rPr>
              <w:t>vertinti Lietuvos Respublikos teritorijoje į atmosferą išmetamų antropogeninės kilmės teršalų kiekį, taršos lygius ir apkrovas ekosistemoms, išmetamų ir absorbuojamų šiltnamio efektą sukeliančių dujų kiekį. Uždaviniai tikslui pasiekti:</w:t>
            </w:r>
          </w:p>
          <w:p w:rsidR="002B7202" w:rsidRPr="002B7202" w:rsidRDefault="002B7202" w:rsidP="002B7202">
            <w:pPr>
              <w:suppressAutoHyphens/>
              <w:spacing w:line="240" w:lineRule="auto"/>
              <w:ind w:firstLine="567"/>
              <w:rPr>
                <w:color w:val="000000"/>
                <w:kern w:val="1"/>
                <w:lang w:val="lt-LT"/>
              </w:rPr>
            </w:pPr>
            <w:bookmarkStart w:id="1" w:name="Xec75bc9ca30845d4947b812a16f0dad8"/>
            <w:r w:rsidRPr="002B7202">
              <w:rPr>
                <w:color w:val="000000"/>
                <w:kern w:val="1"/>
                <w:lang w:val="lt-LT"/>
              </w:rPr>
              <w:t>12.6.1. atlikti išmetamų į atmosferą teršalų ir šiltnamio efektą sukeliančių dujų monitoringą;</w:t>
            </w:r>
          </w:p>
          <w:p w:rsidR="002B7202" w:rsidRPr="002B7202" w:rsidRDefault="002B7202" w:rsidP="002B7202">
            <w:pPr>
              <w:suppressAutoHyphens/>
              <w:spacing w:line="240" w:lineRule="auto"/>
              <w:ind w:firstLine="567"/>
              <w:rPr>
                <w:color w:val="000000"/>
                <w:kern w:val="1"/>
                <w:lang w:val="lt-LT"/>
              </w:rPr>
            </w:pPr>
            <w:bookmarkStart w:id="2" w:name="X5d454024b3424b5aba34aec9eed0b28b"/>
            <w:bookmarkEnd w:id="1"/>
            <w:r w:rsidRPr="002B7202">
              <w:rPr>
                <w:color w:val="000000"/>
                <w:kern w:val="1"/>
                <w:lang w:val="lt-LT"/>
              </w:rPr>
              <w:t>12.6.2. atlikti antropogeninės taršos lygių ir apkrovų ekosistemoms monitoringą.</w:t>
            </w:r>
          </w:p>
          <w:p w:rsidR="002B7202" w:rsidRPr="002B7202" w:rsidRDefault="002B7202" w:rsidP="002B7202">
            <w:pPr>
              <w:suppressAutoHyphens/>
              <w:spacing w:line="240" w:lineRule="auto"/>
              <w:ind w:firstLine="567"/>
              <w:rPr>
                <w:color w:val="000000"/>
                <w:kern w:val="1"/>
                <w:lang w:val="lt-LT"/>
              </w:rPr>
            </w:pPr>
            <w:r w:rsidRPr="002B7202">
              <w:rPr>
                <w:color w:val="000000"/>
                <w:kern w:val="1"/>
                <w:lang w:val="lt-LT"/>
              </w:rPr>
              <w:t>Ir/arba</w:t>
            </w:r>
          </w:p>
          <w:p w:rsidR="002B7202" w:rsidRPr="002B7202" w:rsidRDefault="002B7202" w:rsidP="002B7202">
            <w:pPr>
              <w:spacing w:line="240" w:lineRule="auto"/>
              <w:rPr>
                <w:bCs/>
                <w:lang w:val="lt-LT" w:eastAsia="lt-LT"/>
              </w:rPr>
            </w:pPr>
            <w:r w:rsidRPr="002B7202">
              <w:rPr>
                <w:bCs/>
                <w:lang w:val="lt-LT" w:eastAsia="lt-LT"/>
              </w:rPr>
              <w:t xml:space="preserve">2) Nacionalinės į aplinkos orą išmetamų teršalų kiekio apskaitos gerinimo 2015–2020  metų plano 6 priemonę: “Siekiant nacionalinę oro teršalų apskaitą iš kuro deginimo (įskaitant namų ūkio sektorių) sektoriaus (išskyrus transporto sektorių) vykdyti </w:t>
            </w:r>
            <w:proofErr w:type="spellStart"/>
            <w:r w:rsidRPr="002B7202">
              <w:rPr>
                <w:bCs/>
                <w:lang w:val="lt-LT" w:eastAsia="lt-LT"/>
              </w:rPr>
              <w:t>Tier</w:t>
            </w:r>
            <w:proofErr w:type="spellEnd"/>
            <w:r w:rsidRPr="002B7202">
              <w:rPr>
                <w:bCs/>
                <w:lang w:val="lt-LT" w:eastAsia="lt-LT"/>
              </w:rPr>
              <w:t xml:space="preserve"> 2 tikslumo lygiu, įvertinti duomenų (įskaitant duomenų, reikalingų teršalų išmetimo nacionalinėms prognozėms rengti) poreikį, galimybę juos gauti Lietuvoje ir parengti bei įgyvendinti veiksmų planą duomenų surinkimui</w:t>
            </w:r>
            <w:bookmarkEnd w:id="2"/>
            <w:r w:rsidRPr="002B7202">
              <w:rPr>
                <w:bCs/>
                <w:lang w:val="lt-LT" w:eastAsia="lt-LT"/>
              </w:rPr>
              <w:t>“.</w:t>
            </w:r>
          </w:p>
          <w:p w:rsidR="002B7202" w:rsidRPr="002B7202" w:rsidRDefault="002B7202" w:rsidP="002B7202">
            <w:pPr>
              <w:spacing w:line="240" w:lineRule="auto"/>
              <w:ind w:firstLine="601"/>
              <w:rPr>
                <w:bCs/>
                <w:lang w:val="lt-LT" w:eastAsia="lt-LT"/>
              </w:rPr>
            </w:pPr>
            <w:r w:rsidRPr="002B7202">
              <w:rPr>
                <w:bCs/>
                <w:lang w:val="lt-LT" w:eastAsia="lt-LT"/>
              </w:rPr>
              <w:t>Ir/arba</w:t>
            </w:r>
          </w:p>
          <w:p w:rsidR="002B7202" w:rsidRPr="002B7202" w:rsidRDefault="002B7202" w:rsidP="002B7202">
            <w:pPr>
              <w:spacing w:line="240" w:lineRule="auto"/>
              <w:rPr>
                <w:bCs/>
                <w:lang w:val="lt-LT" w:eastAsia="lt-LT"/>
              </w:rPr>
            </w:pPr>
            <w:r w:rsidRPr="002B7202">
              <w:rPr>
                <w:bCs/>
                <w:lang w:val="lt-LT" w:eastAsia="lt-LT"/>
              </w:rPr>
              <w:t>3) Nacionalinės į aplinkos orą išmetamų teršalų kiekio apskaitos gerinimo 2015–2020  metų plano</w:t>
            </w:r>
            <w:r w:rsidRPr="002B7202">
              <w:rPr>
                <w:bCs/>
                <w:lang w:val="lt-LT" w:eastAsia="lt-LT"/>
              </w:rPr>
              <w:t xml:space="preserve"> </w:t>
            </w:r>
            <w:r w:rsidRPr="002B7202">
              <w:rPr>
                <w:bCs/>
                <w:lang w:val="lt-LT" w:eastAsia="lt-LT"/>
              </w:rPr>
              <w:t xml:space="preserve">7 priemonę: „Siekiant nacionalinę oro teršalų apskaitą vykdyti </w:t>
            </w:r>
            <w:proofErr w:type="spellStart"/>
            <w:r w:rsidRPr="002B7202">
              <w:rPr>
                <w:bCs/>
                <w:lang w:val="lt-LT" w:eastAsia="lt-LT"/>
              </w:rPr>
              <w:t>Tier</w:t>
            </w:r>
            <w:proofErr w:type="spellEnd"/>
            <w:r w:rsidRPr="002B7202">
              <w:rPr>
                <w:bCs/>
                <w:lang w:val="lt-LT" w:eastAsia="lt-LT"/>
              </w:rPr>
              <w:t xml:space="preserve"> 2 tikslumo lygiu, įvertinti duomenų (įskaitant duomenų, reikalingų teršalų išmetimo nacionalinėms prognozėms rengti) poreikį, galimybę juos gauti Lietuvoje ir parengti</w:t>
            </w:r>
            <w:r w:rsidRPr="002B7202">
              <w:t xml:space="preserve"> </w:t>
            </w:r>
            <w:r w:rsidRPr="002B7202">
              <w:rPr>
                <w:bCs/>
                <w:lang w:val="lt-LT" w:eastAsia="lt-LT"/>
              </w:rPr>
              <w:t>bei įgyvendinti veiksmų planą duomenų surinkimui iš:</w:t>
            </w:r>
          </w:p>
          <w:p w:rsidR="002B7202" w:rsidRPr="002B7202" w:rsidRDefault="002B7202" w:rsidP="002B7202">
            <w:pPr>
              <w:spacing w:line="240" w:lineRule="auto"/>
              <w:rPr>
                <w:bCs/>
                <w:lang w:val="lt-LT" w:eastAsia="lt-LT"/>
              </w:rPr>
            </w:pPr>
            <w:r w:rsidRPr="002B7202">
              <w:rPr>
                <w:bCs/>
                <w:lang w:val="lt-LT" w:eastAsia="lt-LT"/>
              </w:rPr>
              <w:lastRenderedPageBreak/>
              <w:t>7.1. žemės ūkio sektoriaus;</w:t>
            </w:r>
          </w:p>
          <w:p w:rsidR="002B7202" w:rsidRPr="002B7202" w:rsidRDefault="002B7202" w:rsidP="002B7202">
            <w:pPr>
              <w:spacing w:line="240" w:lineRule="auto"/>
              <w:rPr>
                <w:bCs/>
                <w:lang w:val="lt-LT" w:eastAsia="lt-LT"/>
              </w:rPr>
            </w:pPr>
            <w:r w:rsidRPr="002B7202">
              <w:rPr>
                <w:bCs/>
                <w:lang w:val="lt-LT" w:eastAsia="lt-LT"/>
              </w:rPr>
              <w:t>7.2. pagrindinių lakiuosius organinius junginius išmetančių sektorių;</w:t>
            </w:r>
          </w:p>
          <w:p w:rsidR="002B7202" w:rsidRPr="002B7202" w:rsidRDefault="002B7202" w:rsidP="002B7202">
            <w:pPr>
              <w:spacing w:line="240" w:lineRule="auto"/>
              <w:rPr>
                <w:bCs/>
                <w:strike/>
                <w:lang w:val="lt-LT" w:eastAsia="lt-LT"/>
              </w:rPr>
            </w:pPr>
            <w:r w:rsidRPr="002B7202">
              <w:rPr>
                <w:bCs/>
                <w:lang w:val="lt-LT" w:eastAsia="lt-LT"/>
              </w:rPr>
              <w:t>7.3. kitų sektorių“.</w:t>
            </w:r>
          </w:p>
          <w:p w:rsidR="002B7202" w:rsidRPr="002B7202" w:rsidRDefault="002B7202" w:rsidP="002B7202">
            <w:pPr>
              <w:spacing w:line="240" w:lineRule="auto"/>
              <w:ind w:firstLine="601"/>
              <w:rPr>
                <w:bCs/>
                <w:lang w:val="lt-LT" w:eastAsia="lt-LT"/>
              </w:rPr>
            </w:pPr>
            <w:r w:rsidRPr="002B7202">
              <w:rPr>
                <w:bCs/>
                <w:lang w:val="lt-LT" w:eastAsia="lt-LT"/>
              </w:rPr>
              <w:t>Ir/arba</w:t>
            </w:r>
          </w:p>
          <w:p w:rsidR="00B94F9E" w:rsidRDefault="002B7202" w:rsidP="002B7202">
            <w:pPr>
              <w:spacing w:line="240" w:lineRule="auto"/>
              <w:rPr>
                <w:lang w:val="lt-LT"/>
              </w:rPr>
            </w:pPr>
            <w:r w:rsidRPr="002B7202">
              <w:rPr>
                <w:bCs/>
                <w:lang w:val="lt-LT" w:eastAsia="lt-LT"/>
              </w:rPr>
              <w:t>4) Nacionalinės į aplinkos orą išmetamų teršalų kiekio apskaitos gerinimo 2015–2020  metų plano 9 priemonę:</w:t>
            </w:r>
            <w:r w:rsidRPr="002B7202">
              <w:t xml:space="preserve"> “</w:t>
            </w:r>
            <w:r w:rsidRPr="002B7202">
              <w:rPr>
                <w:lang w:val="lt-LT"/>
              </w:rPr>
              <w:t>Išanalizuoti</w:t>
            </w:r>
            <w:r w:rsidRPr="002B7202">
              <w:t xml:space="preserve"> </w:t>
            </w:r>
            <w:r w:rsidRPr="002B7202">
              <w:rPr>
                <w:lang w:val="lt-LT"/>
              </w:rPr>
              <w:t>teršalų apskaitos gairėse pateiktus neapibrėžčių skaičiavimo reikalavimus, taikomą praktiką kitose šalyse, pateikti išvadas dėl taikytino neapibrėžčių skaičiavimo būdo ir (jeigu tikslinga) organizuoti reikiamos programinės įrangos neapibrėžtims skaičiuoti įsigijimą</w:t>
            </w:r>
            <w:r w:rsidRPr="002B7202">
              <w:rPr>
                <w:bCs/>
                <w:lang w:val="lt-LT" w:eastAsia="lt-LT"/>
              </w:rPr>
              <w:t>“.</w:t>
            </w:r>
          </w:p>
        </w:tc>
      </w:tr>
      <w:tr w:rsidR="008A772D" w:rsidRPr="00F354B5" w:rsidTr="00A75C4D">
        <w:tc>
          <w:tcPr>
            <w:tcW w:w="2410" w:type="dxa"/>
          </w:tcPr>
          <w:p w:rsidR="00F354B5" w:rsidRDefault="00F354B5" w:rsidP="00F354B5">
            <w:pPr>
              <w:spacing w:line="240" w:lineRule="auto"/>
              <w:rPr>
                <w:lang w:val="lt-LT"/>
              </w:rPr>
            </w:pPr>
            <w:r w:rsidRPr="00F354B5">
              <w:rPr>
                <w:lang w:val="lt-LT"/>
              </w:rPr>
              <w:lastRenderedPageBreak/>
              <w:t>Hidrologinių ir meteorologinių stebėjimų, prognozavimo, modeliavimo, hidrometeorologinių ir klimato paslaugų teikimo, informacijos koordinavimo ir informavimo pajėgumų stiprinimas</w:t>
            </w:r>
          </w:p>
          <w:p w:rsidR="000F1283" w:rsidRPr="00F354B5" w:rsidRDefault="000F1283" w:rsidP="00F354B5">
            <w:pPr>
              <w:spacing w:line="240" w:lineRule="auto"/>
              <w:rPr>
                <w:bCs/>
                <w:i/>
                <w:lang w:val="lt-LT" w:eastAsia="lt-LT"/>
              </w:rPr>
            </w:pPr>
            <w:r>
              <w:t>(</w:t>
            </w:r>
            <w:proofErr w:type="spellStart"/>
            <w:r w:rsidR="00F81F3C">
              <w:t>šio</w:t>
            </w:r>
            <w:proofErr w:type="spellEnd"/>
            <w:r w:rsidR="00F81F3C">
              <w:t xml:space="preserve"> </w:t>
            </w:r>
            <w:proofErr w:type="spellStart"/>
            <w:r w:rsidRPr="00E03F09">
              <w:t>Aprašo</w:t>
            </w:r>
            <w:proofErr w:type="spellEnd"/>
            <w:r w:rsidRPr="00E03F09">
              <w:t xml:space="preserve"> </w:t>
            </w:r>
            <w:r w:rsidR="002F2A88">
              <w:t>9</w:t>
            </w:r>
            <w:r w:rsidRPr="00E03F09">
              <w:t>.</w:t>
            </w:r>
            <w:r>
              <w:t>2</w:t>
            </w:r>
            <w:r w:rsidRPr="00E03F09">
              <w:t xml:space="preserve"> </w:t>
            </w:r>
            <w:proofErr w:type="spellStart"/>
            <w:r w:rsidRPr="00E03F09">
              <w:t>papunktyje</w:t>
            </w:r>
            <w:proofErr w:type="spellEnd"/>
            <w:r w:rsidRPr="00E03F09">
              <w:t xml:space="preserve"> </w:t>
            </w:r>
            <w:proofErr w:type="spellStart"/>
            <w:r w:rsidRPr="00E03F09">
              <w:t>nurodyta</w:t>
            </w:r>
            <w:proofErr w:type="spellEnd"/>
            <w:r w:rsidRPr="00E03F09">
              <w:t xml:space="preserve"> </w:t>
            </w:r>
            <w:proofErr w:type="spellStart"/>
            <w:r w:rsidRPr="00E03F09">
              <w:t>veikla</w:t>
            </w:r>
            <w:proofErr w:type="spellEnd"/>
            <w:r>
              <w:t>)</w:t>
            </w:r>
          </w:p>
          <w:p w:rsidR="008A772D" w:rsidRPr="00F354B5" w:rsidRDefault="008A772D" w:rsidP="001A5E30">
            <w:pPr>
              <w:spacing w:line="240" w:lineRule="auto"/>
              <w:jc w:val="left"/>
              <w:rPr>
                <w:lang w:val="lt-LT"/>
              </w:rPr>
            </w:pPr>
          </w:p>
        </w:tc>
        <w:tc>
          <w:tcPr>
            <w:tcW w:w="4395" w:type="dxa"/>
            <w:shd w:val="clear" w:color="auto" w:fill="auto"/>
          </w:tcPr>
          <w:p w:rsidR="002B7202" w:rsidRPr="002B7202" w:rsidRDefault="00F354B5" w:rsidP="002B7202">
            <w:pPr>
              <w:spacing w:line="240" w:lineRule="auto"/>
              <w:ind w:left="34" w:firstLine="326"/>
              <w:rPr>
                <w:lang w:val="lt-LT"/>
              </w:rPr>
            </w:pPr>
            <w:r w:rsidRPr="006E5A58">
              <w:rPr>
                <w:lang w:val="lt-LT"/>
              </w:rPr>
              <w:t xml:space="preserve">2. </w:t>
            </w:r>
            <w:r w:rsidR="002B7202" w:rsidRPr="002B7202">
              <w:rPr>
                <w:lang w:val="lt-LT"/>
              </w:rPr>
              <w:t xml:space="preserve">Projekto atitiktis Nacionalinės klimato kaitos valdymo politikos strategijos tikslų ir uždavinių įgyvendinimo </w:t>
            </w:r>
            <w:proofErr w:type="spellStart"/>
            <w:r w:rsidR="002B7202" w:rsidRPr="002B7202">
              <w:rPr>
                <w:lang w:val="lt-LT"/>
              </w:rPr>
              <w:t>tarpinstituciniam</w:t>
            </w:r>
            <w:proofErr w:type="spellEnd"/>
            <w:r w:rsidR="002B7202" w:rsidRPr="002B7202">
              <w:rPr>
                <w:lang w:val="lt-LT"/>
              </w:rPr>
              <w:t xml:space="preserve"> veiklos planui, patvirtintam Lietuvos Respublikos Vyriausybės 2013 m. balandžio 23 d. nutarimo Nr. 366 „Dėl Nacionalinės klimato kaitos valdymo politikos strategijos tikslų ir uždavinių įgyvendinimo </w:t>
            </w:r>
            <w:proofErr w:type="spellStart"/>
            <w:r w:rsidR="002B7202" w:rsidRPr="002B7202">
              <w:rPr>
                <w:lang w:val="lt-LT"/>
              </w:rPr>
              <w:t>tarpinstitucinio</w:t>
            </w:r>
            <w:proofErr w:type="spellEnd"/>
            <w:r w:rsidR="002B7202" w:rsidRPr="002B7202">
              <w:rPr>
                <w:lang w:val="lt-LT"/>
              </w:rPr>
              <w:t xml:space="preserve"> veiklos plano patvirtinimo“ (toliau – Nacionalinės klimato kaitos valdymo politikos strategijos tikslų ir uždavinių įgyvendinimo </w:t>
            </w:r>
            <w:proofErr w:type="spellStart"/>
            <w:r w:rsidR="002B7202" w:rsidRPr="002B7202">
              <w:rPr>
                <w:lang w:val="lt-LT"/>
              </w:rPr>
              <w:t>tarpinstitucinis</w:t>
            </w:r>
            <w:proofErr w:type="spellEnd"/>
            <w:r w:rsidR="002B7202" w:rsidRPr="002B7202">
              <w:rPr>
                <w:lang w:val="lt-LT"/>
              </w:rPr>
              <w:t xml:space="preserve"> veiklos planas)</w:t>
            </w:r>
          </w:p>
          <w:p w:rsidR="002B7202" w:rsidRPr="002B7202" w:rsidRDefault="002B7202" w:rsidP="002B7202">
            <w:pPr>
              <w:spacing w:line="240" w:lineRule="auto"/>
              <w:ind w:left="34" w:firstLine="326"/>
              <w:rPr>
                <w:lang w:val="lt-LT"/>
              </w:rPr>
            </w:pPr>
            <w:r w:rsidRPr="002B7202">
              <w:rPr>
                <w:lang w:val="lt-LT"/>
              </w:rPr>
              <w:t xml:space="preserve">arba </w:t>
            </w:r>
          </w:p>
          <w:p w:rsidR="002B7202" w:rsidRPr="002B7202" w:rsidRDefault="002B7202" w:rsidP="002B7202">
            <w:pPr>
              <w:spacing w:line="240" w:lineRule="auto"/>
              <w:ind w:left="34" w:firstLine="326"/>
              <w:rPr>
                <w:lang w:val="lt-LT"/>
              </w:rPr>
            </w:pPr>
            <w:r w:rsidRPr="002B7202">
              <w:rPr>
                <w:lang w:val="lt-LT"/>
              </w:rPr>
              <w:t xml:space="preserve">Registrų, kadastrų, informacinių sistemų diegimo ir vystymo panaudojant informacines technologijas aplinkos sektoriuje 2014–2020 metų veiksmų planui, patvirtintam Lietuvos Respublikos aplinkos ministro 2014 m. rugsėjo 30 d. įsakymu Nr. D1-796 „Dėl Registrų, kadastrų, informacinių sistemų diegimo ir vystymo panaudojant informacines </w:t>
            </w:r>
            <w:r w:rsidRPr="002B7202">
              <w:rPr>
                <w:lang w:val="lt-LT"/>
              </w:rPr>
              <w:lastRenderedPageBreak/>
              <w:t>technologijas Aplinkos sektoriuje 2014-2020 metų veiksmų plano patvirtinimo“</w:t>
            </w:r>
            <w:r w:rsidRPr="002B7202">
              <w:t xml:space="preserve"> </w:t>
            </w:r>
            <w:r w:rsidRPr="002B7202">
              <w:rPr>
                <w:lang w:val="lt-LT"/>
              </w:rPr>
              <w:t>(toliau – Registrų, kadastrų, informacinių sistemų diegimo ir vystymo panaudojant informacines technologijas aplinkos sektoriuje 2014–2020 metų veiksmų planas)</w:t>
            </w:r>
          </w:p>
          <w:p w:rsidR="002B7202" w:rsidRPr="002B7202" w:rsidRDefault="002B7202" w:rsidP="002B7202">
            <w:pPr>
              <w:spacing w:line="240" w:lineRule="auto"/>
              <w:ind w:left="34" w:firstLine="326"/>
              <w:rPr>
                <w:lang w:val="lt-LT"/>
              </w:rPr>
            </w:pPr>
            <w:r w:rsidRPr="002B7202">
              <w:rPr>
                <w:lang w:val="lt-LT"/>
              </w:rPr>
              <w:t xml:space="preserve"> arba </w:t>
            </w:r>
          </w:p>
          <w:p w:rsidR="008A772D" w:rsidRPr="00F354B5" w:rsidRDefault="002B7202" w:rsidP="00A75C4D">
            <w:pPr>
              <w:spacing w:line="240" w:lineRule="auto"/>
              <w:ind w:left="34" w:firstLine="326"/>
              <w:rPr>
                <w:lang w:val="lt-LT"/>
              </w:rPr>
            </w:pPr>
            <w:r w:rsidRPr="002B7202">
              <w:rPr>
                <w:lang w:val="lt-LT"/>
              </w:rPr>
              <w:t>Meteorologinių, hidrologinių, klimato stebėjimų ir prognozavimo sistemos vystymo 2015–2020 metų veiksmų plano, patvirtinto Lietuvos Respublikos aplinkos ministro 2015 m. rugpjūčio 6 d. įsakymu Nr. D1-586 „Dėl Meteorologinių, hidrologinių, klimato stebėjimų ir prognozavimo sistemos vystymo 2015–2020 metų veiksmų plano patvirtinimo“</w:t>
            </w:r>
            <w:r w:rsidRPr="002B7202">
              <w:rPr>
                <w:lang w:val="lt-LT"/>
              </w:rPr>
              <w:t xml:space="preserve"> </w:t>
            </w:r>
            <w:r w:rsidRPr="002B7202">
              <w:rPr>
                <w:lang w:val="lt-LT"/>
              </w:rPr>
              <w:t>(toliau – Meteorologinių, hidrologinių, klimato stebėjimų ir prognozavimo sistemos vystymo 2015–2020 metų veiksmų planas).</w:t>
            </w:r>
            <w:bookmarkStart w:id="3" w:name="_GoBack"/>
            <w:bookmarkEnd w:id="3"/>
            <w:r w:rsidR="00F354B5" w:rsidRPr="006E5A58">
              <w:rPr>
                <w:lang w:val="lt-LT"/>
              </w:rPr>
              <w:t xml:space="preserve"> </w:t>
            </w:r>
          </w:p>
        </w:tc>
        <w:tc>
          <w:tcPr>
            <w:tcW w:w="8843" w:type="dxa"/>
            <w:shd w:val="clear" w:color="auto" w:fill="auto"/>
          </w:tcPr>
          <w:p w:rsidR="002B7202" w:rsidRPr="002B7202" w:rsidRDefault="002B7202" w:rsidP="002B7202">
            <w:pPr>
              <w:spacing w:line="240" w:lineRule="auto"/>
              <w:jc w:val="left"/>
              <w:rPr>
                <w:bCs/>
                <w:lang w:val="lt-LT" w:eastAsia="lt-LT"/>
              </w:rPr>
            </w:pPr>
            <w:r w:rsidRPr="002B7202">
              <w:rPr>
                <w:bCs/>
                <w:lang w:val="lt-LT" w:eastAsia="lt-LT"/>
              </w:rPr>
              <w:lastRenderedPageBreak/>
              <w:t>Vertinama, ar projekto veiklos atitinka bent vieną iš toliau išvardintų aspektų:</w:t>
            </w:r>
          </w:p>
          <w:p w:rsidR="002B7202" w:rsidRPr="002B7202" w:rsidRDefault="002B7202" w:rsidP="002B7202">
            <w:pPr>
              <w:spacing w:line="240" w:lineRule="auto"/>
              <w:rPr>
                <w:bCs/>
                <w:lang w:val="lt-LT" w:eastAsia="lt-LT"/>
              </w:rPr>
            </w:pPr>
            <w:r w:rsidRPr="002B7202">
              <w:rPr>
                <w:lang w:val="lt-LT"/>
              </w:rPr>
              <w:t xml:space="preserve">1) Nacionalinės klimato kaitos valdymo politikos strategijos tikslų ir uždavinių įgyvendinimo </w:t>
            </w:r>
            <w:proofErr w:type="spellStart"/>
            <w:r w:rsidRPr="002B7202">
              <w:rPr>
                <w:lang w:val="lt-LT"/>
              </w:rPr>
              <w:t>tarpinstitucinio</w:t>
            </w:r>
            <w:proofErr w:type="spellEnd"/>
            <w:r w:rsidRPr="002B7202">
              <w:rPr>
                <w:lang w:val="lt-LT"/>
              </w:rPr>
              <w:t xml:space="preserve"> veiklos plano II skyriaus „Plano tikslai, uždaviniai, priemonės, asignavimai ir įgyvendinančios institucijos“ 4.1. uždavinio – užtikrinti, kad aplinkos, meteorologinių ir hidrologinių stebėjimų sistema būtų nuolat tobulinama ir atnaujinama, 4.1.1. priemonę – įgyvendinti aplinkos monitoringo ir kontrolės stiprinimo projektus ir šiai priemonei įgyvendinti  numatytą projekto vykdytoją. </w:t>
            </w:r>
          </w:p>
          <w:p w:rsidR="002B7202" w:rsidRPr="002B7202" w:rsidRDefault="002B7202" w:rsidP="002B7202">
            <w:pPr>
              <w:suppressAutoHyphens/>
              <w:spacing w:line="240" w:lineRule="auto"/>
              <w:jc w:val="left"/>
              <w:rPr>
                <w:bCs/>
                <w:lang w:val="lt-LT" w:eastAsia="lt-LT"/>
              </w:rPr>
            </w:pPr>
            <w:r w:rsidRPr="002B7202">
              <w:rPr>
                <w:lang w:val="lt-LT"/>
              </w:rPr>
              <w:t>Arba:</w:t>
            </w:r>
          </w:p>
          <w:p w:rsidR="002B7202" w:rsidRPr="002B7202" w:rsidRDefault="002B7202" w:rsidP="002B7202">
            <w:pPr>
              <w:spacing w:line="240" w:lineRule="auto"/>
              <w:rPr>
                <w:lang w:val="lt-LT"/>
              </w:rPr>
            </w:pPr>
            <w:r w:rsidRPr="002B7202">
              <w:rPr>
                <w:bCs/>
                <w:lang w:val="lt-LT"/>
              </w:rPr>
              <w:t>2) Registrų, kadastrų, informacinių sistemų diegimo ir vystymo panaudojant informacines technologijas aplinkos sektoriuje 2014–2020 metų veiksmų plano 1 priede                                                                                                              numatytą 1.1. uždavinį „</w:t>
            </w:r>
            <w:r w:rsidRPr="002B7202">
              <w:rPr>
                <w:lang w:val="lt-LT"/>
              </w:rPr>
              <w:t>plėtoti ir tobulinti aplinkos sektoriaus administracines paslaugas, panaudojant IRT priemones</w:t>
            </w:r>
            <w:r w:rsidRPr="002B7202">
              <w:rPr>
                <w:bCs/>
                <w:lang w:val="lt-LT"/>
              </w:rPr>
              <w:t>“ ir 1.1.10 priemonę „</w:t>
            </w:r>
            <w:r w:rsidRPr="002B7202">
              <w:rPr>
                <w:lang w:val="lt-LT"/>
              </w:rPr>
              <w:t>plėtoti aplinkos informacijos valdymo integruotą kompiuterinę sistemą (AIVIKS)“ ir šiai priemonei įgyvendinti  numatytą projekto vykdytoją.</w:t>
            </w:r>
          </w:p>
          <w:p w:rsidR="002B7202" w:rsidRPr="002B7202" w:rsidRDefault="002B7202" w:rsidP="002B7202">
            <w:pPr>
              <w:spacing w:line="240" w:lineRule="auto"/>
              <w:rPr>
                <w:bCs/>
                <w:lang w:val="lt-LT" w:eastAsia="lt-LT"/>
              </w:rPr>
            </w:pPr>
            <w:r w:rsidRPr="002B7202">
              <w:rPr>
                <w:bCs/>
                <w:lang w:val="lt-LT" w:eastAsia="lt-LT"/>
              </w:rPr>
              <w:t xml:space="preserve">Arba                   </w:t>
            </w:r>
          </w:p>
          <w:p w:rsidR="002B7202" w:rsidRPr="002B7202" w:rsidRDefault="002B7202" w:rsidP="002B7202">
            <w:pPr>
              <w:spacing w:line="240" w:lineRule="auto"/>
              <w:rPr>
                <w:lang w:val="lt-LT"/>
              </w:rPr>
            </w:pPr>
            <w:r w:rsidRPr="002B7202">
              <w:rPr>
                <w:bCs/>
                <w:lang w:val="lt-LT"/>
              </w:rPr>
              <w:t xml:space="preserve">3) Vertinama, ar Meteorologinių, hidrologinių, klimato stebėjimų ir prognozavimo sistemos vystymo 2015–2020 metų veiksmų plano 5 punkte nurodyto pareiškėjo numatytos įgyvendinti projektų veiklos prisideda prie bent vieno Meteorologinių, hidrologinių, klimato stebėjimų ir prognozavimo sistemos vystymo 2015–2020 metų veiksmų plano 8.1 ar 8.2 ar 8.3 punktuose nurodytų tikslų, 8.1.1 ar 8.2.1 ar 8.2.2 ar </w:t>
            </w:r>
            <w:r w:rsidRPr="002B7202">
              <w:rPr>
                <w:lang w:val="lt-LT"/>
              </w:rPr>
              <w:t>8.3.1 ar  8.3.2 ar 8.3.3 ar 8.3.4 ar 8.3.5 ar 8.3.6 papunkčiuose nurodytų uždavinių ir įgyvendina bent vieną šio veiksmų plano priedo 1.1.1 –3.6.6 papunkčiuose išdėstytą priemonę.</w:t>
            </w:r>
          </w:p>
          <w:p w:rsidR="002B7202" w:rsidRPr="002B7202" w:rsidRDefault="002B7202" w:rsidP="002B7202">
            <w:pPr>
              <w:spacing w:line="240" w:lineRule="auto"/>
              <w:rPr>
                <w:bCs/>
                <w:lang w:val="lt-LT"/>
              </w:rPr>
            </w:pPr>
            <w:r w:rsidRPr="002B7202">
              <w:rPr>
                <w:bCs/>
                <w:lang w:val="lt-LT"/>
              </w:rPr>
              <w:t xml:space="preserve">Meteorologinių, hidrologinių, klimato stebėjimų ir prognozavimo sistemos vystymo 2015–2020 metų veiksmų plano tikslai ir uždaviniai: </w:t>
            </w:r>
          </w:p>
          <w:p w:rsidR="002B7202" w:rsidRPr="002B7202" w:rsidRDefault="002B7202" w:rsidP="002B7202">
            <w:pPr>
              <w:spacing w:line="240" w:lineRule="auto"/>
              <w:rPr>
                <w:bCs/>
                <w:lang w:val="lt-LT"/>
              </w:rPr>
            </w:pPr>
            <w:r w:rsidRPr="002B7202">
              <w:rPr>
                <w:bCs/>
                <w:lang w:val="lt-LT"/>
              </w:rPr>
              <w:t xml:space="preserve">8.1. Užtikrinti nepertraukiamus meteorologinius, </w:t>
            </w:r>
            <w:proofErr w:type="spellStart"/>
            <w:r w:rsidRPr="002B7202">
              <w:rPr>
                <w:bCs/>
                <w:lang w:val="lt-LT"/>
              </w:rPr>
              <w:t>agrometeorologinius</w:t>
            </w:r>
            <w:proofErr w:type="spellEnd"/>
            <w:r w:rsidRPr="002B7202">
              <w:rPr>
                <w:bCs/>
                <w:lang w:val="lt-LT"/>
              </w:rPr>
              <w:t xml:space="preserve"> stebėjimus, </w:t>
            </w:r>
            <w:r w:rsidRPr="002B7202">
              <w:rPr>
                <w:bCs/>
                <w:lang w:val="lt-LT"/>
              </w:rPr>
              <w:lastRenderedPageBreak/>
              <w:t>gaunamų duomenų patikimumą ir tikslesnių perspėjimų apie pavojingus, stichinius ir katastrofinius meteorologinius reiškinius rengimą.</w:t>
            </w:r>
          </w:p>
          <w:p w:rsidR="002B7202" w:rsidRPr="002B7202" w:rsidRDefault="002B7202" w:rsidP="002B7202">
            <w:pPr>
              <w:spacing w:line="240" w:lineRule="auto"/>
              <w:rPr>
                <w:bCs/>
                <w:lang w:val="lt-LT"/>
              </w:rPr>
            </w:pPr>
            <w:r w:rsidRPr="002B7202">
              <w:rPr>
                <w:bCs/>
                <w:lang w:val="lt-LT"/>
              </w:rPr>
              <w:t xml:space="preserve">8.1.1. Atnaujinti meteorologinių, </w:t>
            </w:r>
            <w:proofErr w:type="spellStart"/>
            <w:r w:rsidRPr="002B7202">
              <w:rPr>
                <w:bCs/>
                <w:lang w:val="lt-LT"/>
              </w:rPr>
              <w:t>agrometeorologinių</w:t>
            </w:r>
            <w:proofErr w:type="spellEnd"/>
            <w:r w:rsidRPr="002B7202">
              <w:rPr>
                <w:bCs/>
                <w:lang w:val="lt-LT"/>
              </w:rPr>
              <w:t>, Saulės spinduliuotės, ultravioletinės Saulės spinduliuotės, žaibų išlydžių aptikimo, radiolokacinių automatinių matavimų prietaisus ir programinę įrangą.</w:t>
            </w:r>
          </w:p>
          <w:p w:rsidR="002B7202" w:rsidRPr="002B7202" w:rsidRDefault="002B7202" w:rsidP="002B7202">
            <w:pPr>
              <w:spacing w:line="240" w:lineRule="auto"/>
              <w:rPr>
                <w:bCs/>
                <w:lang w:val="lt-LT"/>
              </w:rPr>
            </w:pPr>
            <w:r w:rsidRPr="002B7202">
              <w:rPr>
                <w:bCs/>
                <w:lang w:val="lt-LT"/>
              </w:rPr>
              <w:t>8.2. Užtikrinti nepertraukiamus hidrologinius stebėjimus, gaunamų duomenų patikimumą ir tikslesnių hidrologinių prognozių rengimą.</w:t>
            </w:r>
          </w:p>
          <w:p w:rsidR="002B7202" w:rsidRPr="002B7202" w:rsidRDefault="002B7202" w:rsidP="002B7202">
            <w:pPr>
              <w:spacing w:line="240" w:lineRule="auto"/>
              <w:rPr>
                <w:bCs/>
                <w:lang w:val="lt-LT"/>
              </w:rPr>
            </w:pPr>
            <w:r w:rsidRPr="002B7202">
              <w:rPr>
                <w:bCs/>
                <w:lang w:val="lt-LT"/>
              </w:rPr>
              <w:t>8.2.1. Atnaujinti hidrologinių matavimų potvynių zonoje ir hidrologinio monitoringo infrastruktūrą, padidinti matuojamų hidrologinių elementų skaičių.</w:t>
            </w:r>
          </w:p>
          <w:p w:rsidR="002B7202" w:rsidRPr="002B7202" w:rsidRDefault="002B7202" w:rsidP="002B7202">
            <w:pPr>
              <w:spacing w:line="240" w:lineRule="auto"/>
              <w:rPr>
                <w:bCs/>
                <w:lang w:val="lt-LT"/>
              </w:rPr>
            </w:pPr>
            <w:r w:rsidRPr="002B7202">
              <w:rPr>
                <w:bCs/>
                <w:lang w:val="lt-LT"/>
              </w:rPr>
              <w:t>8.2.2. Stiprinti potvynių prognozavimo ir užliejamų teritorijų nustatymo sistemos pajėgumus atnaujinant kompiuterinę ir programinę įrangą.</w:t>
            </w:r>
          </w:p>
          <w:p w:rsidR="002B7202" w:rsidRPr="002B7202" w:rsidRDefault="002B7202" w:rsidP="002B7202">
            <w:pPr>
              <w:spacing w:line="240" w:lineRule="auto"/>
              <w:rPr>
                <w:bCs/>
                <w:lang w:val="lt-LT"/>
              </w:rPr>
            </w:pPr>
            <w:r w:rsidRPr="002B7202">
              <w:rPr>
                <w:bCs/>
                <w:lang w:val="lt-LT"/>
              </w:rPr>
              <w:t>8.3. Stiprinti hidrologinių ir meteorologinių stebėjimų, prognozavimo, modeliavimo,  hidrometeorologinių ir informacijos apie  klimatą paslaugų teikimo pajėgumus.</w:t>
            </w:r>
          </w:p>
          <w:p w:rsidR="002B7202" w:rsidRPr="002B7202" w:rsidRDefault="002B7202" w:rsidP="002B7202">
            <w:pPr>
              <w:spacing w:line="240" w:lineRule="auto"/>
              <w:rPr>
                <w:bCs/>
                <w:lang w:val="lt-LT"/>
              </w:rPr>
            </w:pPr>
            <w:r w:rsidRPr="002B7202">
              <w:rPr>
                <w:bCs/>
                <w:lang w:val="lt-LT"/>
              </w:rPr>
              <w:t>8.3.1. Tobulinti skaitmeninį orų modeliavimą.</w:t>
            </w:r>
          </w:p>
          <w:p w:rsidR="002B7202" w:rsidRPr="002B7202" w:rsidRDefault="002B7202" w:rsidP="002B7202">
            <w:pPr>
              <w:spacing w:line="240" w:lineRule="auto"/>
              <w:rPr>
                <w:bCs/>
                <w:lang w:val="lt-LT"/>
              </w:rPr>
            </w:pPr>
            <w:r w:rsidRPr="002B7202">
              <w:rPr>
                <w:bCs/>
                <w:lang w:val="lt-LT"/>
              </w:rPr>
              <w:t>8.3.2. Sukurti vieningą skaitmeninę klimato stebėjimo duomenų bazę.</w:t>
            </w:r>
          </w:p>
          <w:p w:rsidR="002B7202" w:rsidRPr="002B7202" w:rsidRDefault="002B7202" w:rsidP="002B7202">
            <w:pPr>
              <w:spacing w:line="240" w:lineRule="auto"/>
              <w:rPr>
                <w:bCs/>
                <w:lang w:val="lt-LT"/>
              </w:rPr>
            </w:pPr>
            <w:r w:rsidRPr="002B7202">
              <w:rPr>
                <w:bCs/>
                <w:lang w:val="lt-LT"/>
              </w:rPr>
              <w:t>8.3.3. Užtikrinti informacinių ir ryšių technologijų infrastruktūros tinkamą funkcionalumą.</w:t>
            </w:r>
          </w:p>
          <w:p w:rsidR="002B7202" w:rsidRPr="002B7202" w:rsidRDefault="002B7202" w:rsidP="002B7202">
            <w:pPr>
              <w:spacing w:line="240" w:lineRule="auto"/>
              <w:rPr>
                <w:bCs/>
                <w:lang w:val="lt-LT"/>
              </w:rPr>
            </w:pPr>
            <w:r w:rsidRPr="002B7202">
              <w:rPr>
                <w:bCs/>
                <w:lang w:val="lt-LT"/>
              </w:rPr>
              <w:t>8.3.4. Atnaujinti orų prognozavimo sistemą.</w:t>
            </w:r>
          </w:p>
          <w:p w:rsidR="002B7202" w:rsidRPr="002B7202" w:rsidRDefault="002B7202" w:rsidP="002B7202">
            <w:pPr>
              <w:spacing w:line="240" w:lineRule="auto"/>
              <w:rPr>
                <w:bCs/>
                <w:lang w:val="lt-LT"/>
              </w:rPr>
            </w:pPr>
            <w:r w:rsidRPr="002B7202">
              <w:rPr>
                <w:bCs/>
                <w:lang w:val="lt-LT"/>
              </w:rPr>
              <w:t>8.3.5. Atnaujinti hidrometeorologinių stebėjimų tinklo priežiūros priemones.</w:t>
            </w:r>
          </w:p>
          <w:p w:rsidR="008A772D" w:rsidRPr="00F354B5" w:rsidRDefault="002B7202" w:rsidP="002B7202">
            <w:pPr>
              <w:spacing w:line="240" w:lineRule="auto"/>
              <w:rPr>
                <w:lang w:val="lt-LT"/>
              </w:rPr>
            </w:pPr>
            <w:r w:rsidRPr="002B7202">
              <w:rPr>
                <w:bCs/>
                <w:lang w:val="lt-LT"/>
              </w:rPr>
              <w:t>8.3.6. Užtikrinti tinkamą ir patikimą klimato, meteorologinės ir hidrologinės informacijos teikimą.</w:t>
            </w:r>
          </w:p>
        </w:tc>
      </w:tr>
      <w:tr w:rsidR="008A772D" w:rsidRPr="002C2662" w:rsidTr="00A75C4D">
        <w:tc>
          <w:tcPr>
            <w:tcW w:w="2410" w:type="dxa"/>
          </w:tcPr>
          <w:p w:rsidR="00F354B5" w:rsidRDefault="00F354B5" w:rsidP="00F354B5">
            <w:pPr>
              <w:widowControl/>
              <w:adjustRightInd/>
              <w:spacing w:line="240" w:lineRule="auto"/>
              <w:jc w:val="left"/>
              <w:textAlignment w:val="auto"/>
              <w:rPr>
                <w:lang w:val="lt-LT"/>
              </w:rPr>
            </w:pPr>
            <w:r w:rsidRPr="00F354B5">
              <w:rPr>
                <w:lang w:val="lt-LT" w:eastAsia="lt-LT"/>
              </w:rPr>
              <w:lastRenderedPageBreak/>
              <w:t>Aplinkos</w:t>
            </w:r>
            <w:r w:rsidRPr="00F354B5">
              <w:rPr>
                <w:i/>
                <w:lang w:val="lt-LT" w:eastAsia="lt-LT"/>
              </w:rPr>
              <w:t xml:space="preserve"> </w:t>
            </w:r>
            <w:r w:rsidRPr="00F354B5">
              <w:rPr>
                <w:lang w:val="lt-LT"/>
              </w:rPr>
              <w:t>oro monitoringo ir ankstyvojo perspėjimo stočių tinklo ir laboratorijų atnaujinimas</w:t>
            </w:r>
          </w:p>
          <w:p w:rsidR="000F1283" w:rsidRPr="00F354B5" w:rsidRDefault="000F1283" w:rsidP="000F1283">
            <w:pPr>
              <w:spacing w:line="240" w:lineRule="auto"/>
              <w:rPr>
                <w:bCs/>
                <w:i/>
                <w:lang w:val="lt-LT" w:eastAsia="lt-LT"/>
              </w:rPr>
            </w:pPr>
            <w:r>
              <w:t>(</w:t>
            </w:r>
            <w:proofErr w:type="spellStart"/>
            <w:r w:rsidR="00F81F3C">
              <w:t>šio</w:t>
            </w:r>
            <w:proofErr w:type="spellEnd"/>
            <w:r w:rsidR="00F81F3C">
              <w:t xml:space="preserve"> </w:t>
            </w:r>
            <w:proofErr w:type="spellStart"/>
            <w:r w:rsidRPr="00E03F09">
              <w:t>Aprašo</w:t>
            </w:r>
            <w:proofErr w:type="spellEnd"/>
            <w:r w:rsidRPr="00E03F09">
              <w:t xml:space="preserve"> </w:t>
            </w:r>
            <w:r w:rsidR="002F2A88">
              <w:t>9</w:t>
            </w:r>
            <w:r w:rsidRPr="00E03F09">
              <w:t>.</w:t>
            </w:r>
            <w:r>
              <w:t>3</w:t>
            </w:r>
            <w:r w:rsidRPr="00E03F09">
              <w:t xml:space="preserve"> </w:t>
            </w:r>
            <w:proofErr w:type="spellStart"/>
            <w:r w:rsidRPr="00E03F09">
              <w:t>papunktyje</w:t>
            </w:r>
            <w:proofErr w:type="spellEnd"/>
            <w:r w:rsidRPr="00E03F09">
              <w:t xml:space="preserve"> </w:t>
            </w:r>
            <w:proofErr w:type="spellStart"/>
            <w:r w:rsidRPr="00E03F09">
              <w:t>nurodyta</w:t>
            </w:r>
            <w:proofErr w:type="spellEnd"/>
            <w:r w:rsidRPr="00E03F09">
              <w:t xml:space="preserve"> </w:t>
            </w:r>
            <w:proofErr w:type="spellStart"/>
            <w:r w:rsidRPr="00E03F09">
              <w:t>veikla</w:t>
            </w:r>
            <w:proofErr w:type="spellEnd"/>
            <w:r>
              <w:t>)</w:t>
            </w:r>
          </w:p>
          <w:p w:rsidR="000F1283" w:rsidRPr="00F354B5" w:rsidRDefault="000F1283" w:rsidP="00F354B5">
            <w:pPr>
              <w:widowControl/>
              <w:adjustRightInd/>
              <w:spacing w:line="240" w:lineRule="auto"/>
              <w:jc w:val="left"/>
              <w:textAlignment w:val="auto"/>
              <w:rPr>
                <w:lang w:val="lt-LT"/>
              </w:rPr>
            </w:pPr>
          </w:p>
          <w:p w:rsidR="008A772D" w:rsidRPr="00F354B5" w:rsidRDefault="008A772D" w:rsidP="001A5E30">
            <w:pPr>
              <w:spacing w:line="240" w:lineRule="auto"/>
              <w:jc w:val="left"/>
              <w:rPr>
                <w:lang w:val="lt-LT"/>
              </w:rPr>
            </w:pPr>
          </w:p>
        </w:tc>
        <w:tc>
          <w:tcPr>
            <w:tcW w:w="4395" w:type="dxa"/>
            <w:shd w:val="clear" w:color="auto" w:fill="auto"/>
          </w:tcPr>
          <w:p w:rsidR="008A772D" w:rsidRPr="00A75C4D" w:rsidRDefault="00F354B5" w:rsidP="00CC6DBD">
            <w:pPr>
              <w:spacing w:line="240" w:lineRule="auto"/>
            </w:pPr>
            <w:r w:rsidRPr="006E5A58">
              <w:rPr>
                <w:lang w:val="lt-LT"/>
              </w:rPr>
              <w:t xml:space="preserve">3. </w:t>
            </w:r>
            <w:r w:rsidR="00A75C4D" w:rsidRPr="00A75C4D">
              <w:rPr>
                <w:lang w:val="lt-LT"/>
              </w:rPr>
              <w:t xml:space="preserve">Projekto atitiktis Valstybinei aplinkos monitoringo 2011–2017 metų programai, patvirtintai Lietuvos Respublikos Vyriausybės 2011 m. kovo 2 d. nutarimu Nr. 315 “Dėl Valstybinės aplinkos monitoringo programos patvirtinimo” (toliau – Valstybinei aplinkos monitoringo 2011–2017 metų programa) arba Matavimo prietaisų, mėginių paėmimo, kitos laboratorinės įrangos ir priemonių, reikalingų Aplinkos apsaugos agentūrai Valstybinės aplinkos monitoringo 2011–2017 metų programos vykdymui, sąrašo, </w:t>
            </w:r>
            <w:r w:rsidR="00A75C4D" w:rsidRPr="00A75C4D">
              <w:rPr>
                <w:lang w:val="lt-LT"/>
              </w:rPr>
              <w:lastRenderedPageBreak/>
              <w:t>patvirtinto Lietuvos Respublikos aplinkos ministro 2015 m. vasario 9 d. įsakymu Nr. D1-102 „Dėl Matavimo prietaisų, mėginių paėmimo, kitos laboratorinės įrangos ir priemonių, reikalingų Aplinkos apsaugos agentūrai Valstybinės aplinkos monitoringo 2011–2017 metų programos vykdymui, sąrašo patvirtinimo“</w:t>
            </w:r>
            <w:r w:rsidR="00A75C4D" w:rsidRPr="00A75C4D">
              <w:t xml:space="preserve"> </w:t>
            </w:r>
            <w:r w:rsidR="00A75C4D" w:rsidRPr="00A75C4D">
              <w:rPr>
                <w:lang w:val="lt-LT"/>
              </w:rPr>
              <w:t>(toliau – Matavimo prietaisų, mėginių paėmimo, kitos laboratorinės įrangos ir priemonių, reikalingų Aplinkos apsaugos agentūrai Valstybinės aplinkos monitoringo 2011–2017 metų programos vykdymui, sąrašas).</w:t>
            </w:r>
            <w:r w:rsidR="00A75C4D" w:rsidRPr="00A75C4D">
              <w:t xml:space="preserve"> </w:t>
            </w:r>
          </w:p>
        </w:tc>
        <w:tc>
          <w:tcPr>
            <w:tcW w:w="8843" w:type="dxa"/>
            <w:shd w:val="clear" w:color="auto" w:fill="auto"/>
          </w:tcPr>
          <w:p w:rsidR="00A75C4D" w:rsidRPr="00A75C4D" w:rsidRDefault="00A75C4D" w:rsidP="00A75C4D">
            <w:pPr>
              <w:spacing w:line="240" w:lineRule="auto"/>
              <w:rPr>
                <w:bCs/>
                <w:lang w:val="lt-LT" w:eastAsia="lt-LT"/>
              </w:rPr>
            </w:pPr>
            <w:r w:rsidRPr="00A75C4D">
              <w:rPr>
                <w:bCs/>
                <w:lang w:val="lt-LT" w:eastAsia="lt-LT"/>
              </w:rPr>
              <w:lastRenderedPageBreak/>
              <w:t>Vertinama, ar projekto veiklos atitinka bent vieną iš šių aspektų:</w:t>
            </w:r>
          </w:p>
          <w:p w:rsidR="00A75C4D" w:rsidRPr="00A75C4D" w:rsidRDefault="00A75C4D" w:rsidP="00A75C4D">
            <w:pPr>
              <w:spacing w:line="240" w:lineRule="auto"/>
              <w:ind w:left="241"/>
              <w:rPr>
                <w:bCs/>
                <w:lang w:val="lt-LT" w:eastAsia="lt-LT"/>
              </w:rPr>
            </w:pPr>
            <w:r w:rsidRPr="00A75C4D">
              <w:rPr>
                <w:lang w:val="lt-LT"/>
              </w:rPr>
              <w:t>1) Valstybinės aplinkos monitoringo 2011–2017 metų programos, 12.1 ir/ar 12.3 ir/ar 12.4 ir/ar 12.5 tikslų 12.1.1. ir/ar 12.3.1. ir/ar 12.4.2. ir/ar 12.5 uždavinius.</w:t>
            </w:r>
          </w:p>
          <w:p w:rsidR="00A75C4D" w:rsidRPr="00A75C4D" w:rsidRDefault="00A75C4D" w:rsidP="00A75C4D">
            <w:pPr>
              <w:spacing w:line="240" w:lineRule="auto"/>
              <w:ind w:left="34" w:firstLine="567"/>
              <w:rPr>
                <w:lang w:val="lt-LT"/>
              </w:rPr>
            </w:pPr>
            <w:r w:rsidRPr="00A75C4D">
              <w:rPr>
                <w:lang w:val="lt-LT"/>
              </w:rPr>
              <w:t>Valstybinės aplinkos monitoringo 2011–2017 metų programos tikslai ir uždaviniai:</w:t>
            </w:r>
          </w:p>
          <w:p w:rsidR="00A75C4D" w:rsidRPr="00A75C4D" w:rsidRDefault="00A75C4D" w:rsidP="00A75C4D">
            <w:pPr>
              <w:suppressAutoHyphens/>
              <w:spacing w:line="240" w:lineRule="auto"/>
              <w:ind w:firstLine="567"/>
              <w:rPr>
                <w:color w:val="000000"/>
                <w:kern w:val="1"/>
                <w:lang w:val="lt-LT"/>
              </w:rPr>
            </w:pPr>
            <w:r w:rsidRPr="00A75C4D">
              <w:rPr>
                <w:color w:val="000000"/>
                <w:kern w:val="1"/>
                <w:lang w:val="lt-LT"/>
              </w:rPr>
              <w:t xml:space="preserve">12.1. tikslas – </w:t>
            </w:r>
            <w:r w:rsidRPr="00A75C4D">
              <w:rPr>
                <w:bCs/>
                <w:color w:val="000000"/>
                <w:kern w:val="1"/>
                <w:lang w:val="lt-LT"/>
              </w:rPr>
              <w:t>vertinti aplinkos oro užterštumo lygį aglomeracijose ir zonose (labiausiai urbanizuotose zonos teritorijose), prognozuoti aplinkos oro kokybę, vertinti šalies klimato pokyčius.</w:t>
            </w:r>
            <w:r w:rsidRPr="00A75C4D">
              <w:rPr>
                <w:color w:val="000000"/>
                <w:kern w:val="1"/>
                <w:lang w:val="lt-LT"/>
              </w:rPr>
              <w:t xml:space="preserve"> Uždaviniai tikslui pasiekti:</w:t>
            </w:r>
          </w:p>
          <w:p w:rsidR="00A75C4D" w:rsidRPr="00A75C4D" w:rsidRDefault="00A75C4D" w:rsidP="00A75C4D">
            <w:pPr>
              <w:spacing w:line="240" w:lineRule="auto"/>
              <w:ind w:firstLine="567"/>
              <w:rPr>
                <w:bCs/>
                <w:lang w:val="lt-LT"/>
              </w:rPr>
            </w:pPr>
            <w:bookmarkStart w:id="4" w:name="X55b693953d3d42efa2b3e47d129c3b29"/>
            <w:r w:rsidRPr="00A75C4D">
              <w:rPr>
                <w:bCs/>
                <w:lang w:val="lt-LT"/>
              </w:rPr>
              <w:t>12.1.1.</w:t>
            </w:r>
            <w:r w:rsidRPr="00A75C4D">
              <w:rPr>
                <w:lang w:val="lt-LT"/>
              </w:rPr>
              <w:t xml:space="preserve"> atlikti aplinkos oro kokybės monitoringą aglomeracijose ir zonose</w:t>
            </w:r>
            <w:r w:rsidRPr="00A75C4D">
              <w:rPr>
                <w:bCs/>
                <w:lang w:val="lt-LT"/>
              </w:rPr>
              <w:t>;</w:t>
            </w:r>
          </w:p>
          <w:bookmarkEnd w:id="4"/>
          <w:p w:rsidR="00A75C4D" w:rsidRPr="00A75C4D" w:rsidRDefault="00A75C4D" w:rsidP="00A75C4D">
            <w:pPr>
              <w:spacing w:line="240" w:lineRule="auto"/>
              <w:ind w:firstLine="567"/>
              <w:rPr>
                <w:lang w:val="lt-LT"/>
              </w:rPr>
            </w:pPr>
            <w:r w:rsidRPr="00A75C4D">
              <w:rPr>
                <w:bCs/>
                <w:lang w:val="lt-LT"/>
              </w:rPr>
              <w:t xml:space="preserve">12.3. </w:t>
            </w:r>
            <w:r w:rsidRPr="00A75C4D">
              <w:rPr>
                <w:lang w:val="lt-LT"/>
              </w:rPr>
              <w:t>tikslas –</w:t>
            </w:r>
            <w:r w:rsidRPr="00A75C4D">
              <w:rPr>
                <w:bCs/>
                <w:lang w:val="lt-LT"/>
              </w:rPr>
              <w:t xml:space="preserve"> vertinti </w:t>
            </w:r>
            <w:r w:rsidRPr="00A75C4D">
              <w:rPr>
                <w:bCs/>
                <w:color w:val="000000"/>
                <w:lang w:val="lt-LT"/>
              </w:rPr>
              <w:t>teršalų pernašų iš kitų valstybių poveikį</w:t>
            </w:r>
            <w:r w:rsidRPr="00A75C4D">
              <w:rPr>
                <w:bCs/>
                <w:lang w:val="lt-LT"/>
              </w:rPr>
              <w:t xml:space="preserve"> bendram Lietuvos oro baseino užterštumo lygiui. </w:t>
            </w:r>
            <w:r w:rsidRPr="00A75C4D">
              <w:rPr>
                <w:lang w:val="lt-LT"/>
              </w:rPr>
              <w:t>Uždaviniai tikslui pasiekti:</w:t>
            </w:r>
          </w:p>
          <w:p w:rsidR="00A75C4D" w:rsidRPr="00A75C4D" w:rsidRDefault="00A75C4D" w:rsidP="00A75C4D">
            <w:pPr>
              <w:spacing w:line="240" w:lineRule="auto"/>
              <w:ind w:firstLine="567"/>
              <w:rPr>
                <w:lang w:val="lt-LT"/>
              </w:rPr>
            </w:pPr>
            <w:r w:rsidRPr="00A75C4D">
              <w:rPr>
                <w:lang w:val="lt-LT"/>
              </w:rPr>
              <w:t>12.3.1. atlikti foninį oro monitoringą;</w:t>
            </w:r>
          </w:p>
          <w:p w:rsidR="00A75C4D" w:rsidRPr="00A75C4D" w:rsidRDefault="00A75C4D" w:rsidP="00A75C4D">
            <w:pPr>
              <w:spacing w:line="240" w:lineRule="auto"/>
              <w:ind w:firstLine="567"/>
              <w:rPr>
                <w:lang w:val="lt-LT"/>
              </w:rPr>
            </w:pPr>
            <w:r w:rsidRPr="00A75C4D">
              <w:rPr>
                <w:lang w:val="lt-LT"/>
              </w:rPr>
              <w:t xml:space="preserve">12.4. tikslas – nustatyti aerozolinių radionuklidų šaltinius, vertinti Ignalinos atominės elektrinės eksploatavimo nutraukimo metu išmetamų radionuklidų skaidą </w:t>
            </w:r>
            <w:r w:rsidRPr="00A75C4D">
              <w:rPr>
                <w:lang w:val="lt-LT"/>
              </w:rPr>
              <w:lastRenderedPageBreak/>
              <w:t>aplinkoje, jų poveikį aplinkai. Uždaviniai tikslui pasiekti:</w:t>
            </w:r>
          </w:p>
          <w:p w:rsidR="00A75C4D" w:rsidRPr="00A75C4D" w:rsidRDefault="00A75C4D" w:rsidP="00A75C4D">
            <w:pPr>
              <w:spacing w:line="240" w:lineRule="auto"/>
              <w:ind w:firstLine="567"/>
              <w:rPr>
                <w:color w:val="000000"/>
                <w:lang w:val="lt-LT"/>
              </w:rPr>
            </w:pPr>
            <w:bookmarkStart w:id="5" w:name="X6e68e5172ce04c52b2b00c07091bc067"/>
            <w:r w:rsidRPr="00A75C4D">
              <w:rPr>
                <w:lang w:val="lt-LT"/>
              </w:rPr>
              <w:t xml:space="preserve">12.4.2. </w:t>
            </w:r>
            <w:r w:rsidRPr="00A75C4D">
              <w:rPr>
                <w:color w:val="000000"/>
                <w:lang w:val="lt-LT"/>
              </w:rPr>
              <w:t>atlikti radiologinį oro monitoringą tiesioginio Ignalinos atominės elektrinės poveikio zonoje;</w:t>
            </w:r>
          </w:p>
          <w:p w:rsidR="00A75C4D" w:rsidRPr="00A75C4D" w:rsidRDefault="00A75C4D" w:rsidP="00A75C4D">
            <w:pPr>
              <w:spacing w:line="240" w:lineRule="auto"/>
              <w:ind w:firstLine="567"/>
              <w:rPr>
                <w:lang w:val="lt-LT"/>
              </w:rPr>
            </w:pPr>
            <w:bookmarkStart w:id="6" w:name="X1fe162adfa0e4031bdd5b4d215c551e2"/>
            <w:bookmarkEnd w:id="5"/>
            <w:r w:rsidRPr="00A75C4D">
              <w:rPr>
                <w:lang w:val="lt-LT"/>
              </w:rPr>
              <w:t>12.5. tikslas – f</w:t>
            </w:r>
            <w:r w:rsidRPr="00A75C4D">
              <w:rPr>
                <w:bCs/>
                <w:lang w:val="lt-LT"/>
              </w:rPr>
              <w:t xml:space="preserve">iksuoti radiacinę būklę Lietuvoje tiesioginiu režimu, vertinti lygiavertės dozės galios pokyčius. </w:t>
            </w:r>
            <w:r w:rsidRPr="00A75C4D">
              <w:rPr>
                <w:lang w:val="lt-LT"/>
              </w:rPr>
              <w:t xml:space="preserve">Uždavinys tikslui pasiekti – </w:t>
            </w:r>
            <w:r w:rsidRPr="00A75C4D">
              <w:rPr>
                <w:color w:val="000000"/>
                <w:lang w:val="lt-LT"/>
              </w:rPr>
              <w:t xml:space="preserve">užtikrinti, kad veiktų </w:t>
            </w:r>
            <w:r w:rsidRPr="00A75C4D">
              <w:rPr>
                <w:lang w:val="lt-LT"/>
              </w:rPr>
              <w:t>ankstyvojo perspėjimo sistema;</w:t>
            </w:r>
          </w:p>
          <w:p w:rsidR="00A75C4D" w:rsidRPr="00A75C4D" w:rsidRDefault="00A75C4D" w:rsidP="00A75C4D">
            <w:pPr>
              <w:spacing w:line="240" w:lineRule="auto"/>
              <w:ind w:firstLine="567"/>
              <w:rPr>
                <w:lang w:val="lt-LT"/>
              </w:rPr>
            </w:pPr>
            <w:r w:rsidRPr="00A75C4D">
              <w:rPr>
                <w:lang w:val="lt-LT"/>
              </w:rPr>
              <w:t>Arba</w:t>
            </w:r>
          </w:p>
          <w:p w:rsidR="008A772D" w:rsidRPr="002C2662" w:rsidRDefault="00A75C4D" w:rsidP="00A75C4D">
            <w:pPr>
              <w:spacing w:line="240" w:lineRule="auto"/>
              <w:rPr>
                <w:lang w:val="lt-LT"/>
              </w:rPr>
            </w:pPr>
            <w:r w:rsidRPr="00A75C4D">
              <w:rPr>
                <w:bCs/>
                <w:lang w:val="lt-LT"/>
              </w:rPr>
              <w:t>2) Matavimo prietaisų, mėginių paėmimo, kitos laboratorinės įrangos ir priemonių, reikalingų Aplinkos apsaugos agentūrai Valstybinės aplinkos monitoringo 2011–2017 metų programos vykdymui, sąrašą.</w:t>
            </w:r>
            <w:r w:rsidRPr="00A75C4D">
              <w:rPr>
                <w:b/>
                <w:bCs/>
                <w:lang w:val="lt-LT"/>
              </w:rPr>
              <w:t xml:space="preserve"> </w:t>
            </w:r>
            <w:bookmarkEnd w:id="6"/>
          </w:p>
        </w:tc>
      </w:tr>
      <w:tr w:rsidR="008A772D" w:rsidRPr="00F354B5" w:rsidTr="00A75C4D">
        <w:tc>
          <w:tcPr>
            <w:tcW w:w="2410" w:type="dxa"/>
          </w:tcPr>
          <w:p w:rsidR="00F354B5" w:rsidRDefault="00F354B5" w:rsidP="00F354B5">
            <w:pPr>
              <w:spacing w:line="240" w:lineRule="auto"/>
              <w:rPr>
                <w:lang w:val="lt-LT"/>
              </w:rPr>
            </w:pPr>
            <w:r w:rsidRPr="00F354B5">
              <w:rPr>
                <w:lang w:val="lt-LT"/>
              </w:rPr>
              <w:lastRenderedPageBreak/>
              <w:t>Miškų būklės, naudojimo, atkūrimo, įveisimo ir apsaugos kontrolės techninių pajėgumų atnaujinimas ir tobulinimas</w:t>
            </w:r>
          </w:p>
          <w:p w:rsidR="000F1283" w:rsidRPr="00F354B5" w:rsidRDefault="000F1283" w:rsidP="000F1283">
            <w:pPr>
              <w:spacing w:line="240" w:lineRule="auto"/>
              <w:rPr>
                <w:bCs/>
                <w:i/>
                <w:lang w:val="lt-LT" w:eastAsia="lt-LT"/>
              </w:rPr>
            </w:pPr>
            <w:r>
              <w:t>(</w:t>
            </w:r>
            <w:proofErr w:type="spellStart"/>
            <w:r w:rsidR="00F81F3C">
              <w:t>šio</w:t>
            </w:r>
            <w:proofErr w:type="spellEnd"/>
            <w:r w:rsidR="00F81F3C">
              <w:t xml:space="preserve"> </w:t>
            </w:r>
            <w:proofErr w:type="spellStart"/>
            <w:r w:rsidRPr="00E03F09">
              <w:t>Aprašo</w:t>
            </w:r>
            <w:proofErr w:type="spellEnd"/>
            <w:r w:rsidRPr="00E03F09">
              <w:t xml:space="preserve"> </w:t>
            </w:r>
            <w:r w:rsidR="002F2A88">
              <w:t>9</w:t>
            </w:r>
            <w:r w:rsidRPr="00E03F09">
              <w:t>.</w:t>
            </w:r>
            <w:r>
              <w:t>4</w:t>
            </w:r>
            <w:r w:rsidRPr="00E03F09">
              <w:t xml:space="preserve"> </w:t>
            </w:r>
            <w:proofErr w:type="spellStart"/>
            <w:r w:rsidRPr="00E03F09">
              <w:t>papunktyje</w:t>
            </w:r>
            <w:proofErr w:type="spellEnd"/>
            <w:r w:rsidRPr="00E03F09">
              <w:t xml:space="preserve"> </w:t>
            </w:r>
            <w:proofErr w:type="spellStart"/>
            <w:r w:rsidRPr="00E03F09">
              <w:t>nurodyta</w:t>
            </w:r>
            <w:proofErr w:type="spellEnd"/>
            <w:r w:rsidRPr="00E03F09">
              <w:t xml:space="preserve"> </w:t>
            </w:r>
            <w:proofErr w:type="spellStart"/>
            <w:r w:rsidRPr="00E03F09">
              <w:t>veikla</w:t>
            </w:r>
            <w:proofErr w:type="spellEnd"/>
            <w:r>
              <w:t>)</w:t>
            </w:r>
          </w:p>
          <w:p w:rsidR="000F1283" w:rsidRPr="00F354B5" w:rsidRDefault="000F1283" w:rsidP="00F354B5">
            <w:pPr>
              <w:spacing w:line="240" w:lineRule="auto"/>
              <w:rPr>
                <w:lang w:val="lt-LT"/>
              </w:rPr>
            </w:pPr>
          </w:p>
          <w:p w:rsidR="008A772D" w:rsidRPr="00F354B5" w:rsidRDefault="008A772D" w:rsidP="001A5E30">
            <w:pPr>
              <w:spacing w:line="240" w:lineRule="auto"/>
              <w:rPr>
                <w:lang w:val="lt-LT"/>
              </w:rPr>
            </w:pPr>
          </w:p>
        </w:tc>
        <w:tc>
          <w:tcPr>
            <w:tcW w:w="4395" w:type="dxa"/>
            <w:shd w:val="clear" w:color="auto" w:fill="auto"/>
          </w:tcPr>
          <w:p w:rsidR="00A75C4D" w:rsidRPr="00A75C4D" w:rsidRDefault="00F354B5" w:rsidP="00A75C4D">
            <w:pPr>
              <w:spacing w:line="240" w:lineRule="auto"/>
              <w:rPr>
                <w:lang w:val="lt-LT"/>
              </w:rPr>
            </w:pPr>
            <w:r w:rsidRPr="00A75C4D">
              <w:rPr>
                <w:lang w:val="lt-LT"/>
              </w:rPr>
              <w:t xml:space="preserve">4. </w:t>
            </w:r>
            <w:r w:rsidR="00A75C4D" w:rsidRPr="00A75C4D">
              <w:rPr>
                <w:bCs/>
                <w:lang w:val="lt-LT"/>
              </w:rPr>
              <w:t>Projekto atitiktis Nacionalinės miškų ūkio sektoriaus plėtros 2012–2020 metų programos įgyvendinimo priemonių 2015–2017 metų plano, patvirtinto Lietuvos Respublikos aplinkos ministro 2015 m. kovo 9 d. įsakymu Nr. D1-209 „Dėl Nacionalinės miškų ūkio sektoriaus plėtros 2012–2020 metų programos įgyvendinimo priemonių 2015–2017 metų plano patvirtinimo“, 11¹ punkte nurodytos  priemonės įgyvendinimui</w:t>
            </w:r>
          </w:p>
          <w:p w:rsidR="00A75C4D" w:rsidRPr="00A75C4D" w:rsidRDefault="00A75C4D" w:rsidP="00A75C4D">
            <w:pPr>
              <w:spacing w:line="240" w:lineRule="auto"/>
              <w:rPr>
                <w:bCs/>
                <w:lang w:val="lt-LT"/>
              </w:rPr>
            </w:pPr>
            <w:r w:rsidRPr="00A75C4D">
              <w:rPr>
                <w:bCs/>
                <w:lang w:val="lt-LT"/>
              </w:rPr>
              <w:t>ir</w:t>
            </w:r>
          </w:p>
          <w:p w:rsidR="008A772D" w:rsidRPr="00A75C4D" w:rsidRDefault="00A75C4D" w:rsidP="00A75C4D">
            <w:pPr>
              <w:spacing w:line="240" w:lineRule="auto"/>
              <w:rPr>
                <w:lang w:val="lt-LT"/>
              </w:rPr>
            </w:pPr>
            <w:r w:rsidRPr="00A75C4D">
              <w:rPr>
                <w:bCs/>
                <w:lang w:val="lt-LT"/>
              </w:rPr>
              <w:t xml:space="preserve">Lietuvos Respublikos aplinkos ministro 2015 m. rugpjūčio 6 d. įsakymui Nr. D1-587 </w:t>
            </w:r>
            <w:bookmarkStart w:id="7" w:name="antraste"/>
            <w:r w:rsidRPr="00A75C4D">
              <w:rPr>
                <w:bCs/>
                <w:lang w:val="lt-LT"/>
              </w:rPr>
              <w:t>„Dėl</w:t>
            </w:r>
            <w:bookmarkEnd w:id="7"/>
            <w:r w:rsidRPr="00A75C4D">
              <w:rPr>
                <w:bCs/>
                <w:lang w:val="lt-LT"/>
              </w:rPr>
              <w:t xml:space="preserve"> Nacionalinės miškų ūkio sektoriaus plėtros 2012–2020 metų programos įgyvendinimo priemonių 2015–2017 metų plano 11¹ punkto vykdymo”.</w:t>
            </w:r>
          </w:p>
        </w:tc>
        <w:tc>
          <w:tcPr>
            <w:tcW w:w="8843" w:type="dxa"/>
            <w:shd w:val="clear" w:color="auto" w:fill="auto"/>
          </w:tcPr>
          <w:p w:rsidR="00A75C4D" w:rsidRPr="00A75C4D" w:rsidRDefault="00A75C4D" w:rsidP="00A75C4D">
            <w:pPr>
              <w:spacing w:line="240" w:lineRule="auto"/>
              <w:rPr>
                <w:bCs/>
                <w:lang w:val="lt-LT" w:eastAsia="lt-LT"/>
              </w:rPr>
            </w:pPr>
            <w:r w:rsidRPr="00A75C4D">
              <w:rPr>
                <w:bCs/>
                <w:lang w:val="lt-LT" w:eastAsia="lt-LT"/>
              </w:rPr>
              <w:t>Vertinama, ar projekto veiklos atitinka vieną ar kelis žemiau išvardytus aspektus:</w:t>
            </w:r>
          </w:p>
          <w:p w:rsidR="00A75C4D" w:rsidRPr="00A75C4D" w:rsidRDefault="00A75C4D" w:rsidP="00A75C4D">
            <w:pPr>
              <w:spacing w:line="240" w:lineRule="auto"/>
              <w:rPr>
                <w:bCs/>
                <w:lang w:val="lt-LT"/>
              </w:rPr>
            </w:pPr>
            <w:r w:rsidRPr="00A75C4D">
              <w:rPr>
                <w:bCs/>
                <w:lang w:val="lt-LT"/>
              </w:rPr>
              <w:t xml:space="preserve">      1) Nacionalinės miškų ūkio sektoriaus plėtros 2012–2020 metų programos įgyvendinimo priemonių 2015–2017 metų plano, patvirtinto Lietuvos Respublikos aplinkos ministro 2015 m. kovo 9 d. įsakymu Nr. D1-209 „Dėl Nacionalinės miškų ūkio sektoriaus plėtros 2012–2020 metų programos įgyvendinimo priemonių 2015–2017 metų plano patvirtinimo“, 11¹ punkte numatytą priemonę: Tobulinti miškų kontrolės sistemą įsigyjant tam reikalingą techniką, įrangą.</w:t>
            </w:r>
          </w:p>
          <w:p w:rsidR="00A75C4D" w:rsidRPr="00A75C4D" w:rsidRDefault="00A75C4D" w:rsidP="00A75C4D">
            <w:pPr>
              <w:spacing w:line="240" w:lineRule="auto"/>
              <w:rPr>
                <w:bCs/>
                <w:lang w:val="lt-LT"/>
              </w:rPr>
            </w:pPr>
            <w:r w:rsidRPr="00A75C4D">
              <w:rPr>
                <w:bCs/>
                <w:lang w:val="lt-LT"/>
              </w:rPr>
              <w:t xml:space="preserve">      Ir</w:t>
            </w:r>
          </w:p>
          <w:p w:rsidR="008A772D" w:rsidRPr="00A75C4D" w:rsidRDefault="00A75C4D" w:rsidP="00A75C4D">
            <w:pPr>
              <w:spacing w:line="240" w:lineRule="auto"/>
              <w:jc w:val="left"/>
              <w:rPr>
                <w:i/>
                <w:lang w:val="lt-LT"/>
              </w:rPr>
            </w:pPr>
            <w:r w:rsidRPr="00A75C4D">
              <w:rPr>
                <w:lang w:val="lt-LT"/>
              </w:rPr>
              <w:t xml:space="preserve">      2) Lietuvos Respublikos aplinkos ministro 2015 m. </w:t>
            </w:r>
            <w:r w:rsidRPr="00A75C4D">
              <w:rPr>
                <w:bCs/>
                <w:lang w:val="lt-LT"/>
              </w:rPr>
              <w:t xml:space="preserve">rugpjūčio 6 d. įsakymą Nr. D1-587 “Dėl Nacionalinės miškų ūkio sektoriaus plėtros 2012–2020 metų programos įgyvendinimo priemonių 2015–2017 metų plano 11¹ punkto vykdymo”, kuriuo pavedama </w:t>
            </w:r>
            <w:r w:rsidRPr="00A75C4D">
              <w:rPr>
                <w:lang w:val="lt-LT"/>
              </w:rPr>
              <w:t>Valstybinei miškų tarnybai organizuoti miškų kontrolės sistemos tobulinimui skirtos įrangos – 70 komplektų padidinto bei didelio pravažumo automobilių su specialia įranga, skirtų galimiems miškų pažeidimams fiksuoti, lokaliai pozicijai nustatyti ir vykdyti miškų būklės, naudojimo, atkūrimo, įveisimo, apsaugos ir miškotvarkos darbų kokybės kontrolę, ir 1 DNR laboratorinės įrangos komplekto, skirto miško dauginamosios medžiagos identifikavimui – įsigijimą.</w:t>
            </w:r>
          </w:p>
        </w:tc>
      </w:tr>
    </w:tbl>
    <w:p w:rsidR="001A5E30" w:rsidRDefault="001A5E30" w:rsidP="00F354B5">
      <w:pPr>
        <w:widowControl/>
        <w:adjustRightInd/>
        <w:spacing w:line="240" w:lineRule="auto"/>
        <w:jc w:val="left"/>
        <w:textAlignment w:val="auto"/>
        <w:rPr>
          <w:lang w:val="lt-LT"/>
        </w:rPr>
      </w:pPr>
    </w:p>
    <w:p w:rsidR="001A4BB6" w:rsidRDefault="001A4BB6" w:rsidP="005C051D">
      <w:pPr>
        <w:widowControl/>
        <w:adjustRightInd/>
        <w:spacing w:line="240" w:lineRule="auto"/>
        <w:jc w:val="center"/>
        <w:textAlignment w:val="auto"/>
        <w:rPr>
          <w:lang w:val="lt-LT"/>
        </w:rPr>
      </w:pPr>
      <w:r>
        <w:rPr>
          <w:lang w:val="lt-LT"/>
        </w:rPr>
        <w:t>___________________</w:t>
      </w:r>
    </w:p>
    <w:sectPr w:rsidR="001A4BB6" w:rsidSect="00A75C4D">
      <w:headerReference w:type="default" r:id="rId9"/>
      <w:footerReference w:type="default" r:id="rId10"/>
      <w:pgSz w:w="16838" w:h="11906" w:orient="landscape" w:code="9"/>
      <w:pgMar w:top="720" w:right="720" w:bottom="284"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1FF" w:rsidRDefault="000F41FF" w:rsidP="001A5E30">
      <w:pPr>
        <w:spacing w:line="240" w:lineRule="auto"/>
      </w:pPr>
      <w:r>
        <w:separator/>
      </w:r>
    </w:p>
  </w:endnote>
  <w:endnote w:type="continuationSeparator" w:id="0">
    <w:p w:rsidR="000F41FF" w:rsidRDefault="000F41FF" w:rsidP="001A5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FF" w:rsidRDefault="000F41FF">
    <w:pPr>
      <w:pStyle w:val="Footer"/>
      <w:jc w:val="center"/>
    </w:pPr>
  </w:p>
  <w:p w:rsidR="000F41FF" w:rsidRDefault="000F4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1FF" w:rsidRDefault="000F41FF" w:rsidP="001A5E30">
      <w:pPr>
        <w:spacing w:line="240" w:lineRule="auto"/>
      </w:pPr>
      <w:r>
        <w:separator/>
      </w:r>
    </w:p>
  </w:footnote>
  <w:footnote w:type="continuationSeparator" w:id="0">
    <w:p w:rsidR="000F41FF" w:rsidRDefault="000F41FF" w:rsidP="001A5E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FF" w:rsidRDefault="000F41FF">
    <w:pPr>
      <w:pStyle w:val="Header"/>
      <w:jc w:val="center"/>
    </w:pPr>
    <w:r>
      <w:fldChar w:fldCharType="begin"/>
    </w:r>
    <w:r>
      <w:instrText>PAGE   \* MERGEFORMAT</w:instrText>
    </w:r>
    <w:r>
      <w:fldChar w:fldCharType="separate"/>
    </w:r>
    <w:r w:rsidR="00A75C4D" w:rsidRPr="00A75C4D">
      <w:rPr>
        <w:noProof/>
        <w:lang w:val="lt-LT"/>
      </w:rPr>
      <w:t>4</w:t>
    </w:r>
    <w:r>
      <w:fldChar w:fldCharType="end"/>
    </w:r>
  </w:p>
  <w:p w:rsidR="000F41FF" w:rsidRDefault="000F41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108"/>
    <w:multiLevelType w:val="hybridMultilevel"/>
    <w:tmpl w:val="40EC113E"/>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075102"/>
    <w:multiLevelType w:val="hybridMultilevel"/>
    <w:tmpl w:val="67164C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0D4F8D"/>
    <w:multiLevelType w:val="hybridMultilevel"/>
    <w:tmpl w:val="B85AC774"/>
    <w:lvl w:ilvl="0" w:tplc="06D8F78E">
      <w:start w:val="1"/>
      <w:numFmt w:val="decimal"/>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3">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FF93286"/>
    <w:multiLevelType w:val="hybridMultilevel"/>
    <w:tmpl w:val="49BE5D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CAE7AE4"/>
    <w:multiLevelType w:val="hybridMultilevel"/>
    <w:tmpl w:val="B85AC774"/>
    <w:lvl w:ilvl="0" w:tplc="06D8F78E">
      <w:start w:val="1"/>
      <w:numFmt w:val="decimal"/>
      <w:lvlText w:val="%1."/>
      <w:lvlJc w:val="left"/>
      <w:pPr>
        <w:ind w:left="601" w:hanging="360"/>
      </w:pPr>
      <w:rPr>
        <w:rFonts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6">
    <w:nsid w:val="4D383293"/>
    <w:multiLevelType w:val="hybridMultilevel"/>
    <w:tmpl w:val="4094F4D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96D524C"/>
    <w:multiLevelType w:val="hybridMultilevel"/>
    <w:tmpl w:val="FCD0706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B93637"/>
    <w:multiLevelType w:val="hybridMultilevel"/>
    <w:tmpl w:val="94F03416"/>
    <w:lvl w:ilvl="0" w:tplc="11E877F0">
      <w:start w:val="5"/>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9">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2"/>
  </w:num>
  <w:num w:numId="6">
    <w:abstractNumId w:val="7"/>
  </w:num>
  <w:num w:numId="7">
    <w:abstractNumId w:val="6"/>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656C6"/>
    <w:rsid w:val="00084E8B"/>
    <w:rsid w:val="0008700D"/>
    <w:rsid w:val="000C01C1"/>
    <w:rsid w:val="000C0CD8"/>
    <w:rsid w:val="000E18D3"/>
    <w:rsid w:val="000F1283"/>
    <w:rsid w:val="000F41FF"/>
    <w:rsid w:val="00110967"/>
    <w:rsid w:val="0011201E"/>
    <w:rsid w:val="00112884"/>
    <w:rsid w:val="00116A0B"/>
    <w:rsid w:val="0011770B"/>
    <w:rsid w:val="001232ED"/>
    <w:rsid w:val="00134F92"/>
    <w:rsid w:val="00147127"/>
    <w:rsid w:val="001617F6"/>
    <w:rsid w:val="00167B07"/>
    <w:rsid w:val="00174DD8"/>
    <w:rsid w:val="001934A5"/>
    <w:rsid w:val="001A4BB6"/>
    <w:rsid w:val="001A5E30"/>
    <w:rsid w:val="001C7EFA"/>
    <w:rsid w:val="001E1A85"/>
    <w:rsid w:val="001F4AFB"/>
    <w:rsid w:val="001F59A3"/>
    <w:rsid w:val="001F5DA0"/>
    <w:rsid w:val="0020334B"/>
    <w:rsid w:val="00224075"/>
    <w:rsid w:val="002243F3"/>
    <w:rsid w:val="00232554"/>
    <w:rsid w:val="00237A21"/>
    <w:rsid w:val="00260F0D"/>
    <w:rsid w:val="00297A76"/>
    <w:rsid w:val="002B7202"/>
    <w:rsid w:val="002C2662"/>
    <w:rsid w:val="002C2B77"/>
    <w:rsid w:val="002E31B4"/>
    <w:rsid w:val="002F2A88"/>
    <w:rsid w:val="00301780"/>
    <w:rsid w:val="00310EC5"/>
    <w:rsid w:val="003555FF"/>
    <w:rsid w:val="0038406A"/>
    <w:rsid w:val="00390029"/>
    <w:rsid w:val="003B0C39"/>
    <w:rsid w:val="003B48F0"/>
    <w:rsid w:val="00401C78"/>
    <w:rsid w:val="00404EA3"/>
    <w:rsid w:val="004146E3"/>
    <w:rsid w:val="00414C7A"/>
    <w:rsid w:val="00426102"/>
    <w:rsid w:val="0045517E"/>
    <w:rsid w:val="0046366A"/>
    <w:rsid w:val="0048787A"/>
    <w:rsid w:val="004A5F47"/>
    <w:rsid w:val="004D02FC"/>
    <w:rsid w:val="004D2C47"/>
    <w:rsid w:val="004F5B10"/>
    <w:rsid w:val="004F7F82"/>
    <w:rsid w:val="00507894"/>
    <w:rsid w:val="00515454"/>
    <w:rsid w:val="00535DC9"/>
    <w:rsid w:val="00561982"/>
    <w:rsid w:val="0056258C"/>
    <w:rsid w:val="00571BD8"/>
    <w:rsid w:val="005901CC"/>
    <w:rsid w:val="005973E7"/>
    <w:rsid w:val="005C051D"/>
    <w:rsid w:val="005D291B"/>
    <w:rsid w:val="00617A0B"/>
    <w:rsid w:val="006326D5"/>
    <w:rsid w:val="00677A7A"/>
    <w:rsid w:val="006A71BC"/>
    <w:rsid w:val="006B7150"/>
    <w:rsid w:val="006D264C"/>
    <w:rsid w:val="006E5A58"/>
    <w:rsid w:val="00706316"/>
    <w:rsid w:val="00713005"/>
    <w:rsid w:val="00737E54"/>
    <w:rsid w:val="0074413B"/>
    <w:rsid w:val="0074677F"/>
    <w:rsid w:val="0075383C"/>
    <w:rsid w:val="00766129"/>
    <w:rsid w:val="007C7EB3"/>
    <w:rsid w:val="007D42FC"/>
    <w:rsid w:val="0080318B"/>
    <w:rsid w:val="00804349"/>
    <w:rsid w:val="00816478"/>
    <w:rsid w:val="0081656F"/>
    <w:rsid w:val="00817A5D"/>
    <w:rsid w:val="008542AA"/>
    <w:rsid w:val="008640D3"/>
    <w:rsid w:val="008670DF"/>
    <w:rsid w:val="00874931"/>
    <w:rsid w:val="008765B8"/>
    <w:rsid w:val="00880898"/>
    <w:rsid w:val="00895B79"/>
    <w:rsid w:val="008A772D"/>
    <w:rsid w:val="008B46BE"/>
    <w:rsid w:val="008B5614"/>
    <w:rsid w:val="008B6846"/>
    <w:rsid w:val="008D0238"/>
    <w:rsid w:val="00900F97"/>
    <w:rsid w:val="00923DC6"/>
    <w:rsid w:val="0093297B"/>
    <w:rsid w:val="00955749"/>
    <w:rsid w:val="00957BB5"/>
    <w:rsid w:val="009A45B7"/>
    <w:rsid w:val="009D5E39"/>
    <w:rsid w:val="009E277C"/>
    <w:rsid w:val="009F193D"/>
    <w:rsid w:val="009F6B90"/>
    <w:rsid w:val="00A35064"/>
    <w:rsid w:val="00A40869"/>
    <w:rsid w:val="00A71C1A"/>
    <w:rsid w:val="00A74228"/>
    <w:rsid w:val="00A75C4D"/>
    <w:rsid w:val="00AD4FE0"/>
    <w:rsid w:val="00B025DC"/>
    <w:rsid w:val="00B24C84"/>
    <w:rsid w:val="00B35072"/>
    <w:rsid w:val="00B53AC1"/>
    <w:rsid w:val="00B57A4B"/>
    <w:rsid w:val="00B7200F"/>
    <w:rsid w:val="00B76DBE"/>
    <w:rsid w:val="00B848A5"/>
    <w:rsid w:val="00B94ECB"/>
    <w:rsid w:val="00B94F9E"/>
    <w:rsid w:val="00BC413A"/>
    <w:rsid w:val="00BC41E2"/>
    <w:rsid w:val="00BC6C40"/>
    <w:rsid w:val="00BF0FD1"/>
    <w:rsid w:val="00BF76E6"/>
    <w:rsid w:val="00BF7FE6"/>
    <w:rsid w:val="00C112EA"/>
    <w:rsid w:val="00C36AD1"/>
    <w:rsid w:val="00C72F8E"/>
    <w:rsid w:val="00C76238"/>
    <w:rsid w:val="00C923FB"/>
    <w:rsid w:val="00CB34B7"/>
    <w:rsid w:val="00CC6A27"/>
    <w:rsid w:val="00CC6DBD"/>
    <w:rsid w:val="00CE6507"/>
    <w:rsid w:val="00D11981"/>
    <w:rsid w:val="00D15B25"/>
    <w:rsid w:val="00D27EF5"/>
    <w:rsid w:val="00D32A29"/>
    <w:rsid w:val="00D430AD"/>
    <w:rsid w:val="00D52CDD"/>
    <w:rsid w:val="00D80124"/>
    <w:rsid w:val="00D8361D"/>
    <w:rsid w:val="00D87C13"/>
    <w:rsid w:val="00DC389C"/>
    <w:rsid w:val="00DD6F20"/>
    <w:rsid w:val="00E17ECA"/>
    <w:rsid w:val="00E2776E"/>
    <w:rsid w:val="00E30AC9"/>
    <w:rsid w:val="00E319A0"/>
    <w:rsid w:val="00E523A9"/>
    <w:rsid w:val="00E6448D"/>
    <w:rsid w:val="00E65AD0"/>
    <w:rsid w:val="00E777D4"/>
    <w:rsid w:val="00EB000B"/>
    <w:rsid w:val="00EB1113"/>
    <w:rsid w:val="00EC06D9"/>
    <w:rsid w:val="00EC13F5"/>
    <w:rsid w:val="00EC74EA"/>
    <w:rsid w:val="00EF26E7"/>
    <w:rsid w:val="00EF5549"/>
    <w:rsid w:val="00F16D4A"/>
    <w:rsid w:val="00F23B12"/>
    <w:rsid w:val="00F23F55"/>
    <w:rsid w:val="00F302D1"/>
    <w:rsid w:val="00F354B5"/>
    <w:rsid w:val="00F46B67"/>
    <w:rsid w:val="00F51AE8"/>
    <w:rsid w:val="00F566BF"/>
    <w:rsid w:val="00F572F8"/>
    <w:rsid w:val="00F604C8"/>
    <w:rsid w:val="00F61E65"/>
    <w:rsid w:val="00F81F3C"/>
    <w:rsid w:val="00F826F0"/>
    <w:rsid w:val="00FA3D48"/>
    <w:rsid w:val="00FA62ED"/>
    <w:rsid w:val="00FF0A28"/>
    <w:rsid w:val="00FF235F"/>
    <w:rsid w:val="00FF4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C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E30AC9"/>
    <w:pPr>
      <w:spacing w:after="160" w:line="240" w:lineRule="exact"/>
    </w:pPr>
    <w:rPr>
      <w:rFonts w:ascii="Tahoma" w:hAnsi="Tahoma"/>
      <w:sz w:val="20"/>
      <w:szCs w:val="20"/>
    </w:rPr>
  </w:style>
  <w:style w:type="table" w:styleId="TableGrid">
    <w:name w:val="Table Grid"/>
    <w:basedOn w:val="TableNormal"/>
    <w:rsid w:val="00E30AC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AC9"/>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PlainText">
    <w:name w:val="Plain Text"/>
    <w:basedOn w:val="Normal"/>
    <w:link w:val="PlainTextChar"/>
    <w:uiPriority w:val="99"/>
    <w:semiHidden/>
    <w:unhideWhenUsed/>
    <w:rsid w:val="00E523A9"/>
    <w:pPr>
      <w:widowControl/>
      <w:adjustRightInd/>
      <w:spacing w:line="240" w:lineRule="auto"/>
      <w:jc w:val="left"/>
      <w:textAlignment w:val="auto"/>
    </w:pPr>
    <w:rPr>
      <w:rFonts w:ascii="Consolas" w:eastAsia="Calibri" w:hAnsi="Consolas"/>
      <w:sz w:val="21"/>
      <w:szCs w:val="21"/>
      <w:lang w:val="lt-LT"/>
    </w:rPr>
  </w:style>
  <w:style w:type="character" w:customStyle="1" w:styleId="PlainTextChar">
    <w:name w:val="Plain Text Char"/>
    <w:link w:val="PlainText"/>
    <w:uiPriority w:val="99"/>
    <w:semiHidden/>
    <w:rsid w:val="00E523A9"/>
    <w:rPr>
      <w:rFonts w:ascii="Consolas" w:eastAsia="Calibri" w:hAnsi="Consolas" w:cs="Times New Roman"/>
      <w:sz w:val="21"/>
      <w:szCs w:val="21"/>
      <w:lang w:eastAsia="en-US"/>
    </w:rPr>
  </w:style>
  <w:style w:type="paragraph" w:styleId="Header">
    <w:name w:val="header"/>
    <w:basedOn w:val="Normal"/>
    <w:link w:val="HeaderChar"/>
    <w:uiPriority w:val="99"/>
    <w:unhideWhenUsed/>
    <w:rsid w:val="001A5E30"/>
    <w:pPr>
      <w:tabs>
        <w:tab w:val="center" w:pos="4819"/>
        <w:tab w:val="right" w:pos="9638"/>
      </w:tabs>
      <w:spacing w:line="240" w:lineRule="auto"/>
    </w:pPr>
  </w:style>
  <w:style w:type="character" w:customStyle="1" w:styleId="HeaderChar">
    <w:name w:val="Header Char"/>
    <w:link w:val="Header"/>
    <w:uiPriority w:val="99"/>
    <w:rsid w:val="001A5E30"/>
    <w:rPr>
      <w:sz w:val="24"/>
      <w:szCs w:val="24"/>
      <w:lang w:val="en-US" w:eastAsia="en-US"/>
    </w:rPr>
  </w:style>
  <w:style w:type="paragraph" w:styleId="Footer">
    <w:name w:val="footer"/>
    <w:basedOn w:val="Normal"/>
    <w:link w:val="FooterChar"/>
    <w:uiPriority w:val="99"/>
    <w:unhideWhenUsed/>
    <w:rsid w:val="001A5E30"/>
    <w:pPr>
      <w:tabs>
        <w:tab w:val="center" w:pos="4819"/>
        <w:tab w:val="right" w:pos="9638"/>
      </w:tabs>
      <w:spacing w:line="240" w:lineRule="auto"/>
    </w:pPr>
  </w:style>
  <w:style w:type="character" w:customStyle="1" w:styleId="FooterChar">
    <w:name w:val="Footer Char"/>
    <w:link w:val="Footer"/>
    <w:uiPriority w:val="99"/>
    <w:rsid w:val="001A5E30"/>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C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E30AC9"/>
    <w:pPr>
      <w:spacing w:after="160" w:line="240" w:lineRule="exact"/>
    </w:pPr>
    <w:rPr>
      <w:rFonts w:ascii="Tahoma" w:hAnsi="Tahoma"/>
      <w:sz w:val="20"/>
      <w:szCs w:val="20"/>
    </w:rPr>
  </w:style>
  <w:style w:type="table" w:styleId="TableGrid">
    <w:name w:val="Table Grid"/>
    <w:basedOn w:val="TableNormal"/>
    <w:rsid w:val="00E30AC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AC9"/>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PlainText">
    <w:name w:val="Plain Text"/>
    <w:basedOn w:val="Normal"/>
    <w:link w:val="PlainTextChar"/>
    <w:uiPriority w:val="99"/>
    <w:semiHidden/>
    <w:unhideWhenUsed/>
    <w:rsid w:val="00E523A9"/>
    <w:pPr>
      <w:widowControl/>
      <w:adjustRightInd/>
      <w:spacing w:line="240" w:lineRule="auto"/>
      <w:jc w:val="left"/>
      <w:textAlignment w:val="auto"/>
    </w:pPr>
    <w:rPr>
      <w:rFonts w:ascii="Consolas" w:eastAsia="Calibri" w:hAnsi="Consolas"/>
      <w:sz w:val="21"/>
      <w:szCs w:val="21"/>
      <w:lang w:val="lt-LT"/>
    </w:rPr>
  </w:style>
  <w:style w:type="character" w:customStyle="1" w:styleId="PlainTextChar">
    <w:name w:val="Plain Text Char"/>
    <w:link w:val="PlainText"/>
    <w:uiPriority w:val="99"/>
    <w:semiHidden/>
    <w:rsid w:val="00E523A9"/>
    <w:rPr>
      <w:rFonts w:ascii="Consolas" w:eastAsia="Calibri" w:hAnsi="Consolas" w:cs="Times New Roman"/>
      <w:sz w:val="21"/>
      <w:szCs w:val="21"/>
      <w:lang w:eastAsia="en-US"/>
    </w:rPr>
  </w:style>
  <w:style w:type="paragraph" w:styleId="Header">
    <w:name w:val="header"/>
    <w:basedOn w:val="Normal"/>
    <w:link w:val="HeaderChar"/>
    <w:uiPriority w:val="99"/>
    <w:unhideWhenUsed/>
    <w:rsid w:val="001A5E30"/>
    <w:pPr>
      <w:tabs>
        <w:tab w:val="center" w:pos="4819"/>
        <w:tab w:val="right" w:pos="9638"/>
      </w:tabs>
      <w:spacing w:line="240" w:lineRule="auto"/>
    </w:pPr>
  </w:style>
  <w:style w:type="character" w:customStyle="1" w:styleId="HeaderChar">
    <w:name w:val="Header Char"/>
    <w:link w:val="Header"/>
    <w:uiPriority w:val="99"/>
    <w:rsid w:val="001A5E30"/>
    <w:rPr>
      <w:sz w:val="24"/>
      <w:szCs w:val="24"/>
      <w:lang w:val="en-US" w:eastAsia="en-US"/>
    </w:rPr>
  </w:style>
  <w:style w:type="paragraph" w:styleId="Footer">
    <w:name w:val="footer"/>
    <w:basedOn w:val="Normal"/>
    <w:link w:val="FooterChar"/>
    <w:uiPriority w:val="99"/>
    <w:unhideWhenUsed/>
    <w:rsid w:val="001A5E30"/>
    <w:pPr>
      <w:tabs>
        <w:tab w:val="center" w:pos="4819"/>
        <w:tab w:val="right" w:pos="9638"/>
      </w:tabs>
      <w:spacing w:line="240" w:lineRule="auto"/>
    </w:pPr>
  </w:style>
  <w:style w:type="character" w:customStyle="1" w:styleId="FooterChar">
    <w:name w:val="Footer Char"/>
    <w:link w:val="Footer"/>
    <w:uiPriority w:val="99"/>
    <w:rsid w:val="001A5E3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68420">
      <w:bodyDiv w:val="1"/>
      <w:marLeft w:val="0"/>
      <w:marRight w:val="0"/>
      <w:marTop w:val="0"/>
      <w:marBottom w:val="0"/>
      <w:divBdr>
        <w:top w:val="none" w:sz="0" w:space="0" w:color="auto"/>
        <w:left w:val="none" w:sz="0" w:space="0" w:color="auto"/>
        <w:bottom w:val="none" w:sz="0" w:space="0" w:color="auto"/>
        <w:right w:val="none" w:sz="0" w:space="0" w:color="auto"/>
      </w:divBdr>
    </w:div>
    <w:div w:id="17928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9810E-8620-4291-9FA0-E182DF3F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1616</Words>
  <Characters>11996</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s.alcauskiene</cp:lastModifiedBy>
  <cp:revision>5</cp:revision>
  <cp:lastPrinted>2015-08-18T09:07:00Z</cp:lastPrinted>
  <dcterms:created xsi:type="dcterms:W3CDTF">2016-04-29T08:44:00Z</dcterms:created>
  <dcterms:modified xsi:type="dcterms:W3CDTF">2016-04-29T10:45:00Z</dcterms:modified>
</cp:coreProperties>
</file>