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FA3" w:rsidRDefault="00343FA3" w:rsidP="00A05E4D">
      <w:pPr>
        <w:spacing w:after="0" w:line="240" w:lineRule="auto"/>
        <w:jc w:val="center"/>
        <w:rPr>
          <w:rFonts w:ascii="Times New Roman" w:hAnsi="Times New Roman" w:cs="Times New Roman"/>
          <w:b/>
          <w:sz w:val="24"/>
          <w:szCs w:val="24"/>
        </w:rPr>
      </w:pPr>
    </w:p>
    <w:p w:rsidR="00343FA3" w:rsidRDefault="00343FA3" w:rsidP="00A05E4D">
      <w:pPr>
        <w:spacing w:after="0" w:line="240" w:lineRule="auto"/>
        <w:jc w:val="center"/>
        <w:rPr>
          <w:rFonts w:ascii="Times New Roman" w:hAnsi="Times New Roman" w:cs="Times New Roman"/>
          <w:b/>
          <w:sz w:val="24"/>
          <w:szCs w:val="24"/>
        </w:rPr>
      </w:pPr>
    </w:p>
    <w:p w:rsidR="00CC5DCF" w:rsidRDefault="00343FA3" w:rsidP="00343FA3">
      <w:pPr>
        <w:pStyle w:val="Antrat1"/>
        <w:jc w:val="center"/>
      </w:pPr>
      <w:r>
        <w:t>Lietuvos Respublikos finansų ministerija</w:t>
      </w:r>
    </w:p>
    <w:p w:rsidR="008E6223" w:rsidRDefault="008E6223" w:rsidP="00A05E4D">
      <w:pPr>
        <w:spacing w:after="0" w:line="240" w:lineRule="auto"/>
        <w:jc w:val="center"/>
        <w:rPr>
          <w:rFonts w:ascii="Times New Roman" w:hAnsi="Times New Roman" w:cs="Times New Roman"/>
          <w:b/>
          <w:sz w:val="24"/>
          <w:szCs w:val="24"/>
        </w:rPr>
      </w:pPr>
    </w:p>
    <w:p w:rsidR="00343FA3" w:rsidRDefault="00343FA3" w:rsidP="00A05E4D">
      <w:pPr>
        <w:spacing w:after="0" w:line="240" w:lineRule="auto"/>
        <w:jc w:val="center"/>
        <w:rPr>
          <w:rFonts w:ascii="Times New Roman" w:hAnsi="Times New Roman" w:cs="Times New Roman"/>
          <w:b/>
          <w:sz w:val="24"/>
          <w:szCs w:val="24"/>
        </w:rPr>
      </w:pPr>
    </w:p>
    <w:p w:rsidR="008E6223" w:rsidRPr="00343FA3" w:rsidRDefault="008E6223" w:rsidP="00343FA3">
      <w:pPr>
        <w:pStyle w:val="Pavadinimas"/>
        <w:jc w:val="center"/>
        <w:rPr>
          <w:rFonts w:ascii="Times New Roman" w:hAnsi="Times New Roman" w:cs="Times New Roman"/>
          <w:b/>
          <w:sz w:val="44"/>
          <w:szCs w:val="44"/>
        </w:rPr>
      </w:pPr>
      <w:r w:rsidRPr="00343FA3">
        <w:rPr>
          <w:b/>
          <w:sz w:val="44"/>
          <w:szCs w:val="44"/>
        </w:rPr>
        <w:t>Komandiruočių ir kelionių fiksuotųjų įkainių nustatymo techninės paramos projektuose tyrimo ataskaita</w:t>
      </w:r>
    </w:p>
    <w:p w:rsidR="00EA7AC6" w:rsidRDefault="00EA7AC6" w:rsidP="00A05E4D">
      <w:pPr>
        <w:spacing w:after="0" w:line="240" w:lineRule="auto"/>
        <w:jc w:val="center"/>
        <w:rPr>
          <w:rFonts w:ascii="Times New Roman" w:hAnsi="Times New Roman" w:cs="Times New Roman"/>
          <w:b/>
          <w:sz w:val="24"/>
          <w:szCs w:val="24"/>
        </w:rPr>
      </w:pPr>
    </w:p>
    <w:p w:rsidR="00343FA3" w:rsidRPr="00343FA3" w:rsidRDefault="00343FA3" w:rsidP="00A05E4D">
      <w:pPr>
        <w:spacing w:after="0" w:line="240" w:lineRule="auto"/>
        <w:jc w:val="center"/>
        <w:rPr>
          <w:rFonts w:cstheme="minorHAnsi"/>
          <w:szCs w:val="24"/>
        </w:rPr>
      </w:pPr>
      <w:r w:rsidRPr="00343FA3">
        <w:rPr>
          <w:rFonts w:cstheme="minorHAnsi"/>
          <w:szCs w:val="24"/>
        </w:rPr>
        <w:t xml:space="preserve">2016 m. </w:t>
      </w:r>
      <w:r w:rsidR="002175B2">
        <w:rPr>
          <w:rFonts w:cstheme="minorHAnsi"/>
          <w:szCs w:val="24"/>
        </w:rPr>
        <w:t>gegužės 19</w:t>
      </w:r>
      <w:r w:rsidR="002175B2" w:rsidRPr="00343FA3">
        <w:rPr>
          <w:rFonts w:cstheme="minorHAnsi"/>
          <w:szCs w:val="24"/>
        </w:rPr>
        <w:t xml:space="preserve"> </w:t>
      </w:r>
      <w:r w:rsidRPr="00343FA3">
        <w:rPr>
          <w:rFonts w:cstheme="minorHAnsi"/>
          <w:szCs w:val="24"/>
        </w:rPr>
        <w:t>d.</w:t>
      </w:r>
    </w:p>
    <w:p w:rsidR="00343FA3" w:rsidRDefault="00343FA3" w:rsidP="00A05E4D">
      <w:pPr>
        <w:spacing w:after="0" w:line="240" w:lineRule="auto"/>
        <w:jc w:val="center"/>
        <w:rPr>
          <w:rFonts w:ascii="Times New Roman" w:hAnsi="Times New Roman" w:cs="Times New Roman"/>
          <w:b/>
          <w:sz w:val="24"/>
          <w:szCs w:val="24"/>
        </w:rPr>
      </w:pPr>
    </w:p>
    <w:p w:rsidR="00343FA3" w:rsidRPr="00C20797" w:rsidRDefault="00343FA3" w:rsidP="00343FA3">
      <w:pPr>
        <w:pStyle w:val="Antrat2"/>
        <w:jc w:val="center"/>
      </w:pPr>
      <w:r>
        <w:t>I</w:t>
      </w:r>
      <w:r w:rsidRPr="00C20797">
        <w:t xml:space="preserve">. </w:t>
      </w:r>
      <w:r>
        <w:t>ĮVADAS</w:t>
      </w:r>
    </w:p>
    <w:p w:rsidR="00CC5DCF" w:rsidRDefault="00CC5DCF" w:rsidP="00A05E4D">
      <w:pPr>
        <w:spacing w:after="0" w:line="240" w:lineRule="auto"/>
        <w:jc w:val="center"/>
        <w:rPr>
          <w:rFonts w:ascii="Times New Roman" w:hAnsi="Times New Roman" w:cs="Times New Roman"/>
          <w:b/>
          <w:sz w:val="24"/>
          <w:szCs w:val="24"/>
        </w:rPr>
      </w:pPr>
    </w:p>
    <w:p w:rsidR="00982743" w:rsidRDefault="00982743" w:rsidP="00292D25">
      <w:pPr>
        <w:ind w:firstLine="567"/>
        <w:jc w:val="both"/>
        <w:rPr>
          <w:rFonts w:cstheme="minorHAnsi"/>
        </w:rPr>
      </w:pPr>
      <w:r>
        <w:rPr>
          <w:rFonts w:cstheme="minorHAnsi"/>
        </w:rPr>
        <w:t>Komandiruočių ir kelionių fiksuotųjų įkainių nustatymo techninės paramos projektuose tyrimo ataskaita (toliau – tyrimo ataskaita) siekiama nustatyti tarnybinių komandiruočių (toliau – komandiruotės) Li</w:t>
      </w:r>
      <w:r w:rsidR="00366073">
        <w:rPr>
          <w:rFonts w:cstheme="minorHAnsi"/>
        </w:rPr>
        <w:t>etuvos Respublikoje</w:t>
      </w:r>
      <w:r w:rsidR="00CF2612">
        <w:rPr>
          <w:rFonts w:cstheme="minorHAnsi"/>
        </w:rPr>
        <w:t xml:space="preserve"> (toliau – Lietuvoje)</w:t>
      </w:r>
      <w:r w:rsidR="00366073">
        <w:rPr>
          <w:rFonts w:cstheme="minorHAnsi"/>
        </w:rPr>
        <w:t xml:space="preserve"> ir į užsienio valstybes,</w:t>
      </w:r>
      <w:r>
        <w:rPr>
          <w:rFonts w:cstheme="minorHAnsi"/>
        </w:rPr>
        <w:t xml:space="preserve"> bei kelionių </w:t>
      </w:r>
      <w:r w:rsidR="00CF2612">
        <w:rPr>
          <w:rFonts w:cstheme="minorHAnsi"/>
        </w:rPr>
        <w:t>Lietuvoje</w:t>
      </w:r>
      <w:r>
        <w:rPr>
          <w:rFonts w:cstheme="minorHAnsi"/>
        </w:rPr>
        <w:t xml:space="preserve"> fiksuotųjų įkainių dydžius ir jų skaičiavimo tvarką.</w:t>
      </w:r>
    </w:p>
    <w:p w:rsidR="00292D25" w:rsidRDefault="00292D25" w:rsidP="00982743">
      <w:pPr>
        <w:ind w:firstLine="851"/>
        <w:jc w:val="both"/>
        <w:rPr>
          <w:rFonts w:cstheme="minorHAnsi"/>
        </w:rPr>
      </w:pPr>
      <w:r>
        <w:t xml:space="preserve">Tyrimo ataskaitoje nustatomi fiksuotieji įkainiai taikomi </w:t>
      </w:r>
      <w:r w:rsidR="00B8376A" w:rsidRPr="002175B2">
        <w:rPr>
          <w:u w:val="single"/>
        </w:rPr>
        <w:t>tik</w:t>
      </w:r>
      <w:r w:rsidR="00B8376A">
        <w:t xml:space="preserve"> </w:t>
      </w:r>
      <w:r w:rsidRPr="00EA7AC6">
        <w:rPr>
          <w:rFonts w:cstheme="minorHAnsi"/>
        </w:rPr>
        <w:t xml:space="preserve">2014–2020 metų Europos Sąjungos fondų investicijų veiksmų programos (toliau – veiksmų programa) 11 prioriteto „Techninė parama veiksmų programai administruoti“ </w:t>
      </w:r>
      <w:r>
        <w:rPr>
          <w:rFonts w:cstheme="minorHAnsi"/>
        </w:rPr>
        <w:t>projektams</w:t>
      </w:r>
      <w:r w:rsidRPr="00EA7AC6">
        <w:rPr>
          <w:rFonts w:cstheme="minorHAnsi"/>
        </w:rPr>
        <w:t xml:space="preserve"> (toliau – techninės paramos projektai)</w:t>
      </w:r>
      <w:r>
        <w:rPr>
          <w:rFonts w:cstheme="minorHAnsi"/>
        </w:rPr>
        <w:t>. Fiksuotieji įkainiai leis sumažinti administracinę naštą techninės paramos projektuose bei techninės paramos projektų vykdytojų (toliau – techninės paramos gavėjai)</w:t>
      </w:r>
      <w:r w:rsidR="00366073">
        <w:rPr>
          <w:rFonts w:cstheme="minorHAnsi"/>
        </w:rPr>
        <w:t>,</w:t>
      </w:r>
      <w:r>
        <w:rPr>
          <w:rFonts w:cstheme="minorHAnsi"/>
        </w:rPr>
        <w:t xml:space="preserve"> </w:t>
      </w:r>
      <w:r w:rsidR="00366073">
        <w:rPr>
          <w:rFonts w:cstheme="minorHAnsi"/>
        </w:rPr>
        <w:t xml:space="preserve">deklaruojančių techninės paramos projektų išlaidas, </w:t>
      </w:r>
      <w:r>
        <w:rPr>
          <w:rFonts w:cstheme="minorHAnsi"/>
        </w:rPr>
        <w:t xml:space="preserve">ir įgyvendinančiosios institucijos darbuotojų, atliekančių šių išlaidų patikrą, laiko sąnaudas. </w:t>
      </w:r>
    </w:p>
    <w:p w:rsidR="0059220E" w:rsidRDefault="0059220E" w:rsidP="00982743">
      <w:pPr>
        <w:ind w:firstLine="851"/>
        <w:jc w:val="both"/>
        <w:rPr>
          <w:rFonts w:cstheme="minorHAnsi"/>
        </w:rPr>
      </w:pPr>
      <w:r>
        <w:rPr>
          <w:rFonts w:cstheme="minorHAnsi"/>
        </w:rPr>
        <w:t>Tyrimo ataskaitoje vartojamos sąvokos, nustatytos Atsakomybės ir funkcijų paskirstymo tarp institucijų, įgyvendinant 2014</w:t>
      </w:r>
      <w:r w:rsidR="00A347AE">
        <w:rPr>
          <w:rFonts w:cstheme="minorHAnsi"/>
        </w:rPr>
        <w:t>−</w:t>
      </w:r>
      <w:r>
        <w:rPr>
          <w:rFonts w:cstheme="minorHAnsi"/>
        </w:rPr>
        <w:t>2020 metų Europos Sąjungos struktūrinių fondų investicijų veiksmų programą, taisyklės</w:t>
      </w:r>
      <w:r w:rsidR="00366073">
        <w:rPr>
          <w:rFonts w:cstheme="minorHAnsi"/>
        </w:rPr>
        <w:t>e</w:t>
      </w:r>
      <w:r>
        <w:rPr>
          <w:rFonts w:cstheme="minorHAnsi"/>
        </w:rPr>
        <w:t>, patvirtintose Lietuvos Respublikos Vyriausybės 2014 m. birželio 4 d. nutarimu Nr. 528</w:t>
      </w:r>
      <w:r w:rsidR="00A429BD">
        <w:rPr>
          <w:rFonts w:cstheme="minorHAnsi"/>
        </w:rPr>
        <w:t xml:space="preserve"> „Dėl atsakomybės ir funkcijų paskirstymo tarp institucijų, įgyvendinant 2014−2020 metų Europos Sąjungos struktūrinių fondų investicijų veiksmų programą“</w:t>
      </w:r>
      <w:r w:rsidR="00CD431D">
        <w:rPr>
          <w:rFonts w:cstheme="minorHAnsi"/>
        </w:rPr>
        <w:t xml:space="preserve"> (toliau – Atsakomybės ir funkcijų paskirstymo taisyklės)</w:t>
      </w:r>
      <w:r>
        <w:rPr>
          <w:rFonts w:cstheme="minorHAnsi"/>
        </w:rPr>
        <w:t>, ir Techninės paramos administravimo taisyklėse, patvirtintose Lietuvos Respublikos finansų ministro 2014 m. spalio 28 d. įsakymu Nr. 1K-337</w:t>
      </w:r>
      <w:r w:rsidR="00A429BD">
        <w:rPr>
          <w:rFonts w:cstheme="minorHAnsi"/>
        </w:rPr>
        <w:t xml:space="preserve"> „Dėl Techninės paramos administravimo taisyklių patvirtinimo“</w:t>
      </w:r>
      <w:r>
        <w:rPr>
          <w:rFonts w:cstheme="minorHAnsi"/>
        </w:rPr>
        <w:t xml:space="preserve">. </w:t>
      </w:r>
    </w:p>
    <w:p w:rsidR="000E3680" w:rsidRDefault="000E3680" w:rsidP="000E3680">
      <w:pPr>
        <w:spacing w:before="240" w:after="0" w:line="240" w:lineRule="auto"/>
        <w:ind w:firstLine="851"/>
        <w:jc w:val="both"/>
        <w:rPr>
          <w:rFonts w:ascii="Calibri" w:eastAsia="Calibri" w:hAnsi="Calibri" w:cs="Calibri"/>
        </w:rPr>
      </w:pPr>
      <w:r>
        <w:rPr>
          <w:rFonts w:ascii="Calibri" w:eastAsia="Calibri" w:hAnsi="Calibri" w:cs="Calibri"/>
        </w:rPr>
        <w:t>Tyrimas atliktas šiais etapais:</w:t>
      </w:r>
    </w:p>
    <w:p w:rsidR="000E3680" w:rsidRDefault="000E3680" w:rsidP="00A429BD">
      <w:pPr>
        <w:numPr>
          <w:ilvl w:val="0"/>
          <w:numId w:val="20"/>
        </w:numPr>
        <w:tabs>
          <w:tab w:val="clear" w:pos="1211"/>
          <w:tab w:val="num" w:pos="0"/>
          <w:tab w:val="left" w:pos="1276"/>
        </w:tabs>
        <w:spacing w:before="240" w:after="0" w:line="240" w:lineRule="auto"/>
        <w:ind w:left="0" w:firstLine="851"/>
        <w:jc w:val="both"/>
        <w:rPr>
          <w:rFonts w:ascii="Calibri" w:eastAsia="Calibri" w:hAnsi="Calibri" w:cs="Calibri"/>
        </w:rPr>
      </w:pPr>
      <w:r>
        <w:rPr>
          <w:rFonts w:ascii="Calibri" w:eastAsia="Calibri" w:hAnsi="Calibri" w:cs="Calibri"/>
        </w:rPr>
        <w:t>Atlikta su tyrimo objektu susijusių teisės aktų analizė;</w:t>
      </w:r>
    </w:p>
    <w:p w:rsidR="00292D25" w:rsidRDefault="00292D25" w:rsidP="00A429BD">
      <w:pPr>
        <w:numPr>
          <w:ilvl w:val="0"/>
          <w:numId w:val="20"/>
        </w:numPr>
        <w:tabs>
          <w:tab w:val="clear" w:pos="1211"/>
          <w:tab w:val="num" w:pos="0"/>
          <w:tab w:val="left" w:pos="1276"/>
        </w:tabs>
        <w:spacing w:before="240" w:after="0" w:line="240" w:lineRule="auto"/>
        <w:ind w:left="0" w:firstLine="851"/>
        <w:jc w:val="both"/>
        <w:rPr>
          <w:rFonts w:ascii="Calibri" w:eastAsia="Calibri" w:hAnsi="Calibri" w:cs="Calibri"/>
        </w:rPr>
      </w:pPr>
      <w:r>
        <w:rPr>
          <w:rFonts w:ascii="Calibri" w:eastAsia="Calibri" w:hAnsi="Calibri" w:cs="Calibri"/>
        </w:rPr>
        <w:t>Atlikta kitų institucijų atliktų supaprastintai apmokamų išlaidų tyrimų</w:t>
      </w:r>
      <w:r w:rsidR="00055357">
        <w:rPr>
          <w:rFonts w:ascii="Calibri" w:eastAsia="Calibri" w:hAnsi="Calibri" w:cs="Calibri"/>
        </w:rPr>
        <w:t xml:space="preserve"> ataskaitų</w:t>
      </w:r>
      <w:r>
        <w:rPr>
          <w:rFonts w:ascii="Calibri" w:eastAsia="Calibri" w:hAnsi="Calibri" w:cs="Calibri"/>
        </w:rPr>
        <w:t>, skelbiamų Europos Sąjungos struktūrinių fondų</w:t>
      </w:r>
      <w:r w:rsidR="003F2576">
        <w:rPr>
          <w:rFonts w:ascii="Calibri" w:eastAsia="Calibri" w:hAnsi="Calibri" w:cs="Calibri"/>
        </w:rPr>
        <w:t xml:space="preserve"> interneto</w:t>
      </w:r>
      <w:r>
        <w:rPr>
          <w:rFonts w:ascii="Calibri" w:eastAsia="Calibri" w:hAnsi="Calibri" w:cs="Calibri"/>
        </w:rPr>
        <w:t xml:space="preserve"> svetainėje </w:t>
      </w:r>
      <w:hyperlink r:id="rId9" w:history="1">
        <w:r w:rsidRPr="00B54222">
          <w:rPr>
            <w:rStyle w:val="Hipersaitas"/>
            <w:rFonts w:ascii="Calibri" w:eastAsia="Calibri" w:hAnsi="Calibri" w:cs="Calibri"/>
          </w:rPr>
          <w:t>www.esinvesticijos.lt</w:t>
        </w:r>
      </w:hyperlink>
      <w:r>
        <w:rPr>
          <w:rFonts w:ascii="Calibri" w:eastAsia="Calibri" w:hAnsi="Calibri" w:cs="Calibri"/>
        </w:rPr>
        <w:t>, analizė;</w:t>
      </w:r>
    </w:p>
    <w:p w:rsidR="000E3680" w:rsidRDefault="00055357" w:rsidP="00A429BD">
      <w:pPr>
        <w:numPr>
          <w:ilvl w:val="0"/>
          <w:numId w:val="20"/>
        </w:numPr>
        <w:tabs>
          <w:tab w:val="clear" w:pos="1211"/>
          <w:tab w:val="num" w:pos="0"/>
        </w:tabs>
        <w:spacing w:before="240" w:after="0" w:line="240" w:lineRule="auto"/>
        <w:ind w:left="0" w:firstLine="851"/>
        <w:jc w:val="both"/>
        <w:rPr>
          <w:rFonts w:ascii="Calibri" w:eastAsia="Calibri" w:hAnsi="Calibri" w:cs="Calibri"/>
        </w:rPr>
      </w:pPr>
      <w:r>
        <w:rPr>
          <w:rFonts w:ascii="Calibri" w:eastAsia="Calibri" w:hAnsi="Calibri" w:cs="Calibri"/>
        </w:rPr>
        <w:t>Nustatyti fiksuotųjų įkainių dydžiai ir išlaidų, apmokamų taikant fiksuotuosius įkainius, apskaičiavimo tvarka</w:t>
      </w:r>
      <w:r w:rsidR="000E3680">
        <w:rPr>
          <w:rFonts w:ascii="Calibri" w:eastAsia="Calibri" w:hAnsi="Calibri" w:cs="Calibri"/>
        </w:rPr>
        <w:t xml:space="preserve">. </w:t>
      </w:r>
    </w:p>
    <w:p w:rsidR="000E3680" w:rsidRDefault="000E3680" w:rsidP="000E3680">
      <w:pPr>
        <w:spacing w:before="240" w:after="0"/>
        <w:ind w:firstLine="851"/>
        <w:jc w:val="both"/>
        <w:rPr>
          <w:rFonts w:ascii="Calibri" w:eastAsia="Calibri" w:hAnsi="Calibri" w:cs="Calibri"/>
        </w:rPr>
      </w:pPr>
      <w:r>
        <w:rPr>
          <w:rFonts w:ascii="Calibri" w:eastAsia="Calibri" w:hAnsi="Calibri" w:cs="Calibri"/>
        </w:rPr>
        <w:lastRenderedPageBreak/>
        <w:t xml:space="preserve">Tyrimą atliko Lietuvos Respublikos finansų ministerija ir PPMI GROUP, UAB ekspertai pagal ūkio subjektų grupės PPMI Group, UAB, viešoji įstaiga Viešosios politikos ir vadybos institutas, UAB „PricewaterhouseCoopers“ ir PricewaterhouseCoopers Luxembourg, atstovaujamos PPMI, 2015-01-07 sutartį Nr. 14P-1 su Lietuvos Respublikos finansų ministerija. </w:t>
      </w:r>
    </w:p>
    <w:p w:rsidR="000E3680" w:rsidRPr="000E3680" w:rsidRDefault="000E3680" w:rsidP="000E3680">
      <w:pPr>
        <w:tabs>
          <w:tab w:val="left" w:pos="1134"/>
          <w:tab w:val="left" w:pos="1276"/>
        </w:tabs>
        <w:jc w:val="both"/>
        <w:rPr>
          <w:rFonts w:cstheme="minorHAnsi"/>
        </w:rPr>
      </w:pPr>
    </w:p>
    <w:p w:rsidR="004B2B22" w:rsidRPr="00C20797" w:rsidRDefault="004B2B22" w:rsidP="004B2B22">
      <w:pPr>
        <w:pStyle w:val="Antrat2"/>
        <w:jc w:val="center"/>
      </w:pPr>
      <w:r w:rsidRPr="00C20797">
        <w:t>II. TYRIMO METODIKA</w:t>
      </w:r>
    </w:p>
    <w:p w:rsidR="004B2B22" w:rsidRPr="00CE61D3" w:rsidRDefault="004B2B22" w:rsidP="004B2B22">
      <w:pPr>
        <w:pStyle w:val="Antrat3"/>
        <w:jc w:val="center"/>
      </w:pPr>
      <w:r w:rsidRPr="00CE61D3">
        <w:t>II.1. Tyrimo prielaidos ir duomenų šaltiniai</w:t>
      </w:r>
    </w:p>
    <w:p w:rsidR="004B2B22" w:rsidRDefault="004B2B22" w:rsidP="00931750">
      <w:pPr>
        <w:tabs>
          <w:tab w:val="left" w:pos="1134"/>
          <w:tab w:val="left" w:pos="1276"/>
        </w:tabs>
        <w:jc w:val="center"/>
        <w:rPr>
          <w:rFonts w:ascii="Times New Roman" w:hAnsi="Times New Roman" w:cs="Times New Roman"/>
          <w:b/>
          <w:sz w:val="24"/>
          <w:szCs w:val="24"/>
        </w:rPr>
      </w:pPr>
    </w:p>
    <w:p w:rsidR="004B2B22" w:rsidRPr="00EA7AC6" w:rsidRDefault="004B2B22" w:rsidP="00343FA3">
      <w:pPr>
        <w:tabs>
          <w:tab w:val="left" w:pos="0"/>
        </w:tabs>
        <w:ind w:firstLine="567"/>
        <w:jc w:val="both"/>
        <w:rPr>
          <w:rFonts w:cstheme="minorHAnsi"/>
        </w:rPr>
      </w:pPr>
      <w:r w:rsidRPr="00EA7AC6">
        <w:rPr>
          <w:rFonts w:cstheme="minorHAnsi"/>
        </w:rPr>
        <w:t xml:space="preserve">Siekiant supaprastinti techninės paramos projektų administravimą, dalis įprastinių techninės paramos projektų išlaidų – komandiruočių ir kelionių Lietuvoje bei komandiruočių į </w:t>
      </w:r>
      <w:r w:rsidR="006C63C9" w:rsidRPr="00EA7AC6">
        <w:rPr>
          <w:rFonts w:cstheme="minorHAnsi"/>
        </w:rPr>
        <w:t>užsienio valstybes išlaido</w:t>
      </w:r>
      <w:r w:rsidRPr="00EA7AC6">
        <w:rPr>
          <w:rFonts w:cstheme="minorHAnsi"/>
        </w:rPr>
        <w:t xml:space="preserve">s </w:t>
      </w:r>
      <w:r w:rsidR="006C63C9" w:rsidRPr="00EA7AC6">
        <w:rPr>
          <w:rFonts w:cstheme="minorHAnsi"/>
        </w:rPr>
        <w:t>–</w:t>
      </w:r>
      <w:r w:rsidRPr="00EA7AC6">
        <w:rPr>
          <w:rFonts w:cstheme="minorHAnsi"/>
        </w:rPr>
        <w:t xml:space="preserve"> </w:t>
      </w:r>
      <w:r w:rsidR="006C63C9" w:rsidRPr="00EA7AC6">
        <w:rPr>
          <w:rFonts w:cstheme="minorHAnsi"/>
        </w:rPr>
        <w:t xml:space="preserve">gali būti apmokamos </w:t>
      </w:r>
      <w:r w:rsidRPr="00EA7AC6">
        <w:rPr>
          <w:rFonts w:cstheme="minorHAnsi"/>
        </w:rPr>
        <w:t xml:space="preserve">supaprastintai, taikant </w:t>
      </w:r>
      <w:r w:rsidR="006C63C9" w:rsidRPr="00EA7AC6">
        <w:rPr>
          <w:rFonts w:cstheme="minorHAnsi"/>
        </w:rPr>
        <w:t xml:space="preserve">nustatytus </w:t>
      </w:r>
      <w:r w:rsidRPr="00EA7AC6">
        <w:rPr>
          <w:rFonts w:cstheme="minorHAnsi"/>
        </w:rPr>
        <w:t>fiksuotuosius įkainius.</w:t>
      </w:r>
    </w:p>
    <w:p w:rsidR="006C63C9" w:rsidRPr="00EA7AC6" w:rsidRDefault="006C63C9" w:rsidP="00343FA3">
      <w:pPr>
        <w:tabs>
          <w:tab w:val="left" w:pos="0"/>
        </w:tabs>
        <w:ind w:firstLine="567"/>
        <w:jc w:val="both"/>
        <w:rPr>
          <w:rFonts w:cstheme="minorHAnsi"/>
        </w:rPr>
      </w:pPr>
      <w:r w:rsidRPr="00EA7AC6">
        <w:rPr>
          <w:rFonts w:cstheme="minorHAnsi"/>
        </w:rPr>
        <w:t xml:space="preserve">Komandiruočių ir kelionių Lietuvoje bei komandiruočių į užsienio valstybes fiksuotieji įkainiai, naudojami techninės </w:t>
      </w:r>
      <w:r w:rsidR="00A429BD">
        <w:rPr>
          <w:rFonts w:cstheme="minorHAnsi"/>
        </w:rPr>
        <w:t>paramos</w:t>
      </w:r>
      <w:r w:rsidR="00A429BD" w:rsidRPr="00EA7AC6">
        <w:rPr>
          <w:rFonts w:cstheme="minorHAnsi"/>
        </w:rPr>
        <w:t xml:space="preserve"> </w:t>
      </w:r>
      <w:r w:rsidRPr="00EA7AC6">
        <w:rPr>
          <w:rFonts w:cstheme="minorHAnsi"/>
        </w:rPr>
        <w:t>projektuose, yra nustatomi kaip sudėtiniai dydžiai, apimantys įvairaus pobūdžio komandiruočių (kelionių) išlaidas</w:t>
      </w:r>
      <w:r w:rsidR="00055357">
        <w:rPr>
          <w:rFonts w:cstheme="minorHAnsi"/>
        </w:rPr>
        <w:t xml:space="preserve"> (pavyzdžiui, kelionės, dienpinigių, gyvenamojo ploto nuomos ir pan. išlaidas)</w:t>
      </w:r>
      <w:r w:rsidRPr="00EA7AC6">
        <w:rPr>
          <w:rFonts w:cstheme="minorHAnsi"/>
        </w:rPr>
        <w:t>. Šių fiksuotųjų įkainių sudėtinės dalys nu</w:t>
      </w:r>
      <w:r w:rsidR="00EA7AC6" w:rsidRPr="00EA7AC6">
        <w:rPr>
          <w:rFonts w:cstheme="minorHAnsi"/>
        </w:rPr>
        <w:t>statomos remiantis galiojančiuose</w:t>
      </w:r>
      <w:r w:rsidRPr="00EA7AC6">
        <w:rPr>
          <w:rFonts w:cstheme="minorHAnsi"/>
        </w:rPr>
        <w:t xml:space="preserve"> Li</w:t>
      </w:r>
      <w:r w:rsidR="00EA7AC6" w:rsidRPr="00EA7AC6">
        <w:rPr>
          <w:rFonts w:cstheme="minorHAnsi"/>
        </w:rPr>
        <w:t>etuvos Respublikos teisės aktuose nustatytais dydžiais ir kitų institucijų atliktomis</w:t>
      </w:r>
      <w:r w:rsidRPr="00EA7AC6">
        <w:rPr>
          <w:rFonts w:cstheme="minorHAnsi"/>
        </w:rPr>
        <w:t xml:space="preserve"> fiks</w:t>
      </w:r>
      <w:r w:rsidR="00EA7AC6" w:rsidRPr="00EA7AC6">
        <w:rPr>
          <w:rFonts w:cstheme="minorHAnsi"/>
        </w:rPr>
        <w:t>uotųjų dydžių nustatymo</w:t>
      </w:r>
      <w:r w:rsidR="00055357">
        <w:rPr>
          <w:rFonts w:cstheme="minorHAnsi"/>
        </w:rPr>
        <w:t xml:space="preserve"> tyrimo</w:t>
      </w:r>
      <w:r w:rsidR="00EA7AC6" w:rsidRPr="00EA7AC6">
        <w:rPr>
          <w:rFonts w:cstheme="minorHAnsi"/>
        </w:rPr>
        <w:t xml:space="preserve"> ataskaitomis</w:t>
      </w:r>
      <w:r w:rsidRPr="00EA7AC6">
        <w:rPr>
          <w:rFonts w:cstheme="minorHAnsi"/>
        </w:rPr>
        <w:t xml:space="preserve">. </w:t>
      </w:r>
    </w:p>
    <w:p w:rsidR="00C245BD" w:rsidRDefault="006C63C9" w:rsidP="00343FA3">
      <w:pPr>
        <w:tabs>
          <w:tab w:val="left" w:pos="0"/>
        </w:tabs>
        <w:ind w:firstLine="567"/>
        <w:jc w:val="both"/>
        <w:rPr>
          <w:rFonts w:cstheme="minorHAnsi"/>
        </w:rPr>
      </w:pPr>
      <w:r w:rsidRPr="00EA7AC6">
        <w:rPr>
          <w:rFonts w:cstheme="minorHAnsi"/>
        </w:rPr>
        <w:t xml:space="preserve">Atkreiptinas dėmesys, kad </w:t>
      </w:r>
      <w:r w:rsidR="00541271" w:rsidRPr="00EA7AC6">
        <w:rPr>
          <w:rFonts w:cstheme="minorHAnsi"/>
        </w:rPr>
        <w:t>komandiruočių išlaidų apmokėjimo tvarką biudžetinėse įstaigose ir kitose įmonėse, įstaigose ir organizacijose (toliau – nebiudžetinės įstaigos) reglamentuoja skirtingi teisės aktai ir tam tikrais atvejais šių išlaidų apmokėjimo tvarka ir dydžiai biudžetinėse ir nebiudžetinėse įstaigose skiriasi</w:t>
      </w:r>
      <w:r w:rsidR="00C245BD">
        <w:rPr>
          <w:rFonts w:cstheme="minorHAnsi"/>
        </w:rPr>
        <w:t xml:space="preserve">, tačiau taikant lygiateisiškumo principą ir siekiant sumažinti administracinę naštą projektų vykdytojams, kurie įgyvendina ne techninės paramos projektus, </w:t>
      </w:r>
      <w:r w:rsidR="00CD431D">
        <w:rPr>
          <w:rFonts w:cstheme="minorHAnsi"/>
        </w:rPr>
        <w:t xml:space="preserve">yra </w:t>
      </w:r>
      <w:r w:rsidR="00C245BD">
        <w:rPr>
          <w:rFonts w:cstheme="minorHAnsi"/>
        </w:rPr>
        <w:t xml:space="preserve">taikomos vienodos komandiruočių išlaidų apmokėjimo sąlygos, nustatytos </w:t>
      </w:r>
      <w:r w:rsidR="00C245BD" w:rsidRPr="002175B2">
        <w:rPr>
          <w:rFonts w:cstheme="minorHAnsi"/>
          <w:i/>
        </w:rPr>
        <w:t>Rekomendacijose dėl projektų išlaidų atitikties Europos Sąjungos struktūrinių fondų reikalavimams</w:t>
      </w:r>
      <w:r w:rsidR="00C245BD" w:rsidRPr="00C245BD">
        <w:rPr>
          <w:rFonts w:cstheme="minorHAnsi"/>
        </w:rPr>
        <w:t>, patvirtintos</w:t>
      </w:r>
      <w:r w:rsidR="00C245BD">
        <w:rPr>
          <w:rFonts w:cstheme="minorHAnsi"/>
        </w:rPr>
        <w:t>e</w:t>
      </w:r>
      <w:r w:rsidR="00C245BD" w:rsidRPr="00C245BD">
        <w:rPr>
          <w:rFonts w:cstheme="minorHAnsi"/>
        </w:rPr>
        <w:t xml:space="preserve"> Žmogiškųjų išteklių plėtros veiksmų programos, Ekonomikos augimo veiksmų programos, Sanglaudos skatinimo veiksmų programos ir 2014 – 2020 metų Europos Sąjungos fondų investicijų veiksmų</w:t>
      </w:r>
      <w:r w:rsidR="00B8376A">
        <w:rPr>
          <w:rFonts w:cstheme="minorHAnsi"/>
        </w:rPr>
        <w:t xml:space="preserve"> programos valdymo komitetų 2014</w:t>
      </w:r>
      <w:r w:rsidR="00C245BD" w:rsidRPr="00C245BD">
        <w:rPr>
          <w:rFonts w:cstheme="minorHAnsi"/>
        </w:rPr>
        <w:t xml:space="preserve"> m. </w:t>
      </w:r>
      <w:r w:rsidR="00B8376A">
        <w:rPr>
          <w:rFonts w:cstheme="minorHAnsi"/>
        </w:rPr>
        <w:t>liepos 4 d. protokolu Nr. 34</w:t>
      </w:r>
      <w:r w:rsidR="00C245BD" w:rsidRPr="00C245BD">
        <w:rPr>
          <w:rFonts w:cstheme="minorHAnsi"/>
        </w:rPr>
        <w:t xml:space="preserve"> (aktuali redakcija nuo 2016 m. gegužės 9 d.) (toliau – Rekomendacijos dėl išlaidų atitikties)</w:t>
      </w:r>
      <w:r w:rsidR="00CD431D">
        <w:rPr>
          <w:rFonts w:cstheme="minorHAnsi"/>
        </w:rPr>
        <w:t>. Pažymėtina, kad šios Rekomendacijos dėl išlaidų atitikties netaikomos techninės paramos projektams.</w:t>
      </w:r>
    </w:p>
    <w:p w:rsidR="00CD431D" w:rsidRDefault="00B8376A" w:rsidP="00343FA3">
      <w:pPr>
        <w:tabs>
          <w:tab w:val="left" w:pos="0"/>
        </w:tabs>
        <w:ind w:firstLine="567"/>
        <w:jc w:val="both"/>
        <w:rPr>
          <w:rFonts w:cstheme="minorHAnsi"/>
        </w:rPr>
      </w:pPr>
      <w:r>
        <w:rPr>
          <w:rFonts w:cstheme="minorHAnsi"/>
        </w:rPr>
        <w:t>Dėl techninės paramos projektų specifikos</w:t>
      </w:r>
      <w:r w:rsidR="00CD431D">
        <w:rPr>
          <w:rFonts w:cstheme="minorHAnsi"/>
        </w:rPr>
        <w:t xml:space="preserve">, </w:t>
      </w:r>
      <w:r w:rsidR="00C0229B">
        <w:rPr>
          <w:rFonts w:cstheme="minorHAnsi"/>
        </w:rPr>
        <w:t xml:space="preserve">kadangi </w:t>
      </w:r>
      <w:r>
        <w:rPr>
          <w:rFonts w:cstheme="minorHAnsi"/>
        </w:rPr>
        <w:t>jų tikslas - sėkmingas</w:t>
      </w:r>
      <w:r w:rsidRPr="00B8376A">
        <w:rPr>
          <w:rFonts w:cstheme="minorHAnsi"/>
        </w:rPr>
        <w:t>, efektyvus ir savalaikis veiksmų programos įgyvendinimas</w:t>
      </w:r>
      <w:r>
        <w:rPr>
          <w:rFonts w:cstheme="minorHAnsi"/>
        </w:rPr>
        <w:t>, o</w:t>
      </w:r>
      <w:r w:rsidRPr="00B8376A">
        <w:rPr>
          <w:rFonts w:cstheme="minorHAnsi"/>
        </w:rPr>
        <w:t xml:space="preserve"> </w:t>
      </w:r>
      <w:r w:rsidR="00C0229B">
        <w:rPr>
          <w:rFonts w:cstheme="minorHAnsi"/>
        </w:rPr>
        <w:t xml:space="preserve">juos įgyvendinant techninės paramos gavėjų vykdoma veikla yra </w:t>
      </w:r>
      <w:r>
        <w:rPr>
          <w:rFonts w:cstheme="minorHAnsi"/>
        </w:rPr>
        <w:t xml:space="preserve">nuolatinė </w:t>
      </w:r>
      <w:r w:rsidR="00C0229B">
        <w:rPr>
          <w:rFonts w:cstheme="minorHAnsi"/>
        </w:rPr>
        <w:t>administracinio pobūdžio</w:t>
      </w:r>
      <w:r>
        <w:rPr>
          <w:rFonts w:cstheme="minorHAnsi"/>
        </w:rPr>
        <w:t xml:space="preserve"> veikla, techninės paramos projektuose taikomi kitokie išlaidų tinkamumo reikalavimai nei įprastuose iš ES struktūrinių fondų lėšų bendrai finansuojamuose projektuose</w:t>
      </w:r>
      <w:r w:rsidR="00C0229B">
        <w:rPr>
          <w:rFonts w:cstheme="minorHAnsi"/>
        </w:rPr>
        <w:t xml:space="preserve">. </w:t>
      </w:r>
      <w:r w:rsidR="00F145D4">
        <w:rPr>
          <w:rFonts w:cstheme="minorHAnsi"/>
        </w:rPr>
        <w:t>Atitinkamai, techninės paramos projektams nėra taikomos Rekomendacijos dėl išlaidų atitikties ir yra rengiamos atskiros išlaidų tinkamumo rekomendacijos. Atsižvelgiant į tai, kad t</w:t>
      </w:r>
      <w:r w:rsidR="00C0229B">
        <w:rPr>
          <w:rFonts w:cstheme="minorHAnsi"/>
        </w:rPr>
        <w:t>echninės paramos projektus vykdo</w:t>
      </w:r>
      <w:r w:rsidR="00CD431D">
        <w:rPr>
          <w:rFonts w:cstheme="minorHAnsi"/>
        </w:rPr>
        <w:t xml:space="preserve"> tik </w:t>
      </w:r>
      <w:r w:rsidR="00C0229B">
        <w:rPr>
          <w:rFonts w:cstheme="minorHAnsi"/>
        </w:rPr>
        <w:t xml:space="preserve">tos </w:t>
      </w:r>
      <w:r w:rsidR="00CD431D">
        <w:rPr>
          <w:rFonts w:cstheme="minorHAnsi"/>
        </w:rPr>
        <w:t>institucijos</w:t>
      </w:r>
      <w:r w:rsidR="00E81C44">
        <w:rPr>
          <w:rFonts w:cstheme="minorHAnsi"/>
        </w:rPr>
        <w:t xml:space="preserve"> (biudžetinės ir nebiudžetinės įstaigos)</w:t>
      </w:r>
      <w:r w:rsidR="00CD431D">
        <w:rPr>
          <w:rFonts w:cstheme="minorHAnsi"/>
        </w:rPr>
        <w:t xml:space="preserve">, kurioms Lietuvos Respublikos Vyriausybės nutarimu patvirtintose Atsakomybės ir funkcijų paskirstymo taisyklėse </w:t>
      </w:r>
      <w:r w:rsidR="00E81C44">
        <w:rPr>
          <w:rFonts w:cstheme="minorHAnsi"/>
        </w:rPr>
        <w:t xml:space="preserve">yra </w:t>
      </w:r>
      <w:r w:rsidR="00CD431D">
        <w:rPr>
          <w:rFonts w:cstheme="minorHAnsi"/>
        </w:rPr>
        <w:t xml:space="preserve">pavestos </w:t>
      </w:r>
      <w:r w:rsidR="00E81C44">
        <w:rPr>
          <w:rFonts w:cstheme="minorHAnsi"/>
        </w:rPr>
        <w:t>funkcijos, susijusios su veiksmų programos įgyvendinimu, ir šių funkcijų vykdymui joms yra skiriamos techninės paramos lėšos</w:t>
      </w:r>
      <w:r w:rsidR="00F145D4">
        <w:rPr>
          <w:rFonts w:cstheme="minorHAnsi"/>
        </w:rPr>
        <w:t xml:space="preserve">, t.y. </w:t>
      </w:r>
      <w:r w:rsidR="00CD431D">
        <w:rPr>
          <w:rFonts w:cstheme="minorHAnsi"/>
        </w:rPr>
        <w:t xml:space="preserve">dalies techninės paramos </w:t>
      </w:r>
      <w:r w:rsidR="00E81C44">
        <w:rPr>
          <w:rFonts w:cstheme="minorHAnsi"/>
        </w:rPr>
        <w:t>gavėjų</w:t>
      </w:r>
      <w:r w:rsidR="00CD431D">
        <w:rPr>
          <w:rFonts w:cstheme="minorHAnsi"/>
        </w:rPr>
        <w:t xml:space="preserve"> </w:t>
      </w:r>
      <w:r w:rsidR="00E81C44">
        <w:rPr>
          <w:rFonts w:cstheme="minorHAnsi"/>
        </w:rPr>
        <w:t>veikla</w:t>
      </w:r>
      <w:r w:rsidR="00CD431D">
        <w:rPr>
          <w:rFonts w:cstheme="minorHAnsi"/>
        </w:rPr>
        <w:t xml:space="preserve"> apsiriboja </w:t>
      </w:r>
      <w:r w:rsidR="00E81C44">
        <w:rPr>
          <w:rFonts w:cstheme="minorHAnsi"/>
        </w:rPr>
        <w:t>tik su veiksmų programa susijusių funkcijų</w:t>
      </w:r>
      <w:r w:rsidR="00767ED7">
        <w:rPr>
          <w:rFonts w:cstheme="minorHAnsi"/>
        </w:rPr>
        <w:t>, kurių jie negali pasirinkti,</w:t>
      </w:r>
      <w:r w:rsidR="00E81C44">
        <w:rPr>
          <w:rFonts w:cstheme="minorHAnsi"/>
        </w:rPr>
        <w:t xml:space="preserve"> vykdymu, ir jie neturi kitų lėšų š</w:t>
      </w:r>
      <w:r w:rsidR="00F145D4">
        <w:rPr>
          <w:rFonts w:cstheme="minorHAnsi"/>
        </w:rPr>
        <w:t>altinių savo veiklai finansuoti, siekiama, kad</w:t>
      </w:r>
      <w:r w:rsidR="00767ED7">
        <w:rPr>
          <w:rFonts w:cstheme="minorHAnsi"/>
        </w:rPr>
        <w:t xml:space="preserve"> techninės paramos gavėjai galėtų deklaruoti visas išlaidas, kurias jie patiria vadovaujantis teisės aktų nuostatomis, t.y. tam tikros išlaidos</w:t>
      </w:r>
      <w:r w:rsidR="00E81C44">
        <w:rPr>
          <w:rFonts w:cstheme="minorHAnsi"/>
        </w:rPr>
        <w:t xml:space="preserve">, kurios nėra tinkamos finansuoti kituose (ne techninės paramos) projektuose, yra laikomos tinkamomis </w:t>
      </w:r>
      <w:r w:rsidR="00E81C44">
        <w:rPr>
          <w:rFonts w:cstheme="minorHAnsi"/>
        </w:rPr>
        <w:lastRenderedPageBreak/>
        <w:t xml:space="preserve">finansuoti techninės paramos projektuose (pavyzdžiui, išeitinės išmokos darbuotojams, vykdantiems funkcijas, susijusias su veiksmų programos įgyvendinimu). </w:t>
      </w:r>
    </w:p>
    <w:p w:rsidR="00541271" w:rsidRPr="00EA7AC6" w:rsidRDefault="00541271" w:rsidP="00343FA3">
      <w:pPr>
        <w:tabs>
          <w:tab w:val="left" w:pos="0"/>
        </w:tabs>
        <w:ind w:firstLine="567"/>
        <w:jc w:val="both"/>
        <w:rPr>
          <w:rFonts w:cstheme="minorHAnsi"/>
        </w:rPr>
      </w:pPr>
      <w:r w:rsidRPr="00EA7AC6">
        <w:rPr>
          <w:rFonts w:cstheme="minorHAnsi"/>
        </w:rPr>
        <w:t xml:space="preserve">Siekiant, kad </w:t>
      </w:r>
      <w:r w:rsidR="00767ED7">
        <w:rPr>
          <w:rFonts w:cstheme="minorHAnsi"/>
        </w:rPr>
        <w:t xml:space="preserve">ir </w:t>
      </w:r>
      <w:r w:rsidRPr="00EA7AC6">
        <w:rPr>
          <w:rFonts w:cstheme="minorHAnsi"/>
        </w:rPr>
        <w:t xml:space="preserve">fiksuotųjų įkainių dydžiai kuo tiksliau atitiktų faktines techninės paramos gavėjų išlaidas, šiuo </w:t>
      </w:r>
      <w:r w:rsidR="00055357">
        <w:rPr>
          <w:rFonts w:cstheme="minorHAnsi"/>
        </w:rPr>
        <w:t>t</w:t>
      </w:r>
      <w:r w:rsidR="001833AA">
        <w:rPr>
          <w:rFonts w:cstheme="minorHAnsi"/>
        </w:rPr>
        <w:t>yrimu yra nustatoma</w:t>
      </w:r>
      <w:r w:rsidRPr="00EA7AC6">
        <w:rPr>
          <w:rFonts w:cstheme="minorHAnsi"/>
        </w:rPr>
        <w:t xml:space="preserve"> skirtinga (Lietuvos Respublikos teisės aktus atitinkanti) komandiruočių ir kelionių Lietuvoje bei komandiruočių į užsienio valstybes išlaidų, apmokamų taikant fiksuotuosius įkainius, skaičiavimo tvarka biudžetinėms ir nebiudžetinėms įstaigoms.</w:t>
      </w:r>
      <w:r w:rsidR="00767ED7">
        <w:rPr>
          <w:rFonts w:cstheme="minorHAnsi"/>
        </w:rPr>
        <w:t xml:space="preserve"> Kadangi techninės paramos projektus įgyvendinančių biudžetinių ir nebiudžetinių įstaigų sąrašas yra baigtinis, pagal fiksuotuosius įkainius apskaičiuojama komandiruotės ar kelionės išlaidų suma</w:t>
      </w:r>
      <w:r w:rsidR="001F6658">
        <w:rPr>
          <w:rFonts w:cstheme="minorHAnsi"/>
        </w:rPr>
        <w:t>,</w:t>
      </w:r>
      <w:r w:rsidR="00D36332">
        <w:rPr>
          <w:rFonts w:cstheme="minorHAnsi"/>
        </w:rPr>
        <w:t xml:space="preserve"> taikant tyrimo ataskaitos</w:t>
      </w:r>
      <w:r w:rsidR="00767ED7">
        <w:rPr>
          <w:rFonts w:cstheme="minorHAnsi"/>
        </w:rPr>
        <w:t xml:space="preserve"> </w:t>
      </w:r>
      <w:r w:rsidR="00C0229B">
        <w:rPr>
          <w:rFonts w:cstheme="minorHAnsi"/>
        </w:rPr>
        <w:t>III dalyje nustatytas formules</w:t>
      </w:r>
      <w:r w:rsidR="001F6658">
        <w:rPr>
          <w:rFonts w:cstheme="minorHAnsi"/>
        </w:rPr>
        <w:t>,</w:t>
      </w:r>
      <w:r w:rsidR="00D36332">
        <w:rPr>
          <w:rFonts w:cstheme="minorHAnsi"/>
        </w:rPr>
        <w:t xml:space="preserve"> </w:t>
      </w:r>
      <w:r w:rsidR="00B3720B">
        <w:rPr>
          <w:rFonts w:cstheme="minorHAnsi"/>
        </w:rPr>
        <w:t xml:space="preserve">bus </w:t>
      </w:r>
      <w:r w:rsidR="00767ED7">
        <w:rPr>
          <w:rFonts w:cstheme="minorHAnsi"/>
        </w:rPr>
        <w:t xml:space="preserve">nustatoma atsižvelgiant į konkrečioje įstaigoje nustatytą vidaus tvarką, pavyzdžiui, </w:t>
      </w:r>
      <w:r w:rsidR="00D36332">
        <w:rPr>
          <w:rFonts w:cstheme="minorHAnsi"/>
        </w:rPr>
        <w:t xml:space="preserve">jeigu, vadovaujantis įstaigos </w:t>
      </w:r>
      <w:r w:rsidR="001F6658">
        <w:rPr>
          <w:rFonts w:cstheme="minorHAnsi"/>
        </w:rPr>
        <w:t>vidaus tvarkos taisyklėmis</w:t>
      </w:r>
      <w:r w:rsidR="00D36332">
        <w:rPr>
          <w:rFonts w:cstheme="minorHAnsi"/>
        </w:rPr>
        <w:t xml:space="preserve">, </w:t>
      </w:r>
      <w:r w:rsidR="00B3720B">
        <w:rPr>
          <w:rFonts w:cstheme="minorHAnsi"/>
        </w:rPr>
        <w:t xml:space="preserve">darbuotojui </w:t>
      </w:r>
      <w:r w:rsidR="00D36332">
        <w:rPr>
          <w:rFonts w:cstheme="minorHAnsi"/>
        </w:rPr>
        <w:t xml:space="preserve">yra </w:t>
      </w:r>
      <w:r w:rsidR="00B3720B">
        <w:rPr>
          <w:rFonts w:cstheme="minorHAnsi"/>
        </w:rPr>
        <w:t xml:space="preserve">išmokama tik dalis dienpinigių </w:t>
      </w:r>
      <w:r w:rsidR="00D36332">
        <w:rPr>
          <w:rFonts w:cstheme="minorHAnsi"/>
        </w:rPr>
        <w:t>normos, šio tyrimo prieduose pateikiamoje atitinkamoje pažymos formoje yra</w:t>
      </w:r>
      <w:r w:rsidR="00B3720B">
        <w:rPr>
          <w:rFonts w:cstheme="minorHAnsi"/>
        </w:rPr>
        <w:t xml:space="preserve"> įvedamas konkretus </w:t>
      </w:r>
      <w:r w:rsidR="00D36332">
        <w:rPr>
          <w:rFonts w:cstheme="minorHAnsi"/>
        </w:rPr>
        <w:t>darbuotojui išmokėtos dienpinigių normos procentas, arba jeigu nebiudžetinėje įstaigo</w:t>
      </w:r>
      <w:r w:rsidR="00C0229B">
        <w:rPr>
          <w:rFonts w:cstheme="minorHAnsi"/>
        </w:rPr>
        <w:t>je nėra mokami dienpinigiai vykst</w:t>
      </w:r>
      <w:r w:rsidR="00D36332">
        <w:rPr>
          <w:rFonts w:cstheme="minorHAnsi"/>
        </w:rPr>
        <w:t>ant į vienos dienos komandiruotę Lietuvoje, šitai nurodoma pažymos formoje ir į fiksuotąjį įkainį dienpinigių suma neįskaičiuojama.</w:t>
      </w:r>
    </w:p>
    <w:p w:rsidR="00605E3D" w:rsidRPr="00EA7AC6" w:rsidRDefault="00605E3D" w:rsidP="00343FA3">
      <w:pPr>
        <w:tabs>
          <w:tab w:val="left" w:pos="0"/>
        </w:tabs>
        <w:ind w:firstLine="567"/>
        <w:jc w:val="both"/>
        <w:rPr>
          <w:rFonts w:cstheme="minorHAnsi"/>
        </w:rPr>
      </w:pPr>
      <w:r w:rsidRPr="00EA7AC6">
        <w:rPr>
          <w:rFonts w:cstheme="minorHAnsi"/>
        </w:rPr>
        <w:t>Taip pat, techninės paramos projektuose pasitaiko atvejų, kai darbuotojas vienos komandiruotės metu vyksta į</w:t>
      </w:r>
      <w:r w:rsidR="001833AA">
        <w:rPr>
          <w:rFonts w:cstheme="minorHAnsi"/>
        </w:rPr>
        <w:t xml:space="preserve"> dvi užsienio valstybes, todėl t</w:t>
      </w:r>
      <w:r w:rsidRPr="00EA7AC6">
        <w:rPr>
          <w:rFonts w:cstheme="minorHAnsi"/>
        </w:rPr>
        <w:t>yrimo ataskaitoje nustatoma ir tokių komandiruočių išlaidų apmokėjimo, taikant nustatytus fiksuotuosius įkainius, tvarka.</w:t>
      </w:r>
    </w:p>
    <w:p w:rsidR="00541271" w:rsidRPr="00EA7AC6" w:rsidRDefault="00541271" w:rsidP="00343FA3">
      <w:pPr>
        <w:tabs>
          <w:tab w:val="left" w:pos="0"/>
        </w:tabs>
        <w:ind w:firstLine="567"/>
        <w:jc w:val="both"/>
        <w:rPr>
          <w:rFonts w:cstheme="minorHAnsi"/>
        </w:rPr>
      </w:pPr>
      <w:r w:rsidRPr="00EA7AC6">
        <w:rPr>
          <w:rFonts w:cstheme="minorHAnsi"/>
        </w:rPr>
        <w:t>Atliekant tyrimą buvo išanalizuoti šie teisės aktai ir kitų institucijų parengti fiksuotųjų dydžių nustatymo tyrimai:</w:t>
      </w:r>
    </w:p>
    <w:p w:rsidR="00541271" w:rsidRPr="00EA7AC6" w:rsidRDefault="00541271" w:rsidP="00A429BD">
      <w:pPr>
        <w:pStyle w:val="Sraopastraipa"/>
        <w:numPr>
          <w:ilvl w:val="0"/>
          <w:numId w:val="12"/>
        </w:numPr>
        <w:tabs>
          <w:tab w:val="left" w:pos="0"/>
          <w:tab w:val="left" w:pos="1276"/>
        </w:tabs>
        <w:ind w:left="0" w:firstLine="851"/>
        <w:jc w:val="both"/>
        <w:rPr>
          <w:rFonts w:cstheme="minorHAnsi"/>
        </w:rPr>
      </w:pPr>
      <w:r w:rsidRPr="00EA7AC6">
        <w:rPr>
          <w:rFonts w:cstheme="minorHAnsi"/>
        </w:rPr>
        <w:t>Lietuvos Respublikos Vyriausybės 2004 m. balandžio 29 d. nutarimas Nr. 526 „Dėl tarnybinių komandiruočių išlaidų apmokėjimo biudžetinėse įstaigose taisyklių patvirtinimo“ (toliau – LRVN 526);</w:t>
      </w:r>
    </w:p>
    <w:p w:rsidR="00BB72D7" w:rsidRPr="00EA7AC6" w:rsidRDefault="00541271" w:rsidP="00A429BD">
      <w:pPr>
        <w:pStyle w:val="Sraopastraipa"/>
        <w:numPr>
          <w:ilvl w:val="0"/>
          <w:numId w:val="12"/>
        </w:numPr>
        <w:tabs>
          <w:tab w:val="left" w:pos="0"/>
        </w:tabs>
        <w:ind w:left="0" w:firstLine="851"/>
        <w:jc w:val="both"/>
        <w:rPr>
          <w:rFonts w:cstheme="minorHAnsi"/>
        </w:rPr>
      </w:pPr>
      <w:r w:rsidRPr="00EA7AC6">
        <w:rPr>
          <w:rFonts w:cstheme="minorHAnsi"/>
        </w:rPr>
        <w:t>Lietuvos Respublikos Vyriausybės 2003 m. sausio 28 d. nutarimas Nr. 99 „Dėl komandiruočių sąnaudų atskaitymo iš pajamų taisyklių patvirtinimo“ (toliau – LRVN 99)</w:t>
      </w:r>
      <w:r w:rsidR="00BB72D7" w:rsidRPr="00EA7AC6">
        <w:rPr>
          <w:rFonts w:cstheme="minorHAnsi"/>
        </w:rPr>
        <w:t>;</w:t>
      </w:r>
    </w:p>
    <w:p w:rsidR="00541271" w:rsidRPr="00EA7AC6" w:rsidRDefault="00541271" w:rsidP="00A429BD">
      <w:pPr>
        <w:pStyle w:val="Sraopastraipa"/>
        <w:numPr>
          <w:ilvl w:val="0"/>
          <w:numId w:val="12"/>
        </w:numPr>
        <w:tabs>
          <w:tab w:val="left" w:pos="0"/>
        </w:tabs>
        <w:ind w:left="0" w:firstLine="851"/>
        <w:jc w:val="both"/>
        <w:rPr>
          <w:rFonts w:cstheme="minorHAnsi"/>
        </w:rPr>
      </w:pPr>
      <w:r w:rsidRPr="00EA7AC6">
        <w:rPr>
          <w:rFonts w:cstheme="minorHAnsi"/>
        </w:rPr>
        <w:t xml:space="preserve"> Lietuvos Respublikos Vyriausybės</w:t>
      </w:r>
      <w:r w:rsidR="00BB72D7" w:rsidRPr="00EA7AC6">
        <w:rPr>
          <w:rFonts w:cstheme="minorHAnsi"/>
        </w:rPr>
        <w:t xml:space="preserve"> 2004 m. lapkričio 3 d. nutarimas</w:t>
      </w:r>
      <w:r w:rsidRPr="00EA7AC6">
        <w:rPr>
          <w:rFonts w:cstheme="minorHAnsi"/>
        </w:rPr>
        <w:t xml:space="preserve"> Nr. 1365 „Dėl išlaidų, susijusių su tarnybinėmis komandiruotėmis, dydžio ir mokėjimo tvarkos“ (toliau – LRVN 1365);</w:t>
      </w:r>
    </w:p>
    <w:p w:rsidR="00541271" w:rsidRPr="00EA7AC6" w:rsidRDefault="00541271" w:rsidP="00A429BD">
      <w:pPr>
        <w:pStyle w:val="Sraopastraipa"/>
        <w:numPr>
          <w:ilvl w:val="0"/>
          <w:numId w:val="12"/>
        </w:numPr>
        <w:tabs>
          <w:tab w:val="left" w:pos="0"/>
        </w:tabs>
        <w:ind w:left="0" w:firstLine="851"/>
        <w:jc w:val="both"/>
        <w:rPr>
          <w:rFonts w:cstheme="minorHAnsi"/>
        </w:rPr>
      </w:pPr>
      <w:r w:rsidRPr="00EA7AC6">
        <w:rPr>
          <w:rFonts w:cstheme="minorHAnsi"/>
        </w:rPr>
        <w:t>Lietuvos Respublikos Vyriausybės 2014 m. rugsėjo 10 d. nutarimas Nr. 924 „Dėl bazinės socialinės išmokos dydžio patvirtinimo“;</w:t>
      </w:r>
    </w:p>
    <w:p w:rsidR="00541271" w:rsidRPr="00EA7AC6" w:rsidRDefault="00541271" w:rsidP="00A429BD">
      <w:pPr>
        <w:pStyle w:val="Sraopastraipa"/>
        <w:numPr>
          <w:ilvl w:val="0"/>
          <w:numId w:val="12"/>
        </w:numPr>
        <w:tabs>
          <w:tab w:val="left" w:pos="0"/>
        </w:tabs>
        <w:ind w:left="0" w:firstLine="851"/>
        <w:jc w:val="both"/>
        <w:rPr>
          <w:rFonts w:cstheme="minorHAnsi"/>
        </w:rPr>
      </w:pPr>
      <w:r w:rsidRPr="00EA7AC6">
        <w:rPr>
          <w:rFonts w:cstheme="minorHAnsi"/>
        </w:rPr>
        <w:t>Lietuvos Respublikos finansų ministro 1996 m. lapkričio 21 d. įsakymas Nr. 116 „Dėl dienpinigių ir gyvenamojo ploto nuomos normų vykstantiems į užsienio komandiruotes“ (toliau – Įsakymas 116);</w:t>
      </w:r>
    </w:p>
    <w:p w:rsidR="00C245BD" w:rsidRPr="00C245BD" w:rsidRDefault="00BB72D7" w:rsidP="00C245BD">
      <w:pPr>
        <w:pStyle w:val="Sraopastraipa"/>
        <w:numPr>
          <w:ilvl w:val="0"/>
          <w:numId w:val="12"/>
        </w:numPr>
        <w:tabs>
          <w:tab w:val="left" w:pos="0"/>
        </w:tabs>
        <w:ind w:left="0" w:firstLine="851"/>
        <w:jc w:val="both"/>
        <w:rPr>
          <w:rStyle w:val="Hipersaitas"/>
          <w:rFonts w:cstheme="minorHAnsi"/>
          <w:color w:val="auto"/>
          <w:u w:val="none"/>
        </w:rPr>
      </w:pPr>
      <w:r w:rsidRPr="00EA7AC6">
        <w:rPr>
          <w:rFonts w:cstheme="minorHAnsi"/>
        </w:rPr>
        <w:t xml:space="preserve">Lietuvos Respublikos finansų ministerijos </w:t>
      </w:r>
      <w:r w:rsidRPr="00EA7AC6">
        <w:rPr>
          <w:rFonts w:cstheme="minorHAnsi"/>
          <w:i/>
        </w:rPr>
        <w:t xml:space="preserve">Kuro ir viešojo transporto išlaidų fiksuotųjų įkainių nustatymo tyrimo ataskaita </w:t>
      </w:r>
      <w:r w:rsidRPr="00EA7AC6">
        <w:rPr>
          <w:rFonts w:cstheme="minorHAnsi"/>
        </w:rPr>
        <w:t xml:space="preserve">(nuo 2015 m. balandžio 24 d. galiojanti redakcija </w:t>
      </w:r>
      <w:r w:rsidR="00C245BD">
        <w:rPr>
          <w:rStyle w:val="Hipersaitas"/>
          <w:rFonts w:cstheme="minorHAnsi"/>
        </w:rPr>
        <w:t xml:space="preserve"> </w:t>
      </w:r>
      <w:r w:rsidR="00C245BD" w:rsidRPr="00C245BD">
        <w:rPr>
          <w:rStyle w:val="Hipersaitas"/>
          <w:rFonts w:cstheme="minorHAnsi"/>
          <w:color w:val="auto"/>
          <w:u w:val="none"/>
        </w:rPr>
        <w:t>http://www.esinvesticijos.lt/lt/dokumentai/supaprastinto-islaidu-apmokejimo-tyrimai</w:t>
      </w:r>
    </w:p>
    <w:p w:rsidR="006C63C9" w:rsidRPr="00EA7AC6" w:rsidRDefault="00BB72D7" w:rsidP="006956FD">
      <w:pPr>
        <w:pStyle w:val="Sraopastraipa"/>
        <w:numPr>
          <w:ilvl w:val="0"/>
          <w:numId w:val="12"/>
        </w:numPr>
        <w:tabs>
          <w:tab w:val="left" w:pos="0"/>
        </w:tabs>
        <w:ind w:left="0" w:firstLine="851"/>
        <w:jc w:val="both"/>
        <w:rPr>
          <w:rFonts w:cstheme="minorHAnsi"/>
        </w:rPr>
      </w:pPr>
      <w:r w:rsidRPr="00EA7AC6">
        <w:rPr>
          <w:rFonts w:cstheme="minorHAnsi"/>
          <w:i/>
        </w:rPr>
        <w:t>Mokslinių išvykų išlaidų fiksuotųjų įkainių apskaičiavimo ataskaita</w:t>
      </w:r>
      <w:r w:rsidRPr="00EA7AC6">
        <w:rPr>
          <w:rFonts w:cstheme="minorHAnsi"/>
        </w:rPr>
        <w:t xml:space="preserve">, patvirtinta Lietuvos mokslo tarybos pirmininko 2014 m. spalio 6 d. įsakymu Nr. V-191 (2016 m. vasario 18 d. redakcija) </w:t>
      </w:r>
      <w:r w:rsidR="00C245BD" w:rsidRPr="00C245BD">
        <w:rPr>
          <w:rFonts w:cstheme="minorHAnsi"/>
        </w:rPr>
        <w:t xml:space="preserve">http://www.esinvesticijos.lt/lt/dokumentai/supaprastinto-islaidu-apmokejimo-tyrimai </w:t>
      </w:r>
    </w:p>
    <w:p w:rsidR="004B2B22" w:rsidRPr="00EA7AC6" w:rsidRDefault="006C63C9" w:rsidP="00366073">
      <w:pPr>
        <w:tabs>
          <w:tab w:val="left" w:pos="0"/>
        </w:tabs>
        <w:ind w:firstLine="567"/>
        <w:jc w:val="both"/>
        <w:rPr>
          <w:rFonts w:cstheme="minorHAnsi"/>
        </w:rPr>
      </w:pPr>
      <w:r w:rsidRPr="00EA7AC6">
        <w:rPr>
          <w:rFonts w:cstheme="minorHAnsi"/>
        </w:rPr>
        <w:t xml:space="preserve">Detali tyrimo metodika ir išlaidų, apmokamų taikant fiksuotuosius įkainius skaičiavimo formulės, pateikiami tyrimo ataskaitos II.2 ir III dalyse. </w:t>
      </w:r>
    </w:p>
    <w:p w:rsidR="006C63C9" w:rsidRPr="00EA7AC6" w:rsidRDefault="006C63C9" w:rsidP="00602C07">
      <w:pPr>
        <w:tabs>
          <w:tab w:val="left" w:pos="0"/>
        </w:tabs>
        <w:jc w:val="both"/>
        <w:rPr>
          <w:rFonts w:cstheme="minorHAnsi"/>
        </w:rPr>
      </w:pPr>
    </w:p>
    <w:p w:rsidR="004B2B22" w:rsidRDefault="004B2B22" w:rsidP="004B2B22">
      <w:pPr>
        <w:keepNext/>
        <w:spacing w:before="240" w:after="60"/>
        <w:jc w:val="center"/>
        <w:outlineLvl w:val="2"/>
        <w:rPr>
          <w:rFonts w:ascii="Cambria" w:eastAsia="Times New Roman" w:hAnsi="Cambria" w:cs="Times New Roman"/>
          <w:b/>
          <w:bCs/>
          <w:sz w:val="26"/>
          <w:szCs w:val="26"/>
        </w:rPr>
      </w:pPr>
      <w:r w:rsidRPr="004B2B22">
        <w:rPr>
          <w:rFonts w:ascii="Cambria" w:eastAsia="Times New Roman" w:hAnsi="Cambria" w:cs="Times New Roman"/>
          <w:b/>
          <w:bCs/>
          <w:sz w:val="26"/>
          <w:szCs w:val="26"/>
        </w:rPr>
        <w:lastRenderedPageBreak/>
        <w:t>II.2. Tyrimo metodika</w:t>
      </w:r>
    </w:p>
    <w:p w:rsidR="004B2B22" w:rsidRPr="004B2B22" w:rsidRDefault="004B2B22" w:rsidP="004B2B22">
      <w:pPr>
        <w:keepNext/>
        <w:spacing w:before="240" w:after="60"/>
        <w:jc w:val="center"/>
        <w:outlineLvl w:val="2"/>
        <w:rPr>
          <w:rFonts w:ascii="Cambria" w:eastAsia="Times New Roman" w:hAnsi="Cambria" w:cs="Times New Roman"/>
          <w:b/>
          <w:bCs/>
          <w:sz w:val="26"/>
          <w:szCs w:val="26"/>
        </w:rPr>
      </w:pPr>
    </w:p>
    <w:p w:rsidR="004B2B22" w:rsidRPr="000E3680" w:rsidRDefault="004B2B22" w:rsidP="004B2B22">
      <w:pPr>
        <w:tabs>
          <w:tab w:val="left" w:pos="1134"/>
          <w:tab w:val="left" w:pos="1276"/>
        </w:tabs>
        <w:jc w:val="center"/>
        <w:rPr>
          <w:rFonts w:asciiTheme="majorHAnsi" w:hAnsiTheme="majorHAnsi" w:cs="Times New Roman"/>
          <w:b/>
          <w:sz w:val="24"/>
          <w:szCs w:val="24"/>
        </w:rPr>
      </w:pPr>
      <w:r w:rsidRPr="000E3680">
        <w:rPr>
          <w:rFonts w:asciiTheme="majorHAnsi" w:hAnsiTheme="majorHAnsi" w:cs="Times New Roman"/>
          <w:b/>
          <w:sz w:val="24"/>
          <w:szCs w:val="24"/>
        </w:rPr>
        <w:t>II.2.1. Komandiruočių ir kelionių Lietuvoje fiksuotieji įkainiai</w:t>
      </w:r>
    </w:p>
    <w:p w:rsidR="004B2B22" w:rsidRPr="00EA7AC6" w:rsidRDefault="004B2B22" w:rsidP="00343FA3">
      <w:pPr>
        <w:tabs>
          <w:tab w:val="left" w:pos="0"/>
        </w:tabs>
        <w:ind w:firstLine="567"/>
        <w:jc w:val="both"/>
        <w:rPr>
          <w:rFonts w:cstheme="minorHAnsi"/>
        </w:rPr>
      </w:pPr>
      <w:r w:rsidRPr="00EA7AC6">
        <w:rPr>
          <w:rFonts w:cstheme="minorHAnsi"/>
        </w:rPr>
        <w:t>Techninės paramos projektuose taikomi komandiruočių ir kelionių Lietuvoje fiksuotieji įkainiai nustatomi kaip sudėtiniai dydžiai, apimantys šias išlaidas:</w:t>
      </w:r>
    </w:p>
    <w:p w:rsidR="004B2B22" w:rsidRPr="00EA7AC6" w:rsidRDefault="004B2B22" w:rsidP="00B25BEF">
      <w:pPr>
        <w:pStyle w:val="Sraopastraipa"/>
        <w:numPr>
          <w:ilvl w:val="0"/>
          <w:numId w:val="5"/>
        </w:numPr>
        <w:tabs>
          <w:tab w:val="left" w:pos="0"/>
        </w:tabs>
        <w:ind w:left="0" w:firstLine="851"/>
        <w:jc w:val="both"/>
        <w:rPr>
          <w:rFonts w:cstheme="minorHAnsi"/>
        </w:rPr>
      </w:pPr>
      <w:r w:rsidRPr="00EA7AC6">
        <w:rPr>
          <w:rFonts w:cstheme="minorHAnsi"/>
        </w:rPr>
        <w:t>kelionei reikalingo kuro ar viešojo transporto vykstant į komandiruotės ar kelionės tikslo vietą</w:t>
      </w:r>
      <w:r w:rsidR="002E6AC0">
        <w:rPr>
          <w:rFonts w:cstheme="minorHAnsi"/>
        </w:rPr>
        <w:t xml:space="preserve"> Lietuvoje</w:t>
      </w:r>
      <w:r w:rsidRPr="00EA7AC6">
        <w:rPr>
          <w:rFonts w:cstheme="minorHAnsi"/>
        </w:rPr>
        <w:t xml:space="preserve"> ir atgal išlaidas; </w:t>
      </w:r>
    </w:p>
    <w:p w:rsidR="004B2B22" w:rsidRPr="00EA7AC6" w:rsidRDefault="004B2B22" w:rsidP="00B25BEF">
      <w:pPr>
        <w:pStyle w:val="Sraopastraipa"/>
        <w:numPr>
          <w:ilvl w:val="0"/>
          <w:numId w:val="5"/>
        </w:numPr>
        <w:tabs>
          <w:tab w:val="left" w:pos="0"/>
        </w:tabs>
        <w:ind w:left="0" w:firstLine="851"/>
        <w:jc w:val="both"/>
        <w:rPr>
          <w:rFonts w:cstheme="minorHAnsi"/>
        </w:rPr>
      </w:pPr>
      <w:r w:rsidRPr="00EA7AC6">
        <w:rPr>
          <w:rFonts w:cstheme="minorHAnsi"/>
        </w:rPr>
        <w:t>dienpinigių Lietuvoje išlaidas (tik komandiruočių Lietuvoje atveju).</w:t>
      </w:r>
    </w:p>
    <w:p w:rsidR="001F1664" w:rsidRPr="00EA7AC6" w:rsidRDefault="000E606A" w:rsidP="00343FA3">
      <w:pPr>
        <w:tabs>
          <w:tab w:val="left" w:pos="0"/>
        </w:tabs>
        <w:ind w:firstLine="567"/>
        <w:jc w:val="both"/>
        <w:rPr>
          <w:rFonts w:cstheme="minorHAnsi"/>
        </w:rPr>
      </w:pPr>
      <w:r>
        <w:rPr>
          <w:rFonts w:cstheme="minorHAnsi"/>
        </w:rPr>
        <w:t>Kitos techninės paramos gavėjo patirtos komandiruočių (kelionių) Lietuvoje išlaidos gali būti deklaruojamos pagal faktiškai patirtas išlaidas, pateikiant išlaidų patyrimą ir apmokėjimą įrodančius dokumentus.</w:t>
      </w:r>
    </w:p>
    <w:p w:rsidR="00602C07" w:rsidRPr="00EA7AC6" w:rsidRDefault="00602C07" w:rsidP="00343FA3">
      <w:pPr>
        <w:tabs>
          <w:tab w:val="left" w:pos="0"/>
        </w:tabs>
        <w:ind w:firstLine="567"/>
        <w:jc w:val="both"/>
        <w:rPr>
          <w:rFonts w:cstheme="minorHAnsi"/>
        </w:rPr>
      </w:pPr>
      <w:r w:rsidRPr="00EA7AC6">
        <w:rPr>
          <w:rFonts w:cstheme="minorHAnsi"/>
          <w:b/>
        </w:rPr>
        <w:t>Kelionei reikalingo kuro ar viešojo transporto vykstant į komandiruotės ar kelionės tikslo Lietuvoje vietą ir atgal išlaidos</w:t>
      </w:r>
      <w:r w:rsidRPr="00EA7AC6">
        <w:rPr>
          <w:rFonts w:cstheme="minorHAnsi"/>
        </w:rPr>
        <w:t xml:space="preserve"> apmokamos taikant kuro ir viešojo transporto fiksuotąjį įkainį</w:t>
      </w:r>
      <w:r w:rsidR="007F7A6D" w:rsidRPr="00EA7AC6">
        <w:rPr>
          <w:rFonts w:cstheme="minorHAnsi"/>
        </w:rPr>
        <w:t xml:space="preserve"> su pridėtinės vertės mokesčiu (toliau – PVM)</w:t>
      </w:r>
      <w:r w:rsidRPr="00EA7AC6">
        <w:rPr>
          <w:rFonts w:cstheme="minorHAnsi"/>
        </w:rPr>
        <w:t xml:space="preserve"> kilometrui, kurio dydis yra nustatytas Lietuvos Respublikos finansų ministerijos </w:t>
      </w:r>
      <w:r w:rsidRPr="00EA7AC6">
        <w:rPr>
          <w:rFonts w:cstheme="minorHAnsi"/>
          <w:i/>
        </w:rPr>
        <w:t>Kuro ir viešojo transporto išlaidų fiksuotųjų įkainių nustatymo tyrimo ataskaitos</w:t>
      </w:r>
      <w:r w:rsidRPr="00EA7AC6">
        <w:rPr>
          <w:rFonts w:cstheme="minorHAnsi"/>
        </w:rPr>
        <w:t xml:space="preserve"> redakcijoje, galiojančioje</w:t>
      </w:r>
      <w:r w:rsidR="00A36BAC">
        <w:rPr>
          <w:rFonts w:cstheme="minorHAnsi"/>
        </w:rPr>
        <w:t xml:space="preserve"> komandiruotės (kelionės) pradžios dieną</w:t>
      </w:r>
      <w:r w:rsidR="00CC0E43" w:rsidRPr="00EA7AC6">
        <w:rPr>
          <w:rFonts w:cstheme="minorHAnsi"/>
        </w:rPr>
        <w:t xml:space="preserve">. </w:t>
      </w:r>
      <w:r w:rsidR="007F7A6D" w:rsidRPr="00EA7AC6">
        <w:rPr>
          <w:rFonts w:cstheme="minorHAnsi"/>
        </w:rPr>
        <w:t xml:space="preserve">Fiksuotojo įkainio dydis su PVM taikomas todėl, kad </w:t>
      </w:r>
      <w:r w:rsidR="00952EFF" w:rsidRPr="00EA7AC6">
        <w:rPr>
          <w:rFonts w:cstheme="minorHAnsi"/>
        </w:rPr>
        <w:t>techninės paramos gavėjai</w:t>
      </w:r>
      <w:r w:rsidR="007F7A6D" w:rsidRPr="00EA7AC6">
        <w:rPr>
          <w:rFonts w:cstheme="minorHAnsi"/>
        </w:rPr>
        <w:t xml:space="preserve"> neturi galimybės šio PVM įtraukti į atskaitą.</w:t>
      </w:r>
    </w:p>
    <w:p w:rsidR="007F7A6D" w:rsidRPr="00EA7AC6" w:rsidRDefault="00CC0E43" w:rsidP="00055357">
      <w:pPr>
        <w:tabs>
          <w:tab w:val="left" w:pos="0"/>
        </w:tabs>
        <w:ind w:firstLine="567"/>
        <w:jc w:val="both"/>
        <w:rPr>
          <w:rFonts w:cstheme="minorHAnsi"/>
        </w:rPr>
      </w:pPr>
      <w:r w:rsidRPr="00EA7AC6">
        <w:rPr>
          <w:rFonts w:cstheme="minorHAnsi"/>
        </w:rPr>
        <w:t>Nustatytas kuro ir viešojo transporto fiksuotasis įkainis taikomas nepriklausomai nuo to, kokiu transportu</w:t>
      </w:r>
      <w:r w:rsidR="00952EFF" w:rsidRPr="00EA7AC6">
        <w:rPr>
          <w:rFonts w:cstheme="minorHAnsi"/>
        </w:rPr>
        <w:t xml:space="preserve"> (tarnybiniu, privačiu, viešuoju, taksi ar kt.)</w:t>
      </w:r>
      <w:r w:rsidRPr="00EA7AC6">
        <w:rPr>
          <w:rFonts w:cstheme="minorHAnsi"/>
        </w:rPr>
        <w:t xml:space="preserve"> asmuo vyksta į komandiruotę ar kelionę</w:t>
      </w:r>
      <w:r w:rsidR="00952EFF" w:rsidRPr="00EA7AC6">
        <w:rPr>
          <w:rFonts w:cstheme="minorHAnsi"/>
        </w:rPr>
        <w:t xml:space="preserve"> </w:t>
      </w:r>
      <w:r w:rsidR="004A6AAF">
        <w:rPr>
          <w:rFonts w:cstheme="minorHAnsi"/>
        </w:rPr>
        <w:t>Lietuvos</w:t>
      </w:r>
      <w:r w:rsidR="00952EFF" w:rsidRPr="00EA7AC6">
        <w:rPr>
          <w:rFonts w:cstheme="minorHAnsi"/>
        </w:rPr>
        <w:t xml:space="preserve"> ribose</w:t>
      </w:r>
      <w:r w:rsidRPr="00EA7AC6">
        <w:rPr>
          <w:rFonts w:cstheme="minorHAnsi"/>
        </w:rPr>
        <w:t xml:space="preserve">. </w:t>
      </w:r>
      <w:r w:rsidR="007F7A6D" w:rsidRPr="00EA7AC6">
        <w:rPr>
          <w:rFonts w:cstheme="minorHAnsi"/>
        </w:rPr>
        <w:t xml:space="preserve">Kuro ar viešojo transporto išlaidų suma apskaičiuojama </w:t>
      </w:r>
      <w:r w:rsidR="00055357">
        <w:rPr>
          <w:rFonts w:cstheme="minorHAnsi"/>
        </w:rPr>
        <w:t xml:space="preserve">nustatytą </w:t>
      </w:r>
      <w:r w:rsidR="007F7A6D" w:rsidRPr="00EA7AC6">
        <w:rPr>
          <w:rFonts w:cstheme="minorHAnsi"/>
        </w:rPr>
        <w:t>fiksuotąjį įkainį padauginus iš nuvažiuotų kilometrų skaičiaus. Nuvažiuotų kilometrų skaičių techninės paramos gavėjai</w:t>
      </w:r>
      <w:r w:rsidR="00952EFF" w:rsidRPr="00EA7AC6">
        <w:rPr>
          <w:rFonts w:cstheme="minorHAnsi"/>
        </w:rPr>
        <w:t xml:space="preserve"> deklaruoja </w:t>
      </w:r>
      <w:r w:rsidR="000E3680">
        <w:rPr>
          <w:rFonts w:cstheme="minorHAnsi"/>
        </w:rPr>
        <w:t>nustatytos suvestinės pažymos formoje (plačiau žr. tyrimo ataskaitos III.1 dalį)</w:t>
      </w:r>
      <w:r w:rsidR="00952EFF" w:rsidRPr="00EA7AC6">
        <w:rPr>
          <w:rFonts w:cstheme="minorHAnsi"/>
        </w:rPr>
        <w:t>.</w:t>
      </w:r>
    </w:p>
    <w:p w:rsidR="007F7A6D" w:rsidRDefault="007F7A6D" w:rsidP="00343FA3">
      <w:pPr>
        <w:tabs>
          <w:tab w:val="left" w:pos="0"/>
          <w:tab w:val="left" w:pos="1134"/>
        </w:tabs>
        <w:ind w:firstLine="567"/>
        <w:jc w:val="both"/>
        <w:rPr>
          <w:rFonts w:cstheme="minorHAnsi"/>
        </w:rPr>
      </w:pPr>
      <w:r w:rsidRPr="00EA7AC6">
        <w:rPr>
          <w:rFonts w:cstheme="minorHAnsi"/>
        </w:rPr>
        <w:t xml:space="preserve">Jeigu į komandiruotę ar kelionę Lietuvoje </w:t>
      </w:r>
      <w:r w:rsidR="00952EFF" w:rsidRPr="00EA7AC6">
        <w:rPr>
          <w:rFonts w:cstheme="minorHAnsi"/>
        </w:rPr>
        <w:t xml:space="preserve">tuo pačiu maršrutu </w:t>
      </w:r>
      <w:r w:rsidRPr="00EA7AC6">
        <w:rPr>
          <w:rFonts w:cstheme="minorHAnsi"/>
        </w:rPr>
        <w:t>vyksta keli darbu</w:t>
      </w:r>
      <w:r w:rsidR="00952EFF" w:rsidRPr="00EA7AC6">
        <w:rPr>
          <w:rFonts w:cstheme="minorHAnsi"/>
        </w:rPr>
        <w:t>otojai viena transporto priemone</w:t>
      </w:r>
      <w:r w:rsidR="00AD14C5">
        <w:rPr>
          <w:rFonts w:cstheme="minorHAnsi"/>
        </w:rPr>
        <w:t xml:space="preserve"> (išskyrus viešąjį transportą)</w:t>
      </w:r>
      <w:r w:rsidR="00952EFF" w:rsidRPr="00EA7AC6">
        <w:rPr>
          <w:rFonts w:cstheme="minorHAnsi"/>
        </w:rPr>
        <w:t xml:space="preserve">, kuro </w:t>
      </w:r>
      <w:r w:rsidR="00D904A3">
        <w:rPr>
          <w:rFonts w:cstheme="minorHAnsi"/>
        </w:rPr>
        <w:t>i</w:t>
      </w:r>
      <w:r w:rsidRPr="00EA7AC6">
        <w:rPr>
          <w:rFonts w:cstheme="minorHAnsi"/>
        </w:rPr>
        <w:t>r viešoj</w:t>
      </w:r>
      <w:r w:rsidR="00952EFF" w:rsidRPr="00EA7AC6">
        <w:rPr>
          <w:rFonts w:cstheme="minorHAnsi"/>
        </w:rPr>
        <w:t>o transporto fiksuotasis įkaini</w:t>
      </w:r>
      <w:r w:rsidRPr="00EA7AC6">
        <w:rPr>
          <w:rFonts w:cstheme="minorHAnsi"/>
        </w:rPr>
        <w:t>s yra taikomas tik vienam darbuotojui</w:t>
      </w:r>
      <w:r w:rsidR="00952EFF" w:rsidRPr="00EA7AC6">
        <w:rPr>
          <w:rFonts w:cstheme="minorHAnsi"/>
        </w:rPr>
        <w:t xml:space="preserve"> (</w:t>
      </w:r>
      <w:r w:rsidR="00B2423F">
        <w:rPr>
          <w:rFonts w:cstheme="minorHAnsi"/>
        </w:rPr>
        <w:t xml:space="preserve">vairuotojui arba asmeniui, kurio transporto priemone </w:t>
      </w:r>
      <w:r w:rsidR="001F6040">
        <w:rPr>
          <w:rFonts w:cstheme="minorHAnsi"/>
        </w:rPr>
        <w:t>keliaujama</w:t>
      </w:r>
      <w:r w:rsidR="00763F02">
        <w:rPr>
          <w:rFonts w:cstheme="minorHAnsi"/>
        </w:rPr>
        <w:t>, jeigu keliaujama taksi, tuomet pasirinktinai</w:t>
      </w:r>
      <w:r w:rsidR="0082445D">
        <w:rPr>
          <w:rFonts w:cstheme="minorHAnsi"/>
        </w:rPr>
        <w:t xml:space="preserve"> vienam iš taksi vykusi</w:t>
      </w:r>
      <w:r w:rsidR="00C245BD">
        <w:rPr>
          <w:rFonts w:cstheme="minorHAnsi"/>
        </w:rPr>
        <w:t>ų</w:t>
      </w:r>
      <w:r w:rsidR="0082445D">
        <w:rPr>
          <w:rFonts w:cstheme="minorHAnsi"/>
        </w:rPr>
        <w:t xml:space="preserve"> darbuotojų</w:t>
      </w:r>
      <w:r w:rsidR="00952EFF" w:rsidRPr="00EA7AC6">
        <w:rPr>
          <w:rFonts w:cstheme="minorHAnsi"/>
        </w:rPr>
        <w:t>)</w:t>
      </w:r>
      <w:r w:rsidRPr="00EA7AC6">
        <w:rPr>
          <w:rFonts w:cstheme="minorHAnsi"/>
        </w:rPr>
        <w:t>.</w:t>
      </w:r>
      <w:r w:rsidR="00B2423F">
        <w:rPr>
          <w:rFonts w:cstheme="minorHAnsi"/>
        </w:rPr>
        <w:t xml:space="preserve"> </w:t>
      </w:r>
      <w:r w:rsidR="00D904A3">
        <w:rPr>
          <w:rFonts w:cstheme="minorHAnsi"/>
        </w:rPr>
        <w:t xml:space="preserve">Jeigu į komandiruotę </w:t>
      </w:r>
      <w:r w:rsidR="001F6040">
        <w:rPr>
          <w:rFonts w:cstheme="minorHAnsi"/>
        </w:rPr>
        <w:t xml:space="preserve">ar kelionę </w:t>
      </w:r>
      <w:r w:rsidR="00D904A3">
        <w:rPr>
          <w:rFonts w:cstheme="minorHAnsi"/>
        </w:rPr>
        <w:t xml:space="preserve">ta pačia transporto priemone vyksta daugiau negu vieno techninės paramos gavėjo darbuotojai, kuro išlaidas, apskaičiuotas taikant fiksuotąjį įkainį, deklaruoja tik tas techninės paramos gavėjas, kurio transporto priemone (nuosava, nuomota ar naudojama pagal panaudos sutartį) arba kurio darbuotojo transporto priemone keliaujama. Kiti techninės paramos gavėjai gali deklaruoti tik darbuotojų dienpinigių išlaidas </w:t>
      </w:r>
      <w:r w:rsidR="001F6040">
        <w:rPr>
          <w:rFonts w:cstheme="minorHAnsi"/>
        </w:rPr>
        <w:t xml:space="preserve">(komandiruotės atveju) </w:t>
      </w:r>
      <w:r w:rsidR="00D904A3">
        <w:rPr>
          <w:rFonts w:cstheme="minorHAnsi"/>
        </w:rPr>
        <w:t xml:space="preserve">ir (ar) kitas </w:t>
      </w:r>
      <w:r w:rsidR="001F6040">
        <w:rPr>
          <w:rFonts w:cstheme="minorHAnsi"/>
        </w:rPr>
        <w:t xml:space="preserve">techninės paramos gavėjo patirtas </w:t>
      </w:r>
      <w:r w:rsidR="00D904A3">
        <w:rPr>
          <w:rFonts w:cstheme="minorHAnsi"/>
        </w:rPr>
        <w:t xml:space="preserve">komandiruotės </w:t>
      </w:r>
      <w:r w:rsidR="001F6040">
        <w:rPr>
          <w:rFonts w:cstheme="minorHAnsi"/>
        </w:rPr>
        <w:t xml:space="preserve">(kelionės) </w:t>
      </w:r>
      <w:r w:rsidR="00D904A3">
        <w:rPr>
          <w:rFonts w:cstheme="minorHAnsi"/>
        </w:rPr>
        <w:t>išlaidas, apmokamas pagal išlaidų pagrindimo dokumentus.</w:t>
      </w:r>
    </w:p>
    <w:p w:rsidR="00B2423F" w:rsidRPr="00EA7AC6" w:rsidRDefault="00B2423F" w:rsidP="00343FA3">
      <w:pPr>
        <w:tabs>
          <w:tab w:val="left" w:pos="0"/>
          <w:tab w:val="left" w:pos="1134"/>
        </w:tabs>
        <w:ind w:firstLine="567"/>
        <w:jc w:val="both"/>
        <w:rPr>
          <w:rFonts w:cstheme="minorHAnsi"/>
        </w:rPr>
      </w:pPr>
      <w:r>
        <w:rPr>
          <w:rFonts w:cstheme="minorHAnsi"/>
        </w:rPr>
        <w:t>Jeigu į komandiruotę ar kelionę Lietuvoje vykstama nuomota transporto priemone ir nuomotojo išrašytoje sąskaitoje-faktūroje ar lygiaverčiame dokumente atskirai nurodytos transporto priemonės nuomos išlaidos ir suvartoto kuro išlaidos</w:t>
      </w:r>
      <w:r w:rsidR="00763F02">
        <w:rPr>
          <w:rFonts w:cstheme="minorHAnsi"/>
        </w:rPr>
        <w:t xml:space="preserve"> arba išrašytoje sąskaitoje-faktūroje ar lygiaverčiame dokumente yra nurodyta bendra transporto priemonės nuomos ir suvartoto kuro išlaidų suma, tačiau kituose dokumentuose (paslaugų teikimo sutartyje, viešojo pirkimo dokumentuose ir pan.) </w:t>
      </w:r>
      <w:r w:rsidR="004F1EC8">
        <w:rPr>
          <w:rFonts w:cstheme="minorHAnsi"/>
        </w:rPr>
        <w:t>galima aiškiai identifikuoti transporto priemonės nuomos išlaidų sumą</w:t>
      </w:r>
      <w:r>
        <w:rPr>
          <w:rFonts w:cstheme="minorHAnsi"/>
        </w:rPr>
        <w:t xml:space="preserve">, transporto priemonės nuomos išlaidos apmokamos </w:t>
      </w:r>
      <w:r w:rsidR="00D904A3">
        <w:rPr>
          <w:rFonts w:cstheme="minorHAnsi"/>
        </w:rPr>
        <w:t xml:space="preserve">kaip realios išlaidos </w:t>
      </w:r>
      <w:r>
        <w:rPr>
          <w:rFonts w:cstheme="minorHAnsi"/>
        </w:rPr>
        <w:t xml:space="preserve">pagal išlaidų patvirtinimo dokumentus, o kuro išlaidos apmokamos taikant nustatytą </w:t>
      </w:r>
      <w:r w:rsidR="00D904A3">
        <w:rPr>
          <w:rFonts w:cstheme="minorHAnsi"/>
        </w:rPr>
        <w:t xml:space="preserve">kuro ir viešojo transporto </w:t>
      </w:r>
      <w:r>
        <w:rPr>
          <w:rFonts w:cstheme="minorHAnsi"/>
        </w:rPr>
        <w:t xml:space="preserve">fiksuotąjį įkainį pagal nuvažiuotų kilometrų skaičių (neatsižvelgiant į faktinę kuro išlaidų sumą). Jeigu nuomotojo išrašytoje </w:t>
      </w:r>
      <w:r w:rsidRPr="00B2423F">
        <w:rPr>
          <w:rFonts w:cstheme="minorHAnsi"/>
        </w:rPr>
        <w:t>sąskaitoje-faktūroje ar lygiaverčiame dokumente</w:t>
      </w:r>
      <w:r>
        <w:rPr>
          <w:rFonts w:cstheme="minorHAnsi"/>
        </w:rPr>
        <w:t xml:space="preserve"> </w:t>
      </w:r>
      <w:r w:rsidR="001F6040">
        <w:rPr>
          <w:rFonts w:cstheme="minorHAnsi"/>
        </w:rPr>
        <w:t xml:space="preserve">yra </w:t>
      </w:r>
      <w:r>
        <w:rPr>
          <w:rFonts w:cstheme="minorHAnsi"/>
        </w:rPr>
        <w:t xml:space="preserve">nurodyta bendra </w:t>
      </w:r>
      <w:r w:rsidR="001F6040">
        <w:rPr>
          <w:rFonts w:cstheme="minorHAnsi"/>
        </w:rPr>
        <w:t xml:space="preserve">transporto priemonės </w:t>
      </w:r>
      <w:r>
        <w:rPr>
          <w:rFonts w:cstheme="minorHAnsi"/>
        </w:rPr>
        <w:lastRenderedPageBreak/>
        <w:t>nuomos ir suvartoto kuro išlaidų suma</w:t>
      </w:r>
      <w:r w:rsidR="00763F02">
        <w:rPr>
          <w:rFonts w:cstheme="minorHAnsi"/>
        </w:rPr>
        <w:t xml:space="preserve"> ir </w:t>
      </w:r>
      <w:r w:rsidR="004F1EC8">
        <w:rPr>
          <w:rFonts w:cstheme="minorHAnsi"/>
        </w:rPr>
        <w:t>kituose dokumentuose (paslaugų teikimo sutartyje, viešojo pirkimo dokumentuose ir pan.) nėra detalizuota, kokią išlaidų dalį sudaro transporto nuomos išlaidos</w:t>
      </w:r>
      <w:r w:rsidR="00763F02">
        <w:rPr>
          <w:rFonts w:cstheme="minorHAnsi"/>
        </w:rPr>
        <w:t xml:space="preserve"> </w:t>
      </w:r>
      <w:r>
        <w:rPr>
          <w:rFonts w:cstheme="minorHAnsi"/>
        </w:rPr>
        <w:t>, kuro išlaidoms apmokėti yra taikomas nusta</w:t>
      </w:r>
      <w:r w:rsidR="00D904A3">
        <w:rPr>
          <w:rFonts w:cstheme="minorHAnsi"/>
        </w:rPr>
        <w:t xml:space="preserve">tytas kuro ir viešojo transporto fiksuotasis įkainis pagal </w:t>
      </w:r>
      <w:r>
        <w:rPr>
          <w:rFonts w:cstheme="minorHAnsi"/>
        </w:rPr>
        <w:t>nuvažiuotų kilometrų skaičių, o skirtumas</w:t>
      </w:r>
      <w:r w:rsidR="00D904A3">
        <w:rPr>
          <w:rFonts w:cstheme="minorHAnsi"/>
        </w:rPr>
        <w:t xml:space="preserve"> tarp bendros išlaidų sumos ir pagal fiksuotąjį įkainį apskaičiuotos kuro išlaidų sumos apmokamas kaip realios išlaidos. </w:t>
      </w:r>
    </w:p>
    <w:p w:rsidR="00952EFF" w:rsidRPr="00EA7AC6" w:rsidRDefault="00952EFF" w:rsidP="00343FA3">
      <w:pPr>
        <w:tabs>
          <w:tab w:val="left" w:pos="0"/>
          <w:tab w:val="left" w:pos="1134"/>
        </w:tabs>
        <w:ind w:firstLine="567"/>
        <w:jc w:val="both"/>
        <w:rPr>
          <w:rFonts w:cstheme="minorHAnsi"/>
        </w:rPr>
      </w:pPr>
      <w:r w:rsidRPr="00EA7AC6">
        <w:rPr>
          <w:rFonts w:cstheme="minorHAnsi"/>
          <w:b/>
        </w:rPr>
        <w:t xml:space="preserve">Dienpinigių Lietuvoje išlaidos </w:t>
      </w:r>
      <w:r w:rsidRPr="00EA7AC6">
        <w:rPr>
          <w:rFonts w:cstheme="minorHAnsi"/>
        </w:rPr>
        <w:t>apmokamos tik komandiruočių atveju (t.</w:t>
      </w:r>
      <w:r w:rsidR="00920EA3">
        <w:rPr>
          <w:rFonts w:cstheme="minorHAnsi"/>
        </w:rPr>
        <w:t xml:space="preserve"> </w:t>
      </w:r>
      <w:r w:rsidRPr="00EA7AC6">
        <w:rPr>
          <w:rFonts w:cstheme="minorHAnsi"/>
        </w:rPr>
        <w:t xml:space="preserve">y. netaikomos kelionių Lietuvoje atveju). </w:t>
      </w:r>
    </w:p>
    <w:p w:rsidR="005E7054" w:rsidRPr="00EA7AC6" w:rsidRDefault="00952EFF" w:rsidP="00343FA3">
      <w:pPr>
        <w:tabs>
          <w:tab w:val="left" w:pos="0"/>
        </w:tabs>
        <w:ind w:firstLine="567"/>
        <w:jc w:val="both"/>
        <w:rPr>
          <w:rFonts w:cstheme="minorHAnsi"/>
        </w:rPr>
      </w:pPr>
      <w:r w:rsidRPr="00EA7AC6">
        <w:rPr>
          <w:rFonts w:cstheme="minorHAnsi"/>
        </w:rPr>
        <w:t xml:space="preserve">Dienpinigių Lietuvoje fiksuotųjų įkainių dydžiai </w:t>
      </w:r>
      <w:r w:rsidR="005E7054" w:rsidRPr="00EA7AC6">
        <w:rPr>
          <w:rFonts w:cstheme="minorHAnsi"/>
        </w:rPr>
        <w:t xml:space="preserve">ir jų apmokėjimo tvarka </w:t>
      </w:r>
      <w:r w:rsidRPr="00EA7AC6">
        <w:rPr>
          <w:rFonts w:cstheme="minorHAnsi"/>
        </w:rPr>
        <w:t>yra nustatomi</w:t>
      </w:r>
      <w:r w:rsidR="005E7054" w:rsidRPr="00EA7AC6">
        <w:rPr>
          <w:rFonts w:cstheme="minorHAnsi"/>
        </w:rPr>
        <w:t>:</w:t>
      </w:r>
    </w:p>
    <w:p w:rsidR="00CC0E43" w:rsidRPr="00EA7AC6" w:rsidRDefault="005E7054" w:rsidP="00ED6204">
      <w:pPr>
        <w:pStyle w:val="Sraopastraipa"/>
        <w:numPr>
          <w:ilvl w:val="0"/>
          <w:numId w:val="6"/>
        </w:numPr>
        <w:tabs>
          <w:tab w:val="left" w:pos="0"/>
        </w:tabs>
        <w:ind w:left="0" w:firstLine="851"/>
        <w:jc w:val="both"/>
        <w:rPr>
          <w:rFonts w:cstheme="minorHAnsi"/>
        </w:rPr>
      </w:pPr>
      <w:r w:rsidRPr="00EA7AC6">
        <w:rPr>
          <w:rFonts w:cstheme="minorHAnsi"/>
        </w:rPr>
        <w:t xml:space="preserve">biudžetinėms įstaigoms: </w:t>
      </w:r>
      <w:r w:rsidR="00ED380E" w:rsidRPr="00EA7AC6">
        <w:rPr>
          <w:rFonts w:cstheme="minorHAnsi"/>
        </w:rPr>
        <w:t>vadovaujantis LRVN 526</w:t>
      </w:r>
      <w:r w:rsidRPr="00EA7AC6">
        <w:rPr>
          <w:rFonts w:cstheme="minorHAnsi"/>
        </w:rPr>
        <w:t>;</w:t>
      </w:r>
    </w:p>
    <w:p w:rsidR="005E7054" w:rsidRPr="00EA7AC6" w:rsidRDefault="00ED380E" w:rsidP="00ED6204">
      <w:pPr>
        <w:pStyle w:val="Sraopastraipa"/>
        <w:numPr>
          <w:ilvl w:val="0"/>
          <w:numId w:val="6"/>
        </w:numPr>
        <w:tabs>
          <w:tab w:val="left" w:pos="0"/>
        </w:tabs>
        <w:ind w:left="0" w:firstLine="851"/>
        <w:jc w:val="both"/>
        <w:rPr>
          <w:rFonts w:cstheme="minorHAnsi"/>
        </w:rPr>
      </w:pPr>
      <w:r w:rsidRPr="00EA7AC6">
        <w:rPr>
          <w:rFonts w:cstheme="minorHAnsi"/>
        </w:rPr>
        <w:t>nebiudžetinėms įstaigoms</w:t>
      </w:r>
      <w:r w:rsidR="005E7054" w:rsidRPr="00EA7AC6">
        <w:rPr>
          <w:rFonts w:cstheme="minorHAnsi"/>
        </w:rPr>
        <w:t xml:space="preserve">: </w:t>
      </w:r>
      <w:r w:rsidRPr="00EA7AC6">
        <w:rPr>
          <w:rFonts w:cstheme="minorHAnsi"/>
        </w:rPr>
        <w:t>vadovaujantis LRVN 99</w:t>
      </w:r>
      <w:r w:rsidR="00573B98" w:rsidRPr="00EA7AC6">
        <w:rPr>
          <w:rFonts w:cstheme="minorHAnsi"/>
        </w:rPr>
        <w:t xml:space="preserve"> </w:t>
      </w:r>
      <w:r w:rsidR="005E7054" w:rsidRPr="00EA7AC6">
        <w:rPr>
          <w:rFonts w:cstheme="minorHAnsi"/>
        </w:rPr>
        <w:t xml:space="preserve">ir </w:t>
      </w:r>
      <w:r w:rsidR="00573B98" w:rsidRPr="00EA7AC6">
        <w:rPr>
          <w:rFonts w:cstheme="minorHAnsi"/>
        </w:rPr>
        <w:t>LRVN 1365</w:t>
      </w:r>
      <w:r w:rsidR="005E7054" w:rsidRPr="00EA7AC6">
        <w:rPr>
          <w:rFonts w:cstheme="minorHAnsi"/>
        </w:rPr>
        <w:t xml:space="preserve">. </w:t>
      </w:r>
    </w:p>
    <w:p w:rsidR="00927F48" w:rsidRPr="00EA7AC6" w:rsidRDefault="005E7054" w:rsidP="007154B3">
      <w:pPr>
        <w:tabs>
          <w:tab w:val="left" w:pos="0"/>
        </w:tabs>
        <w:ind w:firstLine="567"/>
        <w:jc w:val="both"/>
        <w:rPr>
          <w:rFonts w:cstheme="minorHAnsi"/>
        </w:rPr>
      </w:pPr>
      <w:r w:rsidRPr="00EA7AC6">
        <w:rPr>
          <w:rFonts w:cstheme="minorHAnsi"/>
        </w:rPr>
        <w:t>Vadovaujantis šiais teisės aktais, dienpinigių išlaidos kiekvienai komandiruotės dienai sudaro 15 procentų patvirtintos bazinės socialinės išmokos dydžio</w:t>
      </w:r>
      <w:r w:rsidR="00573B98" w:rsidRPr="00EA7AC6">
        <w:rPr>
          <w:rStyle w:val="Puslapioinaosnuoroda"/>
          <w:rFonts w:cstheme="minorHAnsi"/>
        </w:rPr>
        <w:footnoteReference w:id="1"/>
      </w:r>
      <w:r w:rsidR="00927F48" w:rsidRPr="00EA7AC6">
        <w:rPr>
          <w:rFonts w:cstheme="minorHAnsi"/>
        </w:rPr>
        <w:t>.</w:t>
      </w:r>
    </w:p>
    <w:p w:rsidR="005E7054" w:rsidRPr="00EA7AC6" w:rsidRDefault="00927F48" w:rsidP="007154B3">
      <w:pPr>
        <w:tabs>
          <w:tab w:val="left" w:pos="0"/>
        </w:tabs>
        <w:ind w:firstLine="567"/>
        <w:jc w:val="both"/>
        <w:rPr>
          <w:rFonts w:cstheme="minorHAnsi"/>
        </w:rPr>
      </w:pPr>
      <w:r w:rsidRPr="00EA7AC6">
        <w:rPr>
          <w:rFonts w:cstheme="minorHAnsi"/>
        </w:rPr>
        <w:t>R</w:t>
      </w:r>
      <w:r w:rsidR="00573B98" w:rsidRPr="00EA7AC6">
        <w:rPr>
          <w:rFonts w:cstheme="minorHAnsi"/>
        </w:rPr>
        <w:t>emiantis LRVN 526 17.1 punkto nuostatomis, biudžetinių įstaigų darbuotoj</w:t>
      </w:r>
      <w:r w:rsidRPr="00EA7AC6">
        <w:rPr>
          <w:rFonts w:cstheme="minorHAnsi"/>
        </w:rPr>
        <w:t>ams dienpinigiai už komandiruotės</w:t>
      </w:r>
      <w:r w:rsidR="00573B98" w:rsidRPr="00EA7AC6">
        <w:rPr>
          <w:rFonts w:cstheme="minorHAnsi"/>
        </w:rPr>
        <w:t xml:space="preserve"> Lietuvoje</w:t>
      </w:r>
      <w:r w:rsidRPr="00EA7AC6">
        <w:rPr>
          <w:rFonts w:cstheme="minorHAnsi"/>
        </w:rPr>
        <w:t xml:space="preserve"> laiką</w:t>
      </w:r>
      <w:r w:rsidR="00573B98" w:rsidRPr="00EA7AC6">
        <w:rPr>
          <w:rFonts w:cstheme="minorHAnsi"/>
        </w:rPr>
        <w:t xml:space="preserve"> mokami tik tuo atveju, jei komandiruotė trunka ilgiau nei vieną darbo dieną. Remiantis LRVN 99 10 punktu ir LRVN 1356, nebiudžetinių įstaigų darbuotojams tuo atveju, jeigu komandiruotė trunka vieną dieną, mokama 50 proc. nustatytos dienpinigių normos</w:t>
      </w:r>
      <w:r w:rsidRPr="00EA7AC6">
        <w:rPr>
          <w:rFonts w:cstheme="minorHAnsi"/>
        </w:rPr>
        <w:t xml:space="preserve"> Lietuvoje</w:t>
      </w:r>
      <w:r w:rsidR="00573B98" w:rsidRPr="00EA7AC6">
        <w:rPr>
          <w:rFonts w:cstheme="minorHAnsi"/>
        </w:rPr>
        <w:t xml:space="preserve">. </w:t>
      </w:r>
    </w:p>
    <w:p w:rsidR="00573B98" w:rsidRPr="00EA7AC6" w:rsidRDefault="00573B98" w:rsidP="007154B3">
      <w:pPr>
        <w:tabs>
          <w:tab w:val="left" w:pos="0"/>
        </w:tabs>
        <w:ind w:firstLine="567"/>
        <w:jc w:val="both"/>
        <w:rPr>
          <w:rFonts w:cstheme="minorHAnsi"/>
        </w:rPr>
      </w:pPr>
      <w:r w:rsidRPr="00EA7AC6">
        <w:rPr>
          <w:rFonts w:cstheme="minorHAnsi"/>
        </w:rPr>
        <w:t xml:space="preserve">Atitinkamai, </w:t>
      </w:r>
      <w:r w:rsidR="00927F48" w:rsidRPr="00EA7AC6">
        <w:rPr>
          <w:rFonts w:cstheme="minorHAnsi"/>
        </w:rPr>
        <w:t xml:space="preserve">jeigu komandiruotė Lietuvoje trunka vieną dieną, dienpinigių Lietuvoje išlaidų suma biudžetinėms ir nebiudžetinėms įstaigoms apskaičiuojama skirtingai. </w:t>
      </w:r>
    </w:p>
    <w:p w:rsidR="001F1664" w:rsidRDefault="001F1664" w:rsidP="007154B3">
      <w:pPr>
        <w:tabs>
          <w:tab w:val="left" w:pos="0"/>
        </w:tabs>
        <w:ind w:firstLine="567"/>
        <w:jc w:val="both"/>
        <w:rPr>
          <w:rFonts w:cstheme="minorHAnsi"/>
        </w:rPr>
      </w:pPr>
      <w:r w:rsidRPr="00EA7AC6">
        <w:rPr>
          <w:rFonts w:cstheme="minorHAnsi"/>
        </w:rPr>
        <w:t>Komandiruočių ir kelionių Lietuvoje fiksuotųjų įkainių skaičiavimo formulės ir kiekybinių rezultatų pasiekimą įrodantys dokumentai yra nustatyti tyrimo ataskaitos III dalyje.</w:t>
      </w:r>
    </w:p>
    <w:p w:rsidR="000E3680" w:rsidRPr="00EA7AC6" w:rsidRDefault="000E3680" w:rsidP="001F1664">
      <w:pPr>
        <w:tabs>
          <w:tab w:val="left" w:pos="0"/>
        </w:tabs>
        <w:jc w:val="both"/>
        <w:rPr>
          <w:rFonts w:cstheme="minorHAnsi"/>
        </w:rPr>
      </w:pPr>
    </w:p>
    <w:p w:rsidR="001F1664" w:rsidRPr="000E3680" w:rsidRDefault="001F1664" w:rsidP="001F1664">
      <w:pPr>
        <w:tabs>
          <w:tab w:val="left" w:pos="1134"/>
          <w:tab w:val="left" w:pos="1276"/>
        </w:tabs>
        <w:jc w:val="center"/>
        <w:rPr>
          <w:rFonts w:asciiTheme="majorHAnsi" w:hAnsiTheme="majorHAnsi" w:cs="Times New Roman"/>
          <w:b/>
          <w:sz w:val="24"/>
          <w:szCs w:val="24"/>
        </w:rPr>
      </w:pPr>
      <w:r w:rsidRPr="000E3680">
        <w:rPr>
          <w:rFonts w:asciiTheme="majorHAnsi" w:hAnsiTheme="majorHAnsi" w:cs="Times New Roman"/>
          <w:b/>
          <w:sz w:val="24"/>
          <w:szCs w:val="24"/>
        </w:rPr>
        <w:t>II.2.2. Komandiruočių į užsienį fiksuotieji įkainiai</w:t>
      </w:r>
    </w:p>
    <w:p w:rsidR="001F1664" w:rsidRPr="00EA7AC6" w:rsidRDefault="001F1664" w:rsidP="00343FA3">
      <w:pPr>
        <w:tabs>
          <w:tab w:val="left" w:pos="0"/>
        </w:tabs>
        <w:spacing w:before="240"/>
        <w:ind w:firstLine="567"/>
        <w:jc w:val="both"/>
        <w:rPr>
          <w:rFonts w:cstheme="minorHAnsi"/>
        </w:rPr>
      </w:pPr>
      <w:r w:rsidRPr="00EA7AC6">
        <w:rPr>
          <w:rFonts w:cstheme="minorHAnsi"/>
        </w:rPr>
        <w:t>Techninės paramos projektuose taikomi komandiruočių į užsienį fiksuotieji įkainiai yra sudėtiniai dydžiai, apimantys šias išlaidas:</w:t>
      </w:r>
    </w:p>
    <w:p w:rsidR="001F1664" w:rsidRPr="00EA7AC6" w:rsidRDefault="001F1664" w:rsidP="00ED6204">
      <w:pPr>
        <w:pStyle w:val="Sraopastraipa"/>
        <w:numPr>
          <w:ilvl w:val="0"/>
          <w:numId w:val="5"/>
        </w:numPr>
        <w:tabs>
          <w:tab w:val="left" w:pos="0"/>
        </w:tabs>
        <w:spacing w:before="240"/>
        <w:ind w:left="0" w:firstLine="851"/>
        <w:jc w:val="both"/>
        <w:rPr>
          <w:rFonts w:cstheme="minorHAnsi"/>
        </w:rPr>
      </w:pPr>
      <w:r w:rsidRPr="00EA7AC6">
        <w:rPr>
          <w:rFonts w:cstheme="minorHAnsi"/>
        </w:rPr>
        <w:t xml:space="preserve">kelionės į užsienio šalį ir atgal išlaidas; </w:t>
      </w:r>
    </w:p>
    <w:p w:rsidR="001F1664" w:rsidRPr="00EA7AC6" w:rsidRDefault="001F1664" w:rsidP="00ED6204">
      <w:pPr>
        <w:pStyle w:val="Sraopastraipa"/>
        <w:numPr>
          <w:ilvl w:val="0"/>
          <w:numId w:val="5"/>
        </w:numPr>
        <w:tabs>
          <w:tab w:val="left" w:pos="0"/>
        </w:tabs>
        <w:spacing w:before="240"/>
        <w:ind w:left="0" w:firstLine="851"/>
        <w:jc w:val="both"/>
        <w:rPr>
          <w:rFonts w:cstheme="minorHAnsi"/>
        </w:rPr>
      </w:pPr>
      <w:r w:rsidRPr="00EA7AC6">
        <w:rPr>
          <w:rFonts w:cstheme="minorHAnsi"/>
        </w:rPr>
        <w:t>vietinių kelionių išlaidas;</w:t>
      </w:r>
    </w:p>
    <w:p w:rsidR="001F1664" w:rsidRPr="00EA7AC6" w:rsidRDefault="001F1664" w:rsidP="00ED6204">
      <w:pPr>
        <w:pStyle w:val="Sraopastraipa"/>
        <w:numPr>
          <w:ilvl w:val="0"/>
          <w:numId w:val="5"/>
        </w:numPr>
        <w:tabs>
          <w:tab w:val="left" w:pos="0"/>
        </w:tabs>
        <w:spacing w:before="240"/>
        <w:ind w:left="0" w:firstLine="851"/>
        <w:jc w:val="both"/>
        <w:rPr>
          <w:rFonts w:cstheme="minorHAnsi"/>
        </w:rPr>
      </w:pPr>
      <w:r w:rsidRPr="00EA7AC6">
        <w:rPr>
          <w:rFonts w:cstheme="minorHAnsi"/>
        </w:rPr>
        <w:t>kitas komandiruotės išlaidas;</w:t>
      </w:r>
    </w:p>
    <w:p w:rsidR="001F1664" w:rsidRPr="00EA7AC6" w:rsidRDefault="001F1664" w:rsidP="00ED6204">
      <w:pPr>
        <w:pStyle w:val="Sraopastraipa"/>
        <w:numPr>
          <w:ilvl w:val="0"/>
          <w:numId w:val="5"/>
        </w:numPr>
        <w:tabs>
          <w:tab w:val="left" w:pos="0"/>
        </w:tabs>
        <w:spacing w:before="240"/>
        <w:ind w:left="0" w:firstLine="851"/>
        <w:jc w:val="both"/>
        <w:rPr>
          <w:rFonts w:cstheme="minorHAnsi"/>
        </w:rPr>
      </w:pPr>
      <w:r w:rsidRPr="00EA7AC6">
        <w:rPr>
          <w:rFonts w:cstheme="minorHAnsi"/>
        </w:rPr>
        <w:t>dienpinigių užsienio šalyje išlaidas;</w:t>
      </w:r>
    </w:p>
    <w:p w:rsidR="001F1664" w:rsidRPr="00EA7AC6" w:rsidRDefault="001F1664" w:rsidP="00ED6204">
      <w:pPr>
        <w:pStyle w:val="Sraopastraipa"/>
        <w:numPr>
          <w:ilvl w:val="0"/>
          <w:numId w:val="5"/>
        </w:numPr>
        <w:tabs>
          <w:tab w:val="left" w:pos="0"/>
        </w:tabs>
        <w:spacing w:before="240"/>
        <w:ind w:left="0" w:firstLine="851"/>
        <w:jc w:val="both"/>
        <w:rPr>
          <w:rFonts w:cstheme="minorHAnsi"/>
        </w:rPr>
      </w:pPr>
      <w:r w:rsidRPr="00EA7AC6">
        <w:rPr>
          <w:rFonts w:cstheme="minorHAnsi"/>
        </w:rPr>
        <w:t>gyvenamojo ploto nuomos užsienio šalyje išlaidas.</w:t>
      </w:r>
    </w:p>
    <w:p w:rsidR="001F1664" w:rsidRPr="00EA7AC6" w:rsidRDefault="00B742D3" w:rsidP="00F14083">
      <w:pPr>
        <w:tabs>
          <w:tab w:val="left" w:pos="0"/>
        </w:tabs>
        <w:ind w:firstLine="567"/>
        <w:jc w:val="both"/>
        <w:rPr>
          <w:rFonts w:cstheme="minorHAnsi"/>
        </w:rPr>
      </w:pPr>
      <w:r>
        <w:rPr>
          <w:rFonts w:cstheme="minorHAnsi"/>
        </w:rPr>
        <w:t xml:space="preserve">Projektų vykdytojų patiriamos </w:t>
      </w:r>
      <w:r w:rsidR="001F1664" w:rsidRPr="00AE04CD">
        <w:rPr>
          <w:rFonts w:cstheme="minorHAnsi"/>
        </w:rPr>
        <w:t>vizos išdavimo ir su jos išdavimu susijusios išlaidos, būtinųjų skiepų ir vaistų nuo užkrečiamųjų ligų išlaidos</w:t>
      </w:r>
      <w:r>
        <w:rPr>
          <w:rFonts w:cstheme="minorHAnsi"/>
        </w:rPr>
        <w:t xml:space="preserve"> ir</w:t>
      </w:r>
      <w:r w:rsidR="00B17711" w:rsidRPr="00AE04CD">
        <w:rPr>
          <w:rFonts w:cstheme="minorHAnsi"/>
        </w:rPr>
        <w:t xml:space="preserve"> </w:t>
      </w:r>
      <w:r w:rsidR="00B27B4B" w:rsidRPr="00AE04CD">
        <w:rPr>
          <w:rFonts w:cstheme="minorHAnsi"/>
        </w:rPr>
        <w:t>renginio dalyvio mokestis</w:t>
      </w:r>
      <w:r>
        <w:rPr>
          <w:rFonts w:cstheme="minorHAnsi"/>
        </w:rPr>
        <w:t xml:space="preserve"> gali būti deklaruojamos pagal faktiškai patirtas išlaidas, pateikiant išlaidų patyrimą ir pagrindimą įrodančius dokumentus.</w:t>
      </w:r>
    </w:p>
    <w:p w:rsidR="00DC061E" w:rsidRPr="00EA7AC6" w:rsidRDefault="001F1664" w:rsidP="007154B3">
      <w:pPr>
        <w:autoSpaceDE w:val="0"/>
        <w:autoSpaceDN w:val="0"/>
        <w:adjustRightInd w:val="0"/>
        <w:spacing w:before="240" w:after="0"/>
        <w:ind w:firstLine="567"/>
        <w:jc w:val="both"/>
        <w:rPr>
          <w:rFonts w:cstheme="minorHAnsi"/>
        </w:rPr>
      </w:pPr>
      <w:r w:rsidRPr="00EA7AC6">
        <w:rPr>
          <w:rFonts w:cstheme="minorHAnsi"/>
        </w:rPr>
        <w:t>Apskaičiuojant sudėtinių komandiruočių į užsienį fiks</w:t>
      </w:r>
      <w:r w:rsidR="00366073">
        <w:rPr>
          <w:rFonts w:cstheme="minorHAnsi"/>
        </w:rPr>
        <w:t>uotųjų įkainių dydžius, taikomi</w:t>
      </w:r>
      <w:r w:rsidRPr="00EA7AC6">
        <w:rPr>
          <w:rFonts w:cstheme="minorHAnsi"/>
        </w:rPr>
        <w:t xml:space="preserve"> </w:t>
      </w:r>
      <w:r w:rsidR="00DC061E" w:rsidRPr="00EA7AC6">
        <w:rPr>
          <w:rFonts w:cstheme="minorHAnsi"/>
          <w:i/>
        </w:rPr>
        <w:t>Mokslinių išvykų fiksuotųjų įkainių nustatymo tyrimo ataskaitoje</w:t>
      </w:r>
      <w:r w:rsidR="00DC061E" w:rsidRPr="00EA7AC6">
        <w:rPr>
          <w:rFonts w:cstheme="minorHAnsi"/>
        </w:rPr>
        <w:t xml:space="preserve"> (toliau – LMT tyrimas) nustatyti fiksuotieji įkainiai: </w:t>
      </w:r>
    </w:p>
    <w:p w:rsidR="00DC061E" w:rsidRPr="00EA7AC6" w:rsidRDefault="001F1664" w:rsidP="00ED6204">
      <w:pPr>
        <w:pStyle w:val="Sraopastraipa"/>
        <w:numPr>
          <w:ilvl w:val="0"/>
          <w:numId w:val="13"/>
        </w:numPr>
        <w:autoSpaceDE w:val="0"/>
        <w:autoSpaceDN w:val="0"/>
        <w:adjustRightInd w:val="0"/>
        <w:spacing w:before="240" w:after="0"/>
        <w:ind w:left="0" w:firstLine="851"/>
        <w:jc w:val="both"/>
        <w:rPr>
          <w:rFonts w:cstheme="minorHAnsi"/>
        </w:rPr>
      </w:pPr>
      <w:r w:rsidRPr="00EA7AC6">
        <w:rPr>
          <w:rFonts w:cstheme="minorHAnsi"/>
          <w:b/>
        </w:rPr>
        <w:lastRenderedPageBreak/>
        <w:t>Kelionės į užsienio šalį ir atgal išlaidos</w:t>
      </w:r>
      <w:r w:rsidRPr="00EA7AC6">
        <w:rPr>
          <w:rFonts w:cstheme="minorHAnsi"/>
        </w:rPr>
        <w:t xml:space="preserve"> apmokamos taikant </w:t>
      </w:r>
      <w:r w:rsidR="00DC061E" w:rsidRPr="00EA7AC6">
        <w:rPr>
          <w:rFonts w:cstheme="minorHAnsi"/>
        </w:rPr>
        <w:t xml:space="preserve">LMT tyrime </w:t>
      </w:r>
      <w:r w:rsidRPr="00EA7AC6">
        <w:rPr>
          <w:rFonts w:cstheme="minorHAnsi"/>
        </w:rPr>
        <w:t xml:space="preserve">nustatytą kelionės į užsienį išlaidų fiksuotąjį įkainį </w:t>
      </w:r>
      <w:r w:rsidRPr="00EA7AC6">
        <w:rPr>
          <w:rFonts w:cstheme="minorHAnsi"/>
          <w:b/>
          <w:bCs/>
        </w:rPr>
        <w:t>FĮ</w:t>
      </w:r>
      <w:r w:rsidRPr="00EA7AC6">
        <w:rPr>
          <w:rFonts w:cstheme="minorHAnsi"/>
          <w:b/>
          <w:bCs/>
          <w:vertAlign w:val="subscript"/>
        </w:rPr>
        <w:t>KU</w:t>
      </w:r>
      <w:r w:rsidR="00DC061E" w:rsidRPr="00EA7AC6">
        <w:rPr>
          <w:rFonts w:cstheme="minorHAnsi"/>
          <w:b/>
          <w:bCs/>
          <w:vertAlign w:val="subscript"/>
        </w:rPr>
        <w:t>;</w:t>
      </w:r>
    </w:p>
    <w:p w:rsidR="00DC061E" w:rsidRPr="00EA7AC6" w:rsidRDefault="00DC061E" w:rsidP="00ED6204">
      <w:pPr>
        <w:pStyle w:val="Sraopastraipa"/>
        <w:numPr>
          <w:ilvl w:val="0"/>
          <w:numId w:val="13"/>
        </w:numPr>
        <w:autoSpaceDE w:val="0"/>
        <w:autoSpaceDN w:val="0"/>
        <w:adjustRightInd w:val="0"/>
        <w:spacing w:before="240" w:after="0"/>
        <w:ind w:left="0" w:firstLine="851"/>
        <w:jc w:val="both"/>
        <w:rPr>
          <w:rFonts w:cstheme="minorHAnsi"/>
        </w:rPr>
      </w:pPr>
      <w:r w:rsidRPr="00EA7AC6">
        <w:rPr>
          <w:rFonts w:cstheme="minorHAnsi"/>
          <w:b/>
          <w:bCs/>
        </w:rPr>
        <w:t>V</w:t>
      </w:r>
      <w:r w:rsidR="001F1664" w:rsidRPr="00EA7AC6">
        <w:rPr>
          <w:rFonts w:cstheme="minorHAnsi"/>
          <w:b/>
        </w:rPr>
        <w:t>ietinių kelionių išlaidos</w:t>
      </w:r>
      <w:r w:rsidR="001F1664" w:rsidRPr="00EA7AC6">
        <w:rPr>
          <w:rFonts w:cstheme="minorHAnsi"/>
        </w:rPr>
        <w:t xml:space="preserve"> apmokamos taikant </w:t>
      </w:r>
      <w:r w:rsidRPr="00EA7AC6">
        <w:rPr>
          <w:rFonts w:cstheme="minorHAnsi"/>
        </w:rPr>
        <w:t xml:space="preserve">LMT tyrime </w:t>
      </w:r>
      <w:r w:rsidR="001F1664" w:rsidRPr="00EA7AC6">
        <w:rPr>
          <w:rFonts w:cstheme="minorHAnsi"/>
        </w:rPr>
        <w:t xml:space="preserve">nustatytą trumpalaikės mokslinės išvykos vietinių kelionių fiksuotąjį įkainį </w:t>
      </w:r>
      <w:r w:rsidR="001F1664" w:rsidRPr="00EA7AC6">
        <w:rPr>
          <w:rFonts w:cstheme="minorHAnsi"/>
          <w:b/>
          <w:bCs/>
        </w:rPr>
        <w:t>FĮ</w:t>
      </w:r>
      <w:r w:rsidR="001F1664" w:rsidRPr="00EA7AC6">
        <w:rPr>
          <w:rFonts w:cstheme="minorHAnsi"/>
          <w:b/>
          <w:bCs/>
          <w:vertAlign w:val="subscript"/>
        </w:rPr>
        <w:t>VKTMI</w:t>
      </w:r>
      <w:r w:rsidR="00610244">
        <w:rPr>
          <w:rFonts w:cstheme="minorHAnsi"/>
          <w:b/>
          <w:bCs/>
          <w:vertAlign w:val="subscript"/>
        </w:rPr>
        <w:t xml:space="preserve"> </w:t>
      </w:r>
      <w:r w:rsidR="00610244">
        <w:rPr>
          <w:rFonts w:cstheme="minorHAnsi"/>
          <w:bCs/>
        </w:rPr>
        <w:t xml:space="preserve">(šioje tyrimo ataskaitoje žymimas </w:t>
      </w:r>
      <w:r w:rsidR="00610244" w:rsidRPr="00610244">
        <w:rPr>
          <w:rFonts w:cstheme="minorHAnsi"/>
          <w:b/>
          <w:bCs/>
        </w:rPr>
        <w:t>FĮ</w:t>
      </w:r>
      <w:r w:rsidR="00610244" w:rsidRPr="00610244">
        <w:rPr>
          <w:rFonts w:cstheme="minorHAnsi"/>
          <w:b/>
          <w:bCs/>
          <w:vertAlign w:val="subscript"/>
        </w:rPr>
        <w:t>VK</w:t>
      </w:r>
      <w:r w:rsidR="00610244">
        <w:rPr>
          <w:rFonts w:cstheme="minorHAnsi"/>
          <w:bCs/>
        </w:rPr>
        <w:t>)</w:t>
      </w:r>
      <w:r w:rsidR="00B17711">
        <w:rPr>
          <w:rFonts w:cstheme="minorHAnsi"/>
          <w:bCs/>
        </w:rPr>
        <w:t>, kuris apima ir kelionės į</w:t>
      </w:r>
      <w:r w:rsidR="00813A62">
        <w:rPr>
          <w:rFonts w:cstheme="minorHAnsi"/>
          <w:bCs/>
        </w:rPr>
        <w:t xml:space="preserve"> </w:t>
      </w:r>
      <w:r w:rsidR="00B17711">
        <w:rPr>
          <w:rFonts w:cstheme="minorHAnsi"/>
          <w:bCs/>
        </w:rPr>
        <w:t>/</w:t>
      </w:r>
      <w:r w:rsidR="00813A62">
        <w:rPr>
          <w:rFonts w:cstheme="minorHAnsi"/>
          <w:bCs/>
        </w:rPr>
        <w:t xml:space="preserve"> </w:t>
      </w:r>
      <w:r w:rsidR="00B17711">
        <w:rPr>
          <w:rFonts w:cstheme="minorHAnsi"/>
          <w:bCs/>
        </w:rPr>
        <w:t>iš oro uostą išlaidas</w:t>
      </w:r>
      <w:r w:rsidRPr="00EA7AC6">
        <w:rPr>
          <w:rFonts w:cstheme="minorHAnsi"/>
          <w:b/>
          <w:bCs/>
        </w:rPr>
        <w:t>;</w:t>
      </w:r>
    </w:p>
    <w:p w:rsidR="00DC061E" w:rsidRPr="00EA7AC6" w:rsidRDefault="00DC061E" w:rsidP="00ED6204">
      <w:pPr>
        <w:pStyle w:val="Sraopastraipa"/>
        <w:numPr>
          <w:ilvl w:val="0"/>
          <w:numId w:val="13"/>
        </w:numPr>
        <w:autoSpaceDE w:val="0"/>
        <w:autoSpaceDN w:val="0"/>
        <w:adjustRightInd w:val="0"/>
        <w:spacing w:before="240"/>
        <w:ind w:left="0" w:firstLine="851"/>
        <w:jc w:val="both"/>
        <w:rPr>
          <w:rFonts w:cstheme="minorHAnsi"/>
        </w:rPr>
      </w:pPr>
      <w:r w:rsidRPr="00EA7AC6">
        <w:rPr>
          <w:rFonts w:cstheme="minorHAnsi"/>
          <w:b/>
        </w:rPr>
        <w:t>K</w:t>
      </w:r>
      <w:r w:rsidR="001F1664" w:rsidRPr="00EA7AC6">
        <w:rPr>
          <w:rFonts w:cstheme="minorHAnsi"/>
          <w:b/>
        </w:rPr>
        <w:t>itos komandiruočių išlaidos</w:t>
      </w:r>
      <w:r w:rsidR="001F1664" w:rsidRPr="00EA7AC6">
        <w:rPr>
          <w:rFonts w:cstheme="minorHAnsi"/>
        </w:rPr>
        <w:t xml:space="preserve"> apmokamos taikant</w:t>
      </w:r>
      <w:r w:rsidRPr="00EA7AC6">
        <w:rPr>
          <w:rFonts w:cstheme="minorHAnsi"/>
        </w:rPr>
        <w:t xml:space="preserve"> LMT tyrime nustatytą</w:t>
      </w:r>
      <w:r w:rsidR="001F1664" w:rsidRPr="00EA7AC6">
        <w:rPr>
          <w:rFonts w:cstheme="minorHAnsi"/>
        </w:rPr>
        <w:t xml:space="preserve"> k</w:t>
      </w:r>
      <w:r w:rsidR="001F1664" w:rsidRPr="00EA7AC6">
        <w:rPr>
          <w:rFonts w:cstheme="minorHAnsi"/>
          <w:color w:val="000000"/>
        </w:rPr>
        <w:t xml:space="preserve">itų trumpalaikės mokslinės išvykos išlaidų fiksuotąjį įkainį </w:t>
      </w:r>
      <w:r w:rsidR="001F1664" w:rsidRPr="00EA7AC6">
        <w:rPr>
          <w:rFonts w:cstheme="minorHAnsi"/>
          <w:b/>
          <w:color w:val="000000"/>
        </w:rPr>
        <w:t>FĮ</w:t>
      </w:r>
      <w:r w:rsidR="001F1664" w:rsidRPr="00EA7AC6">
        <w:rPr>
          <w:rFonts w:cstheme="minorHAnsi"/>
          <w:b/>
          <w:color w:val="000000"/>
          <w:vertAlign w:val="subscript"/>
        </w:rPr>
        <w:t>KTMI</w:t>
      </w:r>
      <w:r w:rsidR="001F1664" w:rsidRPr="00EA7AC6">
        <w:rPr>
          <w:rFonts w:cstheme="minorHAnsi"/>
          <w:color w:val="000000"/>
        </w:rPr>
        <w:t>.</w:t>
      </w:r>
      <w:r w:rsidR="00610244" w:rsidRPr="00610244">
        <w:rPr>
          <w:rFonts w:cstheme="minorHAnsi"/>
          <w:bCs/>
        </w:rPr>
        <w:t xml:space="preserve"> </w:t>
      </w:r>
      <w:r w:rsidR="00610244">
        <w:rPr>
          <w:rFonts w:cstheme="minorHAnsi"/>
          <w:bCs/>
        </w:rPr>
        <w:t xml:space="preserve">(šioje tyrimo ataskaitoje žymimas </w:t>
      </w:r>
      <w:r w:rsidR="00610244" w:rsidRPr="00610244">
        <w:rPr>
          <w:rFonts w:cstheme="minorHAnsi"/>
          <w:b/>
          <w:bCs/>
        </w:rPr>
        <w:t>FĮ</w:t>
      </w:r>
      <w:r w:rsidR="00610244" w:rsidRPr="00610244">
        <w:rPr>
          <w:rFonts w:cstheme="minorHAnsi"/>
          <w:b/>
          <w:bCs/>
          <w:vertAlign w:val="subscript"/>
        </w:rPr>
        <w:t>K</w:t>
      </w:r>
      <w:r w:rsidR="00610244">
        <w:rPr>
          <w:rFonts w:cstheme="minorHAnsi"/>
          <w:b/>
          <w:bCs/>
          <w:vertAlign w:val="subscript"/>
        </w:rPr>
        <w:t>T</w:t>
      </w:r>
      <w:r w:rsidR="00610244">
        <w:rPr>
          <w:rFonts w:cstheme="minorHAnsi"/>
          <w:bCs/>
        </w:rPr>
        <w:t>)</w:t>
      </w:r>
      <w:r w:rsidR="00610244">
        <w:rPr>
          <w:rFonts w:cstheme="minorHAnsi"/>
          <w:b/>
          <w:bCs/>
        </w:rPr>
        <w:t>.</w:t>
      </w:r>
    </w:p>
    <w:p w:rsidR="00EA7AC6" w:rsidRPr="00EA7AC6" w:rsidRDefault="00EA7AC6" w:rsidP="00EA7AC6">
      <w:pPr>
        <w:pStyle w:val="Sraopastraipa"/>
        <w:autoSpaceDE w:val="0"/>
        <w:autoSpaceDN w:val="0"/>
        <w:adjustRightInd w:val="0"/>
        <w:spacing w:before="240"/>
        <w:rPr>
          <w:rFonts w:cstheme="minorHAnsi"/>
        </w:rPr>
      </w:pPr>
    </w:p>
    <w:p w:rsidR="001F1664" w:rsidRPr="00EA7AC6" w:rsidRDefault="00DC061E" w:rsidP="00343FA3">
      <w:pPr>
        <w:pStyle w:val="Sraopastraipa"/>
        <w:autoSpaceDE w:val="0"/>
        <w:autoSpaceDN w:val="0"/>
        <w:adjustRightInd w:val="0"/>
        <w:spacing w:before="240"/>
        <w:ind w:left="0" w:firstLine="567"/>
        <w:jc w:val="both"/>
        <w:rPr>
          <w:rFonts w:cstheme="minorHAnsi"/>
        </w:rPr>
      </w:pPr>
      <w:r w:rsidRPr="00EA7AC6">
        <w:rPr>
          <w:rFonts w:cstheme="minorHAnsi"/>
        </w:rPr>
        <w:t xml:space="preserve">Šie </w:t>
      </w:r>
      <w:r w:rsidR="00A347AE" w:rsidRPr="00EA7AC6">
        <w:rPr>
          <w:rFonts w:cstheme="minorHAnsi"/>
        </w:rPr>
        <w:t>fiksuot</w:t>
      </w:r>
      <w:r w:rsidR="00A347AE">
        <w:rPr>
          <w:rFonts w:cstheme="minorHAnsi"/>
        </w:rPr>
        <w:t>ųjų</w:t>
      </w:r>
      <w:r w:rsidR="00A347AE" w:rsidRPr="00EA7AC6">
        <w:rPr>
          <w:rFonts w:cstheme="minorHAnsi"/>
        </w:rPr>
        <w:t xml:space="preserve"> įkaini</w:t>
      </w:r>
      <w:r w:rsidR="00A347AE">
        <w:rPr>
          <w:rFonts w:cstheme="minorHAnsi"/>
        </w:rPr>
        <w:t>ų</w:t>
      </w:r>
      <w:r w:rsidR="00A347AE" w:rsidRPr="00EA7AC6">
        <w:rPr>
          <w:rFonts w:cstheme="minorHAnsi"/>
        </w:rPr>
        <w:t xml:space="preserve"> </w:t>
      </w:r>
      <w:r w:rsidRPr="00EA7AC6">
        <w:rPr>
          <w:rFonts w:cstheme="minorHAnsi"/>
        </w:rPr>
        <w:t xml:space="preserve">dydžiai pasirinkti naudoti, kadangi jie buvo apskaičiuoti atlikus reprezentatyvius tyrimus ir yra universalūs, </w:t>
      </w:r>
      <w:r w:rsidR="00366073">
        <w:rPr>
          <w:rFonts w:cstheme="minorHAnsi"/>
        </w:rPr>
        <w:t>t.</w:t>
      </w:r>
      <w:r w:rsidR="00ED6204">
        <w:rPr>
          <w:rFonts w:cstheme="minorHAnsi"/>
        </w:rPr>
        <w:t xml:space="preserve"> </w:t>
      </w:r>
      <w:r w:rsidR="00366073">
        <w:rPr>
          <w:rFonts w:cstheme="minorHAnsi"/>
        </w:rPr>
        <w:t xml:space="preserve">y. </w:t>
      </w:r>
      <w:r w:rsidRPr="00EA7AC6">
        <w:rPr>
          <w:rFonts w:cstheme="minorHAnsi"/>
        </w:rPr>
        <w:t xml:space="preserve">LMT tyrimo I dalyje „Įvadas“ yra nustatyta, kad </w:t>
      </w:r>
      <w:r w:rsidRPr="00EA7AC6">
        <w:rPr>
          <w:rFonts w:cstheme="minorHAnsi"/>
          <w:i/>
        </w:rPr>
        <w:t>„Tyrimo at</w:t>
      </w:r>
      <w:r w:rsidR="00960090">
        <w:rPr>
          <w:rFonts w:cstheme="minorHAnsi"/>
          <w:i/>
        </w:rPr>
        <w:t>a</w:t>
      </w:r>
      <w:r w:rsidRPr="00EA7AC6">
        <w:rPr>
          <w:rFonts w:cstheme="minorHAnsi"/>
          <w:i/>
        </w:rPr>
        <w:t>skaitoje nurodyti fiksuotųjų dydžių įkainiai taip pat gali būti naudojami ir kitų Lietuvos institucijų, administruojančių ES SF lėšas“.</w:t>
      </w:r>
      <w:r w:rsidRPr="00EA7AC6">
        <w:rPr>
          <w:rFonts w:cstheme="minorHAnsi"/>
        </w:rPr>
        <w:t xml:space="preserve"> </w:t>
      </w:r>
      <w:r w:rsidR="00AE59F3" w:rsidRPr="00EA7AC6">
        <w:rPr>
          <w:rFonts w:cstheme="minorHAnsi"/>
        </w:rPr>
        <w:t xml:space="preserve">LMT tyrime taip pat yra nustatyti vietinių kelionių </w:t>
      </w:r>
      <w:r w:rsidR="00F36E67" w:rsidRPr="00EA7AC6">
        <w:rPr>
          <w:rFonts w:cstheme="minorHAnsi"/>
        </w:rPr>
        <w:t>ir kitų komandiruočių išlaidų fiksuotieji įkainiai ilgalaikėms mokslinėms išvykoms</w:t>
      </w:r>
      <w:r w:rsidR="001833AA">
        <w:rPr>
          <w:rFonts w:cstheme="minorHAnsi"/>
        </w:rPr>
        <w:t xml:space="preserve"> (viršijančioms 14 dienų)</w:t>
      </w:r>
      <w:r w:rsidR="00F36E67" w:rsidRPr="00EA7AC6">
        <w:rPr>
          <w:rFonts w:cstheme="minorHAnsi"/>
        </w:rPr>
        <w:t xml:space="preserve">, tačiau techninės paramos projektuose tik pavienės komandiruotės į užsienį viršija 14 dienų, todėl, siekiant sumažinti administracinę naštą, </w:t>
      </w:r>
      <w:r w:rsidR="00A1770D" w:rsidRPr="00EA7AC6">
        <w:rPr>
          <w:rFonts w:cstheme="minorHAnsi"/>
        </w:rPr>
        <w:t xml:space="preserve">techninės paramos projektuose </w:t>
      </w:r>
      <w:r w:rsidR="00F36E67" w:rsidRPr="00EA7AC6">
        <w:rPr>
          <w:rFonts w:cstheme="minorHAnsi"/>
        </w:rPr>
        <w:t>LMT tyrime trumpalaikėms mokslinėms išvykoms nustatytus fiksuotųjų įkainių dydžius pasirinkta taikyti visoms komandiruotėms į užsien</w:t>
      </w:r>
      <w:r w:rsidR="00EA7AC6">
        <w:rPr>
          <w:rFonts w:cstheme="minorHAnsi"/>
        </w:rPr>
        <w:t xml:space="preserve">į. </w:t>
      </w:r>
    </w:p>
    <w:p w:rsidR="001F1664" w:rsidRPr="00EA7AC6" w:rsidRDefault="001F1664" w:rsidP="00343FA3">
      <w:pPr>
        <w:autoSpaceDE w:val="0"/>
        <w:autoSpaceDN w:val="0"/>
        <w:adjustRightInd w:val="0"/>
        <w:spacing w:before="240" w:after="0"/>
        <w:ind w:firstLine="567"/>
        <w:jc w:val="both"/>
        <w:rPr>
          <w:rFonts w:cstheme="minorHAnsi"/>
        </w:rPr>
      </w:pPr>
      <w:r w:rsidRPr="00EA7AC6">
        <w:rPr>
          <w:rFonts w:cstheme="minorHAnsi"/>
          <w:b/>
        </w:rPr>
        <w:t>Dienpinigių</w:t>
      </w:r>
      <w:r w:rsidR="00620A7C" w:rsidRPr="00EA7AC6">
        <w:rPr>
          <w:rFonts w:cstheme="minorHAnsi"/>
          <w:b/>
        </w:rPr>
        <w:t xml:space="preserve"> užsienio valstybėse</w:t>
      </w:r>
      <w:r w:rsidRPr="00EA7AC6">
        <w:rPr>
          <w:rFonts w:cstheme="minorHAnsi"/>
          <w:b/>
        </w:rPr>
        <w:t xml:space="preserve"> </w:t>
      </w:r>
      <w:r w:rsidRPr="00EA7AC6">
        <w:rPr>
          <w:rFonts w:cstheme="minorHAnsi"/>
        </w:rPr>
        <w:t xml:space="preserve">išlaidos apmokamos taikant dienpinigių fiksuotuosius įkainius, atitinkančius dienpinigių normas, nustatytas </w:t>
      </w:r>
      <w:r w:rsidR="00B76D8F" w:rsidRPr="00EA7AC6">
        <w:rPr>
          <w:rFonts w:cstheme="minorHAnsi"/>
        </w:rPr>
        <w:t>Įsakyme</w:t>
      </w:r>
      <w:r w:rsidRPr="00EA7AC6">
        <w:rPr>
          <w:rFonts w:cstheme="minorHAnsi"/>
        </w:rPr>
        <w:t xml:space="preserve"> 116. </w:t>
      </w:r>
    </w:p>
    <w:p w:rsidR="00620A7C" w:rsidRPr="00EA7AC6" w:rsidRDefault="00620A7C" w:rsidP="00343FA3">
      <w:pPr>
        <w:tabs>
          <w:tab w:val="left" w:pos="0"/>
        </w:tabs>
        <w:spacing w:before="240"/>
        <w:ind w:firstLine="567"/>
        <w:jc w:val="both"/>
        <w:rPr>
          <w:rFonts w:cstheme="minorHAnsi"/>
        </w:rPr>
      </w:pPr>
      <w:r w:rsidRPr="00EA7AC6">
        <w:rPr>
          <w:rFonts w:cstheme="minorHAnsi"/>
        </w:rPr>
        <w:t>Dienpinigių užsienio valstybėse mokėjimo tvarka yra nustatyta:</w:t>
      </w:r>
    </w:p>
    <w:p w:rsidR="00620A7C" w:rsidRPr="00EA7AC6" w:rsidRDefault="00620A7C" w:rsidP="00ED6204">
      <w:pPr>
        <w:pStyle w:val="Sraopastraipa"/>
        <w:numPr>
          <w:ilvl w:val="0"/>
          <w:numId w:val="6"/>
        </w:numPr>
        <w:tabs>
          <w:tab w:val="left" w:pos="0"/>
        </w:tabs>
        <w:spacing w:before="240"/>
        <w:ind w:left="0" w:firstLine="851"/>
        <w:jc w:val="both"/>
        <w:rPr>
          <w:rFonts w:cstheme="minorHAnsi"/>
        </w:rPr>
      </w:pPr>
      <w:r w:rsidRPr="00EA7AC6">
        <w:rPr>
          <w:rFonts w:cstheme="minorHAnsi"/>
        </w:rPr>
        <w:t>biudžetinėms įstaigoms: vadovaujantis LRVN 526;</w:t>
      </w:r>
    </w:p>
    <w:p w:rsidR="001D7059" w:rsidRPr="00EA7AC6" w:rsidRDefault="00620A7C" w:rsidP="00ED6204">
      <w:pPr>
        <w:pStyle w:val="Sraopastraipa"/>
        <w:numPr>
          <w:ilvl w:val="0"/>
          <w:numId w:val="6"/>
        </w:numPr>
        <w:tabs>
          <w:tab w:val="left" w:pos="0"/>
        </w:tabs>
        <w:spacing w:before="240"/>
        <w:ind w:left="0" w:firstLine="851"/>
        <w:jc w:val="both"/>
        <w:rPr>
          <w:rFonts w:cstheme="minorHAnsi"/>
        </w:rPr>
      </w:pPr>
      <w:r w:rsidRPr="00EA7AC6">
        <w:rPr>
          <w:rFonts w:cstheme="minorHAnsi"/>
        </w:rPr>
        <w:t xml:space="preserve">nebiudžetinėms įstaigoms: vadovaujantis LRVN 99 ir LRVN 1365. </w:t>
      </w:r>
    </w:p>
    <w:p w:rsidR="00091F50" w:rsidRDefault="00620A7C" w:rsidP="00343FA3">
      <w:pPr>
        <w:autoSpaceDE w:val="0"/>
        <w:autoSpaceDN w:val="0"/>
        <w:adjustRightInd w:val="0"/>
        <w:spacing w:before="240" w:after="0"/>
        <w:ind w:firstLine="567"/>
        <w:jc w:val="both"/>
        <w:rPr>
          <w:rFonts w:cstheme="minorHAnsi"/>
          <w:lang w:eastAsia="lt-LT"/>
        </w:rPr>
      </w:pPr>
      <w:r w:rsidRPr="00EA7AC6">
        <w:rPr>
          <w:rFonts w:cstheme="minorHAnsi"/>
          <w:color w:val="000000"/>
        </w:rPr>
        <w:t xml:space="preserve">Remiantis LRVN 526 9.2 punkto nuostatomis, biudžetinių įstaigų darbuotojams </w:t>
      </w:r>
      <w:r w:rsidR="00A7158B" w:rsidRPr="00EA7AC6">
        <w:rPr>
          <w:rFonts w:cstheme="minorHAnsi"/>
          <w:color w:val="000000"/>
        </w:rPr>
        <w:t xml:space="preserve">vykstant į užsienio valstybę, už dieną, kurią pervažiuojama Lietuvos Respublikos valstybės siena, dienpinigiai mokami pagal finansų ministro patvirtintas dienpinigių užsienio valstybėse normas, o grįžtant iš užsienio valstybės, už dieną, kurią pervažiuojama Lietuvos Respublikos valstybės siena, mokama 50 procentų finansų ministro patvirtintos dienpinigių užsienio valstybėje normos. Jeigu komandiruotės metu vykstama į keletą užsienio valstybių, finansų ministro patvirtintos dienpinigių užsienio valstybėse normos taikomos atsižvelgiant į kiekvienoje užsienio valstybėje faktiškai išbūtas dienas, o pervažiavimo į užsienio valstybę diena laikoma atvykimo į tą užsienio valstybę diena. Kai darbuotojas, vykdamas į komandiruotę, tą pačią dieną atvyksta į kelias užsienio valstybes, už šią dieną mokamas finansų ministro patvirtintų dienpinigių tose užsienio valstybėse normų vidurkis. Remiantis LRVN 526 9.3 punkto nuostatomis, biudžetinių įstaigų darbuotojams, kai tarnybinė komandiruotė trunka vieną dieną, mokama </w:t>
      </w:r>
      <w:r w:rsidR="00A7158B" w:rsidRPr="00EA7AC6">
        <w:rPr>
          <w:rFonts w:cstheme="minorHAnsi"/>
          <w:lang w:eastAsia="lt-LT"/>
        </w:rPr>
        <w:t>50 procentų finansų ministro patvirtintų dienpinigių užsienio valstybėje normos, o jeigu darbuotojas apsilanko keliose užsienio valstybėse, – 100 procentų finansų ministro patvirtintų dienpinigių tose užsienio valstybėse normų vidurkio.</w:t>
      </w:r>
      <w:r w:rsidR="00B27B4B">
        <w:rPr>
          <w:rFonts w:cstheme="minorHAnsi"/>
          <w:lang w:eastAsia="lt-LT"/>
        </w:rPr>
        <w:t xml:space="preserve"> </w:t>
      </w:r>
    </w:p>
    <w:p w:rsidR="002D5A7A" w:rsidRDefault="00B27B4B" w:rsidP="00343FA3">
      <w:pPr>
        <w:autoSpaceDE w:val="0"/>
        <w:autoSpaceDN w:val="0"/>
        <w:adjustRightInd w:val="0"/>
        <w:spacing w:before="240" w:after="0"/>
        <w:ind w:firstLine="567"/>
        <w:jc w:val="both"/>
        <w:rPr>
          <w:rFonts w:cstheme="minorHAnsi"/>
          <w:lang w:eastAsia="lt-LT"/>
        </w:rPr>
      </w:pPr>
      <w:r>
        <w:rPr>
          <w:rFonts w:cstheme="minorHAnsi"/>
          <w:lang w:eastAsia="lt-LT"/>
        </w:rPr>
        <w:t>Atsižvelgiant į tai, kad vienos dienos komandiruotės į užsienį, kurių metų aplankoma daugiau negu viena valstybė</w:t>
      </w:r>
      <w:r w:rsidR="0039591B">
        <w:rPr>
          <w:rFonts w:cstheme="minorHAnsi"/>
          <w:lang w:eastAsia="lt-LT"/>
        </w:rPr>
        <w:t>, techninės paramos projektuose</w:t>
      </w:r>
      <w:r>
        <w:rPr>
          <w:rFonts w:cstheme="minorHAnsi"/>
          <w:lang w:eastAsia="lt-LT"/>
        </w:rPr>
        <w:t xml:space="preserve"> yra labai re</w:t>
      </w:r>
      <w:r w:rsidR="0039591B">
        <w:rPr>
          <w:rFonts w:cstheme="minorHAnsi"/>
          <w:lang w:eastAsia="lt-LT"/>
        </w:rPr>
        <w:t>tos (remiantis 2007</w:t>
      </w:r>
      <w:r w:rsidR="002B0B82">
        <w:rPr>
          <w:rFonts w:cstheme="minorHAnsi"/>
          <w:lang w:eastAsia="lt-LT"/>
        </w:rPr>
        <w:t>−</w:t>
      </w:r>
      <w:r w:rsidR="0039591B">
        <w:rPr>
          <w:rFonts w:cstheme="minorHAnsi"/>
          <w:lang w:eastAsia="lt-LT"/>
        </w:rPr>
        <w:t>2013 metų laikotarpio patirtimi), o skirtinga tokių komandiruočių išlaidų skaičiavimo tvarka neproporcingai padidintų administracinę naštą vadovaujančiajai institucijai, techninės paramos gavėjams ir įgyvendinančiajai institucijai (</w:t>
      </w:r>
      <w:r w:rsidR="001F6040">
        <w:rPr>
          <w:rFonts w:cstheme="minorHAnsi"/>
          <w:lang w:eastAsia="lt-LT"/>
        </w:rPr>
        <w:t xml:space="preserve">dėl šių pavienių atvejų </w:t>
      </w:r>
      <w:r w:rsidR="0039591B">
        <w:rPr>
          <w:rFonts w:cstheme="minorHAnsi"/>
          <w:lang w:eastAsia="lt-LT"/>
        </w:rPr>
        <w:t>atsirastų poreikis parengti</w:t>
      </w:r>
      <w:r w:rsidR="00813A62">
        <w:rPr>
          <w:rFonts w:cstheme="minorHAnsi"/>
          <w:lang w:eastAsia="lt-LT"/>
        </w:rPr>
        <w:t xml:space="preserve"> </w:t>
      </w:r>
      <w:r w:rsidR="0039591B">
        <w:rPr>
          <w:rFonts w:cstheme="minorHAnsi"/>
          <w:lang w:eastAsia="lt-LT"/>
        </w:rPr>
        <w:t>/</w:t>
      </w:r>
      <w:r w:rsidR="00813A62">
        <w:rPr>
          <w:rFonts w:cstheme="minorHAnsi"/>
          <w:lang w:eastAsia="lt-LT"/>
        </w:rPr>
        <w:t xml:space="preserve"> </w:t>
      </w:r>
      <w:r w:rsidR="0039591B">
        <w:rPr>
          <w:rFonts w:cstheme="minorHAnsi"/>
          <w:lang w:eastAsia="lt-LT"/>
        </w:rPr>
        <w:t>pildyti papildomas sudėtingas suvestinių pažymų</w:t>
      </w:r>
      <w:r w:rsidR="001F6040">
        <w:rPr>
          <w:rFonts w:cstheme="minorHAnsi"/>
          <w:lang w:eastAsia="lt-LT"/>
        </w:rPr>
        <w:t xml:space="preserve"> formas</w:t>
      </w:r>
      <w:r w:rsidR="0039591B">
        <w:rPr>
          <w:rFonts w:cstheme="minorHAnsi"/>
          <w:lang w:eastAsia="lt-LT"/>
        </w:rPr>
        <w:t>) bei klaidų tikimybę, buvo nuspręsta tokių komandiruočių į užsienį išlaidų apskaičiavimui taikyti tyri</w:t>
      </w:r>
      <w:r w:rsidR="00011AD6">
        <w:rPr>
          <w:rFonts w:cstheme="minorHAnsi"/>
          <w:lang w:eastAsia="lt-LT"/>
        </w:rPr>
        <w:t>mo ataskaitos III.2</w:t>
      </w:r>
      <w:r w:rsidR="0039591B">
        <w:rPr>
          <w:rFonts w:cstheme="minorHAnsi"/>
          <w:lang w:eastAsia="lt-LT"/>
        </w:rPr>
        <w:t xml:space="preserve"> dalyje nustatyt</w:t>
      </w:r>
      <w:r w:rsidR="00FD332A">
        <w:rPr>
          <w:rFonts w:cstheme="minorHAnsi"/>
          <w:lang w:eastAsia="lt-LT"/>
        </w:rPr>
        <w:t>ą F8</w:t>
      </w:r>
      <w:r w:rsidR="0039591B">
        <w:rPr>
          <w:rFonts w:cstheme="minorHAnsi"/>
          <w:lang w:eastAsia="lt-LT"/>
        </w:rPr>
        <w:t xml:space="preserve"> formulę ir tyrimo</w:t>
      </w:r>
      <w:r w:rsidR="00FD332A">
        <w:rPr>
          <w:rFonts w:cstheme="minorHAnsi"/>
          <w:lang w:eastAsia="lt-LT"/>
        </w:rPr>
        <w:t xml:space="preserve"> ataskaitos</w:t>
      </w:r>
      <w:r w:rsidR="0039591B">
        <w:rPr>
          <w:rFonts w:cstheme="minorHAnsi"/>
          <w:lang w:eastAsia="lt-LT"/>
        </w:rPr>
        <w:t xml:space="preserve"> prieduose </w:t>
      </w:r>
      <w:r w:rsidR="00011AD6">
        <w:rPr>
          <w:rFonts w:cstheme="minorHAnsi"/>
          <w:lang w:eastAsia="lt-LT"/>
        </w:rPr>
        <w:t>pateiktą</w:t>
      </w:r>
      <w:r w:rsidR="0039591B">
        <w:rPr>
          <w:rFonts w:cstheme="minorHAnsi"/>
          <w:lang w:eastAsia="lt-LT"/>
        </w:rPr>
        <w:t xml:space="preserve"> suvestinės pažymos </w:t>
      </w:r>
      <w:r w:rsidR="00011AD6">
        <w:rPr>
          <w:rFonts w:cstheme="minorHAnsi"/>
          <w:lang w:eastAsia="lt-LT"/>
        </w:rPr>
        <w:t xml:space="preserve">5 </w:t>
      </w:r>
      <w:r w:rsidR="0039591B">
        <w:rPr>
          <w:rFonts w:cstheme="minorHAnsi"/>
          <w:lang w:eastAsia="lt-LT"/>
        </w:rPr>
        <w:t>formą</w:t>
      </w:r>
      <w:r w:rsidR="00011AD6">
        <w:rPr>
          <w:rFonts w:cstheme="minorHAnsi"/>
          <w:lang w:eastAsia="lt-LT"/>
        </w:rPr>
        <w:t>. Atitinkamai, tikėtina, kad taikant fiksuotuosius įkainius apskaičiuota tokios komandiruotės į užsienį išlaidų suma</w:t>
      </w:r>
      <w:r w:rsidR="0039591B">
        <w:rPr>
          <w:rFonts w:cstheme="minorHAnsi"/>
          <w:lang w:eastAsia="lt-LT"/>
        </w:rPr>
        <w:t xml:space="preserve"> </w:t>
      </w:r>
      <w:r w:rsidR="00011AD6">
        <w:rPr>
          <w:rFonts w:cstheme="minorHAnsi"/>
          <w:lang w:eastAsia="lt-LT"/>
        </w:rPr>
        <w:t xml:space="preserve">bus </w:t>
      </w:r>
      <w:r w:rsidR="00011AD6">
        <w:rPr>
          <w:rFonts w:cstheme="minorHAnsi"/>
          <w:lang w:eastAsia="lt-LT"/>
        </w:rPr>
        <w:lastRenderedPageBreak/>
        <w:t xml:space="preserve">nežymiai mažesnė negu faktiškai patirta išlaidų suma, tačiau šitai kompensuos sumažėjusi administracinė našta techninės paramos gavėjų ir įgyvendinančiosios institucijos darbuotojams. Mažesnio už faktines išlaidas fiksuotojo įkainio taikymas neprieštarauja Europos Komisijos reglamentuose nustatytoms fiksuotųjų dydžių taikymo nuostatoms. </w:t>
      </w:r>
    </w:p>
    <w:p w:rsidR="002D2D06" w:rsidRPr="00EA7AC6" w:rsidRDefault="002D5A7A" w:rsidP="00343FA3">
      <w:pPr>
        <w:autoSpaceDE w:val="0"/>
        <w:autoSpaceDN w:val="0"/>
        <w:adjustRightInd w:val="0"/>
        <w:spacing w:before="240" w:after="0"/>
        <w:ind w:firstLine="567"/>
        <w:jc w:val="both"/>
        <w:rPr>
          <w:rFonts w:cstheme="minorHAnsi"/>
          <w:lang w:eastAsia="lt-LT"/>
        </w:rPr>
      </w:pPr>
      <w:r>
        <w:rPr>
          <w:rFonts w:cstheme="minorHAnsi"/>
          <w:lang w:eastAsia="lt-LT"/>
        </w:rPr>
        <w:t xml:space="preserve">Tuo tarpu </w:t>
      </w:r>
      <w:r w:rsidRPr="00EA7AC6">
        <w:rPr>
          <w:rFonts w:cstheme="minorHAnsi"/>
          <w:lang w:eastAsia="lt-LT"/>
        </w:rPr>
        <w:t>nebiudžetinių įstaigų darbuotojams</w:t>
      </w:r>
      <w:r>
        <w:rPr>
          <w:rFonts w:cstheme="minorHAnsi"/>
          <w:lang w:eastAsia="lt-LT"/>
        </w:rPr>
        <w:t>, r</w:t>
      </w:r>
      <w:r w:rsidR="00FD332A" w:rsidRPr="00EA7AC6">
        <w:rPr>
          <w:rFonts w:cstheme="minorHAnsi"/>
          <w:lang w:eastAsia="lt-LT"/>
        </w:rPr>
        <w:t>emiantis LRVN 99 3 punktu</w:t>
      </w:r>
      <w:r w:rsidR="00FD332A">
        <w:rPr>
          <w:rFonts w:cstheme="minorHAnsi"/>
          <w:lang w:eastAsia="lt-LT"/>
        </w:rPr>
        <w:t>,</w:t>
      </w:r>
      <w:r w:rsidR="00A7158B" w:rsidRPr="00EA7AC6">
        <w:rPr>
          <w:rFonts w:cstheme="minorHAnsi"/>
          <w:lang w:eastAsia="lt-LT"/>
        </w:rPr>
        <w:t xml:space="preserve"> </w:t>
      </w:r>
      <w:r w:rsidR="002D2D06" w:rsidRPr="00EA7AC6">
        <w:rPr>
          <w:rFonts w:cstheme="minorHAnsi"/>
          <w:lang w:eastAsia="lt-LT"/>
        </w:rPr>
        <w:t xml:space="preserve">dienpinigiai skaičiuojami už faktiškai išbūtą užsienyje laiką (įskaitant išvykimo iš </w:t>
      </w:r>
      <w:r w:rsidR="00813A62">
        <w:rPr>
          <w:rFonts w:cstheme="minorHAnsi"/>
          <w:lang w:eastAsia="lt-LT"/>
        </w:rPr>
        <w:t>Lietuvos</w:t>
      </w:r>
      <w:r w:rsidR="002D2D06" w:rsidRPr="00EA7AC6">
        <w:rPr>
          <w:rFonts w:cstheme="minorHAnsi"/>
          <w:lang w:eastAsia="lt-LT"/>
        </w:rPr>
        <w:t xml:space="preserve"> ir parvykimo į ją dienas, o jeigu komandiruotės metu vykstama į keletą užsienio valstybių, dienpinigių normos taikomos atsižvelgiant į kiekvienoje užsienio valstybėje faktiškai išbūtas dienas, o pervažiavimo į užsienio valstybę diena laikoma atvykimo į tą užsienio valstybę diena. </w:t>
      </w:r>
    </w:p>
    <w:p w:rsidR="002D2D06" w:rsidRPr="00EA7AC6" w:rsidRDefault="002D2D06" w:rsidP="00343FA3">
      <w:pPr>
        <w:autoSpaceDE w:val="0"/>
        <w:autoSpaceDN w:val="0"/>
        <w:adjustRightInd w:val="0"/>
        <w:spacing w:before="240" w:after="0"/>
        <w:ind w:firstLine="567"/>
        <w:jc w:val="both"/>
        <w:rPr>
          <w:rFonts w:cstheme="minorHAnsi"/>
          <w:lang w:eastAsia="lt-LT"/>
        </w:rPr>
      </w:pPr>
      <w:r w:rsidRPr="00EA7AC6">
        <w:rPr>
          <w:rFonts w:cstheme="minorHAnsi"/>
          <w:lang w:eastAsia="lt-LT"/>
        </w:rPr>
        <w:t>Taip pat, vadovaujantis LRVN 526 9.4 punkto nuostatomis biudžetinės įstaigos darbuotojui mokama dienpinigių norma gali būti sumažinta, jei ji</w:t>
      </w:r>
      <w:r w:rsidR="001833AA">
        <w:rPr>
          <w:rFonts w:cstheme="minorHAnsi"/>
          <w:lang w:eastAsia="lt-LT"/>
        </w:rPr>
        <w:t>s</w:t>
      </w:r>
      <w:r w:rsidRPr="00EA7AC6">
        <w:rPr>
          <w:rFonts w:cstheme="minorHAnsi"/>
          <w:lang w:eastAsia="lt-LT"/>
        </w:rPr>
        <w:t xml:space="preserve"> užsienio valstybėje aprūpin</w:t>
      </w:r>
      <w:r w:rsidR="001F76B8" w:rsidRPr="00EA7AC6">
        <w:rPr>
          <w:rFonts w:cstheme="minorHAnsi"/>
          <w:lang w:eastAsia="lt-LT"/>
        </w:rPr>
        <w:t>amas dienpinigiais ar maitinimu, o vadovaujantis LRVN 1365 6.2 punkto nuostatomis, nebiudžetinės įstaigos darbuotojui, jei jam dienpinigius moka kitas asmuo (komandiruotės vietoje priimantysis asmuo ar pan.), gali būti išmokamas tik skirtumas tarp kito asmens išmokėtos sumos ir nustatytos dienpinigių normos.</w:t>
      </w:r>
    </w:p>
    <w:p w:rsidR="001F76B8" w:rsidRPr="00EA7AC6" w:rsidRDefault="001F76B8" w:rsidP="00343FA3">
      <w:pPr>
        <w:autoSpaceDE w:val="0"/>
        <w:autoSpaceDN w:val="0"/>
        <w:adjustRightInd w:val="0"/>
        <w:spacing w:before="240" w:after="0"/>
        <w:ind w:firstLine="567"/>
        <w:jc w:val="both"/>
        <w:rPr>
          <w:rFonts w:cstheme="minorHAnsi"/>
        </w:rPr>
      </w:pPr>
      <w:r w:rsidRPr="00EA7AC6">
        <w:rPr>
          <w:rFonts w:cstheme="minorHAnsi"/>
          <w:b/>
        </w:rPr>
        <w:t xml:space="preserve">Gyvenamojo ploto nuomos užsienio valstybėse </w:t>
      </w:r>
      <w:r w:rsidRPr="00EA7AC6">
        <w:rPr>
          <w:rFonts w:cstheme="minorHAnsi"/>
        </w:rPr>
        <w:t xml:space="preserve">išlaidos apmokamos taikant gyvenamojo ploto nuomos fiksuotuosius įkainius, atitinkančius maksimalias gyvenamojo ploto nuomos normas, nustatytas Įsakyme 116. </w:t>
      </w:r>
    </w:p>
    <w:p w:rsidR="001F76B8" w:rsidRPr="00EA7AC6" w:rsidRDefault="001F76B8" w:rsidP="00343FA3">
      <w:pPr>
        <w:tabs>
          <w:tab w:val="left" w:pos="0"/>
        </w:tabs>
        <w:spacing w:before="240"/>
        <w:ind w:firstLine="567"/>
        <w:jc w:val="both"/>
        <w:rPr>
          <w:rFonts w:cstheme="minorHAnsi"/>
        </w:rPr>
      </w:pPr>
      <w:r w:rsidRPr="00EA7AC6">
        <w:rPr>
          <w:rFonts w:cstheme="minorHAnsi"/>
        </w:rPr>
        <w:t>Gyvenamojo ploto nuomos užsienio valstybėse mokėjimo tvarka yra nustatyta:</w:t>
      </w:r>
    </w:p>
    <w:p w:rsidR="001F76B8" w:rsidRPr="00EA7AC6" w:rsidRDefault="001F76B8" w:rsidP="00ED6204">
      <w:pPr>
        <w:pStyle w:val="Sraopastraipa"/>
        <w:numPr>
          <w:ilvl w:val="0"/>
          <w:numId w:val="6"/>
        </w:numPr>
        <w:tabs>
          <w:tab w:val="left" w:pos="0"/>
        </w:tabs>
        <w:spacing w:before="240"/>
        <w:ind w:left="0" w:firstLine="851"/>
        <w:jc w:val="both"/>
        <w:rPr>
          <w:rFonts w:cstheme="minorHAnsi"/>
        </w:rPr>
      </w:pPr>
      <w:r w:rsidRPr="00EA7AC6">
        <w:rPr>
          <w:rFonts w:cstheme="minorHAnsi"/>
        </w:rPr>
        <w:t>biudžetinėms įstaigoms: vadovaujantis LRVN 526;</w:t>
      </w:r>
    </w:p>
    <w:p w:rsidR="001F76B8" w:rsidRPr="00EA7AC6" w:rsidRDefault="001F76B8" w:rsidP="00ED6204">
      <w:pPr>
        <w:pStyle w:val="Sraopastraipa"/>
        <w:numPr>
          <w:ilvl w:val="0"/>
          <w:numId w:val="6"/>
        </w:numPr>
        <w:tabs>
          <w:tab w:val="left" w:pos="0"/>
        </w:tabs>
        <w:spacing w:before="240"/>
        <w:ind w:left="0" w:firstLine="851"/>
        <w:jc w:val="both"/>
        <w:rPr>
          <w:rFonts w:cstheme="minorHAnsi"/>
        </w:rPr>
      </w:pPr>
      <w:r w:rsidRPr="00EA7AC6">
        <w:rPr>
          <w:rFonts w:cstheme="minorHAnsi"/>
        </w:rPr>
        <w:t xml:space="preserve">nebiudžetinėms įstaigoms: vadovaujantis LRVN 99 ir LRVN 1365. </w:t>
      </w:r>
    </w:p>
    <w:p w:rsidR="001F76B8" w:rsidRPr="00EA7AC6" w:rsidRDefault="001B3800" w:rsidP="00343FA3">
      <w:pPr>
        <w:autoSpaceDE w:val="0"/>
        <w:autoSpaceDN w:val="0"/>
        <w:adjustRightInd w:val="0"/>
        <w:spacing w:before="240" w:after="0"/>
        <w:ind w:firstLine="567"/>
        <w:jc w:val="both"/>
        <w:rPr>
          <w:rFonts w:cstheme="minorHAnsi"/>
          <w:lang w:eastAsia="lt-LT"/>
        </w:rPr>
      </w:pPr>
      <w:r w:rsidRPr="00EA7AC6">
        <w:rPr>
          <w:rFonts w:cstheme="minorHAnsi"/>
          <w:lang w:eastAsia="lt-LT"/>
        </w:rPr>
        <w:t>Jeigu</w:t>
      </w:r>
      <w:r w:rsidR="001F76B8" w:rsidRPr="00EA7AC6">
        <w:rPr>
          <w:rFonts w:cstheme="minorHAnsi"/>
          <w:lang w:eastAsia="lt-LT"/>
        </w:rPr>
        <w:t xml:space="preserve"> dalį </w:t>
      </w:r>
      <w:r w:rsidRPr="00EA7AC6">
        <w:rPr>
          <w:rFonts w:cstheme="minorHAnsi"/>
          <w:lang w:eastAsia="lt-LT"/>
        </w:rPr>
        <w:t xml:space="preserve">dienpinigių ir (arba) </w:t>
      </w:r>
      <w:r w:rsidR="001F76B8" w:rsidRPr="00EA7AC6">
        <w:rPr>
          <w:rFonts w:cstheme="minorHAnsi"/>
          <w:lang w:eastAsia="lt-LT"/>
        </w:rPr>
        <w:t>gyvenamojo ploto nuomos išlaidų apmoka ne į komandiruotę siunčiamo darbuotojo darbdavys</w:t>
      </w:r>
      <w:r w:rsidR="007154B3">
        <w:rPr>
          <w:rFonts w:cstheme="minorHAnsi"/>
          <w:lang w:eastAsia="lt-LT"/>
        </w:rPr>
        <w:t>, o</w:t>
      </w:r>
      <w:r w:rsidR="001F76B8" w:rsidRPr="00EA7AC6">
        <w:rPr>
          <w:rFonts w:cstheme="minorHAnsi"/>
          <w:lang w:eastAsia="lt-LT"/>
        </w:rPr>
        <w:t xml:space="preserve"> trečioji šalis (pavyzdžiui, priimančioji institucija</w:t>
      </w:r>
      <w:r w:rsidR="00813A62">
        <w:rPr>
          <w:rFonts w:cstheme="minorHAnsi"/>
          <w:lang w:eastAsia="lt-LT"/>
        </w:rPr>
        <w:t xml:space="preserve"> </w:t>
      </w:r>
      <w:r w:rsidR="001F76B8" w:rsidRPr="00EA7AC6">
        <w:rPr>
          <w:rFonts w:cstheme="minorHAnsi"/>
          <w:lang w:eastAsia="lt-LT"/>
        </w:rPr>
        <w:t>/</w:t>
      </w:r>
      <w:r w:rsidR="00813A62">
        <w:rPr>
          <w:rFonts w:cstheme="minorHAnsi"/>
          <w:lang w:eastAsia="lt-LT"/>
        </w:rPr>
        <w:t xml:space="preserve"> </w:t>
      </w:r>
      <w:r w:rsidR="001F76B8" w:rsidRPr="00EA7AC6">
        <w:rPr>
          <w:rFonts w:cstheme="minorHAnsi"/>
          <w:lang w:eastAsia="lt-LT"/>
        </w:rPr>
        <w:t>a</w:t>
      </w:r>
      <w:r w:rsidR="007154B3">
        <w:rPr>
          <w:rFonts w:cstheme="minorHAnsi"/>
          <w:lang w:eastAsia="lt-LT"/>
        </w:rPr>
        <w:t>smuo, Europos Komisija ar pan.)</w:t>
      </w:r>
      <w:r w:rsidR="002D5A7A">
        <w:rPr>
          <w:rFonts w:cstheme="minorHAnsi"/>
          <w:lang w:eastAsia="lt-LT"/>
        </w:rPr>
        <w:t xml:space="preserve"> arba jeigu</w:t>
      </w:r>
      <w:r w:rsidR="00B25044">
        <w:rPr>
          <w:rFonts w:cstheme="minorHAnsi"/>
          <w:lang w:eastAsia="lt-LT"/>
        </w:rPr>
        <w:t xml:space="preserve"> darbdavio sprendimu darbuotojui yra mokama mažesnė nei didžiausia Įsakyme 116 nustatyta dienpinigių norma (pavyzdžiui, kai renginyje numatytas maitinimas ir jeigu dėl to įstaigos vadovo sprendimu yra išmokama mažesnė dienpinigių dalis)</w:t>
      </w:r>
      <w:r w:rsidR="007154B3">
        <w:rPr>
          <w:rFonts w:cstheme="minorHAnsi"/>
          <w:lang w:eastAsia="lt-LT"/>
        </w:rPr>
        <w:t>, t</w:t>
      </w:r>
      <w:r w:rsidR="001F76B8" w:rsidRPr="00EA7AC6">
        <w:rPr>
          <w:rFonts w:cstheme="minorHAnsi"/>
          <w:lang w:eastAsia="lt-LT"/>
        </w:rPr>
        <w:t xml:space="preserve">okiu atveju apskaičiuojant </w:t>
      </w:r>
      <w:r w:rsidRPr="00EA7AC6">
        <w:rPr>
          <w:rFonts w:cstheme="minorHAnsi"/>
          <w:lang w:eastAsia="lt-LT"/>
        </w:rPr>
        <w:t xml:space="preserve">dienpinigių ir (arba) </w:t>
      </w:r>
      <w:r w:rsidR="001F76B8" w:rsidRPr="00EA7AC6">
        <w:rPr>
          <w:rFonts w:cstheme="minorHAnsi"/>
          <w:lang w:eastAsia="lt-LT"/>
        </w:rPr>
        <w:t xml:space="preserve">gyvenamojo ploto nuomos išlaidas, apmokamas taikant fiksuotuosius įkainius, naudojamas </w:t>
      </w:r>
      <w:r w:rsidR="001F76B8" w:rsidRPr="00EA7AC6">
        <w:rPr>
          <w:rFonts w:cstheme="minorHAnsi"/>
          <w:i/>
          <w:lang w:eastAsia="lt-LT"/>
        </w:rPr>
        <w:t>pro-rata</w:t>
      </w:r>
      <w:r w:rsidR="001F76B8" w:rsidRPr="00EA7AC6">
        <w:rPr>
          <w:rFonts w:cstheme="minorHAnsi"/>
          <w:lang w:eastAsia="lt-LT"/>
        </w:rPr>
        <w:t xml:space="preserve"> principas, t.</w:t>
      </w:r>
      <w:r w:rsidR="00653018">
        <w:rPr>
          <w:rFonts w:cstheme="minorHAnsi"/>
          <w:lang w:eastAsia="lt-LT"/>
        </w:rPr>
        <w:t xml:space="preserve"> </w:t>
      </w:r>
      <w:r w:rsidR="001F76B8" w:rsidRPr="00EA7AC6">
        <w:rPr>
          <w:rFonts w:cstheme="minorHAnsi"/>
          <w:lang w:eastAsia="lt-LT"/>
        </w:rPr>
        <w:t xml:space="preserve">y. iš ES struktūrinių fondų lėšų tinkamomis finansuoti išlaidomis pripažįstama tik dalis </w:t>
      </w:r>
      <w:r w:rsidRPr="00EA7AC6">
        <w:rPr>
          <w:rFonts w:cstheme="minorHAnsi"/>
          <w:lang w:eastAsia="lt-LT"/>
        </w:rPr>
        <w:t>šių</w:t>
      </w:r>
      <w:r w:rsidR="001F76B8" w:rsidRPr="00EA7AC6">
        <w:rPr>
          <w:rFonts w:cstheme="minorHAnsi"/>
          <w:lang w:eastAsia="lt-LT"/>
        </w:rPr>
        <w:t xml:space="preserve"> išlaidų</w:t>
      </w:r>
      <w:r w:rsidRPr="00EA7AC6">
        <w:rPr>
          <w:rFonts w:cstheme="minorHAnsi"/>
          <w:lang w:eastAsia="lt-LT"/>
        </w:rPr>
        <w:t>. Suvestinės pažymos formoje, vadovaujantis formoje pateiktais pavyzdžiais ir pastabomis, nurodomos konkretus tinkamų finansuoti išlaidų procentas</w:t>
      </w:r>
      <w:r w:rsidR="00321F2C" w:rsidRPr="00EA7AC6">
        <w:rPr>
          <w:rFonts w:cstheme="minorHAnsi"/>
          <w:lang w:eastAsia="lt-LT"/>
        </w:rPr>
        <w:t xml:space="preserve"> (plačiau žr. tyrimo ataskaitos III.2 dalį).</w:t>
      </w:r>
    </w:p>
    <w:p w:rsidR="001F76B8" w:rsidRPr="00EA7AC6" w:rsidRDefault="002D2D06" w:rsidP="00343FA3">
      <w:pPr>
        <w:autoSpaceDE w:val="0"/>
        <w:autoSpaceDN w:val="0"/>
        <w:adjustRightInd w:val="0"/>
        <w:spacing w:before="240" w:after="0"/>
        <w:ind w:firstLine="567"/>
        <w:jc w:val="both"/>
        <w:rPr>
          <w:rFonts w:cstheme="minorHAnsi"/>
          <w:lang w:eastAsia="lt-LT"/>
        </w:rPr>
      </w:pPr>
      <w:r w:rsidRPr="00EA7AC6">
        <w:rPr>
          <w:rFonts w:cstheme="minorHAnsi"/>
          <w:lang w:eastAsia="lt-LT"/>
        </w:rPr>
        <w:t xml:space="preserve">Atitinkamai, </w:t>
      </w:r>
      <w:r w:rsidR="001F76B8" w:rsidRPr="00EA7AC6">
        <w:rPr>
          <w:rFonts w:cstheme="minorHAnsi"/>
          <w:lang w:eastAsia="lt-LT"/>
        </w:rPr>
        <w:t>atsižvelgiant į organizacijos teisinį statusą, aplankomų užsienio šalių skaičių ir pervažiavimo iš vienos į kitą užsienio šalį datą, ir dienpinigių</w:t>
      </w:r>
      <w:r w:rsidR="009C0482">
        <w:rPr>
          <w:rFonts w:cstheme="minorHAnsi"/>
          <w:lang w:eastAsia="lt-LT"/>
        </w:rPr>
        <w:t xml:space="preserve"> bei</w:t>
      </w:r>
      <w:r w:rsidR="001F76B8" w:rsidRPr="00EA7AC6">
        <w:rPr>
          <w:rFonts w:cstheme="minorHAnsi"/>
          <w:lang w:eastAsia="lt-LT"/>
        </w:rPr>
        <w:t xml:space="preserve"> gyvenamojo ploto išlaidų, kurias </w:t>
      </w:r>
      <w:r w:rsidR="009C0482">
        <w:rPr>
          <w:rFonts w:cstheme="minorHAnsi"/>
          <w:lang w:eastAsia="lt-LT"/>
        </w:rPr>
        <w:t>apmoka techninės paramos gavėjas, dalį</w:t>
      </w:r>
      <w:r w:rsidR="001F76B8" w:rsidRPr="00EA7AC6">
        <w:rPr>
          <w:rFonts w:cstheme="minorHAnsi"/>
          <w:lang w:eastAsia="lt-LT"/>
        </w:rPr>
        <w:t xml:space="preserve">, pagal fiksuotuosius įkainius apmokama komandiruotės į užsienį išlaidų suma </w:t>
      </w:r>
      <w:r w:rsidRPr="00EA7AC6">
        <w:rPr>
          <w:rFonts w:cstheme="minorHAnsi"/>
          <w:lang w:eastAsia="lt-LT"/>
        </w:rPr>
        <w:t>nebiudžetinių ir biudžetinių įstaigų darbuotojams apskaičiu</w:t>
      </w:r>
      <w:r w:rsidR="001B3800" w:rsidRPr="00EA7AC6">
        <w:rPr>
          <w:rFonts w:cstheme="minorHAnsi"/>
          <w:lang w:eastAsia="lt-LT"/>
        </w:rPr>
        <w:t>ojama pagal skirtingas formules</w:t>
      </w:r>
      <w:r w:rsidRPr="00EA7AC6">
        <w:rPr>
          <w:rFonts w:cstheme="minorHAnsi"/>
          <w:lang w:eastAsia="lt-LT"/>
        </w:rPr>
        <w:t>.</w:t>
      </w:r>
      <w:r w:rsidR="001F76B8" w:rsidRPr="00EA7AC6">
        <w:rPr>
          <w:rFonts w:cstheme="minorHAnsi"/>
          <w:lang w:eastAsia="lt-LT"/>
        </w:rPr>
        <w:t xml:space="preserve"> </w:t>
      </w:r>
    </w:p>
    <w:p w:rsidR="00620A7C" w:rsidRPr="00EA7AC6" w:rsidRDefault="00620A7C" w:rsidP="00343FA3">
      <w:pPr>
        <w:autoSpaceDE w:val="0"/>
        <w:autoSpaceDN w:val="0"/>
        <w:adjustRightInd w:val="0"/>
        <w:spacing w:before="240" w:after="0"/>
        <w:ind w:firstLine="567"/>
        <w:jc w:val="both"/>
        <w:rPr>
          <w:rFonts w:cstheme="minorHAnsi"/>
          <w:color w:val="000000"/>
        </w:rPr>
      </w:pPr>
      <w:r w:rsidRPr="00EA7AC6">
        <w:rPr>
          <w:rFonts w:cstheme="minorHAnsi"/>
          <w:color w:val="000000"/>
        </w:rPr>
        <w:t xml:space="preserve">Komandiruočių </w:t>
      </w:r>
      <w:r w:rsidR="001B3800" w:rsidRPr="00EA7AC6">
        <w:rPr>
          <w:rFonts w:cstheme="minorHAnsi"/>
          <w:color w:val="000000"/>
        </w:rPr>
        <w:t>į užsienį</w:t>
      </w:r>
      <w:r w:rsidRPr="00EA7AC6">
        <w:rPr>
          <w:rFonts w:cstheme="minorHAnsi"/>
          <w:color w:val="000000"/>
        </w:rPr>
        <w:t xml:space="preserve"> fiksuotųjų įkainių skaičiavimo formulės ir kiekybinių rezultatų pasiekimą įrodantys dokumentai yra nustatyti tyrimo ataskaitos </w:t>
      </w:r>
      <w:r w:rsidRPr="000E3680">
        <w:rPr>
          <w:rFonts w:cstheme="minorHAnsi"/>
          <w:color w:val="000000"/>
        </w:rPr>
        <w:t>III</w:t>
      </w:r>
      <w:r w:rsidR="000E3680" w:rsidRPr="000E3680">
        <w:rPr>
          <w:rFonts w:cstheme="minorHAnsi"/>
          <w:color w:val="000000"/>
        </w:rPr>
        <w:t>.2</w:t>
      </w:r>
      <w:r w:rsidRPr="00EA7AC6">
        <w:rPr>
          <w:rFonts w:cstheme="minorHAnsi"/>
          <w:color w:val="000000"/>
        </w:rPr>
        <w:t xml:space="preserve"> dalyje.</w:t>
      </w:r>
    </w:p>
    <w:p w:rsidR="001F1664" w:rsidRDefault="001F1664" w:rsidP="005E7054">
      <w:pPr>
        <w:tabs>
          <w:tab w:val="left" w:pos="0"/>
        </w:tabs>
        <w:jc w:val="both"/>
        <w:rPr>
          <w:rFonts w:ascii="Times New Roman" w:hAnsi="Times New Roman" w:cs="Times New Roman"/>
          <w:sz w:val="24"/>
          <w:szCs w:val="24"/>
        </w:rPr>
      </w:pPr>
    </w:p>
    <w:p w:rsidR="001F1664" w:rsidRPr="001F1664" w:rsidRDefault="001F1664" w:rsidP="001F1664">
      <w:pPr>
        <w:keepNext/>
        <w:spacing w:before="240" w:after="60"/>
        <w:jc w:val="center"/>
        <w:outlineLvl w:val="1"/>
        <w:rPr>
          <w:rFonts w:ascii="Cambria" w:eastAsia="Times New Roman" w:hAnsi="Cambria" w:cs="Times New Roman"/>
          <w:b/>
          <w:bCs/>
          <w:i/>
          <w:iCs/>
          <w:sz w:val="28"/>
          <w:szCs w:val="28"/>
        </w:rPr>
      </w:pPr>
      <w:r w:rsidRPr="001F1664">
        <w:rPr>
          <w:rFonts w:ascii="Cambria" w:eastAsia="Times New Roman" w:hAnsi="Cambria" w:cs="Times New Roman"/>
          <w:b/>
          <w:bCs/>
          <w:i/>
          <w:iCs/>
          <w:sz w:val="28"/>
          <w:szCs w:val="28"/>
        </w:rPr>
        <w:t xml:space="preserve">III. TYRIMO REZULTATAI </w:t>
      </w:r>
    </w:p>
    <w:p w:rsidR="001F1664" w:rsidRDefault="001F1664" w:rsidP="005E7054">
      <w:pPr>
        <w:tabs>
          <w:tab w:val="left" w:pos="0"/>
        </w:tabs>
        <w:jc w:val="both"/>
        <w:rPr>
          <w:rFonts w:ascii="Times New Roman" w:hAnsi="Times New Roman" w:cs="Times New Roman"/>
          <w:sz w:val="24"/>
          <w:szCs w:val="24"/>
        </w:rPr>
      </w:pPr>
    </w:p>
    <w:p w:rsidR="001F1664" w:rsidRDefault="001F1664" w:rsidP="001F1664">
      <w:pPr>
        <w:keepNext/>
        <w:spacing w:before="240" w:after="60"/>
        <w:jc w:val="center"/>
        <w:outlineLvl w:val="2"/>
        <w:rPr>
          <w:rFonts w:ascii="Cambria" w:eastAsia="Times New Roman" w:hAnsi="Cambria" w:cs="Times New Roman"/>
          <w:b/>
          <w:bCs/>
          <w:sz w:val="26"/>
          <w:szCs w:val="26"/>
        </w:rPr>
      </w:pPr>
      <w:r w:rsidRPr="004B2B22">
        <w:rPr>
          <w:rFonts w:ascii="Cambria" w:eastAsia="Times New Roman" w:hAnsi="Cambria" w:cs="Times New Roman"/>
          <w:b/>
          <w:bCs/>
          <w:sz w:val="26"/>
          <w:szCs w:val="26"/>
        </w:rPr>
        <w:lastRenderedPageBreak/>
        <w:t>II</w:t>
      </w:r>
      <w:r>
        <w:rPr>
          <w:rFonts w:ascii="Cambria" w:eastAsia="Times New Roman" w:hAnsi="Cambria" w:cs="Times New Roman"/>
          <w:b/>
          <w:bCs/>
          <w:sz w:val="26"/>
          <w:szCs w:val="26"/>
        </w:rPr>
        <w:t>I</w:t>
      </w:r>
      <w:r w:rsidRPr="004B2B22">
        <w:rPr>
          <w:rFonts w:ascii="Cambria" w:eastAsia="Times New Roman" w:hAnsi="Cambria" w:cs="Times New Roman"/>
          <w:b/>
          <w:bCs/>
          <w:sz w:val="26"/>
          <w:szCs w:val="26"/>
        </w:rPr>
        <w:t>.</w:t>
      </w:r>
      <w:r w:rsidR="001B3800">
        <w:rPr>
          <w:rFonts w:ascii="Cambria" w:eastAsia="Times New Roman" w:hAnsi="Cambria" w:cs="Times New Roman"/>
          <w:b/>
          <w:bCs/>
          <w:sz w:val="26"/>
          <w:szCs w:val="26"/>
        </w:rPr>
        <w:t>1</w:t>
      </w:r>
      <w:r w:rsidRPr="004B2B22">
        <w:rPr>
          <w:rFonts w:ascii="Cambria" w:eastAsia="Times New Roman" w:hAnsi="Cambria" w:cs="Times New Roman"/>
          <w:b/>
          <w:bCs/>
          <w:sz w:val="26"/>
          <w:szCs w:val="26"/>
        </w:rPr>
        <w:t xml:space="preserve">. </w:t>
      </w:r>
      <w:r>
        <w:rPr>
          <w:rFonts w:ascii="Cambria" w:eastAsia="Times New Roman" w:hAnsi="Cambria" w:cs="Times New Roman"/>
          <w:b/>
          <w:bCs/>
          <w:sz w:val="26"/>
          <w:szCs w:val="26"/>
        </w:rPr>
        <w:t>Komandiruočių ir kelionių Lietuvoje fiksuotieji įkainiai</w:t>
      </w:r>
    </w:p>
    <w:p w:rsidR="001F1664" w:rsidRDefault="001F1664" w:rsidP="005E7054">
      <w:pPr>
        <w:tabs>
          <w:tab w:val="left" w:pos="0"/>
        </w:tabs>
        <w:jc w:val="both"/>
        <w:rPr>
          <w:rFonts w:ascii="Times New Roman" w:hAnsi="Times New Roman" w:cs="Times New Roman"/>
          <w:sz w:val="24"/>
          <w:szCs w:val="24"/>
        </w:rPr>
      </w:pPr>
    </w:p>
    <w:p w:rsidR="00573B98" w:rsidRPr="00EA7AC6" w:rsidRDefault="00927F48" w:rsidP="00343FA3">
      <w:pPr>
        <w:tabs>
          <w:tab w:val="left" w:pos="0"/>
        </w:tabs>
        <w:ind w:firstLine="567"/>
        <w:jc w:val="both"/>
        <w:rPr>
          <w:rFonts w:cstheme="minorHAnsi"/>
        </w:rPr>
      </w:pPr>
      <w:r w:rsidRPr="00EA7AC6">
        <w:rPr>
          <w:rFonts w:cstheme="minorHAnsi"/>
          <w:b/>
        </w:rPr>
        <w:t>Komandiruočių ir kelionių Lietuvoje fiksuotieji įkainiai</w:t>
      </w:r>
      <w:r w:rsidRPr="00EA7AC6">
        <w:rPr>
          <w:rFonts w:cstheme="minorHAnsi"/>
        </w:rPr>
        <w:t xml:space="preserve"> apskaičiuojami pagal formules:</w:t>
      </w:r>
    </w:p>
    <w:p w:rsidR="00343FA3" w:rsidRPr="00343FA3" w:rsidRDefault="00011C85" w:rsidP="00960090">
      <w:pPr>
        <w:pStyle w:val="Sraopastraipa"/>
        <w:numPr>
          <w:ilvl w:val="0"/>
          <w:numId w:val="7"/>
        </w:numPr>
        <w:tabs>
          <w:tab w:val="left" w:pos="0"/>
        </w:tabs>
        <w:ind w:left="0" w:firstLine="851"/>
        <w:jc w:val="both"/>
        <w:rPr>
          <w:rFonts w:cstheme="minorHAnsi"/>
        </w:rPr>
      </w:pPr>
      <w:r>
        <w:rPr>
          <w:rFonts w:cstheme="minorHAnsi"/>
        </w:rPr>
        <w:t>K</w:t>
      </w:r>
      <w:r w:rsidR="00927F48" w:rsidRPr="00EA7AC6">
        <w:rPr>
          <w:rFonts w:cstheme="minorHAnsi"/>
        </w:rPr>
        <w:t>omandiruotės</w:t>
      </w:r>
      <w:r>
        <w:rPr>
          <w:rFonts w:cstheme="minorHAnsi"/>
        </w:rPr>
        <w:t xml:space="preserve"> Lietuvoje fiksuotasis įkainis </w:t>
      </w:r>
      <w:r w:rsidR="00927F48" w:rsidRPr="00EA7AC6">
        <w:rPr>
          <w:rFonts w:cstheme="minorHAnsi"/>
        </w:rPr>
        <w:t xml:space="preserve">biudžetinėms </w:t>
      </w:r>
      <w:r>
        <w:rPr>
          <w:rFonts w:cstheme="minorHAnsi"/>
        </w:rPr>
        <w:t>įstaigoms</w:t>
      </w:r>
      <w:r w:rsidR="00927F48" w:rsidRPr="00EA7AC6">
        <w:rPr>
          <w:rFonts w:cstheme="minorHAnsi"/>
        </w:rPr>
        <w:t>:</w:t>
      </w:r>
    </w:p>
    <w:p w:rsidR="00927F48" w:rsidRDefault="00927F48" w:rsidP="00960090">
      <w:pPr>
        <w:tabs>
          <w:tab w:val="left" w:pos="0"/>
        </w:tabs>
        <w:ind w:firstLine="567"/>
        <w:jc w:val="both"/>
        <w:rPr>
          <w:rFonts w:cstheme="minorHAnsi"/>
        </w:rPr>
      </w:pPr>
      <w:r w:rsidRPr="00EA7AC6">
        <w:rPr>
          <w:rFonts w:cstheme="minorHAnsi"/>
          <w:b/>
        </w:rPr>
        <w:t>FĮ</w:t>
      </w:r>
      <w:r w:rsidRPr="00EA7AC6">
        <w:rPr>
          <w:rFonts w:cstheme="minorHAnsi"/>
          <w:b/>
          <w:vertAlign w:val="subscript"/>
        </w:rPr>
        <w:t>KOM_LT</w:t>
      </w:r>
      <w:r w:rsidR="00011C85">
        <w:rPr>
          <w:rFonts w:cstheme="minorHAnsi"/>
          <w:b/>
          <w:vertAlign w:val="subscript"/>
        </w:rPr>
        <w:t>_BĮ_1</w:t>
      </w:r>
      <w:r w:rsidRPr="00EA7AC6">
        <w:rPr>
          <w:rFonts w:cstheme="minorHAnsi"/>
          <w:lang w:val="en-US"/>
        </w:rPr>
        <w:t>=</w:t>
      </w:r>
      <w:r w:rsidR="00F55CA2" w:rsidRPr="00EA7AC6">
        <w:rPr>
          <w:rFonts w:cstheme="minorHAnsi"/>
        </w:rPr>
        <w:t xml:space="preserve"> FĮ</w:t>
      </w:r>
      <w:r w:rsidR="00F55CA2" w:rsidRPr="00EA7AC6">
        <w:rPr>
          <w:rFonts w:cstheme="minorHAnsi"/>
          <w:vertAlign w:val="subscript"/>
        </w:rPr>
        <w:t xml:space="preserve"> kuro ir viešojo transporto (su PVM)</w:t>
      </w:r>
      <w:r w:rsidRPr="00EA7AC6">
        <w:rPr>
          <w:rFonts w:cstheme="minorHAnsi"/>
          <w:lang w:val="en-US"/>
        </w:rPr>
        <w:t>*KM+</w:t>
      </w:r>
      <w:r w:rsidRPr="00EA7AC6">
        <w:rPr>
          <w:rFonts w:cstheme="minorHAnsi"/>
        </w:rPr>
        <w:t>FĮ</w:t>
      </w:r>
      <w:r w:rsidRPr="00EA7AC6">
        <w:rPr>
          <w:rFonts w:cstheme="minorHAnsi"/>
          <w:vertAlign w:val="subscript"/>
        </w:rPr>
        <w:t>DIENLT</w:t>
      </w:r>
      <w:r w:rsidR="00011C85">
        <w:rPr>
          <w:rFonts w:cstheme="minorHAnsi"/>
        </w:rPr>
        <w:t>*D, kai D&gt;1</w:t>
      </w:r>
      <w:r w:rsidR="00011C85">
        <w:rPr>
          <w:rFonts w:cstheme="minorHAnsi"/>
        </w:rPr>
        <w:tab/>
      </w:r>
      <w:r w:rsidR="00ED380E" w:rsidRPr="00EA7AC6">
        <w:rPr>
          <w:rFonts w:cstheme="minorHAnsi"/>
        </w:rPr>
        <w:tab/>
      </w:r>
      <w:r w:rsidR="00343FA3">
        <w:rPr>
          <w:rFonts w:cstheme="minorHAnsi"/>
        </w:rPr>
        <w:tab/>
      </w:r>
      <w:r w:rsidR="00ED380E" w:rsidRPr="00EA7AC6">
        <w:rPr>
          <w:rFonts w:cstheme="minorHAnsi"/>
        </w:rPr>
        <w:t>(F1);</w:t>
      </w:r>
    </w:p>
    <w:p w:rsidR="00011C85" w:rsidRPr="00EA7AC6" w:rsidRDefault="00011C85" w:rsidP="00960090">
      <w:pPr>
        <w:tabs>
          <w:tab w:val="left" w:pos="0"/>
        </w:tabs>
        <w:ind w:firstLine="567"/>
        <w:jc w:val="both"/>
        <w:rPr>
          <w:rFonts w:cstheme="minorHAnsi"/>
        </w:rPr>
      </w:pPr>
      <w:r w:rsidRPr="00EA7AC6">
        <w:rPr>
          <w:rFonts w:cstheme="minorHAnsi"/>
          <w:b/>
        </w:rPr>
        <w:t>FĮ</w:t>
      </w:r>
      <w:r w:rsidRPr="00EA7AC6">
        <w:rPr>
          <w:rFonts w:cstheme="minorHAnsi"/>
          <w:b/>
          <w:vertAlign w:val="subscript"/>
        </w:rPr>
        <w:t>KOM_LT</w:t>
      </w:r>
      <w:r>
        <w:rPr>
          <w:rFonts w:cstheme="minorHAnsi"/>
          <w:b/>
          <w:vertAlign w:val="subscript"/>
        </w:rPr>
        <w:t>_BĮ_2</w:t>
      </w:r>
      <w:r w:rsidRPr="00EA7AC6">
        <w:rPr>
          <w:rFonts w:cstheme="minorHAnsi"/>
          <w:lang w:val="en-US"/>
        </w:rPr>
        <w:t>=</w:t>
      </w:r>
      <w:r w:rsidRPr="00EA7AC6">
        <w:rPr>
          <w:rFonts w:cstheme="minorHAnsi"/>
        </w:rPr>
        <w:t xml:space="preserve"> FĮ</w:t>
      </w:r>
      <w:r w:rsidRPr="00EA7AC6">
        <w:rPr>
          <w:rFonts w:cstheme="minorHAnsi"/>
          <w:vertAlign w:val="subscript"/>
        </w:rPr>
        <w:t xml:space="preserve"> kuro ir viešojo transporto (su PVM)</w:t>
      </w:r>
      <w:r>
        <w:rPr>
          <w:rFonts w:cstheme="minorHAnsi"/>
          <w:lang w:val="en-US"/>
        </w:rPr>
        <w:t>*KM</w:t>
      </w:r>
      <w:r>
        <w:rPr>
          <w:rFonts w:cstheme="minorHAnsi"/>
        </w:rPr>
        <w:t>, kai D</w:t>
      </w:r>
      <w:r w:rsidR="006D0ACE">
        <w:rPr>
          <w:rFonts w:cstheme="minorHAnsi"/>
        </w:rPr>
        <w:t>=</w:t>
      </w:r>
      <w:r>
        <w:rPr>
          <w:rFonts w:cstheme="minorHAnsi"/>
        </w:rPr>
        <w:t>1</w:t>
      </w:r>
      <w:r>
        <w:rPr>
          <w:rFonts w:cstheme="minorHAnsi"/>
        </w:rPr>
        <w:tab/>
      </w:r>
      <w:r w:rsidRPr="00EA7AC6">
        <w:rPr>
          <w:rFonts w:cstheme="minorHAnsi"/>
        </w:rPr>
        <w:tab/>
      </w:r>
      <w:r>
        <w:rPr>
          <w:rFonts w:cstheme="minorHAnsi"/>
        </w:rPr>
        <w:tab/>
      </w:r>
      <w:r>
        <w:rPr>
          <w:rFonts w:cstheme="minorHAnsi"/>
        </w:rPr>
        <w:tab/>
        <w:t>(F2</w:t>
      </w:r>
      <w:r w:rsidRPr="00EA7AC6">
        <w:rPr>
          <w:rFonts w:cstheme="minorHAnsi"/>
        </w:rPr>
        <w:t>);</w:t>
      </w:r>
    </w:p>
    <w:p w:rsidR="00927F48" w:rsidRPr="00343FA3" w:rsidRDefault="00011C85" w:rsidP="00960090">
      <w:pPr>
        <w:pStyle w:val="Sraopastraipa"/>
        <w:numPr>
          <w:ilvl w:val="0"/>
          <w:numId w:val="7"/>
        </w:numPr>
        <w:tabs>
          <w:tab w:val="left" w:pos="0"/>
        </w:tabs>
        <w:ind w:left="0" w:firstLine="851"/>
        <w:jc w:val="both"/>
        <w:rPr>
          <w:rFonts w:cstheme="minorHAnsi"/>
        </w:rPr>
      </w:pPr>
      <w:r>
        <w:rPr>
          <w:rFonts w:cstheme="minorHAnsi"/>
        </w:rPr>
        <w:t>K</w:t>
      </w:r>
      <w:r w:rsidR="00343FA3" w:rsidRPr="00EA7AC6">
        <w:rPr>
          <w:rFonts w:cstheme="minorHAnsi"/>
        </w:rPr>
        <w:t>omandiruotės Lietuvoje fiksuotasis įkainis nebiudžetinėms įstaigoms:</w:t>
      </w:r>
    </w:p>
    <w:p w:rsidR="00927F48" w:rsidRDefault="00927F48" w:rsidP="00960090">
      <w:pPr>
        <w:tabs>
          <w:tab w:val="left" w:pos="0"/>
        </w:tabs>
        <w:ind w:firstLine="567"/>
        <w:jc w:val="both"/>
        <w:rPr>
          <w:rFonts w:cstheme="minorHAnsi"/>
        </w:rPr>
      </w:pPr>
      <w:r w:rsidRPr="00EA7AC6">
        <w:rPr>
          <w:rFonts w:cstheme="minorHAnsi"/>
          <w:b/>
        </w:rPr>
        <w:t>FĮ</w:t>
      </w:r>
      <w:r w:rsidR="00805BDF">
        <w:rPr>
          <w:rFonts w:cstheme="minorHAnsi"/>
          <w:b/>
          <w:vertAlign w:val="subscript"/>
        </w:rPr>
        <w:t>KOM</w:t>
      </w:r>
      <w:r w:rsidR="00F55CA2" w:rsidRPr="00EA7AC6">
        <w:rPr>
          <w:rFonts w:cstheme="minorHAnsi"/>
          <w:b/>
          <w:vertAlign w:val="subscript"/>
        </w:rPr>
        <w:t>_</w:t>
      </w:r>
      <w:r w:rsidRPr="00EA7AC6">
        <w:rPr>
          <w:rFonts w:cstheme="minorHAnsi"/>
          <w:b/>
          <w:vertAlign w:val="subscript"/>
        </w:rPr>
        <w:t>LT</w:t>
      </w:r>
      <w:r w:rsidR="00805BDF">
        <w:rPr>
          <w:rFonts w:cstheme="minorHAnsi"/>
          <w:b/>
          <w:vertAlign w:val="subscript"/>
        </w:rPr>
        <w:t>_NBĮ-_1</w:t>
      </w:r>
      <w:r w:rsidRPr="00EA7AC6">
        <w:rPr>
          <w:rFonts w:cstheme="minorHAnsi"/>
        </w:rPr>
        <w:t>=</w:t>
      </w:r>
      <w:r w:rsidR="00F55CA2" w:rsidRPr="00EA7AC6">
        <w:rPr>
          <w:rFonts w:cstheme="minorHAnsi"/>
        </w:rPr>
        <w:t xml:space="preserve"> FĮ</w:t>
      </w:r>
      <w:r w:rsidR="00F55CA2" w:rsidRPr="00EA7AC6">
        <w:rPr>
          <w:rFonts w:cstheme="minorHAnsi"/>
          <w:vertAlign w:val="subscript"/>
        </w:rPr>
        <w:t xml:space="preserve"> kuro ir viešojo transporto (su PVM)</w:t>
      </w:r>
      <w:r w:rsidRPr="00EA7AC6">
        <w:rPr>
          <w:rFonts w:cstheme="minorHAnsi"/>
        </w:rPr>
        <w:t>*KM+FĮ</w:t>
      </w:r>
      <w:r w:rsidRPr="00EA7AC6">
        <w:rPr>
          <w:rFonts w:cstheme="minorHAnsi"/>
          <w:vertAlign w:val="subscript"/>
        </w:rPr>
        <w:t>DIENLT</w:t>
      </w:r>
      <w:r w:rsidR="00011C85">
        <w:rPr>
          <w:rFonts w:cstheme="minorHAnsi"/>
        </w:rPr>
        <w:t>*D</w:t>
      </w:r>
      <w:r w:rsidR="006D0ACE">
        <w:rPr>
          <w:rFonts w:cstheme="minorHAnsi"/>
        </w:rPr>
        <w:t>, kai</w:t>
      </w:r>
      <w:r w:rsidR="00011C85">
        <w:rPr>
          <w:rFonts w:cstheme="minorHAnsi"/>
        </w:rPr>
        <w:t xml:space="preserve"> D&gt;1</w:t>
      </w:r>
      <w:r w:rsidR="00ED380E" w:rsidRPr="00EA7AC6">
        <w:rPr>
          <w:rFonts w:cstheme="minorHAnsi"/>
        </w:rPr>
        <w:tab/>
      </w:r>
      <w:r w:rsidR="00343FA3">
        <w:rPr>
          <w:rFonts w:cstheme="minorHAnsi"/>
        </w:rPr>
        <w:tab/>
      </w:r>
      <w:r w:rsidR="00E17E65">
        <w:rPr>
          <w:rFonts w:cstheme="minorHAnsi"/>
        </w:rPr>
        <w:tab/>
      </w:r>
      <w:r w:rsidR="00011C85">
        <w:rPr>
          <w:rFonts w:cstheme="minorHAnsi"/>
        </w:rPr>
        <w:t>(F3</w:t>
      </w:r>
      <w:r w:rsidR="00ED380E" w:rsidRPr="00EA7AC6">
        <w:rPr>
          <w:rFonts w:cstheme="minorHAnsi"/>
        </w:rPr>
        <w:t>);</w:t>
      </w:r>
    </w:p>
    <w:p w:rsidR="00011C85" w:rsidRDefault="00011C85" w:rsidP="006D482A">
      <w:pPr>
        <w:tabs>
          <w:tab w:val="left" w:pos="0"/>
        </w:tabs>
        <w:ind w:firstLine="567"/>
        <w:rPr>
          <w:rFonts w:cstheme="minorHAnsi"/>
        </w:rPr>
      </w:pPr>
      <w:r w:rsidRPr="00EA7AC6">
        <w:rPr>
          <w:rFonts w:cstheme="minorHAnsi"/>
          <w:b/>
        </w:rPr>
        <w:t>FĮ</w:t>
      </w:r>
      <w:r>
        <w:rPr>
          <w:rFonts w:cstheme="minorHAnsi"/>
          <w:b/>
          <w:vertAlign w:val="subscript"/>
        </w:rPr>
        <w:t>KOM</w:t>
      </w:r>
      <w:r w:rsidRPr="00EA7AC6">
        <w:rPr>
          <w:rFonts w:cstheme="minorHAnsi"/>
          <w:b/>
          <w:vertAlign w:val="subscript"/>
        </w:rPr>
        <w:t>_LT</w:t>
      </w:r>
      <w:r>
        <w:rPr>
          <w:rFonts w:cstheme="minorHAnsi"/>
          <w:b/>
          <w:vertAlign w:val="subscript"/>
        </w:rPr>
        <w:t>_NBĮ-_2</w:t>
      </w:r>
      <w:r w:rsidRPr="00EA7AC6">
        <w:rPr>
          <w:rFonts w:cstheme="minorHAnsi"/>
        </w:rPr>
        <w:t>= FĮ</w:t>
      </w:r>
      <w:r w:rsidRPr="00EA7AC6">
        <w:rPr>
          <w:rFonts w:cstheme="minorHAnsi"/>
          <w:vertAlign w:val="subscript"/>
        </w:rPr>
        <w:t xml:space="preserve"> kuro ir viešojo transporto (su PVM)</w:t>
      </w:r>
      <w:r w:rsidRPr="00EA7AC6">
        <w:rPr>
          <w:rFonts w:cstheme="minorHAnsi"/>
        </w:rPr>
        <w:t>*KM+FĮ</w:t>
      </w:r>
      <w:r w:rsidRPr="00EA7AC6">
        <w:rPr>
          <w:rFonts w:cstheme="minorHAnsi"/>
          <w:vertAlign w:val="subscript"/>
        </w:rPr>
        <w:t>DIENLT</w:t>
      </w:r>
      <w:r>
        <w:rPr>
          <w:rFonts w:cstheme="minorHAnsi"/>
        </w:rPr>
        <w:t>*</w:t>
      </w:r>
      <w:r w:rsidR="006D0ACE">
        <w:rPr>
          <w:rFonts w:cstheme="minorHAnsi"/>
        </w:rPr>
        <w:t>(</w:t>
      </w:r>
      <w:r>
        <w:rPr>
          <w:rFonts w:cstheme="minorHAnsi"/>
        </w:rPr>
        <w:t>D-0,5</w:t>
      </w:r>
      <w:r w:rsidR="006D0ACE">
        <w:rPr>
          <w:rFonts w:cstheme="minorHAnsi"/>
        </w:rPr>
        <w:t>)</w:t>
      </w:r>
      <w:r>
        <w:rPr>
          <w:rFonts w:cstheme="minorHAnsi"/>
        </w:rPr>
        <w:t>, kai D</w:t>
      </w:r>
      <w:r>
        <w:rPr>
          <w:rFonts w:cstheme="minorHAnsi"/>
          <w:lang w:val="en-US"/>
        </w:rPr>
        <w:t>=</w:t>
      </w:r>
      <w:r>
        <w:rPr>
          <w:rFonts w:cstheme="minorHAnsi"/>
        </w:rPr>
        <w:t>1</w:t>
      </w:r>
      <w:r>
        <w:rPr>
          <w:rFonts w:cstheme="minorHAnsi"/>
        </w:rPr>
        <w:tab/>
      </w:r>
      <w:r w:rsidR="006D482A">
        <w:rPr>
          <w:rFonts w:cstheme="minorHAnsi"/>
        </w:rPr>
        <w:t xml:space="preserve">                         </w:t>
      </w:r>
      <w:r>
        <w:rPr>
          <w:rFonts w:cstheme="minorHAnsi"/>
        </w:rPr>
        <w:t>(F4);</w:t>
      </w:r>
    </w:p>
    <w:p w:rsidR="006D0ACE" w:rsidRDefault="006D0ACE" w:rsidP="00960090">
      <w:pPr>
        <w:pStyle w:val="Sraopastraipa"/>
        <w:numPr>
          <w:ilvl w:val="0"/>
          <w:numId w:val="7"/>
        </w:numPr>
        <w:tabs>
          <w:tab w:val="left" w:pos="0"/>
        </w:tabs>
        <w:ind w:left="0" w:firstLine="851"/>
        <w:jc w:val="both"/>
        <w:rPr>
          <w:rFonts w:cstheme="minorHAnsi"/>
        </w:rPr>
      </w:pPr>
      <w:r>
        <w:rPr>
          <w:rFonts w:cstheme="minorHAnsi"/>
        </w:rPr>
        <w:t>Kelionės Lietuvoje fiksuotasis įkainis biudžetinėms ir nebiudžetinėms įstaigoms:</w:t>
      </w:r>
    </w:p>
    <w:p w:rsidR="006D0ACE" w:rsidRPr="006D0ACE" w:rsidRDefault="006D0ACE" w:rsidP="00960090">
      <w:pPr>
        <w:tabs>
          <w:tab w:val="left" w:pos="0"/>
        </w:tabs>
        <w:ind w:firstLine="567"/>
        <w:jc w:val="both"/>
        <w:rPr>
          <w:rFonts w:cstheme="minorHAnsi"/>
        </w:rPr>
      </w:pPr>
      <w:r w:rsidRPr="00EA7AC6">
        <w:rPr>
          <w:rFonts w:cstheme="minorHAnsi"/>
          <w:b/>
        </w:rPr>
        <w:t>FĮ</w:t>
      </w:r>
      <w:r>
        <w:rPr>
          <w:rFonts w:cstheme="minorHAnsi"/>
          <w:b/>
          <w:vertAlign w:val="subscript"/>
        </w:rPr>
        <w:t>KEL</w:t>
      </w:r>
      <w:r w:rsidRPr="00EA7AC6">
        <w:rPr>
          <w:rFonts w:cstheme="minorHAnsi"/>
          <w:lang w:val="en-US"/>
        </w:rPr>
        <w:t>=</w:t>
      </w:r>
      <w:r w:rsidRPr="00EA7AC6">
        <w:rPr>
          <w:rFonts w:cstheme="minorHAnsi"/>
        </w:rPr>
        <w:t xml:space="preserve"> FĮ</w:t>
      </w:r>
      <w:r w:rsidRPr="00EA7AC6">
        <w:rPr>
          <w:rFonts w:cstheme="minorHAnsi"/>
          <w:vertAlign w:val="subscript"/>
        </w:rPr>
        <w:t xml:space="preserve"> kuro ir viešojo transporto (su PVM)</w:t>
      </w:r>
      <w:r>
        <w:rPr>
          <w:rFonts w:cstheme="minorHAnsi"/>
          <w:lang w:val="en-US"/>
        </w:rPr>
        <w:t>*KM</w:t>
      </w:r>
      <w:r>
        <w:rPr>
          <w:rFonts w:cstheme="minorHAnsi"/>
        </w:rPr>
        <w:tab/>
      </w:r>
      <w:r>
        <w:rPr>
          <w:rFonts w:cstheme="minorHAnsi"/>
        </w:rPr>
        <w:tab/>
      </w:r>
      <w:r>
        <w:rPr>
          <w:rFonts w:cstheme="minorHAnsi"/>
        </w:rPr>
        <w:tab/>
      </w:r>
      <w:r>
        <w:rPr>
          <w:rFonts w:cstheme="minorHAnsi"/>
        </w:rPr>
        <w:tab/>
      </w:r>
      <w:r>
        <w:rPr>
          <w:rFonts w:cstheme="minorHAnsi"/>
        </w:rPr>
        <w:tab/>
        <w:t>(F5)</w:t>
      </w:r>
      <w:r w:rsidR="00B6389A">
        <w:rPr>
          <w:rFonts w:cstheme="minorHAnsi"/>
        </w:rPr>
        <w:t>.</w:t>
      </w:r>
    </w:p>
    <w:p w:rsidR="00E62FEE" w:rsidRPr="00EA7AC6" w:rsidRDefault="00E62FEE" w:rsidP="00343FA3">
      <w:pPr>
        <w:tabs>
          <w:tab w:val="left" w:pos="0"/>
        </w:tabs>
        <w:ind w:firstLine="567"/>
        <w:jc w:val="both"/>
        <w:rPr>
          <w:rFonts w:cstheme="minorHAnsi"/>
        </w:rPr>
      </w:pPr>
      <w:r w:rsidRPr="00EA7AC6">
        <w:rPr>
          <w:rFonts w:cstheme="minorHAnsi"/>
        </w:rPr>
        <w:t>Formulėse</w:t>
      </w:r>
      <w:r w:rsidR="006D0ACE">
        <w:rPr>
          <w:rFonts w:cstheme="minorHAnsi"/>
        </w:rPr>
        <w:t xml:space="preserve"> (F1-F5</w:t>
      </w:r>
      <w:r w:rsidR="00055357">
        <w:rPr>
          <w:rFonts w:cstheme="minorHAnsi"/>
        </w:rPr>
        <w:t>)</w:t>
      </w:r>
      <w:r w:rsidRPr="00EA7AC6">
        <w:rPr>
          <w:rFonts w:cstheme="minorHAnsi"/>
        </w:rPr>
        <w:t xml:space="preserve"> naudojamų dydžių reikšmės:</w:t>
      </w:r>
    </w:p>
    <w:p w:rsidR="00E62FEE" w:rsidRPr="00EA7AC6" w:rsidRDefault="00E62FEE" w:rsidP="00960090">
      <w:pPr>
        <w:tabs>
          <w:tab w:val="left" w:pos="0"/>
        </w:tabs>
        <w:ind w:firstLine="567"/>
        <w:jc w:val="both"/>
        <w:rPr>
          <w:rFonts w:cstheme="minorHAnsi"/>
        </w:rPr>
      </w:pPr>
      <w:r w:rsidRPr="00EA7AC6">
        <w:rPr>
          <w:rFonts w:cstheme="minorHAnsi"/>
        </w:rPr>
        <w:t>FĮ</w:t>
      </w:r>
      <w:r w:rsidRPr="00EA7AC6">
        <w:rPr>
          <w:rFonts w:cstheme="minorHAnsi"/>
          <w:vertAlign w:val="subscript"/>
        </w:rPr>
        <w:t xml:space="preserve"> kuro ir viešojo transporto (su PVM) </w:t>
      </w:r>
      <w:r w:rsidRPr="00EA7AC6">
        <w:rPr>
          <w:rFonts w:cstheme="minorHAnsi"/>
        </w:rPr>
        <w:t>– Kuro ir viešojo transporto išlaidų fiksuotųjų įkainių nustatymo tyrimo ataskaitoje nustatytas kuro ir viešojo transporto fiksuotasis įkainis su PVM;</w:t>
      </w:r>
    </w:p>
    <w:p w:rsidR="00E62FEE" w:rsidRPr="00EA7AC6" w:rsidRDefault="00E62FEE" w:rsidP="00960090">
      <w:pPr>
        <w:tabs>
          <w:tab w:val="left" w:pos="0"/>
        </w:tabs>
        <w:ind w:firstLine="567"/>
        <w:jc w:val="both"/>
        <w:rPr>
          <w:rFonts w:cstheme="minorHAnsi"/>
        </w:rPr>
      </w:pPr>
      <w:r w:rsidRPr="00EA7AC6">
        <w:rPr>
          <w:rFonts w:cstheme="minorHAnsi"/>
        </w:rPr>
        <w:t>KM – nuvažiuotų kilometrų skaičius;</w:t>
      </w:r>
    </w:p>
    <w:p w:rsidR="00E62FEE" w:rsidRPr="00EA7AC6" w:rsidRDefault="00E62FEE" w:rsidP="00960090">
      <w:pPr>
        <w:tabs>
          <w:tab w:val="left" w:pos="0"/>
        </w:tabs>
        <w:ind w:firstLine="567"/>
        <w:jc w:val="both"/>
        <w:rPr>
          <w:rFonts w:cstheme="minorHAnsi"/>
        </w:rPr>
      </w:pPr>
      <w:r w:rsidRPr="00EA7AC6">
        <w:rPr>
          <w:rFonts w:cstheme="minorHAnsi"/>
        </w:rPr>
        <w:t>FĮ</w:t>
      </w:r>
      <w:r w:rsidRPr="00EA7AC6">
        <w:rPr>
          <w:rFonts w:cstheme="minorHAnsi"/>
          <w:vertAlign w:val="subscript"/>
        </w:rPr>
        <w:t xml:space="preserve">DIENLT </w:t>
      </w:r>
      <w:r w:rsidRPr="00EA7AC6">
        <w:rPr>
          <w:rFonts w:cstheme="minorHAnsi"/>
        </w:rPr>
        <w:t>– dienpinigių Lietuvoje fiksuotasis įkainis;</w:t>
      </w:r>
    </w:p>
    <w:p w:rsidR="001F1664" w:rsidRPr="00EA7AC6" w:rsidRDefault="00E62FEE" w:rsidP="00960090">
      <w:pPr>
        <w:tabs>
          <w:tab w:val="left" w:pos="0"/>
        </w:tabs>
        <w:ind w:firstLine="567"/>
        <w:jc w:val="both"/>
        <w:rPr>
          <w:rFonts w:cstheme="minorHAnsi"/>
        </w:rPr>
      </w:pPr>
      <w:r w:rsidRPr="00EA7AC6">
        <w:rPr>
          <w:rFonts w:cstheme="minorHAnsi"/>
        </w:rPr>
        <w:t>D – komandiruotės dienų skaičius</w:t>
      </w:r>
      <w:r w:rsidR="001F1664" w:rsidRPr="00EA7AC6">
        <w:rPr>
          <w:rFonts w:cstheme="minorHAnsi"/>
        </w:rPr>
        <w:t>.</w:t>
      </w:r>
    </w:p>
    <w:p w:rsidR="00085D06" w:rsidRDefault="00085D06" w:rsidP="00343FA3">
      <w:pPr>
        <w:tabs>
          <w:tab w:val="left" w:pos="0"/>
        </w:tabs>
        <w:ind w:firstLine="567"/>
        <w:jc w:val="both"/>
        <w:rPr>
          <w:rFonts w:cstheme="minorHAnsi"/>
        </w:rPr>
      </w:pPr>
      <w:r w:rsidRPr="00EA7AC6">
        <w:rPr>
          <w:rFonts w:cstheme="minorHAnsi"/>
        </w:rPr>
        <w:t>Techninės paramos gavėjams deklaruojant įgyvendinančia</w:t>
      </w:r>
      <w:r w:rsidR="001F1664" w:rsidRPr="00EA7AC6">
        <w:rPr>
          <w:rFonts w:cstheme="minorHAnsi"/>
        </w:rPr>
        <w:t>jai institucijai komandiruočių ir kelionių</w:t>
      </w:r>
      <w:r w:rsidRPr="00EA7AC6">
        <w:rPr>
          <w:rFonts w:cstheme="minorHAnsi"/>
        </w:rPr>
        <w:t xml:space="preserve"> Lietuvoje išlaidas pagal fiksuotuosius į</w:t>
      </w:r>
      <w:r w:rsidR="00CF23EE">
        <w:rPr>
          <w:rFonts w:cstheme="minorHAnsi"/>
        </w:rPr>
        <w:t>kainius teikiami 1</w:t>
      </w:r>
      <w:r w:rsidRPr="00EA7AC6">
        <w:rPr>
          <w:rFonts w:cstheme="minorHAnsi"/>
        </w:rPr>
        <w:t xml:space="preserve"> lentelėje nustatyti dokumentai</w:t>
      </w:r>
      <w:r w:rsidR="002D5A7A">
        <w:rPr>
          <w:rFonts w:cstheme="minorHAnsi"/>
        </w:rPr>
        <w:t>.</w:t>
      </w:r>
    </w:p>
    <w:p w:rsidR="00B6389A" w:rsidRPr="00EA7AC6" w:rsidRDefault="00B6389A" w:rsidP="00343FA3">
      <w:pPr>
        <w:tabs>
          <w:tab w:val="left" w:pos="0"/>
        </w:tabs>
        <w:ind w:firstLine="567"/>
        <w:jc w:val="both"/>
        <w:rPr>
          <w:rFonts w:cstheme="minorHAnsi"/>
        </w:rPr>
      </w:pPr>
      <w:r>
        <w:rPr>
          <w:rFonts w:cstheme="minorHAnsi"/>
        </w:rPr>
        <w:t>Jeigu techninės paramos gavėjas (nebiudžetinė įstaiga) nemoka darbuotojui dienpinigių, kai komandiruotė Lietuvoje trunka 1 dieną, tai pažymima pažymoje ir dienpinigių išlaidos nėra finansuojamos.</w:t>
      </w:r>
    </w:p>
    <w:p w:rsidR="001F1664" w:rsidRPr="00EA7AC6" w:rsidRDefault="001F1664" w:rsidP="00085D06">
      <w:pPr>
        <w:tabs>
          <w:tab w:val="left" w:pos="0"/>
        </w:tabs>
        <w:jc w:val="both"/>
        <w:rPr>
          <w:rFonts w:cstheme="minorHAnsi"/>
          <w:b/>
        </w:rPr>
      </w:pPr>
      <w:r w:rsidRPr="00EA7AC6">
        <w:rPr>
          <w:rFonts w:cstheme="minorHAnsi"/>
          <w:b/>
        </w:rPr>
        <w:t>1 lentelė. Komandiruočių ir kelionių Lietuvoje fiksuotųjų įkainių kiekybinių rezultatų pasiekimą įrodantys dokumentai</w:t>
      </w:r>
    </w:p>
    <w:tbl>
      <w:tblPr>
        <w:tblStyle w:val="Lentelstinklelis"/>
        <w:tblW w:w="0" w:type="auto"/>
        <w:tblLook w:val="04A0" w:firstRow="1" w:lastRow="0" w:firstColumn="1" w:lastColumn="0" w:noHBand="0" w:noVBand="1"/>
      </w:tblPr>
      <w:tblGrid>
        <w:gridCol w:w="1668"/>
        <w:gridCol w:w="2126"/>
        <w:gridCol w:w="1984"/>
        <w:gridCol w:w="4361"/>
      </w:tblGrid>
      <w:tr w:rsidR="00085D06" w:rsidRPr="00EA7AC6" w:rsidTr="00011C85">
        <w:tc>
          <w:tcPr>
            <w:tcW w:w="1668" w:type="dxa"/>
          </w:tcPr>
          <w:p w:rsidR="00085D06" w:rsidRPr="00EA7AC6" w:rsidRDefault="00011C85" w:rsidP="00B657E1">
            <w:pPr>
              <w:tabs>
                <w:tab w:val="left" w:pos="0"/>
              </w:tabs>
              <w:jc w:val="center"/>
              <w:rPr>
                <w:rFonts w:cstheme="minorHAnsi"/>
                <w:b/>
                <w:sz w:val="20"/>
                <w:szCs w:val="20"/>
              </w:rPr>
            </w:pPr>
            <w:r>
              <w:rPr>
                <w:rFonts w:cstheme="minorHAnsi"/>
                <w:b/>
                <w:sz w:val="20"/>
                <w:szCs w:val="20"/>
              </w:rPr>
              <w:t>Išvykos tipas</w:t>
            </w:r>
          </w:p>
        </w:tc>
        <w:tc>
          <w:tcPr>
            <w:tcW w:w="2126" w:type="dxa"/>
          </w:tcPr>
          <w:p w:rsidR="00085D06" w:rsidRPr="00EA7AC6" w:rsidRDefault="00085D06" w:rsidP="00B657E1">
            <w:pPr>
              <w:tabs>
                <w:tab w:val="left" w:pos="0"/>
              </w:tabs>
              <w:jc w:val="center"/>
              <w:rPr>
                <w:rFonts w:cstheme="minorHAnsi"/>
                <w:b/>
                <w:sz w:val="20"/>
                <w:szCs w:val="20"/>
              </w:rPr>
            </w:pPr>
            <w:r w:rsidRPr="00EA7AC6">
              <w:rPr>
                <w:rFonts w:cstheme="minorHAnsi"/>
                <w:b/>
                <w:sz w:val="20"/>
                <w:szCs w:val="20"/>
              </w:rPr>
              <w:t>Įstaigos teisinis statusas</w:t>
            </w:r>
          </w:p>
        </w:tc>
        <w:tc>
          <w:tcPr>
            <w:tcW w:w="1984" w:type="dxa"/>
          </w:tcPr>
          <w:p w:rsidR="00085D06" w:rsidRPr="00EA7AC6" w:rsidRDefault="002A62E2" w:rsidP="00B657E1">
            <w:pPr>
              <w:tabs>
                <w:tab w:val="left" w:pos="0"/>
              </w:tabs>
              <w:jc w:val="center"/>
              <w:rPr>
                <w:rFonts w:cstheme="minorHAnsi"/>
                <w:b/>
                <w:sz w:val="20"/>
                <w:szCs w:val="20"/>
              </w:rPr>
            </w:pPr>
            <w:r w:rsidRPr="00EA7AC6">
              <w:rPr>
                <w:rFonts w:cstheme="minorHAnsi"/>
                <w:b/>
                <w:sz w:val="20"/>
                <w:szCs w:val="20"/>
              </w:rPr>
              <w:t>Pagrindinis dokumentas</w:t>
            </w:r>
          </w:p>
        </w:tc>
        <w:tc>
          <w:tcPr>
            <w:tcW w:w="4361" w:type="dxa"/>
          </w:tcPr>
          <w:p w:rsidR="00085D06" w:rsidRPr="00EA7AC6" w:rsidRDefault="00B657E1" w:rsidP="00B657E1">
            <w:pPr>
              <w:tabs>
                <w:tab w:val="left" w:pos="0"/>
              </w:tabs>
              <w:jc w:val="center"/>
              <w:rPr>
                <w:rFonts w:cstheme="minorHAnsi"/>
                <w:b/>
                <w:sz w:val="20"/>
                <w:szCs w:val="20"/>
              </w:rPr>
            </w:pPr>
            <w:r w:rsidRPr="00EA7AC6">
              <w:rPr>
                <w:rFonts w:cstheme="minorHAnsi"/>
                <w:b/>
                <w:sz w:val="20"/>
                <w:szCs w:val="20"/>
              </w:rPr>
              <w:t>Kiti doku</w:t>
            </w:r>
            <w:r w:rsidR="002A62E2" w:rsidRPr="00EA7AC6">
              <w:rPr>
                <w:rFonts w:cstheme="minorHAnsi"/>
                <w:b/>
                <w:sz w:val="20"/>
                <w:szCs w:val="20"/>
              </w:rPr>
              <w:t>mentai</w:t>
            </w:r>
          </w:p>
        </w:tc>
      </w:tr>
      <w:tr w:rsidR="00B93FC1" w:rsidRPr="00EA7AC6" w:rsidTr="00D851F0">
        <w:trPr>
          <w:trHeight w:val="2067"/>
        </w:trPr>
        <w:tc>
          <w:tcPr>
            <w:tcW w:w="1668" w:type="dxa"/>
            <w:vMerge w:val="restart"/>
            <w:vAlign w:val="center"/>
          </w:tcPr>
          <w:p w:rsidR="00B93FC1" w:rsidRPr="00EA7AC6" w:rsidRDefault="00B93FC1" w:rsidP="00D851F0">
            <w:pPr>
              <w:tabs>
                <w:tab w:val="left" w:pos="0"/>
              </w:tabs>
              <w:rPr>
                <w:rFonts w:cstheme="minorHAnsi"/>
                <w:sz w:val="20"/>
                <w:szCs w:val="20"/>
              </w:rPr>
            </w:pPr>
            <w:r>
              <w:rPr>
                <w:rFonts w:cstheme="minorHAnsi"/>
                <w:sz w:val="20"/>
                <w:szCs w:val="20"/>
              </w:rPr>
              <w:t>K</w:t>
            </w:r>
            <w:r w:rsidRPr="00EA7AC6">
              <w:rPr>
                <w:rFonts w:cstheme="minorHAnsi"/>
                <w:sz w:val="20"/>
                <w:szCs w:val="20"/>
              </w:rPr>
              <w:t xml:space="preserve">omandiruotė </w:t>
            </w:r>
            <w:r w:rsidR="00011C85">
              <w:rPr>
                <w:rFonts w:cstheme="minorHAnsi"/>
                <w:sz w:val="20"/>
                <w:szCs w:val="20"/>
              </w:rPr>
              <w:t xml:space="preserve">ar kelionė </w:t>
            </w:r>
            <w:r w:rsidRPr="00EA7AC6">
              <w:rPr>
                <w:rFonts w:cstheme="minorHAnsi"/>
                <w:sz w:val="20"/>
                <w:szCs w:val="20"/>
              </w:rPr>
              <w:t>Lietuvoje</w:t>
            </w:r>
          </w:p>
        </w:tc>
        <w:tc>
          <w:tcPr>
            <w:tcW w:w="2126" w:type="dxa"/>
            <w:vAlign w:val="center"/>
          </w:tcPr>
          <w:p w:rsidR="00B93FC1" w:rsidRPr="00EA7AC6" w:rsidRDefault="00B93FC1" w:rsidP="00D851F0">
            <w:pPr>
              <w:tabs>
                <w:tab w:val="left" w:pos="0"/>
              </w:tabs>
              <w:rPr>
                <w:rFonts w:cstheme="minorHAnsi"/>
                <w:sz w:val="20"/>
                <w:szCs w:val="20"/>
              </w:rPr>
            </w:pPr>
            <w:r w:rsidRPr="00EA7AC6">
              <w:rPr>
                <w:rFonts w:cstheme="minorHAnsi"/>
                <w:sz w:val="20"/>
                <w:szCs w:val="20"/>
              </w:rPr>
              <w:t>Biudžetinė įstaiga</w:t>
            </w:r>
          </w:p>
        </w:tc>
        <w:tc>
          <w:tcPr>
            <w:tcW w:w="1984" w:type="dxa"/>
            <w:vAlign w:val="center"/>
          </w:tcPr>
          <w:p w:rsidR="00B93FC1" w:rsidRPr="00B93FC1" w:rsidRDefault="00011C85" w:rsidP="00D851F0">
            <w:pPr>
              <w:tabs>
                <w:tab w:val="left" w:pos="1418"/>
              </w:tabs>
              <w:rPr>
                <w:rFonts w:cstheme="minorHAnsi"/>
                <w:sz w:val="20"/>
                <w:szCs w:val="20"/>
              </w:rPr>
            </w:pPr>
            <w:r>
              <w:rPr>
                <w:rFonts w:cstheme="minorHAnsi"/>
                <w:sz w:val="20"/>
                <w:szCs w:val="20"/>
              </w:rPr>
              <w:t>Suvestinė pažyma, 1 forma</w:t>
            </w:r>
          </w:p>
        </w:tc>
        <w:tc>
          <w:tcPr>
            <w:tcW w:w="4361" w:type="dxa"/>
            <w:vMerge w:val="restart"/>
          </w:tcPr>
          <w:p w:rsidR="00B93FC1" w:rsidRPr="00EA7AC6" w:rsidRDefault="00011C85" w:rsidP="002A62E2">
            <w:pPr>
              <w:pStyle w:val="Sraopastraipa"/>
              <w:numPr>
                <w:ilvl w:val="0"/>
                <w:numId w:val="9"/>
              </w:numPr>
              <w:tabs>
                <w:tab w:val="left" w:pos="0"/>
              </w:tabs>
              <w:ind w:left="34" w:firstLine="0"/>
              <w:jc w:val="both"/>
              <w:rPr>
                <w:rFonts w:cstheme="minorHAnsi"/>
                <w:b/>
                <w:sz w:val="20"/>
                <w:szCs w:val="20"/>
              </w:rPr>
            </w:pPr>
            <w:r w:rsidRPr="00996BB4">
              <w:rPr>
                <w:rFonts w:cstheme="minorHAnsi"/>
                <w:b/>
                <w:i/>
                <w:sz w:val="20"/>
                <w:szCs w:val="20"/>
                <w:u w:val="single"/>
              </w:rPr>
              <w:t>(tik komandiruotės atveju)</w:t>
            </w:r>
            <w:r>
              <w:rPr>
                <w:rFonts w:cstheme="minorHAnsi"/>
                <w:b/>
                <w:sz w:val="20"/>
                <w:szCs w:val="20"/>
              </w:rPr>
              <w:t xml:space="preserve"> </w:t>
            </w:r>
            <w:r w:rsidR="00B93FC1" w:rsidRPr="00EA7AC6">
              <w:rPr>
                <w:rFonts w:cstheme="minorHAnsi"/>
                <w:b/>
                <w:sz w:val="20"/>
                <w:szCs w:val="20"/>
              </w:rPr>
              <w:t>Įsakymas ar potvarkis (ar lygiavertis dokumentas) dėl komandiruotės, kuriame nurodomas komandiruojamas darbuotojas, komandiruotės Lietuvoje tikslas, vietovė ir laikotarpis.</w:t>
            </w:r>
          </w:p>
          <w:p w:rsidR="00B93FC1" w:rsidRPr="00EA7AC6" w:rsidRDefault="00B93FC1" w:rsidP="00085D06">
            <w:pPr>
              <w:tabs>
                <w:tab w:val="left" w:pos="0"/>
              </w:tabs>
              <w:jc w:val="both"/>
              <w:rPr>
                <w:rFonts w:cstheme="minorHAnsi"/>
                <w:sz w:val="20"/>
                <w:szCs w:val="20"/>
              </w:rPr>
            </w:pPr>
            <w:r w:rsidRPr="00EA7AC6">
              <w:rPr>
                <w:rFonts w:cstheme="minorHAnsi"/>
                <w:sz w:val="20"/>
                <w:szCs w:val="20"/>
              </w:rPr>
              <w:t xml:space="preserve">Jei komandiruotės tikslas pagal dokumentus nėra aiškus, turėtų būti pridedami dokumentai, kuriais </w:t>
            </w:r>
            <w:r w:rsidRPr="00EA7AC6">
              <w:rPr>
                <w:rFonts w:cstheme="minorHAnsi"/>
                <w:sz w:val="20"/>
                <w:szCs w:val="20"/>
              </w:rPr>
              <w:lastRenderedPageBreak/>
              <w:t>pagrindžiamos komandiruotės  Lietuvoje tikslo sąsajos su ES struktūrinių fondų lėšų administravimo veiklomis, pavyzdžiui, renginio programos, darbotvarkės, komandiruotės ataskaitos ar kiti dokumentai;</w:t>
            </w:r>
          </w:p>
          <w:p w:rsidR="00B93FC1" w:rsidRPr="00EA7AC6" w:rsidRDefault="00011C85" w:rsidP="00011C85">
            <w:pPr>
              <w:pStyle w:val="Sraopastraipa"/>
              <w:numPr>
                <w:ilvl w:val="0"/>
                <w:numId w:val="9"/>
              </w:numPr>
              <w:tabs>
                <w:tab w:val="left" w:pos="0"/>
              </w:tabs>
              <w:ind w:left="34" w:firstLine="0"/>
              <w:jc w:val="both"/>
              <w:rPr>
                <w:rFonts w:cstheme="minorHAnsi"/>
                <w:sz w:val="20"/>
                <w:szCs w:val="20"/>
              </w:rPr>
            </w:pPr>
            <w:r>
              <w:rPr>
                <w:rFonts w:cstheme="minorHAnsi"/>
                <w:b/>
                <w:sz w:val="20"/>
                <w:szCs w:val="20"/>
              </w:rPr>
              <w:t>K</w:t>
            </w:r>
            <w:r w:rsidR="00B93FC1" w:rsidRPr="00EA7AC6">
              <w:rPr>
                <w:rFonts w:cstheme="minorHAnsi"/>
                <w:b/>
                <w:sz w:val="20"/>
                <w:szCs w:val="20"/>
              </w:rPr>
              <w:t>omandiruotės</w:t>
            </w:r>
            <w:r>
              <w:rPr>
                <w:rFonts w:cstheme="minorHAnsi"/>
                <w:b/>
                <w:sz w:val="20"/>
                <w:szCs w:val="20"/>
              </w:rPr>
              <w:t xml:space="preserve"> (kelionės)</w:t>
            </w:r>
            <w:r w:rsidR="00B93FC1" w:rsidRPr="00EA7AC6">
              <w:rPr>
                <w:rFonts w:cstheme="minorHAnsi"/>
                <w:b/>
                <w:sz w:val="20"/>
                <w:szCs w:val="20"/>
              </w:rPr>
              <w:t xml:space="preserve"> metu nuvažiuotų kilometrų skaičių pagrindžiantis dokumentas(-ai)</w:t>
            </w:r>
            <w:r w:rsidR="00996BB4">
              <w:rPr>
                <w:rFonts w:cstheme="minorHAnsi"/>
                <w:sz w:val="20"/>
                <w:szCs w:val="20"/>
              </w:rPr>
              <w:t xml:space="preserve"> (detalesni reikalavimai pagrindžiantiems dokumentams pateikiami </w:t>
            </w:r>
            <w:r w:rsidR="00B93FC1" w:rsidRPr="00EA7AC6">
              <w:rPr>
                <w:rFonts w:cstheme="minorHAnsi"/>
                <w:sz w:val="20"/>
                <w:szCs w:val="20"/>
              </w:rPr>
              <w:t>po</w:t>
            </w:r>
            <w:r w:rsidR="00996BB4">
              <w:rPr>
                <w:rFonts w:cstheme="minorHAnsi"/>
                <w:sz w:val="20"/>
                <w:szCs w:val="20"/>
              </w:rPr>
              <w:t xml:space="preserve"> šia</w:t>
            </w:r>
            <w:r w:rsidR="00B93FC1" w:rsidRPr="00EA7AC6">
              <w:rPr>
                <w:rFonts w:cstheme="minorHAnsi"/>
                <w:sz w:val="20"/>
                <w:szCs w:val="20"/>
              </w:rPr>
              <w:t xml:space="preserve"> lentele) </w:t>
            </w:r>
          </w:p>
        </w:tc>
      </w:tr>
      <w:tr w:rsidR="00B93FC1" w:rsidRPr="00EA7AC6" w:rsidTr="00D851F0">
        <w:trPr>
          <w:trHeight w:val="997"/>
        </w:trPr>
        <w:tc>
          <w:tcPr>
            <w:tcW w:w="1668" w:type="dxa"/>
            <w:vMerge/>
            <w:vAlign w:val="center"/>
          </w:tcPr>
          <w:p w:rsidR="00B93FC1" w:rsidRPr="00EA7AC6" w:rsidRDefault="00B93FC1" w:rsidP="00D851F0">
            <w:pPr>
              <w:tabs>
                <w:tab w:val="left" w:pos="0"/>
              </w:tabs>
              <w:rPr>
                <w:rFonts w:cstheme="minorHAnsi"/>
                <w:sz w:val="20"/>
                <w:szCs w:val="20"/>
              </w:rPr>
            </w:pPr>
          </w:p>
        </w:tc>
        <w:tc>
          <w:tcPr>
            <w:tcW w:w="2126" w:type="dxa"/>
            <w:vAlign w:val="center"/>
          </w:tcPr>
          <w:p w:rsidR="00B93FC1" w:rsidRPr="00EA7AC6" w:rsidRDefault="00B93FC1" w:rsidP="00D851F0">
            <w:pPr>
              <w:tabs>
                <w:tab w:val="left" w:pos="0"/>
              </w:tabs>
              <w:rPr>
                <w:rFonts w:cstheme="minorHAnsi"/>
                <w:sz w:val="20"/>
                <w:szCs w:val="20"/>
              </w:rPr>
            </w:pPr>
            <w:r w:rsidRPr="00EA7AC6">
              <w:rPr>
                <w:rFonts w:cstheme="minorHAnsi"/>
                <w:sz w:val="20"/>
                <w:szCs w:val="20"/>
              </w:rPr>
              <w:t>Nebiudžetinė įstaiga</w:t>
            </w:r>
          </w:p>
        </w:tc>
        <w:tc>
          <w:tcPr>
            <w:tcW w:w="1984" w:type="dxa"/>
            <w:vAlign w:val="center"/>
          </w:tcPr>
          <w:p w:rsidR="00B93FC1" w:rsidRPr="00B93FC1" w:rsidRDefault="00011C85" w:rsidP="00D851F0">
            <w:pPr>
              <w:tabs>
                <w:tab w:val="left" w:pos="0"/>
              </w:tabs>
              <w:rPr>
                <w:rFonts w:cstheme="minorHAnsi"/>
                <w:sz w:val="20"/>
                <w:szCs w:val="20"/>
              </w:rPr>
            </w:pPr>
            <w:r>
              <w:rPr>
                <w:rFonts w:cstheme="minorHAnsi"/>
                <w:sz w:val="20"/>
                <w:szCs w:val="20"/>
              </w:rPr>
              <w:t>Suvestinė pažyma, 2 forma</w:t>
            </w:r>
          </w:p>
        </w:tc>
        <w:tc>
          <w:tcPr>
            <w:tcW w:w="4361" w:type="dxa"/>
            <w:vMerge/>
          </w:tcPr>
          <w:p w:rsidR="00B93FC1" w:rsidRPr="00EA7AC6" w:rsidRDefault="00B93FC1" w:rsidP="00085D06">
            <w:pPr>
              <w:tabs>
                <w:tab w:val="left" w:pos="0"/>
              </w:tabs>
              <w:jc w:val="both"/>
              <w:rPr>
                <w:rFonts w:cstheme="minorHAnsi"/>
                <w:sz w:val="20"/>
                <w:szCs w:val="20"/>
              </w:rPr>
            </w:pPr>
          </w:p>
        </w:tc>
      </w:tr>
    </w:tbl>
    <w:p w:rsidR="00085D06" w:rsidRPr="00EA7AC6" w:rsidRDefault="00085D06" w:rsidP="00085D06">
      <w:pPr>
        <w:tabs>
          <w:tab w:val="left" w:pos="0"/>
        </w:tabs>
        <w:jc w:val="both"/>
        <w:rPr>
          <w:rFonts w:cstheme="minorHAnsi"/>
        </w:rPr>
      </w:pPr>
    </w:p>
    <w:p w:rsidR="002A62E2" w:rsidRPr="00EA7AC6" w:rsidRDefault="00EA7AC6" w:rsidP="00343FA3">
      <w:pPr>
        <w:tabs>
          <w:tab w:val="left" w:pos="0"/>
        </w:tabs>
        <w:ind w:firstLine="567"/>
        <w:jc w:val="both"/>
        <w:rPr>
          <w:rFonts w:cstheme="minorHAnsi"/>
        </w:rPr>
      </w:pPr>
      <w:r>
        <w:rPr>
          <w:rFonts w:cstheme="minorHAnsi"/>
        </w:rPr>
        <w:t>Komandiruotė</w:t>
      </w:r>
      <w:r w:rsidR="00B657E1" w:rsidRPr="00EA7AC6">
        <w:rPr>
          <w:rFonts w:cstheme="minorHAnsi"/>
        </w:rPr>
        <w:t>s ar kelionės metu nuvažiuotų kilometrų skaičių pagrindžiančių dokumentų pavyzdžiai:</w:t>
      </w:r>
    </w:p>
    <w:p w:rsidR="00B657E1" w:rsidRPr="00EA7AC6" w:rsidRDefault="00B657E1" w:rsidP="0011362D">
      <w:pPr>
        <w:pStyle w:val="Sraopastraipa"/>
        <w:numPr>
          <w:ilvl w:val="0"/>
          <w:numId w:val="11"/>
        </w:numPr>
        <w:tabs>
          <w:tab w:val="left" w:pos="0"/>
        </w:tabs>
        <w:ind w:left="0" w:firstLine="851"/>
        <w:jc w:val="both"/>
        <w:rPr>
          <w:rFonts w:cstheme="minorHAnsi"/>
        </w:rPr>
      </w:pPr>
      <w:r w:rsidRPr="00EA7AC6">
        <w:rPr>
          <w:rFonts w:cstheme="minorHAnsi"/>
          <w:b/>
        </w:rPr>
        <w:t>Važiuojant automobiliu</w:t>
      </w:r>
      <w:r w:rsidRPr="00EA7AC6">
        <w:rPr>
          <w:rFonts w:cstheme="minorHAnsi"/>
        </w:rPr>
        <w:t>: kelionės lapas, kuriame nurodytas kelionės maršrutas ir faktinis nuvažiuotų kilometrų skaičius</w:t>
      </w:r>
      <w:r w:rsidR="00B14318">
        <w:rPr>
          <w:rFonts w:cstheme="minorHAnsi"/>
        </w:rPr>
        <w:t>.</w:t>
      </w:r>
      <w:r w:rsidR="00421AA0" w:rsidRPr="00EA7AC6">
        <w:rPr>
          <w:rFonts w:cstheme="minorHAnsi"/>
        </w:rPr>
        <w:t xml:space="preserve"> Jeigu keletui kelionių pildomas vienas kelionės lapas, į suvestinę pažymą gali būti įtraukiamas bendras per laikotarpį, už kurį teikiamas kelionės lapas, vieno miesto (rajono) ribose nuvažiuotų kilometrų skaičius (pavyzdžiui „po Vilnių“</w:t>
      </w:r>
      <w:r w:rsidR="00CE21E5" w:rsidRPr="00EA7AC6">
        <w:rPr>
          <w:rFonts w:cstheme="minorHAnsi"/>
        </w:rPr>
        <w:t xml:space="preserve"> ar „po Kauno miestą ir rajoną“</w:t>
      </w:r>
      <w:r w:rsidR="00421AA0" w:rsidRPr="00EA7AC6">
        <w:rPr>
          <w:rFonts w:cstheme="minorHAnsi"/>
        </w:rPr>
        <w:t>). Tokiu atveju suvestinėje pažymoje kelionės pradžios ir pabaigos datos nurodomos kaip pirmoji ir paskutinė kelionės lape nurodytos kelionių vieno miesto (rajono) ribose datos. Jeigu ne visos k</w:t>
      </w:r>
      <w:r w:rsidR="00091F50">
        <w:rPr>
          <w:rFonts w:cstheme="minorHAnsi"/>
        </w:rPr>
        <w:t>elionės lape nurodytos kelionės</w:t>
      </w:r>
      <w:r w:rsidR="00421AA0" w:rsidRPr="00EA7AC6">
        <w:rPr>
          <w:rFonts w:cstheme="minorHAnsi"/>
        </w:rPr>
        <w:t xml:space="preserve"> yra tinkamos finansuoti iš 2014</w:t>
      </w:r>
      <w:r w:rsidR="002B6D14">
        <w:rPr>
          <w:rFonts w:cstheme="minorHAnsi"/>
        </w:rPr>
        <w:t>−</w:t>
      </w:r>
      <w:r w:rsidR="00421AA0" w:rsidRPr="00EA7AC6">
        <w:rPr>
          <w:rFonts w:cstheme="minorHAnsi"/>
        </w:rPr>
        <w:t xml:space="preserve">2020 m. techninės paramos prioriteto lėšų, techninės paramos gavėjas privalo </w:t>
      </w:r>
      <w:r w:rsidR="00F74DA4">
        <w:rPr>
          <w:rFonts w:cstheme="minorHAnsi"/>
        </w:rPr>
        <w:t xml:space="preserve">apskaičiuoti ir </w:t>
      </w:r>
      <w:r w:rsidR="00F74DA4" w:rsidRPr="00EA7AC6">
        <w:rPr>
          <w:rFonts w:cstheme="minorHAnsi"/>
        </w:rPr>
        <w:t xml:space="preserve">kelionės lape </w:t>
      </w:r>
      <w:r w:rsidR="00421AA0" w:rsidRPr="00EA7AC6">
        <w:rPr>
          <w:rFonts w:cstheme="minorHAnsi"/>
        </w:rPr>
        <w:t xml:space="preserve">pažymėti tinkamas finansuoti keliones arba nurodyti </w:t>
      </w:r>
      <w:r w:rsidR="00CE21E5" w:rsidRPr="00EA7AC6">
        <w:rPr>
          <w:rFonts w:cstheme="minorHAnsi"/>
        </w:rPr>
        <w:t>iš</w:t>
      </w:r>
      <w:r w:rsidR="00421AA0" w:rsidRPr="00EA7AC6">
        <w:rPr>
          <w:rFonts w:cstheme="minorHAnsi"/>
        </w:rPr>
        <w:t xml:space="preserve"> techninės paramos prioriteto lėšų</w:t>
      </w:r>
      <w:r w:rsidR="00CE21E5" w:rsidRPr="00EA7AC6">
        <w:rPr>
          <w:rFonts w:cstheme="minorHAnsi"/>
        </w:rPr>
        <w:t xml:space="preserve"> finansuojamų kelionių dalį (</w:t>
      </w:r>
      <w:r w:rsidR="00421AA0" w:rsidRPr="00EA7AC6">
        <w:rPr>
          <w:rFonts w:cstheme="minorHAnsi"/>
        </w:rPr>
        <w:t>procentą</w:t>
      </w:r>
      <w:r w:rsidR="00CE21E5" w:rsidRPr="00EA7AC6">
        <w:rPr>
          <w:rFonts w:cstheme="minorHAnsi"/>
        </w:rPr>
        <w:t>)</w:t>
      </w:r>
      <w:r w:rsidR="00110636">
        <w:rPr>
          <w:rFonts w:cstheme="minorHAnsi"/>
        </w:rPr>
        <w:t xml:space="preserve"> bei pridėti priskyrimo metodiką ar kitą paskaičiavimus pagrindžiantį dokumentą</w:t>
      </w:r>
      <w:r w:rsidR="00091F50">
        <w:rPr>
          <w:rFonts w:cstheme="minorHAnsi"/>
        </w:rPr>
        <w:t xml:space="preserve">. Suvestinėje pažymoje nuvažiuotų kilometrų skaičius </w:t>
      </w:r>
      <w:r w:rsidR="002D5A7A">
        <w:rPr>
          <w:rFonts w:cstheme="minorHAnsi"/>
        </w:rPr>
        <w:t xml:space="preserve">nurodomas </w:t>
      </w:r>
      <w:r w:rsidR="00091F50">
        <w:rPr>
          <w:rFonts w:cstheme="minorHAnsi"/>
        </w:rPr>
        <w:t xml:space="preserve">pritaikius šį procentą. Pavyzdžiui, jeigu kelionės lape nurodyta, kad nuvažiuota 1000 km., o iš techninės paramos prioriteto tinkamų finansuoti kelionių dalis sudaro 50 proc., suvestinėje pažymoje nurodomas </w:t>
      </w:r>
      <w:r w:rsidR="002D5A7A">
        <w:rPr>
          <w:rFonts w:cstheme="minorHAnsi"/>
        </w:rPr>
        <w:t xml:space="preserve">nuvažiuotų </w:t>
      </w:r>
      <w:r w:rsidR="00091F50">
        <w:rPr>
          <w:rFonts w:cstheme="minorHAnsi"/>
        </w:rPr>
        <w:t>kilometrų skaičius yra 1000*50/100</w:t>
      </w:r>
      <w:r w:rsidR="00091F50">
        <w:rPr>
          <w:rFonts w:cstheme="minorHAnsi"/>
          <w:lang w:val="en-US"/>
        </w:rPr>
        <w:t>=</w:t>
      </w:r>
      <w:r w:rsidR="00091F50">
        <w:rPr>
          <w:rFonts w:cstheme="minorHAnsi"/>
        </w:rPr>
        <w:t>500 km.</w:t>
      </w:r>
      <w:r w:rsidR="007154B3">
        <w:rPr>
          <w:rFonts w:cstheme="minorHAnsi"/>
        </w:rPr>
        <w:t>;</w:t>
      </w:r>
      <w:r w:rsidR="00421AA0" w:rsidRPr="00EA7AC6">
        <w:rPr>
          <w:rFonts w:cstheme="minorHAnsi"/>
        </w:rPr>
        <w:t xml:space="preserve"> </w:t>
      </w:r>
    </w:p>
    <w:p w:rsidR="00B657E1" w:rsidRPr="00EA7AC6" w:rsidRDefault="00B657E1" w:rsidP="0011362D">
      <w:pPr>
        <w:pStyle w:val="Sraopastraipa"/>
        <w:numPr>
          <w:ilvl w:val="0"/>
          <w:numId w:val="11"/>
        </w:numPr>
        <w:tabs>
          <w:tab w:val="left" w:pos="0"/>
        </w:tabs>
        <w:ind w:left="0" w:firstLine="851"/>
        <w:jc w:val="both"/>
        <w:rPr>
          <w:rFonts w:cstheme="minorHAnsi"/>
        </w:rPr>
      </w:pPr>
      <w:r w:rsidRPr="00EA7AC6">
        <w:rPr>
          <w:rFonts w:cstheme="minorHAnsi"/>
          <w:b/>
        </w:rPr>
        <w:t>Važiuojant taksi</w:t>
      </w:r>
      <w:r w:rsidRPr="00EA7AC6">
        <w:rPr>
          <w:rFonts w:cstheme="minorHAnsi"/>
        </w:rPr>
        <w:t>: taksi kvitas, kuriame nurodytas nuvažiuotų kilometrų skaičius arba taksi įmonės sąskaita (ar lygiavertis dokumentas), kurioje nurodytas kelionių taksi kilometrų skaičius. Jeigu ne visos sąskaitoje nurodytos kelionės taksi yra tinkamos finansuoti iš 2014</w:t>
      </w:r>
      <w:r w:rsidR="002B6D14">
        <w:rPr>
          <w:rFonts w:cstheme="minorHAnsi"/>
        </w:rPr>
        <w:t>−</w:t>
      </w:r>
      <w:r w:rsidRPr="00EA7AC6">
        <w:rPr>
          <w:rFonts w:cstheme="minorHAnsi"/>
        </w:rPr>
        <w:t>2020 m. techninės paramos prioriteto lėšų, techninės paramos gavėjas privalo pažymėti tinkamas finansuoti keliones arba nurodyti finansavimo iš techninės paramos prioriteto lėšų procentą</w:t>
      </w:r>
      <w:r w:rsidR="00A22DFD">
        <w:rPr>
          <w:rFonts w:cstheme="minorHAnsi"/>
        </w:rPr>
        <w:t xml:space="preserve"> bei pridėti priskyrimo metodiką ar kitą paskaičiavimus pagrindžiantį dokumentą</w:t>
      </w:r>
      <w:r w:rsidRPr="00EA7AC6">
        <w:rPr>
          <w:rFonts w:cstheme="minorHAnsi"/>
        </w:rPr>
        <w:t xml:space="preserve">. Į suvestinę pažymą gali būti įtraukiamas tik bendras sąskaitoje nurodytų kilometrų skaičius už </w:t>
      </w:r>
      <w:r w:rsidR="002D5A7A" w:rsidRPr="00EA7AC6">
        <w:rPr>
          <w:rFonts w:cstheme="minorHAnsi"/>
        </w:rPr>
        <w:t xml:space="preserve">iš techninės paramos prioriteto lėšų </w:t>
      </w:r>
      <w:r w:rsidRPr="00EA7AC6">
        <w:rPr>
          <w:rFonts w:cstheme="minorHAnsi"/>
        </w:rPr>
        <w:t>tinkamas finansuoti keliones. Tokiu atveju suvestinėje pažymoje kelionės pradžios ir pabaigos datos nurodomos kaip pirmoji ir pasku</w:t>
      </w:r>
      <w:r w:rsidR="007154B3">
        <w:rPr>
          <w:rFonts w:cstheme="minorHAnsi"/>
        </w:rPr>
        <w:t>tinė sąskaitoje nurodytos datos;</w:t>
      </w:r>
    </w:p>
    <w:p w:rsidR="00B657E1" w:rsidRPr="00EA7AC6" w:rsidRDefault="00421AA0" w:rsidP="0011362D">
      <w:pPr>
        <w:pStyle w:val="Sraopastraipa"/>
        <w:numPr>
          <w:ilvl w:val="0"/>
          <w:numId w:val="11"/>
        </w:numPr>
        <w:tabs>
          <w:tab w:val="left" w:pos="0"/>
        </w:tabs>
        <w:ind w:left="0" w:firstLine="851"/>
        <w:jc w:val="both"/>
        <w:rPr>
          <w:rFonts w:cstheme="minorHAnsi"/>
        </w:rPr>
      </w:pPr>
      <w:r w:rsidRPr="00EA7AC6">
        <w:rPr>
          <w:rFonts w:cstheme="minorHAnsi"/>
          <w:b/>
        </w:rPr>
        <w:t>Važiuojant viešuoju transportu ar keliaujant kitais būdais</w:t>
      </w:r>
      <w:r w:rsidRPr="00EA7AC6">
        <w:rPr>
          <w:rFonts w:cstheme="minorHAnsi"/>
        </w:rPr>
        <w:t>: kelionės maršruto išklotinė, nurodan</w:t>
      </w:r>
      <w:r w:rsidR="00B657E1" w:rsidRPr="00EA7AC6">
        <w:rPr>
          <w:rFonts w:cstheme="minorHAnsi"/>
        </w:rPr>
        <w:t xml:space="preserve">t kilometrų </w:t>
      </w:r>
      <w:r w:rsidR="007154B3">
        <w:rPr>
          <w:rFonts w:cstheme="minorHAnsi"/>
        </w:rPr>
        <w:t>skaičių (p</w:t>
      </w:r>
      <w:r w:rsidR="006D482A">
        <w:rPr>
          <w:rFonts w:cstheme="minorHAnsi"/>
        </w:rPr>
        <w:t>avyzdžiui,</w:t>
      </w:r>
      <w:r w:rsidR="007154B3">
        <w:rPr>
          <w:rFonts w:cstheme="minorHAnsi"/>
        </w:rPr>
        <w:t xml:space="preserve"> iš „google maps“).</w:t>
      </w:r>
      <w:r w:rsidR="00F74DA4">
        <w:rPr>
          <w:rFonts w:cstheme="minorHAnsi"/>
        </w:rPr>
        <w:t xml:space="preserve"> Kelionės atveju, kai nėra rengiamas įsakymas ar potvarkis, </w:t>
      </w:r>
      <w:r w:rsidR="008518CF">
        <w:rPr>
          <w:rFonts w:cstheme="minorHAnsi"/>
        </w:rPr>
        <w:t>darbuotojo</w:t>
      </w:r>
      <w:r w:rsidR="00F74DA4">
        <w:rPr>
          <w:rFonts w:cstheme="minorHAnsi"/>
        </w:rPr>
        <w:t xml:space="preserve"> kelionės </w:t>
      </w:r>
      <w:r w:rsidR="001F6040">
        <w:rPr>
          <w:rFonts w:cstheme="minorHAnsi"/>
        </w:rPr>
        <w:t>faktui įrodyti papildomai turi būti pateikta avanso apyskaita</w:t>
      </w:r>
      <w:r w:rsidR="008518CF">
        <w:rPr>
          <w:rFonts w:cstheme="minorHAnsi"/>
        </w:rPr>
        <w:t xml:space="preserve"> ar kitas dokumentas, įrodantis kelionės </w:t>
      </w:r>
      <w:r w:rsidR="002D5A7A">
        <w:rPr>
          <w:rFonts w:cstheme="minorHAnsi"/>
        </w:rPr>
        <w:t xml:space="preserve">įvykimo </w:t>
      </w:r>
      <w:r w:rsidR="008518CF">
        <w:rPr>
          <w:rFonts w:cstheme="minorHAnsi"/>
        </w:rPr>
        <w:t>faktą</w:t>
      </w:r>
      <w:r w:rsidR="00F74DA4">
        <w:rPr>
          <w:rFonts w:cstheme="minorHAnsi"/>
        </w:rPr>
        <w:t xml:space="preserve">. </w:t>
      </w:r>
    </w:p>
    <w:p w:rsidR="00CE21E5" w:rsidRPr="00EA7AC6" w:rsidRDefault="00421AA0" w:rsidP="00343FA3">
      <w:pPr>
        <w:tabs>
          <w:tab w:val="left" w:pos="0"/>
        </w:tabs>
        <w:ind w:firstLine="567"/>
        <w:jc w:val="both"/>
        <w:rPr>
          <w:rFonts w:cstheme="minorHAnsi"/>
        </w:rPr>
      </w:pPr>
      <w:r w:rsidRPr="00EA7AC6">
        <w:rPr>
          <w:rFonts w:cstheme="minorHAnsi"/>
        </w:rPr>
        <w:t>Jeigu nėra pateikiamas nei vienas iš aukščiau nurodytų nuvažiuotų kilometrų skaičių pagrindžiančių dokumentų, tačia</w:t>
      </w:r>
      <w:r w:rsidR="00027ACC">
        <w:rPr>
          <w:rFonts w:cstheme="minorHAnsi"/>
        </w:rPr>
        <w:t>u yra įrodytas kelionės įvykimo faktas ir suvestinėje pažymoje nurodytas</w:t>
      </w:r>
      <w:r w:rsidRPr="00EA7AC6">
        <w:rPr>
          <w:rFonts w:cstheme="minorHAnsi"/>
        </w:rPr>
        <w:t xml:space="preserve"> kelionės (</w:t>
      </w:r>
      <w:r w:rsidR="00B657E1" w:rsidRPr="00EA7AC6">
        <w:rPr>
          <w:rFonts w:cstheme="minorHAnsi"/>
        </w:rPr>
        <w:t>komandiruotės</w:t>
      </w:r>
      <w:r w:rsidRPr="00EA7AC6">
        <w:rPr>
          <w:rFonts w:cstheme="minorHAnsi"/>
        </w:rPr>
        <w:t>)</w:t>
      </w:r>
      <w:r w:rsidR="00CE21E5" w:rsidRPr="00EA7AC6">
        <w:rPr>
          <w:rFonts w:cstheme="minorHAnsi"/>
        </w:rPr>
        <w:t xml:space="preserve"> maršrutas, nurodžius</w:t>
      </w:r>
      <w:r w:rsidR="00B657E1" w:rsidRPr="00EA7AC6">
        <w:rPr>
          <w:rFonts w:cstheme="minorHAnsi"/>
        </w:rPr>
        <w:t xml:space="preserve"> išvykimo ir atvykimo miestus, </w:t>
      </w:r>
      <w:r w:rsidRPr="00EA7AC6">
        <w:rPr>
          <w:rFonts w:cstheme="minorHAnsi"/>
        </w:rPr>
        <w:t>kurie yra nustatyti</w:t>
      </w:r>
      <w:r w:rsidR="00B657E1" w:rsidRPr="00EA7AC6">
        <w:rPr>
          <w:rFonts w:cstheme="minorHAnsi"/>
        </w:rPr>
        <w:t xml:space="preserve"> </w:t>
      </w:r>
      <w:r w:rsidR="00B657E1" w:rsidRPr="00EA7AC6">
        <w:rPr>
          <w:rFonts w:cstheme="minorHAnsi"/>
          <w:i/>
        </w:rPr>
        <w:t>Kuro ir viešojo transporto išlaidų fiksuotųjų įkainių nustatymo tyrimo ataskaitos</w:t>
      </w:r>
      <w:r w:rsidR="00B657E1" w:rsidRPr="00EA7AC6">
        <w:rPr>
          <w:rFonts w:cstheme="minorHAnsi"/>
        </w:rPr>
        <w:t xml:space="preserve"> 7 priede - atstumų lentelėje</w:t>
      </w:r>
      <w:r w:rsidRPr="00EA7AC6">
        <w:rPr>
          <w:rFonts w:cstheme="minorHAnsi"/>
        </w:rPr>
        <w:t>, nuvažiuotų kilometrų skaičius apskaičiuojamas pagal atstumų lentelę.</w:t>
      </w:r>
      <w:r w:rsidR="00CE21E5" w:rsidRPr="00EA7AC6">
        <w:rPr>
          <w:rFonts w:cstheme="minorHAnsi"/>
        </w:rPr>
        <w:t xml:space="preserve"> </w:t>
      </w:r>
    </w:p>
    <w:p w:rsidR="00CE21E5" w:rsidRPr="00EA7AC6" w:rsidRDefault="00BF61F9" w:rsidP="00343FA3">
      <w:pPr>
        <w:tabs>
          <w:tab w:val="left" w:pos="0"/>
        </w:tabs>
        <w:ind w:firstLine="567"/>
        <w:jc w:val="both"/>
        <w:rPr>
          <w:rFonts w:cstheme="minorHAnsi"/>
        </w:rPr>
      </w:pPr>
      <w:r>
        <w:rPr>
          <w:rFonts w:cstheme="minorHAnsi"/>
        </w:rPr>
        <w:t>D</w:t>
      </w:r>
      <w:r w:rsidR="00FE60A9" w:rsidRPr="00EA7AC6">
        <w:rPr>
          <w:rFonts w:cstheme="minorHAnsi"/>
        </w:rPr>
        <w:t xml:space="preserve">arbuotojo </w:t>
      </w:r>
      <w:r w:rsidR="003D13CE" w:rsidRPr="00EA7AC6">
        <w:rPr>
          <w:rFonts w:cstheme="minorHAnsi"/>
        </w:rPr>
        <w:t>atvykimo</w:t>
      </w:r>
      <w:r w:rsidR="00FE60A9" w:rsidRPr="00EA7AC6">
        <w:rPr>
          <w:rFonts w:cstheme="minorHAnsi"/>
        </w:rPr>
        <w:t xml:space="preserve"> į darbo vietą ir grįžimo iš jos</w:t>
      </w:r>
      <w:r w:rsidR="003D13CE" w:rsidRPr="00EA7AC6">
        <w:rPr>
          <w:rFonts w:cstheme="minorHAnsi"/>
        </w:rPr>
        <w:t xml:space="preserve"> kelionės </w:t>
      </w:r>
      <w:r w:rsidR="00FE60A9" w:rsidRPr="00EA7AC6">
        <w:rPr>
          <w:rFonts w:cstheme="minorHAnsi"/>
        </w:rPr>
        <w:t>išlaidos</w:t>
      </w:r>
      <w:r>
        <w:rPr>
          <w:rFonts w:cstheme="minorHAnsi"/>
        </w:rPr>
        <w:t>, kai teisės aktais nustatyta, kad darbuotojui tokios išlaidos gali būti kompensuojamos,</w:t>
      </w:r>
      <w:r w:rsidR="00FE60A9" w:rsidRPr="00EA7AC6">
        <w:rPr>
          <w:rFonts w:cstheme="minorHAnsi"/>
        </w:rPr>
        <w:t xml:space="preserve"> suvestinėje pažymoje gali būti </w:t>
      </w:r>
      <w:r w:rsidRPr="00EA7AC6">
        <w:rPr>
          <w:rFonts w:cstheme="minorHAnsi"/>
        </w:rPr>
        <w:t>deklaruojam</w:t>
      </w:r>
      <w:r>
        <w:rPr>
          <w:rFonts w:cstheme="minorHAnsi"/>
        </w:rPr>
        <w:t>o</w:t>
      </w:r>
      <w:r w:rsidRPr="00EA7AC6">
        <w:rPr>
          <w:rFonts w:cstheme="minorHAnsi"/>
        </w:rPr>
        <w:t xml:space="preserve">s </w:t>
      </w:r>
      <w:r w:rsidR="002D5A7A">
        <w:rPr>
          <w:rFonts w:cstheme="minorHAnsi"/>
        </w:rPr>
        <w:t xml:space="preserve">kaip </w:t>
      </w:r>
      <w:r w:rsidRPr="00EA7AC6">
        <w:rPr>
          <w:rFonts w:cstheme="minorHAnsi"/>
        </w:rPr>
        <w:t>bendr</w:t>
      </w:r>
      <w:r w:rsidR="002D5A7A">
        <w:rPr>
          <w:rFonts w:cstheme="minorHAnsi"/>
        </w:rPr>
        <w:t>as</w:t>
      </w:r>
      <w:r w:rsidRPr="00EA7AC6">
        <w:rPr>
          <w:rFonts w:cstheme="minorHAnsi"/>
        </w:rPr>
        <w:t xml:space="preserve"> </w:t>
      </w:r>
      <w:r w:rsidR="00FE60A9" w:rsidRPr="00EA7AC6">
        <w:rPr>
          <w:rFonts w:cstheme="minorHAnsi"/>
        </w:rPr>
        <w:t>per ataskaitinį laikotarpį, už kurį teikiama suvestinė pažyma</w:t>
      </w:r>
      <w:r w:rsidR="003D13CE" w:rsidRPr="00EA7AC6">
        <w:rPr>
          <w:rFonts w:cstheme="minorHAnsi"/>
        </w:rPr>
        <w:t>,</w:t>
      </w:r>
      <w:r w:rsidR="00FE60A9" w:rsidRPr="00EA7AC6">
        <w:rPr>
          <w:rFonts w:cstheme="minorHAnsi"/>
        </w:rPr>
        <w:t xml:space="preserve"> šiuo tikslu n</w:t>
      </w:r>
      <w:r w:rsidR="003D13CE" w:rsidRPr="00EA7AC6">
        <w:rPr>
          <w:rFonts w:cstheme="minorHAnsi"/>
        </w:rPr>
        <w:t xml:space="preserve">uvažiuotas kilometrų skaičius. </w:t>
      </w:r>
      <w:r w:rsidR="003D13CE" w:rsidRPr="00EA7AC6">
        <w:rPr>
          <w:rFonts w:cstheme="minorHAnsi"/>
        </w:rPr>
        <w:lastRenderedPageBreak/>
        <w:t>Taip pat p</w:t>
      </w:r>
      <w:r w:rsidR="00FE60A9" w:rsidRPr="00EA7AC6">
        <w:rPr>
          <w:rFonts w:cstheme="minorHAnsi"/>
        </w:rPr>
        <w:t xml:space="preserve">ateikiama kelionės maršruto išklotinė, nurodant kilometrų skaičių, kurioje (ar teikiant papildomą dokumentą) </w:t>
      </w:r>
      <w:r w:rsidR="00E62FEE" w:rsidRPr="00EA7AC6">
        <w:rPr>
          <w:rFonts w:cstheme="minorHAnsi"/>
        </w:rPr>
        <w:t>pažymima</w:t>
      </w:r>
      <w:r w:rsidR="00FE60A9" w:rsidRPr="00EA7AC6">
        <w:rPr>
          <w:rFonts w:cstheme="minorHAnsi"/>
        </w:rPr>
        <w:t>, kiek kartų per ataskaitinį laikotarpį šiuo maršrutu buvo važiuota.</w:t>
      </w:r>
    </w:p>
    <w:p w:rsidR="00FE60A9" w:rsidRDefault="00FE60A9" w:rsidP="00343FA3">
      <w:pPr>
        <w:tabs>
          <w:tab w:val="left" w:pos="0"/>
        </w:tabs>
        <w:ind w:firstLine="567"/>
        <w:jc w:val="both"/>
        <w:rPr>
          <w:rFonts w:cstheme="minorHAnsi"/>
        </w:rPr>
      </w:pPr>
      <w:r w:rsidRPr="00EA7AC6">
        <w:rPr>
          <w:rFonts w:cstheme="minorHAnsi"/>
        </w:rPr>
        <w:t xml:space="preserve">Komandiruočių ir kelionių Lietuvoje fiksuotieji įkainiai netaikomi </w:t>
      </w:r>
      <w:r w:rsidR="003D13CE" w:rsidRPr="00EA7AC6">
        <w:rPr>
          <w:rFonts w:cstheme="minorHAnsi"/>
        </w:rPr>
        <w:t>institucijų mokamom</w:t>
      </w:r>
      <w:r w:rsidRPr="00EA7AC6">
        <w:rPr>
          <w:rFonts w:cstheme="minorHAnsi"/>
        </w:rPr>
        <w:t>s kompensacijoms degalų įsigijimo ir automobilio amortizacijos išlaidoms padengti netarnybinius automobilius tarnybos reikmėms naudojantiems darbuotojams, kai tokios išlaidos apmokamos vadovaujantis Lietuvos Respublikos Vyriausybės 1998 m. lapkričio 17 d. nutarimu Nr. 1341 „Dėl Tarnybinių lengvųjų automobilių biudžetinėse įstaigose“ 1.8 papunkčiu Kompensacijos degalų įsigijimo ir amortizacijos išlaidoms apmokėti deklaruojamos įgyvendinančiajai institucijai pagal realiai patirtas išlaidas.</w:t>
      </w:r>
    </w:p>
    <w:p w:rsidR="003F2576" w:rsidRPr="00EA7AC6" w:rsidRDefault="003F2576" w:rsidP="003F2576">
      <w:pPr>
        <w:tabs>
          <w:tab w:val="left" w:pos="0"/>
          <w:tab w:val="left" w:pos="1134"/>
          <w:tab w:val="left" w:pos="1276"/>
        </w:tabs>
        <w:spacing w:before="240"/>
        <w:ind w:firstLine="567"/>
        <w:jc w:val="both"/>
        <w:rPr>
          <w:rFonts w:cstheme="minorHAnsi"/>
        </w:rPr>
      </w:pPr>
      <w:r w:rsidRPr="00EA7AC6">
        <w:rPr>
          <w:rFonts w:cstheme="minorHAnsi"/>
        </w:rPr>
        <w:t xml:space="preserve">Netinkamomis finansuoti taikant fiksuotuosius įkainius </w:t>
      </w:r>
      <w:r>
        <w:rPr>
          <w:rFonts w:cstheme="minorHAnsi"/>
        </w:rPr>
        <w:t>laikomos komandiruočių</w:t>
      </w:r>
      <w:r w:rsidRPr="00EA7AC6">
        <w:rPr>
          <w:rFonts w:cstheme="minorHAnsi"/>
        </w:rPr>
        <w:t xml:space="preserve"> </w:t>
      </w:r>
      <w:r>
        <w:rPr>
          <w:rFonts w:cstheme="minorHAnsi"/>
        </w:rPr>
        <w:t>(kelionių) Lietuvoje išlaidos</w:t>
      </w:r>
      <w:r w:rsidRPr="00EA7AC6">
        <w:rPr>
          <w:rFonts w:cstheme="minorHAnsi"/>
        </w:rPr>
        <w:t>, apmokėtos iš 2007</w:t>
      </w:r>
      <w:r w:rsidR="002B6D14">
        <w:rPr>
          <w:rFonts w:cstheme="minorHAnsi"/>
        </w:rPr>
        <w:t>−</w:t>
      </w:r>
      <w:r w:rsidRPr="00EA7AC6">
        <w:rPr>
          <w:rFonts w:cstheme="minorHAnsi"/>
        </w:rPr>
        <w:t>2013 m. ES struktūrinės paramos periodo lėšų.</w:t>
      </w:r>
      <w:r w:rsidR="00B6389A">
        <w:rPr>
          <w:rFonts w:cstheme="minorHAnsi"/>
        </w:rPr>
        <w:t xml:space="preserve"> </w:t>
      </w:r>
    </w:p>
    <w:p w:rsidR="007B4255" w:rsidRDefault="007B4255" w:rsidP="007B4255">
      <w:pPr>
        <w:pStyle w:val="Default"/>
      </w:pPr>
    </w:p>
    <w:p w:rsidR="001B3800" w:rsidRDefault="001B3800" w:rsidP="001B3800">
      <w:pPr>
        <w:keepNext/>
        <w:spacing w:before="240" w:after="60"/>
        <w:jc w:val="center"/>
        <w:outlineLvl w:val="2"/>
        <w:rPr>
          <w:rFonts w:ascii="Cambria" w:eastAsia="Times New Roman" w:hAnsi="Cambria" w:cs="Times New Roman"/>
          <w:b/>
          <w:bCs/>
          <w:sz w:val="26"/>
          <w:szCs w:val="26"/>
        </w:rPr>
      </w:pPr>
      <w:r w:rsidRPr="004B2B22">
        <w:rPr>
          <w:rFonts w:ascii="Cambria" w:eastAsia="Times New Roman" w:hAnsi="Cambria" w:cs="Times New Roman"/>
          <w:b/>
          <w:bCs/>
          <w:sz w:val="26"/>
          <w:szCs w:val="26"/>
        </w:rPr>
        <w:t>II</w:t>
      </w:r>
      <w:r>
        <w:rPr>
          <w:rFonts w:ascii="Cambria" w:eastAsia="Times New Roman" w:hAnsi="Cambria" w:cs="Times New Roman"/>
          <w:b/>
          <w:bCs/>
          <w:sz w:val="26"/>
          <w:szCs w:val="26"/>
        </w:rPr>
        <w:t>I</w:t>
      </w:r>
      <w:r w:rsidRPr="004B2B22">
        <w:rPr>
          <w:rFonts w:ascii="Cambria" w:eastAsia="Times New Roman" w:hAnsi="Cambria" w:cs="Times New Roman"/>
          <w:b/>
          <w:bCs/>
          <w:sz w:val="26"/>
          <w:szCs w:val="26"/>
        </w:rPr>
        <w:t>.</w:t>
      </w:r>
      <w:r>
        <w:rPr>
          <w:rFonts w:ascii="Cambria" w:eastAsia="Times New Roman" w:hAnsi="Cambria" w:cs="Times New Roman"/>
          <w:b/>
          <w:bCs/>
          <w:sz w:val="26"/>
          <w:szCs w:val="26"/>
        </w:rPr>
        <w:t>2</w:t>
      </w:r>
      <w:r w:rsidRPr="004B2B22">
        <w:rPr>
          <w:rFonts w:ascii="Cambria" w:eastAsia="Times New Roman" w:hAnsi="Cambria" w:cs="Times New Roman"/>
          <w:b/>
          <w:bCs/>
          <w:sz w:val="26"/>
          <w:szCs w:val="26"/>
        </w:rPr>
        <w:t xml:space="preserve">. </w:t>
      </w:r>
      <w:r>
        <w:rPr>
          <w:rFonts w:ascii="Cambria" w:eastAsia="Times New Roman" w:hAnsi="Cambria" w:cs="Times New Roman"/>
          <w:b/>
          <w:bCs/>
          <w:sz w:val="26"/>
          <w:szCs w:val="26"/>
        </w:rPr>
        <w:t>Komandiruočių į užsienį fiksuotieji įkainiai</w:t>
      </w:r>
    </w:p>
    <w:p w:rsidR="001B3800" w:rsidRDefault="001B3800" w:rsidP="001B3800">
      <w:pPr>
        <w:tabs>
          <w:tab w:val="left" w:pos="0"/>
        </w:tabs>
        <w:jc w:val="both"/>
        <w:rPr>
          <w:rFonts w:ascii="Times New Roman" w:hAnsi="Times New Roman" w:cs="Times New Roman"/>
          <w:sz w:val="24"/>
          <w:szCs w:val="24"/>
        </w:rPr>
      </w:pPr>
    </w:p>
    <w:p w:rsidR="001B3800" w:rsidRPr="00EA7AC6" w:rsidRDefault="001B3800" w:rsidP="00343FA3">
      <w:pPr>
        <w:tabs>
          <w:tab w:val="left" w:pos="0"/>
        </w:tabs>
        <w:ind w:firstLine="567"/>
        <w:jc w:val="both"/>
        <w:rPr>
          <w:rFonts w:cstheme="minorHAnsi"/>
        </w:rPr>
      </w:pPr>
      <w:r w:rsidRPr="00EA7AC6">
        <w:rPr>
          <w:rFonts w:cstheme="minorHAnsi"/>
          <w:b/>
        </w:rPr>
        <w:t>Komandiruočių į užsienį fiksuotieji įkainiai</w:t>
      </w:r>
      <w:r w:rsidRPr="00EA7AC6">
        <w:rPr>
          <w:rFonts w:cstheme="minorHAnsi"/>
        </w:rPr>
        <w:t xml:space="preserve"> apskaičiuojami pagal formules:</w:t>
      </w:r>
    </w:p>
    <w:p w:rsidR="00A024E7" w:rsidRPr="00EA7AC6" w:rsidRDefault="001B3800" w:rsidP="00CC0DCE">
      <w:pPr>
        <w:pStyle w:val="Sraopastraipa"/>
        <w:numPr>
          <w:ilvl w:val="0"/>
          <w:numId w:val="14"/>
        </w:numPr>
        <w:tabs>
          <w:tab w:val="left" w:pos="0"/>
        </w:tabs>
        <w:ind w:left="0" w:firstLine="851"/>
        <w:jc w:val="both"/>
        <w:rPr>
          <w:rFonts w:cstheme="minorHAnsi"/>
        </w:rPr>
      </w:pPr>
      <w:r w:rsidRPr="00EA7AC6">
        <w:rPr>
          <w:rFonts w:cstheme="minorHAnsi"/>
        </w:rPr>
        <w:t>Biudžetinėms įstaigoms, kai vienos komandiruotės metu vykstam</w:t>
      </w:r>
      <w:r w:rsidR="007154B3">
        <w:rPr>
          <w:rFonts w:cstheme="minorHAnsi"/>
        </w:rPr>
        <w:t>a tik į vieną užsienio valstybę:</w:t>
      </w:r>
    </w:p>
    <w:p w:rsidR="001B3800" w:rsidRPr="00EA7AC6" w:rsidRDefault="001B3800" w:rsidP="00CC0DCE">
      <w:pPr>
        <w:tabs>
          <w:tab w:val="left" w:pos="0"/>
        </w:tabs>
        <w:ind w:firstLine="567"/>
        <w:jc w:val="both"/>
        <w:rPr>
          <w:rFonts w:cstheme="minorHAnsi"/>
        </w:rPr>
      </w:pPr>
      <w:r w:rsidRPr="00805BDF">
        <w:rPr>
          <w:rFonts w:cstheme="minorHAnsi"/>
          <w:b/>
        </w:rPr>
        <w:t>FĮ</w:t>
      </w:r>
      <w:r w:rsidR="00805BDF" w:rsidRPr="00805BDF">
        <w:rPr>
          <w:rFonts w:cstheme="minorHAnsi"/>
          <w:b/>
          <w:vertAlign w:val="subscript"/>
        </w:rPr>
        <w:t>KO</w:t>
      </w:r>
      <w:r w:rsidR="00805BDF">
        <w:rPr>
          <w:rFonts w:cstheme="minorHAnsi"/>
          <w:b/>
          <w:vertAlign w:val="subscript"/>
        </w:rPr>
        <w:t>M</w:t>
      </w:r>
      <w:r w:rsidR="00805BDF" w:rsidRPr="00805BDF">
        <w:rPr>
          <w:rFonts w:cstheme="minorHAnsi"/>
          <w:b/>
          <w:vertAlign w:val="subscript"/>
        </w:rPr>
        <w:t>_UŽ</w:t>
      </w:r>
      <w:r w:rsidR="00A61BD1">
        <w:rPr>
          <w:rFonts w:cstheme="minorHAnsi"/>
          <w:b/>
          <w:vertAlign w:val="subscript"/>
        </w:rPr>
        <w:t>S</w:t>
      </w:r>
      <w:r w:rsidR="00805BDF" w:rsidRPr="00805BDF">
        <w:rPr>
          <w:rFonts w:cstheme="minorHAnsi"/>
          <w:b/>
          <w:vertAlign w:val="subscript"/>
        </w:rPr>
        <w:t>_</w:t>
      </w:r>
      <w:r w:rsidR="00C30F9C" w:rsidRPr="00805BDF">
        <w:rPr>
          <w:rFonts w:cstheme="minorHAnsi"/>
          <w:b/>
          <w:vertAlign w:val="subscript"/>
        </w:rPr>
        <w:t>BĮ</w:t>
      </w:r>
      <w:r w:rsidR="00805BDF" w:rsidRPr="00805BDF">
        <w:rPr>
          <w:rFonts w:cstheme="minorHAnsi"/>
          <w:b/>
          <w:vertAlign w:val="subscript"/>
        </w:rPr>
        <w:t>_</w:t>
      </w:r>
      <w:r w:rsidR="00C30F9C" w:rsidRPr="00805BDF">
        <w:rPr>
          <w:rFonts w:cstheme="minorHAnsi"/>
          <w:b/>
          <w:vertAlign w:val="subscript"/>
        </w:rPr>
        <w:t>1</w:t>
      </w:r>
      <w:r w:rsidRPr="00EA7AC6">
        <w:rPr>
          <w:rFonts w:cstheme="minorHAnsi"/>
          <w:lang w:val="en-US"/>
        </w:rPr>
        <w:t>=</w:t>
      </w:r>
      <w:r w:rsidRPr="00EA7AC6">
        <w:rPr>
          <w:rFonts w:cstheme="minorHAnsi"/>
        </w:rPr>
        <w:t>FĮ</w:t>
      </w:r>
      <w:r w:rsidRPr="00EA7AC6">
        <w:rPr>
          <w:rFonts w:cstheme="minorHAnsi"/>
          <w:vertAlign w:val="subscript"/>
        </w:rPr>
        <w:t>KU</w:t>
      </w:r>
      <w:r w:rsidRPr="00EA7AC6">
        <w:rPr>
          <w:rFonts w:cstheme="minorHAnsi"/>
        </w:rPr>
        <w:t>+FĮ</w:t>
      </w:r>
      <w:r w:rsidRPr="00EA7AC6">
        <w:rPr>
          <w:rFonts w:cstheme="minorHAnsi"/>
          <w:vertAlign w:val="subscript"/>
        </w:rPr>
        <w:t>VK</w:t>
      </w:r>
      <w:r w:rsidRPr="00EA7AC6">
        <w:rPr>
          <w:rFonts w:cstheme="minorHAnsi"/>
        </w:rPr>
        <w:t>*D+FĮ</w:t>
      </w:r>
      <w:r w:rsidRPr="00EA7AC6">
        <w:rPr>
          <w:rFonts w:cstheme="minorHAnsi"/>
          <w:vertAlign w:val="subscript"/>
        </w:rPr>
        <w:t>KT</w:t>
      </w:r>
      <w:r w:rsidR="00805BDF">
        <w:rPr>
          <w:rFonts w:cstheme="minorHAnsi"/>
        </w:rPr>
        <w:t>*D+</w:t>
      </w:r>
      <w:r w:rsidRPr="00EA7AC6">
        <w:rPr>
          <w:rFonts w:cstheme="minorHAnsi"/>
        </w:rPr>
        <w:t>FĮ</w:t>
      </w:r>
      <w:r w:rsidRPr="00EA7AC6">
        <w:rPr>
          <w:rFonts w:cstheme="minorHAnsi"/>
          <w:vertAlign w:val="subscript"/>
        </w:rPr>
        <w:t>DIEN</w:t>
      </w:r>
      <w:r w:rsidR="00805BDF">
        <w:rPr>
          <w:rFonts w:cstheme="minorHAnsi"/>
        </w:rPr>
        <w:t>*(D-0,5)</w:t>
      </w:r>
      <w:r w:rsidRPr="00EA7AC6">
        <w:rPr>
          <w:rFonts w:cstheme="minorHAnsi"/>
        </w:rPr>
        <w:t>*P</w:t>
      </w:r>
      <w:r w:rsidR="00A61BD1" w:rsidRPr="00805BDF">
        <w:rPr>
          <w:rFonts w:cstheme="minorHAnsi"/>
          <w:vertAlign w:val="subscript"/>
        </w:rPr>
        <w:t>DIEN</w:t>
      </w:r>
      <w:r w:rsidRPr="00EA7AC6">
        <w:rPr>
          <w:rFonts w:cstheme="minorHAnsi"/>
        </w:rPr>
        <w:t>/100+FĮ</w:t>
      </w:r>
      <w:r w:rsidRPr="00EA7AC6">
        <w:rPr>
          <w:rFonts w:cstheme="minorHAnsi"/>
          <w:vertAlign w:val="subscript"/>
        </w:rPr>
        <w:t>APG</w:t>
      </w:r>
      <w:r w:rsidRPr="00EA7AC6">
        <w:rPr>
          <w:rFonts w:cstheme="minorHAnsi"/>
        </w:rPr>
        <w:t>*(D-1)</w:t>
      </w:r>
      <w:r w:rsidR="00805BDF">
        <w:rPr>
          <w:rFonts w:cstheme="minorHAnsi"/>
        </w:rPr>
        <w:t>*P</w:t>
      </w:r>
      <w:r w:rsidR="00805BDF" w:rsidRPr="00805BDF">
        <w:rPr>
          <w:rFonts w:cstheme="minorHAnsi"/>
          <w:vertAlign w:val="subscript"/>
        </w:rPr>
        <w:t>APG</w:t>
      </w:r>
      <w:r w:rsidR="00F74DA4">
        <w:rPr>
          <w:rFonts w:cstheme="minorHAnsi"/>
        </w:rPr>
        <w:t>/100</w:t>
      </w:r>
      <w:r w:rsidR="006D0ACE">
        <w:rPr>
          <w:rFonts w:cstheme="minorHAnsi"/>
        </w:rPr>
        <w:tab/>
      </w:r>
      <w:r w:rsidR="006D0ACE">
        <w:rPr>
          <w:rFonts w:cstheme="minorHAnsi"/>
        </w:rPr>
        <w:tab/>
        <w:t>(F6</w:t>
      </w:r>
      <w:r w:rsidR="00E17E65">
        <w:rPr>
          <w:rFonts w:cstheme="minorHAnsi"/>
        </w:rPr>
        <w:t>);</w:t>
      </w:r>
    </w:p>
    <w:p w:rsidR="001B3800" w:rsidRPr="00EA7AC6" w:rsidRDefault="001B3800" w:rsidP="00CC0DCE">
      <w:pPr>
        <w:pStyle w:val="Sraopastraipa"/>
        <w:numPr>
          <w:ilvl w:val="0"/>
          <w:numId w:val="14"/>
        </w:numPr>
        <w:tabs>
          <w:tab w:val="left" w:pos="0"/>
        </w:tabs>
        <w:ind w:left="0" w:firstLine="851"/>
        <w:jc w:val="both"/>
        <w:rPr>
          <w:rFonts w:cstheme="minorHAnsi"/>
        </w:rPr>
      </w:pPr>
      <w:r w:rsidRPr="00EA7AC6">
        <w:rPr>
          <w:rFonts w:cstheme="minorHAnsi"/>
        </w:rPr>
        <w:t xml:space="preserve">Biudžetinėms įstaigoms, kai vienos komandiruotės į užsienį metu yra vykstama į dvi užsienio valstybes ir atvykimo į pirmąją užsienio valstybę diena </w:t>
      </w:r>
      <w:r w:rsidRPr="00E17E65">
        <w:rPr>
          <w:rFonts w:cstheme="minorHAnsi"/>
          <w:b/>
        </w:rPr>
        <w:t>nesutampa</w:t>
      </w:r>
      <w:r w:rsidRPr="00EA7AC6">
        <w:rPr>
          <w:rFonts w:cstheme="minorHAnsi"/>
        </w:rPr>
        <w:t xml:space="preserve"> su atvykimo į antrąją užsienio valstybę diena</w:t>
      </w:r>
      <w:r w:rsidR="007154B3">
        <w:rPr>
          <w:rFonts w:cstheme="minorHAnsi"/>
        </w:rPr>
        <w:t>:</w:t>
      </w:r>
    </w:p>
    <w:p w:rsidR="001B3800" w:rsidRPr="00EA7AC6" w:rsidRDefault="001B3800" w:rsidP="00CC0DCE">
      <w:pPr>
        <w:tabs>
          <w:tab w:val="left" w:pos="0"/>
        </w:tabs>
        <w:ind w:firstLine="567"/>
        <w:jc w:val="both"/>
        <w:rPr>
          <w:rFonts w:cstheme="minorHAnsi"/>
        </w:rPr>
      </w:pPr>
      <w:r w:rsidRPr="002E0FFC">
        <w:rPr>
          <w:rFonts w:cstheme="minorHAnsi"/>
          <w:b/>
        </w:rPr>
        <w:t>FĮ</w:t>
      </w:r>
      <w:r w:rsidR="00A61BD1" w:rsidRPr="00805BDF">
        <w:rPr>
          <w:rFonts w:cstheme="minorHAnsi"/>
          <w:b/>
          <w:vertAlign w:val="subscript"/>
        </w:rPr>
        <w:t>KO</w:t>
      </w:r>
      <w:r w:rsidR="00A61BD1">
        <w:rPr>
          <w:rFonts w:cstheme="minorHAnsi"/>
          <w:b/>
          <w:vertAlign w:val="subscript"/>
        </w:rPr>
        <w:t>M</w:t>
      </w:r>
      <w:r w:rsidR="00A61BD1" w:rsidRPr="00805BDF">
        <w:rPr>
          <w:rFonts w:cstheme="minorHAnsi"/>
          <w:b/>
          <w:vertAlign w:val="subscript"/>
        </w:rPr>
        <w:t>_UŽ</w:t>
      </w:r>
      <w:r w:rsidR="00A61BD1">
        <w:rPr>
          <w:rFonts w:cstheme="minorHAnsi"/>
          <w:b/>
          <w:vertAlign w:val="subscript"/>
        </w:rPr>
        <w:t>S</w:t>
      </w:r>
      <w:r w:rsidR="00A61BD1" w:rsidRPr="00805BDF">
        <w:rPr>
          <w:rFonts w:cstheme="minorHAnsi"/>
          <w:b/>
          <w:vertAlign w:val="subscript"/>
        </w:rPr>
        <w:t>_BĮ_</w:t>
      </w:r>
      <w:r w:rsidR="00A61BD1">
        <w:rPr>
          <w:rFonts w:cstheme="minorHAnsi"/>
          <w:b/>
          <w:vertAlign w:val="subscript"/>
        </w:rPr>
        <w:t>2nesut</w:t>
      </w:r>
      <w:r w:rsidRPr="00EA7AC6">
        <w:rPr>
          <w:rFonts w:cstheme="minorHAnsi"/>
          <w:lang w:val="en-US"/>
        </w:rPr>
        <w:t>=</w:t>
      </w:r>
      <w:r w:rsidRPr="00EA7AC6">
        <w:rPr>
          <w:rFonts w:cstheme="minorHAnsi"/>
        </w:rPr>
        <w:t>(FĮ</w:t>
      </w:r>
      <w:r w:rsidRPr="00EA7AC6">
        <w:rPr>
          <w:rFonts w:cstheme="minorHAnsi"/>
          <w:vertAlign w:val="subscript"/>
        </w:rPr>
        <w:t>KU1</w:t>
      </w:r>
      <w:r w:rsidRPr="00EA7AC6">
        <w:rPr>
          <w:rFonts w:cstheme="minorHAnsi"/>
        </w:rPr>
        <w:t>+FĮ</w:t>
      </w:r>
      <w:r w:rsidRPr="00EA7AC6">
        <w:rPr>
          <w:rFonts w:cstheme="minorHAnsi"/>
          <w:vertAlign w:val="subscript"/>
        </w:rPr>
        <w:t>KU2</w:t>
      </w:r>
      <w:r w:rsidR="0011502E">
        <w:rPr>
          <w:rFonts w:cstheme="minorHAnsi"/>
        </w:rPr>
        <w:t>)*0,5+</w:t>
      </w:r>
      <w:r w:rsidRPr="00EA7AC6">
        <w:rPr>
          <w:rFonts w:cstheme="minorHAnsi"/>
        </w:rPr>
        <w:t>FĮ</w:t>
      </w:r>
      <w:r w:rsidRPr="00EA7AC6">
        <w:rPr>
          <w:rFonts w:cstheme="minorHAnsi"/>
          <w:vertAlign w:val="subscript"/>
        </w:rPr>
        <w:t>VK</w:t>
      </w:r>
      <w:r w:rsidR="002E0FFC">
        <w:rPr>
          <w:rFonts w:cstheme="minorHAnsi"/>
        </w:rPr>
        <w:t>*</w:t>
      </w:r>
      <w:r w:rsidR="002E0FFC" w:rsidRPr="00EA7AC6">
        <w:rPr>
          <w:rFonts w:cstheme="minorHAnsi"/>
        </w:rPr>
        <w:t>D</w:t>
      </w:r>
      <w:r w:rsidR="002E0FFC" w:rsidRPr="00EA7AC6">
        <w:rPr>
          <w:rFonts w:cstheme="minorHAnsi"/>
          <w:vertAlign w:val="subscript"/>
        </w:rPr>
        <w:t>1</w:t>
      </w:r>
      <w:r w:rsidRPr="00EA7AC6">
        <w:rPr>
          <w:rFonts w:cstheme="minorHAnsi"/>
        </w:rPr>
        <w:t>+FĮ</w:t>
      </w:r>
      <w:r w:rsidRPr="00EA7AC6">
        <w:rPr>
          <w:rFonts w:cstheme="minorHAnsi"/>
          <w:vertAlign w:val="subscript"/>
        </w:rPr>
        <w:t>KT</w:t>
      </w:r>
      <w:r w:rsidR="002E0FFC">
        <w:rPr>
          <w:rFonts w:cstheme="minorHAnsi"/>
        </w:rPr>
        <w:t>*</w:t>
      </w:r>
      <w:r w:rsidRPr="00EA7AC6">
        <w:rPr>
          <w:rFonts w:cstheme="minorHAnsi"/>
        </w:rPr>
        <w:t>D</w:t>
      </w:r>
      <w:r w:rsidRPr="00EA7AC6">
        <w:rPr>
          <w:rFonts w:cstheme="minorHAnsi"/>
          <w:vertAlign w:val="subscript"/>
        </w:rPr>
        <w:t>1</w:t>
      </w:r>
      <w:r w:rsidR="0011502E">
        <w:rPr>
          <w:rFonts w:cstheme="minorHAnsi"/>
        </w:rPr>
        <w:t>+</w:t>
      </w:r>
      <w:r w:rsidR="002E0FFC" w:rsidRPr="00EA7AC6">
        <w:rPr>
          <w:rFonts w:cstheme="minorHAnsi"/>
        </w:rPr>
        <w:t>FĮ</w:t>
      </w:r>
      <w:r w:rsidR="002E0FFC" w:rsidRPr="00EA7AC6">
        <w:rPr>
          <w:rFonts w:cstheme="minorHAnsi"/>
          <w:vertAlign w:val="subscript"/>
        </w:rPr>
        <w:t>VK</w:t>
      </w:r>
      <w:r w:rsidR="0011502E">
        <w:rPr>
          <w:rFonts w:cstheme="minorHAnsi"/>
        </w:rPr>
        <w:t>*</w:t>
      </w:r>
      <w:r w:rsidR="0011502E" w:rsidRPr="00EA7AC6">
        <w:rPr>
          <w:rFonts w:cstheme="minorHAnsi"/>
        </w:rPr>
        <w:t>D</w:t>
      </w:r>
      <w:r w:rsidR="0011502E" w:rsidRPr="00EA7AC6">
        <w:rPr>
          <w:rFonts w:cstheme="minorHAnsi"/>
          <w:vertAlign w:val="subscript"/>
        </w:rPr>
        <w:t>2</w:t>
      </w:r>
      <w:r w:rsidR="002E0FFC" w:rsidRPr="00EA7AC6">
        <w:rPr>
          <w:rFonts w:cstheme="minorHAnsi"/>
        </w:rPr>
        <w:t>+FĮ</w:t>
      </w:r>
      <w:r w:rsidR="002E0FFC" w:rsidRPr="00EA7AC6">
        <w:rPr>
          <w:rFonts w:cstheme="minorHAnsi"/>
          <w:vertAlign w:val="subscript"/>
        </w:rPr>
        <w:t>KT</w:t>
      </w:r>
      <w:r w:rsidR="002E0FFC">
        <w:rPr>
          <w:rFonts w:cstheme="minorHAnsi"/>
        </w:rPr>
        <w:t>*</w:t>
      </w:r>
      <w:r w:rsidRPr="00EA7AC6">
        <w:rPr>
          <w:rFonts w:cstheme="minorHAnsi"/>
        </w:rPr>
        <w:t>D</w:t>
      </w:r>
      <w:r w:rsidRPr="00EA7AC6">
        <w:rPr>
          <w:rFonts w:cstheme="minorHAnsi"/>
          <w:vertAlign w:val="subscript"/>
        </w:rPr>
        <w:t>2</w:t>
      </w:r>
      <w:r w:rsidR="0011502E">
        <w:rPr>
          <w:rFonts w:cstheme="minorHAnsi"/>
        </w:rPr>
        <w:t>+</w:t>
      </w:r>
      <w:r w:rsidRPr="00EA7AC6">
        <w:rPr>
          <w:rFonts w:cstheme="minorHAnsi"/>
        </w:rPr>
        <w:t>FĮ</w:t>
      </w:r>
      <w:r w:rsidRPr="00EA7AC6">
        <w:rPr>
          <w:rFonts w:cstheme="minorHAnsi"/>
          <w:vertAlign w:val="subscript"/>
        </w:rPr>
        <w:t>DIEN1</w:t>
      </w:r>
      <w:r w:rsidRPr="00EA7AC6">
        <w:rPr>
          <w:rFonts w:cstheme="minorHAnsi"/>
        </w:rPr>
        <w:t>*(D</w:t>
      </w:r>
      <w:r w:rsidRPr="00EA7AC6">
        <w:rPr>
          <w:rFonts w:cstheme="minorHAnsi"/>
          <w:vertAlign w:val="subscript"/>
        </w:rPr>
        <w:t>1</w:t>
      </w:r>
      <w:r w:rsidR="00A61BD1">
        <w:rPr>
          <w:rFonts w:cstheme="minorHAnsi"/>
        </w:rPr>
        <w:t>-0,5)</w:t>
      </w:r>
      <w:r w:rsidR="0011502E">
        <w:rPr>
          <w:rFonts w:cstheme="minorHAnsi"/>
        </w:rPr>
        <w:t>*P</w:t>
      </w:r>
      <w:r w:rsidR="0011502E" w:rsidRPr="0011502E">
        <w:rPr>
          <w:rFonts w:cstheme="minorHAnsi"/>
          <w:vertAlign w:val="subscript"/>
        </w:rPr>
        <w:t>DIEN1</w:t>
      </w:r>
      <w:r w:rsidR="0011502E">
        <w:rPr>
          <w:rFonts w:cstheme="minorHAnsi"/>
        </w:rPr>
        <w:t>/100</w:t>
      </w:r>
      <w:r w:rsidR="00A61BD1">
        <w:rPr>
          <w:rFonts w:cstheme="minorHAnsi"/>
        </w:rPr>
        <w:t>+</w:t>
      </w:r>
      <w:r w:rsidRPr="00EA7AC6">
        <w:rPr>
          <w:rFonts w:cstheme="minorHAnsi"/>
        </w:rPr>
        <w:t>FĮ</w:t>
      </w:r>
      <w:r w:rsidRPr="00EA7AC6">
        <w:rPr>
          <w:rFonts w:cstheme="minorHAnsi"/>
          <w:vertAlign w:val="subscript"/>
        </w:rPr>
        <w:t>DIEN2</w:t>
      </w:r>
      <w:r w:rsidRPr="00EA7AC6">
        <w:rPr>
          <w:rFonts w:cstheme="minorHAnsi"/>
        </w:rPr>
        <w:t>*D</w:t>
      </w:r>
      <w:r w:rsidRPr="00EA7AC6">
        <w:rPr>
          <w:rFonts w:cstheme="minorHAnsi"/>
          <w:vertAlign w:val="subscript"/>
        </w:rPr>
        <w:t>2</w:t>
      </w:r>
      <w:r w:rsidRPr="00EA7AC6">
        <w:rPr>
          <w:rFonts w:cstheme="minorHAnsi"/>
        </w:rPr>
        <w:t>*P</w:t>
      </w:r>
      <w:r w:rsidR="0011502E" w:rsidRPr="0011502E">
        <w:rPr>
          <w:rFonts w:cstheme="minorHAnsi"/>
          <w:vertAlign w:val="subscript"/>
        </w:rPr>
        <w:t xml:space="preserve"> </w:t>
      </w:r>
      <w:r w:rsidR="0011502E">
        <w:rPr>
          <w:rFonts w:cstheme="minorHAnsi"/>
          <w:vertAlign w:val="subscript"/>
        </w:rPr>
        <w:t>DIEN2</w:t>
      </w:r>
      <w:r w:rsidRPr="00EA7AC6">
        <w:rPr>
          <w:rFonts w:cstheme="minorHAnsi"/>
        </w:rPr>
        <w:t>/100+FĮ</w:t>
      </w:r>
      <w:r w:rsidRPr="00EA7AC6">
        <w:rPr>
          <w:rFonts w:cstheme="minorHAnsi"/>
          <w:vertAlign w:val="subscript"/>
        </w:rPr>
        <w:t>APG1</w:t>
      </w:r>
      <w:r w:rsidRPr="00EA7AC6">
        <w:rPr>
          <w:rFonts w:cstheme="minorHAnsi"/>
        </w:rPr>
        <w:t>*(D</w:t>
      </w:r>
      <w:r w:rsidRPr="00EA7AC6">
        <w:rPr>
          <w:rFonts w:cstheme="minorHAnsi"/>
          <w:vertAlign w:val="subscript"/>
        </w:rPr>
        <w:t>1</w:t>
      </w:r>
      <w:r w:rsidRPr="00EA7AC6">
        <w:rPr>
          <w:rFonts w:cstheme="minorHAnsi"/>
        </w:rPr>
        <w:t>-0,5)</w:t>
      </w:r>
      <w:r w:rsidR="0011502E">
        <w:rPr>
          <w:rFonts w:cstheme="minorHAnsi"/>
        </w:rPr>
        <w:t>*P</w:t>
      </w:r>
      <w:r w:rsidR="0011502E" w:rsidRPr="00EA7AC6">
        <w:rPr>
          <w:rFonts w:cstheme="minorHAnsi"/>
          <w:vertAlign w:val="subscript"/>
        </w:rPr>
        <w:t>APG1</w:t>
      </w:r>
      <w:r w:rsidR="0011502E">
        <w:rPr>
          <w:rFonts w:cstheme="minorHAnsi"/>
        </w:rPr>
        <w:t>/100</w:t>
      </w:r>
      <w:r w:rsidRPr="00EA7AC6">
        <w:rPr>
          <w:rFonts w:cstheme="minorHAnsi"/>
        </w:rPr>
        <w:t>+FĮ</w:t>
      </w:r>
      <w:r w:rsidRPr="00EA7AC6">
        <w:rPr>
          <w:rFonts w:cstheme="minorHAnsi"/>
          <w:vertAlign w:val="subscript"/>
        </w:rPr>
        <w:t>APG2</w:t>
      </w:r>
      <w:r w:rsidRPr="00EA7AC6">
        <w:rPr>
          <w:rFonts w:cstheme="minorHAnsi"/>
        </w:rPr>
        <w:t>*(D</w:t>
      </w:r>
      <w:r w:rsidR="0011502E">
        <w:rPr>
          <w:rFonts w:cstheme="minorHAnsi"/>
          <w:vertAlign w:val="subscript"/>
        </w:rPr>
        <w:t>2</w:t>
      </w:r>
      <w:r w:rsidRPr="00EA7AC6">
        <w:rPr>
          <w:rFonts w:cstheme="minorHAnsi"/>
        </w:rPr>
        <w:t>-0,5)</w:t>
      </w:r>
      <w:r w:rsidR="0011502E">
        <w:rPr>
          <w:rFonts w:cstheme="minorHAnsi"/>
        </w:rPr>
        <w:t>*P</w:t>
      </w:r>
      <w:r w:rsidR="0011502E">
        <w:rPr>
          <w:rFonts w:cstheme="minorHAnsi"/>
          <w:vertAlign w:val="subscript"/>
        </w:rPr>
        <w:t>APG2</w:t>
      </w:r>
      <w:r w:rsidR="0011502E">
        <w:rPr>
          <w:rFonts w:cstheme="minorHAnsi"/>
        </w:rPr>
        <w:t>/100</w:t>
      </w:r>
      <w:r w:rsidR="00091F50">
        <w:rPr>
          <w:rFonts w:cstheme="minorHAnsi"/>
        </w:rPr>
        <w:tab/>
      </w:r>
      <w:r w:rsidR="006D0ACE">
        <w:rPr>
          <w:rFonts w:cstheme="minorHAnsi"/>
        </w:rPr>
        <w:t>(F7</w:t>
      </w:r>
      <w:r w:rsidR="00E17E65">
        <w:rPr>
          <w:rFonts w:cstheme="minorHAnsi"/>
        </w:rPr>
        <w:t>);</w:t>
      </w:r>
    </w:p>
    <w:p w:rsidR="001B3800" w:rsidRPr="00EA7AC6" w:rsidRDefault="001B3800" w:rsidP="00CC0DCE">
      <w:pPr>
        <w:pStyle w:val="Sraopastraipa"/>
        <w:numPr>
          <w:ilvl w:val="0"/>
          <w:numId w:val="14"/>
        </w:numPr>
        <w:tabs>
          <w:tab w:val="left" w:pos="0"/>
        </w:tabs>
        <w:ind w:left="0" w:firstLine="851"/>
        <w:jc w:val="both"/>
        <w:rPr>
          <w:rFonts w:cstheme="minorHAnsi"/>
        </w:rPr>
      </w:pPr>
      <w:r w:rsidRPr="00EA7AC6">
        <w:rPr>
          <w:rFonts w:cstheme="minorHAnsi"/>
        </w:rPr>
        <w:t xml:space="preserve">Biudžetinėms įstaigoms, kai vienos komandiruotės į užsienį metu yra vykstama į dvi užsienio valstybes ir atvykimo į pirmąją užsienio valstybę diena </w:t>
      </w:r>
      <w:r w:rsidRPr="00E17E65">
        <w:rPr>
          <w:rFonts w:cstheme="minorHAnsi"/>
          <w:b/>
        </w:rPr>
        <w:t>sutampa</w:t>
      </w:r>
      <w:r w:rsidRPr="00EA7AC6">
        <w:rPr>
          <w:rFonts w:cstheme="minorHAnsi"/>
        </w:rPr>
        <w:t xml:space="preserve"> su atvykimo į antrąją užsienio valstybę diena</w:t>
      </w:r>
    </w:p>
    <w:p w:rsidR="001B3800" w:rsidRDefault="001B3800" w:rsidP="001B3800">
      <w:pPr>
        <w:pStyle w:val="Sraopastraipa"/>
        <w:tabs>
          <w:tab w:val="left" w:pos="0"/>
        </w:tabs>
        <w:jc w:val="both"/>
        <w:rPr>
          <w:rFonts w:cstheme="minorHAnsi"/>
        </w:rPr>
      </w:pPr>
    </w:p>
    <w:p w:rsidR="001B3800" w:rsidRPr="00AE2EAE" w:rsidRDefault="0011502E" w:rsidP="00CC0DCE">
      <w:pPr>
        <w:tabs>
          <w:tab w:val="left" w:pos="0"/>
        </w:tabs>
        <w:ind w:firstLine="567"/>
        <w:jc w:val="both"/>
        <w:rPr>
          <w:rFonts w:cstheme="minorHAnsi"/>
        </w:rPr>
      </w:pPr>
      <w:r w:rsidRPr="002E0FFC">
        <w:rPr>
          <w:rFonts w:cstheme="minorHAnsi"/>
          <w:b/>
        </w:rPr>
        <w:t>FĮ</w:t>
      </w:r>
      <w:r w:rsidRPr="00805BDF">
        <w:rPr>
          <w:rFonts w:cstheme="minorHAnsi"/>
          <w:b/>
          <w:vertAlign w:val="subscript"/>
        </w:rPr>
        <w:t>KO</w:t>
      </w:r>
      <w:r>
        <w:rPr>
          <w:rFonts w:cstheme="minorHAnsi"/>
          <w:b/>
          <w:vertAlign w:val="subscript"/>
        </w:rPr>
        <w:t>M</w:t>
      </w:r>
      <w:r w:rsidRPr="00805BDF">
        <w:rPr>
          <w:rFonts w:cstheme="minorHAnsi"/>
          <w:b/>
          <w:vertAlign w:val="subscript"/>
        </w:rPr>
        <w:t>_UŽ</w:t>
      </w:r>
      <w:r>
        <w:rPr>
          <w:rFonts w:cstheme="minorHAnsi"/>
          <w:b/>
          <w:vertAlign w:val="subscript"/>
        </w:rPr>
        <w:t>S</w:t>
      </w:r>
      <w:r w:rsidRPr="00805BDF">
        <w:rPr>
          <w:rFonts w:cstheme="minorHAnsi"/>
          <w:b/>
          <w:vertAlign w:val="subscript"/>
        </w:rPr>
        <w:t>_BĮ_</w:t>
      </w:r>
      <w:r>
        <w:rPr>
          <w:rFonts w:cstheme="minorHAnsi"/>
          <w:b/>
          <w:vertAlign w:val="subscript"/>
        </w:rPr>
        <w:t>2sut</w:t>
      </w:r>
      <w:r w:rsidRPr="00EA7AC6">
        <w:rPr>
          <w:rFonts w:cstheme="minorHAnsi"/>
          <w:lang w:val="en-US"/>
        </w:rPr>
        <w:t>=</w:t>
      </w:r>
      <w:r w:rsidRPr="00EA7AC6">
        <w:rPr>
          <w:rFonts w:cstheme="minorHAnsi"/>
        </w:rPr>
        <w:t>(FĮ</w:t>
      </w:r>
      <w:r w:rsidRPr="00EA7AC6">
        <w:rPr>
          <w:rFonts w:cstheme="minorHAnsi"/>
          <w:vertAlign w:val="subscript"/>
        </w:rPr>
        <w:t>KU1</w:t>
      </w:r>
      <w:r w:rsidRPr="00EA7AC6">
        <w:rPr>
          <w:rFonts w:cstheme="minorHAnsi"/>
        </w:rPr>
        <w:t>+FĮ</w:t>
      </w:r>
      <w:r w:rsidRPr="00EA7AC6">
        <w:rPr>
          <w:rFonts w:cstheme="minorHAnsi"/>
          <w:vertAlign w:val="subscript"/>
        </w:rPr>
        <w:t>KU2</w:t>
      </w:r>
      <w:r>
        <w:rPr>
          <w:rFonts w:cstheme="minorHAnsi"/>
        </w:rPr>
        <w:t>)*0,5+</w:t>
      </w:r>
      <w:r w:rsidRPr="00EA7AC6">
        <w:rPr>
          <w:rFonts w:cstheme="minorHAnsi"/>
        </w:rPr>
        <w:t>FĮ</w:t>
      </w:r>
      <w:r w:rsidRPr="00EA7AC6">
        <w:rPr>
          <w:rFonts w:cstheme="minorHAnsi"/>
          <w:vertAlign w:val="subscript"/>
        </w:rPr>
        <w:t>VK</w:t>
      </w:r>
      <w:r>
        <w:rPr>
          <w:rFonts w:cstheme="minorHAnsi"/>
        </w:rPr>
        <w:t>*</w:t>
      </w:r>
      <w:r w:rsidRPr="00EA7AC6">
        <w:rPr>
          <w:rFonts w:cstheme="minorHAnsi"/>
        </w:rPr>
        <w:t>D</w:t>
      </w:r>
      <w:r w:rsidRPr="00EA7AC6">
        <w:rPr>
          <w:rFonts w:cstheme="minorHAnsi"/>
          <w:vertAlign w:val="subscript"/>
        </w:rPr>
        <w:t>1</w:t>
      </w:r>
      <w:r w:rsidRPr="00EA7AC6">
        <w:rPr>
          <w:rFonts w:cstheme="minorHAnsi"/>
        </w:rPr>
        <w:t>+FĮ</w:t>
      </w:r>
      <w:r w:rsidRPr="00EA7AC6">
        <w:rPr>
          <w:rFonts w:cstheme="minorHAnsi"/>
          <w:vertAlign w:val="subscript"/>
        </w:rPr>
        <w:t>KT</w:t>
      </w:r>
      <w:r>
        <w:rPr>
          <w:rFonts w:cstheme="minorHAnsi"/>
        </w:rPr>
        <w:t>*</w:t>
      </w:r>
      <w:r w:rsidRPr="00EA7AC6">
        <w:rPr>
          <w:rFonts w:cstheme="minorHAnsi"/>
        </w:rPr>
        <w:t>D</w:t>
      </w:r>
      <w:r w:rsidRPr="00EA7AC6">
        <w:rPr>
          <w:rFonts w:cstheme="minorHAnsi"/>
          <w:vertAlign w:val="subscript"/>
        </w:rPr>
        <w:t>1</w:t>
      </w:r>
      <w:r>
        <w:rPr>
          <w:rFonts w:cstheme="minorHAnsi"/>
        </w:rPr>
        <w:t>+</w:t>
      </w:r>
      <w:r w:rsidRPr="00EA7AC6">
        <w:rPr>
          <w:rFonts w:cstheme="minorHAnsi"/>
        </w:rPr>
        <w:t>FĮ</w:t>
      </w:r>
      <w:r w:rsidRPr="00EA7AC6">
        <w:rPr>
          <w:rFonts w:cstheme="minorHAnsi"/>
          <w:vertAlign w:val="subscript"/>
        </w:rPr>
        <w:t>VK</w:t>
      </w:r>
      <w:r>
        <w:rPr>
          <w:rFonts w:cstheme="minorHAnsi"/>
        </w:rPr>
        <w:t>*</w:t>
      </w:r>
      <w:r w:rsidRPr="00EA7AC6">
        <w:rPr>
          <w:rFonts w:cstheme="minorHAnsi"/>
        </w:rPr>
        <w:t>D</w:t>
      </w:r>
      <w:r w:rsidRPr="00EA7AC6">
        <w:rPr>
          <w:rFonts w:cstheme="minorHAnsi"/>
          <w:vertAlign w:val="subscript"/>
        </w:rPr>
        <w:t>2</w:t>
      </w:r>
      <w:r w:rsidRPr="00EA7AC6">
        <w:rPr>
          <w:rFonts w:cstheme="minorHAnsi"/>
        </w:rPr>
        <w:t>+FĮ</w:t>
      </w:r>
      <w:r w:rsidRPr="00EA7AC6">
        <w:rPr>
          <w:rFonts w:cstheme="minorHAnsi"/>
          <w:vertAlign w:val="subscript"/>
        </w:rPr>
        <w:t>KT</w:t>
      </w:r>
      <w:r>
        <w:rPr>
          <w:rFonts w:cstheme="minorHAnsi"/>
        </w:rPr>
        <w:t>*</w:t>
      </w:r>
      <w:r w:rsidRPr="00EA7AC6">
        <w:rPr>
          <w:rFonts w:cstheme="minorHAnsi"/>
        </w:rPr>
        <w:t>D</w:t>
      </w:r>
      <w:r w:rsidRPr="00EA7AC6">
        <w:rPr>
          <w:rFonts w:cstheme="minorHAnsi"/>
          <w:vertAlign w:val="subscript"/>
        </w:rPr>
        <w:t>2</w:t>
      </w:r>
      <w:r>
        <w:rPr>
          <w:rFonts w:cstheme="minorHAnsi"/>
        </w:rPr>
        <w:t>+</w:t>
      </w:r>
      <w:r w:rsidRPr="00EA7AC6">
        <w:rPr>
          <w:rFonts w:cstheme="minorHAnsi"/>
        </w:rPr>
        <w:t>FĮ</w:t>
      </w:r>
      <w:r w:rsidRPr="00EA7AC6">
        <w:rPr>
          <w:rFonts w:cstheme="minorHAnsi"/>
          <w:vertAlign w:val="subscript"/>
        </w:rPr>
        <w:t>DIEN1</w:t>
      </w:r>
      <w:r w:rsidR="00531491">
        <w:rPr>
          <w:rFonts w:cstheme="minorHAnsi"/>
        </w:rPr>
        <w:t>*</w:t>
      </w:r>
      <w:r w:rsidRPr="00EA7AC6">
        <w:rPr>
          <w:rFonts w:cstheme="minorHAnsi"/>
        </w:rPr>
        <w:t>D</w:t>
      </w:r>
      <w:r w:rsidRPr="00EA7AC6">
        <w:rPr>
          <w:rFonts w:cstheme="minorHAnsi"/>
          <w:vertAlign w:val="subscript"/>
        </w:rPr>
        <w:t>1</w:t>
      </w:r>
      <w:r>
        <w:rPr>
          <w:rFonts w:cstheme="minorHAnsi"/>
        </w:rPr>
        <w:t>*P</w:t>
      </w:r>
      <w:r w:rsidRPr="0011502E">
        <w:rPr>
          <w:rFonts w:cstheme="minorHAnsi"/>
          <w:vertAlign w:val="subscript"/>
        </w:rPr>
        <w:t>DIEN1</w:t>
      </w:r>
      <w:r>
        <w:rPr>
          <w:rFonts w:cstheme="minorHAnsi"/>
        </w:rPr>
        <w:t>/100+</w:t>
      </w:r>
      <w:r w:rsidRPr="00EA7AC6">
        <w:rPr>
          <w:rFonts w:cstheme="minorHAnsi"/>
        </w:rPr>
        <w:t>FĮ</w:t>
      </w:r>
      <w:r w:rsidRPr="00EA7AC6">
        <w:rPr>
          <w:rFonts w:cstheme="minorHAnsi"/>
          <w:vertAlign w:val="subscript"/>
        </w:rPr>
        <w:t>DIEN2</w:t>
      </w:r>
      <w:r w:rsidRPr="00EA7AC6">
        <w:rPr>
          <w:rFonts w:cstheme="minorHAnsi"/>
        </w:rPr>
        <w:t>*</w:t>
      </w:r>
      <w:r w:rsidR="00531491">
        <w:rPr>
          <w:rFonts w:cstheme="minorHAnsi"/>
        </w:rPr>
        <w:t>(</w:t>
      </w:r>
      <w:r w:rsidRPr="00EA7AC6">
        <w:rPr>
          <w:rFonts w:cstheme="minorHAnsi"/>
        </w:rPr>
        <w:t>D</w:t>
      </w:r>
      <w:r w:rsidRPr="00EA7AC6">
        <w:rPr>
          <w:rFonts w:cstheme="minorHAnsi"/>
          <w:vertAlign w:val="subscript"/>
        </w:rPr>
        <w:t>2</w:t>
      </w:r>
      <w:r w:rsidR="00531491">
        <w:rPr>
          <w:rFonts w:cstheme="minorHAnsi"/>
        </w:rPr>
        <w:t>-0,5)</w:t>
      </w:r>
      <w:r w:rsidRPr="00EA7AC6">
        <w:rPr>
          <w:rFonts w:cstheme="minorHAnsi"/>
        </w:rPr>
        <w:t>*P</w:t>
      </w:r>
      <w:r>
        <w:rPr>
          <w:rFonts w:cstheme="minorHAnsi"/>
          <w:vertAlign w:val="subscript"/>
        </w:rPr>
        <w:t>DIEN2</w:t>
      </w:r>
      <w:r w:rsidRPr="00EA7AC6">
        <w:rPr>
          <w:rFonts w:cstheme="minorHAnsi"/>
        </w:rPr>
        <w:t>/100+FĮ</w:t>
      </w:r>
      <w:r w:rsidRPr="00EA7AC6">
        <w:rPr>
          <w:rFonts w:cstheme="minorHAnsi"/>
          <w:vertAlign w:val="subscript"/>
        </w:rPr>
        <w:t>APG2</w:t>
      </w:r>
      <w:r w:rsidRPr="00EA7AC6">
        <w:rPr>
          <w:rFonts w:cstheme="minorHAnsi"/>
        </w:rPr>
        <w:t>*(D</w:t>
      </w:r>
      <w:r>
        <w:rPr>
          <w:rFonts w:cstheme="minorHAnsi"/>
          <w:vertAlign w:val="subscript"/>
        </w:rPr>
        <w:t>2</w:t>
      </w:r>
      <w:r w:rsidRPr="00EA7AC6">
        <w:rPr>
          <w:rFonts w:cstheme="minorHAnsi"/>
        </w:rPr>
        <w:t>-0,5)</w:t>
      </w:r>
      <w:r>
        <w:rPr>
          <w:rFonts w:cstheme="minorHAnsi"/>
        </w:rPr>
        <w:t>*P</w:t>
      </w:r>
      <w:r>
        <w:rPr>
          <w:rFonts w:cstheme="minorHAnsi"/>
          <w:vertAlign w:val="subscript"/>
        </w:rPr>
        <w:t>APG2</w:t>
      </w:r>
      <w:r>
        <w:rPr>
          <w:rFonts w:cstheme="minorHAnsi"/>
        </w:rPr>
        <w:t>/100</w:t>
      </w:r>
      <w:r w:rsidR="00531491">
        <w:rPr>
          <w:rFonts w:cstheme="minorHAnsi"/>
        </w:rPr>
        <w:t>, kai D</w:t>
      </w:r>
      <w:r w:rsidR="00531491">
        <w:rPr>
          <w:rFonts w:cstheme="minorHAnsi"/>
          <w:vertAlign w:val="subscript"/>
        </w:rPr>
        <w:t>1</w:t>
      </w:r>
      <w:r w:rsidR="00531491">
        <w:rPr>
          <w:rFonts w:cstheme="minorHAnsi"/>
        </w:rPr>
        <w:t>=0,5</w:t>
      </w:r>
      <w:r w:rsidR="006D0ACE">
        <w:rPr>
          <w:rFonts w:cstheme="minorHAnsi"/>
        </w:rPr>
        <w:tab/>
      </w:r>
      <w:r w:rsidR="006D0ACE">
        <w:rPr>
          <w:rFonts w:cstheme="minorHAnsi"/>
        </w:rPr>
        <w:tab/>
      </w:r>
      <w:r w:rsidR="006D0ACE">
        <w:rPr>
          <w:rFonts w:cstheme="minorHAnsi"/>
        </w:rPr>
        <w:tab/>
      </w:r>
      <w:r w:rsidR="006D0ACE">
        <w:rPr>
          <w:rFonts w:cstheme="minorHAnsi"/>
        </w:rPr>
        <w:tab/>
        <w:t>(F8</w:t>
      </w:r>
      <w:r w:rsidR="00E17E65">
        <w:rPr>
          <w:rFonts w:cstheme="minorHAnsi"/>
        </w:rPr>
        <w:t>);</w:t>
      </w:r>
    </w:p>
    <w:p w:rsidR="001B3800" w:rsidRDefault="001B3800" w:rsidP="00CC0DCE">
      <w:pPr>
        <w:pStyle w:val="Sraopastraipa"/>
        <w:numPr>
          <w:ilvl w:val="0"/>
          <w:numId w:val="14"/>
        </w:numPr>
        <w:tabs>
          <w:tab w:val="left" w:pos="0"/>
        </w:tabs>
        <w:ind w:left="0" w:firstLine="851"/>
        <w:jc w:val="both"/>
        <w:rPr>
          <w:rFonts w:cstheme="minorHAnsi"/>
        </w:rPr>
      </w:pPr>
      <w:r w:rsidRPr="00EA7AC6">
        <w:rPr>
          <w:rFonts w:cstheme="minorHAnsi"/>
        </w:rPr>
        <w:t>Nebiudžetinėms įstaigoms, kai vienos komandiruotės metu vykstama tik į vieną užsienio valstybę;</w:t>
      </w:r>
    </w:p>
    <w:p w:rsidR="00805BDF" w:rsidRPr="00805BDF" w:rsidRDefault="00805BDF" w:rsidP="00CC0DCE">
      <w:pPr>
        <w:tabs>
          <w:tab w:val="left" w:pos="0"/>
        </w:tabs>
        <w:ind w:firstLine="567"/>
        <w:jc w:val="both"/>
        <w:rPr>
          <w:rFonts w:cstheme="minorHAnsi"/>
        </w:rPr>
      </w:pPr>
      <w:r w:rsidRPr="00805BDF">
        <w:rPr>
          <w:rFonts w:cstheme="minorHAnsi"/>
          <w:b/>
        </w:rPr>
        <w:t>FĮ</w:t>
      </w:r>
      <w:r w:rsidRPr="00805BDF">
        <w:rPr>
          <w:rFonts w:cstheme="minorHAnsi"/>
          <w:b/>
          <w:vertAlign w:val="subscript"/>
        </w:rPr>
        <w:t>KO</w:t>
      </w:r>
      <w:r>
        <w:rPr>
          <w:rFonts w:cstheme="minorHAnsi"/>
          <w:b/>
          <w:vertAlign w:val="subscript"/>
        </w:rPr>
        <w:t>M</w:t>
      </w:r>
      <w:r w:rsidRPr="00805BDF">
        <w:rPr>
          <w:rFonts w:cstheme="minorHAnsi"/>
          <w:b/>
          <w:vertAlign w:val="subscript"/>
        </w:rPr>
        <w:t>_UŽ_</w:t>
      </w:r>
      <w:r>
        <w:rPr>
          <w:rFonts w:cstheme="minorHAnsi"/>
          <w:b/>
          <w:vertAlign w:val="subscript"/>
        </w:rPr>
        <w:t>N</w:t>
      </w:r>
      <w:r w:rsidRPr="00805BDF">
        <w:rPr>
          <w:rFonts w:cstheme="minorHAnsi"/>
          <w:b/>
          <w:vertAlign w:val="subscript"/>
        </w:rPr>
        <w:t>BĮ_1</w:t>
      </w:r>
      <w:r w:rsidRPr="00EA7AC6">
        <w:rPr>
          <w:rFonts w:cstheme="minorHAnsi"/>
          <w:lang w:val="en-US"/>
        </w:rPr>
        <w:t>=</w:t>
      </w:r>
      <w:r w:rsidRPr="00EA7AC6">
        <w:rPr>
          <w:rFonts w:cstheme="minorHAnsi"/>
        </w:rPr>
        <w:t>FĮ</w:t>
      </w:r>
      <w:r w:rsidRPr="00EA7AC6">
        <w:rPr>
          <w:rFonts w:cstheme="minorHAnsi"/>
          <w:vertAlign w:val="subscript"/>
        </w:rPr>
        <w:t>KU</w:t>
      </w:r>
      <w:r w:rsidRPr="00EA7AC6">
        <w:rPr>
          <w:rFonts w:cstheme="minorHAnsi"/>
        </w:rPr>
        <w:t>+FĮ</w:t>
      </w:r>
      <w:r w:rsidRPr="00EA7AC6">
        <w:rPr>
          <w:rFonts w:cstheme="minorHAnsi"/>
          <w:vertAlign w:val="subscript"/>
        </w:rPr>
        <w:t>VK</w:t>
      </w:r>
      <w:r w:rsidRPr="00EA7AC6">
        <w:rPr>
          <w:rFonts w:cstheme="minorHAnsi"/>
        </w:rPr>
        <w:t>*D+FĮ</w:t>
      </w:r>
      <w:r w:rsidRPr="00EA7AC6">
        <w:rPr>
          <w:rFonts w:cstheme="minorHAnsi"/>
          <w:vertAlign w:val="subscript"/>
        </w:rPr>
        <w:t>KT</w:t>
      </w:r>
      <w:r>
        <w:rPr>
          <w:rFonts w:cstheme="minorHAnsi"/>
        </w:rPr>
        <w:t>*D+</w:t>
      </w:r>
      <w:r w:rsidRPr="00EA7AC6">
        <w:rPr>
          <w:rFonts w:cstheme="minorHAnsi"/>
        </w:rPr>
        <w:t>FĮ</w:t>
      </w:r>
      <w:r w:rsidRPr="00EA7AC6">
        <w:rPr>
          <w:rFonts w:cstheme="minorHAnsi"/>
          <w:vertAlign w:val="subscript"/>
        </w:rPr>
        <w:t>DIEN</w:t>
      </w:r>
      <w:r w:rsidR="00E15EF3">
        <w:rPr>
          <w:rFonts w:cstheme="minorHAnsi"/>
        </w:rPr>
        <w:t>*D</w:t>
      </w:r>
      <w:r w:rsidRPr="00EA7AC6">
        <w:rPr>
          <w:rFonts w:cstheme="minorHAnsi"/>
        </w:rPr>
        <w:t>*P</w:t>
      </w:r>
      <w:r w:rsidRPr="00805BDF">
        <w:rPr>
          <w:rFonts w:cstheme="minorHAnsi"/>
          <w:vertAlign w:val="subscript"/>
        </w:rPr>
        <w:t>DIEN</w:t>
      </w:r>
      <w:r w:rsidRPr="00EA7AC6">
        <w:rPr>
          <w:rFonts w:cstheme="minorHAnsi"/>
        </w:rPr>
        <w:t>/100+FĮ</w:t>
      </w:r>
      <w:r w:rsidRPr="00EA7AC6">
        <w:rPr>
          <w:rFonts w:cstheme="minorHAnsi"/>
          <w:vertAlign w:val="subscript"/>
        </w:rPr>
        <w:t>APG</w:t>
      </w:r>
      <w:r w:rsidRPr="00EA7AC6">
        <w:rPr>
          <w:rFonts w:cstheme="minorHAnsi"/>
        </w:rPr>
        <w:t>*(D-1)</w:t>
      </w:r>
      <w:r w:rsidRPr="00805BDF">
        <w:rPr>
          <w:rFonts w:cstheme="minorHAnsi"/>
        </w:rPr>
        <w:t>*P</w:t>
      </w:r>
      <w:r w:rsidRPr="00805BDF">
        <w:rPr>
          <w:rFonts w:cstheme="minorHAnsi"/>
          <w:vertAlign w:val="subscript"/>
        </w:rPr>
        <w:t>APG</w:t>
      </w:r>
      <w:r w:rsidR="0054557F">
        <w:rPr>
          <w:rFonts w:cstheme="minorHAnsi"/>
        </w:rPr>
        <w:t>/100</w:t>
      </w:r>
      <w:r w:rsidR="006D0ACE">
        <w:rPr>
          <w:rFonts w:cstheme="minorHAnsi"/>
        </w:rPr>
        <w:tab/>
      </w:r>
      <w:r w:rsidR="00091F50">
        <w:rPr>
          <w:rFonts w:cstheme="minorHAnsi"/>
        </w:rPr>
        <w:tab/>
      </w:r>
      <w:r w:rsidR="006D0ACE">
        <w:rPr>
          <w:rFonts w:cstheme="minorHAnsi"/>
        </w:rPr>
        <w:t>(F9</w:t>
      </w:r>
      <w:r w:rsidR="00E17E65">
        <w:rPr>
          <w:rFonts w:cstheme="minorHAnsi"/>
        </w:rPr>
        <w:t>);</w:t>
      </w:r>
    </w:p>
    <w:p w:rsidR="001B3800" w:rsidRDefault="001B3800" w:rsidP="00CC0DCE">
      <w:pPr>
        <w:pStyle w:val="Sraopastraipa"/>
        <w:numPr>
          <w:ilvl w:val="0"/>
          <w:numId w:val="14"/>
        </w:numPr>
        <w:tabs>
          <w:tab w:val="left" w:pos="0"/>
        </w:tabs>
        <w:ind w:left="0" w:firstLine="851"/>
        <w:jc w:val="both"/>
        <w:rPr>
          <w:rFonts w:cstheme="minorHAnsi"/>
        </w:rPr>
      </w:pPr>
      <w:r w:rsidRPr="00EA7AC6">
        <w:rPr>
          <w:rFonts w:cstheme="minorHAnsi"/>
        </w:rPr>
        <w:t xml:space="preserve">Nebiudžetinėms įstaigoms, kai vienos komandiruotės į užsienį metu yra vykstama į dvi užsienio valstybes </w:t>
      </w:r>
    </w:p>
    <w:p w:rsidR="00AE2EAE" w:rsidRPr="00AE2EAE" w:rsidRDefault="00AE2EAE" w:rsidP="00CC0DCE">
      <w:pPr>
        <w:tabs>
          <w:tab w:val="left" w:pos="0"/>
        </w:tabs>
        <w:ind w:firstLine="567"/>
        <w:jc w:val="both"/>
        <w:rPr>
          <w:rFonts w:cstheme="minorHAnsi"/>
        </w:rPr>
      </w:pPr>
      <w:r w:rsidRPr="002E0FFC">
        <w:rPr>
          <w:rFonts w:cstheme="minorHAnsi"/>
          <w:b/>
        </w:rPr>
        <w:t>FĮ</w:t>
      </w:r>
      <w:r w:rsidRPr="00805BDF">
        <w:rPr>
          <w:rFonts w:cstheme="minorHAnsi"/>
          <w:b/>
          <w:vertAlign w:val="subscript"/>
        </w:rPr>
        <w:t>KO</w:t>
      </w:r>
      <w:r>
        <w:rPr>
          <w:rFonts w:cstheme="minorHAnsi"/>
          <w:b/>
          <w:vertAlign w:val="subscript"/>
        </w:rPr>
        <w:t>M</w:t>
      </w:r>
      <w:r w:rsidRPr="00805BDF">
        <w:rPr>
          <w:rFonts w:cstheme="minorHAnsi"/>
          <w:b/>
          <w:vertAlign w:val="subscript"/>
        </w:rPr>
        <w:t>_UŽ</w:t>
      </w:r>
      <w:r>
        <w:rPr>
          <w:rFonts w:cstheme="minorHAnsi"/>
          <w:b/>
          <w:vertAlign w:val="subscript"/>
        </w:rPr>
        <w:t>S</w:t>
      </w:r>
      <w:r w:rsidRPr="00805BDF">
        <w:rPr>
          <w:rFonts w:cstheme="minorHAnsi"/>
          <w:b/>
          <w:vertAlign w:val="subscript"/>
        </w:rPr>
        <w:t>_</w:t>
      </w:r>
      <w:r>
        <w:rPr>
          <w:rFonts w:cstheme="minorHAnsi"/>
          <w:b/>
          <w:vertAlign w:val="subscript"/>
        </w:rPr>
        <w:t>N</w:t>
      </w:r>
      <w:r w:rsidRPr="00805BDF">
        <w:rPr>
          <w:rFonts w:cstheme="minorHAnsi"/>
          <w:b/>
          <w:vertAlign w:val="subscript"/>
        </w:rPr>
        <w:t>BĮ_</w:t>
      </w:r>
      <w:r w:rsidR="00E17E65">
        <w:rPr>
          <w:rFonts w:cstheme="minorHAnsi"/>
          <w:b/>
          <w:vertAlign w:val="subscript"/>
        </w:rPr>
        <w:t>2</w:t>
      </w:r>
      <w:r w:rsidRPr="00EA7AC6">
        <w:rPr>
          <w:rFonts w:cstheme="minorHAnsi"/>
          <w:lang w:val="en-US"/>
        </w:rPr>
        <w:t>=</w:t>
      </w:r>
      <w:r w:rsidRPr="00EA7AC6">
        <w:rPr>
          <w:rFonts w:cstheme="minorHAnsi"/>
        </w:rPr>
        <w:t>(FĮ</w:t>
      </w:r>
      <w:r w:rsidRPr="00EA7AC6">
        <w:rPr>
          <w:rFonts w:cstheme="minorHAnsi"/>
          <w:vertAlign w:val="subscript"/>
        </w:rPr>
        <w:t>KU1</w:t>
      </w:r>
      <w:r w:rsidRPr="00EA7AC6">
        <w:rPr>
          <w:rFonts w:cstheme="minorHAnsi"/>
        </w:rPr>
        <w:t>+FĮ</w:t>
      </w:r>
      <w:r w:rsidRPr="00EA7AC6">
        <w:rPr>
          <w:rFonts w:cstheme="minorHAnsi"/>
          <w:vertAlign w:val="subscript"/>
        </w:rPr>
        <w:t>KU2</w:t>
      </w:r>
      <w:r>
        <w:rPr>
          <w:rFonts w:cstheme="minorHAnsi"/>
        </w:rPr>
        <w:t>)*0,5+</w:t>
      </w:r>
      <w:r w:rsidRPr="00EA7AC6">
        <w:rPr>
          <w:rFonts w:cstheme="minorHAnsi"/>
        </w:rPr>
        <w:t>FĮ</w:t>
      </w:r>
      <w:r w:rsidRPr="00EA7AC6">
        <w:rPr>
          <w:rFonts w:cstheme="minorHAnsi"/>
          <w:vertAlign w:val="subscript"/>
        </w:rPr>
        <w:t>VK</w:t>
      </w:r>
      <w:r>
        <w:rPr>
          <w:rFonts w:cstheme="minorHAnsi"/>
        </w:rPr>
        <w:t>*</w:t>
      </w:r>
      <w:r w:rsidRPr="00EA7AC6">
        <w:rPr>
          <w:rFonts w:cstheme="minorHAnsi"/>
        </w:rPr>
        <w:t>D</w:t>
      </w:r>
      <w:r w:rsidRPr="00EA7AC6">
        <w:rPr>
          <w:rFonts w:cstheme="minorHAnsi"/>
          <w:vertAlign w:val="subscript"/>
        </w:rPr>
        <w:t>1</w:t>
      </w:r>
      <w:r w:rsidRPr="00EA7AC6">
        <w:rPr>
          <w:rFonts w:cstheme="minorHAnsi"/>
        </w:rPr>
        <w:t>+FĮ</w:t>
      </w:r>
      <w:r w:rsidRPr="00EA7AC6">
        <w:rPr>
          <w:rFonts w:cstheme="minorHAnsi"/>
          <w:vertAlign w:val="subscript"/>
        </w:rPr>
        <w:t>KT</w:t>
      </w:r>
      <w:r>
        <w:rPr>
          <w:rFonts w:cstheme="minorHAnsi"/>
        </w:rPr>
        <w:t>*</w:t>
      </w:r>
      <w:r w:rsidRPr="00EA7AC6">
        <w:rPr>
          <w:rFonts w:cstheme="minorHAnsi"/>
        </w:rPr>
        <w:t>D</w:t>
      </w:r>
      <w:r w:rsidRPr="00EA7AC6">
        <w:rPr>
          <w:rFonts w:cstheme="minorHAnsi"/>
          <w:vertAlign w:val="subscript"/>
        </w:rPr>
        <w:t>1</w:t>
      </w:r>
      <w:r>
        <w:rPr>
          <w:rFonts w:cstheme="minorHAnsi"/>
        </w:rPr>
        <w:t>+</w:t>
      </w:r>
      <w:r w:rsidRPr="00EA7AC6">
        <w:rPr>
          <w:rFonts w:cstheme="minorHAnsi"/>
        </w:rPr>
        <w:t>FĮ</w:t>
      </w:r>
      <w:r w:rsidRPr="00EA7AC6">
        <w:rPr>
          <w:rFonts w:cstheme="minorHAnsi"/>
          <w:vertAlign w:val="subscript"/>
        </w:rPr>
        <w:t>VK</w:t>
      </w:r>
      <w:r>
        <w:rPr>
          <w:rFonts w:cstheme="minorHAnsi"/>
        </w:rPr>
        <w:t>*</w:t>
      </w:r>
      <w:r w:rsidRPr="00EA7AC6">
        <w:rPr>
          <w:rFonts w:cstheme="minorHAnsi"/>
        </w:rPr>
        <w:t>D</w:t>
      </w:r>
      <w:r w:rsidRPr="00EA7AC6">
        <w:rPr>
          <w:rFonts w:cstheme="minorHAnsi"/>
          <w:vertAlign w:val="subscript"/>
        </w:rPr>
        <w:t>2</w:t>
      </w:r>
      <w:r w:rsidRPr="00EA7AC6">
        <w:rPr>
          <w:rFonts w:cstheme="minorHAnsi"/>
        </w:rPr>
        <w:t>+FĮ</w:t>
      </w:r>
      <w:r w:rsidRPr="00EA7AC6">
        <w:rPr>
          <w:rFonts w:cstheme="minorHAnsi"/>
          <w:vertAlign w:val="subscript"/>
        </w:rPr>
        <w:t>KT</w:t>
      </w:r>
      <w:r>
        <w:rPr>
          <w:rFonts w:cstheme="minorHAnsi"/>
        </w:rPr>
        <w:t>*</w:t>
      </w:r>
      <w:r w:rsidRPr="00EA7AC6">
        <w:rPr>
          <w:rFonts w:cstheme="minorHAnsi"/>
        </w:rPr>
        <w:t>D</w:t>
      </w:r>
      <w:r w:rsidRPr="00EA7AC6">
        <w:rPr>
          <w:rFonts w:cstheme="minorHAnsi"/>
          <w:vertAlign w:val="subscript"/>
        </w:rPr>
        <w:t>2</w:t>
      </w:r>
      <w:r>
        <w:rPr>
          <w:rFonts w:cstheme="minorHAnsi"/>
        </w:rPr>
        <w:t>+</w:t>
      </w:r>
      <w:r w:rsidRPr="00EA7AC6">
        <w:rPr>
          <w:rFonts w:cstheme="minorHAnsi"/>
        </w:rPr>
        <w:t>FĮ</w:t>
      </w:r>
      <w:r w:rsidRPr="00EA7AC6">
        <w:rPr>
          <w:rFonts w:cstheme="minorHAnsi"/>
          <w:vertAlign w:val="subscript"/>
        </w:rPr>
        <w:t>DIEN1</w:t>
      </w:r>
      <w:r w:rsidRPr="00EA7AC6">
        <w:rPr>
          <w:rFonts w:cstheme="minorHAnsi"/>
        </w:rPr>
        <w:t>*(D</w:t>
      </w:r>
      <w:r w:rsidRPr="00EA7AC6">
        <w:rPr>
          <w:rFonts w:cstheme="minorHAnsi"/>
          <w:vertAlign w:val="subscript"/>
        </w:rPr>
        <w:t>1</w:t>
      </w:r>
      <w:r>
        <w:rPr>
          <w:rFonts w:cstheme="minorHAnsi"/>
        </w:rPr>
        <w:t>-0,5)*P</w:t>
      </w:r>
      <w:r w:rsidRPr="0011502E">
        <w:rPr>
          <w:rFonts w:cstheme="minorHAnsi"/>
          <w:vertAlign w:val="subscript"/>
        </w:rPr>
        <w:t>DIEN1</w:t>
      </w:r>
      <w:r>
        <w:rPr>
          <w:rFonts w:cstheme="minorHAnsi"/>
        </w:rPr>
        <w:t>/100+</w:t>
      </w:r>
      <w:r w:rsidRPr="00EA7AC6">
        <w:rPr>
          <w:rFonts w:cstheme="minorHAnsi"/>
        </w:rPr>
        <w:t>FĮ</w:t>
      </w:r>
      <w:r w:rsidRPr="00EA7AC6">
        <w:rPr>
          <w:rFonts w:cstheme="minorHAnsi"/>
          <w:vertAlign w:val="subscript"/>
        </w:rPr>
        <w:t>DIEN2</w:t>
      </w:r>
      <w:r w:rsidRPr="00EA7AC6">
        <w:rPr>
          <w:rFonts w:cstheme="minorHAnsi"/>
        </w:rPr>
        <w:t>*</w:t>
      </w:r>
      <w:r>
        <w:rPr>
          <w:rFonts w:cstheme="minorHAnsi"/>
        </w:rPr>
        <w:t>(</w:t>
      </w:r>
      <w:r w:rsidRPr="00EA7AC6">
        <w:rPr>
          <w:rFonts w:cstheme="minorHAnsi"/>
        </w:rPr>
        <w:t>D</w:t>
      </w:r>
      <w:r w:rsidRPr="00EA7AC6">
        <w:rPr>
          <w:rFonts w:cstheme="minorHAnsi"/>
          <w:vertAlign w:val="subscript"/>
        </w:rPr>
        <w:t>2</w:t>
      </w:r>
      <w:r>
        <w:rPr>
          <w:rFonts w:cstheme="minorHAnsi"/>
        </w:rPr>
        <w:t>+0,5)</w:t>
      </w:r>
      <w:r w:rsidRPr="00EA7AC6">
        <w:rPr>
          <w:rFonts w:cstheme="minorHAnsi"/>
        </w:rPr>
        <w:t>*P</w:t>
      </w:r>
      <w:r>
        <w:rPr>
          <w:rFonts w:cstheme="minorHAnsi"/>
          <w:vertAlign w:val="subscript"/>
        </w:rPr>
        <w:t>DIEN2</w:t>
      </w:r>
      <w:r w:rsidRPr="00EA7AC6">
        <w:rPr>
          <w:rFonts w:cstheme="minorHAnsi"/>
        </w:rPr>
        <w:t>/100+FĮ</w:t>
      </w:r>
      <w:r w:rsidRPr="00EA7AC6">
        <w:rPr>
          <w:rFonts w:cstheme="minorHAnsi"/>
          <w:vertAlign w:val="subscript"/>
        </w:rPr>
        <w:t>APG1</w:t>
      </w:r>
      <w:r w:rsidRPr="00EA7AC6">
        <w:rPr>
          <w:rFonts w:cstheme="minorHAnsi"/>
        </w:rPr>
        <w:t>*(D</w:t>
      </w:r>
      <w:r w:rsidRPr="00EA7AC6">
        <w:rPr>
          <w:rFonts w:cstheme="minorHAnsi"/>
          <w:vertAlign w:val="subscript"/>
        </w:rPr>
        <w:t>1</w:t>
      </w:r>
      <w:r w:rsidRPr="00EA7AC6">
        <w:rPr>
          <w:rFonts w:cstheme="minorHAnsi"/>
        </w:rPr>
        <w:t>-0,5)</w:t>
      </w:r>
      <w:r>
        <w:rPr>
          <w:rFonts w:cstheme="minorHAnsi"/>
        </w:rPr>
        <w:t>*P</w:t>
      </w:r>
      <w:r w:rsidRPr="00EA7AC6">
        <w:rPr>
          <w:rFonts w:cstheme="minorHAnsi"/>
          <w:vertAlign w:val="subscript"/>
        </w:rPr>
        <w:t>APG1</w:t>
      </w:r>
      <w:r>
        <w:rPr>
          <w:rFonts w:cstheme="minorHAnsi"/>
        </w:rPr>
        <w:t>/100</w:t>
      </w:r>
      <w:r w:rsidRPr="00EA7AC6">
        <w:rPr>
          <w:rFonts w:cstheme="minorHAnsi"/>
        </w:rPr>
        <w:t>+FĮ</w:t>
      </w:r>
      <w:r w:rsidRPr="00EA7AC6">
        <w:rPr>
          <w:rFonts w:cstheme="minorHAnsi"/>
          <w:vertAlign w:val="subscript"/>
        </w:rPr>
        <w:t>APG2</w:t>
      </w:r>
      <w:r w:rsidRPr="00EA7AC6">
        <w:rPr>
          <w:rFonts w:cstheme="minorHAnsi"/>
        </w:rPr>
        <w:t>*(D</w:t>
      </w:r>
      <w:r>
        <w:rPr>
          <w:rFonts w:cstheme="minorHAnsi"/>
          <w:vertAlign w:val="subscript"/>
        </w:rPr>
        <w:t>2</w:t>
      </w:r>
      <w:r w:rsidRPr="00EA7AC6">
        <w:rPr>
          <w:rFonts w:cstheme="minorHAnsi"/>
        </w:rPr>
        <w:t>-0,5)</w:t>
      </w:r>
      <w:r>
        <w:rPr>
          <w:rFonts w:cstheme="minorHAnsi"/>
        </w:rPr>
        <w:t>*P</w:t>
      </w:r>
      <w:r>
        <w:rPr>
          <w:rFonts w:cstheme="minorHAnsi"/>
          <w:vertAlign w:val="subscript"/>
        </w:rPr>
        <w:t>APG2</w:t>
      </w:r>
      <w:r>
        <w:rPr>
          <w:rFonts w:cstheme="minorHAnsi"/>
        </w:rPr>
        <w:t>/100</w:t>
      </w:r>
      <w:r w:rsidR="006D0ACE">
        <w:rPr>
          <w:rFonts w:cstheme="minorHAnsi"/>
        </w:rPr>
        <w:tab/>
        <w:t>(F10</w:t>
      </w:r>
      <w:r w:rsidR="001B4447">
        <w:rPr>
          <w:rFonts w:cstheme="minorHAnsi"/>
        </w:rPr>
        <w:t>).</w:t>
      </w:r>
    </w:p>
    <w:p w:rsidR="00610244" w:rsidRPr="00EA7AC6" w:rsidRDefault="00610244" w:rsidP="00610244">
      <w:pPr>
        <w:tabs>
          <w:tab w:val="left" w:pos="0"/>
        </w:tabs>
        <w:ind w:firstLine="567"/>
        <w:jc w:val="both"/>
        <w:rPr>
          <w:rFonts w:cstheme="minorHAnsi"/>
        </w:rPr>
      </w:pPr>
      <w:r w:rsidRPr="00EA7AC6">
        <w:rPr>
          <w:rFonts w:cstheme="minorHAnsi"/>
        </w:rPr>
        <w:t>Formulėse</w:t>
      </w:r>
      <w:r w:rsidR="006D0ACE">
        <w:rPr>
          <w:rFonts w:cstheme="minorHAnsi"/>
        </w:rPr>
        <w:t xml:space="preserve"> (F6-F10</w:t>
      </w:r>
      <w:r>
        <w:rPr>
          <w:rFonts w:cstheme="minorHAnsi"/>
        </w:rPr>
        <w:t>)</w:t>
      </w:r>
      <w:r w:rsidRPr="00EA7AC6">
        <w:rPr>
          <w:rFonts w:cstheme="minorHAnsi"/>
        </w:rPr>
        <w:t xml:space="preserve"> naudojamų dydžių reikšmės:</w:t>
      </w:r>
    </w:p>
    <w:p w:rsidR="005A7FD1" w:rsidRPr="00EA7AC6" w:rsidRDefault="005A7FD1" w:rsidP="00CC0DCE">
      <w:pPr>
        <w:pStyle w:val="Sraopastraipa"/>
        <w:tabs>
          <w:tab w:val="left" w:pos="0"/>
          <w:tab w:val="left" w:pos="1134"/>
        </w:tabs>
        <w:spacing w:before="240"/>
        <w:ind w:left="0" w:firstLine="567"/>
        <w:jc w:val="both"/>
        <w:rPr>
          <w:rFonts w:cstheme="minorHAnsi"/>
        </w:rPr>
      </w:pPr>
      <w:r w:rsidRPr="00EA7AC6">
        <w:rPr>
          <w:rFonts w:cstheme="minorHAnsi"/>
        </w:rPr>
        <w:lastRenderedPageBreak/>
        <w:t>FĮ</w:t>
      </w:r>
      <w:r w:rsidRPr="00EA7AC6">
        <w:rPr>
          <w:rFonts w:cstheme="minorHAnsi"/>
          <w:vertAlign w:val="subscript"/>
        </w:rPr>
        <w:t>KU</w:t>
      </w:r>
      <w:r w:rsidRPr="00EA7AC6">
        <w:rPr>
          <w:rFonts w:cstheme="minorHAnsi"/>
          <w:vertAlign w:val="subscript"/>
          <w:lang w:val="en-US"/>
        </w:rPr>
        <w:t xml:space="preserve"> </w:t>
      </w:r>
      <w:r w:rsidRPr="00EA7AC6">
        <w:rPr>
          <w:rFonts w:cstheme="minorHAnsi"/>
          <w:lang w:val="en-US"/>
        </w:rPr>
        <w:t xml:space="preserve">– </w:t>
      </w:r>
      <w:r w:rsidRPr="00EA7AC6">
        <w:rPr>
          <w:rFonts w:cstheme="minorHAnsi"/>
          <w:vertAlign w:val="subscript"/>
          <w:lang w:val="en-US"/>
        </w:rPr>
        <w:t xml:space="preserve"> </w:t>
      </w:r>
      <w:r w:rsidRPr="00EA7AC6">
        <w:rPr>
          <w:rFonts w:cstheme="minorHAnsi"/>
          <w:lang w:val="en-US"/>
        </w:rPr>
        <w:t>užsienio valstybei, į kurią vykstama komandiruotės į užsienį metu</w:t>
      </w:r>
      <w:r w:rsidR="002B6D14">
        <w:rPr>
          <w:rFonts w:cstheme="minorHAnsi"/>
          <w:lang w:val="en-US"/>
        </w:rPr>
        <w:t xml:space="preserve"> (kai vykstama tik į vieną valstybę)</w:t>
      </w:r>
      <w:r w:rsidRPr="00EA7AC6">
        <w:rPr>
          <w:rFonts w:cstheme="minorHAnsi"/>
          <w:lang w:val="en-US"/>
        </w:rPr>
        <w:t>, taikomas</w:t>
      </w:r>
      <w:r w:rsidRPr="00EA7AC6">
        <w:rPr>
          <w:rFonts w:cstheme="minorHAnsi"/>
          <w:vertAlign w:val="subscript"/>
          <w:lang w:val="en-US"/>
        </w:rPr>
        <w:t xml:space="preserve"> </w:t>
      </w:r>
      <w:r w:rsidRPr="00EA7AC6">
        <w:rPr>
          <w:rFonts w:cstheme="minorHAnsi"/>
        </w:rPr>
        <w:t>kelionės į užsienį išlaidų fiksuotasis įkainis;</w:t>
      </w:r>
    </w:p>
    <w:p w:rsidR="005A7FD1" w:rsidRPr="00EA7AC6" w:rsidRDefault="005A7FD1" w:rsidP="00CC0DCE">
      <w:pPr>
        <w:pStyle w:val="Sraopastraipa"/>
        <w:tabs>
          <w:tab w:val="left" w:pos="0"/>
          <w:tab w:val="left" w:pos="1134"/>
        </w:tabs>
        <w:spacing w:before="240"/>
        <w:ind w:left="0" w:firstLine="567"/>
        <w:jc w:val="both"/>
        <w:rPr>
          <w:rFonts w:cstheme="minorHAnsi"/>
        </w:rPr>
      </w:pPr>
      <w:r w:rsidRPr="00EA7AC6">
        <w:rPr>
          <w:rFonts w:cstheme="minorHAnsi"/>
        </w:rPr>
        <w:t>FĮ</w:t>
      </w:r>
      <w:r w:rsidRPr="00EA7AC6">
        <w:rPr>
          <w:rFonts w:cstheme="minorHAnsi"/>
          <w:vertAlign w:val="subscript"/>
        </w:rPr>
        <w:t xml:space="preserve">KU1 </w:t>
      </w:r>
      <w:r w:rsidRPr="00EA7AC6">
        <w:rPr>
          <w:rFonts w:cstheme="minorHAnsi"/>
          <w:lang w:val="en-US"/>
        </w:rPr>
        <w:t xml:space="preserve">– </w:t>
      </w:r>
      <w:r w:rsidRPr="00EA7AC6">
        <w:rPr>
          <w:rFonts w:cstheme="minorHAnsi"/>
        </w:rPr>
        <w:t>pirmajai užsienio valstybei, į kurią vykstama komandiruotės į užsienį metu, taikomas kelionės į užsienį išlaidų fiksuotasis įkainis;</w:t>
      </w:r>
    </w:p>
    <w:p w:rsidR="005A7FD1" w:rsidRPr="00EA7AC6" w:rsidRDefault="005A7FD1" w:rsidP="00CC0DCE">
      <w:pPr>
        <w:pStyle w:val="Sraopastraipa"/>
        <w:tabs>
          <w:tab w:val="left" w:pos="0"/>
          <w:tab w:val="left" w:pos="1134"/>
        </w:tabs>
        <w:spacing w:before="240" w:after="0"/>
        <w:ind w:left="0" w:firstLine="567"/>
        <w:jc w:val="both"/>
        <w:rPr>
          <w:rFonts w:cstheme="minorHAnsi"/>
        </w:rPr>
      </w:pPr>
      <w:r w:rsidRPr="00EA7AC6">
        <w:rPr>
          <w:rFonts w:cstheme="minorHAnsi"/>
        </w:rPr>
        <w:t>FĮ</w:t>
      </w:r>
      <w:r w:rsidRPr="00EA7AC6">
        <w:rPr>
          <w:rFonts w:cstheme="minorHAnsi"/>
          <w:vertAlign w:val="subscript"/>
        </w:rPr>
        <w:t xml:space="preserve">KU2 </w:t>
      </w:r>
      <w:r w:rsidRPr="00EA7AC6">
        <w:rPr>
          <w:rFonts w:cstheme="minorHAnsi"/>
          <w:lang w:val="en-US"/>
        </w:rPr>
        <w:t xml:space="preserve">– </w:t>
      </w:r>
      <w:r w:rsidRPr="00EA7AC6">
        <w:rPr>
          <w:rFonts w:cstheme="minorHAnsi"/>
        </w:rPr>
        <w:t>antrajai užsienio valstybei, į kurią vykstama komandiruotės į užsienį metu, taikomas kelionės į užsienį išlaidų fiksuotasis įkainis;</w:t>
      </w:r>
    </w:p>
    <w:p w:rsidR="005A7FD1" w:rsidRPr="00EA7AC6" w:rsidRDefault="005A7FD1" w:rsidP="00CC0DCE">
      <w:pPr>
        <w:pStyle w:val="Sraopastraipa"/>
        <w:tabs>
          <w:tab w:val="left" w:pos="0"/>
          <w:tab w:val="left" w:pos="1134"/>
        </w:tabs>
        <w:spacing w:before="240" w:after="0"/>
        <w:ind w:left="0" w:firstLine="567"/>
        <w:jc w:val="both"/>
        <w:rPr>
          <w:rFonts w:cstheme="minorHAnsi"/>
        </w:rPr>
      </w:pPr>
      <w:r w:rsidRPr="00EA7AC6">
        <w:rPr>
          <w:rFonts w:cstheme="minorHAnsi"/>
        </w:rPr>
        <w:t>FĮ</w:t>
      </w:r>
      <w:r w:rsidRPr="00EA7AC6">
        <w:rPr>
          <w:rFonts w:cstheme="minorHAnsi"/>
          <w:vertAlign w:val="subscript"/>
        </w:rPr>
        <w:t>VK</w:t>
      </w:r>
      <w:r w:rsidRPr="00EA7AC6">
        <w:rPr>
          <w:rFonts w:cstheme="minorHAnsi"/>
        </w:rPr>
        <w:t xml:space="preserve"> – vietinių kelionių fiksuotasis įkainis;</w:t>
      </w:r>
    </w:p>
    <w:p w:rsidR="005A7FD1" w:rsidRPr="00EA7AC6" w:rsidRDefault="005A7FD1" w:rsidP="00CC0DCE">
      <w:pPr>
        <w:pStyle w:val="Sraopastraipa"/>
        <w:tabs>
          <w:tab w:val="left" w:pos="0"/>
          <w:tab w:val="left" w:pos="1134"/>
        </w:tabs>
        <w:spacing w:before="240" w:after="0"/>
        <w:ind w:left="0" w:firstLine="567"/>
        <w:jc w:val="both"/>
        <w:rPr>
          <w:rFonts w:cstheme="minorHAnsi"/>
          <w:vertAlign w:val="subscript"/>
        </w:rPr>
      </w:pPr>
      <w:r w:rsidRPr="00EA7AC6">
        <w:rPr>
          <w:rFonts w:cstheme="minorHAnsi"/>
        </w:rPr>
        <w:t>FĮ</w:t>
      </w:r>
      <w:r w:rsidRPr="00EA7AC6">
        <w:rPr>
          <w:rFonts w:cstheme="minorHAnsi"/>
          <w:vertAlign w:val="subscript"/>
        </w:rPr>
        <w:t xml:space="preserve">KT </w:t>
      </w:r>
      <w:r w:rsidRPr="00EA7AC6">
        <w:rPr>
          <w:rFonts w:cstheme="minorHAnsi"/>
        </w:rPr>
        <w:t>− kitų komandiruotės išlaidų fiksuotasis įkainis;</w:t>
      </w:r>
    </w:p>
    <w:p w:rsidR="005A7FD1" w:rsidRPr="00EA7AC6" w:rsidRDefault="005A7FD1" w:rsidP="00CC0DCE">
      <w:pPr>
        <w:pStyle w:val="Sraopastraipa"/>
        <w:tabs>
          <w:tab w:val="left" w:pos="0"/>
          <w:tab w:val="left" w:pos="1134"/>
        </w:tabs>
        <w:spacing w:before="240"/>
        <w:ind w:left="0" w:firstLine="567"/>
        <w:jc w:val="both"/>
        <w:rPr>
          <w:rFonts w:cstheme="minorHAnsi"/>
        </w:rPr>
      </w:pPr>
      <w:r w:rsidRPr="00EA7AC6">
        <w:rPr>
          <w:rFonts w:cstheme="minorHAnsi"/>
        </w:rPr>
        <w:t>FĮ</w:t>
      </w:r>
      <w:r w:rsidRPr="00EA7AC6">
        <w:rPr>
          <w:rFonts w:cstheme="minorHAnsi"/>
          <w:vertAlign w:val="subscript"/>
        </w:rPr>
        <w:t xml:space="preserve">DIEN </w:t>
      </w:r>
      <w:r w:rsidRPr="00EA7AC6">
        <w:rPr>
          <w:rFonts w:cstheme="minorHAnsi"/>
        </w:rPr>
        <w:t>–</w:t>
      </w:r>
      <w:r w:rsidRPr="00EA7AC6">
        <w:rPr>
          <w:rFonts w:cstheme="minorHAnsi"/>
          <w:vertAlign w:val="subscript"/>
        </w:rPr>
        <w:t xml:space="preserve"> </w:t>
      </w:r>
      <w:r w:rsidRPr="00EA7AC6">
        <w:rPr>
          <w:rFonts w:cstheme="minorHAnsi"/>
        </w:rPr>
        <w:t>užsienio valstybei, į kurią vykstam</w:t>
      </w:r>
      <w:r w:rsidR="00610244">
        <w:rPr>
          <w:rFonts w:cstheme="minorHAnsi"/>
        </w:rPr>
        <w:t xml:space="preserve">a komandiruotės į užsienį metu (kai vykstama tik į vieną valstybę) </w:t>
      </w:r>
      <w:r w:rsidRPr="00EA7AC6">
        <w:rPr>
          <w:rFonts w:cstheme="minorHAnsi"/>
        </w:rPr>
        <w:t>taikomas dienpinigių fiksuotasis įkainis;</w:t>
      </w:r>
    </w:p>
    <w:p w:rsidR="005A7FD1" w:rsidRPr="00EA7AC6" w:rsidRDefault="005A7FD1" w:rsidP="00CC0DCE">
      <w:pPr>
        <w:pStyle w:val="Sraopastraipa"/>
        <w:tabs>
          <w:tab w:val="left" w:pos="0"/>
          <w:tab w:val="left" w:pos="1134"/>
        </w:tabs>
        <w:spacing w:before="240" w:after="0"/>
        <w:ind w:left="0" w:firstLine="567"/>
        <w:jc w:val="both"/>
        <w:rPr>
          <w:rFonts w:cstheme="minorHAnsi"/>
        </w:rPr>
      </w:pPr>
      <w:r w:rsidRPr="00EA7AC6">
        <w:rPr>
          <w:rFonts w:cstheme="minorHAnsi"/>
        </w:rPr>
        <w:t>FĮ</w:t>
      </w:r>
      <w:r w:rsidRPr="00EA7AC6">
        <w:rPr>
          <w:rFonts w:cstheme="minorHAnsi"/>
          <w:vertAlign w:val="subscript"/>
        </w:rPr>
        <w:t xml:space="preserve">DIEN1 </w:t>
      </w:r>
      <w:r w:rsidRPr="00EA7AC6">
        <w:rPr>
          <w:rFonts w:cstheme="minorHAnsi"/>
        </w:rPr>
        <w:t>–</w:t>
      </w:r>
      <w:r w:rsidRPr="00EA7AC6">
        <w:rPr>
          <w:rFonts w:cstheme="minorHAnsi"/>
          <w:vertAlign w:val="subscript"/>
        </w:rPr>
        <w:t xml:space="preserve"> </w:t>
      </w:r>
      <w:r w:rsidRPr="00EA7AC6">
        <w:rPr>
          <w:rFonts w:cstheme="minorHAnsi"/>
        </w:rPr>
        <w:t>pirmajai užsienio valstybei, į kurią vykstama komandiruotės į užsienį metu, taikomas dienpinigių fiksuotasis įkainis;</w:t>
      </w:r>
    </w:p>
    <w:p w:rsidR="005A7FD1" w:rsidRPr="00EA7AC6" w:rsidRDefault="005A7FD1" w:rsidP="00CC0DCE">
      <w:pPr>
        <w:pStyle w:val="Sraopastraipa"/>
        <w:tabs>
          <w:tab w:val="left" w:pos="0"/>
          <w:tab w:val="left" w:pos="1134"/>
        </w:tabs>
        <w:spacing w:before="240" w:after="0"/>
        <w:ind w:left="0" w:firstLine="567"/>
        <w:jc w:val="both"/>
        <w:rPr>
          <w:rFonts w:cstheme="minorHAnsi"/>
        </w:rPr>
      </w:pPr>
      <w:r w:rsidRPr="00EA7AC6">
        <w:rPr>
          <w:rFonts w:cstheme="minorHAnsi"/>
        </w:rPr>
        <w:t>FĮ</w:t>
      </w:r>
      <w:r w:rsidRPr="00EA7AC6">
        <w:rPr>
          <w:rFonts w:cstheme="minorHAnsi"/>
          <w:vertAlign w:val="subscript"/>
        </w:rPr>
        <w:t xml:space="preserve">DIEN2 </w:t>
      </w:r>
      <w:r w:rsidRPr="00EA7AC6">
        <w:rPr>
          <w:rFonts w:cstheme="minorHAnsi"/>
        </w:rPr>
        <w:t>–</w:t>
      </w:r>
      <w:r w:rsidRPr="00EA7AC6">
        <w:rPr>
          <w:rFonts w:cstheme="minorHAnsi"/>
          <w:vertAlign w:val="subscript"/>
        </w:rPr>
        <w:t xml:space="preserve"> </w:t>
      </w:r>
      <w:r w:rsidRPr="00EA7AC6">
        <w:rPr>
          <w:rFonts w:cstheme="minorHAnsi"/>
        </w:rPr>
        <w:t>antrajai užsienio valstybei, į kurią vykstama komandiruotės į užsienį metu, taikomas dienpinigių fiksuotasis įkainis;</w:t>
      </w:r>
    </w:p>
    <w:p w:rsidR="005A7FD1" w:rsidRPr="00EA7AC6" w:rsidRDefault="005A7FD1" w:rsidP="00CC0DCE">
      <w:pPr>
        <w:pStyle w:val="Sraopastraipa"/>
        <w:tabs>
          <w:tab w:val="left" w:pos="0"/>
          <w:tab w:val="left" w:pos="1134"/>
        </w:tabs>
        <w:spacing w:before="240" w:after="0"/>
        <w:ind w:left="0" w:firstLine="567"/>
        <w:jc w:val="both"/>
        <w:rPr>
          <w:rFonts w:cstheme="minorHAnsi"/>
        </w:rPr>
      </w:pPr>
      <w:r w:rsidRPr="00EA7AC6">
        <w:rPr>
          <w:rFonts w:cstheme="minorHAnsi"/>
        </w:rPr>
        <w:t>D – komandiruotės į užsienį</w:t>
      </w:r>
      <w:r w:rsidR="002B6D14">
        <w:rPr>
          <w:rFonts w:cstheme="minorHAnsi"/>
        </w:rPr>
        <w:t xml:space="preserve"> (kai vykstama tik į vieną valstybę)</w:t>
      </w:r>
      <w:r w:rsidRPr="00EA7AC6">
        <w:rPr>
          <w:rFonts w:cstheme="minorHAnsi"/>
        </w:rPr>
        <w:t xml:space="preserve"> trukmė dienomis;</w:t>
      </w:r>
    </w:p>
    <w:p w:rsidR="005A7FD1" w:rsidRPr="00EA7AC6" w:rsidRDefault="005A7FD1" w:rsidP="00CC0DCE">
      <w:pPr>
        <w:pStyle w:val="Sraopastraipa"/>
        <w:tabs>
          <w:tab w:val="left" w:pos="0"/>
          <w:tab w:val="left" w:pos="1134"/>
        </w:tabs>
        <w:spacing w:before="240" w:after="0"/>
        <w:ind w:left="0" w:firstLine="567"/>
        <w:jc w:val="both"/>
        <w:rPr>
          <w:rFonts w:cstheme="minorHAnsi"/>
        </w:rPr>
      </w:pPr>
      <w:r w:rsidRPr="00EA7AC6">
        <w:rPr>
          <w:rFonts w:cstheme="minorHAnsi"/>
        </w:rPr>
        <w:t>D</w:t>
      </w:r>
      <w:r w:rsidRPr="00EA7AC6">
        <w:rPr>
          <w:rFonts w:cstheme="minorHAnsi"/>
          <w:vertAlign w:val="subscript"/>
        </w:rPr>
        <w:t>1</w:t>
      </w:r>
      <w:r w:rsidRPr="00EA7AC6">
        <w:rPr>
          <w:rFonts w:cstheme="minorHAnsi"/>
        </w:rPr>
        <w:t xml:space="preserve"> – komandiruotės į užsienį metu pirmojoje valstybėje praleistas laikas dienomis (dieną, kai iš pirmosios užsienio valstybės darbuotojas išvyksta į antrąją užsienio valstybę, laikoma, kad darbuotojas pirmojoje užsienio valstybėje minėtą dieną buvo pusę dienos);</w:t>
      </w:r>
    </w:p>
    <w:p w:rsidR="005A7FD1" w:rsidRPr="00EA7AC6" w:rsidRDefault="005A7FD1" w:rsidP="00CC0DCE">
      <w:pPr>
        <w:pStyle w:val="Sraopastraipa"/>
        <w:tabs>
          <w:tab w:val="left" w:pos="0"/>
          <w:tab w:val="left" w:pos="1134"/>
        </w:tabs>
        <w:spacing w:before="240" w:after="0"/>
        <w:ind w:left="0" w:firstLine="567"/>
        <w:jc w:val="both"/>
        <w:rPr>
          <w:rFonts w:cstheme="minorHAnsi"/>
        </w:rPr>
      </w:pPr>
      <w:r w:rsidRPr="00EA7AC6">
        <w:rPr>
          <w:rFonts w:cstheme="minorHAnsi"/>
        </w:rPr>
        <w:t>D</w:t>
      </w:r>
      <w:r w:rsidRPr="00EA7AC6">
        <w:rPr>
          <w:rFonts w:cstheme="minorHAnsi"/>
          <w:vertAlign w:val="subscript"/>
        </w:rPr>
        <w:t>2</w:t>
      </w:r>
      <w:r w:rsidRPr="00EA7AC6">
        <w:rPr>
          <w:rFonts w:cstheme="minorHAnsi"/>
        </w:rPr>
        <w:t xml:space="preserve"> – komandiruotės į užsienį metu antrojoje valstybėje praleistas laikas dienomis (dieną, kai iš pirmosios užsienio valstybės darbuotojas </w:t>
      </w:r>
      <w:r w:rsidR="00610244">
        <w:rPr>
          <w:rFonts w:cstheme="minorHAnsi"/>
        </w:rPr>
        <w:t>atvyksta</w:t>
      </w:r>
      <w:r w:rsidRPr="00EA7AC6">
        <w:rPr>
          <w:rFonts w:cstheme="minorHAnsi"/>
        </w:rPr>
        <w:t xml:space="preserve"> į antrąją užsienio valstybę, laikoma, kad darbuotojas antrojoje užsienio valstybėje minėtą dieną buvo pusę dienos);</w:t>
      </w:r>
    </w:p>
    <w:p w:rsidR="005A7FD1" w:rsidRDefault="005A7FD1" w:rsidP="00CC0DCE">
      <w:pPr>
        <w:pStyle w:val="Sraopastraipa"/>
        <w:tabs>
          <w:tab w:val="left" w:pos="0"/>
          <w:tab w:val="left" w:pos="1134"/>
        </w:tabs>
        <w:spacing w:before="240" w:after="0"/>
        <w:ind w:left="0" w:firstLine="567"/>
        <w:jc w:val="both"/>
        <w:rPr>
          <w:rFonts w:cstheme="minorHAnsi"/>
        </w:rPr>
      </w:pPr>
      <w:r w:rsidRPr="00EA7AC6">
        <w:rPr>
          <w:rFonts w:cstheme="minorHAnsi"/>
        </w:rPr>
        <w:t>P</w:t>
      </w:r>
      <w:r w:rsidR="00610244" w:rsidRPr="00610244">
        <w:rPr>
          <w:rFonts w:cstheme="minorHAnsi"/>
          <w:vertAlign w:val="subscript"/>
        </w:rPr>
        <w:t>DIEN</w:t>
      </w:r>
      <w:r w:rsidRPr="00EA7AC6">
        <w:rPr>
          <w:rFonts w:cstheme="minorHAnsi"/>
        </w:rPr>
        <w:t xml:space="preserve"> – </w:t>
      </w:r>
      <w:r w:rsidR="00610244">
        <w:rPr>
          <w:rFonts w:cstheme="minorHAnsi"/>
        </w:rPr>
        <w:t>techninės paramos gavėjo apmokama dienpinigių išlaidų dalis nuo Įsakyme</w:t>
      </w:r>
      <w:r w:rsidRPr="00EA7AC6">
        <w:rPr>
          <w:rFonts w:cstheme="minorHAnsi"/>
        </w:rPr>
        <w:t xml:space="preserve"> 116 nustatytos dienpinigių normos;</w:t>
      </w:r>
    </w:p>
    <w:p w:rsidR="00F74DA4" w:rsidRDefault="00F74DA4" w:rsidP="00F74DA4">
      <w:pPr>
        <w:pStyle w:val="Sraopastraipa"/>
        <w:tabs>
          <w:tab w:val="left" w:pos="0"/>
          <w:tab w:val="left" w:pos="1134"/>
        </w:tabs>
        <w:spacing w:before="240" w:after="0"/>
        <w:ind w:left="0" w:firstLine="567"/>
        <w:jc w:val="both"/>
        <w:rPr>
          <w:rFonts w:cstheme="minorHAnsi"/>
        </w:rPr>
      </w:pPr>
      <w:r w:rsidRPr="00EA7AC6">
        <w:rPr>
          <w:rFonts w:cstheme="minorHAnsi"/>
        </w:rPr>
        <w:t>P</w:t>
      </w:r>
      <w:r w:rsidRPr="00610244">
        <w:rPr>
          <w:rFonts w:cstheme="minorHAnsi"/>
          <w:vertAlign w:val="subscript"/>
        </w:rPr>
        <w:t>DIEN</w:t>
      </w:r>
      <w:r>
        <w:rPr>
          <w:rFonts w:cstheme="minorHAnsi"/>
          <w:vertAlign w:val="subscript"/>
        </w:rPr>
        <w:t>1</w:t>
      </w:r>
      <w:r w:rsidRPr="00EA7AC6">
        <w:rPr>
          <w:rFonts w:cstheme="minorHAnsi"/>
        </w:rPr>
        <w:t xml:space="preserve"> – </w:t>
      </w:r>
      <w:r>
        <w:rPr>
          <w:rFonts w:cstheme="minorHAnsi"/>
        </w:rPr>
        <w:t>techninės paramos gavėjo apmokama dienpinigių išlaidų dalis nuo Įsakyme</w:t>
      </w:r>
      <w:r w:rsidRPr="00EA7AC6">
        <w:rPr>
          <w:rFonts w:cstheme="minorHAnsi"/>
        </w:rPr>
        <w:t xml:space="preserve"> 116 nustatytos dienpinigių normos</w:t>
      </w:r>
      <w:r>
        <w:rPr>
          <w:rFonts w:cstheme="minorHAnsi"/>
        </w:rPr>
        <w:t xml:space="preserve"> pirmojoje užsienio valstybėje</w:t>
      </w:r>
      <w:r w:rsidRPr="00EA7AC6">
        <w:rPr>
          <w:rFonts w:cstheme="minorHAnsi"/>
        </w:rPr>
        <w:t>;</w:t>
      </w:r>
    </w:p>
    <w:p w:rsidR="002D5A7A" w:rsidRDefault="00F74DA4" w:rsidP="00F74DA4">
      <w:pPr>
        <w:pStyle w:val="Sraopastraipa"/>
        <w:tabs>
          <w:tab w:val="left" w:pos="0"/>
          <w:tab w:val="left" w:pos="1134"/>
        </w:tabs>
        <w:spacing w:before="240" w:after="0"/>
        <w:ind w:left="0" w:firstLine="567"/>
        <w:jc w:val="both"/>
        <w:rPr>
          <w:rFonts w:cstheme="minorHAnsi"/>
        </w:rPr>
      </w:pPr>
      <w:r w:rsidRPr="00EA7AC6">
        <w:rPr>
          <w:rFonts w:cstheme="minorHAnsi"/>
        </w:rPr>
        <w:t>P</w:t>
      </w:r>
      <w:r w:rsidRPr="00610244">
        <w:rPr>
          <w:rFonts w:cstheme="minorHAnsi"/>
          <w:vertAlign w:val="subscript"/>
        </w:rPr>
        <w:t>DIEN</w:t>
      </w:r>
      <w:r>
        <w:rPr>
          <w:rFonts w:cstheme="minorHAnsi"/>
          <w:vertAlign w:val="subscript"/>
        </w:rPr>
        <w:t>2</w:t>
      </w:r>
      <w:r w:rsidRPr="00EA7AC6">
        <w:rPr>
          <w:rFonts w:cstheme="minorHAnsi"/>
        </w:rPr>
        <w:t xml:space="preserve"> – </w:t>
      </w:r>
      <w:r>
        <w:rPr>
          <w:rFonts w:cstheme="minorHAnsi"/>
        </w:rPr>
        <w:t>techninės paramos gavėjo apmokama dienpinigių išlaidų dalis nuo Įsakyme</w:t>
      </w:r>
      <w:r w:rsidRPr="00EA7AC6">
        <w:rPr>
          <w:rFonts w:cstheme="minorHAnsi"/>
        </w:rPr>
        <w:t xml:space="preserve"> 116 nustatytos dienpinigių normos</w:t>
      </w:r>
      <w:r>
        <w:rPr>
          <w:rFonts w:cstheme="minorHAnsi"/>
        </w:rPr>
        <w:t xml:space="preserve"> antrojoje užsienio valstybėje</w:t>
      </w:r>
      <w:r w:rsidRPr="00EA7AC6">
        <w:rPr>
          <w:rFonts w:cstheme="minorHAnsi"/>
        </w:rPr>
        <w:t>;</w:t>
      </w:r>
    </w:p>
    <w:p w:rsidR="005A7FD1" w:rsidRPr="00EA7AC6" w:rsidRDefault="005A7FD1" w:rsidP="00F74DA4">
      <w:pPr>
        <w:pStyle w:val="Sraopastraipa"/>
        <w:tabs>
          <w:tab w:val="left" w:pos="0"/>
          <w:tab w:val="left" w:pos="1134"/>
        </w:tabs>
        <w:spacing w:before="240" w:after="0"/>
        <w:ind w:left="0" w:firstLine="567"/>
        <w:jc w:val="both"/>
        <w:rPr>
          <w:rFonts w:cstheme="minorHAnsi"/>
        </w:rPr>
      </w:pPr>
      <w:r w:rsidRPr="00EA7AC6">
        <w:rPr>
          <w:rFonts w:cstheme="minorHAnsi"/>
        </w:rPr>
        <w:t>FĮ</w:t>
      </w:r>
      <w:r w:rsidRPr="00EA7AC6">
        <w:rPr>
          <w:rFonts w:cstheme="minorHAnsi"/>
          <w:vertAlign w:val="subscript"/>
        </w:rPr>
        <w:t xml:space="preserve">APG </w:t>
      </w:r>
      <w:r w:rsidRPr="00EA7AC6">
        <w:rPr>
          <w:rFonts w:cstheme="minorHAnsi"/>
        </w:rPr>
        <w:t>– užsienio valstybei, į kurią vykstama komandiruotės į užsienį metu</w:t>
      </w:r>
      <w:r w:rsidR="00610244">
        <w:rPr>
          <w:rFonts w:cstheme="minorHAnsi"/>
        </w:rPr>
        <w:t xml:space="preserve"> (kai vykstama tik į vieną valstybę)</w:t>
      </w:r>
      <w:r w:rsidRPr="00EA7AC6">
        <w:rPr>
          <w:rFonts w:cstheme="minorHAnsi"/>
        </w:rPr>
        <w:t>, taikomas gyvenamojo ploto nuomos išlaidų fiksuotasis įkainis;</w:t>
      </w:r>
    </w:p>
    <w:p w:rsidR="005A7FD1" w:rsidRPr="00EA7AC6" w:rsidRDefault="005A7FD1" w:rsidP="00CC0DCE">
      <w:pPr>
        <w:pStyle w:val="Sraopastraipa"/>
        <w:tabs>
          <w:tab w:val="left" w:pos="0"/>
          <w:tab w:val="left" w:pos="1134"/>
        </w:tabs>
        <w:spacing w:before="240" w:after="0"/>
        <w:ind w:left="0" w:firstLine="567"/>
        <w:jc w:val="both"/>
        <w:rPr>
          <w:rFonts w:cstheme="minorHAnsi"/>
        </w:rPr>
      </w:pPr>
      <w:r w:rsidRPr="00EA7AC6">
        <w:rPr>
          <w:rFonts w:cstheme="minorHAnsi"/>
        </w:rPr>
        <w:t>FĮ</w:t>
      </w:r>
      <w:r w:rsidRPr="00EA7AC6">
        <w:rPr>
          <w:rFonts w:cstheme="minorHAnsi"/>
          <w:vertAlign w:val="subscript"/>
        </w:rPr>
        <w:t xml:space="preserve">APG1 </w:t>
      </w:r>
      <w:r w:rsidRPr="00EA7AC6">
        <w:rPr>
          <w:rFonts w:cstheme="minorHAnsi"/>
        </w:rPr>
        <w:t>– pirmajai užsienio valstybei, į kurią vykstama komandiruotės į užsienį metu, taikomas gyvenamojo ploto nuomos išlaidų fiksuotasis įkainis;</w:t>
      </w:r>
    </w:p>
    <w:p w:rsidR="005A7FD1" w:rsidRDefault="005A7FD1" w:rsidP="00CC0DCE">
      <w:pPr>
        <w:pStyle w:val="Sraopastraipa"/>
        <w:tabs>
          <w:tab w:val="left" w:pos="0"/>
          <w:tab w:val="left" w:pos="1134"/>
        </w:tabs>
        <w:spacing w:before="240" w:after="0"/>
        <w:ind w:left="0" w:firstLine="567"/>
        <w:jc w:val="both"/>
        <w:rPr>
          <w:rFonts w:cstheme="minorHAnsi"/>
        </w:rPr>
      </w:pPr>
      <w:r w:rsidRPr="00EA7AC6">
        <w:rPr>
          <w:rFonts w:cstheme="minorHAnsi"/>
        </w:rPr>
        <w:t>FĮ</w:t>
      </w:r>
      <w:r w:rsidRPr="00EA7AC6">
        <w:rPr>
          <w:rFonts w:cstheme="minorHAnsi"/>
          <w:vertAlign w:val="subscript"/>
        </w:rPr>
        <w:t xml:space="preserve">APG2 </w:t>
      </w:r>
      <w:r w:rsidRPr="00EA7AC6">
        <w:rPr>
          <w:rFonts w:cstheme="minorHAnsi"/>
        </w:rPr>
        <w:t>– antrajai užsienio valstybei, į kurią vykstama komandiruotės į užsienį metu, taikomas gyvenamojo ploto nuo</w:t>
      </w:r>
      <w:r w:rsidR="00610244">
        <w:rPr>
          <w:rFonts w:cstheme="minorHAnsi"/>
        </w:rPr>
        <w:t>mos išlaidų fiksuotasis įkainis;</w:t>
      </w:r>
    </w:p>
    <w:p w:rsidR="00F74DA4" w:rsidRDefault="00610244" w:rsidP="00CC0DCE">
      <w:pPr>
        <w:pStyle w:val="Sraopastraipa"/>
        <w:tabs>
          <w:tab w:val="left" w:pos="0"/>
          <w:tab w:val="left" w:pos="1134"/>
        </w:tabs>
        <w:spacing w:before="240" w:after="0"/>
        <w:ind w:left="0" w:firstLine="567"/>
        <w:jc w:val="both"/>
        <w:rPr>
          <w:rFonts w:cstheme="minorHAnsi"/>
        </w:rPr>
      </w:pPr>
      <w:r w:rsidRPr="00EA7AC6">
        <w:rPr>
          <w:rFonts w:cstheme="minorHAnsi"/>
        </w:rPr>
        <w:t>P</w:t>
      </w:r>
      <w:r>
        <w:rPr>
          <w:rFonts w:cstheme="minorHAnsi"/>
          <w:vertAlign w:val="subscript"/>
        </w:rPr>
        <w:t>APG</w:t>
      </w:r>
      <w:r w:rsidRPr="00EA7AC6">
        <w:rPr>
          <w:rFonts w:cstheme="minorHAnsi"/>
        </w:rPr>
        <w:t xml:space="preserve"> – </w:t>
      </w:r>
      <w:r>
        <w:rPr>
          <w:rFonts w:cstheme="minorHAnsi"/>
        </w:rPr>
        <w:t xml:space="preserve">techninės paramos gavėjo </w:t>
      </w:r>
      <w:r w:rsidR="00F74DA4">
        <w:rPr>
          <w:rFonts w:cstheme="minorHAnsi"/>
        </w:rPr>
        <w:t xml:space="preserve">apmokama </w:t>
      </w:r>
      <w:r>
        <w:rPr>
          <w:rFonts w:cstheme="minorHAnsi"/>
        </w:rPr>
        <w:t>gyvenamojo ploto nuomos išlaidų dalis</w:t>
      </w:r>
      <w:r w:rsidR="002B6D14">
        <w:rPr>
          <w:rFonts w:cstheme="minorHAnsi"/>
        </w:rPr>
        <w:t xml:space="preserve"> (kai vykstama tik į vieną valstybę)</w:t>
      </w:r>
      <w:r w:rsidR="00F74DA4">
        <w:rPr>
          <w:rFonts w:cstheme="minorHAnsi"/>
        </w:rPr>
        <w:t>;</w:t>
      </w:r>
    </w:p>
    <w:p w:rsidR="00F74DA4" w:rsidRDefault="00F74DA4" w:rsidP="00F74DA4">
      <w:pPr>
        <w:pStyle w:val="Sraopastraipa"/>
        <w:tabs>
          <w:tab w:val="left" w:pos="0"/>
          <w:tab w:val="left" w:pos="1134"/>
        </w:tabs>
        <w:spacing w:before="240" w:after="0"/>
        <w:ind w:left="0" w:firstLine="567"/>
        <w:jc w:val="both"/>
        <w:rPr>
          <w:rFonts w:cstheme="minorHAnsi"/>
        </w:rPr>
      </w:pPr>
      <w:r w:rsidRPr="00EA7AC6">
        <w:rPr>
          <w:rFonts w:cstheme="minorHAnsi"/>
        </w:rPr>
        <w:t>P</w:t>
      </w:r>
      <w:r>
        <w:rPr>
          <w:rFonts w:cstheme="minorHAnsi"/>
          <w:vertAlign w:val="subscript"/>
        </w:rPr>
        <w:t>APG1</w:t>
      </w:r>
      <w:r w:rsidRPr="00EA7AC6">
        <w:rPr>
          <w:rFonts w:cstheme="minorHAnsi"/>
        </w:rPr>
        <w:t xml:space="preserve"> – </w:t>
      </w:r>
      <w:r>
        <w:rPr>
          <w:rFonts w:cstheme="minorHAnsi"/>
        </w:rPr>
        <w:t>techninės paramos gavėjo apmokama gyvenamojo ploto nuomos išlaidų dalis pirmojoje užsienio valstybėje;</w:t>
      </w:r>
    </w:p>
    <w:p w:rsidR="00F74DA4" w:rsidRDefault="00F74DA4" w:rsidP="00F74DA4">
      <w:pPr>
        <w:pStyle w:val="Sraopastraipa"/>
        <w:tabs>
          <w:tab w:val="left" w:pos="0"/>
          <w:tab w:val="left" w:pos="1134"/>
        </w:tabs>
        <w:spacing w:before="240" w:after="0"/>
        <w:ind w:left="0" w:firstLine="567"/>
        <w:jc w:val="both"/>
        <w:rPr>
          <w:rFonts w:cstheme="minorHAnsi"/>
        </w:rPr>
      </w:pPr>
      <w:r w:rsidRPr="00EA7AC6">
        <w:rPr>
          <w:rFonts w:cstheme="minorHAnsi"/>
        </w:rPr>
        <w:t>P</w:t>
      </w:r>
      <w:r>
        <w:rPr>
          <w:rFonts w:cstheme="minorHAnsi"/>
          <w:vertAlign w:val="subscript"/>
        </w:rPr>
        <w:t>APG2</w:t>
      </w:r>
      <w:r w:rsidRPr="00EA7AC6">
        <w:rPr>
          <w:rFonts w:cstheme="minorHAnsi"/>
        </w:rPr>
        <w:t xml:space="preserve"> – </w:t>
      </w:r>
      <w:r>
        <w:rPr>
          <w:rFonts w:cstheme="minorHAnsi"/>
        </w:rPr>
        <w:t>techninės paramos gavėjo apmokama gyvenamojo ploto nuomos išlaidų dalis</w:t>
      </w:r>
      <w:r w:rsidR="002D5A7A">
        <w:rPr>
          <w:rFonts w:cstheme="minorHAnsi"/>
        </w:rPr>
        <w:t xml:space="preserve"> antrojoje užsienio valstybėje.</w:t>
      </w:r>
    </w:p>
    <w:p w:rsidR="002D5A7A" w:rsidRDefault="002D5A7A" w:rsidP="00F74DA4">
      <w:pPr>
        <w:pStyle w:val="Sraopastraipa"/>
        <w:tabs>
          <w:tab w:val="left" w:pos="0"/>
          <w:tab w:val="left" w:pos="1134"/>
        </w:tabs>
        <w:spacing w:before="240" w:after="0"/>
        <w:ind w:left="0" w:firstLine="567"/>
        <w:jc w:val="both"/>
        <w:rPr>
          <w:rFonts w:cstheme="minorHAnsi"/>
        </w:rPr>
      </w:pPr>
    </w:p>
    <w:p w:rsidR="002600BF" w:rsidRDefault="002600BF" w:rsidP="00D87653">
      <w:pPr>
        <w:pStyle w:val="Sraopastraipa"/>
        <w:tabs>
          <w:tab w:val="left" w:pos="0"/>
          <w:tab w:val="left" w:pos="1134"/>
        </w:tabs>
        <w:spacing w:before="240" w:after="0"/>
        <w:ind w:left="0" w:firstLine="567"/>
        <w:jc w:val="both"/>
        <w:rPr>
          <w:rFonts w:cstheme="minorHAnsi"/>
        </w:rPr>
      </w:pPr>
      <w:r w:rsidRPr="00D87653">
        <w:rPr>
          <w:rFonts w:cstheme="minorHAnsi"/>
        </w:rPr>
        <w:t>T</w:t>
      </w:r>
      <w:r w:rsidRPr="00EA7AC6">
        <w:rPr>
          <w:rFonts w:cstheme="minorHAnsi"/>
        </w:rPr>
        <w:t>echninės paramos gavėjams deklaruojant įgyvendinančiajai institucijai komandiruočių į užsienį išlaidas pagal fiksuotuosius įkainius</w:t>
      </w:r>
      <w:r w:rsidR="00FF35D4">
        <w:rPr>
          <w:rFonts w:cstheme="minorHAnsi"/>
        </w:rPr>
        <w:t>,</w:t>
      </w:r>
      <w:r w:rsidRPr="00EA7AC6">
        <w:rPr>
          <w:rFonts w:cstheme="minorHAnsi"/>
        </w:rPr>
        <w:t xml:space="preserve"> teikiami 2 lentelėje nustatyti dokumentai</w:t>
      </w:r>
      <w:r w:rsidR="002D5A7A">
        <w:rPr>
          <w:rFonts w:cstheme="minorHAnsi"/>
        </w:rPr>
        <w:t>.</w:t>
      </w:r>
    </w:p>
    <w:p w:rsidR="009C0482" w:rsidRPr="00EA7AC6" w:rsidRDefault="009C0482" w:rsidP="00D87653">
      <w:pPr>
        <w:pStyle w:val="Sraopastraipa"/>
        <w:tabs>
          <w:tab w:val="left" w:pos="0"/>
          <w:tab w:val="left" w:pos="1134"/>
        </w:tabs>
        <w:spacing w:before="240" w:after="0"/>
        <w:ind w:left="0" w:firstLine="567"/>
        <w:jc w:val="both"/>
        <w:rPr>
          <w:rFonts w:cstheme="minorHAnsi"/>
        </w:rPr>
      </w:pPr>
    </w:p>
    <w:p w:rsidR="002600BF" w:rsidRPr="00EA7AC6" w:rsidRDefault="002600BF" w:rsidP="002600BF">
      <w:pPr>
        <w:tabs>
          <w:tab w:val="left" w:pos="0"/>
        </w:tabs>
        <w:jc w:val="both"/>
        <w:rPr>
          <w:rFonts w:cstheme="minorHAnsi"/>
          <w:b/>
        </w:rPr>
      </w:pPr>
      <w:r w:rsidRPr="00EA7AC6">
        <w:rPr>
          <w:rFonts w:cstheme="minorHAnsi"/>
          <w:b/>
        </w:rPr>
        <w:t>2 lentelė. Komandiruočių į užsienį fiksuotųjų įkainių kiekybinių rezultatų pasiekimą įrodantys dokumentai</w:t>
      </w:r>
    </w:p>
    <w:tbl>
      <w:tblPr>
        <w:tblStyle w:val="Lentelstinklelis"/>
        <w:tblW w:w="0" w:type="auto"/>
        <w:tblLook w:val="04A0" w:firstRow="1" w:lastRow="0" w:firstColumn="1" w:lastColumn="0" w:noHBand="0" w:noVBand="1"/>
      </w:tblPr>
      <w:tblGrid>
        <w:gridCol w:w="1951"/>
        <w:gridCol w:w="2109"/>
        <w:gridCol w:w="2023"/>
        <w:gridCol w:w="4056"/>
      </w:tblGrid>
      <w:tr w:rsidR="002600BF" w:rsidRPr="00EA7AC6" w:rsidTr="00EA7AC6">
        <w:tc>
          <w:tcPr>
            <w:tcW w:w="1951" w:type="dxa"/>
          </w:tcPr>
          <w:p w:rsidR="002600BF" w:rsidRPr="00EA7AC6" w:rsidRDefault="002600BF" w:rsidP="002600BF">
            <w:pPr>
              <w:tabs>
                <w:tab w:val="left" w:pos="0"/>
              </w:tabs>
              <w:jc w:val="center"/>
              <w:rPr>
                <w:rFonts w:cstheme="minorHAnsi"/>
                <w:b/>
                <w:sz w:val="20"/>
                <w:szCs w:val="20"/>
              </w:rPr>
            </w:pPr>
            <w:r w:rsidRPr="00EA7AC6">
              <w:rPr>
                <w:rFonts w:cstheme="minorHAnsi"/>
                <w:b/>
                <w:sz w:val="20"/>
                <w:szCs w:val="20"/>
              </w:rPr>
              <w:t xml:space="preserve">Komandiruotės </w:t>
            </w:r>
            <w:r w:rsidRPr="00EA7AC6">
              <w:rPr>
                <w:rFonts w:cstheme="minorHAnsi"/>
                <w:b/>
                <w:sz w:val="20"/>
                <w:szCs w:val="20"/>
              </w:rPr>
              <w:lastRenderedPageBreak/>
              <w:t>metu aplankomų valstybių skaičius</w:t>
            </w:r>
          </w:p>
        </w:tc>
        <w:tc>
          <w:tcPr>
            <w:tcW w:w="2109" w:type="dxa"/>
          </w:tcPr>
          <w:p w:rsidR="002600BF" w:rsidRPr="00EA7AC6" w:rsidRDefault="002600BF" w:rsidP="002B140C">
            <w:pPr>
              <w:tabs>
                <w:tab w:val="left" w:pos="0"/>
              </w:tabs>
              <w:jc w:val="center"/>
              <w:rPr>
                <w:rFonts w:cstheme="minorHAnsi"/>
                <w:b/>
                <w:sz w:val="20"/>
                <w:szCs w:val="20"/>
              </w:rPr>
            </w:pPr>
            <w:r w:rsidRPr="00EA7AC6">
              <w:rPr>
                <w:rFonts w:cstheme="minorHAnsi"/>
                <w:b/>
                <w:sz w:val="20"/>
                <w:szCs w:val="20"/>
              </w:rPr>
              <w:lastRenderedPageBreak/>
              <w:t xml:space="preserve">Įstaigos teisinis </w:t>
            </w:r>
            <w:r w:rsidRPr="00EA7AC6">
              <w:rPr>
                <w:rFonts w:cstheme="minorHAnsi"/>
                <w:b/>
                <w:sz w:val="20"/>
                <w:szCs w:val="20"/>
              </w:rPr>
              <w:lastRenderedPageBreak/>
              <w:t>statusas</w:t>
            </w:r>
          </w:p>
        </w:tc>
        <w:tc>
          <w:tcPr>
            <w:tcW w:w="2023" w:type="dxa"/>
          </w:tcPr>
          <w:p w:rsidR="002600BF" w:rsidRPr="00EA7AC6" w:rsidRDefault="002600BF" w:rsidP="002B140C">
            <w:pPr>
              <w:tabs>
                <w:tab w:val="left" w:pos="0"/>
              </w:tabs>
              <w:jc w:val="center"/>
              <w:rPr>
                <w:rFonts w:cstheme="minorHAnsi"/>
                <w:b/>
                <w:sz w:val="20"/>
                <w:szCs w:val="20"/>
              </w:rPr>
            </w:pPr>
            <w:r w:rsidRPr="00EA7AC6">
              <w:rPr>
                <w:rFonts w:cstheme="minorHAnsi"/>
                <w:b/>
                <w:sz w:val="20"/>
                <w:szCs w:val="20"/>
              </w:rPr>
              <w:lastRenderedPageBreak/>
              <w:t xml:space="preserve">Pagrindinis </w:t>
            </w:r>
            <w:r w:rsidRPr="00EA7AC6">
              <w:rPr>
                <w:rFonts w:cstheme="minorHAnsi"/>
                <w:b/>
                <w:sz w:val="20"/>
                <w:szCs w:val="20"/>
              </w:rPr>
              <w:lastRenderedPageBreak/>
              <w:t>dokumentas</w:t>
            </w:r>
          </w:p>
        </w:tc>
        <w:tc>
          <w:tcPr>
            <w:tcW w:w="4056" w:type="dxa"/>
          </w:tcPr>
          <w:p w:rsidR="002600BF" w:rsidRPr="00EA7AC6" w:rsidRDefault="002600BF" w:rsidP="002B140C">
            <w:pPr>
              <w:tabs>
                <w:tab w:val="left" w:pos="0"/>
              </w:tabs>
              <w:jc w:val="center"/>
              <w:rPr>
                <w:rFonts w:cstheme="minorHAnsi"/>
                <w:b/>
                <w:sz w:val="20"/>
                <w:szCs w:val="20"/>
              </w:rPr>
            </w:pPr>
            <w:r w:rsidRPr="00EA7AC6">
              <w:rPr>
                <w:rFonts w:cstheme="minorHAnsi"/>
                <w:b/>
                <w:sz w:val="20"/>
                <w:szCs w:val="20"/>
              </w:rPr>
              <w:lastRenderedPageBreak/>
              <w:t>Kiti dokumentai</w:t>
            </w:r>
          </w:p>
        </w:tc>
      </w:tr>
      <w:tr w:rsidR="00280DA5" w:rsidRPr="00EA7AC6" w:rsidTr="00D851F0">
        <w:tc>
          <w:tcPr>
            <w:tcW w:w="1951" w:type="dxa"/>
            <w:vMerge w:val="restart"/>
            <w:vAlign w:val="center"/>
          </w:tcPr>
          <w:p w:rsidR="00280DA5" w:rsidRPr="00EA7AC6" w:rsidRDefault="00280DA5" w:rsidP="00D851F0">
            <w:pPr>
              <w:tabs>
                <w:tab w:val="left" w:pos="0"/>
              </w:tabs>
              <w:rPr>
                <w:rFonts w:cstheme="minorHAnsi"/>
                <w:sz w:val="20"/>
                <w:szCs w:val="20"/>
              </w:rPr>
            </w:pPr>
            <w:r w:rsidRPr="00EA7AC6">
              <w:rPr>
                <w:rFonts w:cstheme="minorHAnsi"/>
                <w:sz w:val="20"/>
                <w:szCs w:val="20"/>
              </w:rPr>
              <w:lastRenderedPageBreak/>
              <w:t>Viena užsienio valstybė</w:t>
            </w:r>
          </w:p>
        </w:tc>
        <w:tc>
          <w:tcPr>
            <w:tcW w:w="2109" w:type="dxa"/>
            <w:vAlign w:val="center"/>
          </w:tcPr>
          <w:p w:rsidR="00280DA5" w:rsidRPr="00EA7AC6" w:rsidRDefault="00280DA5" w:rsidP="00D851F0">
            <w:pPr>
              <w:tabs>
                <w:tab w:val="left" w:pos="0"/>
              </w:tabs>
              <w:rPr>
                <w:rFonts w:cstheme="minorHAnsi"/>
                <w:sz w:val="20"/>
                <w:szCs w:val="20"/>
              </w:rPr>
            </w:pPr>
            <w:r w:rsidRPr="00EA7AC6">
              <w:rPr>
                <w:rFonts w:cstheme="minorHAnsi"/>
                <w:sz w:val="20"/>
                <w:szCs w:val="20"/>
              </w:rPr>
              <w:t>Biudžetinė įstaiga</w:t>
            </w:r>
          </w:p>
        </w:tc>
        <w:tc>
          <w:tcPr>
            <w:tcW w:w="2023" w:type="dxa"/>
            <w:vAlign w:val="center"/>
          </w:tcPr>
          <w:p w:rsidR="00280DA5" w:rsidRPr="00EA7AC6" w:rsidRDefault="00280DA5" w:rsidP="00D851F0">
            <w:pPr>
              <w:tabs>
                <w:tab w:val="left" w:pos="0"/>
              </w:tabs>
              <w:rPr>
                <w:rFonts w:cstheme="minorHAnsi"/>
                <w:sz w:val="20"/>
                <w:szCs w:val="20"/>
              </w:rPr>
            </w:pPr>
            <w:r w:rsidRPr="00EA7AC6">
              <w:rPr>
                <w:rFonts w:cstheme="minorHAnsi"/>
                <w:sz w:val="20"/>
                <w:szCs w:val="20"/>
              </w:rPr>
              <w:t xml:space="preserve">Suvestinė pažyma </w:t>
            </w:r>
            <w:r>
              <w:rPr>
                <w:rFonts w:cstheme="minorHAnsi"/>
                <w:sz w:val="20"/>
                <w:szCs w:val="20"/>
              </w:rPr>
              <w:t>3 forma</w:t>
            </w:r>
          </w:p>
        </w:tc>
        <w:tc>
          <w:tcPr>
            <w:tcW w:w="4056" w:type="dxa"/>
            <w:vMerge w:val="restart"/>
            <w:vAlign w:val="center"/>
          </w:tcPr>
          <w:p w:rsidR="00280DA5" w:rsidRPr="00EA7AC6" w:rsidRDefault="00280DA5" w:rsidP="005C58DB">
            <w:pPr>
              <w:pStyle w:val="Sraopastraipa"/>
              <w:numPr>
                <w:ilvl w:val="0"/>
                <w:numId w:val="17"/>
              </w:numPr>
              <w:tabs>
                <w:tab w:val="left" w:pos="0"/>
              </w:tabs>
              <w:ind w:left="13" w:firstLine="0"/>
              <w:jc w:val="both"/>
              <w:rPr>
                <w:rFonts w:cstheme="minorHAnsi"/>
                <w:b/>
                <w:sz w:val="20"/>
                <w:szCs w:val="20"/>
              </w:rPr>
            </w:pPr>
            <w:r w:rsidRPr="00EA7AC6">
              <w:rPr>
                <w:rFonts w:cstheme="minorHAnsi"/>
                <w:b/>
                <w:sz w:val="20"/>
                <w:szCs w:val="20"/>
              </w:rPr>
              <w:t>Įsakymas ar potvarkis (ar lygiavertis dokumentas) dėl komandiruotės į užsienį, kuriame nurodomas komandiruojamas darbuotojas (-ai), komandiruotės tikslas, aplankoma(-os) užsienio valstybė(-ės) ir laikotarpis.</w:t>
            </w:r>
          </w:p>
          <w:p w:rsidR="00280DA5" w:rsidRPr="00EA7AC6" w:rsidRDefault="00280DA5" w:rsidP="005C58DB">
            <w:pPr>
              <w:tabs>
                <w:tab w:val="left" w:pos="0"/>
              </w:tabs>
              <w:jc w:val="both"/>
              <w:rPr>
                <w:rFonts w:cstheme="minorHAnsi"/>
                <w:sz w:val="20"/>
                <w:szCs w:val="20"/>
              </w:rPr>
            </w:pPr>
            <w:r w:rsidRPr="00EA7AC6">
              <w:rPr>
                <w:rFonts w:cstheme="minorHAnsi"/>
                <w:sz w:val="20"/>
                <w:szCs w:val="20"/>
              </w:rPr>
              <w:t>Jei komandiruotės tikslas pagal dokumentus nėra aiškus, turėtų būti pridedami dokumentai, kuriais pagrindžiamos komandiruotės tikslo sąsajos su ES struktūrinių fondų lėšų administravimo veiklomis, pavyzdžiui, renginio programos, darbotvarkės, komandiruotės ataskaitos ar kiti dokumentai;</w:t>
            </w:r>
          </w:p>
          <w:p w:rsidR="00280DA5" w:rsidRPr="00EA7AC6" w:rsidRDefault="00280DA5" w:rsidP="00D87653">
            <w:pPr>
              <w:pStyle w:val="Sraopastraipa"/>
              <w:numPr>
                <w:ilvl w:val="0"/>
                <w:numId w:val="17"/>
              </w:numPr>
              <w:tabs>
                <w:tab w:val="left" w:pos="0"/>
              </w:tabs>
              <w:ind w:left="13" w:firstLine="0"/>
              <w:jc w:val="both"/>
              <w:rPr>
                <w:rFonts w:cstheme="minorHAnsi"/>
                <w:sz w:val="20"/>
                <w:szCs w:val="20"/>
              </w:rPr>
            </w:pPr>
            <w:r w:rsidRPr="00EA7AC6">
              <w:rPr>
                <w:rFonts w:cstheme="minorHAnsi"/>
                <w:i/>
                <w:sz w:val="20"/>
                <w:szCs w:val="20"/>
              </w:rPr>
              <w:t>(</w:t>
            </w:r>
            <w:r w:rsidR="00D87653">
              <w:rPr>
                <w:rFonts w:cstheme="minorHAnsi"/>
                <w:i/>
                <w:sz w:val="20"/>
                <w:szCs w:val="20"/>
              </w:rPr>
              <w:t>J</w:t>
            </w:r>
            <w:r w:rsidR="00D87653" w:rsidRPr="00EA7AC6">
              <w:rPr>
                <w:rFonts w:cstheme="minorHAnsi"/>
                <w:i/>
                <w:sz w:val="20"/>
                <w:szCs w:val="20"/>
              </w:rPr>
              <w:t xml:space="preserve">eigu </w:t>
            </w:r>
            <w:r w:rsidRPr="00EA7AC6">
              <w:rPr>
                <w:rFonts w:cstheme="minorHAnsi"/>
                <w:i/>
                <w:sz w:val="20"/>
                <w:szCs w:val="20"/>
              </w:rPr>
              <w:t>dalį dienpinigių ar gyvenamojo ploto nuomos išlaidų apmoka trečioji šalis ir ši informacija nepateikiama įsakyme dėl komandiruotės)</w:t>
            </w:r>
            <w:r w:rsidRPr="00EA7AC6">
              <w:rPr>
                <w:rFonts w:cstheme="minorHAnsi"/>
                <w:b/>
                <w:sz w:val="20"/>
                <w:szCs w:val="20"/>
              </w:rPr>
              <w:t xml:space="preserve"> Banko sąskaitos išrašas dėl trečiosios šalies apmokėtos sumos ar kitas dokumentas, kuriame nurodyta trečiosios šalies apmokama suma ar išlaidų dalis.</w:t>
            </w:r>
          </w:p>
        </w:tc>
      </w:tr>
      <w:tr w:rsidR="00280DA5" w:rsidRPr="00EA7AC6" w:rsidTr="00D851F0">
        <w:tc>
          <w:tcPr>
            <w:tcW w:w="1951" w:type="dxa"/>
            <w:vMerge/>
            <w:vAlign w:val="center"/>
          </w:tcPr>
          <w:p w:rsidR="00280DA5" w:rsidRPr="00EA7AC6" w:rsidRDefault="00280DA5" w:rsidP="00D851F0">
            <w:pPr>
              <w:tabs>
                <w:tab w:val="left" w:pos="0"/>
              </w:tabs>
              <w:rPr>
                <w:rFonts w:cstheme="minorHAnsi"/>
                <w:sz w:val="20"/>
                <w:szCs w:val="20"/>
              </w:rPr>
            </w:pPr>
          </w:p>
        </w:tc>
        <w:tc>
          <w:tcPr>
            <w:tcW w:w="2109" w:type="dxa"/>
            <w:vAlign w:val="center"/>
          </w:tcPr>
          <w:p w:rsidR="00280DA5" w:rsidRPr="00EA7AC6" w:rsidRDefault="00280DA5" w:rsidP="00D851F0">
            <w:pPr>
              <w:tabs>
                <w:tab w:val="left" w:pos="0"/>
              </w:tabs>
              <w:rPr>
                <w:rFonts w:cstheme="minorHAnsi"/>
                <w:sz w:val="20"/>
                <w:szCs w:val="20"/>
              </w:rPr>
            </w:pPr>
            <w:r w:rsidRPr="00EA7AC6">
              <w:rPr>
                <w:rFonts w:cstheme="minorHAnsi"/>
                <w:sz w:val="20"/>
                <w:szCs w:val="20"/>
              </w:rPr>
              <w:t>Nebiudžetinė įstaiga</w:t>
            </w:r>
          </w:p>
        </w:tc>
        <w:tc>
          <w:tcPr>
            <w:tcW w:w="2023" w:type="dxa"/>
            <w:vAlign w:val="center"/>
          </w:tcPr>
          <w:p w:rsidR="00280DA5" w:rsidRPr="00EA7AC6" w:rsidRDefault="00280DA5" w:rsidP="00D851F0">
            <w:pPr>
              <w:tabs>
                <w:tab w:val="left" w:pos="0"/>
              </w:tabs>
              <w:rPr>
                <w:rFonts w:cstheme="minorHAnsi"/>
                <w:sz w:val="20"/>
                <w:szCs w:val="20"/>
              </w:rPr>
            </w:pPr>
            <w:r w:rsidRPr="00EA7AC6">
              <w:rPr>
                <w:rFonts w:cstheme="minorHAnsi"/>
                <w:sz w:val="20"/>
                <w:szCs w:val="20"/>
              </w:rPr>
              <w:t xml:space="preserve">Suvestinė pažyma </w:t>
            </w:r>
            <w:r>
              <w:rPr>
                <w:rFonts w:cstheme="minorHAnsi"/>
                <w:sz w:val="20"/>
                <w:szCs w:val="20"/>
              </w:rPr>
              <w:t>6 forma</w:t>
            </w:r>
          </w:p>
        </w:tc>
        <w:tc>
          <w:tcPr>
            <w:tcW w:w="4056" w:type="dxa"/>
            <w:vMerge/>
            <w:vAlign w:val="center"/>
          </w:tcPr>
          <w:p w:rsidR="00280DA5" w:rsidRPr="00EA7AC6" w:rsidRDefault="00280DA5" w:rsidP="00D851F0">
            <w:pPr>
              <w:tabs>
                <w:tab w:val="left" w:pos="0"/>
              </w:tabs>
              <w:rPr>
                <w:rFonts w:cstheme="minorHAnsi"/>
              </w:rPr>
            </w:pPr>
          </w:p>
        </w:tc>
      </w:tr>
      <w:tr w:rsidR="00280DA5" w:rsidRPr="00EA7AC6" w:rsidTr="00D851F0">
        <w:trPr>
          <w:trHeight w:val="1953"/>
        </w:trPr>
        <w:tc>
          <w:tcPr>
            <w:tcW w:w="1951" w:type="dxa"/>
            <w:vAlign w:val="center"/>
          </w:tcPr>
          <w:p w:rsidR="00280DA5" w:rsidRPr="00EA7AC6" w:rsidRDefault="00280DA5" w:rsidP="00D851F0">
            <w:pPr>
              <w:tabs>
                <w:tab w:val="left" w:pos="0"/>
              </w:tabs>
              <w:rPr>
                <w:rFonts w:cstheme="minorHAnsi"/>
                <w:sz w:val="20"/>
                <w:szCs w:val="20"/>
              </w:rPr>
            </w:pPr>
            <w:r w:rsidRPr="00EA7AC6">
              <w:rPr>
                <w:rFonts w:cstheme="minorHAnsi"/>
                <w:sz w:val="20"/>
                <w:szCs w:val="20"/>
              </w:rPr>
              <w:t xml:space="preserve">Dvi užsienio valstybės ir atvykimo į pirmąją užsienio valstybę diena </w:t>
            </w:r>
            <w:r w:rsidRPr="00EA7AC6">
              <w:rPr>
                <w:rFonts w:cstheme="minorHAnsi"/>
                <w:b/>
                <w:sz w:val="20"/>
                <w:szCs w:val="20"/>
              </w:rPr>
              <w:t>nesutampa</w:t>
            </w:r>
            <w:r w:rsidRPr="00EA7AC6">
              <w:rPr>
                <w:rFonts w:cstheme="minorHAnsi"/>
                <w:sz w:val="20"/>
                <w:szCs w:val="20"/>
              </w:rPr>
              <w:t xml:space="preserve"> su atvykimo į antrąją užsienio valstybę diena</w:t>
            </w:r>
          </w:p>
        </w:tc>
        <w:tc>
          <w:tcPr>
            <w:tcW w:w="2109" w:type="dxa"/>
            <w:vAlign w:val="center"/>
          </w:tcPr>
          <w:p w:rsidR="00280DA5" w:rsidRPr="00EA7AC6" w:rsidRDefault="00280DA5" w:rsidP="00D851F0">
            <w:pPr>
              <w:tabs>
                <w:tab w:val="left" w:pos="0"/>
              </w:tabs>
              <w:rPr>
                <w:rFonts w:cstheme="minorHAnsi"/>
                <w:sz w:val="20"/>
                <w:szCs w:val="20"/>
              </w:rPr>
            </w:pPr>
            <w:r w:rsidRPr="00EA7AC6">
              <w:rPr>
                <w:rFonts w:cstheme="minorHAnsi"/>
                <w:sz w:val="20"/>
                <w:szCs w:val="20"/>
              </w:rPr>
              <w:t>Biudžetinė įstaiga</w:t>
            </w:r>
          </w:p>
        </w:tc>
        <w:tc>
          <w:tcPr>
            <w:tcW w:w="2023" w:type="dxa"/>
            <w:vAlign w:val="center"/>
          </w:tcPr>
          <w:p w:rsidR="00280DA5" w:rsidRPr="00EA7AC6" w:rsidRDefault="00280DA5" w:rsidP="00D851F0">
            <w:pPr>
              <w:tabs>
                <w:tab w:val="left" w:pos="0"/>
              </w:tabs>
              <w:rPr>
                <w:rFonts w:cstheme="minorHAnsi"/>
                <w:sz w:val="20"/>
                <w:szCs w:val="20"/>
              </w:rPr>
            </w:pPr>
            <w:r>
              <w:rPr>
                <w:rFonts w:cstheme="minorHAnsi"/>
                <w:sz w:val="20"/>
                <w:szCs w:val="20"/>
              </w:rPr>
              <w:t xml:space="preserve">Suvestinė pažyma, 4 forma </w:t>
            </w:r>
          </w:p>
        </w:tc>
        <w:tc>
          <w:tcPr>
            <w:tcW w:w="4056" w:type="dxa"/>
            <w:vMerge/>
            <w:vAlign w:val="center"/>
          </w:tcPr>
          <w:p w:rsidR="00280DA5" w:rsidRPr="00EA7AC6" w:rsidRDefault="00280DA5" w:rsidP="00D851F0">
            <w:pPr>
              <w:tabs>
                <w:tab w:val="left" w:pos="0"/>
              </w:tabs>
              <w:rPr>
                <w:rFonts w:cstheme="minorHAnsi"/>
              </w:rPr>
            </w:pPr>
          </w:p>
        </w:tc>
      </w:tr>
      <w:tr w:rsidR="00280DA5" w:rsidRPr="00EA7AC6" w:rsidTr="00D851F0">
        <w:trPr>
          <w:trHeight w:val="1953"/>
        </w:trPr>
        <w:tc>
          <w:tcPr>
            <w:tcW w:w="1951" w:type="dxa"/>
            <w:vAlign w:val="center"/>
          </w:tcPr>
          <w:p w:rsidR="00280DA5" w:rsidRPr="00EA7AC6" w:rsidRDefault="00280DA5" w:rsidP="00D851F0">
            <w:pPr>
              <w:tabs>
                <w:tab w:val="left" w:pos="0"/>
              </w:tabs>
              <w:rPr>
                <w:rFonts w:cstheme="minorHAnsi"/>
                <w:sz w:val="20"/>
                <w:szCs w:val="20"/>
              </w:rPr>
            </w:pPr>
            <w:r w:rsidRPr="00EA7AC6">
              <w:rPr>
                <w:rFonts w:cstheme="minorHAnsi"/>
                <w:sz w:val="20"/>
                <w:szCs w:val="20"/>
              </w:rPr>
              <w:t xml:space="preserve">Dvi užsienio valstybės ir atvykimo į pirmąją užsienio valstybę diena </w:t>
            </w:r>
            <w:r w:rsidRPr="00EA7AC6">
              <w:rPr>
                <w:rFonts w:cstheme="minorHAnsi"/>
                <w:b/>
                <w:sz w:val="20"/>
                <w:szCs w:val="20"/>
              </w:rPr>
              <w:t>sutampa</w:t>
            </w:r>
            <w:r w:rsidRPr="00EA7AC6">
              <w:rPr>
                <w:rFonts w:cstheme="minorHAnsi"/>
                <w:sz w:val="20"/>
                <w:szCs w:val="20"/>
              </w:rPr>
              <w:t xml:space="preserve"> su atvykimo į antrąją užsienio valstybę diena</w:t>
            </w:r>
          </w:p>
        </w:tc>
        <w:tc>
          <w:tcPr>
            <w:tcW w:w="2109" w:type="dxa"/>
            <w:vAlign w:val="center"/>
          </w:tcPr>
          <w:p w:rsidR="00280DA5" w:rsidRPr="00EA7AC6" w:rsidRDefault="00280DA5" w:rsidP="00D851F0">
            <w:pPr>
              <w:tabs>
                <w:tab w:val="left" w:pos="0"/>
              </w:tabs>
              <w:rPr>
                <w:rFonts w:cstheme="minorHAnsi"/>
                <w:sz w:val="20"/>
                <w:szCs w:val="20"/>
              </w:rPr>
            </w:pPr>
            <w:r>
              <w:rPr>
                <w:rFonts w:cstheme="minorHAnsi"/>
                <w:sz w:val="20"/>
                <w:szCs w:val="20"/>
              </w:rPr>
              <w:t>Biudžetinė įstaiga</w:t>
            </w:r>
          </w:p>
        </w:tc>
        <w:tc>
          <w:tcPr>
            <w:tcW w:w="2023" w:type="dxa"/>
            <w:vAlign w:val="center"/>
          </w:tcPr>
          <w:p w:rsidR="00280DA5" w:rsidRPr="00EA7AC6" w:rsidRDefault="00280DA5" w:rsidP="00D851F0">
            <w:pPr>
              <w:rPr>
                <w:rFonts w:cstheme="minorHAnsi"/>
                <w:sz w:val="20"/>
                <w:szCs w:val="20"/>
              </w:rPr>
            </w:pPr>
            <w:r>
              <w:rPr>
                <w:rFonts w:cstheme="minorHAnsi"/>
                <w:sz w:val="20"/>
                <w:szCs w:val="20"/>
              </w:rPr>
              <w:t>Suvestinė pažyma, 5 forma</w:t>
            </w:r>
          </w:p>
        </w:tc>
        <w:tc>
          <w:tcPr>
            <w:tcW w:w="4056" w:type="dxa"/>
            <w:vMerge/>
            <w:vAlign w:val="center"/>
          </w:tcPr>
          <w:p w:rsidR="00280DA5" w:rsidRPr="00EA7AC6" w:rsidRDefault="00280DA5" w:rsidP="00D851F0">
            <w:pPr>
              <w:tabs>
                <w:tab w:val="left" w:pos="0"/>
              </w:tabs>
              <w:rPr>
                <w:rFonts w:cstheme="minorHAnsi"/>
              </w:rPr>
            </w:pPr>
          </w:p>
        </w:tc>
      </w:tr>
      <w:tr w:rsidR="00280DA5" w:rsidRPr="00EA7AC6" w:rsidTr="00D851F0">
        <w:tc>
          <w:tcPr>
            <w:tcW w:w="1951" w:type="dxa"/>
            <w:vAlign w:val="center"/>
          </w:tcPr>
          <w:p w:rsidR="00280DA5" w:rsidRPr="00EA7AC6" w:rsidRDefault="00280DA5" w:rsidP="00D851F0">
            <w:pPr>
              <w:tabs>
                <w:tab w:val="left" w:pos="0"/>
              </w:tabs>
              <w:rPr>
                <w:rFonts w:cstheme="minorHAnsi"/>
                <w:sz w:val="20"/>
                <w:szCs w:val="20"/>
              </w:rPr>
            </w:pPr>
            <w:r>
              <w:rPr>
                <w:rFonts w:cstheme="minorHAnsi"/>
                <w:sz w:val="20"/>
                <w:szCs w:val="20"/>
              </w:rPr>
              <w:t>Dvi užsienio valstybės</w:t>
            </w:r>
          </w:p>
        </w:tc>
        <w:tc>
          <w:tcPr>
            <w:tcW w:w="2109" w:type="dxa"/>
            <w:vAlign w:val="center"/>
          </w:tcPr>
          <w:p w:rsidR="00280DA5" w:rsidRPr="00EA7AC6" w:rsidRDefault="00280DA5" w:rsidP="00D851F0">
            <w:pPr>
              <w:tabs>
                <w:tab w:val="left" w:pos="0"/>
              </w:tabs>
              <w:rPr>
                <w:rFonts w:cstheme="minorHAnsi"/>
                <w:sz w:val="20"/>
                <w:szCs w:val="20"/>
              </w:rPr>
            </w:pPr>
            <w:r>
              <w:rPr>
                <w:rFonts w:cstheme="minorHAnsi"/>
                <w:sz w:val="20"/>
                <w:szCs w:val="20"/>
              </w:rPr>
              <w:t>Nebiudžetinė įstaiga</w:t>
            </w:r>
          </w:p>
        </w:tc>
        <w:tc>
          <w:tcPr>
            <w:tcW w:w="2023" w:type="dxa"/>
            <w:vAlign w:val="center"/>
          </w:tcPr>
          <w:p w:rsidR="00280DA5" w:rsidRPr="00EA7AC6" w:rsidRDefault="00280DA5" w:rsidP="00D851F0">
            <w:pPr>
              <w:rPr>
                <w:rFonts w:cstheme="minorHAnsi"/>
                <w:sz w:val="20"/>
                <w:szCs w:val="20"/>
              </w:rPr>
            </w:pPr>
            <w:r>
              <w:rPr>
                <w:rFonts w:cstheme="minorHAnsi"/>
                <w:sz w:val="20"/>
                <w:szCs w:val="20"/>
              </w:rPr>
              <w:t>Suvestinė pažyma, 7 forma</w:t>
            </w:r>
          </w:p>
        </w:tc>
        <w:tc>
          <w:tcPr>
            <w:tcW w:w="4056" w:type="dxa"/>
            <w:vMerge/>
            <w:vAlign w:val="center"/>
          </w:tcPr>
          <w:p w:rsidR="00280DA5" w:rsidRPr="00EA7AC6" w:rsidRDefault="00280DA5" w:rsidP="00D851F0">
            <w:pPr>
              <w:pStyle w:val="Sraopastraipa"/>
              <w:tabs>
                <w:tab w:val="left" w:pos="0"/>
              </w:tabs>
              <w:ind w:left="34"/>
              <w:rPr>
                <w:rFonts w:cstheme="minorHAnsi"/>
                <w:b/>
              </w:rPr>
            </w:pPr>
          </w:p>
        </w:tc>
      </w:tr>
    </w:tbl>
    <w:p w:rsidR="00CE21E5" w:rsidRPr="00EA7AC6" w:rsidRDefault="00CE21E5" w:rsidP="00085D06">
      <w:pPr>
        <w:tabs>
          <w:tab w:val="left" w:pos="0"/>
        </w:tabs>
        <w:jc w:val="both"/>
        <w:rPr>
          <w:rFonts w:cstheme="minorHAnsi"/>
        </w:rPr>
      </w:pPr>
    </w:p>
    <w:p w:rsidR="00E15EF3" w:rsidRDefault="00E15EF3" w:rsidP="00343FA3">
      <w:pPr>
        <w:autoSpaceDE w:val="0"/>
        <w:autoSpaceDN w:val="0"/>
        <w:adjustRightInd w:val="0"/>
        <w:spacing w:before="240" w:after="0"/>
        <w:ind w:firstLine="567"/>
        <w:jc w:val="both"/>
        <w:rPr>
          <w:rFonts w:cstheme="minorHAnsi"/>
          <w:lang w:eastAsia="lt-LT"/>
        </w:rPr>
      </w:pPr>
      <w:r>
        <w:rPr>
          <w:rFonts w:cstheme="minorHAnsi"/>
          <w:lang w:eastAsia="lt-LT"/>
        </w:rPr>
        <w:t xml:space="preserve">Jeigu dienpinigius (100 proc.), gyvenamojo ploto nuomos išlaidas (100 proc.), vietinių kelionių išlaidas (visas ar dalį) ir (ar) kitas komandiruotės išlaidas (visas ar dalį) apmoka </w:t>
      </w:r>
      <w:r w:rsidRPr="00EA7AC6">
        <w:rPr>
          <w:rFonts w:cstheme="minorHAnsi"/>
          <w:lang w:eastAsia="lt-LT"/>
        </w:rPr>
        <w:t>ne į komandiruotę siunčiamo darbuotojo darbdavys, o trečioji šalis (pavyzdžiui, priimančioji institucija</w:t>
      </w:r>
      <w:r>
        <w:rPr>
          <w:rFonts w:cstheme="minorHAnsi"/>
          <w:lang w:eastAsia="lt-LT"/>
        </w:rPr>
        <w:t xml:space="preserve">, Europos Komisija ar pan.), suvestinės pažymos formoje nurodoma, kad atitinkamas išlaidas apmoka </w:t>
      </w:r>
      <w:r w:rsidR="002D5A7A">
        <w:rPr>
          <w:rFonts w:cstheme="minorHAnsi"/>
          <w:lang w:eastAsia="lt-LT"/>
        </w:rPr>
        <w:t>ne techninės paramos gavėjas,</w:t>
      </w:r>
      <w:r>
        <w:rPr>
          <w:rFonts w:cstheme="minorHAnsi"/>
          <w:lang w:eastAsia="lt-LT"/>
        </w:rPr>
        <w:t xml:space="preserve"> ir tokios išlaidos nėra finansuojamos </w:t>
      </w:r>
      <w:r w:rsidRPr="00EA7AC6">
        <w:rPr>
          <w:rFonts w:cstheme="minorHAnsi"/>
          <w:lang w:eastAsia="lt-LT"/>
        </w:rPr>
        <w:t>iš te</w:t>
      </w:r>
      <w:r>
        <w:rPr>
          <w:rFonts w:cstheme="minorHAnsi"/>
          <w:lang w:eastAsia="lt-LT"/>
        </w:rPr>
        <w:t>chninės paramos prioriteto lėšų.</w:t>
      </w:r>
    </w:p>
    <w:p w:rsidR="00321F2C" w:rsidRDefault="00321F2C" w:rsidP="00343FA3">
      <w:pPr>
        <w:autoSpaceDE w:val="0"/>
        <w:autoSpaceDN w:val="0"/>
        <w:adjustRightInd w:val="0"/>
        <w:spacing w:before="240" w:after="0"/>
        <w:ind w:firstLine="567"/>
        <w:jc w:val="both"/>
        <w:rPr>
          <w:rFonts w:cstheme="minorHAnsi"/>
          <w:lang w:eastAsia="lt-LT"/>
        </w:rPr>
      </w:pPr>
      <w:r w:rsidRPr="00EA7AC6">
        <w:rPr>
          <w:rFonts w:cstheme="minorHAnsi"/>
          <w:lang w:eastAsia="lt-LT"/>
        </w:rPr>
        <w:t xml:space="preserve">Jeigu </w:t>
      </w:r>
      <w:r w:rsidR="00E15EF3">
        <w:rPr>
          <w:rFonts w:cstheme="minorHAnsi"/>
          <w:lang w:eastAsia="lt-LT"/>
        </w:rPr>
        <w:t xml:space="preserve">trečioji šalis apmoka tik </w:t>
      </w:r>
      <w:r w:rsidRPr="00EA7AC6">
        <w:rPr>
          <w:rFonts w:cstheme="minorHAnsi"/>
          <w:lang w:eastAsia="lt-LT"/>
        </w:rPr>
        <w:t>dalį dienpinigių ir (arba) gyvenamojo ploto nuomos išlaidų</w:t>
      </w:r>
      <w:r w:rsidR="00F74DA4">
        <w:rPr>
          <w:rFonts w:cstheme="minorHAnsi"/>
          <w:lang w:eastAsia="lt-LT"/>
        </w:rPr>
        <w:t xml:space="preserve"> arba jeigu techninės paramos gavėjas</w:t>
      </w:r>
      <w:r w:rsidR="00BD0D26">
        <w:rPr>
          <w:rFonts w:cstheme="minorHAnsi"/>
          <w:lang w:eastAsia="lt-LT"/>
        </w:rPr>
        <w:t xml:space="preserve"> įstaigos vadovo sprendimu ap</w:t>
      </w:r>
      <w:r w:rsidR="00F74DA4">
        <w:rPr>
          <w:rFonts w:cstheme="minorHAnsi"/>
          <w:lang w:eastAsia="lt-LT"/>
        </w:rPr>
        <w:t xml:space="preserve">moka tik </w:t>
      </w:r>
      <w:r w:rsidR="00BD0D26">
        <w:rPr>
          <w:rFonts w:cstheme="minorHAnsi"/>
          <w:lang w:eastAsia="lt-LT"/>
        </w:rPr>
        <w:t>dalį Įsakyme 116 nustatytos dienpinigių normos</w:t>
      </w:r>
      <w:r w:rsidRPr="00EA7AC6">
        <w:rPr>
          <w:rFonts w:cstheme="minorHAnsi"/>
          <w:lang w:eastAsia="lt-LT"/>
        </w:rPr>
        <w:t xml:space="preserve">, iš techninės paramos prioriteto lėšų </w:t>
      </w:r>
      <w:r w:rsidR="00412573" w:rsidRPr="00EA7AC6">
        <w:rPr>
          <w:rFonts w:cstheme="minorHAnsi"/>
          <w:lang w:eastAsia="lt-LT"/>
        </w:rPr>
        <w:t>tinkamų finansuoti išlaidų suma</w:t>
      </w:r>
      <w:r w:rsidRPr="00EA7AC6">
        <w:rPr>
          <w:rFonts w:cstheme="minorHAnsi"/>
          <w:lang w:eastAsia="lt-LT"/>
        </w:rPr>
        <w:t xml:space="preserve"> apskaičiuojama suvestinėje pažymos formoje nurodant </w:t>
      </w:r>
      <w:r w:rsidR="00412573" w:rsidRPr="00EA7AC6">
        <w:rPr>
          <w:rFonts w:cstheme="minorHAnsi"/>
          <w:lang w:eastAsia="lt-LT"/>
        </w:rPr>
        <w:t>faktinę te</w:t>
      </w:r>
      <w:r w:rsidR="002D5A7A">
        <w:rPr>
          <w:rFonts w:cstheme="minorHAnsi"/>
          <w:lang w:eastAsia="lt-LT"/>
        </w:rPr>
        <w:t>chninės paramos gavėjo apmokamą</w:t>
      </w:r>
      <w:r w:rsidR="00412573" w:rsidRPr="00EA7AC6">
        <w:rPr>
          <w:rFonts w:cstheme="minorHAnsi"/>
          <w:lang w:eastAsia="lt-LT"/>
        </w:rPr>
        <w:t xml:space="preserve"> šių išlaidų dalį (procentą). </w:t>
      </w:r>
    </w:p>
    <w:p w:rsidR="004C5ED9" w:rsidRDefault="00BF61F9" w:rsidP="00343FA3">
      <w:pPr>
        <w:autoSpaceDE w:val="0"/>
        <w:autoSpaceDN w:val="0"/>
        <w:adjustRightInd w:val="0"/>
        <w:spacing w:before="240" w:after="0"/>
        <w:ind w:firstLine="567"/>
        <w:jc w:val="both"/>
        <w:rPr>
          <w:rFonts w:cstheme="minorHAnsi"/>
          <w:lang w:eastAsia="lt-LT"/>
        </w:rPr>
      </w:pPr>
      <w:r>
        <w:rPr>
          <w:rFonts w:cstheme="minorHAnsi"/>
          <w:lang w:eastAsia="lt-LT"/>
        </w:rPr>
        <w:t xml:space="preserve">Kai trečioji šalis apmoka dalį dienpinigių arba įstaigos vadovo sprendimu darbuotojui yra </w:t>
      </w:r>
      <w:r w:rsidR="00BD0D26">
        <w:rPr>
          <w:rFonts w:cstheme="minorHAnsi"/>
          <w:lang w:eastAsia="lt-LT"/>
        </w:rPr>
        <w:t>išmokama</w:t>
      </w:r>
      <w:r>
        <w:rPr>
          <w:rFonts w:cstheme="minorHAnsi"/>
          <w:lang w:eastAsia="lt-LT"/>
        </w:rPr>
        <w:t xml:space="preserve"> mažesnė nei Įsakym</w:t>
      </w:r>
      <w:r w:rsidR="00BD0D26">
        <w:rPr>
          <w:rFonts w:cstheme="minorHAnsi"/>
          <w:lang w:eastAsia="lt-LT"/>
        </w:rPr>
        <w:t>e</w:t>
      </w:r>
      <w:r>
        <w:rPr>
          <w:rFonts w:cstheme="minorHAnsi"/>
          <w:lang w:eastAsia="lt-LT"/>
        </w:rPr>
        <w:t xml:space="preserve"> 116 nustatyta dienpinigių norma, </w:t>
      </w:r>
      <w:r w:rsidR="00BD0D26">
        <w:rPr>
          <w:rFonts w:cstheme="minorHAnsi"/>
          <w:lang w:eastAsia="lt-LT"/>
        </w:rPr>
        <w:t xml:space="preserve">tinkamų finansuoti dienpinigių išlaidų suma apskaičiuojama proporcingai techninės paramos gavėjo apmokėtai dienpinigių daliai </w:t>
      </w:r>
      <w:r>
        <w:rPr>
          <w:rFonts w:cstheme="minorHAnsi"/>
          <w:lang w:eastAsia="lt-LT"/>
        </w:rPr>
        <w:t xml:space="preserve">(pavyzdžiui, </w:t>
      </w:r>
      <w:r w:rsidR="00BD0D26">
        <w:rPr>
          <w:rFonts w:cstheme="minorHAnsi"/>
          <w:lang w:eastAsia="lt-LT"/>
        </w:rPr>
        <w:t xml:space="preserve">jei </w:t>
      </w:r>
      <w:r>
        <w:rPr>
          <w:rFonts w:cstheme="minorHAnsi"/>
          <w:lang w:eastAsia="lt-LT"/>
        </w:rPr>
        <w:t>biudžetinės įstaigos darbuotojas vyko į komandiruotę</w:t>
      </w:r>
      <w:r w:rsidR="004C5ED9">
        <w:rPr>
          <w:rFonts w:cstheme="minorHAnsi"/>
          <w:lang w:eastAsia="lt-LT"/>
        </w:rPr>
        <w:t xml:space="preserve"> į Paryžių</w:t>
      </w:r>
      <w:r>
        <w:rPr>
          <w:rFonts w:cstheme="minorHAnsi"/>
          <w:lang w:eastAsia="lt-LT"/>
        </w:rPr>
        <w:t>, kurioje buvo aprūpintas dienpinigiais</w:t>
      </w:r>
      <w:r w:rsidR="00BD0D26">
        <w:rPr>
          <w:rFonts w:cstheme="minorHAnsi"/>
          <w:lang w:eastAsia="lt-LT"/>
        </w:rPr>
        <w:t xml:space="preserve"> ir</w:t>
      </w:r>
      <w:r w:rsidR="002D5A7A">
        <w:rPr>
          <w:rFonts w:cstheme="minorHAnsi"/>
          <w:lang w:eastAsia="lt-LT"/>
        </w:rPr>
        <w:t xml:space="preserve"> </w:t>
      </w:r>
      <w:r w:rsidR="001F6040">
        <w:rPr>
          <w:rFonts w:cstheme="minorHAnsi"/>
          <w:lang w:eastAsia="lt-LT"/>
        </w:rPr>
        <w:t>dėl to</w:t>
      </w:r>
      <w:r>
        <w:rPr>
          <w:rFonts w:cstheme="minorHAnsi"/>
          <w:lang w:eastAsia="lt-LT"/>
        </w:rPr>
        <w:t xml:space="preserve"> įstaigos vadovo sprendimu darbuotojui buvo </w:t>
      </w:r>
      <w:r w:rsidR="001F6040">
        <w:rPr>
          <w:rFonts w:cstheme="minorHAnsi"/>
          <w:lang w:eastAsia="lt-LT"/>
        </w:rPr>
        <w:t>iš</w:t>
      </w:r>
      <w:r>
        <w:rPr>
          <w:rFonts w:cstheme="minorHAnsi"/>
          <w:lang w:eastAsia="lt-LT"/>
        </w:rPr>
        <w:t>mokėta 30 procentų Įsakym</w:t>
      </w:r>
      <w:r w:rsidR="00BD0D26">
        <w:rPr>
          <w:rFonts w:cstheme="minorHAnsi"/>
          <w:lang w:eastAsia="lt-LT"/>
        </w:rPr>
        <w:t>e</w:t>
      </w:r>
      <w:r>
        <w:rPr>
          <w:rFonts w:cstheme="minorHAnsi"/>
          <w:lang w:eastAsia="lt-LT"/>
        </w:rPr>
        <w:t xml:space="preserve"> 116 nustatytų dienpinigių normos, </w:t>
      </w:r>
      <w:r w:rsidR="004C5ED9">
        <w:rPr>
          <w:rFonts w:cstheme="minorHAnsi"/>
          <w:lang w:eastAsia="lt-LT"/>
        </w:rPr>
        <w:t>tinkam</w:t>
      </w:r>
      <w:r w:rsidR="001F6040">
        <w:rPr>
          <w:rFonts w:cstheme="minorHAnsi"/>
          <w:lang w:eastAsia="lt-LT"/>
        </w:rPr>
        <w:t>ų</w:t>
      </w:r>
      <w:r w:rsidR="00BD0D26">
        <w:rPr>
          <w:rFonts w:cstheme="minorHAnsi"/>
          <w:lang w:eastAsia="lt-LT"/>
        </w:rPr>
        <w:t xml:space="preserve"> finansuoti</w:t>
      </w:r>
      <w:r w:rsidR="004C5ED9">
        <w:rPr>
          <w:rFonts w:cstheme="minorHAnsi"/>
          <w:lang w:eastAsia="lt-LT"/>
        </w:rPr>
        <w:t xml:space="preserve"> dienpinigių išlaidų dalis </w:t>
      </w:r>
      <w:r w:rsidR="001F6040">
        <w:rPr>
          <w:rFonts w:cstheme="minorHAnsi"/>
          <w:lang w:eastAsia="lt-LT"/>
        </w:rPr>
        <w:t>sudarys 30</w:t>
      </w:r>
      <w:r w:rsidR="004C5ED9">
        <w:rPr>
          <w:rFonts w:cstheme="minorHAnsi"/>
          <w:lang w:eastAsia="lt-LT"/>
        </w:rPr>
        <w:t xml:space="preserve"> proc. maksim</w:t>
      </w:r>
      <w:r w:rsidR="00F26398">
        <w:rPr>
          <w:rFonts w:cstheme="minorHAnsi"/>
          <w:lang w:eastAsia="lt-LT"/>
        </w:rPr>
        <w:t>alios dienpinigių normos Prancūz</w:t>
      </w:r>
      <w:r w:rsidR="004C5ED9">
        <w:rPr>
          <w:rFonts w:cstheme="minorHAnsi"/>
          <w:lang w:eastAsia="lt-LT"/>
        </w:rPr>
        <w:t>ijoje, t.</w:t>
      </w:r>
      <w:r w:rsidR="00EC1340">
        <w:rPr>
          <w:rFonts w:cstheme="minorHAnsi"/>
          <w:lang w:eastAsia="lt-LT"/>
        </w:rPr>
        <w:t xml:space="preserve"> </w:t>
      </w:r>
      <w:r w:rsidR="004C5ED9">
        <w:rPr>
          <w:rFonts w:cstheme="minorHAnsi"/>
          <w:lang w:eastAsia="lt-LT"/>
        </w:rPr>
        <w:t>y. 57*30/100</w:t>
      </w:r>
      <w:r w:rsidR="004C5ED9">
        <w:rPr>
          <w:rFonts w:cstheme="minorHAnsi"/>
          <w:lang w:val="en-US" w:eastAsia="lt-LT"/>
        </w:rPr>
        <w:t xml:space="preserve">=17,1 </w:t>
      </w:r>
      <w:r w:rsidR="002D5A7A">
        <w:rPr>
          <w:rFonts w:cstheme="minorHAnsi"/>
          <w:lang w:val="en-US" w:eastAsia="lt-LT"/>
        </w:rPr>
        <w:t>eurų per dieną</w:t>
      </w:r>
      <w:r w:rsidR="004C5ED9">
        <w:rPr>
          <w:rFonts w:cstheme="minorHAnsi"/>
          <w:lang w:val="en-US" w:eastAsia="lt-LT"/>
        </w:rPr>
        <w:t xml:space="preserve">. </w:t>
      </w:r>
      <w:r w:rsidR="00BD0D26">
        <w:rPr>
          <w:rFonts w:cstheme="minorHAnsi"/>
          <w:lang w:eastAsia="lt-LT"/>
        </w:rPr>
        <w:t xml:space="preserve"> </w:t>
      </w:r>
    </w:p>
    <w:p w:rsidR="002D5A7A" w:rsidRDefault="004C5ED9" w:rsidP="00343FA3">
      <w:pPr>
        <w:autoSpaceDE w:val="0"/>
        <w:autoSpaceDN w:val="0"/>
        <w:adjustRightInd w:val="0"/>
        <w:spacing w:before="240" w:after="0"/>
        <w:ind w:firstLine="567"/>
        <w:jc w:val="both"/>
        <w:rPr>
          <w:rFonts w:cstheme="minorHAnsi"/>
          <w:lang w:eastAsia="lt-LT"/>
        </w:rPr>
      </w:pPr>
      <w:r>
        <w:rPr>
          <w:rFonts w:cstheme="minorHAnsi"/>
          <w:lang w:eastAsia="lt-LT"/>
        </w:rPr>
        <w:t xml:space="preserve">Jeigu nurodyta tik aprūpinimo dienpinigiais suma, </w:t>
      </w:r>
      <w:r w:rsidR="00CD2E75">
        <w:rPr>
          <w:rFonts w:cstheme="minorHAnsi"/>
          <w:lang w:eastAsia="lt-LT"/>
        </w:rPr>
        <w:t xml:space="preserve">tačiau nenurodomas dienpinigių procentas nuo Įsakyme 116 nustatytos dienpinigių normos, </w:t>
      </w:r>
      <w:r>
        <w:rPr>
          <w:rFonts w:cstheme="minorHAnsi"/>
          <w:lang w:eastAsia="lt-LT"/>
        </w:rPr>
        <w:t xml:space="preserve">pavyzdžiui, </w:t>
      </w:r>
      <w:r w:rsidR="00BF61F9">
        <w:rPr>
          <w:rFonts w:cstheme="minorHAnsi"/>
          <w:lang w:eastAsia="lt-LT"/>
        </w:rPr>
        <w:t>nebiudžet</w:t>
      </w:r>
      <w:r w:rsidR="003212EA">
        <w:rPr>
          <w:rFonts w:cstheme="minorHAnsi"/>
          <w:lang w:eastAsia="lt-LT"/>
        </w:rPr>
        <w:t>inės įstaigos darbuotojas vyk</w:t>
      </w:r>
      <w:r w:rsidR="001F6040">
        <w:rPr>
          <w:rFonts w:cstheme="minorHAnsi"/>
          <w:lang w:eastAsia="lt-LT"/>
        </w:rPr>
        <w:t>o</w:t>
      </w:r>
      <w:r w:rsidR="002D5A7A">
        <w:rPr>
          <w:rFonts w:cstheme="minorHAnsi"/>
          <w:lang w:eastAsia="lt-LT"/>
        </w:rPr>
        <w:t xml:space="preserve"> į 2 dienų komandiruotę</w:t>
      </w:r>
      <w:r w:rsidR="00BF61F9">
        <w:rPr>
          <w:rFonts w:cstheme="minorHAnsi"/>
          <w:lang w:eastAsia="lt-LT"/>
        </w:rPr>
        <w:t xml:space="preserve"> į B</w:t>
      </w:r>
      <w:r w:rsidR="003212EA">
        <w:rPr>
          <w:rFonts w:cstheme="minorHAnsi"/>
          <w:lang w:eastAsia="lt-LT"/>
        </w:rPr>
        <w:t>r</w:t>
      </w:r>
      <w:r w:rsidR="00BF61F9">
        <w:rPr>
          <w:rFonts w:cstheme="minorHAnsi"/>
          <w:lang w:eastAsia="lt-LT"/>
        </w:rPr>
        <w:t>iuselį</w:t>
      </w:r>
      <w:r w:rsidR="003212EA">
        <w:rPr>
          <w:rFonts w:cstheme="minorHAnsi"/>
          <w:lang w:eastAsia="lt-LT"/>
        </w:rPr>
        <w:t xml:space="preserve"> </w:t>
      </w:r>
      <w:r w:rsidR="001F6040">
        <w:rPr>
          <w:rFonts w:cstheme="minorHAnsi"/>
          <w:lang w:eastAsia="lt-LT"/>
        </w:rPr>
        <w:t xml:space="preserve">ir </w:t>
      </w:r>
      <w:r w:rsidR="003212EA">
        <w:rPr>
          <w:rFonts w:cstheme="minorHAnsi"/>
          <w:lang w:eastAsia="lt-LT"/>
        </w:rPr>
        <w:t xml:space="preserve">buvo aprūpintas 100 eurų dienpinigių užsienio šalyje, </w:t>
      </w:r>
      <w:r>
        <w:rPr>
          <w:rFonts w:cstheme="minorHAnsi"/>
          <w:lang w:eastAsia="lt-LT"/>
        </w:rPr>
        <w:t xml:space="preserve">o techninės paramos gavėjas </w:t>
      </w:r>
      <w:r w:rsidR="00091F50">
        <w:rPr>
          <w:rFonts w:cstheme="minorHAnsi"/>
          <w:lang w:eastAsia="lt-LT"/>
        </w:rPr>
        <w:t xml:space="preserve">darbuotojui išmokėjo skirtumą </w:t>
      </w:r>
      <w:r w:rsidR="003212EA">
        <w:rPr>
          <w:rFonts w:cstheme="minorHAnsi"/>
          <w:lang w:eastAsia="lt-LT"/>
        </w:rPr>
        <w:t>- (57*2-100</w:t>
      </w:r>
      <w:r w:rsidR="003212EA">
        <w:rPr>
          <w:rFonts w:cstheme="minorHAnsi"/>
          <w:lang w:val="en-US" w:eastAsia="lt-LT"/>
        </w:rPr>
        <w:t>=14</w:t>
      </w:r>
      <w:r>
        <w:rPr>
          <w:rFonts w:cstheme="minorHAnsi"/>
          <w:lang w:val="en-US" w:eastAsia="lt-LT"/>
        </w:rPr>
        <w:t xml:space="preserve"> eur</w:t>
      </w:r>
      <w:r w:rsidR="00091F50">
        <w:rPr>
          <w:rFonts w:cstheme="minorHAnsi"/>
          <w:lang w:val="en-US" w:eastAsia="lt-LT"/>
        </w:rPr>
        <w:t>ų)</w:t>
      </w:r>
      <w:r w:rsidR="003212EA">
        <w:rPr>
          <w:rFonts w:cstheme="minorHAnsi"/>
          <w:lang w:val="en-US" w:eastAsia="lt-LT"/>
        </w:rPr>
        <w:t xml:space="preserve">, </w:t>
      </w:r>
      <w:r w:rsidR="003212EA">
        <w:rPr>
          <w:rFonts w:cstheme="minorHAnsi"/>
          <w:lang w:eastAsia="lt-LT"/>
        </w:rPr>
        <w:t xml:space="preserve">tuomet </w:t>
      </w:r>
      <w:r>
        <w:rPr>
          <w:rFonts w:cstheme="minorHAnsi"/>
          <w:lang w:eastAsia="lt-LT"/>
        </w:rPr>
        <w:t xml:space="preserve">techninės paramos gavėjo apmokėtas dienpinigių procentas apskaičiuojamas proporcingai maksimaliai dienpinigių sumai, </w:t>
      </w:r>
      <w:r w:rsidR="001F6040">
        <w:rPr>
          <w:rFonts w:cstheme="minorHAnsi"/>
          <w:lang w:eastAsia="lt-LT"/>
        </w:rPr>
        <w:t xml:space="preserve">apskaičiuotai teisės aktuose nustatyta tvarka </w:t>
      </w:r>
      <w:r>
        <w:rPr>
          <w:rFonts w:cstheme="minorHAnsi"/>
          <w:lang w:eastAsia="lt-LT"/>
        </w:rPr>
        <w:t>pagal Įsakyme 116 nustatytas dienpinigių normas, t.</w:t>
      </w:r>
      <w:r w:rsidR="00EC1340">
        <w:rPr>
          <w:rFonts w:cstheme="minorHAnsi"/>
          <w:lang w:eastAsia="lt-LT"/>
        </w:rPr>
        <w:t xml:space="preserve"> </w:t>
      </w:r>
      <w:r w:rsidR="002D5A7A">
        <w:rPr>
          <w:rFonts w:cstheme="minorHAnsi"/>
          <w:lang w:eastAsia="lt-LT"/>
        </w:rPr>
        <w:t xml:space="preserve">y. </w:t>
      </w:r>
      <w:r w:rsidR="003212EA">
        <w:rPr>
          <w:rFonts w:cstheme="minorHAnsi"/>
          <w:lang w:eastAsia="lt-LT"/>
        </w:rPr>
        <w:t>14/</w:t>
      </w:r>
      <w:r w:rsidR="00CD2E75">
        <w:rPr>
          <w:rFonts w:cstheme="minorHAnsi"/>
          <w:lang w:eastAsia="lt-LT"/>
        </w:rPr>
        <w:t>(</w:t>
      </w:r>
      <w:r>
        <w:rPr>
          <w:rFonts w:cstheme="minorHAnsi"/>
          <w:lang w:eastAsia="lt-LT"/>
        </w:rPr>
        <w:t>57*2</w:t>
      </w:r>
      <w:r w:rsidR="00455EA9">
        <w:rPr>
          <w:rFonts w:cstheme="minorHAnsi"/>
          <w:lang w:eastAsia="lt-LT"/>
        </w:rPr>
        <w:t>)</w:t>
      </w:r>
      <w:r w:rsidR="00091F50">
        <w:rPr>
          <w:rFonts w:cstheme="minorHAnsi"/>
          <w:lang w:val="en-US" w:eastAsia="lt-LT"/>
        </w:rPr>
        <w:t>*100=12,28 proc</w:t>
      </w:r>
      <w:r w:rsidR="00207393">
        <w:rPr>
          <w:rFonts w:cstheme="minorHAnsi"/>
          <w:lang w:eastAsia="lt-LT"/>
        </w:rPr>
        <w:t>.</w:t>
      </w:r>
      <w:r w:rsidR="00091F50">
        <w:rPr>
          <w:rFonts w:cstheme="minorHAnsi"/>
          <w:lang w:eastAsia="lt-LT"/>
        </w:rPr>
        <w:t xml:space="preserve"> </w:t>
      </w:r>
    </w:p>
    <w:p w:rsidR="00412573" w:rsidRPr="00EA7AC6" w:rsidRDefault="00412573" w:rsidP="00343FA3">
      <w:pPr>
        <w:autoSpaceDE w:val="0"/>
        <w:autoSpaceDN w:val="0"/>
        <w:adjustRightInd w:val="0"/>
        <w:spacing w:before="240" w:after="0"/>
        <w:ind w:firstLine="567"/>
        <w:jc w:val="both"/>
        <w:rPr>
          <w:rFonts w:cstheme="minorHAnsi"/>
          <w:lang w:eastAsia="lt-LT"/>
        </w:rPr>
      </w:pPr>
      <w:r w:rsidRPr="00EA7AC6">
        <w:rPr>
          <w:rFonts w:cstheme="minorHAnsi"/>
          <w:lang w:eastAsia="lt-LT"/>
        </w:rPr>
        <w:lastRenderedPageBreak/>
        <w:t>Kai trečioji šalis apmoka gyvenamojo ploto nuomą už dalį komandiruotės laiko</w:t>
      </w:r>
      <w:r w:rsidR="00A36BAC">
        <w:rPr>
          <w:rFonts w:cstheme="minorHAnsi"/>
          <w:lang w:eastAsia="lt-LT"/>
        </w:rPr>
        <w:t xml:space="preserve"> (nurodant už kelias naktis yra apmokamos išlaidos)</w:t>
      </w:r>
      <w:r w:rsidRPr="00EA7AC6">
        <w:rPr>
          <w:rFonts w:cstheme="minorHAnsi"/>
          <w:lang w:eastAsia="lt-LT"/>
        </w:rPr>
        <w:t>, pavyzdžiui už 1 naktį iš 3 komandiruotės naktų</w:t>
      </w:r>
      <w:r w:rsidR="006C72FD">
        <w:rPr>
          <w:rFonts w:cstheme="minorHAnsi"/>
          <w:lang w:eastAsia="lt-LT"/>
        </w:rPr>
        <w:t xml:space="preserve"> konkrečioje šalyje</w:t>
      </w:r>
      <w:r w:rsidRPr="00EA7AC6">
        <w:rPr>
          <w:rFonts w:cstheme="minorHAnsi"/>
          <w:lang w:eastAsia="lt-LT"/>
        </w:rPr>
        <w:t>, tinkam</w:t>
      </w:r>
      <w:r w:rsidR="005E6473" w:rsidRPr="00EA7AC6">
        <w:rPr>
          <w:rFonts w:cstheme="minorHAnsi"/>
          <w:lang w:eastAsia="lt-LT"/>
        </w:rPr>
        <w:t>ų</w:t>
      </w:r>
      <w:r w:rsidRPr="00EA7AC6">
        <w:rPr>
          <w:rFonts w:cstheme="minorHAnsi"/>
          <w:lang w:eastAsia="lt-LT"/>
        </w:rPr>
        <w:t xml:space="preserve"> finansuoti </w:t>
      </w:r>
      <w:r w:rsidR="00BD0D26">
        <w:rPr>
          <w:rFonts w:cstheme="minorHAnsi"/>
          <w:lang w:eastAsia="lt-LT"/>
        </w:rPr>
        <w:t xml:space="preserve">gyvenamojo ploto nuomos </w:t>
      </w:r>
      <w:r w:rsidRPr="00EA7AC6">
        <w:rPr>
          <w:rFonts w:cstheme="minorHAnsi"/>
          <w:lang w:eastAsia="lt-LT"/>
        </w:rPr>
        <w:t>išlaidų dalis apskaičiuojama proporcingai techninės paramos gavėjo apmokamai apgyvendinimo trukmei, t.</w:t>
      </w:r>
      <w:r w:rsidR="0099440B">
        <w:rPr>
          <w:rFonts w:cstheme="minorHAnsi"/>
          <w:lang w:eastAsia="lt-LT"/>
        </w:rPr>
        <w:t xml:space="preserve"> </w:t>
      </w:r>
      <w:r w:rsidRPr="00EA7AC6">
        <w:rPr>
          <w:rFonts w:cstheme="minorHAnsi"/>
          <w:lang w:eastAsia="lt-LT"/>
        </w:rPr>
        <w:t>y. techninės paramos gavėjas apmoka 2 iš 3 naktų</w:t>
      </w:r>
      <w:r w:rsidR="006C72FD">
        <w:rPr>
          <w:rFonts w:cstheme="minorHAnsi"/>
          <w:lang w:eastAsia="lt-LT"/>
        </w:rPr>
        <w:t xml:space="preserve"> konkrečioje šalyje</w:t>
      </w:r>
      <w:r w:rsidRPr="00EA7AC6">
        <w:rPr>
          <w:rFonts w:cstheme="minorHAnsi"/>
          <w:lang w:eastAsia="lt-LT"/>
        </w:rPr>
        <w:t xml:space="preserve">, atitinkamai, </w:t>
      </w:r>
      <w:r w:rsidR="005E6473" w:rsidRPr="00EA7AC6">
        <w:rPr>
          <w:rFonts w:cstheme="minorHAnsi"/>
          <w:lang w:eastAsia="lt-LT"/>
        </w:rPr>
        <w:t xml:space="preserve">tinkamomis finansuoti laikoma </w:t>
      </w:r>
      <w:r w:rsidRPr="00EA7AC6">
        <w:rPr>
          <w:rFonts w:cstheme="minorHAnsi"/>
          <w:lang w:eastAsia="lt-LT"/>
        </w:rPr>
        <w:t>2/3*100=66,7 proc. gyvenamojo ploto nuomos išlaidų.</w:t>
      </w:r>
    </w:p>
    <w:p w:rsidR="00EF2392" w:rsidRPr="00EA7AC6" w:rsidRDefault="00412573" w:rsidP="00343FA3">
      <w:pPr>
        <w:autoSpaceDE w:val="0"/>
        <w:autoSpaceDN w:val="0"/>
        <w:adjustRightInd w:val="0"/>
        <w:spacing w:before="240" w:after="0"/>
        <w:ind w:firstLine="567"/>
        <w:jc w:val="both"/>
        <w:rPr>
          <w:rFonts w:cstheme="minorHAnsi"/>
          <w:lang w:eastAsia="lt-LT"/>
        </w:rPr>
      </w:pPr>
      <w:r w:rsidRPr="00EA7AC6">
        <w:rPr>
          <w:rFonts w:cstheme="minorHAnsi"/>
          <w:lang w:eastAsia="lt-LT"/>
        </w:rPr>
        <w:t>Kai trečioji šalis apmoka dalį gyvenamojo ploto nuomos išlaidų, nenurodant apmokamų naktų skaičiaus, tinkam</w:t>
      </w:r>
      <w:r w:rsidR="00BD0D26">
        <w:rPr>
          <w:rFonts w:cstheme="minorHAnsi"/>
          <w:lang w:eastAsia="lt-LT"/>
        </w:rPr>
        <w:t>ų</w:t>
      </w:r>
      <w:r w:rsidRPr="00EA7AC6">
        <w:rPr>
          <w:rFonts w:cstheme="minorHAnsi"/>
          <w:lang w:eastAsia="lt-LT"/>
        </w:rPr>
        <w:t xml:space="preserve"> finansuoti </w:t>
      </w:r>
      <w:r w:rsidR="00BD0D26">
        <w:rPr>
          <w:rFonts w:cstheme="minorHAnsi"/>
          <w:lang w:eastAsia="lt-LT"/>
        </w:rPr>
        <w:t xml:space="preserve">gyvenamojo ploto nuomos </w:t>
      </w:r>
      <w:r w:rsidRPr="00EA7AC6">
        <w:rPr>
          <w:rFonts w:cstheme="minorHAnsi"/>
          <w:lang w:eastAsia="lt-LT"/>
        </w:rPr>
        <w:t>išlaidų dalis apskaičiuojama proporcingai pagal gyvenamojo ploto nuomos normas apskaičiuotai išlaidų sumai. Pavyzdžiui, trečioji šalis</w:t>
      </w:r>
      <w:r w:rsidR="005E6473" w:rsidRPr="00EA7AC6">
        <w:rPr>
          <w:rFonts w:cstheme="minorHAnsi"/>
          <w:lang w:eastAsia="lt-LT"/>
        </w:rPr>
        <w:t xml:space="preserve"> apmoka 3</w:t>
      </w:r>
      <w:r w:rsidRPr="00EA7AC6">
        <w:rPr>
          <w:rFonts w:cstheme="minorHAnsi"/>
          <w:lang w:eastAsia="lt-LT"/>
        </w:rPr>
        <w:t>00 eurų nakvynės Briuselyje išlaidų, o bendra komandiruotės į Briuselį trukmė - 4 dienos (3 naktys). Gyvenamojo ploto n</w:t>
      </w:r>
      <w:r w:rsidR="002D5A7A">
        <w:rPr>
          <w:rFonts w:cstheme="minorHAnsi"/>
          <w:lang w:eastAsia="lt-LT"/>
        </w:rPr>
        <w:t>uomos norma Belgijoje – 197 eurų už</w:t>
      </w:r>
      <w:r w:rsidRPr="00EA7AC6">
        <w:rPr>
          <w:rFonts w:cstheme="minorHAnsi"/>
          <w:lang w:eastAsia="lt-LT"/>
        </w:rPr>
        <w:t xml:space="preserve"> naktį, už 3 naktis – 3*197</w:t>
      </w:r>
      <w:r w:rsidRPr="00EA7AC6">
        <w:rPr>
          <w:rFonts w:cstheme="minorHAnsi"/>
          <w:lang w:val="en-US" w:eastAsia="lt-LT"/>
        </w:rPr>
        <w:t>=</w:t>
      </w:r>
      <w:r w:rsidR="002D5A7A">
        <w:rPr>
          <w:rFonts w:cstheme="minorHAnsi"/>
          <w:lang w:val="en-US" w:eastAsia="lt-LT"/>
        </w:rPr>
        <w:t>591 euras</w:t>
      </w:r>
      <w:r w:rsidR="005E6473" w:rsidRPr="00EA7AC6">
        <w:rPr>
          <w:rFonts w:cstheme="minorHAnsi"/>
          <w:lang w:val="en-US" w:eastAsia="lt-LT"/>
        </w:rPr>
        <w:t xml:space="preserve">. Tinkamomis </w:t>
      </w:r>
      <w:r w:rsidR="005E6473" w:rsidRPr="00EA7AC6">
        <w:rPr>
          <w:rFonts w:cstheme="minorHAnsi"/>
          <w:lang w:eastAsia="lt-LT"/>
        </w:rPr>
        <w:t>finansuoti laikoma (100-300/591*100)</w:t>
      </w:r>
      <w:r w:rsidR="005E6473" w:rsidRPr="00EA7AC6">
        <w:rPr>
          <w:rFonts w:cstheme="minorHAnsi"/>
          <w:lang w:val="en-US" w:eastAsia="lt-LT"/>
        </w:rPr>
        <w:t xml:space="preserve">=49,2 proc. </w:t>
      </w:r>
      <w:r w:rsidR="005E6473" w:rsidRPr="00EA7AC6">
        <w:rPr>
          <w:rFonts w:cstheme="minorHAnsi"/>
          <w:lang w:eastAsia="lt-LT"/>
        </w:rPr>
        <w:t>gyvenamojo ploto nuomos išlaidų</w:t>
      </w:r>
      <w:r w:rsidR="002850E7">
        <w:rPr>
          <w:rFonts w:cstheme="minorHAnsi"/>
          <w:lang w:eastAsia="lt-LT"/>
        </w:rPr>
        <w:t>, apmokamų</w:t>
      </w:r>
      <w:r w:rsidR="00F0148E">
        <w:rPr>
          <w:rFonts w:cstheme="minorHAnsi"/>
          <w:lang w:eastAsia="lt-LT"/>
        </w:rPr>
        <w:t xml:space="preserve"> techninės paramos gavėjo</w:t>
      </w:r>
      <w:r w:rsidR="005E6473" w:rsidRPr="00EA7AC6">
        <w:rPr>
          <w:rFonts w:cstheme="minorHAnsi"/>
          <w:lang w:eastAsia="lt-LT"/>
        </w:rPr>
        <w:t>.</w:t>
      </w:r>
    </w:p>
    <w:p w:rsidR="0035332C" w:rsidRDefault="0035332C" w:rsidP="00343FA3">
      <w:pPr>
        <w:tabs>
          <w:tab w:val="left" w:pos="0"/>
          <w:tab w:val="left" w:pos="1134"/>
          <w:tab w:val="left" w:pos="1276"/>
        </w:tabs>
        <w:spacing w:before="240"/>
        <w:ind w:firstLine="567"/>
        <w:jc w:val="both"/>
        <w:rPr>
          <w:rFonts w:cstheme="minorHAnsi"/>
        </w:rPr>
      </w:pPr>
      <w:r w:rsidRPr="00EA7AC6">
        <w:rPr>
          <w:rFonts w:cstheme="minorHAnsi"/>
        </w:rPr>
        <w:t xml:space="preserve">Jeigu į komandiruotę į užsienį vyksta keli darbuotojai </w:t>
      </w:r>
      <w:r w:rsidR="00DC6534" w:rsidRPr="00EA7AC6">
        <w:rPr>
          <w:rFonts w:cstheme="minorHAnsi"/>
        </w:rPr>
        <w:t>vien</w:t>
      </w:r>
      <w:r w:rsidR="009C0482">
        <w:rPr>
          <w:rFonts w:cstheme="minorHAnsi"/>
        </w:rPr>
        <w:t>a transporto priemone</w:t>
      </w:r>
      <w:r w:rsidR="00DC6534" w:rsidRPr="00EA7AC6">
        <w:rPr>
          <w:rFonts w:cstheme="minorHAnsi"/>
        </w:rPr>
        <w:t xml:space="preserve"> </w:t>
      </w:r>
      <w:r w:rsidR="009C0482">
        <w:rPr>
          <w:rFonts w:cstheme="minorHAnsi"/>
        </w:rPr>
        <w:t>(išskyrus viešąjį transportą)</w:t>
      </w:r>
      <w:r w:rsidR="00AC4ADB" w:rsidRPr="00EA7AC6">
        <w:rPr>
          <w:rFonts w:cstheme="minorHAnsi"/>
        </w:rPr>
        <w:t>, kelionės į užsienį fiks</w:t>
      </w:r>
      <w:r w:rsidR="00DC6534" w:rsidRPr="00EA7AC6">
        <w:rPr>
          <w:rFonts w:cstheme="minorHAnsi"/>
        </w:rPr>
        <w:t>uotasis įkainis</w:t>
      </w:r>
      <w:r w:rsidR="00AC4ADB" w:rsidRPr="00EA7AC6">
        <w:rPr>
          <w:rFonts w:cstheme="minorHAnsi"/>
        </w:rPr>
        <w:t xml:space="preserve"> </w:t>
      </w:r>
      <w:r w:rsidR="00DC6534" w:rsidRPr="00EA7AC6">
        <w:rPr>
          <w:rFonts w:cstheme="minorHAnsi"/>
        </w:rPr>
        <w:t>FĮ</w:t>
      </w:r>
      <w:r w:rsidR="00DC6534" w:rsidRPr="00EA7AC6">
        <w:rPr>
          <w:rFonts w:cstheme="minorHAnsi"/>
          <w:vertAlign w:val="subscript"/>
        </w:rPr>
        <w:t>KU</w:t>
      </w:r>
      <w:r w:rsidR="00DC6534" w:rsidRPr="00EA7AC6">
        <w:rPr>
          <w:rFonts w:cstheme="minorHAnsi"/>
        </w:rPr>
        <w:t xml:space="preserve"> yra taikomas tik vienam darbuotojui (</w:t>
      </w:r>
      <w:r w:rsidR="00287222">
        <w:rPr>
          <w:rFonts w:cstheme="minorHAnsi"/>
        </w:rPr>
        <w:t>vairuotojui arba asmeniui, kurio transporto priemone keliaujama</w:t>
      </w:r>
      <w:r w:rsidR="00DC071B">
        <w:rPr>
          <w:rFonts w:cstheme="minorHAnsi"/>
        </w:rPr>
        <w:t>, jeigu keliaujama taksi, pasirinktinai</w:t>
      </w:r>
      <w:r w:rsidR="0082445D">
        <w:rPr>
          <w:rFonts w:cstheme="minorHAnsi"/>
        </w:rPr>
        <w:t xml:space="preserve"> vienam iš taksi keliavusių darbuotojų</w:t>
      </w:r>
      <w:r w:rsidR="00DC6534" w:rsidRPr="00EA7AC6">
        <w:rPr>
          <w:rFonts w:cstheme="minorHAnsi"/>
        </w:rPr>
        <w:t xml:space="preserve">). </w:t>
      </w:r>
    </w:p>
    <w:p w:rsidR="003F2576" w:rsidRPr="00EA7AC6" w:rsidRDefault="003F2576" w:rsidP="00091F50">
      <w:pPr>
        <w:autoSpaceDE w:val="0"/>
        <w:autoSpaceDN w:val="0"/>
        <w:adjustRightInd w:val="0"/>
        <w:spacing w:before="240" w:after="0"/>
        <w:ind w:firstLine="567"/>
        <w:jc w:val="both"/>
        <w:rPr>
          <w:rFonts w:cstheme="minorHAnsi"/>
        </w:rPr>
      </w:pPr>
      <w:r>
        <w:rPr>
          <w:rFonts w:cstheme="minorHAnsi"/>
        </w:rPr>
        <w:t xml:space="preserve">Jeigu vienos komandiruotės metu vykstama į daugiau negu dvi užsienio valstybes, komandiruotės į užsienį išlaidos apmokamos </w:t>
      </w:r>
      <w:r w:rsidR="002D5A7A">
        <w:rPr>
          <w:rFonts w:cstheme="minorHAnsi"/>
        </w:rPr>
        <w:t xml:space="preserve">kaip realios išlaidos, </w:t>
      </w:r>
      <w:r>
        <w:rPr>
          <w:rFonts w:cstheme="minorHAnsi"/>
        </w:rPr>
        <w:t>pagal išlaidų pagrindimo dokumentus.</w:t>
      </w:r>
      <w:r w:rsidR="009C0482">
        <w:rPr>
          <w:rFonts w:cstheme="minorHAnsi"/>
        </w:rPr>
        <w:t xml:space="preserve"> Taip pat pagal išlaidų pagrindimo dokumentus apmokamos tinkamo</w:t>
      </w:r>
      <w:r w:rsidR="002D5A7A">
        <w:rPr>
          <w:rFonts w:cstheme="minorHAnsi"/>
        </w:rPr>
        <w:t>s</w:t>
      </w:r>
      <w:r w:rsidR="009C0482">
        <w:rPr>
          <w:rFonts w:cstheme="minorHAnsi"/>
        </w:rPr>
        <w:t xml:space="preserve"> finansuoti užsienio valstybėse reziduojančių techninės paramos darbuotojų komandiruočių ar kelionių į Lietuvą ar kitą užsienio valstybę išlaidas, kadangi, vadovaujantis LRVN 526, tokių išlaidų apmokėjimo tvarka (pavyzdžiui, gyvenamojo ploto išlaidų apmokėjimo tvarka) skiriasi nuo įprastinės komandiruočių į užsienio valstybes išlaidų apmokėjimo tvarkos. </w:t>
      </w:r>
      <w:r w:rsidR="00091F50">
        <w:rPr>
          <w:rFonts w:cstheme="minorHAnsi"/>
        </w:rPr>
        <w:t>Remiantis 2007</w:t>
      </w:r>
      <w:r w:rsidR="00A36BAC">
        <w:rPr>
          <w:rFonts w:cstheme="minorHAnsi"/>
        </w:rPr>
        <w:t>−</w:t>
      </w:r>
      <w:r w:rsidR="00091F50">
        <w:rPr>
          <w:rFonts w:cstheme="minorHAnsi"/>
        </w:rPr>
        <w:t>2013 m. laikotarpio patirtimi, t</w:t>
      </w:r>
      <w:r w:rsidR="009C0482">
        <w:rPr>
          <w:rFonts w:cstheme="minorHAnsi"/>
        </w:rPr>
        <w:t xml:space="preserve">okio pobūdžio komandiruotės (kelionės) yra </w:t>
      </w:r>
      <w:r w:rsidR="00091F50">
        <w:rPr>
          <w:rFonts w:cstheme="minorHAnsi"/>
        </w:rPr>
        <w:t>labai retos (</w:t>
      </w:r>
      <w:r w:rsidR="009C0482">
        <w:rPr>
          <w:rFonts w:cstheme="minorHAnsi"/>
        </w:rPr>
        <w:t>pavienės</w:t>
      </w:r>
      <w:r w:rsidR="00091F50">
        <w:rPr>
          <w:rFonts w:cstheme="minorHAnsi"/>
        </w:rPr>
        <w:t>)</w:t>
      </w:r>
      <w:r w:rsidR="009C0482">
        <w:rPr>
          <w:rFonts w:cstheme="minorHAnsi"/>
        </w:rPr>
        <w:t xml:space="preserve">, o papildomų suvestinių pažymų formų rengimas ir pildymas ženkliai padidintų administracinę naštą. </w:t>
      </w:r>
    </w:p>
    <w:p w:rsidR="00D73AE7" w:rsidRPr="00EA7AC6" w:rsidRDefault="00D73AE7" w:rsidP="00343FA3">
      <w:pPr>
        <w:tabs>
          <w:tab w:val="left" w:pos="0"/>
          <w:tab w:val="left" w:pos="1134"/>
          <w:tab w:val="left" w:pos="1276"/>
        </w:tabs>
        <w:spacing w:before="240"/>
        <w:ind w:firstLine="567"/>
        <w:jc w:val="both"/>
        <w:rPr>
          <w:rFonts w:cstheme="minorHAnsi"/>
        </w:rPr>
      </w:pPr>
      <w:r w:rsidRPr="00EA7AC6">
        <w:rPr>
          <w:rFonts w:cstheme="minorHAnsi"/>
        </w:rPr>
        <w:t xml:space="preserve">Netinkamomis finansuoti taikant fiksuotuosius įkainius </w:t>
      </w:r>
      <w:r w:rsidR="002850E7">
        <w:rPr>
          <w:rFonts w:cstheme="minorHAnsi"/>
        </w:rPr>
        <w:t>laikomos komandiruočių</w:t>
      </w:r>
      <w:r w:rsidRPr="00EA7AC6">
        <w:rPr>
          <w:rFonts w:cstheme="minorHAnsi"/>
        </w:rPr>
        <w:t xml:space="preserve"> į užsienį</w:t>
      </w:r>
      <w:r w:rsidR="002850E7">
        <w:rPr>
          <w:rFonts w:cstheme="minorHAnsi"/>
        </w:rPr>
        <w:t xml:space="preserve"> išlaidos</w:t>
      </w:r>
      <w:r w:rsidRPr="00EA7AC6">
        <w:rPr>
          <w:rFonts w:cstheme="minorHAnsi"/>
        </w:rPr>
        <w:t>, apmokėtos iš 2007</w:t>
      </w:r>
      <w:r w:rsidR="00287222">
        <w:rPr>
          <w:rFonts w:cstheme="minorHAnsi"/>
        </w:rPr>
        <w:t>−</w:t>
      </w:r>
      <w:r w:rsidRPr="00EA7AC6">
        <w:rPr>
          <w:rFonts w:cstheme="minorHAnsi"/>
        </w:rPr>
        <w:t>2013 m. ES struktūrinės paramos periodo lėšų.</w:t>
      </w:r>
      <w:r w:rsidR="00A36BAC">
        <w:rPr>
          <w:rFonts w:cstheme="minorHAnsi"/>
        </w:rPr>
        <w:t xml:space="preserve"> Taip pat netinkamomis finansuoti laikomos komandiruotės išlaidos, kai trečioji šalis kompensuoja nustatyto dydžio sumą, tačiau nėra galimybės identifikuoti</w:t>
      </w:r>
      <w:r w:rsidR="002175B2">
        <w:rPr>
          <w:rFonts w:cstheme="minorHAnsi"/>
        </w:rPr>
        <w:t xml:space="preserve"> </w:t>
      </w:r>
      <w:r w:rsidR="00A36BAC">
        <w:rPr>
          <w:rFonts w:cstheme="minorHAnsi"/>
        </w:rPr>
        <w:t>koki</w:t>
      </w:r>
      <w:r w:rsidR="0049732A">
        <w:rPr>
          <w:rFonts w:cstheme="minorHAnsi"/>
        </w:rPr>
        <w:t>om</w:t>
      </w:r>
      <w:r w:rsidR="00A36BAC">
        <w:rPr>
          <w:rFonts w:cstheme="minorHAnsi"/>
        </w:rPr>
        <w:t>s konkreči</w:t>
      </w:r>
      <w:r w:rsidR="0049732A">
        <w:rPr>
          <w:rFonts w:cstheme="minorHAnsi"/>
        </w:rPr>
        <w:t>om</w:t>
      </w:r>
      <w:r w:rsidR="00A36BAC">
        <w:rPr>
          <w:rFonts w:cstheme="minorHAnsi"/>
        </w:rPr>
        <w:t>s išlaidų kategorij</w:t>
      </w:r>
      <w:r w:rsidR="0049732A">
        <w:rPr>
          <w:rFonts w:cstheme="minorHAnsi"/>
        </w:rPr>
        <w:t>om</w:t>
      </w:r>
      <w:r w:rsidR="00A36BAC">
        <w:rPr>
          <w:rFonts w:cstheme="minorHAnsi"/>
        </w:rPr>
        <w:t xml:space="preserve">s </w:t>
      </w:r>
      <w:r w:rsidR="0049732A">
        <w:rPr>
          <w:rFonts w:cstheme="minorHAnsi"/>
        </w:rPr>
        <w:t xml:space="preserve">priskiriamos </w:t>
      </w:r>
      <w:r w:rsidR="00A36BAC">
        <w:rPr>
          <w:rFonts w:cstheme="minorHAnsi"/>
        </w:rPr>
        <w:t>kompens</w:t>
      </w:r>
      <w:r w:rsidR="0049732A">
        <w:rPr>
          <w:rFonts w:cstheme="minorHAnsi"/>
        </w:rPr>
        <w:t>uotos išlaidos</w:t>
      </w:r>
      <w:r w:rsidR="00A36BAC">
        <w:rPr>
          <w:rFonts w:cstheme="minorHAnsi"/>
        </w:rPr>
        <w:t>.</w:t>
      </w:r>
    </w:p>
    <w:p w:rsidR="00DC6534" w:rsidRPr="00DC6534" w:rsidRDefault="00DC6534" w:rsidP="00DC6534">
      <w:pPr>
        <w:tabs>
          <w:tab w:val="left" w:pos="0"/>
          <w:tab w:val="left" w:pos="1134"/>
          <w:tab w:val="left" w:pos="1276"/>
        </w:tabs>
        <w:jc w:val="both"/>
        <w:rPr>
          <w:rFonts w:ascii="Times New Roman" w:hAnsi="Times New Roman" w:cs="Times New Roman"/>
          <w:sz w:val="24"/>
          <w:szCs w:val="24"/>
        </w:rPr>
      </w:pPr>
    </w:p>
    <w:p w:rsidR="00500A05" w:rsidRDefault="00500A05" w:rsidP="000E3680">
      <w:pPr>
        <w:keepNext/>
        <w:spacing w:before="240" w:after="60"/>
        <w:jc w:val="center"/>
        <w:outlineLvl w:val="1"/>
        <w:rPr>
          <w:rFonts w:ascii="Cambria" w:eastAsia="Times New Roman" w:hAnsi="Cambria" w:cs="Times New Roman"/>
          <w:b/>
          <w:bCs/>
          <w:i/>
          <w:iCs/>
          <w:sz w:val="28"/>
          <w:szCs w:val="28"/>
        </w:rPr>
      </w:pPr>
      <w:r>
        <w:rPr>
          <w:rFonts w:ascii="Cambria" w:eastAsia="Times New Roman" w:hAnsi="Cambria" w:cs="Times New Roman"/>
          <w:b/>
          <w:bCs/>
          <w:i/>
          <w:iCs/>
          <w:sz w:val="28"/>
          <w:szCs w:val="28"/>
        </w:rPr>
        <w:t xml:space="preserve">IV. NUSTATYTŲ FIKSUOTŲJŲ DYDŽIŲ TAIKYMAS </w:t>
      </w:r>
    </w:p>
    <w:p w:rsidR="000E3680" w:rsidRDefault="000E3680" w:rsidP="000E3680">
      <w:pPr>
        <w:keepNext/>
        <w:spacing w:before="240" w:after="60"/>
        <w:jc w:val="center"/>
        <w:outlineLvl w:val="1"/>
        <w:rPr>
          <w:rFonts w:ascii="Cambria" w:eastAsia="Times New Roman" w:hAnsi="Cambria" w:cs="Times New Roman"/>
          <w:b/>
          <w:bCs/>
          <w:i/>
          <w:iCs/>
          <w:sz w:val="28"/>
          <w:szCs w:val="28"/>
        </w:rPr>
      </w:pPr>
    </w:p>
    <w:p w:rsidR="005055A5" w:rsidRDefault="00500A05" w:rsidP="005055A5">
      <w:pPr>
        <w:spacing w:before="240"/>
        <w:ind w:firstLine="567"/>
        <w:contextualSpacing/>
        <w:jc w:val="both"/>
        <w:rPr>
          <w:rFonts w:ascii="Calibri" w:eastAsia="Calibri" w:hAnsi="Calibri" w:cs="Calibri"/>
        </w:rPr>
      </w:pPr>
      <w:r>
        <w:rPr>
          <w:rFonts w:ascii="Calibri" w:eastAsia="Calibri" w:hAnsi="Calibri" w:cs="Calibri"/>
        </w:rPr>
        <w:t>Tyrimo ataskaitos III dalyje nustatyti komandiruočių ir kelionių fiksuotųjų įkainių dydžiai taikomi iš 2014</w:t>
      </w:r>
      <w:r w:rsidR="00287222">
        <w:rPr>
          <w:rFonts w:ascii="Calibri" w:eastAsia="Calibri" w:hAnsi="Calibri" w:cs="Calibri"/>
        </w:rPr>
        <w:t>−</w:t>
      </w:r>
      <w:r>
        <w:rPr>
          <w:rFonts w:ascii="Calibri" w:eastAsia="Calibri" w:hAnsi="Calibri" w:cs="Calibri"/>
        </w:rPr>
        <w:t>2020 metų E</w:t>
      </w:r>
      <w:r w:rsidR="005055A5">
        <w:rPr>
          <w:rFonts w:ascii="Calibri" w:eastAsia="Calibri" w:hAnsi="Calibri" w:cs="Calibri"/>
        </w:rPr>
        <w:t xml:space="preserve">uropos </w:t>
      </w:r>
      <w:r>
        <w:rPr>
          <w:rFonts w:ascii="Calibri" w:eastAsia="Calibri" w:hAnsi="Calibri" w:cs="Calibri"/>
        </w:rPr>
        <w:t>S</w:t>
      </w:r>
      <w:r w:rsidR="005055A5">
        <w:rPr>
          <w:rFonts w:ascii="Calibri" w:eastAsia="Calibri" w:hAnsi="Calibri" w:cs="Calibri"/>
        </w:rPr>
        <w:t>ąjungos</w:t>
      </w:r>
      <w:r>
        <w:rPr>
          <w:rFonts w:ascii="Calibri" w:eastAsia="Calibri" w:hAnsi="Calibri" w:cs="Calibri"/>
        </w:rPr>
        <w:t xml:space="preserve"> struktūrinių fondų lėšų finansuojamų techninės paramos projektų išlaidoms apmokėti</w:t>
      </w:r>
      <w:r w:rsidR="00B8376A">
        <w:rPr>
          <w:rFonts w:ascii="Calibri" w:eastAsia="Calibri" w:hAnsi="Calibri" w:cs="Calibri"/>
        </w:rPr>
        <w:t xml:space="preserve"> (nėra taikomi panašioms ne techninės paramos projektų išlaidoms)</w:t>
      </w:r>
      <w:r>
        <w:rPr>
          <w:rFonts w:ascii="Calibri" w:eastAsia="Calibri" w:hAnsi="Calibri" w:cs="Calibri"/>
        </w:rPr>
        <w:t xml:space="preserve">. Fiksuotieji įkainiai taikomi išlaidoms, patirtoms nuo išlaidų tinkamumo finansuoti laikotarpio pradžios. </w:t>
      </w:r>
    </w:p>
    <w:p w:rsidR="00D7557F" w:rsidRDefault="00D7557F" w:rsidP="005055A5">
      <w:pPr>
        <w:spacing w:before="240"/>
        <w:ind w:firstLine="567"/>
        <w:contextualSpacing/>
        <w:jc w:val="both"/>
        <w:rPr>
          <w:rFonts w:ascii="Calibri" w:eastAsia="Calibri" w:hAnsi="Calibri" w:cs="Calibri"/>
        </w:rPr>
      </w:pPr>
      <w:r>
        <w:rPr>
          <w:rFonts w:ascii="Calibri" w:eastAsia="Calibri" w:hAnsi="Calibri" w:cs="Calibri"/>
        </w:rPr>
        <w:t>Pasikeitus fiksuotųjų įkainių dydžiams</w:t>
      </w:r>
      <w:r w:rsidR="00500A05">
        <w:rPr>
          <w:rFonts w:ascii="Calibri" w:eastAsia="Calibri" w:hAnsi="Calibri" w:cs="Calibri"/>
        </w:rPr>
        <w:t>, nustatyti</w:t>
      </w:r>
      <w:r>
        <w:rPr>
          <w:rFonts w:ascii="Calibri" w:eastAsia="Calibri" w:hAnsi="Calibri" w:cs="Calibri"/>
        </w:rPr>
        <w:t>ems</w:t>
      </w:r>
      <w:r w:rsidR="00500A05">
        <w:rPr>
          <w:rFonts w:ascii="Calibri" w:eastAsia="Calibri" w:hAnsi="Calibri" w:cs="Calibri"/>
        </w:rPr>
        <w:t xml:space="preserve"> kitų institucijų tyrimo ataskaitose (</w:t>
      </w:r>
      <w:r w:rsidR="000E3680">
        <w:rPr>
          <w:rFonts w:ascii="Calibri" w:eastAsia="Calibri" w:hAnsi="Calibri" w:cs="Calibri"/>
        </w:rPr>
        <w:t xml:space="preserve">tyrimo ataskaitos </w:t>
      </w:r>
      <w:r w:rsidR="00500A05">
        <w:rPr>
          <w:rFonts w:ascii="Calibri" w:eastAsia="Calibri" w:hAnsi="Calibri" w:cs="Calibri"/>
        </w:rPr>
        <w:t>II.1 dalyje 6-7 punktuose nurodytuose dokumentuose)</w:t>
      </w:r>
      <w:r>
        <w:rPr>
          <w:rFonts w:ascii="Calibri" w:eastAsia="Calibri" w:hAnsi="Calibri" w:cs="Calibri"/>
        </w:rPr>
        <w:t>, ši tyrimo ataskaita nėra keičiama. Nauji fiksuotųjų įkainių dydžiai taikomi nuo tyrimo ataskaitos II.1 dalyje 6-7 punktuose nurodytų fiksuotųjų įkainių tyrimų ataskaitos naujos redakcijos įsigaliojimo datos (ši data nurodyta tyrimo ataskaitos pirmojo puslapio viršutiniame dešiniajame kampe)</w:t>
      </w:r>
      <w:r w:rsidR="00207393">
        <w:rPr>
          <w:rFonts w:ascii="Calibri" w:eastAsia="Calibri" w:hAnsi="Calibri" w:cs="Calibri"/>
        </w:rPr>
        <w:t xml:space="preserve"> ir taikomi komandiruočių (kelionių), kurių pradžios data sutampa ar yra vėlesnė už tyrimo ataskaitos naujos redakcijos įsigaliojimo datą, išlaidoms</w:t>
      </w:r>
      <w:r>
        <w:rPr>
          <w:rFonts w:ascii="Calibri" w:eastAsia="Calibri" w:hAnsi="Calibri" w:cs="Calibri"/>
        </w:rPr>
        <w:t>.</w:t>
      </w:r>
      <w:r w:rsidR="00A36BAC">
        <w:rPr>
          <w:rFonts w:ascii="Calibri" w:eastAsia="Calibri" w:hAnsi="Calibri" w:cs="Calibri"/>
        </w:rPr>
        <w:t xml:space="preserve"> Tuo atveju, jeigu komandiruotės į </w:t>
      </w:r>
      <w:r w:rsidR="00A36BAC">
        <w:rPr>
          <w:rFonts w:ascii="Calibri" w:eastAsia="Calibri" w:hAnsi="Calibri" w:cs="Calibri"/>
        </w:rPr>
        <w:lastRenderedPageBreak/>
        <w:t>užsienį arba komandiruotės (kelionės) Lietuvoje pradžios data yra ankstesnė nei pirmin</w:t>
      </w:r>
      <w:r w:rsidR="0049732A">
        <w:rPr>
          <w:rFonts w:ascii="Calibri" w:eastAsia="Calibri" w:hAnsi="Calibri" w:cs="Calibri"/>
        </w:rPr>
        <w:t>ė</w:t>
      </w:r>
      <w:r w:rsidR="00A36BAC">
        <w:rPr>
          <w:rFonts w:ascii="Calibri" w:eastAsia="Calibri" w:hAnsi="Calibri" w:cs="Calibri"/>
        </w:rPr>
        <w:t xml:space="preserve"> tyrimo ataskaitos</w:t>
      </w:r>
      <w:r w:rsidR="0049732A">
        <w:rPr>
          <w:rFonts w:ascii="Calibri" w:eastAsia="Calibri" w:hAnsi="Calibri" w:cs="Calibri"/>
        </w:rPr>
        <w:t xml:space="preserve"> (taip pat kitos institucijos tyrimo ataskaitos)</w:t>
      </w:r>
      <w:r w:rsidR="00A36BAC">
        <w:rPr>
          <w:rFonts w:ascii="Calibri" w:eastAsia="Calibri" w:hAnsi="Calibri" w:cs="Calibri"/>
        </w:rPr>
        <w:t xml:space="preserve"> </w:t>
      </w:r>
      <w:r w:rsidR="00DB4F25">
        <w:rPr>
          <w:rFonts w:ascii="Calibri" w:eastAsia="Calibri" w:hAnsi="Calibri" w:cs="Calibri"/>
        </w:rPr>
        <w:t xml:space="preserve">redakcijos </w:t>
      </w:r>
      <w:r w:rsidR="00A36BAC">
        <w:rPr>
          <w:rFonts w:ascii="Calibri" w:eastAsia="Calibri" w:hAnsi="Calibri" w:cs="Calibri"/>
        </w:rPr>
        <w:t>data, tokioms komandiruotėms taikomi fiksuotųjų į</w:t>
      </w:r>
      <w:r w:rsidR="00DB4F25">
        <w:rPr>
          <w:rFonts w:ascii="Calibri" w:eastAsia="Calibri" w:hAnsi="Calibri" w:cs="Calibri"/>
        </w:rPr>
        <w:t>kainių dydžiai</w:t>
      </w:r>
      <w:r w:rsidR="0049732A">
        <w:rPr>
          <w:rFonts w:ascii="Calibri" w:eastAsia="Calibri" w:hAnsi="Calibri" w:cs="Calibri"/>
        </w:rPr>
        <w:t>,</w:t>
      </w:r>
      <w:r w:rsidR="00DB4F25">
        <w:rPr>
          <w:rFonts w:ascii="Calibri" w:eastAsia="Calibri" w:hAnsi="Calibri" w:cs="Calibri"/>
        </w:rPr>
        <w:t xml:space="preserve"> nustatyti</w:t>
      </w:r>
      <w:r w:rsidR="00A36BAC">
        <w:rPr>
          <w:rFonts w:ascii="Calibri" w:eastAsia="Calibri" w:hAnsi="Calibri" w:cs="Calibri"/>
        </w:rPr>
        <w:t xml:space="preserve"> </w:t>
      </w:r>
      <w:r w:rsidR="00DB4F25">
        <w:rPr>
          <w:rFonts w:ascii="Calibri" w:eastAsia="Calibri" w:hAnsi="Calibri" w:cs="Calibri"/>
        </w:rPr>
        <w:t>pirminėje tyrimo ataskaitos redakcijoje</w:t>
      </w:r>
      <w:r w:rsidR="00A36BAC">
        <w:rPr>
          <w:rFonts w:ascii="Calibri" w:eastAsia="Calibri" w:hAnsi="Calibri" w:cs="Calibri"/>
        </w:rPr>
        <w:t>.</w:t>
      </w:r>
    </w:p>
    <w:p w:rsidR="00500A05" w:rsidRDefault="00500A05" w:rsidP="005055A5">
      <w:pPr>
        <w:spacing w:before="240" w:after="0"/>
        <w:ind w:firstLine="567"/>
        <w:contextualSpacing/>
        <w:jc w:val="both"/>
        <w:rPr>
          <w:rFonts w:ascii="Calibri" w:eastAsia="Calibri" w:hAnsi="Calibri" w:cs="Calibri"/>
        </w:rPr>
      </w:pPr>
      <w:r>
        <w:rPr>
          <w:rFonts w:ascii="Calibri" w:eastAsia="Calibri" w:hAnsi="Calibri" w:cs="Calibri"/>
        </w:rPr>
        <w:t>Šioje tyrimo ataskaitoje nustatyti fiksuotieji įkainiai ir (ar) jų skaičiavimo tvarka keičiama pasikeitus Lietuvos Respublikos teisės aktams, reglamentuojantiems komandiruočių</w:t>
      </w:r>
      <w:r w:rsidR="00D7557F">
        <w:rPr>
          <w:rFonts w:ascii="Calibri" w:eastAsia="Calibri" w:hAnsi="Calibri" w:cs="Calibri"/>
        </w:rPr>
        <w:t xml:space="preserve"> išlaidų apmokėjimo tvarką, </w:t>
      </w:r>
      <w:r>
        <w:rPr>
          <w:rFonts w:ascii="Calibri" w:eastAsia="Calibri" w:hAnsi="Calibri" w:cs="Calibri"/>
        </w:rPr>
        <w:t xml:space="preserve">nurodytiems šios tyrimo ataskaitos II.1 dalies </w:t>
      </w:r>
      <w:r w:rsidR="00D7557F">
        <w:rPr>
          <w:rFonts w:ascii="Calibri" w:eastAsia="Calibri" w:hAnsi="Calibri" w:cs="Calibri"/>
        </w:rPr>
        <w:t xml:space="preserve">1-5 </w:t>
      </w:r>
      <w:r>
        <w:rPr>
          <w:rFonts w:ascii="Calibri" w:eastAsia="Calibri" w:hAnsi="Calibri" w:cs="Calibri"/>
        </w:rPr>
        <w:t>punktuose.</w:t>
      </w:r>
      <w:r w:rsidR="00D7557F">
        <w:rPr>
          <w:rFonts w:ascii="Calibri" w:eastAsia="Calibri" w:hAnsi="Calibri" w:cs="Calibri"/>
        </w:rPr>
        <w:t xml:space="preserve"> </w:t>
      </w:r>
      <w:r w:rsidR="003474DB">
        <w:rPr>
          <w:rFonts w:ascii="Calibri" w:eastAsia="Calibri" w:hAnsi="Calibri" w:cs="Calibri"/>
        </w:rPr>
        <w:t>P</w:t>
      </w:r>
      <w:r w:rsidR="002B140C">
        <w:rPr>
          <w:rFonts w:ascii="Calibri" w:eastAsia="Calibri" w:hAnsi="Calibri" w:cs="Calibri"/>
        </w:rPr>
        <w:t xml:space="preserve">asikeitus </w:t>
      </w:r>
      <w:r w:rsidR="003474DB">
        <w:rPr>
          <w:rFonts w:ascii="Calibri" w:eastAsia="Calibri" w:hAnsi="Calibri" w:cs="Calibri"/>
        </w:rPr>
        <w:t xml:space="preserve">teisės aktuose </w:t>
      </w:r>
      <w:r w:rsidR="002B140C">
        <w:rPr>
          <w:rFonts w:ascii="Calibri" w:eastAsia="Calibri" w:hAnsi="Calibri" w:cs="Calibri"/>
        </w:rPr>
        <w:t xml:space="preserve">nurodytiems dienpinigių </w:t>
      </w:r>
      <w:r w:rsidR="00247FCC">
        <w:rPr>
          <w:rFonts w:ascii="Calibri" w:eastAsia="Calibri" w:hAnsi="Calibri" w:cs="Calibri"/>
        </w:rPr>
        <w:t xml:space="preserve">ir (ar) gyvenamojo ploto nuomos </w:t>
      </w:r>
      <w:r w:rsidR="003474DB">
        <w:rPr>
          <w:rFonts w:ascii="Calibri" w:eastAsia="Calibri" w:hAnsi="Calibri" w:cs="Calibri"/>
        </w:rPr>
        <w:t>dydžiams,</w:t>
      </w:r>
      <w:r w:rsidR="002B140C">
        <w:rPr>
          <w:rFonts w:ascii="Calibri" w:eastAsia="Calibri" w:hAnsi="Calibri" w:cs="Calibri"/>
        </w:rPr>
        <w:t xml:space="preserve"> </w:t>
      </w:r>
      <w:r w:rsidR="003474DB">
        <w:rPr>
          <w:rFonts w:ascii="Calibri" w:eastAsia="Calibri" w:hAnsi="Calibri" w:cs="Calibri"/>
        </w:rPr>
        <w:t>minėti</w:t>
      </w:r>
      <w:r w:rsidR="002B140C">
        <w:rPr>
          <w:rFonts w:ascii="Calibri" w:eastAsia="Calibri" w:hAnsi="Calibri" w:cs="Calibri"/>
        </w:rPr>
        <w:t xml:space="preserve"> dydžiai yra atnaujinami </w:t>
      </w:r>
      <w:r w:rsidR="003474DB">
        <w:rPr>
          <w:rFonts w:ascii="Calibri" w:eastAsia="Calibri" w:hAnsi="Calibri" w:cs="Calibri"/>
        </w:rPr>
        <w:t>pažymų formose</w:t>
      </w:r>
      <w:r w:rsidR="002B140C">
        <w:rPr>
          <w:rFonts w:ascii="Calibri" w:eastAsia="Calibri" w:hAnsi="Calibri" w:cs="Calibri"/>
        </w:rPr>
        <w:t>, esančiose prie tyrimo ataskaitos. Atnaujint</w:t>
      </w:r>
      <w:r w:rsidR="003474DB">
        <w:rPr>
          <w:rFonts w:ascii="Calibri" w:eastAsia="Calibri" w:hAnsi="Calibri" w:cs="Calibri"/>
        </w:rPr>
        <w:t>os pažymų formos</w:t>
      </w:r>
      <w:r w:rsidR="002B140C">
        <w:rPr>
          <w:rFonts w:ascii="Calibri" w:eastAsia="Calibri" w:hAnsi="Calibri" w:cs="Calibri"/>
        </w:rPr>
        <w:t xml:space="preserve"> yra skel</w:t>
      </w:r>
      <w:r w:rsidR="003474DB">
        <w:rPr>
          <w:rFonts w:ascii="Calibri" w:eastAsia="Calibri" w:hAnsi="Calibri" w:cs="Calibri"/>
        </w:rPr>
        <w:t>biamos</w:t>
      </w:r>
      <w:r w:rsidR="002B140C">
        <w:rPr>
          <w:rFonts w:ascii="Calibri" w:eastAsia="Calibri" w:hAnsi="Calibri" w:cs="Calibri"/>
        </w:rPr>
        <w:t xml:space="preserve"> Europos Sąjungos struktūrinių fondų interneto svetainėje </w:t>
      </w:r>
      <w:hyperlink r:id="rId10" w:history="1">
        <w:r w:rsidR="002B140C" w:rsidRPr="00C96166">
          <w:rPr>
            <w:rStyle w:val="Hipersaitas"/>
            <w:rFonts w:ascii="Calibri" w:eastAsia="Calibri" w:hAnsi="Calibri" w:cs="Calibri"/>
          </w:rPr>
          <w:t>http://www.esinvesticijos.lt/lt/dokumentai/supaprastinto-islaidu-apmokejimo-tyrimai</w:t>
        </w:r>
      </w:hyperlink>
      <w:r w:rsidR="002B140C">
        <w:rPr>
          <w:rFonts w:ascii="Calibri" w:eastAsia="Calibri" w:hAnsi="Calibri" w:cs="Calibri"/>
        </w:rPr>
        <w:t xml:space="preserve">. </w:t>
      </w:r>
      <w:r w:rsidR="002952A0">
        <w:rPr>
          <w:rFonts w:ascii="Calibri" w:eastAsia="Calibri" w:hAnsi="Calibri" w:cs="Calibri"/>
        </w:rPr>
        <w:t xml:space="preserve">Nauji </w:t>
      </w:r>
      <w:r w:rsidR="003474DB">
        <w:rPr>
          <w:rFonts w:ascii="Calibri" w:eastAsia="Calibri" w:hAnsi="Calibri" w:cs="Calibri"/>
        </w:rPr>
        <w:t>dienpinigių ir (ar) gyvenamojo ploto nuomos dydžiai yra</w:t>
      </w:r>
      <w:r w:rsidR="002952A0">
        <w:rPr>
          <w:rFonts w:ascii="Calibri" w:eastAsia="Calibri" w:hAnsi="Calibri" w:cs="Calibri"/>
        </w:rPr>
        <w:t xml:space="preserve"> taikomi komandiruotėms</w:t>
      </w:r>
      <w:r w:rsidR="003474DB">
        <w:rPr>
          <w:rFonts w:ascii="Calibri" w:eastAsia="Calibri" w:hAnsi="Calibri" w:cs="Calibri"/>
        </w:rPr>
        <w:t xml:space="preserve"> į užsienį ir (ar) Lietuvoje, kurių pradžios data sutampa ar yra vėlesnė už dieną, kai įsigalioja teisės aktų pakeitimai, kuriais buvo keičiami dienpinigių ir (ar) gyvenamojo ploto nuomos dydžiai. </w:t>
      </w:r>
      <w:r w:rsidR="002952A0">
        <w:rPr>
          <w:rFonts w:ascii="Calibri" w:eastAsia="Calibri" w:hAnsi="Calibri" w:cs="Calibri"/>
        </w:rPr>
        <w:t xml:space="preserve"> </w:t>
      </w:r>
      <w:r w:rsidR="003474DB">
        <w:rPr>
          <w:rFonts w:ascii="Calibri" w:eastAsia="Calibri" w:hAnsi="Calibri" w:cs="Calibri"/>
        </w:rPr>
        <w:t>Pasikeitus t</w:t>
      </w:r>
      <w:r w:rsidR="002B140C">
        <w:rPr>
          <w:rFonts w:ascii="Calibri" w:eastAsia="Calibri" w:hAnsi="Calibri" w:cs="Calibri"/>
        </w:rPr>
        <w:t xml:space="preserve">eisės aktuose </w:t>
      </w:r>
      <w:r w:rsidR="003474DB">
        <w:rPr>
          <w:rFonts w:ascii="Calibri" w:eastAsia="Calibri" w:hAnsi="Calibri" w:cs="Calibri"/>
        </w:rPr>
        <w:t>numatytai</w:t>
      </w:r>
      <w:r w:rsidR="002B140C">
        <w:rPr>
          <w:rFonts w:ascii="Calibri" w:eastAsia="Calibri" w:hAnsi="Calibri" w:cs="Calibri"/>
        </w:rPr>
        <w:t xml:space="preserve"> </w:t>
      </w:r>
      <w:r w:rsidR="003474DB">
        <w:rPr>
          <w:rFonts w:ascii="Calibri" w:eastAsia="Calibri" w:hAnsi="Calibri" w:cs="Calibri"/>
        </w:rPr>
        <w:t>dienpinigių ir (ar) gyvenamojo ploto nuomos</w:t>
      </w:r>
      <w:r w:rsidR="002B140C">
        <w:rPr>
          <w:rFonts w:ascii="Calibri" w:eastAsia="Calibri" w:hAnsi="Calibri" w:cs="Calibri"/>
        </w:rPr>
        <w:t xml:space="preserve"> apskaičiavimo tvarkai yra </w:t>
      </w:r>
      <w:r w:rsidR="002952A0">
        <w:rPr>
          <w:rFonts w:ascii="Calibri" w:eastAsia="Calibri" w:hAnsi="Calibri" w:cs="Calibri"/>
        </w:rPr>
        <w:t>keičiama</w:t>
      </w:r>
      <w:r w:rsidR="002B140C">
        <w:rPr>
          <w:rFonts w:ascii="Calibri" w:eastAsia="Calibri" w:hAnsi="Calibri" w:cs="Calibri"/>
        </w:rPr>
        <w:t xml:space="preserve"> tyrimo ataskaita. </w:t>
      </w:r>
      <w:r w:rsidR="00D7557F">
        <w:rPr>
          <w:rFonts w:ascii="Calibri" w:eastAsia="Calibri" w:hAnsi="Calibri" w:cs="Calibri"/>
        </w:rPr>
        <w:t xml:space="preserve">Pakeista tyrimo ataskaita išdėstoma nauja redakcija, </w:t>
      </w:r>
      <w:r>
        <w:rPr>
          <w:rFonts w:ascii="Calibri" w:eastAsia="Calibri" w:hAnsi="Calibri" w:cs="Calibri"/>
        </w:rPr>
        <w:t>nurodant nauj</w:t>
      </w:r>
      <w:r w:rsidR="00D7557F">
        <w:rPr>
          <w:rFonts w:ascii="Calibri" w:eastAsia="Calibri" w:hAnsi="Calibri" w:cs="Calibri"/>
        </w:rPr>
        <w:t xml:space="preserve">os redakcijos įsigaliojimo datą ir skelbiama </w:t>
      </w:r>
      <w:r w:rsidR="003F2576">
        <w:rPr>
          <w:rFonts w:ascii="Calibri" w:eastAsia="Calibri" w:hAnsi="Calibri" w:cs="Calibri"/>
        </w:rPr>
        <w:t xml:space="preserve">Europos Sąjungos struktūrinių fondų </w:t>
      </w:r>
      <w:r w:rsidR="00D7557F">
        <w:rPr>
          <w:rFonts w:ascii="Calibri" w:eastAsia="Calibri" w:hAnsi="Calibri" w:cs="Calibri"/>
        </w:rPr>
        <w:t xml:space="preserve">interneto svetainėje </w:t>
      </w:r>
      <w:hyperlink r:id="rId11" w:history="1">
        <w:r w:rsidR="00D7557F" w:rsidRPr="00C96166">
          <w:rPr>
            <w:rStyle w:val="Hipersaitas"/>
            <w:rFonts w:ascii="Calibri" w:eastAsia="Calibri" w:hAnsi="Calibri" w:cs="Calibri"/>
          </w:rPr>
          <w:t>http://www.esinvesticijos.lt/lt/dokumentai/supaprastinto-islaidu-apmokejimo-tyrimai</w:t>
        </w:r>
      </w:hyperlink>
      <w:r w:rsidR="00D7557F">
        <w:rPr>
          <w:rFonts w:ascii="Calibri" w:eastAsia="Calibri" w:hAnsi="Calibri" w:cs="Calibri"/>
        </w:rPr>
        <w:t xml:space="preserve">. </w:t>
      </w:r>
      <w:r w:rsidR="002952A0">
        <w:rPr>
          <w:rFonts w:ascii="Calibri" w:eastAsia="Calibri" w:hAnsi="Calibri" w:cs="Calibri"/>
        </w:rPr>
        <w:t>N</w:t>
      </w:r>
      <w:r w:rsidR="00D7557F">
        <w:rPr>
          <w:rFonts w:ascii="Calibri" w:eastAsia="Calibri" w:hAnsi="Calibri" w:cs="Calibri"/>
        </w:rPr>
        <w:t xml:space="preserve">auja </w:t>
      </w:r>
      <w:r w:rsidR="002952A0">
        <w:rPr>
          <w:rFonts w:ascii="Calibri" w:eastAsia="Calibri" w:hAnsi="Calibri" w:cs="Calibri"/>
        </w:rPr>
        <w:t>skaičiavimo tvarka taikoma</w:t>
      </w:r>
      <w:r w:rsidR="00D7557F">
        <w:rPr>
          <w:rFonts w:ascii="Calibri" w:eastAsia="Calibri" w:hAnsi="Calibri" w:cs="Calibri"/>
        </w:rPr>
        <w:t xml:space="preserve"> nuo tyrimo ataskaitos naujos redakcijo</w:t>
      </w:r>
      <w:r w:rsidR="003474DB">
        <w:rPr>
          <w:rFonts w:ascii="Calibri" w:eastAsia="Calibri" w:hAnsi="Calibri" w:cs="Calibri"/>
        </w:rPr>
        <w:t>s įsigaliojimo dienos komandiruotėms</w:t>
      </w:r>
      <w:r w:rsidR="00207393" w:rsidRPr="00207393">
        <w:rPr>
          <w:rFonts w:ascii="Calibri" w:eastAsia="Calibri" w:hAnsi="Calibri" w:cs="Calibri"/>
        </w:rPr>
        <w:t>, kurių pradžios data sutampa ar yra vėlesnė už tyrimo ataskaitos naujos redakcijos įsigaliojimo datą</w:t>
      </w:r>
      <w:bookmarkStart w:id="0" w:name="_GoBack"/>
      <w:bookmarkEnd w:id="0"/>
      <w:r w:rsidR="00D7557F">
        <w:rPr>
          <w:rFonts w:ascii="Calibri" w:eastAsia="Calibri" w:hAnsi="Calibri" w:cs="Calibri"/>
        </w:rPr>
        <w:t xml:space="preserve">. </w:t>
      </w:r>
    </w:p>
    <w:p w:rsidR="00500A05" w:rsidRDefault="00500A05" w:rsidP="005055A5">
      <w:pPr>
        <w:spacing w:before="240" w:after="0"/>
        <w:ind w:firstLine="567"/>
        <w:jc w:val="both"/>
        <w:rPr>
          <w:rFonts w:ascii="Calibri" w:eastAsia="Calibri" w:hAnsi="Calibri" w:cs="Calibri"/>
        </w:rPr>
      </w:pPr>
      <w:r>
        <w:rPr>
          <w:rFonts w:ascii="Calibri" w:eastAsia="Calibri" w:hAnsi="Calibri" w:cs="Calibri"/>
        </w:rPr>
        <w:t xml:space="preserve">Už tyrimo ataskaitos atnaujinimą yra </w:t>
      </w:r>
      <w:r w:rsidR="0099398B">
        <w:rPr>
          <w:rFonts w:ascii="Calibri" w:eastAsia="Calibri" w:hAnsi="Calibri" w:cs="Calibri"/>
        </w:rPr>
        <w:t xml:space="preserve">atsakingas </w:t>
      </w:r>
      <w:r>
        <w:rPr>
          <w:rFonts w:ascii="Calibri" w:eastAsia="Calibri" w:hAnsi="Calibri" w:cs="Calibri"/>
        </w:rPr>
        <w:t>Lietuvos</w:t>
      </w:r>
      <w:r w:rsidR="00D7557F">
        <w:rPr>
          <w:rFonts w:ascii="Calibri" w:eastAsia="Calibri" w:hAnsi="Calibri" w:cs="Calibri"/>
        </w:rPr>
        <w:t xml:space="preserve"> Respublikos finansų ministerijos </w:t>
      </w:r>
      <w:r w:rsidR="0058003E">
        <w:rPr>
          <w:rFonts w:ascii="Calibri" w:eastAsia="Calibri" w:hAnsi="Calibri" w:cs="Calibri"/>
        </w:rPr>
        <w:t>Europos Sąjungos struktūrinės paramos valdymo</w:t>
      </w:r>
      <w:r w:rsidR="00D7557F">
        <w:rPr>
          <w:rFonts w:ascii="Calibri" w:eastAsia="Calibri" w:hAnsi="Calibri" w:cs="Calibri"/>
        </w:rPr>
        <w:t xml:space="preserve"> departamentas</w:t>
      </w:r>
      <w:r>
        <w:rPr>
          <w:rFonts w:ascii="Calibri" w:eastAsia="Calibri" w:hAnsi="Calibri" w:cs="Calibri"/>
        </w:rPr>
        <w:t>.</w:t>
      </w:r>
      <w:r w:rsidR="00D7557F">
        <w:rPr>
          <w:rFonts w:ascii="Calibri" w:eastAsia="Calibri" w:hAnsi="Calibri" w:cs="Calibri"/>
        </w:rPr>
        <w:t xml:space="preserve"> Įgyvendinančioji institucija – VšĮ Centrinė projektų įgyvendinimo agentūra </w:t>
      </w:r>
      <w:r w:rsidR="005055A5">
        <w:rPr>
          <w:rFonts w:ascii="Calibri" w:eastAsia="Calibri" w:hAnsi="Calibri" w:cs="Calibri"/>
        </w:rPr>
        <w:t xml:space="preserve">– </w:t>
      </w:r>
      <w:r w:rsidR="00D7557F">
        <w:rPr>
          <w:rFonts w:ascii="Calibri" w:eastAsia="Calibri" w:hAnsi="Calibri" w:cs="Calibri"/>
        </w:rPr>
        <w:t>yra atsakinga už tyrimo ataskaitos II.1 dalies 1-5 punktuose nurodytų teisės aktų pokyčių stebėseną ir Lietuvos Respublikos fi</w:t>
      </w:r>
      <w:r w:rsidR="00366073">
        <w:rPr>
          <w:rFonts w:ascii="Calibri" w:eastAsia="Calibri" w:hAnsi="Calibri" w:cs="Calibri"/>
        </w:rPr>
        <w:t>nansų ministerijos informavimą bei tyrimo ataskaitos prieduose (</w:t>
      </w:r>
      <w:r w:rsidR="005055A5">
        <w:rPr>
          <w:rFonts w:ascii="Calibri" w:eastAsia="Calibri" w:hAnsi="Calibri" w:cs="Calibri"/>
        </w:rPr>
        <w:t xml:space="preserve">suvestinių </w:t>
      </w:r>
      <w:r w:rsidR="00366073">
        <w:rPr>
          <w:rFonts w:ascii="Calibri" w:eastAsia="Calibri" w:hAnsi="Calibri" w:cs="Calibri"/>
        </w:rPr>
        <w:t xml:space="preserve">pažymų formose) nustatytų fiksuotųjų įkainių dydžių atnaujinimą. </w:t>
      </w:r>
    </w:p>
    <w:p w:rsidR="00055357" w:rsidRDefault="00055357" w:rsidP="00343FA3">
      <w:pPr>
        <w:spacing w:before="240" w:after="0"/>
        <w:ind w:firstLine="567"/>
        <w:jc w:val="both"/>
        <w:rPr>
          <w:rFonts w:ascii="Calibri" w:eastAsia="Calibri" w:hAnsi="Calibri" w:cs="Calibri"/>
        </w:rPr>
      </w:pPr>
      <w:r>
        <w:rPr>
          <w:rFonts w:ascii="Calibri" w:eastAsia="Calibri" w:hAnsi="Calibri" w:cs="Calibri"/>
        </w:rPr>
        <w:t xml:space="preserve">Esant poreikiui, tyrimo ataskaitos prieduose pateikiamas rekomendacines suvestinių pažymų formas techninės paramos gavėjas gali </w:t>
      </w:r>
      <w:r w:rsidR="0099398B">
        <w:rPr>
          <w:rFonts w:ascii="Calibri" w:eastAsia="Calibri" w:hAnsi="Calibri" w:cs="Calibri"/>
        </w:rPr>
        <w:t xml:space="preserve">koreguoti </w:t>
      </w:r>
      <w:r w:rsidR="005055A5">
        <w:rPr>
          <w:rFonts w:ascii="Calibri" w:eastAsia="Calibri" w:hAnsi="Calibri" w:cs="Calibri"/>
        </w:rPr>
        <w:t>ar</w:t>
      </w:r>
      <w:r w:rsidR="0099398B">
        <w:rPr>
          <w:rFonts w:ascii="Calibri" w:eastAsia="Calibri" w:hAnsi="Calibri" w:cs="Calibri"/>
        </w:rPr>
        <w:t xml:space="preserve"> </w:t>
      </w:r>
      <w:r>
        <w:rPr>
          <w:rFonts w:ascii="Calibri" w:eastAsia="Calibri" w:hAnsi="Calibri" w:cs="Calibri"/>
        </w:rPr>
        <w:t xml:space="preserve">papildyti naujais stulpeliais, suderinęs tokį </w:t>
      </w:r>
      <w:r w:rsidR="005055A5">
        <w:rPr>
          <w:rFonts w:ascii="Calibri" w:eastAsia="Calibri" w:hAnsi="Calibri" w:cs="Calibri"/>
        </w:rPr>
        <w:t>koregavimą ar</w:t>
      </w:r>
      <w:r w:rsidR="0099398B">
        <w:rPr>
          <w:rFonts w:ascii="Calibri" w:eastAsia="Calibri" w:hAnsi="Calibri" w:cs="Calibri"/>
        </w:rPr>
        <w:t xml:space="preserve"> </w:t>
      </w:r>
      <w:r>
        <w:rPr>
          <w:rFonts w:ascii="Calibri" w:eastAsia="Calibri" w:hAnsi="Calibri" w:cs="Calibri"/>
        </w:rPr>
        <w:t>papildymą su įgyvendinančiąja institucija.</w:t>
      </w:r>
    </w:p>
    <w:p w:rsidR="00585E75" w:rsidRDefault="00585E75" w:rsidP="00585E75">
      <w:pPr>
        <w:pStyle w:val="Sraopastraipa"/>
        <w:tabs>
          <w:tab w:val="left" w:pos="1418"/>
        </w:tabs>
        <w:spacing w:after="0" w:line="240" w:lineRule="auto"/>
        <w:ind w:left="851"/>
        <w:jc w:val="both"/>
        <w:rPr>
          <w:rFonts w:ascii="Times New Roman" w:hAnsi="Times New Roman" w:cs="Times New Roman"/>
          <w:sz w:val="24"/>
          <w:szCs w:val="24"/>
        </w:rPr>
      </w:pPr>
    </w:p>
    <w:p w:rsidR="00F8197C" w:rsidRDefault="00F8197C" w:rsidP="00F8197C">
      <w:pPr>
        <w:pStyle w:val="Sraopastraipa"/>
        <w:tabs>
          <w:tab w:val="left" w:pos="1418"/>
        </w:tabs>
        <w:spacing w:after="0" w:line="240" w:lineRule="auto"/>
        <w:ind w:left="851"/>
        <w:jc w:val="center"/>
        <w:rPr>
          <w:rFonts w:ascii="Times New Roman" w:hAnsi="Times New Roman" w:cs="Times New Roman"/>
          <w:sz w:val="24"/>
          <w:szCs w:val="24"/>
        </w:rPr>
      </w:pPr>
      <w:r>
        <w:rPr>
          <w:rFonts w:ascii="Times New Roman" w:hAnsi="Times New Roman" w:cs="Times New Roman"/>
          <w:sz w:val="24"/>
          <w:szCs w:val="24"/>
        </w:rPr>
        <w:t>____________________</w:t>
      </w:r>
    </w:p>
    <w:p w:rsidR="00343FA3" w:rsidRDefault="00343FA3">
      <w:pPr>
        <w:rPr>
          <w:rFonts w:ascii="Times New Roman" w:hAnsi="Times New Roman" w:cs="Times New Roman"/>
          <w:sz w:val="24"/>
          <w:szCs w:val="24"/>
        </w:rPr>
      </w:pPr>
      <w:r>
        <w:rPr>
          <w:rFonts w:ascii="Times New Roman" w:hAnsi="Times New Roman" w:cs="Times New Roman"/>
          <w:sz w:val="24"/>
          <w:szCs w:val="24"/>
        </w:rPr>
        <w:br w:type="page"/>
      </w:r>
    </w:p>
    <w:p w:rsidR="00D7557F" w:rsidRPr="00343FA3" w:rsidRDefault="00343FA3" w:rsidP="00F8197C">
      <w:pPr>
        <w:pStyle w:val="Sraopastraipa"/>
        <w:tabs>
          <w:tab w:val="left" w:pos="1418"/>
        </w:tabs>
        <w:spacing w:after="0" w:line="240" w:lineRule="auto"/>
        <w:ind w:left="851"/>
        <w:jc w:val="center"/>
        <w:rPr>
          <w:rFonts w:ascii="Times New Roman" w:hAnsi="Times New Roman" w:cs="Times New Roman"/>
          <w:b/>
          <w:sz w:val="24"/>
          <w:szCs w:val="24"/>
        </w:rPr>
      </w:pPr>
      <w:r w:rsidRPr="00343FA3">
        <w:rPr>
          <w:rFonts w:ascii="Times New Roman" w:hAnsi="Times New Roman" w:cs="Times New Roman"/>
          <w:b/>
          <w:sz w:val="24"/>
          <w:szCs w:val="24"/>
        </w:rPr>
        <w:lastRenderedPageBreak/>
        <w:t>PRIEDŲ SĄRAŠAS</w:t>
      </w:r>
    </w:p>
    <w:p w:rsidR="00343FA3" w:rsidRPr="00055357" w:rsidRDefault="00343FA3" w:rsidP="00055357">
      <w:pPr>
        <w:tabs>
          <w:tab w:val="left" w:pos="1418"/>
        </w:tabs>
        <w:spacing w:after="0" w:line="240" w:lineRule="auto"/>
        <w:rPr>
          <w:rFonts w:ascii="Times New Roman" w:hAnsi="Times New Roman" w:cs="Times New Roman"/>
          <w:sz w:val="24"/>
          <w:szCs w:val="24"/>
        </w:rPr>
      </w:pPr>
    </w:p>
    <w:p w:rsidR="00343FA3" w:rsidRPr="00B93FC1" w:rsidRDefault="00055357" w:rsidP="0099398B">
      <w:pPr>
        <w:tabs>
          <w:tab w:val="left" w:pos="1418"/>
        </w:tabs>
        <w:spacing w:before="240" w:after="0" w:line="240" w:lineRule="auto"/>
        <w:ind w:firstLine="567"/>
        <w:jc w:val="both"/>
        <w:rPr>
          <w:rFonts w:cstheme="minorHAnsi"/>
        </w:rPr>
      </w:pPr>
      <w:r w:rsidRPr="00B93FC1">
        <w:rPr>
          <w:rFonts w:cstheme="minorHAnsi"/>
          <w:b/>
        </w:rPr>
        <w:t>1 forma.</w:t>
      </w:r>
      <w:r w:rsidRPr="00B93FC1">
        <w:rPr>
          <w:rFonts w:cstheme="minorHAnsi"/>
        </w:rPr>
        <w:t xml:space="preserve"> Pažyma dėl komandiruočių ir kelionių Lietuvoje išlaidų apskaičiavimo (biudžetinėms įstaigoms, kurios yra techninės paramos gavėjos);</w:t>
      </w:r>
    </w:p>
    <w:p w:rsidR="00055357" w:rsidRPr="00B93FC1" w:rsidRDefault="00055357" w:rsidP="0099398B">
      <w:pPr>
        <w:tabs>
          <w:tab w:val="left" w:pos="1418"/>
        </w:tabs>
        <w:spacing w:before="240" w:after="0" w:line="240" w:lineRule="auto"/>
        <w:ind w:firstLine="567"/>
        <w:jc w:val="both"/>
        <w:rPr>
          <w:rFonts w:cstheme="minorHAnsi"/>
        </w:rPr>
      </w:pPr>
      <w:r w:rsidRPr="00B93FC1">
        <w:rPr>
          <w:rFonts w:cstheme="minorHAnsi"/>
          <w:b/>
        </w:rPr>
        <w:t>2 forma.</w:t>
      </w:r>
      <w:r w:rsidRPr="00B93FC1">
        <w:rPr>
          <w:rFonts w:cstheme="minorHAnsi"/>
        </w:rPr>
        <w:t xml:space="preserve"> Pažyma dėl komandiruočių ir kelionių Lietuvoje išlaidų apskaičiavimo (nebiudžetinėms įstaigoms, kurios yra techninės paramos gavėjos);</w:t>
      </w:r>
    </w:p>
    <w:p w:rsidR="00055357" w:rsidRDefault="00B93FC1" w:rsidP="0099398B">
      <w:pPr>
        <w:tabs>
          <w:tab w:val="left" w:pos="1418"/>
        </w:tabs>
        <w:spacing w:before="240" w:after="0" w:line="240" w:lineRule="auto"/>
        <w:ind w:firstLine="567"/>
        <w:jc w:val="both"/>
        <w:rPr>
          <w:rFonts w:cstheme="minorHAnsi"/>
        </w:rPr>
      </w:pPr>
      <w:r w:rsidRPr="00280DA5">
        <w:rPr>
          <w:rFonts w:cstheme="minorHAnsi"/>
          <w:b/>
        </w:rPr>
        <w:t>3 forma.</w:t>
      </w:r>
      <w:r w:rsidRPr="00B93FC1">
        <w:rPr>
          <w:rFonts w:cstheme="minorHAnsi"/>
        </w:rPr>
        <w:t xml:space="preserve"> </w:t>
      </w:r>
      <w:r w:rsidR="00280DA5" w:rsidRPr="00280DA5">
        <w:rPr>
          <w:rFonts w:cstheme="minorHAnsi"/>
        </w:rPr>
        <w:t>Pažyma dėl komandiruočių į užsienį, kurių metu vykstama tik į vieną užsienio šalį, išlaidų apskaičiavimo</w:t>
      </w:r>
      <w:r w:rsidR="00280DA5">
        <w:rPr>
          <w:rFonts w:cstheme="minorHAnsi"/>
        </w:rPr>
        <w:t xml:space="preserve"> </w:t>
      </w:r>
      <w:r w:rsidR="00280DA5" w:rsidRPr="00B93FC1">
        <w:rPr>
          <w:rFonts w:cstheme="minorHAnsi"/>
        </w:rPr>
        <w:t>(biudžetinėms įstaigoms, kurios yra techninės paramos gavėjos);</w:t>
      </w:r>
    </w:p>
    <w:p w:rsidR="00280DA5" w:rsidRPr="00280DA5" w:rsidRDefault="00280DA5" w:rsidP="0099398B">
      <w:pPr>
        <w:tabs>
          <w:tab w:val="left" w:pos="1418"/>
        </w:tabs>
        <w:spacing w:before="240" w:after="0" w:line="240" w:lineRule="auto"/>
        <w:ind w:firstLine="567"/>
        <w:jc w:val="both"/>
        <w:rPr>
          <w:rFonts w:cstheme="minorHAnsi"/>
        </w:rPr>
      </w:pPr>
      <w:r w:rsidRPr="00280DA5">
        <w:rPr>
          <w:rFonts w:cstheme="minorHAnsi"/>
          <w:b/>
        </w:rPr>
        <w:t>4 forma.</w:t>
      </w:r>
      <w:r w:rsidRPr="00280DA5">
        <w:rPr>
          <w:rFonts w:cstheme="minorHAnsi"/>
        </w:rPr>
        <w:t xml:space="preserve"> Pažyma dėl komandiruočių į užsienį, kurių metu vykstama į dvi užsienio šalis (kai atvykimo į pirmąją šalį ir atvykimo į antrąją šalį dienos </w:t>
      </w:r>
      <w:r w:rsidRPr="00280DA5">
        <w:rPr>
          <w:rFonts w:cstheme="minorHAnsi"/>
          <w:u w:val="single"/>
        </w:rPr>
        <w:t>nesutampa</w:t>
      </w:r>
      <w:r w:rsidRPr="00280DA5">
        <w:rPr>
          <w:rFonts w:cstheme="minorHAnsi"/>
        </w:rPr>
        <w:t>), išlaidų apskaičiavimo (biudžetinėms įstaigoms, kurios yra techninės paramos gavėjos);</w:t>
      </w:r>
    </w:p>
    <w:p w:rsidR="00280DA5" w:rsidRDefault="00280DA5" w:rsidP="0099398B">
      <w:pPr>
        <w:tabs>
          <w:tab w:val="left" w:pos="1418"/>
        </w:tabs>
        <w:spacing w:before="240" w:after="0" w:line="240" w:lineRule="auto"/>
        <w:ind w:firstLine="567"/>
        <w:jc w:val="both"/>
        <w:rPr>
          <w:rFonts w:cstheme="minorHAnsi"/>
        </w:rPr>
      </w:pPr>
      <w:r w:rsidRPr="00280DA5">
        <w:rPr>
          <w:rFonts w:cstheme="minorHAnsi"/>
          <w:b/>
        </w:rPr>
        <w:t>5 forma.</w:t>
      </w:r>
      <w:r>
        <w:rPr>
          <w:rFonts w:cstheme="minorHAnsi"/>
        </w:rPr>
        <w:t xml:space="preserve"> </w:t>
      </w:r>
      <w:r w:rsidRPr="00280DA5">
        <w:rPr>
          <w:rFonts w:cstheme="minorHAnsi"/>
        </w:rPr>
        <w:t xml:space="preserve">Pažyma dėl komandiruočių į užsienį, kurių metu vykstama į dvi užsienio šalis (kai atvykimo į pirmąją šalį ir atvykimo į antrąją šalį dienos </w:t>
      </w:r>
      <w:r w:rsidRPr="00280DA5">
        <w:rPr>
          <w:rFonts w:cstheme="minorHAnsi"/>
          <w:u w:val="single"/>
        </w:rPr>
        <w:t>sutampa</w:t>
      </w:r>
      <w:r w:rsidRPr="00280DA5">
        <w:rPr>
          <w:rFonts w:cstheme="minorHAnsi"/>
        </w:rPr>
        <w:t>), išlaidų apskaičiavimo</w:t>
      </w:r>
      <w:r>
        <w:rPr>
          <w:rFonts w:cstheme="minorHAnsi"/>
        </w:rPr>
        <w:t xml:space="preserve"> </w:t>
      </w:r>
      <w:r w:rsidRPr="00280DA5">
        <w:rPr>
          <w:rFonts w:cstheme="minorHAnsi"/>
        </w:rPr>
        <w:t>(biudžetinėms įstaigoms, kurios yra techninės paramos gavėjos);</w:t>
      </w:r>
    </w:p>
    <w:p w:rsidR="00280DA5" w:rsidRPr="00B93FC1" w:rsidRDefault="00280DA5" w:rsidP="0099398B">
      <w:pPr>
        <w:tabs>
          <w:tab w:val="left" w:pos="1418"/>
        </w:tabs>
        <w:spacing w:before="240" w:after="0" w:line="240" w:lineRule="auto"/>
        <w:ind w:firstLine="567"/>
        <w:jc w:val="both"/>
        <w:rPr>
          <w:rFonts w:cstheme="minorHAnsi"/>
        </w:rPr>
      </w:pPr>
      <w:r w:rsidRPr="00280DA5">
        <w:rPr>
          <w:rFonts w:cstheme="minorHAnsi"/>
          <w:b/>
        </w:rPr>
        <w:t>6 forma.</w:t>
      </w:r>
      <w:r>
        <w:rPr>
          <w:rFonts w:cstheme="minorHAnsi"/>
        </w:rPr>
        <w:t xml:space="preserve"> </w:t>
      </w:r>
      <w:r w:rsidRPr="00280DA5">
        <w:rPr>
          <w:rFonts w:cstheme="minorHAnsi"/>
        </w:rPr>
        <w:t>Pažyma dėl komandiruočių į užsienį, kurių metu vykstama tik į vieną užsienio šalį, išlaidų apskaičiavimo</w:t>
      </w:r>
      <w:r>
        <w:rPr>
          <w:rFonts w:cstheme="minorHAnsi"/>
        </w:rPr>
        <w:t xml:space="preserve"> </w:t>
      </w:r>
      <w:r w:rsidRPr="00B93FC1">
        <w:rPr>
          <w:rFonts w:cstheme="minorHAnsi"/>
        </w:rPr>
        <w:t>(nebiudžetinėms įstaigoms, kurios yra techninės paramos gavėjos);</w:t>
      </w:r>
    </w:p>
    <w:p w:rsidR="00280DA5" w:rsidRPr="00B93FC1" w:rsidRDefault="00280DA5" w:rsidP="0099398B">
      <w:pPr>
        <w:tabs>
          <w:tab w:val="left" w:pos="1418"/>
        </w:tabs>
        <w:spacing w:before="240" w:after="0" w:line="240" w:lineRule="auto"/>
        <w:ind w:firstLine="567"/>
        <w:jc w:val="both"/>
        <w:rPr>
          <w:rFonts w:cstheme="minorHAnsi"/>
        </w:rPr>
      </w:pPr>
      <w:r w:rsidRPr="00280DA5">
        <w:rPr>
          <w:rFonts w:cstheme="minorHAnsi"/>
          <w:b/>
        </w:rPr>
        <w:t>7 forma.</w:t>
      </w:r>
      <w:r>
        <w:rPr>
          <w:rFonts w:cstheme="minorHAnsi"/>
        </w:rPr>
        <w:t xml:space="preserve"> </w:t>
      </w:r>
      <w:r w:rsidRPr="00280DA5">
        <w:rPr>
          <w:rFonts w:cstheme="minorHAnsi"/>
        </w:rPr>
        <w:t>Pažyma dėl komandiruočių į užsienį, kurių metu vykstama į dvi užsienio šalis, išlaidų apskaičiavimo</w:t>
      </w:r>
      <w:r>
        <w:rPr>
          <w:rFonts w:cstheme="minorHAnsi"/>
        </w:rPr>
        <w:t xml:space="preserve"> </w:t>
      </w:r>
      <w:r w:rsidRPr="00B93FC1">
        <w:rPr>
          <w:rFonts w:cstheme="minorHAnsi"/>
        </w:rPr>
        <w:t>(nebiudžetinėms įstaigoms, kurios yra techninės paramos gavėjos)</w:t>
      </w:r>
      <w:r>
        <w:rPr>
          <w:rFonts w:cstheme="minorHAnsi"/>
        </w:rPr>
        <w:t>.</w:t>
      </w:r>
    </w:p>
    <w:p w:rsidR="00280DA5" w:rsidRPr="00B93FC1" w:rsidRDefault="00280DA5" w:rsidP="00B93FC1">
      <w:pPr>
        <w:tabs>
          <w:tab w:val="left" w:pos="1418"/>
        </w:tabs>
        <w:spacing w:before="240" w:after="0" w:line="240" w:lineRule="auto"/>
        <w:ind w:left="360"/>
        <w:rPr>
          <w:rFonts w:cstheme="minorHAnsi"/>
        </w:rPr>
      </w:pPr>
    </w:p>
    <w:sectPr w:rsidR="00280DA5" w:rsidRPr="00B93FC1" w:rsidSect="00FC66D6">
      <w:headerReference w:type="default" r:id="rId12"/>
      <w:footerReference w:type="default" r:id="rId13"/>
      <w:pgSz w:w="11906" w:h="16838"/>
      <w:pgMar w:top="720" w:right="849" w:bottom="720" w:left="1134"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4DB" w:rsidRDefault="003474DB" w:rsidP="00F8197C">
      <w:pPr>
        <w:spacing w:after="0" w:line="240" w:lineRule="auto"/>
      </w:pPr>
      <w:r>
        <w:separator/>
      </w:r>
    </w:p>
  </w:endnote>
  <w:endnote w:type="continuationSeparator" w:id="0">
    <w:p w:rsidR="003474DB" w:rsidRDefault="003474DB" w:rsidP="00F8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65250"/>
      <w:docPartObj>
        <w:docPartGallery w:val="Page Numbers (Bottom of Page)"/>
        <w:docPartUnique/>
      </w:docPartObj>
    </w:sdtPr>
    <w:sdtContent>
      <w:p w:rsidR="003474DB" w:rsidRDefault="003474DB">
        <w:pPr>
          <w:pStyle w:val="Porat"/>
          <w:jc w:val="center"/>
        </w:pPr>
        <w:r>
          <w:fldChar w:fldCharType="begin"/>
        </w:r>
        <w:r>
          <w:instrText>PAGE   \* MERGEFORMAT</w:instrText>
        </w:r>
        <w:r>
          <w:fldChar w:fldCharType="separate"/>
        </w:r>
        <w:r w:rsidR="00951829">
          <w:rPr>
            <w:noProof/>
          </w:rPr>
          <w:t>14</w:t>
        </w:r>
        <w:r>
          <w:fldChar w:fldCharType="end"/>
        </w:r>
      </w:p>
    </w:sdtContent>
  </w:sdt>
  <w:p w:rsidR="003474DB" w:rsidRDefault="003474D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4DB" w:rsidRDefault="003474DB" w:rsidP="00F8197C">
      <w:pPr>
        <w:spacing w:after="0" w:line="240" w:lineRule="auto"/>
      </w:pPr>
      <w:r>
        <w:separator/>
      </w:r>
    </w:p>
  </w:footnote>
  <w:footnote w:type="continuationSeparator" w:id="0">
    <w:p w:rsidR="003474DB" w:rsidRDefault="003474DB" w:rsidP="00F8197C">
      <w:pPr>
        <w:spacing w:after="0" w:line="240" w:lineRule="auto"/>
      </w:pPr>
      <w:r>
        <w:continuationSeparator/>
      </w:r>
    </w:p>
  </w:footnote>
  <w:footnote w:id="1">
    <w:p w:rsidR="003474DB" w:rsidRPr="00343FA3" w:rsidRDefault="003474DB" w:rsidP="00573B98">
      <w:pPr>
        <w:pStyle w:val="Puslapioinaostekstas"/>
        <w:rPr>
          <w:rFonts w:cstheme="minorHAnsi"/>
          <w:sz w:val="18"/>
          <w:szCs w:val="18"/>
        </w:rPr>
      </w:pPr>
      <w:r w:rsidRPr="00343FA3">
        <w:rPr>
          <w:rStyle w:val="Puslapioinaosnuoroda"/>
          <w:rFonts w:cstheme="minorHAnsi"/>
          <w:sz w:val="18"/>
          <w:szCs w:val="18"/>
        </w:rPr>
        <w:footnoteRef/>
      </w:r>
      <w:r w:rsidRPr="00343FA3">
        <w:rPr>
          <w:rFonts w:cstheme="minorHAnsi"/>
          <w:sz w:val="18"/>
          <w:szCs w:val="18"/>
        </w:rPr>
        <w:t xml:space="preserve"> Vadovaujantis Lietuvos Respublikos Vyriausybės 2014 m. rugsėjo 10 d. nutarimu Nr. 924 „Dėl bazinės socialinės išmokos dydžio patvirtinimo“, nuo 2015 m. sausio 1 d. bazinės socialinės išmokos dydis yra 38 eurai.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4DB" w:rsidRPr="00343FA3" w:rsidRDefault="003474DB" w:rsidP="00343FA3">
    <w:pPr>
      <w:pStyle w:val="Antrats"/>
      <w:jc w:val="right"/>
      <w:rPr>
        <w:sz w:val="18"/>
      </w:rPr>
    </w:pPr>
    <w:r w:rsidRPr="00343FA3">
      <w:rPr>
        <w:sz w:val="18"/>
      </w:rPr>
      <w:t>Komandiruočių ir kelionių fiksuotųjų įkainių nustatymo</w:t>
    </w:r>
  </w:p>
  <w:p w:rsidR="003474DB" w:rsidRPr="00343FA3" w:rsidRDefault="003474DB" w:rsidP="00343FA3">
    <w:pPr>
      <w:pStyle w:val="Antrats"/>
      <w:jc w:val="right"/>
      <w:rPr>
        <w:sz w:val="18"/>
      </w:rPr>
    </w:pPr>
    <w:r w:rsidRPr="00343FA3">
      <w:rPr>
        <w:sz w:val="18"/>
      </w:rPr>
      <w:t>techninės paramos projektuose tyrimo ataskaita</w:t>
    </w:r>
  </w:p>
  <w:p w:rsidR="003474DB" w:rsidRDefault="003474DB" w:rsidP="00343FA3">
    <w:pPr>
      <w:pStyle w:val="Antrats"/>
      <w:jc w:val="right"/>
      <w:rPr>
        <w:sz w:val="18"/>
      </w:rPr>
    </w:pPr>
    <w:r w:rsidRPr="00343FA3">
      <w:rPr>
        <w:sz w:val="18"/>
      </w:rPr>
      <w:t xml:space="preserve">2016 m. </w:t>
    </w:r>
    <w:r>
      <w:rPr>
        <w:sz w:val="18"/>
      </w:rPr>
      <w:t>gegužės 19</w:t>
    </w:r>
    <w:r w:rsidRPr="00343FA3">
      <w:rPr>
        <w:sz w:val="18"/>
      </w:rPr>
      <w:t xml:space="preserve"> d. redakcija</w:t>
    </w:r>
  </w:p>
  <w:p w:rsidR="003474DB" w:rsidRPr="00343FA3" w:rsidRDefault="003474DB" w:rsidP="00343FA3">
    <w:pPr>
      <w:pStyle w:val="Antrats"/>
      <w:jc w:val="righ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E6B"/>
    <w:multiLevelType w:val="hybridMultilevel"/>
    <w:tmpl w:val="D640F0C0"/>
    <w:lvl w:ilvl="0" w:tplc="70DC466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0CC4A17"/>
    <w:multiLevelType w:val="hybridMultilevel"/>
    <w:tmpl w:val="45B6EB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5E52168"/>
    <w:multiLevelType w:val="multilevel"/>
    <w:tmpl w:val="0427001F"/>
    <w:lvl w:ilvl="0">
      <w:start w:val="1"/>
      <w:numFmt w:val="decimal"/>
      <w:lvlText w:val="%1."/>
      <w:lvlJc w:val="left"/>
      <w:pPr>
        <w:ind w:left="8441" w:hanging="360"/>
      </w:pPr>
      <w:rPr>
        <w:rFonts w:hint="default"/>
      </w:rPr>
    </w:lvl>
    <w:lvl w:ilvl="1">
      <w:start w:val="1"/>
      <w:numFmt w:val="decimal"/>
      <w:lvlText w:val="%1.%2."/>
      <w:lvlJc w:val="left"/>
      <w:pPr>
        <w:ind w:left="8873" w:hanging="432"/>
      </w:pPr>
    </w:lvl>
    <w:lvl w:ilvl="2">
      <w:start w:val="1"/>
      <w:numFmt w:val="decimal"/>
      <w:lvlText w:val="%1.%2.%3."/>
      <w:lvlJc w:val="left"/>
      <w:pPr>
        <w:ind w:left="9305" w:hanging="504"/>
      </w:pPr>
    </w:lvl>
    <w:lvl w:ilvl="3">
      <w:start w:val="1"/>
      <w:numFmt w:val="decimal"/>
      <w:lvlText w:val="%1.%2.%3.%4."/>
      <w:lvlJc w:val="left"/>
      <w:pPr>
        <w:ind w:left="9809" w:hanging="648"/>
      </w:pPr>
    </w:lvl>
    <w:lvl w:ilvl="4">
      <w:start w:val="1"/>
      <w:numFmt w:val="decimal"/>
      <w:lvlText w:val="%1.%2.%3.%4.%5."/>
      <w:lvlJc w:val="left"/>
      <w:pPr>
        <w:ind w:left="10313" w:hanging="792"/>
      </w:pPr>
    </w:lvl>
    <w:lvl w:ilvl="5">
      <w:start w:val="1"/>
      <w:numFmt w:val="decimal"/>
      <w:lvlText w:val="%1.%2.%3.%4.%5.%6."/>
      <w:lvlJc w:val="left"/>
      <w:pPr>
        <w:ind w:left="10817" w:hanging="936"/>
      </w:pPr>
    </w:lvl>
    <w:lvl w:ilvl="6">
      <w:start w:val="1"/>
      <w:numFmt w:val="decimal"/>
      <w:lvlText w:val="%1.%2.%3.%4.%5.%6.%7."/>
      <w:lvlJc w:val="left"/>
      <w:pPr>
        <w:ind w:left="11321" w:hanging="1080"/>
      </w:pPr>
    </w:lvl>
    <w:lvl w:ilvl="7">
      <w:start w:val="1"/>
      <w:numFmt w:val="decimal"/>
      <w:lvlText w:val="%1.%2.%3.%4.%5.%6.%7.%8."/>
      <w:lvlJc w:val="left"/>
      <w:pPr>
        <w:ind w:left="11825" w:hanging="1224"/>
      </w:pPr>
    </w:lvl>
    <w:lvl w:ilvl="8">
      <w:start w:val="1"/>
      <w:numFmt w:val="decimal"/>
      <w:lvlText w:val="%1.%2.%3.%4.%5.%6.%7.%8.%9."/>
      <w:lvlJc w:val="left"/>
      <w:pPr>
        <w:ind w:left="12401" w:hanging="1440"/>
      </w:pPr>
    </w:lvl>
  </w:abstractNum>
  <w:abstractNum w:abstractNumId="3">
    <w:nsid w:val="184E265F"/>
    <w:multiLevelType w:val="hybridMultilevel"/>
    <w:tmpl w:val="EB4ECF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A00276B"/>
    <w:multiLevelType w:val="multilevel"/>
    <w:tmpl w:val="0427001F"/>
    <w:lvl w:ilvl="0">
      <w:start w:val="1"/>
      <w:numFmt w:val="decimal"/>
      <w:lvlText w:val="%1."/>
      <w:lvlJc w:val="left"/>
      <w:pPr>
        <w:ind w:left="8441" w:hanging="360"/>
      </w:pPr>
      <w:rPr>
        <w:rFonts w:hint="default"/>
      </w:rPr>
    </w:lvl>
    <w:lvl w:ilvl="1">
      <w:start w:val="1"/>
      <w:numFmt w:val="decimal"/>
      <w:lvlText w:val="%1.%2."/>
      <w:lvlJc w:val="left"/>
      <w:pPr>
        <w:ind w:left="8873" w:hanging="432"/>
      </w:pPr>
    </w:lvl>
    <w:lvl w:ilvl="2">
      <w:start w:val="1"/>
      <w:numFmt w:val="decimal"/>
      <w:lvlText w:val="%1.%2.%3."/>
      <w:lvlJc w:val="left"/>
      <w:pPr>
        <w:ind w:left="9305" w:hanging="504"/>
      </w:pPr>
    </w:lvl>
    <w:lvl w:ilvl="3">
      <w:start w:val="1"/>
      <w:numFmt w:val="decimal"/>
      <w:lvlText w:val="%1.%2.%3.%4."/>
      <w:lvlJc w:val="left"/>
      <w:pPr>
        <w:ind w:left="9809" w:hanging="648"/>
      </w:pPr>
    </w:lvl>
    <w:lvl w:ilvl="4">
      <w:start w:val="1"/>
      <w:numFmt w:val="decimal"/>
      <w:lvlText w:val="%1.%2.%3.%4.%5."/>
      <w:lvlJc w:val="left"/>
      <w:pPr>
        <w:ind w:left="10313" w:hanging="792"/>
      </w:pPr>
    </w:lvl>
    <w:lvl w:ilvl="5">
      <w:start w:val="1"/>
      <w:numFmt w:val="decimal"/>
      <w:lvlText w:val="%1.%2.%3.%4.%5.%6."/>
      <w:lvlJc w:val="left"/>
      <w:pPr>
        <w:ind w:left="10817" w:hanging="936"/>
      </w:pPr>
    </w:lvl>
    <w:lvl w:ilvl="6">
      <w:start w:val="1"/>
      <w:numFmt w:val="decimal"/>
      <w:lvlText w:val="%1.%2.%3.%4.%5.%6.%7."/>
      <w:lvlJc w:val="left"/>
      <w:pPr>
        <w:ind w:left="11321" w:hanging="1080"/>
      </w:pPr>
    </w:lvl>
    <w:lvl w:ilvl="7">
      <w:start w:val="1"/>
      <w:numFmt w:val="decimal"/>
      <w:lvlText w:val="%1.%2.%3.%4.%5.%6.%7.%8."/>
      <w:lvlJc w:val="left"/>
      <w:pPr>
        <w:ind w:left="11825" w:hanging="1224"/>
      </w:pPr>
    </w:lvl>
    <w:lvl w:ilvl="8">
      <w:start w:val="1"/>
      <w:numFmt w:val="decimal"/>
      <w:lvlText w:val="%1.%2.%3.%4.%5.%6.%7.%8.%9."/>
      <w:lvlJc w:val="left"/>
      <w:pPr>
        <w:ind w:left="12401" w:hanging="1440"/>
      </w:pPr>
    </w:lvl>
  </w:abstractNum>
  <w:abstractNum w:abstractNumId="5">
    <w:nsid w:val="1CB21A66"/>
    <w:multiLevelType w:val="hybridMultilevel"/>
    <w:tmpl w:val="337A15CC"/>
    <w:lvl w:ilvl="0" w:tplc="B17A2142">
      <w:start w:val="2"/>
      <w:numFmt w:val="bullet"/>
      <w:lvlText w:val="-"/>
      <w:lvlJc w:val="left"/>
      <w:pPr>
        <w:ind w:left="394" w:hanging="360"/>
      </w:pPr>
      <w:rPr>
        <w:rFonts w:ascii="Times New Roman" w:eastAsiaTheme="minorHAns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6">
    <w:nsid w:val="1E920A8B"/>
    <w:multiLevelType w:val="multilevel"/>
    <w:tmpl w:val="0427001F"/>
    <w:lvl w:ilvl="0">
      <w:start w:val="1"/>
      <w:numFmt w:val="decimal"/>
      <w:lvlText w:val="%1."/>
      <w:lvlJc w:val="left"/>
      <w:pPr>
        <w:ind w:left="8441" w:hanging="360"/>
      </w:pPr>
      <w:rPr>
        <w:rFonts w:hint="default"/>
      </w:rPr>
    </w:lvl>
    <w:lvl w:ilvl="1">
      <w:start w:val="1"/>
      <w:numFmt w:val="decimal"/>
      <w:lvlText w:val="%1.%2."/>
      <w:lvlJc w:val="left"/>
      <w:pPr>
        <w:ind w:left="8873" w:hanging="432"/>
      </w:pPr>
    </w:lvl>
    <w:lvl w:ilvl="2">
      <w:start w:val="1"/>
      <w:numFmt w:val="decimal"/>
      <w:lvlText w:val="%1.%2.%3."/>
      <w:lvlJc w:val="left"/>
      <w:pPr>
        <w:ind w:left="9305" w:hanging="504"/>
      </w:pPr>
    </w:lvl>
    <w:lvl w:ilvl="3">
      <w:start w:val="1"/>
      <w:numFmt w:val="decimal"/>
      <w:lvlText w:val="%1.%2.%3.%4."/>
      <w:lvlJc w:val="left"/>
      <w:pPr>
        <w:ind w:left="9809" w:hanging="648"/>
      </w:pPr>
    </w:lvl>
    <w:lvl w:ilvl="4">
      <w:start w:val="1"/>
      <w:numFmt w:val="decimal"/>
      <w:lvlText w:val="%1.%2.%3.%4.%5."/>
      <w:lvlJc w:val="left"/>
      <w:pPr>
        <w:ind w:left="10313" w:hanging="792"/>
      </w:pPr>
    </w:lvl>
    <w:lvl w:ilvl="5">
      <w:start w:val="1"/>
      <w:numFmt w:val="decimal"/>
      <w:lvlText w:val="%1.%2.%3.%4.%5.%6."/>
      <w:lvlJc w:val="left"/>
      <w:pPr>
        <w:ind w:left="10817" w:hanging="936"/>
      </w:pPr>
    </w:lvl>
    <w:lvl w:ilvl="6">
      <w:start w:val="1"/>
      <w:numFmt w:val="decimal"/>
      <w:lvlText w:val="%1.%2.%3.%4.%5.%6.%7."/>
      <w:lvlJc w:val="left"/>
      <w:pPr>
        <w:ind w:left="11321" w:hanging="1080"/>
      </w:pPr>
    </w:lvl>
    <w:lvl w:ilvl="7">
      <w:start w:val="1"/>
      <w:numFmt w:val="decimal"/>
      <w:lvlText w:val="%1.%2.%3.%4.%5.%6.%7.%8."/>
      <w:lvlJc w:val="left"/>
      <w:pPr>
        <w:ind w:left="11825" w:hanging="1224"/>
      </w:pPr>
    </w:lvl>
    <w:lvl w:ilvl="8">
      <w:start w:val="1"/>
      <w:numFmt w:val="decimal"/>
      <w:lvlText w:val="%1.%2.%3.%4.%5.%6.%7.%8.%9."/>
      <w:lvlJc w:val="left"/>
      <w:pPr>
        <w:ind w:left="12401" w:hanging="1440"/>
      </w:pPr>
    </w:lvl>
  </w:abstractNum>
  <w:abstractNum w:abstractNumId="7">
    <w:nsid w:val="20E34D93"/>
    <w:multiLevelType w:val="hybridMultilevel"/>
    <w:tmpl w:val="6C7659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14A5CFA"/>
    <w:multiLevelType w:val="hybridMultilevel"/>
    <w:tmpl w:val="62049B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58A48CE"/>
    <w:multiLevelType w:val="hybridMultilevel"/>
    <w:tmpl w:val="CB4010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7E07939"/>
    <w:multiLevelType w:val="hybridMultilevel"/>
    <w:tmpl w:val="6A8AA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AD44E8C"/>
    <w:multiLevelType w:val="hybridMultilevel"/>
    <w:tmpl w:val="200CE21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2">
    <w:nsid w:val="332723BC"/>
    <w:multiLevelType w:val="hybridMultilevel"/>
    <w:tmpl w:val="1B26CD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85104D6"/>
    <w:multiLevelType w:val="hybridMultilevel"/>
    <w:tmpl w:val="7C8698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ABB31D6"/>
    <w:multiLevelType w:val="hybridMultilevel"/>
    <w:tmpl w:val="74DC95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CDD004D"/>
    <w:multiLevelType w:val="hybridMultilevel"/>
    <w:tmpl w:val="96141D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D614E7A"/>
    <w:multiLevelType w:val="hybridMultilevel"/>
    <w:tmpl w:val="A2A884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0C44099"/>
    <w:multiLevelType w:val="hybridMultilevel"/>
    <w:tmpl w:val="B1381D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63904ED"/>
    <w:multiLevelType w:val="hybridMultilevel"/>
    <w:tmpl w:val="0EB6D49C"/>
    <w:lvl w:ilvl="0" w:tplc="EFE83156">
      <w:start w:val="1"/>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9">
    <w:nsid w:val="696A6787"/>
    <w:multiLevelType w:val="hybridMultilevel"/>
    <w:tmpl w:val="427CFCC2"/>
    <w:lvl w:ilvl="0" w:tplc="F5C65AD0">
      <w:start w:val="1"/>
      <w:numFmt w:val="decimal"/>
      <w:lvlText w:val="%1."/>
      <w:lvlJc w:val="left"/>
      <w:pPr>
        <w:tabs>
          <w:tab w:val="num" w:pos="1211"/>
        </w:tabs>
        <w:ind w:left="1211" w:hanging="360"/>
      </w:p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20">
    <w:nsid w:val="6CB53074"/>
    <w:multiLevelType w:val="hybridMultilevel"/>
    <w:tmpl w:val="56B269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9190E1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1"/>
  </w:num>
  <w:num w:numId="3">
    <w:abstractNumId w:val="4"/>
  </w:num>
  <w:num w:numId="4">
    <w:abstractNumId w:val="6"/>
  </w:num>
  <w:num w:numId="5">
    <w:abstractNumId w:val="12"/>
  </w:num>
  <w:num w:numId="6">
    <w:abstractNumId w:val="11"/>
  </w:num>
  <w:num w:numId="7">
    <w:abstractNumId w:val="14"/>
  </w:num>
  <w:num w:numId="8">
    <w:abstractNumId w:val="16"/>
  </w:num>
  <w:num w:numId="9">
    <w:abstractNumId w:val="3"/>
  </w:num>
  <w:num w:numId="10">
    <w:abstractNumId w:val="5"/>
  </w:num>
  <w:num w:numId="11">
    <w:abstractNumId w:val="7"/>
  </w:num>
  <w:num w:numId="12">
    <w:abstractNumId w:val="9"/>
  </w:num>
  <w:num w:numId="13">
    <w:abstractNumId w:val="13"/>
  </w:num>
  <w:num w:numId="14">
    <w:abstractNumId w:val="8"/>
  </w:num>
  <w:num w:numId="15">
    <w:abstractNumId w:val="17"/>
  </w:num>
  <w:num w:numId="16">
    <w:abstractNumId w:val="15"/>
  </w:num>
  <w:num w:numId="17">
    <w:abstractNumId w:val="20"/>
  </w:num>
  <w:num w:numId="18">
    <w:abstractNumId w:val="18"/>
  </w:num>
  <w:num w:numId="19">
    <w:abstractNumId w:val="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E4D"/>
    <w:rsid w:val="0000087F"/>
    <w:rsid w:val="00010E6A"/>
    <w:rsid w:val="00011AD6"/>
    <w:rsid w:val="00011C85"/>
    <w:rsid w:val="0002085F"/>
    <w:rsid w:val="00021470"/>
    <w:rsid w:val="00027ACC"/>
    <w:rsid w:val="00055357"/>
    <w:rsid w:val="00060604"/>
    <w:rsid w:val="00085D06"/>
    <w:rsid w:val="00091F50"/>
    <w:rsid w:val="000B37BD"/>
    <w:rsid w:val="000C22DA"/>
    <w:rsid w:val="000E3680"/>
    <w:rsid w:val="000E606A"/>
    <w:rsid w:val="000F165F"/>
    <w:rsid w:val="000F228B"/>
    <w:rsid w:val="00110636"/>
    <w:rsid w:val="0011362D"/>
    <w:rsid w:val="0011502E"/>
    <w:rsid w:val="00116513"/>
    <w:rsid w:val="001833AA"/>
    <w:rsid w:val="00184E33"/>
    <w:rsid w:val="001A02B7"/>
    <w:rsid w:val="001B3800"/>
    <w:rsid w:val="001B4447"/>
    <w:rsid w:val="001C1195"/>
    <w:rsid w:val="001C7143"/>
    <w:rsid w:val="001D45A5"/>
    <w:rsid w:val="001D7059"/>
    <w:rsid w:val="001E34BD"/>
    <w:rsid w:val="001E4057"/>
    <w:rsid w:val="001F1664"/>
    <w:rsid w:val="001F29A2"/>
    <w:rsid w:val="001F6040"/>
    <w:rsid w:val="001F6658"/>
    <w:rsid w:val="001F76B8"/>
    <w:rsid w:val="00207393"/>
    <w:rsid w:val="002175B2"/>
    <w:rsid w:val="00247FCC"/>
    <w:rsid w:val="002600BF"/>
    <w:rsid w:val="00280DA5"/>
    <w:rsid w:val="002850E7"/>
    <w:rsid w:val="00287222"/>
    <w:rsid w:val="00292D25"/>
    <w:rsid w:val="002952A0"/>
    <w:rsid w:val="002960C4"/>
    <w:rsid w:val="002A62E2"/>
    <w:rsid w:val="002B0B82"/>
    <w:rsid w:val="002B140C"/>
    <w:rsid w:val="002B6D14"/>
    <w:rsid w:val="002D2D06"/>
    <w:rsid w:val="002D5A7A"/>
    <w:rsid w:val="002E0FFC"/>
    <w:rsid w:val="002E2E9D"/>
    <w:rsid w:val="002E6AC0"/>
    <w:rsid w:val="003116C9"/>
    <w:rsid w:val="003212EA"/>
    <w:rsid w:val="00321F2C"/>
    <w:rsid w:val="00337512"/>
    <w:rsid w:val="00342BF1"/>
    <w:rsid w:val="00343FA3"/>
    <w:rsid w:val="003474DB"/>
    <w:rsid w:val="003504F3"/>
    <w:rsid w:val="003529C1"/>
    <w:rsid w:val="0035332C"/>
    <w:rsid w:val="0036149F"/>
    <w:rsid w:val="00366073"/>
    <w:rsid w:val="0039591B"/>
    <w:rsid w:val="003D13CE"/>
    <w:rsid w:val="003F2576"/>
    <w:rsid w:val="0040283B"/>
    <w:rsid w:val="00403BC6"/>
    <w:rsid w:val="00406850"/>
    <w:rsid w:val="00407C29"/>
    <w:rsid w:val="00412573"/>
    <w:rsid w:val="004128CA"/>
    <w:rsid w:val="00416A19"/>
    <w:rsid w:val="00421AA0"/>
    <w:rsid w:val="00432AFF"/>
    <w:rsid w:val="00441344"/>
    <w:rsid w:val="004525FB"/>
    <w:rsid w:val="00455EA9"/>
    <w:rsid w:val="004620ED"/>
    <w:rsid w:val="00476AEB"/>
    <w:rsid w:val="0049732A"/>
    <w:rsid w:val="004A6AAF"/>
    <w:rsid w:val="004B2B22"/>
    <w:rsid w:val="004C5ED9"/>
    <w:rsid w:val="004E0D64"/>
    <w:rsid w:val="004F1EC8"/>
    <w:rsid w:val="004F2B92"/>
    <w:rsid w:val="004F3A6E"/>
    <w:rsid w:val="004F602A"/>
    <w:rsid w:val="00500A05"/>
    <w:rsid w:val="00504F6F"/>
    <w:rsid w:val="005055A5"/>
    <w:rsid w:val="00531491"/>
    <w:rsid w:val="00532E46"/>
    <w:rsid w:val="00541271"/>
    <w:rsid w:val="0054557F"/>
    <w:rsid w:val="00553F77"/>
    <w:rsid w:val="0056224C"/>
    <w:rsid w:val="0056628F"/>
    <w:rsid w:val="005711DE"/>
    <w:rsid w:val="00573B98"/>
    <w:rsid w:val="0058003E"/>
    <w:rsid w:val="00581ECF"/>
    <w:rsid w:val="00584199"/>
    <w:rsid w:val="00585E75"/>
    <w:rsid w:val="0059220E"/>
    <w:rsid w:val="005A7FD1"/>
    <w:rsid w:val="005B41FB"/>
    <w:rsid w:val="005C58DB"/>
    <w:rsid w:val="005D3590"/>
    <w:rsid w:val="005D6A36"/>
    <w:rsid w:val="005D6BBD"/>
    <w:rsid w:val="005E54C1"/>
    <w:rsid w:val="005E6473"/>
    <w:rsid w:val="005E7054"/>
    <w:rsid w:val="005E7A01"/>
    <w:rsid w:val="005F00D6"/>
    <w:rsid w:val="005F26C3"/>
    <w:rsid w:val="00602C07"/>
    <w:rsid w:val="00605E3D"/>
    <w:rsid w:val="00610244"/>
    <w:rsid w:val="00620A7C"/>
    <w:rsid w:val="006236E1"/>
    <w:rsid w:val="006412B3"/>
    <w:rsid w:val="00653018"/>
    <w:rsid w:val="00654DD1"/>
    <w:rsid w:val="006568D6"/>
    <w:rsid w:val="00664AB6"/>
    <w:rsid w:val="0067110F"/>
    <w:rsid w:val="006956FD"/>
    <w:rsid w:val="006A7C9A"/>
    <w:rsid w:val="006B4A94"/>
    <w:rsid w:val="006C00C8"/>
    <w:rsid w:val="006C63C9"/>
    <w:rsid w:val="006C72FD"/>
    <w:rsid w:val="006D0ACE"/>
    <w:rsid w:val="006D482A"/>
    <w:rsid w:val="006D74FE"/>
    <w:rsid w:val="006E1589"/>
    <w:rsid w:val="00713A03"/>
    <w:rsid w:val="007154B3"/>
    <w:rsid w:val="00716DC3"/>
    <w:rsid w:val="00720385"/>
    <w:rsid w:val="007554DA"/>
    <w:rsid w:val="0076034B"/>
    <w:rsid w:val="00763F02"/>
    <w:rsid w:val="00767ED7"/>
    <w:rsid w:val="007B4255"/>
    <w:rsid w:val="007B6B34"/>
    <w:rsid w:val="007D0A6C"/>
    <w:rsid w:val="007F3B95"/>
    <w:rsid w:val="007F7A6D"/>
    <w:rsid w:val="00801831"/>
    <w:rsid w:val="008030C0"/>
    <w:rsid w:val="00805BDF"/>
    <w:rsid w:val="00813A62"/>
    <w:rsid w:val="0082445D"/>
    <w:rsid w:val="008323DB"/>
    <w:rsid w:val="00850240"/>
    <w:rsid w:val="008518CF"/>
    <w:rsid w:val="00877F4C"/>
    <w:rsid w:val="00885487"/>
    <w:rsid w:val="00891BAF"/>
    <w:rsid w:val="008B5A62"/>
    <w:rsid w:val="008C0243"/>
    <w:rsid w:val="008E60C2"/>
    <w:rsid w:val="008E6223"/>
    <w:rsid w:val="00920EA3"/>
    <w:rsid w:val="00920FDE"/>
    <w:rsid w:val="00927F48"/>
    <w:rsid w:val="00930695"/>
    <w:rsid w:val="00931750"/>
    <w:rsid w:val="00951829"/>
    <w:rsid w:val="00952EFF"/>
    <w:rsid w:val="00957B01"/>
    <w:rsid w:val="00960090"/>
    <w:rsid w:val="00982743"/>
    <w:rsid w:val="0099398B"/>
    <w:rsid w:val="0099440B"/>
    <w:rsid w:val="00996BB4"/>
    <w:rsid w:val="009B37D2"/>
    <w:rsid w:val="009C0482"/>
    <w:rsid w:val="009C64F6"/>
    <w:rsid w:val="00A024E7"/>
    <w:rsid w:val="00A05E4D"/>
    <w:rsid w:val="00A1770D"/>
    <w:rsid w:val="00A22DFD"/>
    <w:rsid w:val="00A347AE"/>
    <w:rsid w:val="00A36BAC"/>
    <w:rsid w:val="00A429BD"/>
    <w:rsid w:val="00A61BD1"/>
    <w:rsid w:val="00A65933"/>
    <w:rsid w:val="00A7158B"/>
    <w:rsid w:val="00A931F6"/>
    <w:rsid w:val="00A972DC"/>
    <w:rsid w:val="00AA59E2"/>
    <w:rsid w:val="00AC4ADB"/>
    <w:rsid w:val="00AD14C5"/>
    <w:rsid w:val="00AE04CD"/>
    <w:rsid w:val="00AE0EDB"/>
    <w:rsid w:val="00AE2EAE"/>
    <w:rsid w:val="00AE59F3"/>
    <w:rsid w:val="00B02A90"/>
    <w:rsid w:val="00B12F89"/>
    <w:rsid w:val="00B14318"/>
    <w:rsid w:val="00B17711"/>
    <w:rsid w:val="00B22081"/>
    <w:rsid w:val="00B2423F"/>
    <w:rsid w:val="00B24610"/>
    <w:rsid w:val="00B25044"/>
    <w:rsid w:val="00B25BEF"/>
    <w:rsid w:val="00B27B4B"/>
    <w:rsid w:val="00B3720B"/>
    <w:rsid w:val="00B6389A"/>
    <w:rsid w:val="00B657E1"/>
    <w:rsid w:val="00B742D3"/>
    <w:rsid w:val="00B76D8F"/>
    <w:rsid w:val="00B8376A"/>
    <w:rsid w:val="00B93FC1"/>
    <w:rsid w:val="00B94233"/>
    <w:rsid w:val="00B95D79"/>
    <w:rsid w:val="00BB134C"/>
    <w:rsid w:val="00BB2DF4"/>
    <w:rsid w:val="00BB72D7"/>
    <w:rsid w:val="00BD0A25"/>
    <w:rsid w:val="00BD0D26"/>
    <w:rsid w:val="00BD5843"/>
    <w:rsid w:val="00BD6E31"/>
    <w:rsid w:val="00BE5D0F"/>
    <w:rsid w:val="00BF61F9"/>
    <w:rsid w:val="00C0229B"/>
    <w:rsid w:val="00C04C33"/>
    <w:rsid w:val="00C07A97"/>
    <w:rsid w:val="00C160AC"/>
    <w:rsid w:val="00C245BD"/>
    <w:rsid w:val="00C246B8"/>
    <w:rsid w:val="00C30F9C"/>
    <w:rsid w:val="00C464BC"/>
    <w:rsid w:val="00C64D25"/>
    <w:rsid w:val="00C76708"/>
    <w:rsid w:val="00CB266A"/>
    <w:rsid w:val="00CB3A30"/>
    <w:rsid w:val="00CC0DCE"/>
    <w:rsid w:val="00CC0E43"/>
    <w:rsid w:val="00CC5DCF"/>
    <w:rsid w:val="00CD0ECD"/>
    <w:rsid w:val="00CD2E75"/>
    <w:rsid w:val="00CD431D"/>
    <w:rsid w:val="00CE0701"/>
    <w:rsid w:val="00CE21E5"/>
    <w:rsid w:val="00CF23EE"/>
    <w:rsid w:val="00CF2612"/>
    <w:rsid w:val="00D12E0A"/>
    <w:rsid w:val="00D3195C"/>
    <w:rsid w:val="00D36332"/>
    <w:rsid w:val="00D46016"/>
    <w:rsid w:val="00D643B0"/>
    <w:rsid w:val="00D73AE7"/>
    <w:rsid w:val="00D7557F"/>
    <w:rsid w:val="00D851F0"/>
    <w:rsid w:val="00D87653"/>
    <w:rsid w:val="00D904A3"/>
    <w:rsid w:val="00DA5917"/>
    <w:rsid w:val="00DB4F25"/>
    <w:rsid w:val="00DC061E"/>
    <w:rsid w:val="00DC071B"/>
    <w:rsid w:val="00DC6534"/>
    <w:rsid w:val="00DD27D2"/>
    <w:rsid w:val="00DE2AD1"/>
    <w:rsid w:val="00E0067A"/>
    <w:rsid w:val="00E01358"/>
    <w:rsid w:val="00E15EF3"/>
    <w:rsid w:val="00E17E65"/>
    <w:rsid w:val="00E37183"/>
    <w:rsid w:val="00E52CB6"/>
    <w:rsid w:val="00E62FEE"/>
    <w:rsid w:val="00E81C44"/>
    <w:rsid w:val="00EA7AC6"/>
    <w:rsid w:val="00EC1340"/>
    <w:rsid w:val="00EC4B68"/>
    <w:rsid w:val="00ED380E"/>
    <w:rsid w:val="00ED6204"/>
    <w:rsid w:val="00ED7848"/>
    <w:rsid w:val="00EF2392"/>
    <w:rsid w:val="00F0148E"/>
    <w:rsid w:val="00F11716"/>
    <w:rsid w:val="00F14083"/>
    <w:rsid w:val="00F145D4"/>
    <w:rsid w:val="00F1542E"/>
    <w:rsid w:val="00F23F6D"/>
    <w:rsid w:val="00F26398"/>
    <w:rsid w:val="00F36E67"/>
    <w:rsid w:val="00F407D8"/>
    <w:rsid w:val="00F44084"/>
    <w:rsid w:val="00F55CA2"/>
    <w:rsid w:val="00F5779D"/>
    <w:rsid w:val="00F678EF"/>
    <w:rsid w:val="00F72227"/>
    <w:rsid w:val="00F74DA4"/>
    <w:rsid w:val="00F8197C"/>
    <w:rsid w:val="00F96245"/>
    <w:rsid w:val="00FC28B8"/>
    <w:rsid w:val="00FC66D6"/>
    <w:rsid w:val="00FD1978"/>
    <w:rsid w:val="00FD332A"/>
    <w:rsid w:val="00FE60A9"/>
    <w:rsid w:val="00FF35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05BDF"/>
  </w:style>
  <w:style w:type="paragraph" w:styleId="Antrat1">
    <w:name w:val="heading 1"/>
    <w:basedOn w:val="prastasis"/>
    <w:next w:val="prastasis"/>
    <w:link w:val="Antrat1Diagrama"/>
    <w:uiPriority w:val="9"/>
    <w:qFormat/>
    <w:rsid w:val="00343F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4B2B22"/>
    <w:pPr>
      <w:keepNext/>
      <w:spacing w:before="240" w:after="60"/>
      <w:outlineLvl w:val="1"/>
    </w:pPr>
    <w:rPr>
      <w:rFonts w:ascii="Cambria" w:eastAsia="Times New Roman" w:hAnsi="Cambria" w:cs="Times New Roman"/>
      <w:b/>
      <w:bCs/>
      <w:i/>
      <w:iCs/>
      <w:sz w:val="28"/>
      <w:szCs w:val="28"/>
    </w:rPr>
  </w:style>
  <w:style w:type="paragraph" w:styleId="Antrat3">
    <w:name w:val="heading 3"/>
    <w:basedOn w:val="prastasis"/>
    <w:next w:val="prastasis"/>
    <w:link w:val="Antrat3Diagrama"/>
    <w:unhideWhenUsed/>
    <w:qFormat/>
    <w:rsid w:val="004B2B22"/>
    <w:pPr>
      <w:keepNext/>
      <w:spacing w:before="240" w:after="60"/>
      <w:outlineLvl w:val="2"/>
    </w:pPr>
    <w:rPr>
      <w:rFonts w:ascii="Cambria" w:eastAsia="Times New Roman" w:hAnsi="Cambria" w:cs="Times New Roman"/>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05E4D"/>
    <w:pPr>
      <w:ind w:left="720"/>
      <w:contextualSpacing/>
    </w:pPr>
  </w:style>
  <w:style w:type="character" w:styleId="Komentaronuoroda">
    <w:name w:val="annotation reference"/>
    <w:basedOn w:val="Numatytasispastraiposriftas"/>
    <w:uiPriority w:val="99"/>
    <w:semiHidden/>
    <w:unhideWhenUsed/>
    <w:rsid w:val="00D643B0"/>
    <w:rPr>
      <w:sz w:val="16"/>
      <w:szCs w:val="16"/>
    </w:rPr>
  </w:style>
  <w:style w:type="paragraph" w:styleId="Komentarotekstas">
    <w:name w:val="annotation text"/>
    <w:basedOn w:val="prastasis"/>
    <w:link w:val="KomentarotekstasDiagrama"/>
    <w:uiPriority w:val="99"/>
    <w:semiHidden/>
    <w:unhideWhenUsed/>
    <w:rsid w:val="00D643B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643B0"/>
    <w:rPr>
      <w:sz w:val="20"/>
      <w:szCs w:val="20"/>
    </w:rPr>
  </w:style>
  <w:style w:type="paragraph" w:styleId="Komentarotema">
    <w:name w:val="annotation subject"/>
    <w:basedOn w:val="Komentarotekstas"/>
    <w:next w:val="Komentarotekstas"/>
    <w:link w:val="KomentarotemaDiagrama"/>
    <w:uiPriority w:val="99"/>
    <w:semiHidden/>
    <w:unhideWhenUsed/>
    <w:rsid w:val="00D643B0"/>
    <w:rPr>
      <w:b/>
      <w:bCs/>
    </w:rPr>
  </w:style>
  <w:style w:type="character" w:customStyle="1" w:styleId="KomentarotemaDiagrama">
    <w:name w:val="Komentaro tema Diagrama"/>
    <w:basedOn w:val="KomentarotekstasDiagrama"/>
    <w:link w:val="Komentarotema"/>
    <w:uiPriority w:val="99"/>
    <w:semiHidden/>
    <w:rsid w:val="00D643B0"/>
    <w:rPr>
      <w:b/>
      <w:bCs/>
      <w:sz w:val="20"/>
      <w:szCs w:val="20"/>
    </w:rPr>
  </w:style>
  <w:style w:type="paragraph" w:styleId="Debesliotekstas">
    <w:name w:val="Balloon Text"/>
    <w:basedOn w:val="prastasis"/>
    <w:link w:val="DebesliotekstasDiagrama"/>
    <w:uiPriority w:val="99"/>
    <w:semiHidden/>
    <w:unhideWhenUsed/>
    <w:rsid w:val="00D643B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643B0"/>
    <w:rPr>
      <w:rFonts w:ascii="Tahoma" w:hAnsi="Tahoma" w:cs="Tahoma"/>
      <w:sz w:val="16"/>
      <w:szCs w:val="16"/>
    </w:rPr>
  </w:style>
  <w:style w:type="paragraph" w:styleId="Antrats">
    <w:name w:val="header"/>
    <w:basedOn w:val="prastasis"/>
    <w:link w:val="AntratsDiagrama"/>
    <w:uiPriority w:val="99"/>
    <w:unhideWhenUsed/>
    <w:rsid w:val="00F8197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197C"/>
  </w:style>
  <w:style w:type="paragraph" w:styleId="Porat">
    <w:name w:val="footer"/>
    <w:basedOn w:val="prastasis"/>
    <w:link w:val="PoratDiagrama"/>
    <w:uiPriority w:val="99"/>
    <w:unhideWhenUsed/>
    <w:rsid w:val="00F8197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197C"/>
  </w:style>
  <w:style w:type="paragraph" w:styleId="Paprastasistekstas">
    <w:name w:val="Plain Text"/>
    <w:basedOn w:val="prastasis"/>
    <w:link w:val="PaprastasistekstasDiagrama"/>
    <w:uiPriority w:val="99"/>
    <w:unhideWhenUsed/>
    <w:rsid w:val="00CB3A30"/>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CB3A30"/>
    <w:rPr>
      <w:rFonts w:ascii="Calibri" w:hAnsi="Calibri"/>
      <w:szCs w:val="21"/>
    </w:rPr>
  </w:style>
  <w:style w:type="paragraph" w:styleId="Puslapioinaostekstas">
    <w:name w:val="footnote text"/>
    <w:basedOn w:val="prastasis"/>
    <w:link w:val="PuslapioinaostekstasDiagrama"/>
    <w:uiPriority w:val="99"/>
    <w:unhideWhenUsed/>
    <w:rsid w:val="00F678E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678EF"/>
    <w:rPr>
      <w:sz w:val="20"/>
      <w:szCs w:val="20"/>
    </w:rPr>
  </w:style>
  <w:style w:type="character" w:styleId="Puslapioinaosnuoroda">
    <w:name w:val="footnote reference"/>
    <w:basedOn w:val="Numatytasispastraiposriftas"/>
    <w:uiPriority w:val="99"/>
    <w:semiHidden/>
    <w:unhideWhenUsed/>
    <w:rsid w:val="00F678EF"/>
    <w:rPr>
      <w:vertAlign w:val="superscript"/>
    </w:rPr>
  </w:style>
  <w:style w:type="character" w:styleId="Hipersaitas">
    <w:name w:val="Hyperlink"/>
    <w:basedOn w:val="Numatytasispastraiposriftas"/>
    <w:uiPriority w:val="99"/>
    <w:unhideWhenUsed/>
    <w:rsid w:val="00F678EF"/>
    <w:rPr>
      <w:color w:val="0000FF" w:themeColor="hyperlink"/>
      <w:u w:val="single"/>
    </w:rPr>
  </w:style>
  <w:style w:type="table" w:styleId="3vidutinistinklelis1parykinimas">
    <w:name w:val="Medium Grid 3 Accent 1"/>
    <w:basedOn w:val="prastojilentel"/>
    <w:uiPriority w:val="69"/>
    <w:rsid w:val="00085D0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entelstinklelis">
    <w:name w:val="Table Grid"/>
    <w:basedOn w:val="prastojilentel"/>
    <w:uiPriority w:val="59"/>
    <w:rsid w:val="00085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B4255"/>
    <w:pPr>
      <w:autoSpaceDE w:val="0"/>
      <w:autoSpaceDN w:val="0"/>
      <w:adjustRightInd w:val="0"/>
      <w:spacing w:after="0" w:line="240" w:lineRule="auto"/>
    </w:pPr>
    <w:rPr>
      <w:rFonts w:ascii="Calibri" w:hAnsi="Calibri" w:cs="Calibri"/>
      <w:color w:val="000000"/>
      <w:sz w:val="24"/>
      <w:szCs w:val="24"/>
    </w:rPr>
  </w:style>
  <w:style w:type="character" w:customStyle="1" w:styleId="Antrat2Diagrama">
    <w:name w:val="Antraštė 2 Diagrama"/>
    <w:basedOn w:val="Numatytasispastraiposriftas"/>
    <w:link w:val="Antrat2"/>
    <w:rsid w:val="004B2B22"/>
    <w:rPr>
      <w:rFonts w:ascii="Cambria" w:eastAsia="Times New Roman" w:hAnsi="Cambria" w:cs="Times New Roman"/>
      <w:b/>
      <w:bCs/>
      <w:i/>
      <w:iCs/>
      <w:sz w:val="28"/>
      <w:szCs w:val="28"/>
    </w:rPr>
  </w:style>
  <w:style w:type="character" w:customStyle="1" w:styleId="Antrat3Diagrama">
    <w:name w:val="Antraštė 3 Diagrama"/>
    <w:basedOn w:val="Numatytasispastraiposriftas"/>
    <w:link w:val="Antrat3"/>
    <w:rsid w:val="004B2B22"/>
    <w:rPr>
      <w:rFonts w:ascii="Cambria" w:eastAsia="Times New Roman" w:hAnsi="Cambria" w:cs="Times New Roman"/>
      <w:b/>
      <w:bCs/>
      <w:sz w:val="26"/>
      <w:szCs w:val="26"/>
    </w:rPr>
  </w:style>
  <w:style w:type="character" w:customStyle="1" w:styleId="Antrat1Diagrama">
    <w:name w:val="Antraštė 1 Diagrama"/>
    <w:basedOn w:val="Numatytasispastraiposriftas"/>
    <w:link w:val="Antrat1"/>
    <w:uiPriority w:val="9"/>
    <w:rsid w:val="00343FA3"/>
    <w:rPr>
      <w:rFonts w:asciiTheme="majorHAnsi" w:eastAsiaTheme="majorEastAsia" w:hAnsiTheme="majorHAnsi" w:cstheme="majorBidi"/>
      <w:b/>
      <w:bCs/>
      <w:color w:val="365F91" w:themeColor="accent1" w:themeShade="BF"/>
      <w:sz w:val="28"/>
      <w:szCs w:val="28"/>
    </w:rPr>
  </w:style>
  <w:style w:type="paragraph" w:styleId="Pavadinimas">
    <w:name w:val="Title"/>
    <w:basedOn w:val="prastasis"/>
    <w:next w:val="prastasis"/>
    <w:link w:val="PavadinimasDiagrama"/>
    <w:uiPriority w:val="10"/>
    <w:qFormat/>
    <w:rsid w:val="00343F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343FA3"/>
    <w:rPr>
      <w:rFonts w:asciiTheme="majorHAnsi" w:eastAsiaTheme="majorEastAsia" w:hAnsiTheme="majorHAnsi" w:cstheme="majorBidi"/>
      <w:color w:val="17365D" w:themeColor="text2" w:themeShade="BF"/>
      <w:spacing w:val="5"/>
      <w:kern w:val="28"/>
      <w:sz w:val="52"/>
      <w:szCs w:val="52"/>
    </w:rPr>
  </w:style>
  <w:style w:type="paragraph" w:styleId="Pataisymai">
    <w:name w:val="Revision"/>
    <w:hidden/>
    <w:uiPriority w:val="99"/>
    <w:semiHidden/>
    <w:rsid w:val="005F00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05BDF"/>
  </w:style>
  <w:style w:type="paragraph" w:styleId="Antrat1">
    <w:name w:val="heading 1"/>
    <w:basedOn w:val="prastasis"/>
    <w:next w:val="prastasis"/>
    <w:link w:val="Antrat1Diagrama"/>
    <w:uiPriority w:val="9"/>
    <w:qFormat/>
    <w:rsid w:val="00343F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4B2B22"/>
    <w:pPr>
      <w:keepNext/>
      <w:spacing w:before="240" w:after="60"/>
      <w:outlineLvl w:val="1"/>
    </w:pPr>
    <w:rPr>
      <w:rFonts w:ascii="Cambria" w:eastAsia="Times New Roman" w:hAnsi="Cambria" w:cs="Times New Roman"/>
      <w:b/>
      <w:bCs/>
      <w:i/>
      <w:iCs/>
      <w:sz w:val="28"/>
      <w:szCs w:val="28"/>
    </w:rPr>
  </w:style>
  <w:style w:type="paragraph" w:styleId="Antrat3">
    <w:name w:val="heading 3"/>
    <w:basedOn w:val="prastasis"/>
    <w:next w:val="prastasis"/>
    <w:link w:val="Antrat3Diagrama"/>
    <w:unhideWhenUsed/>
    <w:qFormat/>
    <w:rsid w:val="004B2B22"/>
    <w:pPr>
      <w:keepNext/>
      <w:spacing w:before="240" w:after="60"/>
      <w:outlineLvl w:val="2"/>
    </w:pPr>
    <w:rPr>
      <w:rFonts w:ascii="Cambria" w:eastAsia="Times New Roman" w:hAnsi="Cambria" w:cs="Times New Roman"/>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05E4D"/>
    <w:pPr>
      <w:ind w:left="720"/>
      <w:contextualSpacing/>
    </w:pPr>
  </w:style>
  <w:style w:type="character" w:styleId="Komentaronuoroda">
    <w:name w:val="annotation reference"/>
    <w:basedOn w:val="Numatytasispastraiposriftas"/>
    <w:uiPriority w:val="99"/>
    <w:semiHidden/>
    <w:unhideWhenUsed/>
    <w:rsid w:val="00D643B0"/>
    <w:rPr>
      <w:sz w:val="16"/>
      <w:szCs w:val="16"/>
    </w:rPr>
  </w:style>
  <w:style w:type="paragraph" w:styleId="Komentarotekstas">
    <w:name w:val="annotation text"/>
    <w:basedOn w:val="prastasis"/>
    <w:link w:val="KomentarotekstasDiagrama"/>
    <w:uiPriority w:val="99"/>
    <w:semiHidden/>
    <w:unhideWhenUsed/>
    <w:rsid w:val="00D643B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643B0"/>
    <w:rPr>
      <w:sz w:val="20"/>
      <w:szCs w:val="20"/>
    </w:rPr>
  </w:style>
  <w:style w:type="paragraph" w:styleId="Komentarotema">
    <w:name w:val="annotation subject"/>
    <w:basedOn w:val="Komentarotekstas"/>
    <w:next w:val="Komentarotekstas"/>
    <w:link w:val="KomentarotemaDiagrama"/>
    <w:uiPriority w:val="99"/>
    <w:semiHidden/>
    <w:unhideWhenUsed/>
    <w:rsid w:val="00D643B0"/>
    <w:rPr>
      <w:b/>
      <w:bCs/>
    </w:rPr>
  </w:style>
  <w:style w:type="character" w:customStyle="1" w:styleId="KomentarotemaDiagrama">
    <w:name w:val="Komentaro tema Diagrama"/>
    <w:basedOn w:val="KomentarotekstasDiagrama"/>
    <w:link w:val="Komentarotema"/>
    <w:uiPriority w:val="99"/>
    <w:semiHidden/>
    <w:rsid w:val="00D643B0"/>
    <w:rPr>
      <w:b/>
      <w:bCs/>
      <w:sz w:val="20"/>
      <w:szCs w:val="20"/>
    </w:rPr>
  </w:style>
  <w:style w:type="paragraph" w:styleId="Debesliotekstas">
    <w:name w:val="Balloon Text"/>
    <w:basedOn w:val="prastasis"/>
    <w:link w:val="DebesliotekstasDiagrama"/>
    <w:uiPriority w:val="99"/>
    <w:semiHidden/>
    <w:unhideWhenUsed/>
    <w:rsid w:val="00D643B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643B0"/>
    <w:rPr>
      <w:rFonts w:ascii="Tahoma" w:hAnsi="Tahoma" w:cs="Tahoma"/>
      <w:sz w:val="16"/>
      <w:szCs w:val="16"/>
    </w:rPr>
  </w:style>
  <w:style w:type="paragraph" w:styleId="Antrats">
    <w:name w:val="header"/>
    <w:basedOn w:val="prastasis"/>
    <w:link w:val="AntratsDiagrama"/>
    <w:uiPriority w:val="99"/>
    <w:unhideWhenUsed/>
    <w:rsid w:val="00F8197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197C"/>
  </w:style>
  <w:style w:type="paragraph" w:styleId="Porat">
    <w:name w:val="footer"/>
    <w:basedOn w:val="prastasis"/>
    <w:link w:val="PoratDiagrama"/>
    <w:uiPriority w:val="99"/>
    <w:unhideWhenUsed/>
    <w:rsid w:val="00F8197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197C"/>
  </w:style>
  <w:style w:type="paragraph" w:styleId="Paprastasistekstas">
    <w:name w:val="Plain Text"/>
    <w:basedOn w:val="prastasis"/>
    <w:link w:val="PaprastasistekstasDiagrama"/>
    <w:uiPriority w:val="99"/>
    <w:unhideWhenUsed/>
    <w:rsid w:val="00CB3A30"/>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CB3A30"/>
    <w:rPr>
      <w:rFonts w:ascii="Calibri" w:hAnsi="Calibri"/>
      <w:szCs w:val="21"/>
    </w:rPr>
  </w:style>
  <w:style w:type="paragraph" w:styleId="Puslapioinaostekstas">
    <w:name w:val="footnote text"/>
    <w:basedOn w:val="prastasis"/>
    <w:link w:val="PuslapioinaostekstasDiagrama"/>
    <w:uiPriority w:val="99"/>
    <w:unhideWhenUsed/>
    <w:rsid w:val="00F678E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678EF"/>
    <w:rPr>
      <w:sz w:val="20"/>
      <w:szCs w:val="20"/>
    </w:rPr>
  </w:style>
  <w:style w:type="character" w:styleId="Puslapioinaosnuoroda">
    <w:name w:val="footnote reference"/>
    <w:basedOn w:val="Numatytasispastraiposriftas"/>
    <w:uiPriority w:val="99"/>
    <w:semiHidden/>
    <w:unhideWhenUsed/>
    <w:rsid w:val="00F678EF"/>
    <w:rPr>
      <w:vertAlign w:val="superscript"/>
    </w:rPr>
  </w:style>
  <w:style w:type="character" w:styleId="Hipersaitas">
    <w:name w:val="Hyperlink"/>
    <w:basedOn w:val="Numatytasispastraiposriftas"/>
    <w:uiPriority w:val="99"/>
    <w:unhideWhenUsed/>
    <w:rsid w:val="00F678EF"/>
    <w:rPr>
      <w:color w:val="0000FF" w:themeColor="hyperlink"/>
      <w:u w:val="single"/>
    </w:rPr>
  </w:style>
  <w:style w:type="table" w:styleId="3vidutinistinklelis1parykinimas">
    <w:name w:val="Medium Grid 3 Accent 1"/>
    <w:basedOn w:val="prastojilentel"/>
    <w:uiPriority w:val="69"/>
    <w:rsid w:val="00085D0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entelstinklelis">
    <w:name w:val="Table Grid"/>
    <w:basedOn w:val="prastojilentel"/>
    <w:uiPriority w:val="59"/>
    <w:rsid w:val="00085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B4255"/>
    <w:pPr>
      <w:autoSpaceDE w:val="0"/>
      <w:autoSpaceDN w:val="0"/>
      <w:adjustRightInd w:val="0"/>
      <w:spacing w:after="0" w:line="240" w:lineRule="auto"/>
    </w:pPr>
    <w:rPr>
      <w:rFonts w:ascii="Calibri" w:hAnsi="Calibri" w:cs="Calibri"/>
      <w:color w:val="000000"/>
      <w:sz w:val="24"/>
      <w:szCs w:val="24"/>
    </w:rPr>
  </w:style>
  <w:style w:type="character" w:customStyle="1" w:styleId="Antrat2Diagrama">
    <w:name w:val="Antraštė 2 Diagrama"/>
    <w:basedOn w:val="Numatytasispastraiposriftas"/>
    <w:link w:val="Antrat2"/>
    <w:rsid w:val="004B2B22"/>
    <w:rPr>
      <w:rFonts w:ascii="Cambria" w:eastAsia="Times New Roman" w:hAnsi="Cambria" w:cs="Times New Roman"/>
      <w:b/>
      <w:bCs/>
      <w:i/>
      <w:iCs/>
      <w:sz w:val="28"/>
      <w:szCs w:val="28"/>
    </w:rPr>
  </w:style>
  <w:style w:type="character" w:customStyle="1" w:styleId="Antrat3Diagrama">
    <w:name w:val="Antraštė 3 Diagrama"/>
    <w:basedOn w:val="Numatytasispastraiposriftas"/>
    <w:link w:val="Antrat3"/>
    <w:rsid w:val="004B2B22"/>
    <w:rPr>
      <w:rFonts w:ascii="Cambria" w:eastAsia="Times New Roman" w:hAnsi="Cambria" w:cs="Times New Roman"/>
      <w:b/>
      <w:bCs/>
      <w:sz w:val="26"/>
      <w:szCs w:val="26"/>
    </w:rPr>
  </w:style>
  <w:style w:type="character" w:customStyle="1" w:styleId="Antrat1Diagrama">
    <w:name w:val="Antraštė 1 Diagrama"/>
    <w:basedOn w:val="Numatytasispastraiposriftas"/>
    <w:link w:val="Antrat1"/>
    <w:uiPriority w:val="9"/>
    <w:rsid w:val="00343FA3"/>
    <w:rPr>
      <w:rFonts w:asciiTheme="majorHAnsi" w:eastAsiaTheme="majorEastAsia" w:hAnsiTheme="majorHAnsi" w:cstheme="majorBidi"/>
      <w:b/>
      <w:bCs/>
      <w:color w:val="365F91" w:themeColor="accent1" w:themeShade="BF"/>
      <w:sz w:val="28"/>
      <w:szCs w:val="28"/>
    </w:rPr>
  </w:style>
  <w:style w:type="paragraph" w:styleId="Pavadinimas">
    <w:name w:val="Title"/>
    <w:basedOn w:val="prastasis"/>
    <w:next w:val="prastasis"/>
    <w:link w:val="PavadinimasDiagrama"/>
    <w:uiPriority w:val="10"/>
    <w:qFormat/>
    <w:rsid w:val="00343F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343FA3"/>
    <w:rPr>
      <w:rFonts w:asciiTheme="majorHAnsi" w:eastAsiaTheme="majorEastAsia" w:hAnsiTheme="majorHAnsi" w:cstheme="majorBidi"/>
      <w:color w:val="17365D" w:themeColor="text2" w:themeShade="BF"/>
      <w:spacing w:val="5"/>
      <w:kern w:val="28"/>
      <w:sz w:val="52"/>
      <w:szCs w:val="52"/>
    </w:rPr>
  </w:style>
  <w:style w:type="paragraph" w:styleId="Pataisymai">
    <w:name w:val="Revision"/>
    <w:hidden/>
    <w:uiPriority w:val="99"/>
    <w:semiHidden/>
    <w:rsid w:val="005F00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2825">
      <w:bodyDiv w:val="1"/>
      <w:marLeft w:val="0"/>
      <w:marRight w:val="0"/>
      <w:marTop w:val="0"/>
      <w:marBottom w:val="0"/>
      <w:divBdr>
        <w:top w:val="none" w:sz="0" w:space="0" w:color="auto"/>
        <w:left w:val="none" w:sz="0" w:space="0" w:color="auto"/>
        <w:bottom w:val="none" w:sz="0" w:space="0" w:color="auto"/>
        <w:right w:val="none" w:sz="0" w:space="0" w:color="auto"/>
      </w:divBdr>
    </w:div>
    <w:div w:id="502092865">
      <w:bodyDiv w:val="1"/>
      <w:marLeft w:val="0"/>
      <w:marRight w:val="0"/>
      <w:marTop w:val="0"/>
      <w:marBottom w:val="0"/>
      <w:divBdr>
        <w:top w:val="none" w:sz="0" w:space="0" w:color="auto"/>
        <w:left w:val="none" w:sz="0" w:space="0" w:color="auto"/>
        <w:bottom w:val="none" w:sz="0" w:space="0" w:color="auto"/>
        <w:right w:val="none" w:sz="0" w:space="0" w:color="auto"/>
      </w:divBdr>
    </w:div>
    <w:div w:id="1223104669">
      <w:bodyDiv w:val="1"/>
      <w:marLeft w:val="0"/>
      <w:marRight w:val="0"/>
      <w:marTop w:val="0"/>
      <w:marBottom w:val="0"/>
      <w:divBdr>
        <w:top w:val="none" w:sz="0" w:space="0" w:color="auto"/>
        <w:left w:val="none" w:sz="0" w:space="0" w:color="auto"/>
        <w:bottom w:val="none" w:sz="0" w:space="0" w:color="auto"/>
        <w:right w:val="none" w:sz="0" w:space="0" w:color="auto"/>
      </w:divBdr>
    </w:div>
    <w:div w:id="1334408813">
      <w:bodyDiv w:val="1"/>
      <w:marLeft w:val="0"/>
      <w:marRight w:val="0"/>
      <w:marTop w:val="0"/>
      <w:marBottom w:val="0"/>
      <w:divBdr>
        <w:top w:val="none" w:sz="0" w:space="0" w:color="auto"/>
        <w:left w:val="none" w:sz="0" w:space="0" w:color="auto"/>
        <w:bottom w:val="none" w:sz="0" w:space="0" w:color="auto"/>
        <w:right w:val="none" w:sz="0" w:space="0" w:color="auto"/>
      </w:divBdr>
    </w:div>
    <w:div w:id="1403287490">
      <w:bodyDiv w:val="1"/>
      <w:marLeft w:val="0"/>
      <w:marRight w:val="0"/>
      <w:marTop w:val="0"/>
      <w:marBottom w:val="0"/>
      <w:divBdr>
        <w:top w:val="none" w:sz="0" w:space="0" w:color="auto"/>
        <w:left w:val="none" w:sz="0" w:space="0" w:color="auto"/>
        <w:bottom w:val="none" w:sz="0" w:space="0" w:color="auto"/>
        <w:right w:val="none" w:sz="0" w:space="0" w:color="auto"/>
      </w:divBdr>
    </w:div>
    <w:div w:id="1437991263">
      <w:bodyDiv w:val="1"/>
      <w:marLeft w:val="0"/>
      <w:marRight w:val="0"/>
      <w:marTop w:val="0"/>
      <w:marBottom w:val="0"/>
      <w:divBdr>
        <w:top w:val="none" w:sz="0" w:space="0" w:color="auto"/>
        <w:left w:val="none" w:sz="0" w:space="0" w:color="auto"/>
        <w:bottom w:val="none" w:sz="0" w:space="0" w:color="auto"/>
        <w:right w:val="none" w:sz="0" w:space="0" w:color="auto"/>
      </w:divBdr>
      <w:divsChild>
        <w:div w:id="1631125563">
          <w:marLeft w:val="0"/>
          <w:marRight w:val="0"/>
          <w:marTop w:val="0"/>
          <w:marBottom w:val="0"/>
          <w:divBdr>
            <w:top w:val="none" w:sz="0" w:space="0" w:color="auto"/>
            <w:left w:val="none" w:sz="0" w:space="0" w:color="auto"/>
            <w:bottom w:val="none" w:sz="0" w:space="0" w:color="auto"/>
            <w:right w:val="none" w:sz="0" w:space="0" w:color="auto"/>
          </w:divBdr>
        </w:div>
      </w:divsChild>
    </w:div>
    <w:div w:id="1543979568">
      <w:bodyDiv w:val="1"/>
      <w:marLeft w:val="0"/>
      <w:marRight w:val="0"/>
      <w:marTop w:val="0"/>
      <w:marBottom w:val="0"/>
      <w:divBdr>
        <w:top w:val="none" w:sz="0" w:space="0" w:color="auto"/>
        <w:left w:val="none" w:sz="0" w:space="0" w:color="auto"/>
        <w:bottom w:val="none" w:sz="0" w:space="0" w:color="auto"/>
        <w:right w:val="none" w:sz="0" w:space="0" w:color="auto"/>
      </w:divBdr>
    </w:div>
    <w:div w:id="2025789161">
      <w:bodyDiv w:val="1"/>
      <w:marLeft w:val="0"/>
      <w:marRight w:val="0"/>
      <w:marTop w:val="0"/>
      <w:marBottom w:val="0"/>
      <w:divBdr>
        <w:top w:val="none" w:sz="0" w:space="0" w:color="auto"/>
        <w:left w:val="none" w:sz="0" w:space="0" w:color="auto"/>
        <w:bottom w:val="none" w:sz="0" w:space="0" w:color="auto"/>
        <w:right w:val="none" w:sz="0" w:space="0" w:color="auto"/>
      </w:divBdr>
      <w:divsChild>
        <w:div w:id="1542786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lt/dokumentai/supaprastinto-islaidu-apmokejimo-tyrima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sinvesticijos.lt/lt/dokumentai/supaprastinto-islaidu-apmokejimo-tyrimai"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61EC7-02E3-421F-9264-44AF5462E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28847</Words>
  <Characters>16443</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45200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Baltronaitė</dc:creator>
  <cp:lastModifiedBy>Rasa Baltronaitė</cp:lastModifiedBy>
  <cp:revision>4</cp:revision>
  <cp:lastPrinted>2016-03-10T12:50:00Z</cp:lastPrinted>
  <dcterms:created xsi:type="dcterms:W3CDTF">2016-05-19T06:43:00Z</dcterms:created>
  <dcterms:modified xsi:type="dcterms:W3CDTF">2016-05-27T08:37:00Z</dcterms:modified>
</cp:coreProperties>
</file>