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bookmarkStart w:id="0" w:name="_GoBack"/>
      <w:bookmarkEnd w:id="0"/>
    </w:p>
    <w:p w:rsidR="00324059" w:rsidRDefault="00A47D63" w:rsidP="00A47D63">
      <w:pPr>
        <w:jc w:val="center"/>
        <w:rPr>
          <w:rFonts w:ascii="Times New Roman" w:hAnsi="Times New Roman" w:cs="Times New Roman"/>
          <w:b/>
          <w:sz w:val="24"/>
          <w:szCs w:val="24"/>
        </w:rPr>
      </w:pPr>
      <w:r>
        <w:rPr>
          <w:rFonts w:ascii="Times New Roman" w:hAnsi="Times New Roman" w:cs="Times New Roman"/>
          <w:b/>
          <w:kern w:val="16"/>
          <w:sz w:val="24"/>
          <w:szCs w:val="24"/>
        </w:rPr>
        <w:t>2014–2020 metų Europos S</w:t>
      </w:r>
      <w:r w:rsidRPr="00A47D63">
        <w:rPr>
          <w:rFonts w:ascii="Times New Roman" w:hAnsi="Times New Roman" w:cs="Times New Roman"/>
          <w:b/>
          <w:kern w:val="16"/>
          <w:sz w:val="24"/>
          <w:szCs w:val="24"/>
        </w:rPr>
        <w:t>ąjungos fondų investicijų veiksmų programos</w:t>
      </w:r>
      <w:r>
        <w:rPr>
          <w:rFonts w:ascii="Times New Roman" w:hAnsi="Times New Roman" w:cs="Times New Roman"/>
          <w:b/>
          <w:sz w:val="24"/>
          <w:szCs w:val="24"/>
        </w:rPr>
        <w:t xml:space="preserve"> 1 prioriteto „M</w:t>
      </w:r>
      <w:r w:rsidRPr="00A47D63">
        <w:rPr>
          <w:rFonts w:ascii="Times New Roman" w:hAnsi="Times New Roman" w:cs="Times New Roman"/>
          <w:b/>
          <w:sz w:val="24"/>
          <w:szCs w:val="24"/>
        </w:rPr>
        <w:t>okslinių tyrimų, eksperimentinės plėtros ir i</w:t>
      </w:r>
      <w:r>
        <w:rPr>
          <w:rFonts w:ascii="Times New Roman" w:hAnsi="Times New Roman" w:cs="Times New Roman"/>
          <w:b/>
          <w:sz w:val="24"/>
          <w:szCs w:val="24"/>
        </w:rPr>
        <w:t>no</w:t>
      </w:r>
      <w:r w:rsidR="00535C93">
        <w:rPr>
          <w:rFonts w:ascii="Times New Roman" w:hAnsi="Times New Roman" w:cs="Times New Roman"/>
          <w:b/>
          <w:sz w:val="24"/>
          <w:szCs w:val="24"/>
        </w:rPr>
        <w:t xml:space="preserve">vacijų skatinimas“ </w:t>
      </w:r>
      <w:r w:rsidR="005D7FB4">
        <w:rPr>
          <w:rFonts w:ascii="Times New Roman" w:hAnsi="Times New Roman" w:cs="Times New Roman"/>
          <w:b/>
          <w:sz w:val="24"/>
          <w:szCs w:val="24"/>
        </w:rPr>
        <w:t xml:space="preserve">priemonės </w:t>
      </w:r>
      <w:r w:rsidR="005D7FB4" w:rsidRPr="005D7FB4">
        <w:rPr>
          <w:rFonts w:ascii="Times New Roman" w:hAnsi="Times New Roman" w:cs="Times New Roman"/>
          <w:b/>
          <w:sz w:val="24"/>
          <w:szCs w:val="24"/>
        </w:rPr>
        <w:t xml:space="preserve">J05-LVPA-K „Intelektas. Bendri mokslo-verslo projektai“ </w:t>
      </w:r>
      <w:r w:rsidRPr="00A47D63">
        <w:rPr>
          <w:rFonts w:ascii="Times New Roman" w:hAnsi="Times New Roman" w:cs="Times New Roman"/>
          <w:b/>
          <w:sz w:val="24"/>
          <w:szCs w:val="24"/>
        </w:rPr>
        <w:t>proj</w:t>
      </w:r>
      <w:r>
        <w:rPr>
          <w:rFonts w:ascii="Times New Roman" w:hAnsi="Times New Roman" w:cs="Times New Roman"/>
          <w:b/>
          <w:sz w:val="24"/>
          <w:szCs w:val="24"/>
        </w:rPr>
        <w:t xml:space="preserve">ektų finansavimo sąlygų </w:t>
      </w:r>
      <w:r w:rsidR="005D7FB4">
        <w:rPr>
          <w:rFonts w:ascii="Times New Roman" w:hAnsi="Times New Roman" w:cs="Times New Roman"/>
          <w:b/>
          <w:sz w:val="24"/>
          <w:szCs w:val="24"/>
        </w:rPr>
        <w:t>aprašo Nr. 2</w:t>
      </w:r>
      <w:r>
        <w:rPr>
          <w:rFonts w:ascii="Times New Roman" w:hAnsi="Times New Roman" w:cs="Times New Roman"/>
          <w:b/>
          <w:sz w:val="24"/>
          <w:szCs w:val="24"/>
        </w:rPr>
        <w:t xml:space="preserve">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 xml:space="preserve">projekto </w:t>
      </w:r>
      <w:r w:rsidR="00411E69">
        <w:rPr>
          <w:rFonts w:ascii="Times New Roman" w:hAnsi="Times New Roman" w:cs="Times New Roman"/>
          <w:b/>
          <w:sz w:val="24"/>
          <w:szCs w:val="24"/>
        </w:rPr>
        <w:t xml:space="preserve">ekonominių socialinių partnerių </w:t>
      </w:r>
      <w:r w:rsidRPr="00A47D63">
        <w:rPr>
          <w:rFonts w:ascii="Times New Roman" w:hAnsi="Times New Roman" w:cs="Times New Roman"/>
          <w:b/>
          <w:sz w:val="24"/>
          <w:szCs w:val="24"/>
        </w:rPr>
        <w:t>pastabų derinimo lentelė</w:t>
      </w:r>
    </w:p>
    <w:tbl>
      <w:tblPr>
        <w:tblStyle w:val="Lentelstinklelis"/>
        <w:tblW w:w="0" w:type="auto"/>
        <w:tblLayout w:type="fixed"/>
        <w:tblLook w:val="04A0" w:firstRow="1" w:lastRow="0" w:firstColumn="1" w:lastColumn="0" w:noHBand="0" w:noVBand="1"/>
      </w:tblPr>
      <w:tblGrid>
        <w:gridCol w:w="1555"/>
        <w:gridCol w:w="708"/>
        <w:gridCol w:w="3686"/>
        <w:gridCol w:w="4111"/>
        <w:gridCol w:w="1699"/>
        <w:gridCol w:w="2234"/>
      </w:tblGrid>
      <w:tr w:rsidR="00A473F4" w:rsidTr="006A7342">
        <w:tc>
          <w:tcPr>
            <w:tcW w:w="1555"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708"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Eil. Nr.</w:t>
            </w:r>
          </w:p>
        </w:tc>
        <w:tc>
          <w:tcPr>
            <w:tcW w:w="3686"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4111"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699"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2234"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r w:rsidR="006A7342">
              <w:rPr>
                <w:rFonts w:ascii="Times New Roman" w:hAnsi="Times New Roman" w:cs="Times New Roman"/>
                <w:b/>
                <w:sz w:val="24"/>
                <w:szCs w:val="24"/>
              </w:rPr>
              <w:t>/PFSA tikslinimas</w:t>
            </w:r>
          </w:p>
        </w:tc>
      </w:tr>
      <w:tr w:rsidR="00535C93" w:rsidTr="006A7342">
        <w:tc>
          <w:tcPr>
            <w:tcW w:w="1555" w:type="dxa"/>
            <w:vMerge w:val="restart"/>
          </w:tcPr>
          <w:p w:rsidR="00535C93" w:rsidRPr="005D7FB4" w:rsidRDefault="005D7FB4" w:rsidP="00A47D63">
            <w:pPr>
              <w:jc w:val="center"/>
              <w:rPr>
                <w:rFonts w:ascii="Times New Roman" w:hAnsi="Times New Roman" w:cs="Times New Roman"/>
                <w:sz w:val="24"/>
                <w:szCs w:val="24"/>
              </w:rPr>
            </w:pPr>
            <w:r w:rsidRPr="005D7FB4">
              <w:rPr>
                <w:rFonts w:ascii="Times New Roman" w:hAnsi="Times New Roman" w:cs="Times New Roman"/>
                <w:sz w:val="24"/>
                <w:szCs w:val="24"/>
              </w:rPr>
              <w:t>Vilniaus universiteto ligoninės Santariškių klinikos</w:t>
            </w:r>
          </w:p>
        </w:tc>
        <w:tc>
          <w:tcPr>
            <w:tcW w:w="708" w:type="dxa"/>
          </w:tcPr>
          <w:p w:rsidR="00535C93" w:rsidRDefault="00535C93" w:rsidP="00A47D63">
            <w:pPr>
              <w:jc w:val="center"/>
              <w:rPr>
                <w:rFonts w:ascii="Times New Roman" w:hAnsi="Times New Roman" w:cs="Times New Roman"/>
                <w:b/>
                <w:sz w:val="24"/>
                <w:szCs w:val="24"/>
              </w:rPr>
            </w:pPr>
            <w:r>
              <w:rPr>
                <w:rFonts w:ascii="Times New Roman" w:hAnsi="Times New Roman" w:cs="Times New Roman"/>
                <w:sz w:val="24"/>
                <w:szCs w:val="24"/>
              </w:rPr>
              <w:t>1.</w:t>
            </w:r>
          </w:p>
        </w:tc>
        <w:tc>
          <w:tcPr>
            <w:tcW w:w="3686" w:type="dxa"/>
          </w:tcPr>
          <w:p w:rsidR="005D7FB4" w:rsidRDefault="005D7FB4" w:rsidP="005D7FB4">
            <w:pPr>
              <w:jc w:val="both"/>
              <w:rPr>
                <w:rFonts w:ascii="Times New Roman" w:hAnsi="Times New Roman" w:cs="Times New Roman"/>
                <w:sz w:val="24"/>
                <w:szCs w:val="24"/>
              </w:rPr>
            </w:pPr>
            <w:r>
              <w:rPr>
                <w:rFonts w:ascii="Times New Roman" w:hAnsi="Times New Roman" w:cs="Times New Roman"/>
                <w:sz w:val="24"/>
                <w:szCs w:val="24"/>
              </w:rPr>
              <w:t>17 punktas:</w:t>
            </w:r>
          </w:p>
          <w:p w:rsidR="005D7FB4" w:rsidRPr="005D7FB4" w:rsidRDefault="005D7FB4" w:rsidP="005D7FB4">
            <w:pPr>
              <w:jc w:val="both"/>
              <w:rPr>
                <w:rFonts w:ascii="Times New Roman" w:hAnsi="Times New Roman" w:cs="Times New Roman"/>
                <w:sz w:val="24"/>
                <w:szCs w:val="24"/>
              </w:rPr>
            </w:pPr>
            <w:r>
              <w:rPr>
                <w:rFonts w:ascii="Times New Roman" w:hAnsi="Times New Roman" w:cs="Times New Roman"/>
                <w:sz w:val="24"/>
                <w:szCs w:val="24"/>
              </w:rPr>
              <w:t>„</w:t>
            </w:r>
            <w:r w:rsidRPr="005D7FB4">
              <w:rPr>
                <w:rFonts w:ascii="Times New Roman" w:hAnsi="Times New Roman" w:cs="Times New Roman"/>
                <w:sz w:val="24"/>
                <w:szCs w:val="24"/>
              </w:rPr>
              <w:t>Mokslo ir studijų institucija pagal šį Aprašą nelaikoma valstybės pagalbos gavėja, jei atitinka visas šias sąlygas:</w:t>
            </w:r>
          </w:p>
          <w:p w:rsidR="005D7FB4" w:rsidRPr="005D7FB4" w:rsidRDefault="005D7FB4" w:rsidP="005D7FB4">
            <w:pPr>
              <w:jc w:val="both"/>
              <w:rPr>
                <w:rFonts w:ascii="Times New Roman" w:hAnsi="Times New Roman" w:cs="Times New Roman"/>
                <w:sz w:val="24"/>
                <w:szCs w:val="24"/>
              </w:rPr>
            </w:pPr>
            <w:r w:rsidRPr="005D7FB4">
              <w:rPr>
                <w:rFonts w:ascii="Times New Roman" w:hAnsi="Times New Roman" w:cs="Times New Roman"/>
                <w:sz w:val="24"/>
                <w:szCs w:val="24"/>
              </w:rPr>
              <w:t xml:space="preserve">17.1. projekte dalyvauja vykdydama neekonominę veiklą, kaip ji apibrėžiama Europos Komisijos pranešime dėl valstybės pagalbos sąvokos (angl. </w:t>
            </w:r>
            <w:proofErr w:type="spellStart"/>
            <w:r w:rsidRPr="005D7FB4">
              <w:rPr>
                <w:rFonts w:ascii="Times New Roman" w:hAnsi="Times New Roman" w:cs="Times New Roman"/>
                <w:sz w:val="24"/>
                <w:szCs w:val="24"/>
              </w:rPr>
              <w:t>Commission</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Notice</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on</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the</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notion</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of</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State</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aid</w:t>
            </w:r>
            <w:proofErr w:type="spellEnd"/>
            <w:r w:rsidRPr="005D7FB4">
              <w:rPr>
                <w:rFonts w:ascii="Times New Roman" w:hAnsi="Times New Roman" w:cs="Times New Roman"/>
                <w:sz w:val="24"/>
                <w:szCs w:val="24"/>
              </w:rPr>
              <w:t xml:space="preserve"> </w:t>
            </w:r>
            <w:proofErr w:type="spellStart"/>
            <w:r w:rsidRPr="005D7FB4">
              <w:rPr>
                <w:rFonts w:ascii="Times New Roman" w:hAnsi="Times New Roman" w:cs="Times New Roman"/>
                <w:sz w:val="24"/>
                <w:szCs w:val="24"/>
              </w:rPr>
              <w:t>pursuant</w:t>
            </w:r>
            <w:proofErr w:type="spellEnd"/>
            <w:r w:rsidRPr="005D7FB4">
              <w:rPr>
                <w:rFonts w:ascii="Times New Roman" w:hAnsi="Times New Roman" w:cs="Times New Roman"/>
                <w:sz w:val="24"/>
                <w:szCs w:val="24"/>
              </w:rPr>
              <w:t xml:space="preserve"> to </w:t>
            </w:r>
            <w:proofErr w:type="spellStart"/>
            <w:r w:rsidRPr="005D7FB4">
              <w:rPr>
                <w:rFonts w:ascii="Times New Roman" w:hAnsi="Times New Roman" w:cs="Times New Roman"/>
                <w:sz w:val="24"/>
                <w:szCs w:val="24"/>
              </w:rPr>
              <w:t>Article</w:t>
            </w:r>
            <w:proofErr w:type="spellEnd"/>
            <w:r w:rsidRPr="005D7FB4">
              <w:rPr>
                <w:rFonts w:ascii="Times New Roman" w:hAnsi="Times New Roman" w:cs="Times New Roman"/>
                <w:sz w:val="24"/>
                <w:szCs w:val="24"/>
              </w:rPr>
              <w:t xml:space="preserve"> 107(1) TFEU) ir kaip   numatyta Bendrojo bendrosios išimties reglamento 49 punkte;</w:t>
            </w:r>
          </w:p>
          <w:p w:rsidR="005D7FB4" w:rsidRPr="00535C93" w:rsidRDefault="005D7FB4" w:rsidP="00FC4965">
            <w:pPr>
              <w:jc w:val="both"/>
              <w:rPr>
                <w:rFonts w:ascii="Times New Roman" w:hAnsi="Times New Roman" w:cs="Times New Roman"/>
                <w:sz w:val="24"/>
                <w:szCs w:val="24"/>
              </w:rPr>
            </w:pPr>
            <w:r w:rsidRPr="005D7FB4">
              <w:rPr>
                <w:rFonts w:ascii="Times New Roman" w:hAnsi="Times New Roman" w:cs="Times New Roman"/>
                <w:sz w:val="24"/>
                <w:szCs w:val="24"/>
              </w:rPr>
              <w:t xml:space="preserve">17.2. projekte vykdo ir nepriklausomus MTEP, kurie suprantami vadovaujantis Europos Komisijos 2015 m. vasario 25 d. raštu dėl Europos Komisijos galutinio sprendimo C(2012) 9855 dėl Lietuvos valstybės pagalbos bylos Nr. SA.34335 (2012/N) išaiškinimo, kuriame pabrėžiama, kad „nepriklausomais moksliniai </w:t>
            </w:r>
            <w:r w:rsidRPr="005D7FB4">
              <w:rPr>
                <w:rFonts w:ascii="Times New Roman" w:hAnsi="Times New Roman" w:cs="Times New Roman"/>
                <w:sz w:val="24"/>
                <w:szCs w:val="24"/>
              </w:rPr>
              <w:lastRenderedPageBreak/>
              <w:t>tyrimai gali būti laikomi tik tada, jei jie netenkina specifinių konkrečios įmonės poreikių“.</w:t>
            </w:r>
            <w:r>
              <w:rPr>
                <w:rFonts w:ascii="Times New Roman" w:hAnsi="Times New Roman" w:cs="Times New Roman"/>
                <w:sz w:val="24"/>
                <w:szCs w:val="24"/>
              </w:rPr>
              <w:t>“</w:t>
            </w:r>
          </w:p>
        </w:tc>
        <w:tc>
          <w:tcPr>
            <w:tcW w:w="4111" w:type="dxa"/>
          </w:tcPr>
          <w:p w:rsidR="005D7FB4" w:rsidRPr="005D7FB4" w:rsidRDefault="005D7FB4" w:rsidP="005D7FB4">
            <w:pPr>
              <w:jc w:val="both"/>
              <w:rPr>
                <w:rFonts w:ascii="Times New Roman" w:hAnsi="Times New Roman" w:cs="Times New Roman"/>
                <w:sz w:val="24"/>
                <w:szCs w:val="24"/>
              </w:rPr>
            </w:pPr>
            <w:r w:rsidRPr="005D7FB4">
              <w:rPr>
                <w:rFonts w:ascii="Times New Roman" w:hAnsi="Times New Roman" w:cs="Times New Roman"/>
                <w:sz w:val="24"/>
                <w:szCs w:val="24"/>
              </w:rPr>
              <w:lastRenderedPageBreak/>
              <w:t xml:space="preserve">Pagal Aprašo 18 p. </w:t>
            </w:r>
            <w:r>
              <w:rPr>
                <w:rFonts w:ascii="Times New Roman" w:hAnsi="Times New Roman" w:cs="Times New Roman"/>
                <w:sz w:val="24"/>
                <w:szCs w:val="24"/>
              </w:rPr>
              <w:t xml:space="preserve">ir </w:t>
            </w:r>
            <w:r w:rsidRPr="005D7FB4">
              <w:rPr>
                <w:rFonts w:ascii="Times New Roman" w:hAnsi="Times New Roman" w:cs="Times New Roman"/>
                <w:sz w:val="24"/>
                <w:szCs w:val="24"/>
              </w:rPr>
              <w:t>20 p. Universitetų ligoninės yra galimi Pareiškėjai ir Partneriai, be to, Aprašo 4.13 p. paaiškinta Universiteto ligoninių sąvoka bei jų statuso atitikimas Bendrojo bendrosios išimties reglamento 2 straipsnio 83 punkto nuostatoms dėl atitikimo  mokslinių tyrimų ir žinių s</w:t>
            </w:r>
            <w:r>
              <w:rPr>
                <w:rFonts w:ascii="Times New Roman" w:hAnsi="Times New Roman" w:cs="Times New Roman"/>
                <w:sz w:val="24"/>
                <w:szCs w:val="24"/>
              </w:rPr>
              <w:t xml:space="preserve">klaidos organizacijos statusui </w:t>
            </w:r>
            <w:r w:rsidRPr="005D7FB4">
              <w:rPr>
                <w:rFonts w:ascii="Times New Roman" w:hAnsi="Times New Roman" w:cs="Times New Roman"/>
                <w:sz w:val="24"/>
                <w:szCs w:val="24"/>
              </w:rPr>
              <w:t xml:space="preserve"> kaip ir Mokslo ir studijų institucijos (</w:t>
            </w:r>
            <w:r w:rsidR="006A7342">
              <w:rPr>
                <w:rFonts w:ascii="Times New Roman" w:hAnsi="Times New Roman" w:cs="Times New Roman"/>
                <w:sz w:val="24"/>
                <w:szCs w:val="24"/>
              </w:rPr>
              <w:t xml:space="preserve">toliau </w:t>
            </w:r>
            <w:r w:rsidR="006A7342" w:rsidRPr="006A7342">
              <w:rPr>
                <w:rFonts w:ascii="Times New Roman" w:hAnsi="Times New Roman" w:cs="Times New Roman"/>
                <w:sz w:val="24"/>
                <w:szCs w:val="24"/>
              </w:rPr>
              <w:t>–</w:t>
            </w:r>
            <w:r w:rsidR="006A7342">
              <w:rPr>
                <w:rFonts w:ascii="Times New Roman" w:hAnsi="Times New Roman" w:cs="Times New Roman"/>
                <w:sz w:val="24"/>
                <w:szCs w:val="24"/>
              </w:rPr>
              <w:t xml:space="preserve"> </w:t>
            </w:r>
            <w:r w:rsidRPr="005D7FB4">
              <w:rPr>
                <w:rFonts w:ascii="Times New Roman" w:hAnsi="Times New Roman" w:cs="Times New Roman"/>
                <w:sz w:val="24"/>
                <w:szCs w:val="24"/>
              </w:rPr>
              <w:t>MSI)</w:t>
            </w:r>
            <w:r>
              <w:rPr>
                <w:rFonts w:ascii="Times New Roman" w:hAnsi="Times New Roman" w:cs="Times New Roman"/>
                <w:sz w:val="24"/>
                <w:szCs w:val="24"/>
              </w:rPr>
              <w:t>.</w:t>
            </w:r>
          </w:p>
          <w:p w:rsidR="005D7FB4" w:rsidRPr="005D7FB4" w:rsidRDefault="005D7FB4" w:rsidP="005D7FB4">
            <w:pPr>
              <w:jc w:val="both"/>
              <w:rPr>
                <w:rFonts w:ascii="Times New Roman" w:hAnsi="Times New Roman" w:cs="Times New Roman"/>
                <w:sz w:val="24"/>
                <w:szCs w:val="24"/>
              </w:rPr>
            </w:pPr>
            <w:r>
              <w:rPr>
                <w:rFonts w:ascii="Times New Roman" w:hAnsi="Times New Roman" w:cs="Times New Roman"/>
                <w:sz w:val="24"/>
                <w:szCs w:val="24"/>
              </w:rPr>
              <w:t xml:space="preserve">Cit. Sąvoką: </w:t>
            </w:r>
            <w:r w:rsidRPr="005D7FB4">
              <w:rPr>
                <w:rFonts w:ascii="Times New Roman" w:hAnsi="Times New Roman" w:cs="Times New Roman"/>
                <w:sz w:val="24"/>
                <w:szCs w:val="24"/>
              </w:rPr>
              <w:t>4.13. Universitetų ligoninės –</w:t>
            </w:r>
            <w:r>
              <w:rPr>
                <w:rFonts w:ascii="Times New Roman" w:hAnsi="Times New Roman" w:cs="Times New Roman"/>
                <w:sz w:val="24"/>
                <w:szCs w:val="24"/>
              </w:rPr>
              <w:t xml:space="preserve"> </w:t>
            </w:r>
            <w:r w:rsidRPr="005D7FB4">
              <w:rPr>
                <w:rFonts w:ascii="Times New Roman" w:hAnsi="Times New Roman" w:cs="Times New Roman"/>
                <w:sz w:val="24"/>
                <w:szCs w:val="24"/>
              </w:rPr>
              <w:t>kaip ši sąvoka apibrėžta Lietuvos Respublikos sveikatos priežiūros įstaigų įstatyme ir Bendrojo bendrosios išimties reg</w:t>
            </w:r>
            <w:r w:rsidR="006A7342">
              <w:rPr>
                <w:rFonts w:ascii="Times New Roman" w:hAnsi="Times New Roman" w:cs="Times New Roman"/>
                <w:sz w:val="24"/>
                <w:szCs w:val="24"/>
              </w:rPr>
              <w:t>lamento 2 straipsnio 83 punkte.</w:t>
            </w:r>
          </w:p>
          <w:p w:rsidR="00EC594F" w:rsidRPr="009376EF" w:rsidRDefault="005D7FB4" w:rsidP="005D7FB4">
            <w:pPr>
              <w:jc w:val="both"/>
              <w:rPr>
                <w:rFonts w:ascii="Times New Roman" w:hAnsi="Times New Roman" w:cs="Times New Roman"/>
                <w:sz w:val="24"/>
                <w:szCs w:val="24"/>
              </w:rPr>
            </w:pPr>
            <w:r w:rsidRPr="005D7FB4">
              <w:rPr>
                <w:rFonts w:ascii="Times New Roman" w:hAnsi="Times New Roman" w:cs="Times New Roman"/>
                <w:sz w:val="24"/>
                <w:szCs w:val="24"/>
              </w:rPr>
              <w:t xml:space="preserve">Atsižvelgiant į tai, kad Universitetų ligoninės atitinka mokslinių tyrimų organizacijos sąvoką ir dalyvauja priemonėje analogiškomis sąlygomis kaip mokslo ir studijų institucijos, dalis universitetų ligoninių bendruose mokslo-verslo projektuose vykdomų veiklų taip pat galėtų būti neekonominio pobūdžio, todėl 17 ir 53 PFSA punktai </w:t>
            </w:r>
            <w:r w:rsidRPr="005D7FB4">
              <w:rPr>
                <w:rFonts w:ascii="Times New Roman" w:hAnsi="Times New Roman" w:cs="Times New Roman"/>
                <w:sz w:val="24"/>
                <w:szCs w:val="24"/>
              </w:rPr>
              <w:lastRenderedPageBreak/>
              <w:t>turėtų būti papildyti greta MSI įtraukiant ir universitetų ligonines.</w:t>
            </w:r>
          </w:p>
        </w:tc>
        <w:tc>
          <w:tcPr>
            <w:tcW w:w="1699" w:type="dxa"/>
          </w:tcPr>
          <w:p w:rsidR="00535C93" w:rsidRPr="009376EF" w:rsidRDefault="006A7342" w:rsidP="00A47D63">
            <w:pPr>
              <w:jc w:val="center"/>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2234" w:type="dxa"/>
          </w:tcPr>
          <w:p w:rsidR="006A7342" w:rsidRPr="006A7342" w:rsidRDefault="00F23CCE" w:rsidP="00F23CCE">
            <w:pPr>
              <w:pStyle w:val="Default"/>
              <w:jc w:val="both"/>
            </w:pPr>
            <w:r>
              <w:t>17 punktas papildytas įtraukiant į jį universitetų ligonines.</w:t>
            </w:r>
          </w:p>
        </w:tc>
      </w:tr>
      <w:tr w:rsidR="00535C93" w:rsidTr="006A7342">
        <w:tc>
          <w:tcPr>
            <w:tcW w:w="1555" w:type="dxa"/>
            <w:vMerge/>
          </w:tcPr>
          <w:p w:rsidR="00535C93" w:rsidRPr="0003518B" w:rsidRDefault="00535C93" w:rsidP="00A47D63">
            <w:pPr>
              <w:jc w:val="center"/>
              <w:rPr>
                <w:rFonts w:ascii="Times New Roman" w:eastAsia="Calibri" w:hAnsi="Times New Roman" w:cs="Times New Roman"/>
                <w:sz w:val="24"/>
                <w:szCs w:val="24"/>
              </w:rPr>
            </w:pPr>
          </w:p>
        </w:tc>
        <w:tc>
          <w:tcPr>
            <w:tcW w:w="708" w:type="dxa"/>
          </w:tcPr>
          <w:p w:rsidR="00535C93" w:rsidRDefault="00535C93"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rsidR="00535C93" w:rsidRDefault="005D7FB4" w:rsidP="00FC4965">
            <w:pPr>
              <w:jc w:val="both"/>
              <w:rPr>
                <w:rFonts w:ascii="Times New Roman" w:hAnsi="Times New Roman" w:cs="Times New Roman"/>
                <w:sz w:val="24"/>
                <w:szCs w:val="24"/>
              </w:rPr>
            </w:pPr>
            <w:r>
              <w:rPr>
                <w:rFonts w:ascii="Times New Roman" w:hAnsi="Times New Roman" w:cs="Times New Roman"/>
                <w:sz w:val="24"/>
                <w:szCs w:val="24"/>
              </w:rPr>
              <w:t>53 punktas:</w:t>
            </w:r>
          </w:p>
          <w:p w:rsidR="005D7FB4" w:rsidRPr="00A47D63" w:rsidRDefault="005D7FB4" w:rsidP="00FC4965">
            <w:pPr>
              <w:jc w:val="both"/>
              <w:rPr>
                <w:rFonts w:ascii="Times New Roman" w:hAnsi="Times New Roman" w:cs="Times New Roman"/>
                <w:sz w:val="24"/>
                <w:szCs w:val="24"/>
              </w:rPr>
            </w:pPr>
            <w:r>
              <w:rPr>
                <w:rFonts w:ascii="Times New Roman" w:hAnsi="Times New Roman" w:cs="Times New Roman"/>
                <w:sz w:val="24"/>
                <w:szCs w:val="24"/>
              </w:rPr>
              <w:t>„</w:t>
            </w:r>
            <w:r w:rsidRPr="005D7FB4">
              <w:rPr>
                <w:rFonts w:ascii="Times New Roman" w:hAnsi="Times New Roman" w:cs="Times New Roman"/>
                <w:sz w:val="24"/>
                <w:szCs w:val="24"/>
              </w:rPr>
              <w:t>Jeigu pareiškėjas yra mokslo ir studijų institucija arba jei projektas įgyvendinamas su partneriu mokslo ir studijų institucija, jos įnašas į projektą gali susidėti iš piniginio įnašo ir (ar) nepiniginio įnašo – savanoriško darbo, kuris apskaičiuojamas Projektų taisyklių 420.2 papunktyje nustatyta tvarka taikant Lietuvos Respublikos teisės aktais nustatytą minimalųjį darbo užmokestį. Savanoriškas darbas nėra apmokamas projekto finansavimo lėšomis, tačiau įkainojamas ir nurodomas paraiškoje siekiant įvertinti mokslo ir studijų institucijos prisidėjimą prie projekto įgyvendinimo.</w:t>
            </w:r>
            <w:r>
              <w:rPr>
                <w:rFonts w:ascii="Times New Roman" w:hAnsi="Times New Roman" w:cs="Times New Roman"/>
                <w:sz w:val="24"/>
                <w:szCs w:val="24"/>
              </w:rPr>
              <w:t>“</w:t>
            </w:r>
          </w:p>
        </w:tc>
        <w:tc>
          <w:tcPr>
            <w:tcW w:w="4111" w:type="dxa"/>
          </w:tcPr>
          <w:p w:rsidR="00535C93" w:rsidRPr="00A47D63" w:rsidRDefault="006A7342" w:rsidP="006A7342">
            <w:pPr>
              <w:pStyle w:val="Default"/>
              <w:jc w:val="both"/>
            </w:pPr>
            <w:r>
              <w:t>Atsižvelgiant į tai, kad Universitetų ligoninės atitinka mokslinių tyrimų organizacijos sąvoką ir dalyvauja priemonėje analogiškomis sąlygomis kaip mokslo ir studijų institucijos, dalis universitetų ligoninių bendruose mokslo-verslo projektuose vykdomų veiklų taip pat galėtų būti neekonominio pobūdžio, todėl 17 ir 53 PFSA punktai turėtų būti papildyti greta MSI įtraukiant ir universitetų ligonines.</w:t>
            </w:r>
          </w:p>
        </w:tc>
        <w:tc>
          <w:tcPr>
            <w:tcW w:w="1699" w:type="dxa"/>
          </w:tcPr>
          <w:p w:rsidR="00535C93" w:rsidRPr="00FC4965" w:rsidRDefault="006A7342"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535C93" w:rsidRDefault="006A7342" w:rsidP="00FC4965">
            <w:pPr>
              <w:pStyle w:val="Default"/>
              <w:jc w:val="both"/>
            </w:pPr>
            <w:r>
              <w:t>Papildytas 53 punktas:</w:t>
            </w:r>
          </w:p>
          <w:p w:rsidR="006A7342" w:rsidRDefault="006A7342" w:rsidP="00FC4965">
            <w:pPr>
              <w:pStyle w:val="Default"/>
              <w:jc w:val="both"/>
            </w:pPr>
          </w:p>
          <w:p w:rsidR="006A7342" w:rsidRDefault="006A7342" w:rsidP="006A7342">
            <w:pPr>
              <w:pStyle w:val="Default"/>
              <w:jc w:val="both"/>
            </w:pPr>
            <w:r w:rsidRPr="006A7342">
              <w:t xml:space="preserve">„Jeigu pareiškėjas yra mokslo ir studijų institucija </w:t>
            </w:r>
            <w:r w:rsidRPr="006A7342">
              <w:rPr>
                <w:b/>
              </w:rPr>
              <w:t>ar universiteto ligoninė</w:t>
            </w:r>
            <w:r>
              <w:t xml:space="preserve"> </w:t>
            </w:r>
            <w:r w:rsidRPr="006A7342">
              <w:t>arba jei projektas įgyvendinamas su partneriu mokslo ir studijų institucija</w:t>
            </w:r>
            <w:r>
              <w:t xml:space="preserve"> </w:t>
            </w:r>
            <w:r w:rsidRPr="006A7342">
              <w:rPr>
                <w:b/>
              </w:rPr>
              <w:t>ar universiteto ligonine</w:t>
            </w:r>
            <w:r>
              <w:t>, jų</w:t>
            </w:r>
            <w:r w:rsidRPr="006A7342">
              <w:t xml:space="preserve"> įnašas į projektą gali susidėti iš piniginio įnašo ir (ar) nepiniginio įnašo – savanoriško darbo, kuris apskaičiuojamas Projektų taisyklių 420.2 papunktyje nustatyta tvarka taikant Lietuvos Respublikos teisės aktais nustatytą minimalųjį darbo užmokestį. </w:t>
            </w:r>
            <w:r>
              <w:t>...“</w:t>
            </w:r>
          </w:p>
        </w:tc>
      </w:tr>
      <w:tr w:rsidR="00961CFF" w:rsidTr="006A7342">
        <w:tc>
          <w:tcPr>
            <w:tcW w:w="1555" w:type="dxa"/>
            <w:vMerge w:val="restart"/>
          </w:tcPr>
          <w:p w:rsidR="00961CFF" w:rsidRPr="0003518B" w:rsidRDefault="00961CFF" w:rsidP="00A47D63">
            <w:pPr>
              <w:jc w:val="center"/>
              <w:rPr>
                <w:rFonts w:ascii="Times New Roman" w:eastAsia="Calibri" w:hAnsi="Times New Roman" w:cs="Times New Roman"/>
                <w:sz w:val="24"/>
                <w:szCs w:val="24"/>
              </w:rPr>
            </w:pPr>
            <w:r>
              <w:rPr>
                <w:rFonts w:ascii="Times New Roman" w:eastAsia="Calibri" w:hAnsi="Times New Roman" w:cs="Times New Roman"/>
                <w:sz w:val="24"/>
                <w:szCs w:val="24"/>
              </w:rPr>
              <w:t>Vilniaus Gedimino technikos universitetas</w:t>
            </w:r>
          </w:p>
        </w:tc>
        <w:tc>
          <w:tcPr>
            <w:tcW w:w="708"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961CFF" w:rsidRDefault="00961CFF" w:rsidP="00961CFF">
            <w:pPr>
              <w:jc w:val="both"/>
              <w:rPr>
                <w:rFonts w:ascii="Times New Roman" w:hAnsi="Times New Roman" w:cs="Times New Roman"/>
                <w:sz w:val="24"/>
                <w:szCs w:val="24"/>
              </w:rPr>
            </w:pPr>
            <w:r>
              <w:rPr>
                <w:rFonts w:ascii="Times New Roman" w:hAnsi="Times New Roman" w:cs="Times New Roman"/>
                <w:sz w:val="24"/>
                <w:szCs w:val="24"/>
              </w:rPr>
              <w:t>Dokumento pavadinimas</w:t>
            </w:r>
          </w:p>
        </w:tc>
        <w:tc>
          <w:tcPr>
            <w:tcW w:w="4111" w:type="dxa"/>
          </w:tcPr>
          <w:p w:rsidR="00961CFF" w:rsidRDefault="00961CFF" w:rsidP="006A7342">
            <w:pPr>
              <w:pStyle w:val="Default"/>
              <w:jc w:val="both"/>
            </w:pPr>
            <w:r w:rsidRPr="00961CFF">
              <w:t xml:space="preserve">Dokumento pavadinime nurodytas </w:t>
            </w:r>
            <w:r>
              <w:t>nepilnas priemonės pavadinimas.</w:t>
            </w:r>
          </w:p>
        </w:tc>
        <w:tc>
          <w:tcPr>
            <w:tcW w:w="1699"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961CFF" w:rsidRDefault="00961CFF" w:rsidP="00FC4965">
            <w:pPr>
              <w:pStyle w:val="Default"/>
              <w:jc w:val="both"/>
            </w:pPr>
            <w:r>
              <w:t>PFSA pavadinimas papildytas.</w:t>
            </w:r>
          </w:p>
        </w:tc>
      </w:tr>
      <w:tr w:rsidR="00961CFF" w:rsidTr="006A7342">
        <w:tc>
          <w:tcPr>
            <w:tcW w:w="1555" w:type="dxa"/>
            <w:vMerge/>
          </w:tcPr>
          <w:p w:rsidR="00961CFF" w:rsidRDefault="00961CFF" w:rsidP="00A47D63">
            <w:pPr>
              <w:jc w:val="center"/>
              <w:rPr>
                <w:rFonts w:ascii="Times New Roman" w:eastAsia="Calibri" w:hAnsi="Times New Roman" w:cs="Times New Roman"/>
                <w:sz w:val="24"/>
                <w:szCs w:val="24"/>
              </w:rPr>
            </w:pPr>
          </w:p>
        </w:tc>
        <w:tc>
          <w:tcPr>
            <w:tcW w:w="708"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rsidR="00961CFF" w:rsidRDefault="00961CFF" w:rsidP="00FC4965">
            <w:pPr>
              <w:jc w:val="both"/>
              <w:rPr>
                <w:rFonts w:ascii="Times New Roman" w:hAnsi="Times New Roman" w:cs="Times New Roman"/>
                <w:sz w:val="24"/>
                <w:szCs w:val="24"/>
              </w:rPr>
            </w:pPr>
            <w:r>
              <w:rPr>
                <w:rFonts w:ascii="Times New Roman" w:hAnsi="Times New Roman" w:cs="Times New Roman"/>
                <w:sz w:val="24"/>
                <w:szCs w:val="24"/>
              </w:rPr>
              <w:t>53 punktas</w:t>
            </w:r>
          </w:p>
        </w:tc>
        <w:tc>
          <w:tcPr>
            <w:tcW w:w="4111" w:type="dxa"/>
          </w:tcPr>
          <w:p w:rsidR="00961CFF" w:rsidRDefault="00961CFF" w:rsidP="006A7342">
            <w:pPr>
              <w:pStyle w:val="Default"/>
              <w:jc w:val="both"/>
            </w:pPr>
            <w:r w:rsidRPr="00961CFF">
              <w:t xml:space="preserve">PFSA projekto 53 punkte prie mokslo ir studijų institucijos nefinansinio įnašo prašome įtraukti projektui naudojamų </w:t>
            </w:r>
            <w:r w:rsidRPr="00961CFF">
              <w:lastRenderedPageBreak/>
              <w:t>patalpų eksploatacijos bei įrangos nusidėvėjimo išlaidas.</w:t>
            </w:r>
          </w:p>
        </w:tc>
        <w:tc>
          <w:tcPr>
            <w:tcW w:w="1699"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234" w:type="dxa"/>
          </w:tcPr>
          <w:p w:rsidR="00961CFF" w:rsidRDefault="00857149" w:rsidP="00FC4965">
            <w:pPr>
              <w:pStyle w:val="Default"/>
              <w:jc w:val="both"/>
            </w:pPr>
            <w:r>
              <w:t xml:space="preserve">Punkto nuostatos parengtos pagal galiojančias </w:t>
            </w:r>
            <w:r w:rsidRPr="00857149">
              <w:t>Projektų administ</w:t>
            </w:r>
            <w:r>
              <w:t xml:space="preserve">ravimo ir </w:t>
            </w:r>
            <w:r>
              <w:lastRenderedPageBreak/>
              <w:t xml:space="preserve">finansavimo taisykles, patvirtintas Lietuvos Respublikos finansų ministro </w:t>
            </w:r>
            <w:r w:rsidRPr="00857149">
              <w:t xml:space="preserve">2014 m. spalio 8 d. </w:t>
            </w:r>
            <w:r>
              <w:t xml:space="preserve">įsakymu </w:t>
            </w:r>
            <w:r w:rsidRPr="00857149">
              <w:t>Nr. 1K-316</w:t>
            </w:r>
            <w:r>
              <w:t>.</w:t>
            </w:r>
          </w:p>
        </w:tc>
      </w:tr>
      <w:tr w:rsidR="00961CFF" w:rsidTr="006A7342">
        <w:tc>
          <w:tcPr>
            <w:tcW w:w="1555" w:type="dxa"/>
            <w:vMerge/>
          </w:tcPr>
          <w:p w:rsidR="00961CFF" w:rsidRDefault="00961CFF" w:rsidP="00A47D63">
            <w:pPr>
              <w:jc w:val="center"/>
              <w:rPr>
                <w:rFonts w:ascii="Times New Roman" w:eastAsia="Calibri" w:hAnsi="Times New Roman" w:cs="Times New Roman"/>
                <w:sz w:val="24"/>
                <w:szCs w:val="24"/>
              </w:rPr>
            </w:pPr>
          </w:p>
        </w:tc>
        <w:tc>
          <w:tcPr>
            <w:tcW w:w="708"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3686" w:type="dxa"/>
          </w:tcPr>
          <w:p w:rsidR="00961CFF" w:rsidRDefault="00961CFF" w:rsidP="00FC4965">
            <w:pPr>
              <w:jc w:val="both"/>
              <w:rPr>
                <w:rFonts w:ascii="Times New Roman" w:hAnsi="Times New Roman" w:cs="Times New Roman"/>
                <w:sz w:val="24"/>
                <w:szCs w:val="24"/>
              </w:rPr>
            </w:pPr>
            <w:r w:rsidRPr="00961CFF">
              <w:rPr>
                <w:rFonts w:ascii="Times New Roman" w:hAnsi="Times New Roman" w:cs="Times New Roman"/>
                <w:sz w:val="24"/>
                <w:szCs w:val="24"/>
              </w:rPr>
              <w:t>PFSA</w:t>
            </w:r>
            <w:r>
              <w:rPr>
                <w:rFonts w:ascii="Times New Roman" w:hAnsi="Times New Roman" w:cs="Times New Roman"/>
                <w:sz w:val="24"/>
                <w:szCs w:val="24"/>
              </w:rPr>
              <w:t xml:space="preserve"> projekto 2 lentelės 5.2. punktas</w:t>
            </w:r>
          </w:p>
        </w:tc>
        <w:tc>
          <w:tcPr>
            <w:tcW w:w="4111" w:type="dxa"/>
          </w:tcPr>
          <w:p w:rsidR="00961CFF" w:rsidRDefault="00961CFF" w:rsidP="006A7342">
            <w:pPr>
              <w:pStyle w:val="Default"/>
              <w:jc w:val="both"/>
            </w:pPr>
            <w:r w:rsidRPr="00961CFF">
              <w:t>Ar PFSA projekto 2 lentelės 5.2. punkte numatytos „Išlaidos, susijusios su konsultavimo ir lygiaverčių paslaugų, naudojamų vien tik projekto MTEP veiklai, įsigijimu“ apima ir patentinės paraiškos pateikimo (patentinio patikėtinio paslaugų) išlaidas? Jeigu neapima, tuomet prašome įtraukti patentinės paraiškos pateikimo išlaidas prie tinkamų finansuoti išlaidų, nes 36.4 punkte numatytas privalomas produkto rodiklis „Investicijas gavusių mokslo ir studijų institucijų pateiktos patentų paraiškos“.</w:t>
            </w:r>
          </w:p>
        </w:tc>
        <w:tc>
          <w:tcPr>
            <w:tcW w:w="1699" w:type="dxa"/>
          </w:tcPr>
          <w:p w:rsidR="00961CFF" w:rsidRDefault="00F23CCE"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961CFF" w:rsidRDefault="00F23CCE" w:rsidP="00FC4965">
            <w:pPr>
              <w:pStyle w:val="Default"/>
              <w:jc w:val="both"/>
            </w:pPr>
            <w:r>
              <w:t xml:space="preserve">Patikslintas </w:t>
            </w:r>
            <w:r w:rsidRPr="00F23CCE">
              <w:t>2 lentelės 5.2. punktas</w:t>
            </w:r>
            <w:r>
              <w:t>: „</w:t>
            </w:r>
            <w:r w:rsidRPr="00F23CCE">
              <w:t xml:space="preserve">Išlaidos, susijusios su konsultavimo ir lygiaverčių paslaugų, naudojamų vien tik projekto MTEP veiklai, įsigijimu </w:t>
            </w:r>
            <w:r w:rsidRPr="00F23CCE">
              <w:rPr>
                <w:b/>
              </w:rPr>
              <w:t>(įskaitant patentinės paraiškos pateikimo išlaidas)</w:t>
            </w:r>
            <w:r w:rsidRPr="00F23CCE">
              <w:t>.</w:t>
            </w:r>
            <w:r>
              <w:t>“</w:t>
            </w:r>
          </w:p>
        </w:tc>
      </w:tr>
      <w:tr w:rsidR="00961CFF" w:rsidTr="006A7342">
        <w:tc>
          <w:tcPr>
            <w:tcW w:w="1555" w:type="dxa"/>
            <w:vMerge/>
          </w:tcPr>
          <w:p w:rsidR="00961CFF" w:rsidRDefault="00961CFF" w:rsidP="00A47D63">
            <w:pPr>
              <w:jc w:val="center"/>
              <w:rPr>
                <w:rFonts w:ascii="Times New Roman" w:eastAsia="Calibri" w:hAnsi="Times New Roman" w:cs="Times New Roman"/>
                <w:sz w:val="24"/>
                <w:szCs w:val="24"/>
              </w:rPr>
            </w:pPr>
          </w:p>
        </w:tc>
        <w:tc>
          <w:tcPr>
            <w:tcW w:w="708"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t>4.</w:t>
            </w:r>
          </w:p>
        </w:tc>
        <w:tc>
          <w:tcPr>
            <w:tcW w:w="3686" w:type="dxa"/>
          </w:tcPr>
          <w:p w:rsidR="00961CFF" w:rsidRDefault="00961CFF" w:rsidP="00FC4965">
            <w:pPr>
              <w:jc w:val="both"/>
              <w:rPr>
                <w:rFonts w:ascii="Times New Roman" w:hAnsi="Times New Roman" w:cs="Times New Roman"/>
                <w:sz w:val="24"/>
                <w:szCs w:val="24"/>
              </w:rPr>
            </w:pPr>
            <w:r>
              <w:rPr>
                <w:rFonts w:ascii="Times New Roman" w:hAnsi="Times New Roman" w:cs="Times New Roman"/>
                <w:sz w:val="24"/>
                <w:szCs w:val="24"/>
              </w:rPr>
              <w:t>PFSA  projekto 65.15 punktas</w:t>
            </w:r>
          </w:p>
        </w:tc>
        <w:tc>
          <w:tcPr>
            <w:tcW w:w="4111" w:type="dxa"/>
          </w:tcPr>
          <w:p w:rsidR="00961CFF" w:rsidRDefault="00961CFF" w:rsidP="006A7342">
            <w:pPr>
              <w:pStyle w:val="Default"/>
              <w:jc w:val="both"/>
            </w:pPr>
            <w:r w:rsidRPr="00961CFF">
              <w:t>Prašome pakoreguoti PFSA  projekto 65.15 punktą, numatant, kad „Pareiškėjas ir partneris privalo deklaruoti, kad nėra pateikęs to paties projekto paraiškos antrajam konkurso etapui pagal 2014–2020 metų Europos Sąjungos fondų investicijų veiksmų programos 1 prioriteto „Mokslinių tyrimų, eksperimentinės plėtros ir inovacijų skatinimas“ priemonės Nr. J05-LVPA-K „Intelektas. Bendri mokslo–verslo projektai“ projektų finansavimo sąlygų aprašą Nr. 1...“.</w:t>
            </w:r>
          </w:p>
        </w:tc>
        <w:tc>
          <w:tcPr>
            <w:tcW w:w="1699" w:type="dxa"/>
          </w:tcPr>
          <w:p w:rsidR="00961CFF" w:rsidRDefault="00F23CCE"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961CFF" w:rsidRDefault="00F23CCE" w:rsidP="00FC4965">
            <w:pPr>
              <w:pStyle w:val="Default"/>
              <w:jc w:val="both"/>
            </w:pPr>
            <w:r>
              <w:t>Patikslintas 65.15 punktas: „</w:t>
            </w:r>
            <w:r w:rsidRPr="00F23CCE">
              <w:t xml:space="preserve">Pareiškėjas ir partneris privalo deklaruoti, kad nėra pateikęs </w:t>
            </w:r>
            <w:r w:rsidRPr="00F23CCE">
              <w:rPr>
                <w:b/>
              </w:rPr>
              <w:t>to paties</w:t>
            </w:r>
            <w:r w:rsidRPr="00F23CCE">
              <w:t xml:space="preserve"> projekto paraiškos antrajam konkurso etapui pagal 2014–2020 metų Europos Sąjungos fondų investicijų veiksmų programos 1 prioriteto „Mokslinių tyrimų, eksperimentinės </w:t>
            </w:r>
            <w:r w:rsidRPr="00F23CCE">
              <w:lastRenderedPageBreak/>
              <w:t>plėtros ir inovacijų skatinimas“ priemonės Nr. J05-LVPA-K „Intelektas. Bendri mokslo–verslo projektai“ projektų finansavimo sąlygų aprašą Nr. 1, patvirtintą Lietuvos Respublikos ūkio ministro ir Lietuvos Respublikos švietimo ir mokslo ministro 2015 m. gruodžio 22 d. įsakymu Nr. 4-822/V-1323</w:t>
            </w:r>
            <w:r>
              <w:t>;“</w:t>
            </w:r>
          </w:p>
        </w:tc>
      </w:tr>
      <w:tr w:rsidR="00961CFF" w:rsidTr="006A7342">
        <w:tc>
          <w:tcPr>
            <w:tcW w:w="1555" w:type="dxa"/>
          </w:tcPr>
          <w:p w:rsidR="00961CFF" w:rsidRDefault="00961CFF" w:rsidP="00A47D63">
            <w:pPr>
              <w:jc w:val="center"/>
              <w:rPr>
                <w:rFonts w:ascii="Times New Roman" w:eastAsia="Calibri" w:hAnsi="Times New Roman" w:cs="Times New Roman"/>
                <w:sz w:val="24"/>
                <w:szCs w:val="24"/>
              </w:rPr>
            </w:pPr>
          </w:p>
        </w:tc>
        <w:tc>
          <w:tcPr>
            <w:tcW w:w="708"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t>5.</w:t>
            </w:r>
          </w:p>
        </w:tc>
        <w:tc>
          <w:tcPr>
            <w:tcW w:w="3686" w:type="dxa"/>
          </w:tcPr>
          <w:p w:rsidR="00961CFF" w:rsidRPr="00961CFF" w:rsidRDefault="00961CFF" w:rsidP="00FC4965">
            <w:pPr>
              <w:jc w:val="both"/>
              <w:rPr>
                <w:rFonts w:ascii="Times New Roman" w:hAnsi="Times New Roman" w:cs="Times New Roman"/>
                <w:sz w:val="24"/>
                <w:szCs w:val="24"/>
              </w:rPr>
            </w:pPr>
            <w:r>
              <w:rPr>
                <w:rFonts w:ascii="Times New Roman" w:hAnsi="Times New Roman" w:cs="Times New Roman"/>
                <w:sz w:val="24"/>
                <w:szCs w:val="24"/>
              </w:rPr>
              <w:t>Naudos ir kokybės vertinimo lentelė (PFSA 2 priedas)</w:t>
            </w:r>
          </w:p>
        </w:tc>
        <w:tc>
          <w:tcPr>
            <w:tcW w:w="4111" w:type="dxa"/>
          </w:tcPr>
          <w:p w:rsidR="00961CFF" w:rsidRDefault="00961CFF" w:rsidP="006A7342">
            <w:pPr>
              <w:pStyle w:val="Default"/>
              <w:jc w:val="both"/>
            </w:pPr>
            <w:r w:rsidRPr="00961CFF">
              <w:t>Siūlome atsisakyti naudos ir kokybės vertinimo 6 ir 7 kriterijų, nes jie suteikia pranašumą kelių sričių projektams prieš kitus.</w:t>
            </w:r>
          </w:p>
        </w:tc>
        <w:tc>
          <w:tcPr>
            <w:tcW w:w="1699" w:type="dxa"/>
          </w:tcPr>
          <w:p w:rsidR="00961CFF" w:rsidRDefault="00961CFF"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2234" w:type="dxa"/>
          </w:tcPr>
          <w:p w:rsidR="00961CFF" w:rsidRDefault="00961CFF" w:rsidP="00FC4965">
            <w:pPr>
              <w:pStyle w:val="Default"/>
              <w:jc w:val="both"/>
            </w:pPr>
            <w:r w:rsidRPr="00961CFF">
              <w:t>Priemonės atrankos kriterijai buvo suderinti su Fin</w:t>
            </w:r>
            <w:r w:rsidR="00857149">
              <w:t>ansų ministerija ir patvirtinti</w:t>
            </w:r>
            <w:r w:rsidR="00857149" w:rsidRPr="00857149">
              <w:t xml:space="preserve"> 2015 m. liep</w:t>
            </w:r>
            <w:r w:rsidR="00857149">
              <w:t>os 9 d.</w:t>
            </w:r>
            <w:r w:rsidRPr="00961CFF">
              <w:t xml:space="preserve"> ES fondų investicijų veiksmų programos stebėsenos komiteto posėdyje nutarimu </w:t>
            </w:r>
            <w:r w:rsidR="00857149" w:rsidRPr="00857149">
              <w:t>Nr. 44P-6.1 (8)2014–2020</w:t>
            </w:r>
            <w:r w:rsidRPr="00961CFF">
              <w:t>. Projektų finansavimo sąlygų</w:t>
            </w:r>
            <w:r w:rsidR="00857149">
              <w:t xml:space="preserve"> aprašo rengimo metu patvirtinti kriterijai </w:t>
            </w:r>
            <w:r w:rsidRPr="00961CFF">
              <w:t>negali būti keičiami.</w:t>
            </w:r>
          </w:p>
        </w:tc>
      </w:tr>
      <w:tr w:rsidR="00857149" w:rsidTr="006A7342">
        <w:tc>
          <w:tcPr>
            <w:tcW w:w="1555" w:type="dxa"/>
            <w:vMerge w:val="restart"/>
          </w:tcPr>
          <w:p w:rsidR="00857149" w:rsidRDefault="00857149" w:rsidP="00A47D63">
            <w:pPr>
              <w:jc w:val="center"/>
              <w:rPr>
                <w:rFonts w:ascii="Times New Roman" w:eastAsia="Calibri" w:hAnsi="Times New Roman" w:cs="Times New Roman"/>
                <w:sz w:val="24"/>
                <w:szCs w:val="24"/>
              </w:rPr>
            </w:pPr>
            <w:r>
              <w:rPr>
                <w:rFonts w:ascii="Times New Roman" w:eastAsia="Calibri" w:hAnsi="Times New Roman" w:cs="Times New Roman"/>
                <w:sz w:val="24"/>
                <w:szCs w:val="24"/>
              </w:rPr>
              <w:t>Lietuvos inovacijų centras</w:t>
            </w: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tcPr>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18. Pagal Aprašą galimi pareiškėjai yra:</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lastRenderedPageBreak/>
              <w:t>18.1. mokslo ir studijų institucijos;</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18.2. universitetų ligoninės.</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19. Pagal Aprašą privalomi partneriai yra privatieji juridiniai asmenys.</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20. Pagal aprašą galimi partneriai yra:</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20.1. mokslo ir studijų institucijos;</w:t>
            </w:r>
          </w:p>
          <w:p w:rsid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20.2. universitetų ligoninės.</w:t>
            </w:r>
          </w:p>
        </w:tc>
        <w:tc>
          <w:tcPr>
            <w:tcW w:w="4111" w:type="dxa"/>
          </w:tcPr>
          <w:p w:rsidR="00857149" w:rsidRDefault="00857149" w:rsidP="00857149">
            <w:pPr>
              <w:pStyle w:val="Default"/>
              <w:jc w:val="both"/>
            </w:pPr>
            <w:r>
              <w:lastRenderedPageBreak/>
              <w:t xml:space="preserve">Manome, kad universitetų ligoninės yra nepagrįstai išskirtos iš kitų subjektų </w:t>
            </w:r>
            <w:r>
              <w:lastRenderedPageBreak/>
              <w:t>aibės, kurie lygiagrečiai vykdo tiek neekonominę, tiek ekonominę veiklas. Toks išskyrimas pagrįstai gali būti laikytinas akivaizdžiu konkurencijos pažeidimu.</w:t>
            </w:r>
          </w:p>
          <w:p w:rsidR="00857149" w:rsidRDefault="00857149" w:rsidP="00857149">
            <w:pPr>
              <w:pStyle w:val="Default"/>
              <w:jc w:val="both"/>
            </w:pPr>
          </w:p>
          <w:p w:rsidR="00857149" w:rsidRDefault="00857149" w:rsidP="00857149">
            <w:pPr>
              <w:pStyle w:val="Default"/>
              <w:jc w:val="both"/>
            </w:pPr>
            <w:r>
              <w:t>Siūlome  pareiškėjus ir partnerius įvardinti taip:</w:t>
            </w:r>
          </w:p>
          <w:p w:rsidR="00857149" w:rsidRDefault="00857149" w:rsidP="00857149">
            <w:pPr>
              <w:pStyle w:val="Default"/>
              <w:jc w:val="both"/>
            </w:pPr>
            <w:r>
              <w:t>18. Pagal Aprašą galimi pareiškėjai yra mokslo ir studijų institucijos;</w:t>
            </w:r>
          </w:p>
          <w:p w:rsidR="00857149" w:rsidRDefault="00857149" w:rsidP="00857149">
            <w:pPr>
              <w:pStyle w:val="Default"/>
              <w:jc w:val="both"/>
            </w:pPr>
            <w:r>
              <w:t>19. Pagal Aprašą privalomi partneriai yra įmonės, kaip tai apibrėžia Smulkiojo ir vidutinio verslo plėtros įstatymas.</w:t>
            </w:r>
          </w:p>
          <w:p w:rsidR="00857149" w:rsidRDefault="00857149" w:rsidP="00857149">
            <w:pPr>
              <w:pStyle w:val="Default"/>
              <w:jc w:val="both"/>
            </w:pPr>
            <w:r>
              <w:t>20. Pagal aprašą galimi partneriai - mokslo ir studijų institucijos.</w:t>
            </w:r>
          </w:p>
          <w:p w:rsidR="00857149" w:rsidRDefault="00857149" w:rsidP="00857149">
            <w:pPr>
              <w:pStyle w:val="Default"/>
              <w:jc w:val="both"/>
            </w:pPr>
          </w:p>
          <w:p w:rsidR="00857149" w:rsidRPr="00961CFF" w:rsidRDefault="00857149" w:rsidP="00857149">
            <w:pPr>
              <w:pStyle w:val="Default"/>
              <w:jc w:val="both"/>
            </w:pPr>
            <w:r>
              <w:t>Visais atvejais universitetų ligoninės, priklausomai nuo to, ar bus tenkinamos LR mokslo ir studijų įstatyme ir Bendrojo bendrosios išimties reglamento 2 straipsnio 83 punkte įvardintos nuostatos, bus priskirtinos arba mokslo ir studijų institucijoms arba įmonėms ir galės dalyvauti projekte kaip pareiškėjas ar partneris lygiagrečiais su kitais rinkos dalyviais.</w:t>
            </w:r>
          </w:p>
        </w:tc>
        <w:tc>
          <w:tcPr>
            <w:tcW w:w="1699" w:type="dxa"/>
          </w:tcPr>
          <w:p w:rsidR="00857149" w:rsidRDefault="0042618F" w:rsidP="00A47D63">
            <w:pPr>
              <w:jc w:val="cente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234" w:type="dxa"/>
          </w:tcPr>
          <w:p w:rsidR="00857149" w:rsidRPr="00961CFF" w:rsidRDefault="0042618F" w:rsidP="0042618F">
            <w:pPr>
              <w:pStyle w:val="Default"/>
              <w:jc w:val="both"/>
            </w:pPr>
            <w:r w:rsidRPr="0042618F">
              <w:t xml:space="preserve">Pareiškėjų ir partnerių ratas yra </w:t>
            </w:r>
            <w:r w:rsidRPr="0042618F">
              <w:lastRenderedPageBreak/>
              <w:t>nustatyt</w:t>
            </w:r>
            <w:r>
              <w:t xml:space="preserve">as Priemonės įgyvendinimo plane ir negali būti koreguojamas PFSA projekto rengimo etape. Atkreiptinas dėmesys, kad tas pats pareiškėjų ir partnerių ratas yra patvirtintas ir </w:t>
            </w:r>
            <w:r w:rsidRPr="0042618F">
              <w:t xml:space="preserve">2015 m. rugpjūčio 13 d. </w:t>
            </w:r>
            <w:r>
              <w:t xml:space="preserve">Lietuvos Respublikos ūkio ministro ir Lietuvos Respublikos švietimo ir mokslo ministro įsakymu </w:t>
            </w:r>
            <w:r w:rsidRPr="0042618F">
              <w:t>Nr. V-896/4-515</w:t>
            </w:r>
            <w:r>
              <w:t xml:space="preserve"> „Dėl Lietuvos R</w:t>
            </w:r>
            <w:r w:rsidRPr="0042618F">
              <w:t>espublikos švietimo ir mokslo mini</w:t>
            </w:r>
            <w:r>
              <w:t>stro ir Lietuvos R</w:t>
            </w:r>
            <w:r w:rsidRPr="0042618F">
              <w:t>espublikos ūkio ministr</w:t>
            </w:r>
            <w:r>
              <w:t>o 2015 m. vasario 6 d. įsakymo Nr. V-92/4-59 „Dėl J</w:t>
            </w:r>
            <w:r w:rsidRPr="0042618F">
              <w:t>ungtinių studijų, mokslinių tyrimų ir eksperimentinės (socialinės, kultūrinės) plėtros ir inovacijų iniciatyvų įgyvendinimo aprašo patvirtinimo“ pakeitimo</w:t>
            </w:r>
            <w:r>
              <w:t>“.</w:t>
            </w:r>
          </w:p>
        </w:tc>
      </w:tr>
      <w:tr w:rsidR="00857149" w:rsidTr="006A7342">
        <w:tc>
          <w:tcPr>
            <w:tcW w:w="1555" w:type="dxa"/>
            <w:vMerge/>
          </w:tcPr>
          <w:p w:rsidR="00857149" w:rsidRDefault="00857149" w:rsidP="00A47D63">
            <w:pPr>
              <w:jc w:val="center"/>
              <w:rPr>
                <w:rFonts w:ascii="Times New Roman" w:eastAsia="Calibri" w:hAnsi="Times New Roman" w:cs="Times New Roman"/>
                <w:sz w:val="24"/>
                <w:szCs w:val="24"/>
              </w:rPr>
            </w:pP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tcPr>
          <w:p w:rsidR="00857149" w:rsidRDefault="00857149" w:rsidP="00FC4965">
            <w:pPr>
              <w:jc w:val="both"/>
              <w:rPr>
                <w:rFonts w:ascii="Times New Roman" w:hAnsi="Times New Roman" w:cs="Times New Roman"/>
                <w:sz w:val="24"/>
                <w:szCs w:val="24"/>
              </w:rPr>
            </w:pPr>
            <w:r w:rsidRPr="00857149">
              <w:rPr>
                <w:rFonts w:ascii="Times New Roman" w:hAnsi="Times New Roman" w:cs="Times New Roman"/>
                <w:sz w:val="24"/>
                <w:szCs w:val="24"/>
              </w:rPr>
              <w:t>51. Pareiškėjas turi padengti ne mažiau kaip 50 procentų tinkamų finansuoti skirtų išlaidų ir, jeigu pretenduojama į projekto finansuojamosios dalies padidinimą už veiksmingą bendradarbiavimą, kaip nurodyta Aprašo 47 punkte, ne daugiau kaip [...]</w:t>
            </w:r>
          </w:p>
        </w:tc>
        <w:tc>
          <w:tcPr>
            <w:tcW w:w="4111" w:type="dxa"/>
          </w:tcPr>
          <w:p w:rsidR="00857149" w:rsidRDefault="00857149" w:rsidP="00857149">
            <w:pPr>
              <w:pStyle w:val="Default"/>
              <w:jc w:val="both"/>
            </w:pPr>
            <w:r>
              <w:t xml:space="preserve">Manome, kad žodis “skirtų” yra perteklinis bei sukeliantis </w:t>
            </w:r>
            <w:proofErr w:type="spellStart"/>
            <w:r>
              <w:t>daugiaprasmybę</w:t>
            </w:r>
            <w:proofErr w:type="spellEnd"/>
            <w:r>
              <w:t xml:space="preserve"> viso sakinio kontekste.</w:t>
            </w:r>
          </w:p>
          <w:p w:rsidR="00857149" w:rsidRDefault="00857149" w:rsidP="00857149">
            <w:pPr>
              <w:pStyle w:val="Default"/>
              <w:jc w:val="both"/>
            </w:pPr>
          </w:p>
          <w:p w:rsidR="00857149" w:rsidRDefault="00857149" w:rsidP="00857149">
            <w:pPr>
              <w:pStyle w:val="Default"/>
              <w:jc w:val="both"/>
            </w:pPr>
            <w:r>
              <w:t>Siūlome  pakoreguoti taip (išbraukiant žodį “skirtų”):</w:t>
            </w:r>
          </w:p>
          <w:p w:rsidR="00857149" w:rsidRPr="00961CFF" w:rsidRDefault="00857149" w:rsidP="00857149">
            <w:pPr>
              <w:pStyle w:val="Default"/>
              <w:jc w:val="both"/>
            </w:pPr>
            <w:r>
              <w:t>51. Pareiškėjas turi padengti ne mažiau kaip 50 procentų tinkamų finansuoti išlaidų ir, &lt;...&gt;</w:t>
            </w:r>
          </w:p>
        </w:tc>
        <w:tc>
          <w:tcPr>
            <w:tcW w:w="1699" w:type="dxa"/>
          </w:tcPr>
          <w:p w:rsidR="00857149" w:rsidRDefault="0042618F"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857149" w:rsidRPr="00961CFF" w:rsidRDefault="0042618F" w:rsidP="00FC4965">
            <w:pPr>
              <w:pStyle w:val="Default"/>
              <w:jc w:val="both"/>
            </w:pPr>
            <w:r>
              <w:t>Patikslintas PFSA 51</w:t>
            </w:r>
            <w:r w:rsidR="00F23CCE">
              <w:t xml:space="preserve"> (buvęs 50) punktas, išbraukiant žodį </w:t>
            </w:r>
            <w:r w:rsidR="00F23CCE" w:rsidRPr="00F23CCE">
              <w:t>“skirtų”</w:t>
            </w:r>
            <w:r w:rsidR="00F23CCE">
              <w:t>.</w:t>
            </w:r>
          </w:p>
        </w:tc>
      </w:tr>
      <w:tr w:rsidR="00857149" w:rsidTr="006A7342">
        <w:tc>
          <w:tcPr>
            <w:tcW w:w="1555" w:type="dxa"/>
            <w:vMerge/>
          </w:tcPr>
          <w:p w:rsidR="00857149" w:rsidRDefault="00857149" w:rsidP="00A47D63">
            <w:pPr>
              <w:jc w:val="center"/>
              <w:rPr>
                <w:rFonts w:ascii="Times New Roman" w:eastAsia="Calibri" w:hAnsi="Times New Roman" w:cs="Times New Roman"/>
                <w:sz w:val="24"/>
                <w:szCs w:val="24"/>
              </w:rPr>
            </w:pP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3686" w:type="dxa"/>
          </w:tcPr>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51. Pareiškėjas turi padengti ne mažiau kaip 50 procentų tinkamų finansuoti skirtų išlaidų ir, jeigu pretenduojama į projekto finansuojamosios dalies padidinimą už veiksmingą bendradarbiavimą, kaip nurodyta Aprašo 47 punkte, ne daugiau kaip:</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51.1. 70 procentų tinkamų finansuoti išlaidų, jeigu partneris arba vienas iš partnerių yra privatusis juridinis asmuo;</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51.2. 90 procentų tinkamų finansuoti  išlaidų, jeigu partneris yra mokslo ir studijų institucija.</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52. Jei pretenduojama į projekto finansuojamosios dalies padidinimą už veiksmingą bendradarbiavimą, kaip nurodyta Aprašo 47 punkte, partneris turi padengti ne mažiau kaip:</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 xml:space="preserve">52.1. 10 proc. tinkamų finansuoti išlaidų, jeigu partneris yra mokslo ir studijų institucija. Jeigu partneriais </w:t>
            </w:r>
            <w:r w:rsidRPr="00857149">
              <w:rPr>
                <w:rFonts w:ascii="Times New Roman" w:hAnsi="Times New Roman" w:cs="Times New Roman"/>
                <w:sz w:val="24"/>
                <w:szCs w:val="24"/>
              </w:rPr>
              <w:lastRenderedPageBreak/>
              <w:t>yra daugiau nei viena mokslo ir studijų institucija, jos kartu turi padengti ne mažiau kaip 10 proc. tinkamų finansuoti  išlaidų;</w:t>
            </w:r>
          </w:p>
          <w:p w:rsid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52.2. 30 proc. tinkamų finansuoti išlaidų, jeigu partneris yra privatusis juridinis asmuo. Jeigu partneriais yra daugiau nei vienas privatusis juridinis asmuo, jie kartu turi padengti ne mažiau kaip 30 proc. tinkamų finansuoti išlaidų.</w:t>
            </w:r>
          </w:p>
        </w:tc>
        <w:tc>
          <w:tcPr>
            <w:tcW w:w="4111" w:type="dxa"/>
          </w:tcPr>
          <w:p w:rsidR="00857149" w:rsidRDefault="00857149" w:rsidP="00857149">
            <w:pPr>
              <w:pStyle w:val="Default"/>
              <w:jc w:val="both"/>
            </w:pPr>
            <w:r>
              <w:lastRenderedPageBreak/>
              <w:t>Kadangi, pareiškėjas bus “mokslo ir studijų institucija” ir ji turės padengti ne mažiau kaip 50 procentų tinkamų finansuoti išlaidų, tai visais atvejais bus tenkinama  sąlyga apibūdinanti veiksmingą bendradarbiavimą, kaip nurodyta Aprašo 47 punkte.</w:t>
            </w:r>
          </w:p>
          <w:p w:rsidR="00857149" w:rsidRDefault="00857149" w:rsidP="00857149">
            <w:pPr>
              <w:pStyle w:val="Default"/>
              <w:jc w:val="both"/>
            </w:pPr>
          </w:p>
          <w:p w:rsidR="00857149" w:rsidRPr="00961CFF" w:rsidRDefault="00857149" w:rsidP="00857149">
            <w:pPr>
              <w:pStyle w:val="Default"/>
              <w:jc w:val="both"/>
            </w:pPr>
            <w:r>
              <w:t>Manome, kad 51.1-52.2 punktuose įvardintos nuostatos yra perteklinės ir klaidinančios, kai pareiškėjas yra mokslo ir studijų institucija.</w:t>
            </w:r>
          </w:p>
        </w:tc>
        <w:tc>
          <w:tcPr>
            <w:tcW w:w="1699" w:type="dxa"/>
          </w:tcPr>
          <w:p w:rsidR="00857149" w:rsidRDefault="0042618F"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2234" w:type="dxa"/>
          </w:tcPr>
          <w:p w:rsidR="00857149" w:rsidRPr="00961CFF" w:rsidRDefault="00F23CCE" w:rsidP="00FC4965">
            <w:pPr>
              <w:pStyle w:val="Default"/>
              <w:jc w:val="both"/>
            </w:pPr>
            <w:r>
              <w:t xml:space="preserve">50 (buvusio </w:t>
            </w:r>
            <w:r w:rsidR="0042618F">
              <w:t>51</w:t>
            </w:r>
            <w:r>
              <w:t>)</w:t>
            </w:r>
            <w:r w:rsidR="0042618F">
              <w:t xml:space="preserve"> punkto nuostatos suderintos </w:t>
            </w:r>
            <w:r w:rsidR="0042618F" w:rsidRPr="0042618F">
              <w:t>su įgyvendinančiąja institucija VšĮ Lietuvos verslo paramos agentūra.</w:t>
            </w:r>
          </w:p>
        </w:tc>
      </w:tr>
      <w:tr w:rsidR="00857149" w:rsidTr="006A7342">
        <w:tc>
          <w:tcPr>
            <w:tcW w:w="1555" w:type="dxa"/>
            <w:vMerge/>
          </w:tcPr>
          <w:p w:rsidR="00857149" w:rsidRDefault="00857149" w:rsidP="00A47D63">
            <w:pPr>
              <w:jc w:val="center"/>
              <w:rPr>
                <w:rFonts w:ascii="Times New Roman" w:eastAsia="Calibri" w:hAnsi="Times New Roman" w:cs="Times New Roman"/>
                <w:sz w:val="24"/>
                <w:szCs w:val="24"/>
              </w:rPr>
            </w:pP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4.</w:t>
            </w:r>
          </w:p>
        </w:tc>
        <w:tc>
          <w:tcPr>
            <w:tcW w:w="3686" w:type="dxa"/>
          </w:tcPr>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2 lentelė. Tinkamų arba netinkamų finansuoti išlaidų kategorijos.</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5. Projekto vykdymas</w:t>
            </w:r>
          </w:p>
          <w:p w:rsid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5.1 ir 5.2 papunkčiuose nurodytos išlaidos kartu su Aprašo 2 lentelės išlaidų kategorijos Nr. 4 „Įranga, įrenginiai ir kitas turtas“ nurodytomis išlaidomis negali sudaryti daugiau nei 75 procentus tinkamų finansuoti išlaidų.</w:t>
            </w:r>
          </w:p>
        </w:tc>
        <w:tc>
          <w:tcPr>
            <w:tcW w:w="4111" w:type="dxa"/>
          </w:tcPr>
          <w:p w:rsidR="00857149" w:rsidRDefault="00857149" w:rsidP="00857149">
            <w:pPr>
              <w:pStyle w:val="Default"/>
              <w:jc w:val="both"/>
            </w:pPr>
            <w:r>
              <w:t>2 lentelėje „Tinkamų arba netinkamų finansuoti išlaidų kategorijos“ jau yra įvardinta, kad:</w:t>
            </w:r>
          </w:p>
          <w:p w:rsidR="00857149" w:rsidRDefault="00857149" w:rsidP="00857149">
            <w:pPr>
              <w:pStyle w:val="Default"/>
              <w:jc w:val="both"/>
            </w:pPr>
            <w:r>
              <w:t>-</w:t>
            </w:r>
            <w:r>
              <w:tab/>
              <w:t xml:space="preserve"> 4.1. išlaidos „negali sudaryti daugiau nei 10 procentų tinkamų finansuoti išlaidų ir neviršyti 300 000 </w:t>
            </w:r>
            <w:proofErr w:type="spellStart"/>
            <w:r>
              <w:t>Eur</w:t>
            </w:r>
            <w:proofErr w:type="spellEnd"/>
            <w:r>
              <w:t xml:space="preserve"> be PVM sumos“;</w:t>
            </w:r>
          </w:p>
          <w:p w:rsidR="00857149" w:rsidRDefault="00857149" w:rsidP="00857149">
            <w:pPr>
              <w:pStyle w:val="Default"/>
              <w:jc w:val="both"/>
            </w:pPr>
            <w:r>
              <w:t>-</w:t>
            </w:r>
            <w:r>
              <w:tab/>
              <w:t>4.2. išlaidos“ kartu su Aprašo 2 lentelės 5 išlaidų kategorijos „Projekto vykdymas“ 5.1 ir 5.2 papunkčiuose nurodytomis išlaidomis negali sudaryti daugiau nei 10 procentų tinkamų finansuoti išlaidų“</w:t>
            </w:r>
          </w:p>
          <w:p w:rsidR="00857149" w:rsidRDefault="00857149" w:rsidP="00857149">
            <w:pPr>
              <w:pStyle w:val="Default"/>
              <w:jc w:val="both"/>
            </w:pPr>
            <w:r>
              <w:t>Tai yra, visais atvejais 4.1., 4.2., 5.1 ir 5.2 bus ne daugiau 20 proc. tinkamų finansuoti išlaidų.</w:t>
            </w:r>
          </w:p>
          <w:p w:rsidR="00857149" w:rsidRDefault="00857149" w:rsidP="00857149">
            <w:pPr>
              <w:pStyle w:val="Default"/>
              <w:jc w:val="both"/>
            </w:pPr>
            <w:r>
              <w:t>Siūlome atsisakyti perteklinės nuostatos:</w:t>
            </w:r>
          </w:p>
          <w:p w:rsidR="00857149" w:rsidRPr="00961CFF" w:rsidRDefault="00857149" w:rsidP="00857149">
            <w:pPr>
              <w:pStyle w:val="Default"/>
              <w:jc w:val="both"/>
            </w:pPr>
            <w:r>
              <w:t xml:space="preserve"> 5.1 ir 5.2 papunkčiuose nurodytos išlaidos kartu su Aprašo 2 lentelės išlaidų kategorijos Nr. 4 „Įranga, įrenginiai ir kitas turtas“ nurodytomis išlaidomis negali sudaryti daugiau nei 75 procentus tinkamų finansuoti išlaidų.</w:t>
            </w:r>
          </w:p>
        </w:tc>
        <w:tc>
          <w:tcPr>
            <w:tcW w:w="1699" w:type="dxa"/>
          </w:tcPr>
          <w:p w:rsidR="00857149" w:rsidRDefault="0042618F" w:rsidP="00A47D63">
            <w:pPr>
              <w:jc w:val="center"/>
              <w:rPr>
                <w:rFonts w:ascii="Times New Roman" w:hAnsi="Times New Roman" w:cs="Times New Roman"/>
                <w:sz w:val="24"/>
                <w:szCs w:val="24"/>
              </w:rPr>
            </w:pPr>
            <w:r>
              <w:rPr>
                <w:rFonts w:ascii="Times New Roman" w:hAnsi="Times New Roman" w:cs="Times New Roman"/>
                <w:sz w:val="24"/>
                <w:szCs w:val="24"/>
              </w:rPr>
              <w:t>Iš dalies atsižvelgta</w:t>
            </w:r>
          </w:p>
        </w:tc>
        <w:tc>
          <w:tcPr>
            <w:tcW w:w="2234" w:type="dxa"/>
          </w:tcPr>
          <w:p w:rsidR="00857149" w:rsidRPr="00961CFF" w:rsidRDefault="0042618F" w:rsidP="00FC4965">
            <w:pPr>
              <w:pStyle w:val="Default"/>
              <w:jc w:val="both"/>
            </w:pPr>
            <w:r>
              <w:t xml:space="preserve">2 lentelės </w:t>
            </w:r>
            <w:r w:rsidR="00F23CCE">
              <w:t xml:space="preserve">atitinkami </w:t>
            </w:r>
            <w:r>
              <w:t>punktai pakoreguoti atsižvelgiant į tai, kad PFSA projekto derinimo su VšĮ Lietuvos verslo paramos agentūra metu nuspręsta atsisakyti išlaidų įrangai.</w:t>
            </w:r>
          </w:p>
        </w:tc>
      </w:tr>
      <w:tr w:rsidR="00857149" w:rsidTr="006A7342">
        <w:tc>
          <w:tcPr>
            <w:tcW w:w="1555" w:type="dxa"/>
            <w:vMerge/>
          </w:tcPr>
          <w:p w:rsidR="00857149" w:rsidRDefault="00857149" w:rsidP="00A47D63">
            <w:pPr>
              <w:jc w:val="center"/>
              <w:rPr>
                <w:rFonts w:ascii="Times New Roman" w:eastAsia="Calibri" w:hAnsi="Times New Roman" w:cs="Times New Roman"/>
                <w:sz w:val="24"/>
                <w:szCs w:val="24"/>
              </w:rPr>
            </w:pP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5.</w:t>
            </w:r>
          </w:p>
        </w:tc>
        <w:tc>
          <w:tcPr>
            <w:tcW w:w="3686" w:type="dxa"/>
          </w:tcPr>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2 PRIEDAS. PROJEKTO NAUDOS IR KOKYBĖS VERTINIMO LENTELĖ</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1. Projekto metu sukurto(s) produkto (inovacijos) reikšmingumo lygis.</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Jeigu projekto įgyvendinimo metu arba per 3 metus po projekto įgyvendinimo bus sukurtas 1 arba daugiau produktų, kurie nauji rinkos lygmenyje, už kiekvieną naują rinkos lygmenyje produktą skiriama 3,6 balo, bet ne daugiau kaip 18 balų už visus naujus rinkos lygmenyje produktus.</w:t>
            </w:r>
          </w:p>
          <w:p w:rsidR="00857149" w:rsidRP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Jeigu  projekto įgyvendinimo metu arba per 3 metus po projekto įgyvendinimo bus sukurtas 1 pasaulio lygmenyje naujas produktas ir rinkos lygmenyje nauji produktai, vertinama pagal žemiau nurodytą formulę, tačiau X reikšmė negali būti didesnė nei 28,8 balo (jeigu X reikšmė gaunama didesnė nei 28,8, projektui skiriami 28,8 balo):</w:t>
            </w:r>
          </w:p>
          <w:p w:rsidR="00857149" w:rsidRDefault="00857149" w:rsidP="00857149">
            <w:pPr>
              <w:jc w:val="both"/>
              <w:rPr>
                <w:rFonts w:ascii="Times New Roman" w:hAnsi="Times New Roman" w:cs="Times New Roman"/>
                <w:sz w:val="24"/>
                <w:szCs w:val="24"/>
              </w:rPr>
            </w:pPr>
            <w:r w:rsidRPr="00857149">
              <w:rPr>
                <w:rFonts w:ascii="Times New Roman" w:hAnsi="Times New Roman" w:cs="Times New Roman"/>
                <w:sz w:val="24"/>
                <w:szCs w:val="24"/>
              </w:rPr>
              <w:t>X=24+0,6*R, kur &lt;...&gt;</w:t>
            </w:r>
          </w:p>
        </w:tc>
        <w:tc>
          <w:tcPr>
            <w:tcW w:w="4111" w:type="dxa"/>
          </w:tcPr>
          <w:p w:rsidR="00543B92" w:rsidRDefault="00543B92" w:rsidP="00543B92">
            <w:pPr>
              <w:pStyle w:val="Default"/>
              <w:jc w:val="both"/>
            </w:pPr>
            <w:r>
              <w:t>Manome, kad formulėje yra klaida.</w:t>
            </w:r>
          </w:p>
          <w:p w:rsidR="00543B92" w:rsidRDefault="00543B92" w:rsidP="00543B92">
            <w:pPr>
              <w:pStyle w:val="Default"/>
              <w:jc w:val="both"/>
            </w:pPr>
          </w:p>
          <w:p w:rsidR="00543B92" w:rsidRDefault="00543B92" w:rsidP="00543B92">
            <w:pPr>
              <w:pStyle w:val="Default"/>
              <w:jc w:val="both"/>
            </w:pPr>
            <w:r>
              <w:t>Siūlome patikslintą formulę:</w:t>
            </w:r>
          </w:p>
          <w:p w:rsidR="00857149" w:rsidRPr="00961CFF" w:rsidRDefault="00543B92" w:rsidP="00543B92">
            <w:pPr>
              <w:pStyle w:val="Default"/>
              <w:jc w:val="both"/>
            </w:pPr>
            <w:r>
              <w:t>X=24+3,6*R, kur &lt;...&gt;</w:t>
            </w:r>
          </w:p>
        </w:tc>
        <w:tc>
          <w:tcPr>
            <w:tcW w:w="1699" w:type="dxa"/>
          </w:tcPr>
          <w:p w:rsidR="00857149" w:rsidRDefault="00EB4B7B"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234" w:type="dxa"/>
          </w:tcPr>
          <w:p w:rsidR="00857149" w:rsidRPr="00961CFF" w:rsidRDefault="00EB4B7B" w:rsidP="00FC4965">
            <w:pPr>
              <w:pStyle w:val="Default"/>
              <w:jc w:val="both"/>
            </w:pPr>
            <w:r>
              <w:t>Formulė pakoreguota.</w:t>
            </w:r>
          </w:p>
        </w:tc>
      </w:tr>
      <w:tr w:rsidR="00857149" w:rsidTr="006A7342">
        <w:tc>
          <w:tcPr>
            <w:tcW w:w="1555" w:type="dxa"/>
            <w:vMerge/>
          </w:tcPr>
          <w:p w:rsidR="00857149" w:rsidRDefault="00857149" w:rsidP="00A47D63">
            <w:pPr>
              <w:jc w:val="center"/>
              <w:rPr>
                <w:rFonts w:ascii="Times New Roman" w:eastAsia="Calibri" w:hAnsi="Times New Roman" w:cs="Times New Roman"/>
                <w:sz w:val="24"/>
                <w:szCs w:val="24"/>
              </w:rPr>
            </w:pP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6.</w:t>
            </w:r>
          </w:p>
        </w:tc>
        <w:tc>
          <w:tcPr>
            <w:tcW w:w="3686" w:type="dxa"/>
          </w:tcPr>
          <w:p w:rsidR="00543B92" w:rsidRPr="00543B92" w:rsidRDefault="00543B92" w:rsidP="00543B92">
            <w:pPr>
              <w:jc w:val="both"/>
              <w:rPr>
                <w:rFonts w:ascii="Times New Roman" w:hAnsi="Times New Roman" w:cs="Times New Roman"/>
                <w:sz w:val="24"/>
                <w:szCs w:val="24"/>
              </w:rPr>
            </w:pPr>
            <w:r w:rsidRPr="00543B92">
              <w:rPr>
                <w:rFonts w:ascii="Times New Roman" w:hAnsi="Times New Roman" w:cs="Times New Roman"/>
                <w:sz w:val="24"/>
                <w:szCs w:val="24"/>
              </w:rPr>
              <w:t>2 PRIEDAS. PROJEKTO NAUDOS IR KOKYBĖS VERTINIMO LENTELĖ</w:t>
            </w:r>
          </w:p>
          <w:p w:rsidR="00543B92" w:rsidRPr="00543B92" w:rsidRDefault="00543B92" w:rsidP="00543B92">
            <w:pPr>
              <w:jc w:val="both"/>
              <w:rPr>
                <w:rFonts w:ascii="Times New Roman" w:hAnsi="Times New Roman" w:cs="Times New Roman"/>
                <w:sz w:val="24"/>
                <w:szCs w:val="24"/>
              </w:rPr>
            </w:pPr>
            <w:r w:rsidRPr="00543B92">
              <w:rPr>
                <w:rFonts w:ascii="Times New Roman" w:hAnsi="Times New Roman" w:cs="Times New Roman"/>
                <w:sz w:val="24"/>
                <w:szCs w:val="24"/>
              </w:rPr>
              <w:t>3. Privačios investicijos.</w:t>
            </w:r>
          </w:p>
          <w:p w:rsidR="00543B92" w:rsidRPr="00543B92" w:rsidRDefault="00543B92" w:rsidP="00543B92">
            <w:pPr>
              <w:jc w:val="both"/>
              <w:rPr>
                <w:rFonts w:ascii="Times New Roman" w:hAnsi="Times New Roman" w:cs="Times New Roman"/>
                <w:sz w:val="24"/>
                <w:szCs w:val="24"/>
              </w:rPr>
            </w:pPr>
            <w:r w:rsidRPr="00543B92">
              <w:rPr>
                <w:rFonts w:ascii="Times New Roman" w:hAnsi="Times New Roman" w:cs="Times New Roman"/>
                <w:sz w:val="24"/>
                <w:szCs w:val="24"/>
              </w:rPr>
              <w:lastRenderedPageBreak/>
              <w:t>Prioritetas teikiamas projektams, kuriuose  projekto vykdytojo ir (arba) partnerio privatus indėlis į remiamą projektą yra didesnis. Vertinimo metu skaičiuojama įgyvendinant inovacijų skatinimo arba MTEP projektą pritrauktų privačių investicijų suma.</w:t>
            </w:r>
          </w:p>
          <w:p w:rsidR="00857149" w:rsidRDefault="00543B92" w:rsidP="00543B92">
            <w:pPr>
              <w:jc w:val="both"/>
              <w:rPr>
                <w:rFonts w:ascii="Times New Roman" w:hAnsi="Times New Roman" w:cs="Times New Roman"/>
                <w:sz w:val="24"/>
                <w:szCs w:val="24"/>
              </w:rPr>
            </w:pPr>
            <w:r w:rsidRPr="00543B92">
              <w:rPr>
                <w:rFonts w:ascii="Times New Roman" w:hAnsi="Times New Roman" w:cs="Times New Roman"/>
                <w:sz w:val="24"/>
                <w:szCs w:val="24"/>
              </w:rPr>
              <w:t xml:space="preserve">Projektai </w:t>
            </w:r>
            <w:proofErr w:type="spellStart"/>
            <w:r w:rsidRPr="00543B92">
              <w:rPr>
                <w:rFonts w:ascii="Times New Roman" w:hAnsi="Times New Roman" w:cs="Times New Roman"/>
                <w:sz w:val="24"/>
                <w:szCs w:val="24"/>
              </w:rPr>
              <w:t>suranguojami</w:t>
            </w:r>
            <w:proofErr w:type="spellEnd"/>
            <w:r w:rsidRPr="00543B92">
              <w:rPr>
                <w:rFonts w:ascii="Times New Roman" w:hAnsi="Times New Roman" w:cs="Times New Roman"/>
                <w:sz w:val="24"/>
                <w:szCs w:val="24"/>
              </w:rPr>
              <w:t xml:space="preserve"> nuo didžiausio iki mažiausio pagal projekto vykdytojo ir (arba) partnerio privataus indėlio dydį numatyto projekto paraiškoje. 10 procentų projektų, kuriuose yra didžiausias projekto vykdytojo ir (arba) partnerio privatus indėlis, vertinami 10 balų. Į kiekvieną kitą 10 procentų intervalą patenkantys mažesnį projekto vykdytojo ir (arba) partnerio privatų indėlį turintys projektai vertinami suteikiant 1 balu mažesnį įvertinimą.</w:t>
            </w:r>
          </w:p>
        </w:tc>
        <w:tc>
          <w:tcPr>
            <w:tcW w:w="4111" w:type="dxa"/>
          </w:tcPr>
          <w:p w:rsidR="00543B92" w:rsidRDefault="00543B92" w:rsidP="00543B92">
            <w:pPr>
              <w:pStyle w:val="Default"/>
              <w:jc w:val="both"/>
            </w:pPr>
            <w:r>
              <w:lastRenderedPageBreak/>
              <w:t xml:space="preserve">Manome, kad šis kriterijus nepagrįstai privalumą teikia projektams pagal pritrauktų privačių investicijų sumos dydį jų įgyvendinimui, o ne pagal viešo </w:t>
            </w:r>
            <w:r>
              <w:lastRenderedPageBreak/>
              <w:t>investavimo efektyvumą norint pritraukti privačias investicijas.</w:t>
            </w:r>
          </w:p>
          <w:p w:rsidR="00543B92" w:rsidRDefault="00543B92" w:rsidP="00543B92">
            <w:pPr>
              <w:pStyle w:val="Default"/>
              <w:jc w:val="both"/>
            </w:pPr>
          </w:p>
          <w:p w:rsidR="00543B92" w:rsidRDefault="00543B92" w:rsidP="00543B92">
            <w:pPr>
              <w:pStyle w:val="Default"/>
              <w:jc w:val="both"/>
            </w:pPr>
            <w:r>
              <w:t>Siūlome vertinti ne pritrauktų privačių investicijų sumą absoliučiais skaičiais, o vertinti santykį, tarp pritrauktų privačių investicijų sumos ir projekto finansavimo sumos, šį kriterijų įvardijant taip:</w:t>
            </w:r>
          </w:p>
          <w:p w:rsidR="00543B92" w:rsidRDefault="00543B92" w:rsidP="00543B92">
            <w:pPr>
              <w:pStyle w:val="Default"/>
              <w:jc w:val="both"/>
            </w:pPr>
            <w:r>
              <w:t>Privatus indėlis į remiamą projektą apskaičiuojamas pagal formulę:</w:t>
            </w:r>
          </w:p>
          <w:p w:rsidR="00543B92" w:rsidRDefault="00543B92" w:rsidP="00543B92">
            <w:pPr>
              <w:pStyle w:val="Default"/>
              <w:jc w:val="both"/>
            </w:pPr>
            <w:r>
              <w:t>P = pritrauktų privačių investicijų suma projekte / projekto finansavimas</w:t>
            </w:r>
          </w:p>
          <w:p w:rsidR="00857149" w:rsidRPr="00961CFF" w:rsidRDefault="00857149" w:rsidP="006A7342">
            <w:pPr>
              <w:pStyle w:val="Default"/>
              <w:jc w:val="both"/>
            </w:pPr>
          </w:p>
        </w:tc>
        <w:tc>
          <w:tcPr>
            <w:tcW w:w="1699" w:type="dxa"/>
          </w:tcPr>
          <w:p w:rsidR="00857149" w:rsidRDefault="00EB4B7B" w:rsidP="00A47D63">
            <w:pPr>
              <w:jc w:val="cente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234" w:type="dxa"/>
          </w:tcPr>
          <w:p w:rsidR="00857149" w:rsidRPr="00961CFF" w:rsidRDefault="00EB4B7B" w:rsidP="00EB4B7B">
            <w:pPr>
              <w:pStyle w:val="Default"/>
              <w:jc w:val="both"/>
            </w:pPr>
            <w:r w:rsidRPr="00EB4B7B">
              <w:t xml:space="preserve">Priemonės atrankos kriterijai buvo suderinti su Finansų ministerija ir patvirtinti 2015 m. </w:t>
            </w:r>
            <w:r w:rsidRPr="00EB4B7B">
              <w:lastRenderedPageBreak/>
              <w:t>liepos 9 d. ES fondų investicijų veiksmų programos stebėsenos komiteto posėdyje nutarimu Nr. 44P-6.1 (8)2014–2020. Projektų finansavimo sąlygų</w:t>
            </w:r>
            <w:r>
              <w:t xml:space="preserve"> aprašo rengimo metu patvirtintų kriterijų</w:t>
            </w:r>
            <w:r w:rsidRPr="00EB4B7B">
              <w:t xml:space="preserve"> </w:t>
            </w:r>
            <w:r>
              <w:t xml:space="preserve">vertinimo aspektai </w:t>
            </w:r>
            <w:r w:rsidRPr="00EB4B7B">
              <w:t>negali būti keičiami.</w:t>
            </w:r>
            <w:r>
              <w:t xml:space="preserve"> </w:t>
            </w:r>
            <w:r w:rsidRPr="00EB4B7B">
              <w:t>Esant Finansų ministerijos pritarimui, Švietim</w:t>
            </w:r>
            <w:r>
              <w:t>o ir mokslo ministerija svarstytų galimybę koreguoti šio kriterijaus vertinimo aspektą</w:t>
            </w:r>
            <w:r w:rsidRPr="00EB4B7B">
              <w:t>.</w:t>
            </w:r>
            <w:r>
              <w:t xml:space="preserve"> </w:t>
            </w:r>
            <w:r w:rsidRPr="00EB4B7B">
              <w:t xml:space="preserve"> </w:t>
            </w:r>
          </w:p>
        </w:tc>
      </w:tr>
      <w:tr w:rsidR="00857149" w:rsidTr="006A7342">
        <w:tc>
          <w:tcPr>
            <w:tcW w:w="1555" w:type="dxa"/>
            <w:vMerge/>
          </w:tcPr>
          <w:p w:rsidR="00857149" w:rsidRDefault="00857149" w:rsidP="00A47D63">
            <w:pPr>
              <w:jc w:val="center"/>
              <w:rPr>
                <w:rFonts w:ascii="Times New Roman" w:eastAsia="Calibri" w:hAnsi="Times New Roman" w:cs="Times New Roman"/>
                <w:sz w:val="24"/>
                <w:szCs w:val="24"/>
              </w:rPr>
            </w:pP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7.</w:t>
            </w:r>
          </w:p>
        </w:tc>
        <w:tc>
          <w:tcPr>
            <w:tcW w:w="3686" w:type="dxa"/>
          </w:tcPr>
          <w:p w:rsidR="00543B92" w:rsidRPr="00543B92" w:rsidRDefault="00543B92" w:rsidP="00543B92">
            <w:pPr>
              <w:jc w:val="both"/>
              <w:rPr>
                <w:rFonts w:ascii="Times New Roman" w:hAnsi="Times New Roman" w:cs="Times New Roman"/>
                <w:sz w:val="24"/>
                <w:szCs w:val="24"/>
              </w:rPr>
            </w:pPr>
            <w:r w:rsidRPr="00543B92">
              <w:rPr>
                <w:rFonts w:ascii="Times New Roman" w:hAnsi="Times New Roman" w:cs="Times New Roman"/>
                <w:sz w:val="24"/>
                <w:szCs w:val="24"/>
              </w:rPr>
              <w:t>2 PRIEDAS. PROJEKTO NAUDOS IR KOKYBĖS VERTINIMO LENTELĖ</w:t>
            </w:r>
          </w:p>
          <w:p w:rsidR="00857149" w:rsidRDefault="00543B92" w:rsidP="00543B92">
            <w:pPr>
              <w:jc w:val="both"/>
              <w:rPr>
                <w:rFonts w:ascii="Times New Roman" w:hAnsi="Times New Roman" w:cs="Times New Roman"/>
                <w:sz w:val="24"/>
                <w:szCs w:val="24"/>
              </w:rPr>
            </w:pPr>
            <w:r w:rsidRPr="00543B92">
              <w:rPr>
                <w:rFonts w:ascii="Times New Roman" w:hAnsi="Times New Roman" w:cs="Times New Roman"/>
                <w:sz w:val="24"/>
                <w:szCs w:val="24"/>
              </w:rPr>
              <w:t>5. Projektas prisideda prie bent vieno Europos Sąjungos Baltijos jūros regiono strategijos tikslo ir veiksmų plano prioritetinės srities „Inovacijos“ ir (arba) „Švietimas“ įgyvendinimo.</w:t>
            </w:r>
          </w:p>
        </w:tc>
        <w:tc>
          <w:tcPr>
            <w:tcW w:w="4111" w:type="dxa"/>
          </w:tcPr>
          <w:p w:rsidR="00543B92" w:rsidRDefault="00543B92" w:rsidP="00543B92">
            <w:pPr>
              <w:pStyle w:val="Default"/>
              <w:jc w:val="both"/>
            </w:pPr>
            <w:r>
              <w:t>Visais atvejais bet kuris tinkamas finansuoti projektas turi prisidėti prie minėtos Strategijos įgyvendinimo pagal aprašo punktą Nr. 27. „Projektu turi būti prisidedama prie Europos Sąjungos Baltijos jūros regiono strategijos, patvirtintos Europos Komisijos (toliau – EK) 2009 m. birželio 10 d. komunikatu Nr. COM(2009) 248, kuri skelbiama Europos Komisijos svetainėje adresu http://ec.europa.eu/regional_policy/lt/policy/cooperation/macro-regional-</w:t>
            </w:r>
            <w:r>
              <w:lastRenderedPageBreak/>
              <w:t>strategies/baltic-sea/library/#1 (toliau – ES BJRS), tikslo – didinti regiono klestėjimą, įgyvendinimo pagal ES BJRS veiksmų plane, patvirtintame EK 2015 m. rugsėjo 10 d. sprendimu Nr. SWD(2015)177, kuris skelbiamas EK svetainėje adresu http://ec.europa.eu/regional_policy/lt/policy/cooperation/macro-regional-strategies/baltic-sea/library/#1, numatytą politinę sritį „Inovacijos“.</w:t>
            </w:r>
          </w:p>
          <w:p w:rsidR="00543B92" w:rsidRDefault="00543B92" w:rsidP="00543B92">
            <w:pPr>
              <w:pStyle w:val="Default"/>
              <w:jc w:val="both"/>
            </w:pPr>
          </w:p>
          <w:p w:rsidR="00857149" w:rsidRPr="00961CFF" w:rsidRDefault="00543B92" w:rsidP="00543B92">
            <w:pPr>
              <w:pStyle w:val="Default"/>
              <w:jc w:val="both"/>
            </w:pPr>
            <w:r>
              <w:t>Atsižvelgiant į tai, kad visi projektai gaus po 5 balus, siūlome atsisakyti šio kriterijaus, kaip nedidinančio projektų kokybės, ir šiuos 5 balus perkelti prie kriterijaus Nr. 3 „Privačios investicijos“</w:t>
            </w:r>
          </w:p>
        </w:tc>
        <w:tc>
          <w:tcPr>
            <w:tcW w:w="1699" w:type="dxa"/>
          </w:tcPr>
          <w:p w:rsidR="00857149" w:rsidRDefault="00EB4B7B" w:rsidP="00A47D63">
            <w:pPr>
              <w:jc w:val="cente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234" w:type="dxa"/>
          </w:tcPr>
          <w:p w:rsidR="00857149" w:rsidRPr="00961CFF" w:rsidRDefault="00EB4B7B" w:rsidP="00FC4965">
            <w:pPr>
              <w:pStyle w:val="Default"/>
              <w:jc w:val="both"/>
            </w:pPr>
            <w:r w:rsidRPr="00EB4B7B">
              <w:t xml:space="preserve">Priemonės atrankos kriterijai buvo suderinti su Finansų ministerija ir patvirtinti 2015 m. liepos 9 d. ES fondų investicijų veiksmų programos stebėsenos komiteto posėdyje nutarimu Nr. 44P-6.1 (8)2014–2020. </w:t>
            </w:r>
            <w:r w:rsidRPr="00EB4B7B">
              <w:lastRenderedPageBreak/>
              <w:t>Projektų finansavimo sąlygų aprašo rengimo metu patvirtinti kriterijai negali būti keičiami</w:t>
            </w:r>
            <w:r>
              <w:t>. Esant Finansų ministerijos pritarimui, Švietimo ir mokslo ministerija pritartų šio kriterijaus atsisakymui.</w:t>
            </w:r>
          </w:p>
        </w:tc>
      </w:tr>
      <w:tr w:rsidR="00857149" w:rsidTr="006A7342">
        <w:tc>
          <w:tcPr>
            <w:tcW w:w="1555" w:type="dxa"/>
            <w:vMerge/>
          </w:tcPr>
          <w:p w:rsidR="00857149" w:rsidRDefault="00857149" w:rsidP="00A47D63">
            <w:pPr>
              <w:jc w:val="center"/>
              <w:rPr>
                <w:rFonts w:ascii="Times New Roman" w:eastAsia="Calibri" w:hAnsi="Times New Roman" w:cs="Times New Roman"/>
                <w:sz w:val="24"/>
                <w:szCs w:val="24"/>
              </w:rPr>
            </w:pPr>
          </w:p>
        </w:tc>
        <w:tc>
          <w:tcPr>
            <w:tcW w:w="708" w:type="dxa"/>
          </w:tcPr>
          <w:p w:rsidR="00857149" w:rsidRDefault="00857149" w:rsidP="00A47D63">
            <w:pPr>
              <w:jc w:val="center"/>
              <w:rPr>
                <w:rFonts w:ascii="Times New Roman" w:hAnsi="Times New Roman" w:cs="Times New Roman"/>
                <w:sz w:val="24"/>
                <w:szCs w:val="24"/>
              </w:rPr>
            </w:pPr>
            <w:r>
              <w:rPr>
                <w:rFonts w:ascii="Times New Roman" w:hAnsi="Times New Roman" w:cs="Times New Roman"/>
                <w:sz w:val="24"/>
                <w:szCs w:val="24"/>
              </w:rPr>
              <w:t>8.</w:t>
            </w:r>
          </w:p>
        </w:tc>
        <w:tc>
          <w:tcPr>
            <w:tcW w:w="3686" w:type="dxa"/>
          </w:tcPr>
          <w:p w:rsidR="00857149" w:rsidRDefault="00543B92" w:rsidP="00FC4965">
            <w:pPr>
              <w:jc w:val="both"/>
              <w:rPr>
                <w:rFonts w:ascii="Times New Roman" w:hAnsi="Times New Roman" w:cs="Times New Roman"/>
                <w:sz w:val="24"/>
                <w:szCs w:val="24"/>
              </w:rPr>
            </w:pPr>
            <w:r w:rsidRPr="00543B92">
              <w:rPr>
                <w:rFonts w:ascii="Times New Roman" w:hAnsi="Times New Roman" w:cs="Times New Roman"/>
                <w:sz w:val="24"/>
                <w:szCs w:val="24"/>
              </w:rPr>
              <w:t>3 PRIEDAS. PROJEKTŲ ATITIKTIES VALSTYBĖS PAGALBOS TAISYKLĖMS PATIKROS LAPAS</w:t>
            </w:r>
          </w:p>
        </w:tc>
        <w:tc>
          <w:tcPr>
            <w:tcW w:w="4111" w:type="dxa"/>
          </w:tcPr>
          <w:p w:rsidR="00543B92" w:rsidRDefault="00543B92" w:rsidP="00543B92">
            <w:pPr>
              <w:pStyle w:val="Default"/>
              <w:jc w:val="both"/>
            </w:pPr>
            <w:r>
              <w:t xml:space="preserve">Patikros lape pasigendama opcijos, kai pareiškėjas ir partneris yra „mokslo ir studijų institucija (visais atvejais pareiškėjas nagrinėjamas kaip įmonė). </w:t>
            </w:r>
          </w:p>
          <w:p w:rsidR="00857149" w:rsidRPr="00961CFF" w:rsidRDefault="00543B92" w:rsidP="00543B92">
            <w:pPr>
              <w:pStyle w:val="Default"/>
              <w:jc w:val="both"/>
            </w:pPr>
            <w:r>
              <w:t>Siūlome atitinkamai pakoreguoti projektų atitikties valstybės pagalbos taisyklėms patikros lapo formą.</w:t>
            </w:r>
          </w:p>
        </w:tc>
        <w:tc>
          <w:tcPr>
            <w:tcW w:w="1699" w:type="dxa"/>
          </w:tcPr>
          <w:p w:rsidR="00857149" w:rsidRDefault="00543B92"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2234" w:type="dxa"/>
          </w:tcPr>
          <w:p w:rsidR="00857149" w:rsidRPr="00961CFF" w:rsidRDefault="00EB4B7B" w:rsidP="00FC4965">
            <w:pPr>
              <w:pStyle w:val="Default"/>
              <w:jc w:val="both"/>
            </w:pPr>
            <w:r>
              <w:t>Patikros lapo forma suderinta su įgyvendinančiąja institucija VšĮ Lietuvos verslo paramos agentūra.</w:t>
            </w:r>
          </w:p>
        </w:tc>
      </w:tr>
    </w:tbl>
    <w:p w:rsidR="00FC4965" w:rsidRDefault="00FC4965" w:rsidP="00A47D63">
      <w:pPr>
        <w:jc w:val="center"/>
        <w:rPr>
          <w:rFonts w:ascii="Times New Roman" w:hAnsi="Times New Roman" w:cs="Times New Roman"/>
          <w:b/>
          <w:sz w:val="24"/>
          <w:szCs w:val="24"/>
        </w:rPr>
      </w:pPr>
    </w:p>
    <w:p w:rsidR="00FD32AD" w:rsidRPr="00A47D63" w:rsidRDefault="00FD32AD">
      <w:pPr>
        <w:rPr>
          <w:rFonts w:ascii="Times New Roman" w:hAnsi="Times New Roman" w:cs="Times New Roman"/>
          <w:sz w:val="24"/>
          <w:szCs w:val="24"/>
        </w:rPr>
      </w:pPr>
    </w:p>
    <w:sectPr w:rsidR="00FD32AD" w:rsidRPr="00A47D63" w:rsidSect="001F44A3">
      <w:pgSz w:w="16838" w:h="11906" w:orient="landscape"/>
      <w:pgMar w:top="567" w:right="1134"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7679"/>
    <w:rsid w:val="0002776D"/>
    <w:rsid w:val="0003518B"/>
    <w:rsid w:val="00045CFA"/>
    <w:rsid w:val="000B4D22"/>
    <w:rsid w:val="000E5235"/>
    <w:rsid w:val="00125841"/>
    <w:rsid w:val="00142318"/>
    <w:rsid w:val="001F44A3"/>
    <w:rsid w:val="00200C98"/>
    <w:rsid w:val="002535C1"/>
    <w:rsid w:val="00283CB2"/>
    <w:rsid w:val="002A4A1F"/>
    <w:rsid w:val="00324059"/>
    <w:rsid w:val="00350C00"/>
    <w:rsid w:val="00371782"/>
    <w:rsid w:val="003802F2"/>
    <w:rsid w:val="003B1BD7"/>
    <w:rsid w:val="003D1571"/>
    <w:rsid w:val="00406FB3"/>
    <w:rsid w:val="00411E69"/>
    <w:rsid w:val="0042618F"/>
    <w:rsid w:val="00452243"/>
    <w:rsid w:val="004712CF"/>
    <w:rsid w:val="00472E2A"/>
    <w:rsid w:val="00495AB0"/>
    <w:rsid w:val="00535C93"/>
    <w:rsid w:val="00543B92"/>
    <w:rsid w:val="00584778"/>
    <w:rsid w:val="005D7FB4"/>
    <w:rsid w:val="00605001"/>
    <w:rsid w:val="006063EC"/>
    <w:rsid w:val="00667CAB"/>
    <w:rsid w:val="006A7342"/>
    <w:rsid w:val="006F13FD"/>
    <w:rsid w:val="00711BF5"/>
    <w:rsid w:val="007140C5"/>
    <w:rsid w:val="0072005F"/>
    <w:rsid w:val="007360BB"/>
    <w:rsid w:val="00742061"/>
    <w:rsid w:val="007540B7"/>
    <w:rsid w:val="0075612A"/>
    <w:rsid w:val="00857149"/>
    <w:rsid w:val="008A4FCA"/>
    <w:rsid w:val="008B077E"/>
    <w:rsid w:val="009376EF"/>
    <w:rsid w:val="00957A2F"/>
    <w:rsid w:val="00961CFF"/>
    <w:rsid w:val="009712B4"/>
    <w:rsid w:val="00A473F4"/>
    <w:rsid w:val="00A47D63"/>
    <w:rsid w:val="00A527A2"/>
    <w:rsid w:val="00A6149B"/>
    <w:rsid w:val="00A75E77"/>
    <w:rsid w:val="00A76E30"/>
    <w:rsid w:val="00A9126D"/>
    <w:rsid w:val="00AA506B"/>
    <w:rsid w:val="00AD14AB"/>
    <w:rsid w:val="00BB4DEF"/>
    <w:rsid w:val="00BC170B"/>
    <w:rsid w:val="00BC5ADE"/>
    <w:rsid w:val="00C539E4"/>
    <w:rsid w:val="00CA415B"/>
    <w:rsid w:val="00CB04C6"/>
    <w:rsid w:val="00CD3E00"/>
    <w:rsid w:val="00D24CF5"/>
    <w:rsid w:val="00D40B49"/>
    <w:rsid w:val="00D740B6"/>
    <w:rsid w:val="00D84755"/>
    <w:rsid w:val="00D857DB"/>
    <w:rsid w:val="00E13329"/>
    <w:rsid w:val="00E265CE"/>
    <w:rsid w:val="00E5574C"/>
    <w:rsid w:val="00EB4B7B"/>
    <w:rsid w:val="00EC594F"/>
    <w:rsid w:val="00EC75C7"/>
    <w:rsid w:val="00ED4AF1"/>
    <w:rsid w:val="00EE6CDE"/>
    <w:rsid w:val="00EF366D"/>
    <w:rsid w:val="00F23CCE"/>
    <w:rsid w:val="00F27488"/>
    <w:rsid w:val="00F83EEE"/>
    <w:rsid w:val="00FC4965"/>
    <w:rsid w:val="00FD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546599">
      <w:bodyDiv w:val="1"/>
      <w:marLeft w:val="0"/>
      <w:marRight w:val="0"/>
      <w:marTop w:val="0"/>
      <w:marBottom w:val="0"/>
      <w:divBdr>
        <w:top w:val="none" w:sz="0" w:space="0" w:color="auto"/>
        <w:left w:val="none" w:sz="0" w:space="0" w:color="auto"/>
        <w:bottom w:val="none" w:sz="0" w:space="0" w:color="auto"/>
        <w:right w:val="none" w:sz="0" w:space="0" w:color="auto"/>
      </w:divBdr>
    </w:div>
    <w:div w:id="1419208630">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10849</Words>
  <Characters>6184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Banuškevičiūtė Giedrė</cp:lastModifiedBy>
  <cp:revision>2</cp:revision>
  <cp:lastPrinted>2016-06-03T09:18:00Z</cp:lastPrinted>
  <dcterms:created xsi:type="dcterms:W3CDTF">2016-06-07T06:51:00Z</dcterms:created>
  <dcterms:modified xsi:type="dcterms:W3CDTF">2016-06-07T06:51:00Z</dcterms:modified>
</cp:coreProperties>
</file>