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74C" w:rsidRPr="0075612A" w:rsidRDefault="00E5574C">
      <w:pPr>
        <w:rPr>
          <w:rFonts w:ascii="Segoe UI" w:hAnsi="Segoe UI" w:cs="Segoe UI"/>
          <w:sz w:val="20"/>
          <w:szCs w:val="20"/>
        </w:rPr>
      </w:pPr>
      <w:bookmarkStart w:id="0" w:name="_GoBack"/>
      <w:bookmarkEnd w:id="0"/>
    </w:p>
    <w:p w:rsidR="00324059" w:rsidRDefault="00A47D63" w:rsidP="00A84B5E">
      <w:pPr>
        <w:jc w:val="center"/>
        <w:rPr>
          <w:rFonts w:ascii="Times New Roman" w:hAnsi="Times New Roman" w:cs="Times New Roman"/>
          <w:b/>
          <w:sz w:val="24"/>
          <w:szCs w:val="24"/>
        </w:rPr>
      </w:pPr>
      <w:r>
        <w:rPr>
          <w:rFonts w:ascii="Times New Roman" w:hAnsi="Times New Roman" w:cs="Times New Roman"/>
          <w:b/>
          <w:kern w:val="16"/>
          <w:sz w:val="24"/>
          <w:szCs w:val="24"/>
        </w:rPr>
        <w:t>2014–2020 metų Europos S</w:t>
      </w:r>
      <w:r w:rsidRPr="00A47D63">
        <w:rPr>
          <w:rFonts w:ascii="Times New Roman" w:hAnsi="Times New Roman" w:cs="Times New Roman"/>
          <w:b/>
          <w:kern w:val="16"/>
          <w:sz w:val="24"/>
          <w:szCs w:val="24"/>
        </w:rPr>
        <w:t>ąjungos fondų investicijų veiksmų programos</w:t>
      </w:r>
      <w:r>
        <w:rPr>
          <w:rFonts w:ascii="Times New Roman" w:hAnsi="Times New Roman" w:cs="Times New Roman"/>
          <w:b/>
          <w:sz w:val="24"/>
          <w:szCs w:val="24"/>
        </w:rPr>
        <w:t xml:space="preserve"> 1 prioriteto „M</w:t>
      </w:r>
      <w:r w:rsidRPr="00A47D63">
        <w:rPr>
          <w:rFonts w:ascii="Times New Roman" w:hAnsi="Times New Roman" w:cs="Times New Roman"/>
          <w:b/>
          <w:sz w:val="24"/>
          <w:szCs w:val="24"/>
        </w:rPr>
        <w:t>okslinių tyrimų, eksperimentinės plėtros ir i</w:t>
      </w:r>
      <w:r>
        <w:rPr>
          <w:rFonts w:ascii="Times New Roman" w:hAnsi="Times New Roman" w:cs="Times New Roman"/>
          <w:b/>
          <w:sz w:val="24"/>
          <w:szCs w:val="24"/>
        </w:rPr>
        <w:t>no</w:t>
      </w:r>
      <w:r w:rsidR="00535C93">
        <w:rPr>
          <w:rFonts w:ascii="Times New Roman" w:hAnsi="Times New Roman" w:cs="Times New Roman"/>
          <w:b/>
          <w:sz w:val="24"/>
          <w:szCs w:val="24"/>
        </w:rPr>
        <w:t xml:space="preserve">vacijų skatinimas“ </w:t>
      </w:r>
      <w:r w:rsidR="005D7FB4">
        <w:rPr>
          <w:rFonts w:ascii="Times New Roman" w:hAnsi="Times New Roman" w:cs="Times New Roman"/>
          <w:b/>
          <w:sz w:val="24"/>
          <w:szCs w:val="24"/>
        </w:rPr>
        <w:t xml:space="preserve">priemonės </w:t>
      </w:r>
      <w:r w:rsidR="00CB19B3" w:rsidRPr="00CB19B3">
        <w:rPr>
          <w:rFonts w:ascii="Times New Roman" w:hAnsi="Times New Roman" w:cs="Times New Roman"/>
          <w:b/>
          <w:sz w:val="24"/>
          <w:szCs w:val="24"/>
        </w:rPr>
        <w:t xml:space="preserve">01.2.2-CPVA-K-703  „Kompetencijos centrų ir inovacijų ir technologijų perdavimo centrų veiklos skatinimas“ </w:t>
      </w:r>
      <w:r w:rsidRPr="00A47D63">
        <w:rPr>
          <w:rFonts w:ascii="Times New Roman" w:hAnsi="Times New Roman" w:cs="Times New Roman"/>
          <w:b/>
          <w:sz w:val="24"/>
          <w:szCs w:val="24"/>
        </w:rPr>
        <w:t>proj</w:t>
      </w:r>
      <w:r>
        <w:rPr>
          <w:rFonts w:ascii="Times New Roman" w:hAnsi="Times New Roman" w:cs="Times New Roman"/>
          <w:b/>
          <w:sz w:val="24"/>
          <w:szCs w:val="24"/>
        </w:rPr>
        <w:t xml:space="preserve">ektų finansavimo sąlygų </w:t>
      </w:r>
      <w:r w:rsidR="005D7FB4">
        <w:rPr>
          <w:rFonts w:ascii="Times New Roman" w:hAnsi="Times New Roman" w:cs="Times New Roman"/>
          <w:b/>
          <w:sz w:val="24"/>
          <w:szCs w:val="24"/>
        </w:rPr>
        <w:t xml:space="preserve">aprašo Nr. </w:t>
      </w:r>
      <w:r w:rsidR="00CB19B3">
        <w:rPr>
          <w:rFonts w:ascii="Times New Roman" w:hAnsi="Times New Roman" w:cs="Times New Roman"/>
          <w:b/>
          <w:sz w:val="24"/>
          <w:szCs w:val="24"/>
        </w:rPr>
        <w:t>1</w:t>
      </w:r>
      <w:r>
        <w:rPr>
          <w:rFonts w:ascii="Times New Roman" w:hAnsi="Times New Roman" w:cs="Times New Roman"/>
          <w:b/>
          <w:sz w:val="24"/>
          <w:szCs w:val="24"/>
        </w:rPr>
        <w:t xml:space="preserve"> (toliau – PFSA</w:t>
      </w:r>
      <w:r w:rsidRPr="00A47D63">
        <w:rPr>
          <w:rFonts w:ascii="Times New Roman" w:hAnsi="Times New Roman" w:cs="Times New Roman"/>
          <w:b/>
          <w:sz w:val="24"/>
          <w:szCs w:val="24"/>
        </w:rPr>
        <w:t>)</w:t>
      </w:r>
      <w:r>
        <w:rPr>
          <w:rFonts w:ascii="Times New Roman" w:hAnsi="Times New Roman" w:cs="Times New Roman"/>
          <w:b/>
          <w:sz w:val="24"/>
          <w:szCs w:val="24"/>
        </w:rPr>
        <w:t xml:space="preserve"> </w:t>
      </w:r>
      <w:r w:rsidRPr="00A47D63">
        <w:rPr>
          <w:rFonts w:ascii="Times New Roman" w:hAnsi="Times New Roman" w:cs="Times New Roman"/>
          <w:b/>
          <w:sz w:val="24"/>
          <w:szCs w:val="24"/>
        </w:rPr>
        <w:t xml:space="preserve">projekto </w:t>
      </w:r>
      <w:r w:rsidR="00A84B5E">
        <w:rPr>
          <w:rFonts w:ascii="Times New Roman" w:hAnsi="Times New Roman" w:cs="Times New Roman"/>
          <w:b/>
          <w:sz w:val="24"/>
          <w:szCs w:val="24"/>
        </w:rPr>
        <w:t xml:space="preserve">socialinių ekonominių partnerių </w:t>
      </w:r>
      <w:r w:rsidRPr="00A47D63">
        <w:rPr>
          <w:rFonts w:ascii="Times New Roman" w:hAnsi="Times New Roman" w:cs="Times New Roman"/>
          <w:b/>
          <w:sz w:val="24"/>
          <w:szCs w:val="24"/>
        </w:rPr>
        <w:t>pastabų derinimo lentelė</w:t>
      </w:r>
    </w:p>
    <w:tbl>
      <w:tblPr>
        <w:tblStyle w:val="Lentelstinklelis"/>
        <w:tblW w:w="0" w:type="auto"/>
        <w:tblLayout w:type="fixed"/>
        <w:tblLook w:val="04A0" w:firstRow="1" w:lastRow="0" w:firstColumn="1" w:lastColumn="0" w:noHBand="0" w:noVBand="1"/>
      </w:tblPr>
      <w:tblGrid>
        <w:gridCol w:w="1555"/>
        <w:gridCol w:w="708"/>
        <w:gridCol w:w="1701"/>
        <w:gridCol w:w="5954"/>
        <w:gridCol w:w="1701"/>
        <w:gridCol w:w="2374"/>
      </w:tblGrid>
      <w:tr w:rsidR="00A473F4" w:rsidTr="00711642">
        <w:tc>
          <w:tcPr>
            <w:tcW w:w="1555"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Pastabos teikėjas</w:t>
            </w:r>
          </w:p>
        </w:tc>
        <w:tc>
          <w:tcPr>
            <w:tcW w:w="708" w:type="dxa"/>
          </w:tcPr>
          <w:p w:rsidR="00FC4965" w:rsidRDefault="00FC4965" w:rsidP="00A47D63">
            <w:pPr>
              <w:jc w:val="center"/>
              <w:rPr>
                <w:rFonts w:ascii="Times New Roman" w:hAnsi="Times New Roman" w:cs="Times New Roman"/>
                <w:b/>
                <w:sz w:val="24"/>
                <w:szCs w:val="24"/>
              </w:rPr>
            </w:pPr>
            <w:r w:rsidRPr="00A47D63">
              <w:rPr>
                <w:rFonts w:ascii="Times New Roman" w:hAnsi="Times New Roman" w:cs="Times New Roman"/>
                <w:b/>
                <w:sz w:val="24"/>
                <w:szCs w:val="24"/>
              </w:rPr>
              <w:t>Eil. Nr.</w:t>
            </w:r>
          </w:p>
        </w:tc>
        <w:tc>
          <w:tcPr>
            <w:tcW w:w="1701"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PFSA nuostatos, kurioms teikiama pastaba</w:t>
            </w:r>
          </w:p>
        </w:tc>
        <w:tc>
          <w:tcPr>
            <w:tcW w:w="5954" w:type="dxa"/>
          </w:tcPr>
          <w:p w:rsidR="00FC4965" w:rsidRDefault="00FC4965" w:rsidP="00A47D63">
            <w:pPr>
              <w:jc w:val="center"/>
              <w:rPr>
                <w:rFonts w:ascii="Times New Roman" w:hAnsi="Times New Roman" w:cs="Times New Roman"/>
                <w:b/>
                <w:sz w:val="24"/>
                <w:szCs w:val="24"/>
              </w:rPr>
            </w:pPr>
            <w:r w:rsidRPr="00A47D63">
              <w:rPr>
                <w:rFonts w:ascii="Times New Roman" w:hAnsi="Times New Roman" w:cs="Times New Roman"/>
                <w:b/>
                <w:sz w:val="24"/>
                <w:szCs w:val="24"/>
              </w:rPr>
              <w:t>Komentarai/pasiūlymai</w:t>
            </w:r>
          </w:p>
        </w:tc>
        <w:tc>
          <w:tcPr>
            <w:tcW w:w="1701"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ŠMM pozicija</w:t>
            </w:r>
          </w:p>
        </w:tc>
        <w:tc>
          <w:tcPr>
            <w:tcW w:w="2374"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ŠMM argumentai</w:t>
            </w:r>
            <w:r w:rsidR="006A7342">
              <w:rPr>
                <w:rFonts w:ascii="Times New Roman" w:hAnsi="Times New Roman" w:cs="Times New Roman"/>
                <w:b/>
                <w:sz w:val="24"/>
                <w:szCs w:val="24"/>
              </w:rPr>
              <w:t>/PFSA tikslinimas</w:t>
            </w:r>
          </w:p>
        </w:tc>
      </w:tr>
      <w:tr w:rsidR="00535C93" w:rsidTr="00711642">
        <w:tc>
          <w:tcPr>
            <w:tcW w:w="1555" w:type="dxa"/>
          </w:tcPr>
          <w:p w:rsidR="00535C93" w:rsidRPr="005D7FB4" w:rsidRDefault="005D7FB4" w:rsidP="00A47D63">
            <w:pPr>
              <w:jc w:val="center"/>
              <w:rPr>
                <w:rFonts w:ascii="Times New Roman" w:hAnsi="Times New Roman" w:cs="Times New Roman"/>
                <w:sz w:val="24"/>
                <w:szCs w:val="24"/>
              </w:rPr>
            </w:pPr>
            <w:r w:rsidRPr="005D7FB4">
              <w:rPr>
                <w:rFonts w:ascii="Times New Roman" w:hAnsi="Times New Roman" w:cs="Times New Roman"/>
                <w:sz w:val="24"/>
                <w:szCs w:val="24"/>
              </w:rPr>
              <w:t>Vilniaus universiteto ligoninės Santariškių klinikos</w:t>
            </w:r>
            <w:r w:rsidR="00A53F40">
              <w:rPr>
                <w:rFonts w:ascii="Times New Roman" w:hAnsi="Times New Roman" w:cs="Times New Roman"/>
                <w:sz w:val="24"/>
                <w:szCs w:val="24"/>
              </w:rPr>
              <w:t>, pastabos gautos 2016-05-20</w:t>
            </w:r>
          </w:p>
        </w:tc>
        <w:tc>
          <w:tcPr>
            <w:tcW w:w="708" w:type="dxa"/>
          </w:tcPr>
          <w:p w:rsidR="00535C93" w:rsidRDefault="00535C93" w:rsidP="00A47D63">
            <w:pPr>
              <w:jc w:val="center"/>
              <w:rPr>
                <w:rFonts w:ascii="Times New Roman" w:hAnsi="Times New Roman" w:cs="Times New Roman"/>
                <w:b/>
                <w:sz w:val="24"/>
                <w:szCs w:val="24"/>
              </w:rPr>
            </w:pPr>
            <w:r>
              <w:rPr>
                <w:rFonts w:ascii="Times New Roman" w:hAnsi="Times New Roman" w:cs="Times New Roman"/>
                <w:sz w:val="24"/>
                <w:szCs w:val="24"/>
              </w:rPr>
              <w:t>1.</w:t>
            </w:r>
          </w:p>
        </w:tc>
        <w:tc>
          <w:tcPr>
            <w:tcW w:w="1701" w:type="dxa"/>
          </w:tcPr>
          <w:p w:rsidR="005D7FB4" w:rsidRDefault="00CB19B3" w:rsidP="00FC4965">
            <w:pPr>
              <w:jc w:val="both"/>
              <w:rPr>
                <w:rFonts w:ascii="Times New Roman" w:hAnsi="Times New Roman" w:cs="Times New Roman"/>
                <w:sz w:val="24"/>
                <w:szCs w:val="24"/>
              </w:rPr>
            </w:pPr>
            <w:r>
              <w:rPr>
                <w:rFonts w:ascii="Times New Roman" w:hAnsi="Times New Roman" w:cs="Times New Roman"/>
                <w:sz w:val="24"/>
                <w:szCs w:val="24"/>
              </w:rPr>
              <w:t>Reikalavimai pareiškėjams ir partneriams (13 punktas):</w:t>
            </w:r>
          </w:p>
          <w:p w:rsidR="00CB19B3" w:rsidRPr="00535C93" w:rsidRDefault="00CB19B3" w:rsidP="00FC4965">
            <w:pPr>
              <w:jc w:val="both"/>
              <w:rPr>
                <w:rFonts w:ascii="Times New Roman" w:hAnsi="Times New Roman" w:cs="Times New Roman"/>
                <w:sz w:val="24"/>
                <w:szCs w:val="24"/>
              </w:rPr>
            </w:pPr>
            <w:r>
              <w:rPr>
                <w:rFonts w:ascii="Times New Roman" w:hAnsi="Times New Roman" w:cs="Times New Roman"/>
                <w:sz w:val="24"/>
                <w:szCs w:val="24"/>
              </w:rPr>
              <w:t>„</w:t>
            </w:r>
            <w:r w:rsidRPr="00CB19B3">
              <w:rPr>
                <w:rFonts w:ascii="Times New Roman" w:hAnsi="Times New Roman" w:cs="Times New Roman"/>
                <w:sz w:val="24"/>
                <w:szCs w:val="24"/>
              </w:rPr>
              <w:t>Pagal Aprašą galimi pareiškėjai yra mokslo ir studijų institucijos, galimi partneriai yra viešieji juridiniai asmenys, veikiantys mokslo ir (ar) studijų srityje.</w:t>
            </w:r>
            <w:r>
              <w:rPr>
                <w:rFonts w:ascii="Times New Roman" w:hAnsi="Times New Roman" w:cs="Times New Roman"/>
                <w:sz w:val="24"/>
                <w:szCs w:val="24"/>
              </w:rPr>
              <w:t>“</w:t>
            </w:r>
          </w:p>
        </w:tc>
        <w:tc>
          <w:tcPr>
            <w:tcW w:w="5954" w:type="dxa"/>
          </w:tcPr>
          <w:p w:rsidR="00CB19B3" w:rsidRPr="00561A4E" w:rsidRDefault="00CB19B3" w:rsidP="00CB19B3">
            <w:pPr>
              <w:jc w:val="both"/>
              <w:rPr>
                <w:rFonts w:ascii="Times New Roman" w:hAnsi="Times New Roman" w:cs="Times New Roman"/>
              </w:rPr>
            </w:pPr>
            <w:r w:rsidRPr="00F22900">
              <w:rPr>
                <w:rFonts w:ascii="Times New Roman" w:hAnsi="Times New Roman" w:cs="Times New Roman"/>
                <w:b/>
              </w:rPr>
              <w:t>Prašome papildyti Aprašą ir įtraukti į galimus pareiškėjus  Universiteto ligonines</w:t>
            </w:r>
            <w:r w:rsidRPr="00561A4E">
              <w:rPr>
                <w:rFonts w:ascii="Times New Roman" w:hAnsi="Times New Roman" w:cs="Times New Roman"/>
              </w:rPr>
              <w:t>, atitinkamai  tikslinant  10, 11, 13 ir kitus susijusius Aprašo punktus. Taip pat prašytume tikslinti  Švietimo ir mokslo ministro 2015 m. lapkričio 26 d  įsakymo Nr. V-1204 „Dėl švietimo ir mokslo ministro 2015 m. balandžio 23 d. įsakymo Nr. V-380 „Dėl 2014–2020 m. Europos Sąjungos fondų investicijų veiksmų programos prioriteto įgyvendinimo priemonių įgyvendinimo plano ir nacionalinio stebėsenos rodiklių skaičiavimo aprašo patvirtinimo“ pakeitimo „III  skirsnį - priemonė Nr. 01.2.2-CPVA-K-703 „Kompetencijos centrų ir inovacijų ir technologijų perdavimo centrų veiklos skatinimas“ ir įtraukti Universiteto ligonines į Pareiškėjus.</w:t>
            </w:r>
          </w:p>
          <w:p w:rsidR="00CB19B3" w:rsidRPr="00561A4E" w:rsidRDefault="00CB19B3" w:rsidP="00CB19B3">
            <w:pPr>
              <w:jc w:val="both"/>
              <w:rPr>
                <w:rFonts w:ascii="Times New Roman" w:hAnsi="Times New Roman" w:cs="Times New Roman"/>
              </w:rPr>
            </w:pPr>
            <w:r w:rsidRPr="00F22900">
              <w:rPr>
                <w:rFonts w:ascii="Times New Roman" w:hAnsi="Times New Roman" w:cs="Times New Roman"/>
                <w:b/>
              </w:rPr>
              <w:t>Argumentai</w:t>
            </w:r>
            <w:r w:rsidRPr="00561A4E">
              <w:rPr>
                <w:rFonts w:ascii="Times New Roman" w:hAnsi="Times New Roman" w:cs="Times New Roman"/>
              </w:rPr>
              <w:t xml:space="preserve"> – Universiteto ligoninėms, kaip tame tarpe ir mokslo įstaigoms pagal Lietuvos Respublikos sveikatos priežiūros įstaigų įstatymą yra aktualios MTEP ir kompetencijų cen</w:t>
            </w:r>
            <w:r w:rsidR="00561A4E" w:rsidRPr="00561A4E">
              <w:rPr>
                <w:rFonts w:ascii="Times New Roman" w:hAnsi="Times New Roman" w:cs="Times New Roman"/>
              </w:rPr>
              <w:t>trų veiklų skatinimo priemonės.</w:t>
            </w:r>
          </w:p>
          <w:p w:rsidR="00CB19B3" w:rsidRPr="00561A4E" w:rsidRDefault="00CB19B3" w:rsidP="00CB19B3">
            <w:pPr>
              <w:jc w:val="both"/>
              <w:rPr>
                <w:rFonts w:ascii="Times New Roman" w:hAnsi="Times New Roman" w:cs="Times New Roman"/>
              </w:rPr>
            </w:pPr>
            <w:r w:rsidRPr="00561A4E">
              <w:rPr>
                <w:rFonts w:ascii="Times New Roman" w:hAnsi="Times New Roman" w:cs="Times New Roman"/>
              </w:rPr>
              <w:t xml:space="preserve">Pažymėtina, kad kompetencijų centrų kūrimas ir plėtra būtini  ne tik MSI, bet ir universitetų ligoninėse, kuriose sveikatos  mokslo žinios tiesiogiai taikomos praktinėje veikloje, ir yra aktualios kiekvienam žmogui, o pasiekimų patirtis plačiai skleidžiama ne tik kitoms įstaigoms šalies viduje, bet ir už jos ribų. </w:t>
            </w:r>
          </w:p>
          <w:p w:rsidR="00CB19B3" w:rsidRPr="00561A4E" w:rsidRDefault="00CB19B3" w:rsidP="00CB19B3">
            <w:pPr>
              <w:jc w:val="both"/>
              <w:rPr>
                <w:rFonts w:ascii="Times New Roman" w:hAnsi="Times New Roman" w:cs="Times New Roman"/>
              </w:rPr>
            </w:pPr>
            <w:r w:rsidRPr="00561A4E">
              <w:rPr>
                <w:rFonts w:ascii="Times New Roman" w:hAnsi="Times New Roman" w:cs="Times New Roman"/>
              </w:rPr>
              <w:t xml:space="preserve">Universiteto ligoninių kompetencijos centrai – tai aukščiausio lygio nustatytos medicinos srities, medicinos pagalbos teikimo </w:t>
            </w:r>
            <w:r w:rsidRPr="00561A4E">
              <w:rPr>
                <w:rFonts w:ascii="Times New Roman" w:hAnsi="Times New Roman" w:cs="Times New Roman"/>
              </w:rPr>
              <w:lastRenderedPageBreak/>
              <w:t>Lietuvos gyventojams centrai, kuriose sukaupta didžiausia Lietuvoje specialistų, pripažįstamų tarptautiniu lygiu, europinė ir Lietuvos mokslinė bei praktinė patirtis. Tai  vieta, kur mokslas ir praktika  turi daug bendrybių, tai galimybė realizuoti esamą patirtį, konkuruoti, gilinti žinias prisidedant prie naujų  diagnostikos, gydymo metodų diegimo, didinant bendradarbiavimą tarp viešojo ir privataus sektorių bei inovacijų srityje. Mokslo žinių ir inovacijų pritaikymas ir plėtra universiteto ligoninėse duoda ženklią grąžą ir ekonominį efektą globaliu šalies ekonomikos mastu.</w:t>
            </w:r>
          </w:p>
          <w:p w:rsidR="00CB19B3" w:rsidRPr="00561A4E" w:rsidRDefault="00CB19B3" w:rsidP="00CB19B3">
            <w:pPr>
              <w:jc w:val="both"/>
              <w:rPr>
                <w:rFonts w:ascii="Times New Roman" w:hAnsi="Times New Roman" w:cs="Times New Roman"/>
              </w:rPr>
            </w:pPr>
            <w:r w:rsidRPr="00561A4E">
              <w:rPr>
                <w:rFonts w:ascii="Times New Roman" w:hAnsi="Times New Roman" w:cs="Times New Roman"/>
              </w:rPr>
              <w:t>Po Konkurencijos tarybos išaiškinimų, galiausiai, buvo priimti sprendimai, kad Universiteto ligoninės atitinka Bendrojo bendrosios išimties reglamento 2 straipsnio 83 punkte įvardintą mokslinių tyrimų ir žinių sklaidos organizacijos statusą  kaip ir Mokslo ir studijų institucijos.</w:t>
            </w:r>
          </w:p>
          <w:p w:rsidR="00CB19B3" w:rsidRPr="00561A4E" w:rsidRDefault="00CB19B3" w:rsidP="00CB19B3">
            <w:pPr>
              <w:jc w:val="both"/>
              <w:rPr>
                <w:rFonts w:ascii="Times New Roman" w:hAnsi="Times New Roman" w:cs="Times New Roman"/>
              </w:rPr>
            </w:pPr>
            <w:r w:rsidRPr="00561A4E">
              <w:rPr>
                <w:rFonts w:ascii="Times New Roman" w:hAnsi="Times New Roman" w:cs="Times New Roman"/>
              </w:rPr>
              <w:t>Šios nuostatos atsispindi 2014–2020 metų Europos Sąjungos fondų investicijų veiksmų programos 1 prioriteto „Mokslinių tyrimų, eksperimentinės plėtros ir inovacijų skatinimas“ J05-LVPA-K priemonės „Intelektas. Bendri mokslo-verslo projektai“ projektų finansavimo sąlygų aprašo Nr. 2 ( šiuo metu viešai svarstomo) 4.13 p. (Cit. Sąvoką: 4.13. Universitetų ligoninės –kaip ši sąvoka apibrėžta Lietuvos Respublikos sveikatos priežiūros įstaigų įstatyme ir Bendrojo bendrosios išimties reglamento 2 straipsnio 83 punkte.)</w:t>
            </w:r>
          </w:p>
          <w:p w:rsidR="00EC594F" w:rsidRPr="009376EF" w:rsidRDefault="00CB19B3" w:rsidP="00CB19B3">
            <w:pPr>
              <w:jc w:val="both"/>
              <w:rPr>
                <w:rFonts w:ascii="Times New Roman" w:hAnsi="Times New Roman" w:cs="Times New Roman"/>
                <w:sz w:val="24"/>
                <w:szCs w:val="24"/>
              </w:rPr>
            </w:pPr>
            <w:r w:rsidRPr="00561A4E">
              <w:rPr>
                <w:rFonts w:ascii="Times New Roman" w:hAnsi="Times New Roman" w:cs="Times New Roman"/>
              </w:rPr>
              <w:t xml:space="preserve">Atsižvelgiant į tai, kad universitetų ligoninės atitinka mokslinių tyrimų organizacijos sąvoką ir dalyvauja priemonėje analogiškomis sąlygomis kaip mokslo ir studijų institucijos, prašome šiose dviejose Priemonėse </w:t>
            </w:r>
            <w:r w:rsidR="00561A4E" w:rsidRPr="00561A4E">
              <w:rPr>
                <w:rFonts w:ascii="Times New Roman" w:hAnsi="Times New Roman" w:cs="Times New Roman"/>
              </w:rPr>
              <w:t>(</w:t>
            </w:r>
            <w:r w:rsidRPr="00561A4E">
              <w:rPr>
                <w:rFonts w:ascii="Times New Roman" w:hAnsi="Times New Roman" w:cs="Times New Roman"/>
              </w:rPr>
              <w:t>703,</w:t>
            </w:r>
            <w:r w:rsidR="00561A4E" w:rsidRPr="00561A4E">
              <w:rPr>
                <w:rFonts w:ascii="Times New Roman" w:hAnsi="Times New Roman" w:cs="Times New Roman"/>
              </w:rPr>
              <w:t xml:space="preserve"> </w:t>
            </w:r>
            <w:r w:rsidRPr="00561A4E">
              <w:rPr>
                <w:rFonts w:ascii="Times New Roman" w:hAnsi="Times New Roman" w:cs="Times New Roman"/>
              </w:rPr>
              <w:t>716</w:t>
            </w:r>
            <w:r w:rsidR="00561A4E" w:rsidRPr="00561A4E">
              <w:rPr>
                <w:rFonts w:ascii="Times New Roman" w:hAnsi="Times New Roman" w:cs="Times New Roman"/>
              </w:rPr>
              <w:t>) universitetų</w:t>
            </w:r>
            <w:r w:rsidRPr="00561A4E">
              <w:rPr>
                <w:rFonts w:ascii="Times New Roman" w:hAnsi="Times New Roman" w:cs="Times New Roman"/>
              </w:rPr>
              <w:t xml:space="preserve"> ligonines įtraukti į Pareiškėjus ir atitinkamai tikslinti PFSA projektų susijusius su tuo punktus.</w:t>
            </w:r>
          </w:p>
        </w:tc>
        <w:tc>
          <w:tcPr>
            <w:tcW w:w="1701" w:type="dxa"/>
          </w:tcPr>
          <w:p w:rsidR="00535C93" w:rsidRPr="009376EF" w:rsidRDefault="00B948FF" w:rsidP="00A47D63">
            <w:pPr>
              <w:jc w:val="center"/>
              <w:rPr>
                <w:rFonts w:ascii="Times New Roman" w:hAnsi="Times New Roman" w:cs="Times New Roman"/>
                <w:sz w:val="24"/>
                <w:szCs w:val="24"/>
              </w:rPr>
            </w:pPr>
            <w:r>
              <w:rPr>
                <w:rFonts w:ascii="Times New Roman" w:hAnsi="Times New Roman" w:cs="Times New Roman"/>
                <w:sz w:val="24"/>
                <w:szCs w:val="24"/>
              </w:rPr>
              <w:lastRenderedPageBreak/>
              <w:t>Neatsižvelgt</w:t>
            </w:r>
            <w:r w:rsidR="009212BB">
              <w:rPr>
                <w:rFonts w:ascii="Times New Roman" w:hAnsi="Times New Roman" w:cs="Times New Roman"/>
                <w:sz w:val="24"/>
                <w:szCs w:val="24"/>
              </w:rPr>
              <w:t>a</w:t>
            </w:r>
          </w:p>
        </w:tc>
        <w:tc>
          <w:tcPr>
            <w:tcW w:w="2374" w:type="dxa"/>
          </w:tcPr>
          <w:p w:rsidR="006A7342" w:rsidRPr="006A7342" w:rsidRDefault="00B948FF" w:rsidP="009376EF">
            <w:pPr>
              <w:pStyle w:val="Default"/>
              <w:jc w:val="both"/>
            </w:pPr>
            <w:r>
              <w:t>Pareiškėjų ir partnerių ratas yra nustatytas Priemonės įgyvendinimo plane. Universitetų ligoninės Priemonės projektuose gali dalyvauti kaip partneriai.</w:t>
            </w:r>
          </w:p>
        </w:tc>
      </w:tr>
      <w:tr w:rsidR="00BE6FE0" w:rsidTr="00711642">
        <w:tc>
          <w:tcPr>
            <w:tcW w:w="1555" w:type="dxa"/>
          </w:tcPr>
          <w:p w:rsidR="00F22900" w:rsidRDefault="00F22900" w:rsidP="00F22900">
            <w:pPr>
              <w:jc w:val="center"/>
              <w:rPr>
                <w:rFonts w:ascii="Times New Roman" w:hAnsi="Times New Roman" w:cs="Times New Roman"/>
                <w:sz w:val="24"/>
                <w:szCs w:val="24"/>
              </w:rPr>
            </w:pPr>
            <w:r w:rsidRPr="00F22900">
              <w:rPr>
                <w:rFonts w:ascii="Times New Roman" w:hAnsi="Times New Roman" w:cs="Times New Roman"/>
                <w:sz w:val="24"/>
                <w:szCs w:val="24"/>
              </w:rPr>
              <w:t xml:space="preserve">Mykolo Romerio universitetas </w:t>
            </w:r>
            <w:r w:rsidR="00A53F40">
              <w:rPr>
                <w:rFonts w:ascii="Times New Roman" w:hAnsi="Times New Roman" w:cs="Times New Roman"/>
                <w:sz w:val="24"/>
                <w:szCs w:val="24"/>
              </w:rPr>
              <w:t>(</w:t>
            </w:r>
            <w:r w:rsidRPr="00F22900">
              <w:rPr>
                <w:rFonts w:ascii="Times New Roman" w:hAnsi="Times New Roman" w:cs="Times New Roman"/>
                <w:sz w:val="24"/>
                <w:szCs w:val="24"/>
              </w:rPr>
              <w:t xml:space="preserve">Mokslo ir inovacijų </w:t>
            </w:r>
            <w:r w:rsidRPr="00F22900">
              <w:rPr>
                <w:rFonts w:ascii="Times New Roman" w:hAnsi="Times New Roman" w:cs="Times New Roman"/>
                <w:sz w:val="24"/>
                <w:szCs w:val="24"/>
              </w:rPr>
              <w:lastRenderedPageBreak/>
              <w:t>paramos centras</w:t>
            </w:r>
            <w:r w:rsidR="00A53F40">
              <w:rPr>
                <w:rFonts w:ascii="Times New Roman" w:hAnsi="Times New Roman" w:cs="Times New Roman"/>
                <w:sz w:val="24"/>
                <w:szCs w:val="24"/>
              </w:rPr>
              <w:t>),</w:t>
            </w:r>
          </w:p>
          <w:p w:rsidR="00A53F40" w:rsidRPr="00F22900" w:rsidRDefault="00A53F40" w:rsidP="00F22900">
            <w:pPr>
              <w:jc w:val="center"/>
              <w:rPr>
                <w:rFonts w:ascii="Times New Roman" w:hAnsi="Times New Roman" w:cs="Times New Roman"/>
                <w:sz w:val="24"/>
                <w:szCs w:val="24"/>
              </w:rPr>
            </w:pPr>
            <w:r>
              <w:rPr>
                <w:rFonts w:ascii="Times New Roman" w:hAnsi="Times New Roman" w:cs="Times New Roman"/>
                <w:sz w:val="24"/>
                <w:szCs w:val="24"/>
              </w:rPr>
              <w:t>pastabos gautos 2016-05-24</w:t>
            </w:r>
          </w:p>
          <w:p w:rsidR="00BE6FE0" w:rsidRPr="005D7FB4" w:rsidRDefault="00BE6FE0" w:rsidP="00F22900">
            <w:pPr>
              <w:jc w:val="center"/>
              <w:rPr>
                <w:rFonts w:ascii="Times New Roman" w:hAnsi="Times New Roman" w:cs="Times New Roman"/>
                <w:sz w:val="24"/>
                <w:szCs w:val="24"/>
              </w:rPr>
            </w:pPr>
          </w:p>
        </w:tc>
        <w:tc>
          <w:tcPr>
            <w:tcW w:w="708" w:type="dxa"/>
          </w:tcPr>
          <w:p w:rsidR="00BE6FE0" w:rsidRDefault="00A53F40" w:rsidP="00A47D6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701" w:type="dxa"/>
          </w:tcPr>
          <w:p w:rsidR="00BE6FE0" w:rsidRDefault="00F22900" w:rsidP="004C60A7">
            <w:pPr>
              <w:jc w:val="both"/>
              <w:rPr>
                <w:rFonts w:ascii="Times New Roman" w:hAnsi="Times New Roman" w:cs="Times New Roman"/>
                <w:sz w:val="24"/>
                <w:szCs w:val="24"/>
              </w:rPr>
            </w:pPr>
            <w:r w:rsidRPr="00F22900">
              <w:rPr>
                <w:rFonts w:ascii="Times New Roman" w:hAnsi="Times New Roman" w:cs="Times New Roman"/>
                <w:sz w:val="24"/>
                <w:szCs w:val="24"/>
              </w:rPr>
              <w:t>„Projekto naud</w:t>
            </w:r>
            <w:r>
              <w:rPr>
                <w:rFonts w:ascii="Times New Roman" w:hAnsi="Times New Roman" w:cs="Times New Roman"/>
                <w:sz w:val="24"/>
                <w:szCs w:val="24"/>
              </w:rPr>
              <w:t>os ir kokybės vertinimo lentelė</w:t>
            </w:r>
            <w:r w:rsidRPr="00F22900">
              <w:rPr>
                <w:rFonts w:ascii="Times New Roman" w:hAnsi="Times New Roman" w:cs="Times New Roman"/>
                <w:sz w:val="24"/>
                <w:szCs w:val="24"/>
              </w:rPr>
              <w:t>“</w:t>
            </w:r>
            <w:r w:rsidR="004C60A7">
              <w:rPr>
                <w:rFonts w:ascii="Times New Roman" w:hAnsi="Times New Roman" w:cs="Times New Roman"/>
                <w:sz w:val="24"/>
                <w:szCs w:val="24"/>
              </w:rPr>
              <w:t xml:space="preserve">, </w:t>
            </w:r>
            <w:r w:rsidR="004C60A7">
              <w:rPr>
                <w:rFonts w:ascii="Times New Roman" w:hAnsi="Times New Roman" w:cs="Times New Roman"/>
                <w:sz w:val="24"/>
                <w:szCs w:val="24"/>
              </w:rPr>
              <w:lastRenderedPageBreak/>
              <w:t>vertinimo kriterijus Nr. 1</w:t>
            </w:r>
            <w:r>
              <w:rPr>
                <w:rFonts w:ascii="Times New Roman" w:hAnsi="Times New Roman" w:cs="Times New Roman"/>
                <w:sz w:val="24"/>
                <w:szCs w:val="24"/>
              </w:rPr>
              <w:t xml:space="preserve"> </w:t>
            </w:r>
          </w:p>
        </w:tc>
        <w:tc>
          <w:tcPr>
            <w:tcW w:w="5954" w:type="dxa"/>
          </w:tcPr>
          <w:p w:rsidR="00F22900" w:rsidRPr="00F22900" w:rsidRDefault="00F22900" w:rsidP="00F22900">
            <w:pPr>
              <w:jc w:val="both"/>
              <w:rPr>
                <w:rFonts w:ascii="Times New Roman" w:hAnsi="Times New Roman" w:cs="Times New Roman"/>
              </w:rPr>
            </w:pPr>
            <w:r w:rsidRPr="00F22900">
              <w:rPr>
                <w:rFonts w:ascii="Times New Roman" w:hAnsi="Times New Roman" w:cs="Times New Roman"/>
              </w:rPr>
              <w:lastRenderedPageBreak/>
              <w:t>1.</w:t>
            </w:r>
            <w:r w:rsidRPr="00F22900">
              <w:rPr>
                <w:rFonts w:ascii="Times New Roman" w:hAnsi="Times New Roman" w:cs="Times New Roman"/>
              </w:rPr>
              <w:tab/>
              <w:t xml:space="preserve">Vertinimo aspektas - „Vertinami pareiškėjo ir partnerio </w:t>
            </w:r>
            <w:r w:rsidRPr="00F22900">
              <w:rPr>
                <w:rFonts w:ascii="Times New Roman" w:hAnsi="Times New Roman" w:cs="Times New Roman"/>
                <w:b/>
              </w:rPr>
              <w:t>mokslo darbų vertinimo rezultatai</w:t>
            </w:r>
            <w:r w:rsidRPr="00F22900">
              <w:rPr>
                <w:rFonts w:ascii="Times New Roman" w:hAnsi="Times New Roman" w:cs="Times New Roman"/>
              </w:rPr>
              <w:t xml:space="preserve"> MTEP srityse, atitinkančiose bent vieną kurio nors prioriteto veiksmų plane nustatytą teminį specifiškumą, vadovaujantis paskutiniais turimais Lietuvos mokslo tarybos duomenimis, gautais atliekant </w:t>
            </w:r>
            <w:r w:rsidRPr="00F22900">
              <w:rPr>
                <w:rFonts w:ascii="Times New Roman" w:hAnsi="Times New Roman" w:cs="Times New Roman"/>
              </w:rPr>
              <w:lastRenderedPageBreak/>
              <w:t>mokslo ir studijų institucijų mokslo (meno) darbų vertinimą...(...)“:</w:t>
            </w:r>
          </w:p>
          <w:p w:rsidR="00F22900" w:rsidRPr="00F22900" w:rsidRDefault="00F22900" w:rsidP="00F22900">
            <w:pPr>
              <w:jc w:val="both"/>
              <w:rPr>
                <w:rFonts w:ascii="Times New Roman" w:hAnsi="Times New Roman" w:cs="Times New Roman"/>
                <w:b/>
              </w:rPr>
            </w:pPr>
            <w:r w:rsidRPr="00F22900">
              <w:rPr>
                <w:rFonts w:ascii="Times New Roman" w:hAnsi="Times New Roman" w:cs="Times New Roman"/>
              </w:rPr>
              <w:t>1.1.</w:t>
            </w:r>
            <w:r w:rsidRPr="00F22900">
              <w:rPr>
                <w:rFonts w:ascii="Times New Roman" w:hAnsi="Times New Roman" w:cs="Times New Roman"/>
              </w:rPr>
              <w:tab/>
              <w:t xml:space="preserve">Remiantis projektų prioritetiniais atrankos kriterijais ir kriterijaus vertinimo detalizavimu numatoma, daugiausiai balų skirti už pareiškėjo praeities veiklos rezultatus. Tuo tarpu pačios projekto idėjos novatoriškumas, aktualumas ir išskirtinumas nėra vertinamas. </w:t>
            </w:r>
            <w:r w:rsidRPr="00F22900">
              <w:rPr>
                <w:rFonts w:ascii="Times New Roman" w:hAnsi="Times New Roman" w:cs="Times New Roman"/>
                <w:b/>
              </w:rPr>
              <w:t xml:space="preserve">Siūlytume vertinimą papildyti kriterijais, kurie būtų skirti iniciatyvos idėjos vertinimui. </w:t>
            </w:r>
          </w:p>
          <w:p w:rsidR="00F22900" w:rsidRPr="00F22900" w:rsidRDefault="00F22900" w:rsidP="00F22900">
            <w:pPr>
              <w:jc w:val="both"/>
              <w:rPr>
                <w:rFonts w:ascii="Times New Roman" w:hAnsi="Times New Roman" w:cs="Times New Roman"/>
                <w:b/>
              </w:rPr>
            </w:pPr>
            <w:r w:rsidRPr="00F22900">
              <w:rPr>
                <w:rFonts w:ascii="Times New Roman" w:hAnsi="Times New Roman" w:cs="Times New Roman"/>
              </w:rPr>
              <w:t>1.2.</w:t>
            </w:r>
            <w:r w:rsidRPr="00F22900">
              <w:rPr>
                <w:rFonts w:ascii="Times New Roman" w:hAnsi="Times New Roman" w:cs="Times New Roman"/>
              </w:rPr>
              <w:tab/>
              <w:t xml:space="preserve">Taip pat </w:t>
            </w:r>
            <w:r w:rsidRPr="00F22900">
              <w:rPr>
                <w:rFonts w:ascii="Times New Roman" w:hAnsi="Times New Roman" w:cs="Times New Roman"/>
                <w:b/>
              </w:rPr>
              <w:t>nėra atsižvelgiama į iniciatyvos galimybes prisidedant ne tik prie idėjų komercializavimo, bet ir prie naujų mokslo disciplinų atsiradimo, naujų specializacijų ir mokymų programų kūrimo.</w:t>
            </w:r>
          </w:p>
          <w:p w:rsidR="00F22900" w:rsidRPr="00F22900" w:rsidRDefault="00F22900" w:rsidP="00F22900">
            <w:pPr>
              <w:jc w:val="both"/>
              <w:rPr>
                <w:rFonts w:ascii="Times New Roman" w:hAnsi="Times New Roman" w:cs="Times New Roman"/>
              </w:rPr>
            </w:pPr>
            <w:r w:rsidRPr="00F22900">
              <w:rPr>
                <w:rFonts w:ascii="Times New Roman" w:hAnsi="Times New Roman" w:cs="Times New Roman"/>
              </w:rPr>
              <w:t>2.</w:t>
            </w:r>
            <w:r w:rsidRPr="00F22900">
              <w:rPr>
                <w:rFonts w:ascii="Times New Roman" w:hAnsi="Times New Roman" w:cs="Times New Roman"/>
              </w:rPr>
              <w:tab/>
              <w:t xml:space="preserve">Vertinimo aspektas - „Pateiktos </w:t>
            </w:r>
            <w:r w:rsidRPr="00F22900">
              <w:rPr>
                <w:rFonts w:ascii="Times New Roman" w:hAnsi="Times New Roman" w:cs="Times New Roman"/>
                <w:b/>
              </w:rPr>
              <w:t>patentinės paraiškos</w:t>
            </w:r>
            <w:r w:rsidRPr="00F22900">
              <w:rPr>
                <w:rFonts w:ascii="Times New Roman" w:hAnsi="Times New Roman" w:cs="Times New Roman"/>
              </w:rPr>
              <w:t xml:space="preserve"> Europos patentų biurui (EPO), JAV patentų ir prekių ženklų biurui (USPTO) ar Japonijos patentų biurui (JPO). Vertinimo skalė: 1 paraiška – 1 balas, 2 paraiškos – 2 balai; 3 paraiškos – 3 balai; 4 paraiškos – 4 balai; 5 ir daugiau paraiškų – 5 balai;“:</w:t>
            </w:r>
          </w:p>
          <w:p w:rsidR="00F22900" w:rsidRPr="00F22900" w:rsidRDefault="00F22900" w:rsidP="00F22900">
            <w:pPr>
              <w:jc w:val="both"/>
              <w:rPr>
                <w:rFonts w:ascii="Times New Roman" w:hAnsi="Times New Roman" w:cs="Times New Roman"/>
                <w:b/>
              </w:rPr>
            </w:pPr>
            <w:r w:rsidRPr="00F22900">
              <w:rPr>
                <w:rFonts w:ascii="Times New Roman" w:hAnsi="Times New Roman" w:cs="Times New Roman"/>
              </w:rPr>
              <w:t>2.1.</w:t>
            </w:r>
            <w:r w:rsidRPr="00F22900">
              <w:rPr>
                <w:rFonts w:ascii="Times New Roman" w:hAnsi="Times New Roman" w:cs="Times New Roman"/>
              </w:rPr>
              <w:tab/>
              <w:t xml:space="preserve">Vertinimas remiantis patentinių paraiškų skaičiumi Europos, JAV ir Japonijos patentų biurams labiau tinkamas technologinėms inovacijoms, tačiau </w:t>
            </w:r>
            <w:r w:rsidRPr="00F22900">
              <w:rPr>
                <w:rFonts w:ascii="Times New Roman" w:hAnsi="Times New Roman" w:cs="Times New Roman"/>
                <w:b/>
              </w:rPr>
              <w:t xml:space="preserve">socialiniai mokslai ir socialinės inovacijos mažiau sietinos su patentais, todėl būtų tikslinga pateikti alternatyvų kriterijų socialinėms inovacijoms vertinti. </w:t>
            </w:r>
          </w:p>
          <w:p w:rsidR="00F22900" w:rsidRPr="00F22900" w:rsidRDefault="00F22900" w:rsidP="00F22900">
            <w:pPr>
              <w:jc w:val="both"/>
              <w:rPr>
                <w:rFonts w:ascii="Times New Roman" w:hAnsi="Times New Roman" w:cs="Times New Roman"/>
              </w:rPr>
            </w:pPr>
            <w:r w:rsidRPr="00F22900">
              <w:rPr>
                <w:rFonts w:ascii="Times New Roman" w:hAnsi="Times New Roman" w:cs="Times New Roman"/>
              </w:rPr>
              <w:t>2.2.</w:t>
            </w:r>
            <w:r w:rsidRPr="00F22900">
              <w:rPr>
                <w:rFonts w:ascii="Times New Roman" w:hAnsi="Times New Roman" w:cs="Times New Roman"/>
              </w:rPr>
              <w:tab/>
              <w:t xml:space="preserve">Taip pat </w:t>
            </w:r>
            <w:r w:rsidRPr="00F22900">
              <w:rPr>
                <w:rFonts w:ascii="Times New Roman" w:hAnsi="Times New Roman" w:cs="Times New Roman"/>
                <w:b/>
              </w:rPr>
              <w:t>nėra aišku kaip turimi patentai bus siejami su iniciatyvos koncepcija ir kaip patentai prisidės prie iniciatyvos tvarumo</w:t>
            </w:r>
            <w:r w:rsidRPr="00F22900">
              <w:rPr>
                <w:rFonts w:ascii="Times New Roman" w:hAnsi="Times New Roman" w:cs="Times New Roman"/>
              </w:rPr>
              <w:t>?</w:t>
            </w:r>
          </w:p>
          <w:p w:rsidR="00F22900" w:rsidRPr="00F22900" w:rsidRDefault="00F22900" w:rsidP="00F22900">
            <w:pPr>
              <w:jc w:val="both"/>
              <w:rPr>
                <w:rFonts w:ascii="Times New Roman" w:hAnsi="Times New Roman" w:cs="Times New Roman"/>
              </w:rPr>
            </w:pPr>
            <w:r w:rsidRPr="00F22900">
              <w:rPr>
                <w:rFonts w:ascii="Times New Roman" w:hAnsi="Times New Roman" w:cs="Times New Roman"/>
              </w:rPr>
              <w:t>3.</w:t>
            </w:r>
            <w:r w:rsidRPr="00F22900">
              <w:rPr>
                <w:rFonts w:ascii="Times New Roman" w:hAnsi="Times New Roman" w:cs="Times New Roman"/>
              </w:rPr>
              <w:tab/>
              <w:t xml:space="preserve">Vertinimo aspektas – „Susikūrusių naujų žinioms imlių įmonių (angl. </w:t>
            </w:r>
            <w:r w:rsidRPr="00F22900">
              <w:rPr>
                <w:rFonts w:ascii="Times New Roman" w:hAnsi="Times New Roman" w:cs="Times New Roman"/>
                <w:b/>
              </w:rPr>
              <w:t>spin-off) skaičius</w:t>
            </w:r>
            <w:r w:rsidRPr="00F22900">
              <w:rPr>
                <w:rFonts w:ascii="Times New Roman" w:hAnsi="Times New Roman" w:cs="Times New Roman"/>
              </w:rPr>
              <w:t>.  Vertinimo skalė: 1 įmonė – 1 balas, 2 įmonės – 2 balai; 3 įmonės – 3 balai; 4 įmonės – 4 balai; 5 ir daugiau įmonių – 5 balai;“:</w:t>
            </w:r>
          </w:p>
          <w:p w:rsidR="00F22900" w:rsidRPr="00F22900" w:rsidRDefault="00F22900" w:rsidP="00F22900">
            <w:pPr>
              <w:jc w:val="both"/>
              <w:rPr>
                <w:rFonts w:ascii="Times New Roman" w:hAnsi="Times New Roman" w:cs="Times New Roman"/>
              </w:rPr>
            </w:pPr>
            <w:r w:rsidRPr="00F22900">
              <w:rPr>
                <w:rFonts w:ascii="Times New Roman" w:hAnsi="Times New Roman" w:cs="Times New Roman"/>
              </w:rPr>
              <w:t>3.1.</w:t>
            </w:r>
            <w:r w:rsidRPr="00F22900">
              <w:rPr>
                <w:rFonts w:ascii="Times New Roman" w:hAnsi="Times New Roman" w:cs="Times New Roman"/>
              </w:rPr>
              <w:tab/>
              <w:t xml:space="preserve"> Vienas pagrindinių iniciatyvų galimos sėkmės vertinimo kriterijų – veiklos tvarumo užtikrinimas. </w:t>
            </w:r>
            <w:r w:rsidRPr="00A53F40">
              <w:rPr>
                <w:rFonts w:ascii="Times New Roman" w:hAnsi="Times New Roman" w:cs="Times New Roman"/>
                <w:b/>
              </w:rPr>
              <w:t xml:space="preserve">Naujai sukurtų įmonių skaičius savaime neužtikrina sėkmingo </w:t>
            </w:r>
            <w:r w:rsidRPr="00A53F40">
              <w:rPr>
                <w:rFonts w:ascii="Times New Roman" w:hAnsi="Times New Roman" w:cs="Times New Roman"/>
                <w:b/>
              </w:rPr>
              <w:lastRenderedPageBreak/>
              <w:t>projekto rezultato. Taip pat įmonės gali būti kuriamos dirbtinai</w:t>
            </w:r>
            <w:r w:rsidRPr="00F22900">
              <w:rPr>
                <w:rFonts w:ascii="Times New Roman" w:hAnsi="Times New Roman" w:cs="Times New Roman"/>
              </w:rPr>
              <w:t xml:space="preserve"> arba tik projekto trukmės laikotarpiui.</w:t>
            </w:r>
          </w:p>
          <w:p w:rsidR="00F22900" w:rsidRPr="00F22900" w:rsidRDefault="00F22900" w:rsidP="00F22900">
            <w:pPr>
              <w:jc w:val="both"/>
              <w:rPr>
                <w:rFonts w:ascii="Times New Roman" w:hAnsi="Times New Roman" w:cs="Times New Roman"/>
              </w:rPr>
            </w:pPr>
            <w:r w:rsidRPr="00F22900">
              <w:rPr>
                <w:rFonts w:ascii="Times New Roman" w:hAnsi="Times New Roman" w:cs="Times New Roman"/>
              </w:rPr>
              <w:t>3.2.</w:t>
            </w:r>
            <w:r w:rsidRPr="00F22900">
              <w:rPr>
                <w:rFonts w:ascii="Times New Roman" w:hAnsi="Times New Roman" w:cs="Times New Roman"/>
              </w:rPr>
              <w:tab/>
            </w:r>
            <w:r w:rsidRPr="00A53F40">
              <w:rPr>
                <w:rFonts w:ascii="Times New Roman" w:hAnsi="Times New Roman" w:cs="Times New Roman"/>
                <w:b/>
              </w:rPr>
              <w:t>Įmonės gebėjimas generuoti pajamas būtų daug svarbesnis kriterijus nei įsteigtų įmonių skaičius.</w:t>
            </w:r>
            <w:r w:rsidRPr="00F22900">
              <w:rPr>
                <w:rFonts w:ascii="Times New Roman" w:hAnsi="Times New Roman" w:cs="Times New Roman"/>
              </w:rPr>
              <w:t xml:space="preserve"> Todėl galimų pajamų prognozės turėtų būti pagrįstos ketinimų protokolais arba palaikymo raštais su būsimais užsakovais. Todėl </w:t>
            </w:r>
            <w:r w:rsidRPr="00A53F40">
              <w:rPr>
                <w:rFonts w:ascii="Times New Roman" w:hAnsi="Times New Roman" w:cs="Times New Roman"/>
                <w:b/>
              </w:rPr>
              <w:t>siūlome projektams, kurių pareiškėjas yra pasirašęs ketinimų protokolą, sutartį ar kitos formos įpareigojantį dokumentą su ūkio subjektu dėl MTEP veiklos rezultato, kurį planuojama sukurti projekto įgyvendinimo metu, panaudojimo skirti aukštesnį vertinimo balą.</w:t>
            </w:r>
          </w:p>
          <w:p w:rsidR="00BE6FE0" w:rsidRPr="00561A4E" w:rsidRDefault="00F22900" w:rsidP="00F22900">
            <w:pPr>
              <w:jc w:val="both"/>
              <w:rPr>
                <w:rFonts w:ascii="Times New Roman" w:hAnsi="Times New Roman" w:cs="Times New Roman"/>
              </w:rPr>
            </w:pPr>
            <w:r w:rsidRPr="00F22900">
              <w:rPr>
                <w:rFonts w:ascii="Times New Roman" w:hAnsi="Times New Roman" w:cs="Times New Roman"/>
              </w:rPr>
              <w:t xml:space="preserve">Norėtume atkreipti dėmesį ir į tai, kad </w:t>
            </w:r>
            <w:r w:rsidRPr="00A53F40">
              <w:rPr>
                <w:rFonts w:ascii="Times New Roman" w:hAnsi="Times New Roman" w:cs="Times New Roman"/>
                <w:b/>
              </w:rPr>
              <w:t>mažai dėmesio skiriama pareiškėjo ir partnerių laimėjimams tarptautinėje erdvėje.</w:t>
            </w:r>
            <w:r w:rsidRPr="00F22900">
              <w:rPr>
                <w:rFonts w:ascii="Times New Roman" w:hAnsi="Times New Roman" w:cs="Times New Roman"/>
              </w:rPr>
              <w:t xml:space="preserve"> Nėra akcentuojamos pasirašytos sutartys su ES finansavimo programomis, nėra vertinamas pareiškėjo indėlis į tarptautinius projektus. Taip pat nėra atsižvelgiama į pareiškėjo galimybes pritraukti tarptautinius mokslininkus, ekspertus, verslo įmones konkrečioje specializacijos srityje. Platesnės nei tik nacionalinio lygio įtraukties galimybės sudaro prielaidas išvystyti regioninės ir europinės apimties kompetencijos centrus bei išvengti tiesioginės konkurencijos su kitų šalių bei universitetų iniciatyvomis. Apimties išplėtimas labai svarbus vertinant iniciatyvos tvarumo kriterijus, kurie sietini ne tik su nacionaliniais, bet ES finansiniais instrumentais.</w:t>
            </w:r>
          </w:p>
        </w:tc>
        <w:tc>
          <w:tcPr>
            <w:tcW w:w="1701" w:type="dxa"/>
          </w:tcPr>
          <w:p w:rsidR="00BE6FE0" w:rsidRPr="009376EF" w:rsidRDefault="009212BB" w:rsidP="00A47D63">
            <w:pPr>
              <w:jc w:val="center"/>
              <w:rPr>
                <w:rFonts w:ascii="Times New Roman" w:hAnsi="Times New Roman" w:cs="Times New Roman"/>
                <w:sz w:val="24"/>
                <w:szCs w:val="24"/>
              </w:rPr>
            </w:pPr>
            <w:r>
              <w:rPr>
                <w:rFonts w:ascii="Times New Roman" w:hAnsi="Times New Roman" w:cs="Times New Roman"/>
                <w:sz w:val="24"/>
                <w:szCs w:val="24"/>
              </w:rPr>
              <w:lastRenderedPageBreak/>
              <w:t>Neatsižvelgta</w:t>
            </w:r>
          </w:p>
        </w:tc>
        <w:tc>
          <w:tcPr>
            <w:tcW w:w="2374" w:type="dxa"/>
          </w:tcPr>
          <w:p w:rsidR="00BE6FE0" w:rsidRPr="006A7342" w:rsidRDefault="00B948FF" w:rsidP="00B948FF">
            <w:pPr>
              <w:pStyle w:val="Default"/>
              <w:jc w:val="both"/>
            </w:pPr>
            <w:r>
              <w:t xml:space="preserve">Priemonės atrankos kriterijai buvo </w:t>
            </w:r>
            <w:r w:rsidR="001D0B4E">
              <w:t xml:space="preserve">suderinti su Finansų ministerija ir </w:t>
            </w:r>
            <w:r>
              <w:t>patvirtinti</w:t>
            </w:r>
            <w:r w:rsidRPr="00B948FF">
              <w:t xml:space="preserve"> 2016 m. </w:t>
            </w:r>
            <w:r w:rsidRPr="00B948FF">
              <w:lastRenderedPageBreak/>
              <w:t xml:space="preserve">balandžio 21 d. </w:t>
            </w:r>
            <w:r>
              <w:t xml:space="preserve">2014–2020 m. ES fondų investicijų veiksmų programos stebėsenos komiteto posėdyje </w:t>
            </w:r>
            <w:r w:rsidRPr="00B948FF">
              <w:t>nutarimu Nr. 44P-14.1 (16)</w:t>
            </w:r>
            <w:r>
              <w:t>. Projektų finansavimo sąlygų aprašo rengimo metu</w:t>
            </w:r>
            <w:r w:rsidR="000B6E39">
              <w:t xml:space="preserve"> patvirtintų kriterijų vertinimo aspektai negali būti keičiami.</w:t>
            </w:r>
          </w:p>
        </w:tc>
      </w:tr>
      <w:tr w:rsidR="00A53F40" w:rsidTr="00711642">
        <w:trPr>
          <w:trHeight w:val="575"/>
        </w:trPr>
        <w:tc>
          <w:tcPr>
            <w:tcW w:w="1555" w:type="dxa"/>
            <w:vMerge w:val="restart"/>
          </w:tcPr>
          <w:p w:rsidR="00A53F40" w:rsidRPr="005D7FB4" w:rsidRDefault="00A53F40" w:rsidP="00A53F40">
            <w:pPr>
              <w:jc w:val="center"/>
              <w:rPr>
                <w:rFonts w:ascii="Times New Roman" w:hAnsi="Times New Roman" w:cs="Times New Roman"/>
                <w:sz w:val="24"/>
                <w:szCs w:val="24"/>
              </w:rPr>
            </w:pPr>
            <w:r w:rsidRPr="00A53F40">
              <w:rPr>
                <w:rFonts w:ascii="Times New Roman" w:hAnsi="Times New Roman" w:cs="Times New Roman"/>
                <w:sz w:val="24"/>
                <w:szCs w:val="24"/>
              </w:rPr>
              <w:lastRenderedPageBreak/>
              <w:t>Ka</w:t>
            </w:r>
            <w:r>
              <w:rPr>
                <w:rFonts w:ascii="Times New Roman" w:hAnsi="Times New Roman" w:cs="Times New Roman"/>
                <w:sz w:val="24"/>
                <w:szCs w:val="24"/>
              </w:rPr>
              <w:t>uno technologijos universitetas (</w:t>
            </w:r>
            <w:r w:rsidRPr="00A53F40">
              <w:rPr>
                <w:rFonts w:ascii="Times New Roman" w:hAnsi="Times New Roman" w:cs="Times New Roman"/>
                <w:sz w:val="24"/>
                <w:szCs w:val="24"/>
              </w:rPr>
              <w:t>Nacionalinis inovacijų ir verslo centras</w:t>
            </w:r>
            <w:r>
              <w:rPr>
                <w:rFonts w:ascii="Times New Roman" w:hAnsi="Times New Roman" w:cs="Times New Roman"/>
                <w:sz w:val="24"/>
                <w:szCs w:val="24"/>
              </w:rPr>
              <w:t xml:space="preserve">), pastabos </w:t>
            </w:r>
            <w:r>
              <w:rPr>
                <w:rFonts w:ascii="Times New Roman" w:hAnsi="Times New Roman" w:cs="Times New Roman"/>
                <w:sz w:val="24"/>
                <w:szCs w:val="24"/>
              </w:rPr>
              <w:lastRenderedPageBreak/>
              <w:t>gautos 2016-05-24</w:t>
            </w:r>
          </w:p>
        </w:tc>
        <w:tc>
          <w:tcPr>
            <w:tcW w:w="708" w:type="dxa"/>
          </w:tcPr>
          <w:p w:rsidR="00A53F40" w:rsidRDefault="000B6E39" w:rsidP="00A47D63">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701" w:type="dxa"/>
          </w:tcPr>
          <w:p w:rsidR="00A53F40" w:rsidRDefault="001D0B4E" w:rsidP="00FC4965">
            <w:pPr>
              <w:jc w:val="both"/>
              <w:rPr>
                <w:rFonts w:ascii="Times New Roman" w:hAnsi="Times New Roman" w:cs="Times New Roman"/>
                <w:sz w:val="24"/>
                <w:szCs w:val="24"/>
              </w:rPr>
            </w:pPr>
            <w:r>
              <w:rPr>
                <w:rFonts w:ascii="Times New Roman" w:eastAsia="Calibri" w:hAnsi="Times New Roman" w:cs="Times New Roman"/>
                <w:sz w:val="24"/>
                <w:szCs w:val="24"/>
              </w:rPr>
              <w:t>Aprašo 4 punktas:</w:t>
            </w:r>
            <w:r w:rsidR="000B6E39" w:rsidRPr="000B6E39">
              <w:rPr>
                <w:rFonts w:ascii="Times New Roman" w:eastAsia="Calibri" w:hAnsi="Times New Roman" w:cs="Times New Roman"/>
                <w:sz w:val="24"/>
                <w:szCs w:val="24"/>
              </w:rPr>
              <w:t xml:space="preserve"> Apraše vartojamos kitos sąvokos</w:t>
            </w:r>
            <w:r w:rsidR="000B6E39">
              <w:rPr>
                <w:rFonts w:ascii="Times New Roman" w:eastAsia="Calibri" w:hAnsi="Times New Roman" w:cs="Times New Roman"/>
                <w:sz w:val="24"/>
                <w:szCs w:val="24"/>
              </w:rPr>
              <w:t>.</w:t>
            </w:r>
          </w:p>
        </w:tc>
        <w:tc>
          <w:tcPr>
            <w:tcW w:w="5954" w:type="dxa"/>
          </w:tcPr>
          <w:p w:rsidR="00A53F40" w:rsidRPr="00A94E62" w:rsidRDefault="00A53F40" w:rsidP="00A53F40">
            <w:pPr>
              <w:jc w:val="both"/>
              <w:rPr>
                <w:rFonts w:ascii="Times New Roman" w:hAnsi="Times New Roman" w:cs="Times New Roman"/>
                <w:sz w:val="24"/>
                <w:szCs w:val="24"/>
              </w:rPr>
            </w:pPr>
            <w:r w:rsidRPr="00A94E62">
              <w:rPr>
                <w:rFonts w:ascii="Times New Roman" w:hAnsi="Times New Roman" w:cs="Times New Roman"/>
                <w:sz w:val="24"/>
                <w:szCs w:val="24"/>
              </w:rPr>
              <w:t>Prašome apibrėžti, kas pagal Aprašą yra atžalinė įmonė (angl. spin-off). Ar šios priemonės rezultatas</w:t>
            </w:r>
            <w:r w:rsidR="00B948FF" w:rsidRPr="00A94E62">
              <w:rPr>
                <w:rFonts w:ascii="Times New Roman" w:hAnsi="Times New Roman" w:cs="Times New Roman"/>
                <w:sz w:val="24"/>
                <w:szCs w:val="24"/>
              </w:rPr>
              <w:t xml:space="preserve"> taip pat gali būti startuolis?</w:t>
            </w:r>
          </w:p>
        </w:tc>
        <w:tc>
          <w:tcPr>
            <w:tcW w:w="1701" w:type="dxa"/>
          </w:tcPr>
          <w:p w:rsidR="00A53F40" w:rsidRPr="009376EF" w:rsidRDefault="009212BB" w:rsidP="00A47D63">
            <w:pPr>
              <w:jc w:val="center"/>
              <w:rPr>
                <w:rFonts w:ascii="Times New Roman" w:hAnsi="Times New Roman" w:cs="Times New Roman"/>
                <w:sz w:val="24"/>
                <w:szCs w:val="24"/>
              </w:rPr>
            </w:pPr>
            <w:r>
              <w:rPr>
                <w:rFonts w:ascii="Times New Roman" w:hAnsi="Times New Roman" w:cs="Times New Roman"/>
                <w:sz w:val="24"/>
                <w:szCs w:val="24"/>
              </w:rPr>
              <w:t>Iš dalies atsižvelgta</w:t>
            </w:r>
          </w:p>
        </w:tc>
        <w:tc>
          <w:tcPr>
            <w:tcW w:w="2374" w:type="dxa"/>
          </w:tcPr>
          <w:p w:rsidR="00A53F40" w:rsidRPr="006A7342" w:rsidRDefault="009212BB" w:rsidP="009376EF">
            <w:pPr>
              <w:pStyle w:val="Default"/>
              <w:jc w:val="both"/>
            </w:pPr>
            <w:r>
              <w:t>Aprašas papildytas naujos žinioms imlios įmonės sąvoka.</w:t>
            </w:r>
            <w:r w:rsidRPr="009212BB">
              <w:t xml:space="preserve"> </w:t>
            </w:r>
            <w:r w:rsidRPr="00671E4E">
              <w:t>Pagal Stebėsenos komiteto patvirtintus projektų atrankos kriterijus prioritetiniai balai už startuolių įsteigimą nenumatyti.</w:t>
            </w:r>
          </w:p>
        </w:tc>
      </w:tr>
      <w:tr w:rsidR="00A53F40" w:rsidTr="00711642">
        <w:trPr>
          <w:trHeight w:val="1563"/>
        </w:trPr>
        <w:tc>
          <w:tcPr>
            <w:tcW w:w="1555" w:type="dxa"/>
            <w:vMerge/>
          </w:tcPr>
          <w:p w:rsidR="00A53F40" w:rsidRPr="00A53F40" w:rsidRDefault="00A53F40" w:rsidP="00A53F40">
            <w:pPr>
              <w:jc w:val="center"/>
              <w:rPr>
                <w:rFonts w:ascii="Times New Roman" w:hAnsi="Times New Roman" w:cs="Times New Roman"/>
                <w:sz w:val="24"/>
                <w:szCs w:val="24"/>
              </w:rPr>
            </w:pPr>
          </w:p>
        </w:tc>
        <w:tc>
          <w:tcPr>
            <w:tcW w:w="708" w:type="dxa"/>
          </w:tcPr>
          <w:p w:rsidR="00A53F40" w:rsidRDefault="000B6E39" w:rsidP="00A47D63">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A53F40" w:rsidRDefault="001D0B4E" w:rsidP="00FC4965">
            <w:pPr>
              <w:jc w:val="both"/>
              <w:rPr>
                <w:rFonts w:ascii="Times New Roman" w:hAnsi="Times New Roman" w:cs="Times New Roman"/>
                <w:sz w:val="24"/>
                <w:szCs w:val="24"/>
              </w:rPr>
            </w:pPr>
            <w:r>
              <w:rPr>
                <w:rFonts w:ascii="Times New Roman" w:hAnsi="Times New Roman" w:cs="Times New Roman"/>
                <w:sz w:val="24"/>
                <w:szCs w:val="24"/>
              </w:rPr>
              <w:t>2 priedas: Naudos ir kokybės vertinimo kriterijai Nr. 1 ir Nr. 2</w:t>
            </w:r>
          </w:p>
        </w:tc>
        <w:tc>
          <w:tcPr>
            <w:tcW w:w="5954" w:type="dxa"/>
          </w:tcPr>
          <w:p w:rsidR="00A53F40" w:rsidRDefault="00A53F40" w:rsidP="00A53F40">
            <w:pPr>
              <w:jc w:val="both"/>
              <w:rPr>
                <w:rFonts w:ascii="Times New Roman" w:hAnsi="Times New Roman" w:cs="Times New Roman"/>
                <w:sz w:val="24"/>
                <w:szCs w:val="24"/>
              </w:rPr>
            </w:pPr>
            <w:r w:rsidRPr="00A94E62">
              <w:rPr>
                <w:rFonts w:ascii="Times New Roman" w:hAnsi="Times New Roman" w:cs="Times New Roman"/>
                <w:sz w:val="24"/>
                <w:szCs w:val="24"/>
              </w:rPr>
              <w:t>Prašome atsižvelgti į situaciją, jog mokslo ir studijų įstaigos, dalyvaudamos bendrose veiklose su verslo įmonėmis ir kurdamos bendrus produktus, turinčius potencialą būti komercializuojamos, intelektinę nuosavybę siekia pasilikti sau, pasirašydamos licencines sutartis ir taip gaudamos licencines pajamas. Tokiu atveju MSI netampa žinioms imlios įmonės akcininku.</w:t>
            </w:r>
          </w:p>
          <w:p w:rsidR="00A94E62" w:rsidRPr="00A94E62" w:rsidRDefault="00A94E62" w:rsidP="00A53F40">
            <w:pPr>
              <w:jc w:val="both"/>
              <w:rPr>
                <w:rFonts w:ascii="Times New Roman" w:hAnsi="Times New Roman" w:cs="Times New Roman"/>
                <w:sz w:val="24"/>
                <w:szCs w:val="24"/>
              </w:rPr>
            </w:pPr>
            <w:r w:rsidRPr="00A94E62">
              <w:rPr>
                <w:rFonts w:ascii="Times New Roman" w:hAnsi="Times New Roman" w:cs="Times New Roman"/>
                <w:sz w:val="24"/>
                <w:szCs w:val="24"/>
              </w:rPr>
              <w:t>Naudos ir kokybės vertinimo lentelėje atrankos kriterijuje Nr. 2 vertinami partnerio ketinimai sukurti žinioms imlią įmonę. Jei žinioms imli įmonė bus traktuojama ne tik spin-off‘as, kai MSI yra akcininkas, tada viskas tvarkoje. Prašomus rodiklius pasiekti yra realu. Tačiau jei kalbama tik apie įmones, kai MSI yra akcininkas, įsteigti projekto veiklų pasėkoje daugiau nei 15 įmonių (kaip yra nurodoma vertinimo skalėje) yra per daug ambicingas siekis ir efektyviai neįgyvendinamas.</w:t>
            </w:r>
          </w:p>
        </w:tc>
        <w:tc>
          <w:tcPr>
            <w:tcW w:w="1701" w:type="dxa"/>
          </w:tcPr>
          <w:p w:rsidR="00A53F40" w:rsidRPr="009376EF" w:rsidRDefault="009212BB" w:rsidP="00A47D63">
            <w:pPr>
              <w:jc w:val="center"/>
              <w:rPr>
                <w:rFonts w:ascii="Times New Roman" w:hAnsi="Times New Roman" w:cs="Times New Roman"/>
                <w:sz w:val="24"/>
                <w:szCs w:val="24"/>
              </w:rPr>
            </w:pPr>
            <w:r>
              <w:rPr>
                <w:rFonts w:ascii="Times New Roman" w:hAnsi="Times New Roman" w:cs="Times New Roman"/>
                <w:sz w:val="24"/>
                <w:szCs w:val="24"/>
              </w:rPr>
              <w:t>Iš dalies atsižvelgta</w:t>
            </w:r>
          </w:p>
        </w:tc>
        <w:tc>
          <w:tcPr>
            <w:tcW w:w="2374" w:type="dxa"/>
          </w:tcPr>
          <w:p w:rsidR="009212BB" w:rsidRDefault="009212BB" w:rsidP="009376EF">
            <w:pPr>
              <w:pStyle w:val="Default"/>
              <w:jc w:val="both"/>
            </w:pPr>
            <w:r>
              <w:t>Pagal Stebėsenos komiteto patvirtintą prioritetinį atrankos kriterijų „</w:t>
            </w:r>
            <w:r w:rsidRPr="009212BB">
              <w:t xml:space="preserve">Pareiškėjų ir (arba) partnerių galimybės </w:t>
            </w:r>
            <w:r>
              <w:t xml:space="preserve">komerciškai panaudoti </w:t>
            </w:r>
            <w:r w:rsidRPr="009212BB">
              <w:t>MTEP veiklos rezultatus, kurie gali būt</w:t>
            </w:r>
            <w:r>
              <w:t>i sukurti įgyvendinant projektą“ papildomi balai teikiami tik už ketinimą</w:t>
            </w:r>
            <w:r w:rsidRPr="009212BB">
              <w:t xml:space="preserve"> įsteigti naują žinioms imlią įmonę (angl. </w:t>
            </w:r>
            <w:r w:rsidRPr="009212BB">
              <w:rPr>
                <w:i/>
              </w:rPr>
              <w:t>spin-off</w:t>
            </w:r>
            <w:r w:rsidRPr="009212BB">
              <w:t>)</w:t>
            </w:r>
            <w:r>
              <w:t xml:space="preserve">. Siekiant aiškumo, Aprašas papildytas  </w:t>
            </w:r>
            <w:r w:rsidRPr="009212BB">
              <w:t>naujos žinioms imlios įmonės sąvoka.</w:t>
            </w:r>
          </w:p>
          <w:p w:rsidR="009212BB" w:rsidRDefault="009212BB" w:rsidP="009376EF">
            <w:pPr>
              <w:pStyle w:val="Default"/>
              <w:jc w:val="both"/>
            </w:pPr>
          </w:p>
          <w:p w:rsidR="00A53F40" w:rsidRPr="006A7342" w:rsidRDefault="000248F0" w:rsidP="009376EF">
            <w:pPr>
              <w:pStyle w:val="Default"/>
              <w:jc w:val="both"/>
            </w:pPr>
            <w:r w:rsidRPr="00671E4E">
              <w:t>Atsižvelgiant į pastabą dėl MSI galimybių įsteigti naujas žinioms imlias įmones, sumažinta šio rodiklio pasiekimo skalė.</w:t>
            </w:r>
          </w:p>
        </w:tc>
      </w:tr>
      <w:tr w:rsidR="00A53F40" w:rsidTr="00711642">
        <w:trPr>
          <w:trHeight w:val="558"/>
        </w:trPr>
        <w:tc>
          <w:tcPr>
            <w:tcW w:w="1555" w:type="dxa"/>
            <w:vMerge/>
          </w:tcPr>
          <w:p w:rsidR="00A53F40" w:rsidRPr="00A53F40" w:rsidRDefault="00A53F40" w:rsidP="00A53F40">
            <w:pPr>
              <w:jc w:val="center"/>
              <w:rPr>
                <w:rFonts w:ascii="Times New Roman" w:hAnsi="Times New Roman" w:cs="Times New Roman"/>
                <w:sz w:val="24"/>
                <w:szCs w:val="24"/>
              </w:rPr>
            </w:pPr>
          </w:p>
        </w:tc>
        <w:tc>
          <w:tcPr>
            <w:tcW w:w="708" w:type="dxa"/>
          </w:tcPr>
          <w:p w:rsidR="00A53F40" w:rsidRDefault="001D0B4E" w:rsidP="00A47D63">
            <w:pPr>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A53F40" w:rsidRDefault="001D0B4E" w:rsidP="00FC4965">
            <w:pPr>
              <w:jc w:val="both"/>
              <w:rPr>
                <w:rFonts w:ascii="Times New Roman" w:hAnsi="Times New Roman" w:cs="Times New Roman"/>
                <w:sz w:val="24"/>
                <w:szCs w:val="24"/>
              </w:rPr>
            </w:pPr>
            <w:r>
              <w:rPr>
                <w:rFonts w:ascii="Times New Roman" w:hAnsi="Times New Roman" w:cs="Times New Roman"/>
                <w:sz w:val="24"/>
                <w:szCs w:val="24"/>
              </w:rPr>
              <w:t>Aprašo 27.1 -  papunktis (produkto rodiklis) ir 2 priedas (naudos ir kokybės vertinimo kriterijus Nr. 2)</w:t>
            </w:r>
          </w:p>
        </w:tc>
        <w:tc>
          <w:tcPr>
            <w:tcW w:w="5954" w:type="dxa"/>
          </w:tcPr>
          <w:p w:rsidR="00A53F40" w:rsidRPr="00A94E62" w:rsidRDefault="00A53F40" w:rsidP="00A53F40">
            <w:pPr>
              <w:jc w:val="both"/>
              <w:rPr>
                <w:rFonts w:ascii="Times New Roman" w:hAnsi="Times New Roman" w:cs="Times New Roman"/>
                <w:sz w:val="24"/>
                <w:szCs w:val="24"/>
              </w:rPr>
            </w:pPr>
            <w:r w:rsidRPr="00A94E62">
              <w:rPr>
                <w:rFonts w:ascii="Times New Roman" w:hAnsi="Times New Roman" w:cs="Times New Roman"/>
                <w:sz w:val="24"/>
                <w:szCs w:val="24"/>
              </w:rPr>
              <w:t>Jame nurodytas rodiklis, kuris PIP sąraše pateiktuose Priemonės įgyvendinimo stebėsenos rodikliuose yra P.S. 305. Patentų skaičius  - 5. Aprašo 2 priedo Naudos ir kokybės vertinimo lentelėje reikalavimai patentų skaičiui yra ženkliai didesni. Ar ne per aukšti vertinimo kriterijai pateikiami projektų paraiškų verti</w:t>
            </w:r>
            <w:r w:rsidR="00B948FF" w:rsidRPr="00A94E62">
              <w:rPr>
                <w:rFonts w:ascii="Times New Roman" w:hAnsi="Times New Roman" w:cs="Times New Roman"/>
                <w:sz w:val="24"/>
                <w:szCs w:val="24"/>
              </w:rPr>
              <w:t>nimui, susijusiam su patentais?</w:t>
            </w:r>
          </w:p>
        </w:tc>
        <w:tc>
          <w:tcPr>
            <w:tcW w:w="1701" w:type="dxa"/>
          </w:tcPr>
          <w:p w:rsidR="00A53F40" w:rsidRPr="009376EF" w:rsidRDefault="001D0B4E" w:rsidP="00A47D63">
            <w:pPr>
              <w:jc w:val="center"/>
              <w:rPr>
                <w:rFonts w:ascii="Times New Roman" w:hAnsi="Times New Roman" w:cs="Times New Roman"/>
                <w:sz w:val="24"/>
                <w:szCs w:val="24"/>
              </w:rPr>
            </w:pPr>
            <w:r>
              <w:rPr>
                <w:rFonts w:ascii="Times New Roman" w:hAnsi="Times New Roman" w:cs="Times New Roman"/>
                <w:sz w:val="24"/>
                <w:szCs w:val="24"/>
              </w:rPr>
              <w:t>Neatsižvelgti</w:t>
            </w:r>
          </w:p>
        </w:tc>
        <w:tc>
          <w:tcPr>
            <w:tcW w:w="2374" w:type="dxa"/>
          </w:tcPr>
          <w:p w:rsidR="00A53F40" w:rsidRPr="006A7342" w:rsidRDefault="001D0B4E" w:rsidP="009376EF">
            <w:pPr>
              <w:pStyle w:val="Default"/>
              <w:jc w:val="both"/>
            </w:pPr>
            <w:r w:rsidRPr="001D0B4E">
              <w:t xml:space="preserve">Priemonės atrankos kriterijai buvo </w:t>
            </w:r>
            <w:r>
              <w:t xml:space="preserve">suderinti su Finansų ministerija ir </w:t>
            </w:r>
            <w:r w:rsidRPr="001D0B4E">
              <w:t xml:space="preserve">patvirtinti 2016 m. balandžio 21 d. 2014–2020 m. ES fondų investicijų veiksmų programos stebėsenos komiteto posėdyje </w:t>
            </w:r>
            <w:r w:rsidRPr="001D0B4E">
              <w:lastRenderedPageBreak/>
              <w:t>nutarimu Nr. 44P-14.1 (16). Projektų finansavimo sąlygų aprašo rengimo metu patvirtintų kriterijų vertinimo aspektai negali būti keičiami.</w:t>
            </w:r>
            <w:r>
              <w:t xml:space="preserve"> Priemonės įgyvendinimo plane yra nustatyta tik minimali siektina pr</w:t>
            </w:r>
            <w:r w:rsidR="00A94E62">
              <w:t>odukto rodiklio reikšmė, kuri netrukdo nustatyti aukštesnius prioritetinius atrankos kriterijus.</w:t>
            </w:r>
          </w:p>
        </w:tc>
      </w:tr>
      <w:tr w:rsidR="00A53F40" w:rsidTr="00671E4E">
        <w:trPr>
          <w:trHeight w:val="1124"/>
        </w:trPr>
        <w:tc>
          <w:tcPr>
            <w:tcW w:w="1555" w:type="dxa"/>
            <w:vMerge/>
          </w:tcPr>
          <w:p w:rsidR="00A53F40" w:rsidRPr="00A53F40" w:rsidRDefault="00A53F40" w:rsidP="00A53F40">
            <w:pPr>
              <w:jc w:val="center"/>
              <w:rPr>
                <w:rFonts w:ascii="Times New Roman" w:hAnsi="Times New Roman" w:cs="Times New Roman"/>
                <w:sz w:val="24"/>
                <w:szCs w:val="24"/>
              </w:rPr>
            </w:pPr>
          </w:p>
        </w:tc>
        <w:tc>
          <w:tcPr>
            <w:tcW w:w="708" w:type="dxa"/>
          </w:tcPr>
          <w:p w:rsidR="00A53F40" w:rsidRDefault="00A94E62" w:rsidP="00A47D63">
            <w:pPr>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A53F40" w:rsidRDefault="00A94E62" w:rsidP="00FC4965">
            <w:pPr>
              <w:jc w:val="both"/>
              <w:rPr>
                <w:rFonts w:ascii="Times New Roman" w:hAnsi="Times New Roman" w:cs="Times New Roman"/>
                <w:sz w:val="24"/>
                <w:szCs w:val="24"/>
              </w:rPr>
            </w:pPr>
            <w:r w:rsidRPr="00A94E62">
              <w:rPr>
                <w:rFonts w:ascii="Times New Roman" w:hAnsi="Times New Roman" w:cs="Times New Roman"/>
                <w:sz w:val="24"/>
                <w:szCs w:val="24"/>
              </w:rPr>
              <w:t>Aprašo 42</w:t>
            </w:r>
            <w:r>
              <w:rPr>
                <w:rFonts w:ascii="Times New Roman" w:hAnsi="Times New Roman" w:cs="Times New Roman"/>
                <w:sz w:val="24"/>
                <w:szCs w:val="24"/>
              </w:rPr>
              <w:t xml:space="preserve"> ir 66 punktai</w:t>
            </w:r>
          </w:p>
        </w:tc>
        <w:tc>
          <w:tcPr>
            <w:tcW w:w="5954" w:type="dxa"/>
          </w:tcPr>
          <w:p w:rsidR="00A53F40" w:rsidRPr="00A94E62" w:rsidRDefault="00A53F40" w:rsidP="00A53F40">
            <w:pPr>
              <w:jc w:val="both"/>
              <w:rPr>
                <w:rFonts w:ascii="Times New Roman" w:hAnsi="Times New Roman" w:cs="Times New Roman"/>
                <w:sz w:val="24"/>
                <w:szCs w:val="24"/>
              </w:rPr>
            </w:pPr>
            <w:r w:rsidRPr="00A94E62">
              <w:rPr>
                <w:rFonts w:ascii="Times New Roman" w:hAnsi="Times New Roman" w:cs="Times New Roman"/>
                <w:sz w:val="24"/>
                <w:szCs w:val="24"/>
              </w:rPr>
              <w:t>Pajamoms iš projekto veiklų, gautoms projekto įgyvendinimo metu ir po projekto finansavimo pabaigos, taikomi reikalavimai nustatyti Projektų taisyklių 36 skirsnyje. Kokį laikotarpį po projekto? Ar tik iki jo vykdymo pabaigos? Taip pat Aprašo 66 punktas. Jeigu projekto įgyvendinimo metu ir/ar penkerius metus po projekto mokslo ir studijų institucija vykdo žinių perdavimo veiklą, visas šios veiklos pelnas turi būti reinvestuojamas į pagrindinę mokslo ir studijų institucijos veiklą. Ar šie du punktai suderinti? Ar juose kalbama apie tuos pačius reikalavimus? Ar 66 Aprašo punktas neprieštarauja Projektų taisyklių 36 skirsnyje nurodytoms sąlygoms? Ar MSI gavusi licencines pajamas iš projektinės veiklos turėtų sugrąžinti jas Įgyvendinančiai institucijai?</w:t>
            </w:r>
          </w:p>
        </w:tc>
        <w:tc>
          <w:tcPr>
            <w:tcW w:w="1701" w:type="dxa"/>
          </w:tcPr>
          <w:p w:rsidR="00A53F40" w:rsidRPr="009376EF" w:rsidRDefault="000248F0" w:rsidP="00A47D63">
            <w:pPr>
              <w:jc w:val="center"/>
              <w:rPr>
                <w:rFonts w:ascii="Times New Roman" w:hAnsi="Times New Roman" w:cs="Times New Roman"/>
                <w:sz w:val="24"/>
                <w:szCs w:val="24"/>
              </w:rPr>
            </w:pPr>
            <w:r>
              <w:rPr>
                <w:rFonts w:ascii="Times New Roman" w:hAnsi="Times New Roman" w:cs="Times New Roman"/>
                <w:sz w:val="24"/>
                <w:szCs w:val="24"/>
              </w:rPr>
              <w:t>Iš dalies atsižvelgta</w:t>
            </w:r>
          </w:p>
        </w:tc>
        <w:tc>
          <w:tcPr>
            <w:tcW w:w="2374" w:type="dxa"/>
          </w:tcPr>
          <w:p w:rsidR="00A53F40" w:rsidRDefault="000248F0" w:rsidP="00646EC4">
            <w:pPr>
              <w:pStyle w:val="Default"/>
              <w:jc w:val="both"/>
            </w:pPr>
            <w:r>
              <w:t>Siekiant aiškumo patikslinti Aprašo punktai:</w:t>
            </w:r>
          </w:p>
          <w:p w:rsidR="00AC1DF3" w:rsidRDefault="00AC1DF3" w:rsidP="00646EC4">
            <w:pPr>
              <w:pStyle w:val="Default"/>
              <w:jc w:val="both"/>
            </w:pPr>
          </w:p>
          <w:p w:rsidR="000248F0" w:rsidRDefault="00AC1DF3" w:rsidP="00646EC4">
            <w:pPr>
              <w:pStyle w:val="Default"/>
              <w:jc w:val="both"/>
            </w:pPr>
            <w:r>
              <w:t xml:space="preserve">44 (buvęs </w:t>
            </w:r>
            <w:r w:rsidR="000248F0">
              <w:t>42</w:t>
            </w:r>
            <w:r>
              <w:t>)</w:t>
            </w:r>
            <w:r w:rsidR="000248F0">
              <w:t xml:space="preserve">. </w:t>
            </w:r>
            <w:r w:rsidR="000248F0" w:rsidRPr="000248F0">
              <w:t>Pajamoms iš projekto veiklų, gautoms</w:t>
            </w:r>
            <w:r w:rsidR="000248F0">
              <w:t xml:space="preserve"> projekto įgyvendinimo metu</w:t>
            </w:r>
            <w:r w:rsidR="000248F0" w:rsidRPr="000248F0">
              <w:t xml:space="preserve">, taikomi reikalavimai nustatyti </w:t>
            </w:r>
            <w:r w:rsidR="000248F0">
              <w:t>Projektų taisyklių 36 skirsnyje.</w:t>
            </w:r>
          </w:p>
          <w:p w:rsidR="000248F0" w:rsidRDefault="000248F0" w:rsidP="00646EC4">
            <w:pPr>
              <w:pStyle w:val="Default"/>
              <w:jc w:val="both"/>
            </w:pPr>
          </w:p>
          <w:p w:rsidR="00AC1DF3" w:rsidRDefault="00AC1DF3" w:rsidP="00646EC4">
            <w:pPr>
              <w:pStyle w:val="Default"/>
              <w:jc w:val="both"/>
            </w:pPr>
            <w:r>
              <w:t>72 (buvęs 66).</w:t>
            </w:r>
          </w:p>
          <w:p w:rsidR="00AC1DF3" w:rsidRPr="006A7342" w:rsidRDefault="00AC1DF3" w:rsidP="00646EC4">
            <w:pPr>
              <w:pStyle w:val="Default"/>
              <w:jc w:val="both"/>
            </w:pPr>
            <w:r w:rsidRPr="00AC1DF3">
              <w:t>Jei</w:t>
            </w:r>
            <w:r>
              <w:t>gu projekto įgyvendinimo metu</w:t>
            </w:r>
            <w:r w:rsidRPr="00AC1DF3">
              <w:t xml:space="preserve"> mokslo ir studijų institucija vykdo žinių perdavimo veiklą, visas šios veiklos pelnas turi būti </w:t>
            </w:r>
            <w:r w:rsidRPr="00AC1DF3">
              <w:lastRenderedPageBreak/>
              <w:t>reinvestuojamas į pagrindinę mokslo ir studijų institucijos veiklą.</w:t>
            </w:r>
          </w:p>
        </w:tc>
      </w:tr>
      <w:tr w:rsidR="00A53F40" w:rsidTr="00711642">
        <w:trPr>
          <w:trHeight w:val="2056"/>
        </w:trPr>
        <w:tc>
          <w:tcPr>
            <w:tcW w:w="1555" w:type="dxa"/>
            <w:vMerge/>
          </w:tcPr>
          <w:p w:rsidR="00A53F40" w:rsidRPr="00A53F40" w:rsidRDefault="00A53F40" w:rsidP="00A53F40">
            <w:pPr>
              <w:jc w:val="center"/>
              <w:rPr>
                <w:rFonts w:ascii="Times New Roman" w:hAnsi="Times New Roman" w:cs="Times New Roman"/>
                <w:sz w:val="24"/>
                <w:szCs w:val="24"/>
              </w:rPr>
            </w:pPr>
          </w:p>
        </w:tc>
        <w:tc>
          <w:tcPr>
            <w:tcW w:w="708" w:type="dxa"/>
          </w:tcPr>
          <w:p w:rsidR="00A53F40" w:rsidRDefault="00A94E62" w:rsidP="00A47D63">
            <w:pPr>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A53F40" w:rsidRPr="00A94E62" w:rsidRDefault="00A94E62" w:rsidP="00FC4965">
            <w:pPr>
              <w:jc w:val="both"/>
              <w:rPr>
                <w:rFonts w:ascii="Times New Roman" w:hAnsi="Times New Roman" w:cs="Times New Roman"/>
                <w:sz w:val="24"/>
                <w:szCs w:val="24"/>
              </w:rPr>
            </w:pPr>
            <w:r w:rsidRPr="00A94E62">
              <w:rPr>
                <w:rFonts w:ascii="Times New Roman" w:hAnsi="Times New Roman" w:cs="Times New Roman"/>
                <w:sz w:val="24"/>
                <w:szCs w:val="24"/>
              </w:rPr>
              <w:t>Aprašo 69.1. papunktis</w:t>
            </w:r>
          </w:p>
        </w:tc>
        <w:tc>
          <w:tcPr>
            <w:tcW w:w="5954" w:type="dxa"/>
          </w:tcPr>
          <w:p w:rsidR="00A53F40" w:rsidRPr="00A94E62" w:rsidRDefault="00A53F40" w:rsidP="00234EE0">
            <w:pPr>
              <w:jc w:val="both"/>
              <w:rPr>
                <w:rFonts w:ascii="Times New Roman" w:hAnsi="Times New Roman" w:cs="Times New Roman"/>
                <w:sz w:val="24"/>
                <w:szCs w:val="24"/>
              </w:rPr>
            </w:pPr>
            <w:r w:rsidRPr="00A94E62">
              <w:rPr>
                <w:rFonts w:ascii="Times New Roman" w:hAnsi="Times New Roman" w:cs="Times New Roman"/>
                <w:sz w:val="24"/>
                <w:szCs w:val="24"/>
              </w:rPr>
              <w:t>Jame rašoma: „visos intelektinės nuosavybės teisės į MTEP ir naujovių diegimo rezultatus,.....“, o po to jau kalbama apie esančią nuosavybės teisę ir tos teisės licencijavimo galimybes. Tad gal Apraše buvo turima omenyje projekto rezultatai, kuriems gali būti taikomos intelektinės nuosavybės teisės. Nes jei tai būtų rezultatai, kuriems nebūtų taikomos intelektinės nuosavybės teisės, tai jos neturėtų ir potencialo būti komerci</w:t>
            </w:r>
            <w:r w:rsidR="00B948FF" w:rsidRPr="00A94E62">
              <w:rPr>
                <w:rFonts w:ascii="Times New Roman" w:hAnsi="Times New Roman" w:cs="Times New Roman"/>
                <w:sz w:val="24"/>
                <w:szCs w:val="24"/>
              </w:rPr>
              <w:t>alizuojamos ar licencijuojamos.</w:t>
            </w:r>
          </w:p>
        </w:tc>
        <w:tc>
          <w:tcPr>
            <w:tcW w:w="1701" w:type="dxa"/>
          </w:tcPr>
          <w:p w:rsidR="00A53F40" w:rsidRPr="009376EF" w:rsidRDefault="00B652B7" w:rsidP="00A47D63">
            <w:pPr>
              <w:jc w:val="center"/>
              <w:rPr>
                <w:rFonts w:ascii="Times New Roman" w:hAnsi="Times New Roman" w:cs="Times New Roman"/>
                <w:sz w:val="24"/>
                <w:szCs w:val="24"/>
              </w:rPr>
            </w:pPr>
            <w:r>
              <w:rPr>
                <w:rFonts w:ascii="Times New Roman" w:hAnsi="Times New Roman" w:cs="Times New Roman"/>
                <w:sz w:val="24"/>
                <w:szCs w:val="24"/>
              </w:rPr>
              <w:t>A</w:t>
            </w:r>
            <w:r w:rsidR="000248F0">
              <w:rPr>
                <w:rFonts w:ascii="Times New Roman" w:hAnsi="Times New Roman" w:cs="Times New Roman"/>
                <w:sz w:val="24"/>
                <w:szCs w:val="24"/>
              </w:rPr>
              <w:t>tsižvelgta</w:t>
            </w:r>
          </w:p>
        </w:tc>
        <w:tc>
          <w:tcPr>
            <w:tcW w:w="2374" w:type="dxa"/>
          </w:tcPr>
          <w:p w:rsidR="00234EE0" w:rsidRPr="006A7342" w:rsidRDefault="00AC1DF3" w:rsidP="00234EE0">
            <w:pPr>
              <w:pStyle w:val="Default"/>
              <w:jc w:val="both"/>
            </w:pPr>
            <w:r>
              <w:t>75.1 punktas (buvęs 69.1) patikslintas išbraukiant žodžius „rezultatai, kuriems netaikomos intelektinės nuosavybės teisės, gali būti plačiai</w:t>
            </w:r>
            <w:r w:rsidR="00C91711">
              <w:t xml:space="preserve"> skleidžiami ir“.</w:t>
            </w:r>
          </w:p>
        </w:tc>
      </w:tr>
      <w:tr w:rsidR="00A53F40" w:rsidTr="00711642">
        <w:trPr>
          <w:trHeight w:val="1603"/>
        </w:trPr>
        <w:tc>
          <w:tcPr>
            <w:tcW w:w="1555" w:type="dxa"/>
            <w:vMerge/>
          </w:tcPr>
          <w:p w:rsidR="00A53F40" w:rsidRPr="00A53F40" w:rsidRDefault="00A53F40" w:rsidP="00A53F40">
            <w:pPr>
              <w:jc w:val="center"/>
              <w:rPr>
                <w:rFonts w:ascii="Times New Roman" w:hAnsi="Times New Roman" w:cs="Times New Roman"/>
                <w:sz w:val="24"/>
                <w:szCs w:val="24"/>
              </w:rPr>
            </w:pPr>
          </w:p>
        </w:tc>
        <w:tc>
          <w:tcPr>
            <w:tcW w:w="708" w:type="dxa"/>
          </w:tcPr>
          <w:p w:rsidR="00A53F40" w:rsidRDefault="00A94E62" w:rsidP="00A47D63">
            <w:pPr>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A53F40" w:rsidRPr="00A94E62" w:rsidRDefault="00A94E62" w:rsidP="00FC4965">
            <w:pPr>
              <w:jc w:val="both"/>
              <w:rPr>
                <w:rFonts w:ascii="Times New Roman" w:hAnsi="Times New Roman" w:cs="Times New Roman"/>
                <w:sz w:val="24"/>
                <w:szCs w:val="24"/>
              </w:rPr>
            </w:pPr>
            <w:r w:rsidRPr="00A94E62">
              <w:rPr>
                <w:rFonts w:ascii="Times New Roman" w:hAnsi="Times New Roman" w:cs="Times New Roman"/>
                <w:sz w:val="24"/>
                <w:szCs w:val="24"/>
              </w:rPr>
              <w:t>2 priedas: Naudos ir kokybės vertinimo kriterijus Nr. 2</w:t>
            </w:r>
          </w:p>
        </w:tc>
        <w:tc>
          <w:tcPr>
            <w:tcW w:w="5954" w:type="dxa"/>
          </w:tcPr>
          <w:p w:rsidR="00A53F40" w:rsidRPr="00A94E62" w:rsidRDefault="00A53F40" w:rsidP="00A53F40">
            <w:pPr>
              <w:jc w:val="both"/>
              <w:rPr>
                <w:rFonts w:ascii="Times New Roman" w:hAnsi="Times New Roman" w:cs="Times New Roman"/>
                <w:sz w:val="24"/>
                <w:szCs w:val="24"/>
              </w:rPr>
            </w:pPr>
            <w:r w:rsidRPr="00A94E62">
              <w:rPr>
                <w:rFonts w:ascii="Times New Roman" w:hAnsi="Times New Roman" w:cs="Times New Roman"/>
                <w:sz w:val="24"/>
                <w:szCs w:val="24"/>
              </w:rPr>
              <w:t>Naudos ir kokybės vertinimo lentelėje atrankos kriterijuje Nr. 2 vertinamas, ar pareiškėjas yra pasirašęs ketinimų protokolą su ūkio subjektu dėl MTEP veiklos rezultato, kurį planuojama sukurti projekto įgyvendinimo metu. Kas konkrečiai turima omenyje kalbant apie MTEP veiklos rezultatą? Kaip bus vertinama, kad siekis ketinimų protokole yra pakankamas?</w:t>
            </w:r>
          </w:p>
        </w:tc>
        <w:tc>
          <w:tcPr>
            <w:tcW w:w="1701" w:type="dxa"/>
          </w:tcPr>
          <w:p w:rsidR="00A53F40" w:rsidRPr="009376EF" w:rsidRDefault="00711642" w:rsidP="00A47D63">
            <w:pPr>
              <w:jc w:val="center"/>
              <w:rPr>
                <w:rFonts w:ascii="Times New Roman" w:hAnsi="Times New Roman" w:cs="Times New Roman"/>
                <w:sz w:val="24"/>
                <w:szCs w:val="24"/>
              </w:rPr>
            </w:pPr>
            <w:r>
              <w:rPr>
                <w:rFonts w:ascii="Times New Roman" w:hAnsi="Times New Roman" w:cs="Times New Roman"/>
                <w:sz w:val="24"/>
                <w:szCs w:val="24"/>
              </w:rPr>
              <w:t>Suformuluotas klausimas, o ne pasiūlymas</w:t>
            </w:r>
          </w:p>
        </w:tc>
        <w:tc>
          <w:tcPr>
            <w:tcW w:w="2374" w:type="dxa"/>
          </w:tcPr>
          <w:p w:rsidR="00A53F40" w:rsidRPr="006A7342" w:rsidRDefault="00711642" w:rsidP="009376EF">
            <w:pPr>
              <w:pStyle w:val="Default"/>
              <w:jc w:val="both"/>
            </w:pPr>
            <w:r>
              <w:t>Kiekvienu atveju planuojamą sukurti MTEP veiklos rezultatą vertins ekspertai, kurie ir spręs klausimą dėl ketinimų protokole numatyto siekio pakankamumo.</w:t>
            </w:r>
          </w:p>
        </w:tc>
      </w:tr>
      <w:tr w:rsidR="00EB4977" w:rsidTr="00711642">
        <w:trPr>
          <w:trHeight w:val="1710"/>
        </w:trPr>
        <w:tc>
          <w:tcPr>
            <w:tcW w:w="1555" w:type="dxa"/>
            <w:vMerge w:val="restart"/>
          </w:tcPr>
          <w:p w:rsidR="00EB4977" w:rsidRPr="00A53F40" w:rsidRDefault="00EB4977" w:rsidP="00A53F40">
            <w:pPr>
              <w:jc w:val="center"/>
              <w:rPr>
                <w:rFonts w:ascii="Times New Roman" w:hAnsi="Times New Roman" w:cs="Times New Roman"/>
                <w:sz w:val="24"/>
                <w:szCs w:val="24"/>
              </w:rPr>
            </w:pPr>
            <w:r>
              <w:rPr>
                <w:rFonts w:ascii="Times New Roman" w:hAnsi="Times New Roman" w:cs="Times New Roman"/>
                <w:sz w:val="24"/>
                <w:szCs w:val="24"/>
              </w:rPr>
              <w:t>Vilniaus Gedimino technikos universitetas</w:t>
            </w:r>
          </w:p>
        </w:tc>
        <w:tc>
          <w:tcPr>
            <w:tcW w:w="708" w:type="dxa"/>
          </w:tcPr>
          <w:p w:rsidR="00EB4977" w:rsidRDefault="00EB4977" w:rsidP="00A47D63">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EB4977" w:rsidRPr="00A94E62" w:rsidRDefault="00EB4977" w:rsidP="00FC4965">
            <w:pPr>
              <w:jc w:val="both"/>
              <w:rPr>
                <w:rFonts w:ascii="Times New Roman" w:hAnsi="Times New Roman" w:cs="Times New Roman"/>
                <w:sz w:val="24"/>
                <w:szCs w:val="24"/>
              </w:rPr>
            </w:pPr>
            <w:r>
              <w:rPr>
                <w:rFonts w:ascii="Times New Roman" w:hAnsi="Times New Roman" w:cs="Times New Roman"/>
                <w:sz w:val="24"/>
                <w:szCs w:val="24"/>
              </w:rPr>
              <w:t>38 punktas</w:t>
            </w:r>
          </w:p>
        </w:tc>
        <w:tc>
          <w:tcPr>
            <w:tcW w:w="5954" w:type="dxa"/>
          </w:tcPr>
          <w:p w:rsidR="00EB4977" w:rsidRPr="00A94E62" w:rsidRDefault="00EB4977" w:rsidP="00EB4977">
            <w:pPr>
              <w:jc w:val="both"/>
              <w:rPr>
                <w:rFonts w:ascii="Times New Roman" w:hAnsi="Times New Roman" w:cs="Times New Roman"/>
                <w:sz w:val="24"/>
                <w:szCs w:val="24"/>
              </w:rPr>
            </w:pPr>
            <w:r w:rsidRPr="00EB4977">
              <w:rPr>
                <w:rFonts w:ascii="Times New Roman" w:hAnsi="Times New Roman" w:cs="Times New Roman"/>
                <w:sz w:val="24"/>
                <w:szCs w:val="24"/>
              </w:rPr>
              <w:t>38 punkte pateikiamos lentelės 4 eilutės 2 punkte pateikiama nuoroda į tos pačios lentelės 5 eilutės 5 punktą, tačiau 5 eilutė turi tik 4 punktus (ko g</w:t>
            </w:r>
            <w:r>
              <w:rPr>
                <w:rFonts w:ascii="Times New Roman" w:hAnsi="Times New Roman" w:cs="Times New Roman"/>
                <w:sz w:val="24"/>
                <w:szCs w:val="24"/>
              </w:rPr>
              <w:t>ero turimas omenyje 4 punktas).</w:t>
            </w:r>
            <w:r w:rsidRPr="00EB4977">
              <w:rPr>
                <w:rFonts w:ascii="Times New Roman" w:hAnsi="Times New Roman" w:cs="Times New Roman"/>
                <w:sz w:val="24"/>
                <w:szCs w:val="24"/>
              </w:rPr>
              <w:tab/>
            </w:r>
          </w:p>
        </w:tc>
        <w:tc>
          <w:tcPr>
            <w:tcW w:w="1701" w:type="dxa"/>
          </w:tcPr>
          <w:p w:rsidR="00EB4977" w:rsidRPr="009376EF" w:rsidRDefault="00711642" w:rsidP="00A47D63">
            <w:pPr>
              <w:jc w:val="center"/>
              <w:rPr>
                <w:rFonts w:ascii="Times New Roman" w:hAnsi="Times New Roman" w:cs="Times New Roman"/>
                <w:sz w:val="24"/>
                <w:szCs w:val="24"/>
              </w:rPr>
            </w:pPr>
            <w:r>
              <w:rPr>
                <w:rFonts w:ascii="Times New Roman" w:hAnsi="Times New Roman" w:cs="Times New Roman"/>
                <w:sz w:val="24"/>
                <w:szCs w:val="24"/>
              </w:rPr>
              <w:t>Atsižvelgta</w:t>
            </w:r>
          </w:p>
        </w:tc>
        <w:tc>
          <w:tcPr>
            <w:tcW w:w="2374" w:type="dxa"/>
          </w:tcPr>
          <w:p w:rsidR="00EB4977" w:rsidRPr="006A7342" w:rsidRDefault="00711642" w:rsidP="009376EF">
            <w:pPr>
              <w:pStyle w:val="Default"/>
              <w:jc w:val="both"/>
            </w:pPr>
            <w:r>
              <w:t>Aprašas patikslintas, darant nuorodą į 5 eilutės 4 punktą.</w:t>
            </w:r>
          </w:p>
        </w:tc>
      </w:tr>
      <w:tr w:rsidR="00EB4977" w:rsidTr="00711642">
        <w:trPr>
          <w:trHeight w:val="1710"/>
        </w:trPr>
        <w:tc>
          <w:tcPr>
            <w:tcW w:w="1555" w:type="dxa"/>
            <w:vMerge/>
          </w:tcPr>
          <w:p w:rsidR="00EB4977" w:rsidRDefault="00EB4977" w:rsidP="00A53F40">
            <w:pPr>
              <w:jc w:val="center"/>
              <w:rPr>
                <w:rFonts w:ascii="Times New Roman" w:hAnsi="Times New Roman" w:cs="Times New Roman"/>
                <w:sz w:val="24"/>
                <w:szCs w:val="24"/>
              </w:rPr>
            </w:pPr>
          </w:p>
        </w:tc>
        <w:tc>
          <w:tcPr>
            <w:tcW w:w="708" w:type="dxa"/>
          </w:tcPr>
          <w:p w:rsidR="00EB4977" w:rsidRDefault="00772A13" w:rsidP="00A47D63">
            <w:pPr>
              <w:jc w:val="center"/>
              <w:rPr>
                <w:rFonts w:ascii="Times New Roman" w:hAnsi="Times New Roman" w:cs="Times New Roman"/>
                <w:sz w:val="24"/>
                <w:szCs w:val="24"/>
              </w:rPr>
            </w:pPr>
            <w:r>
              <w:rPr>
                <w:rFonts w:ascii="Times New Roman" w:hAnsi="Times New Roman" w:cs="Times New Roman"/>
                <w:sz w:val="24"/>
                <w:szCs w:val="24"/>
              </w:rPr>
              <w:t>2</w:t>
            </w:r>
            <w:r w:rsidR="00EB4977">
              <w:rPr>
                <w:rFonts w:ascii="Times New Roman" w:hAnsi="Times New Roman" w:cs="Times New Roman"/>
                <w:sz w:val="24"/>
                <w:szCs w:val="24"/>
              </w:rPr>
              <w:t>.</w:t>
            </w:r>
          </w:p>
        </w:tc>
        <w:tc>
          <w:tcPr>
            <w:tcW w:w="1701" w:type="dxa"/>
          </w:tcPr>
          <w:p w:rsidR="00EB4977" w:rsidRPr="00A94E62" w:rsidRDefault="00EB4977" w:rsidP="00FC4965">
            <w:pPr>
              <w:jc w:val="both"/>
              <w:rPr>
                <w:rFonts w:ascii="Times New Roman" w:hAnsi="Times New Roman" w:cs="Times New Roman"/>
                <w:sz w:val="24"/>
                <w:szCs w:val="24"/>
              </w:rPr>
            </w:pPr>
            <w:r>
              <w:rPr>
                <w:rFonts w:ascii="Times New Roman" w:hAnsi="Times New Roman" w:cs="Times New Roman"/>
                <w:sz w:val="24"/>
                <w:szCs w:val="24"/>
              </w:rPr>
              <w:t>46 punktas</w:t>
            </w:r>
          </w:p>
        </w:tc>
        <w:tc>
          <w:tcPr>
            <w:tcW w:w="5954" w:type="dxa"/>
          </w:tcPr>
          <w:p w:rsidR="00EB4977" w:rsidRPr="00EB4977" w:rsidRDefault="00EB4977" w:rsidP="00EB4977">
            <w:pPr>
              <w:jc w:val="both"/>
              <w:rPr>
                <w:rFonts w:ascii="Times New Roman" w:hAnsi="Times New Roman" w:cs="Times New Roman"/>
                <w:sz w:val="24"/>
                <w:szCs w:val="24"/>
              </w:rPr>
            </w:pPr>
            <w:r w:rsidRPr="00EB4977">
              <w:rPr>
                <w:rFonts w:ascii="Times New Roman" w:hAnsi="Times New Roman" w:cs="Times New Roman"/>
                <w:sz w:val="24"/>
                <w:szCs w:val="24"/>
              </w:rPr>
              <w:t>46 punkte minimi 49.2 ir 49.3 papunkčiai, tačiau tokių papunkčių nėra (turėtų būti 46.2 ir 46.3).</w:t>
            </w:r>
          </w:p>
        </w:tc>
        <w:tc>
          <w:tcPr>
            <w:tcW w:w="1701" w:type="dxa"/>
          </w:tcPr>
          <w:p w:rsidR="00EB4977" w:rsidRPr="009376EF" w:rsidRDefault="00772A13" w:rsidP="00A47D63">
            <w:pPr>
              <w:jc w:val="center"/>
              <w:rPr>
                <w:rFonts w:ascii="Times New Roman" w:hAnsi="Times New Roman" w:cs="Times New Roman"/>
                <w:sz w:val="24"/>
                <w:szCs w:val="24"/>
              </w:rPr>
            </w:pPr>
            <w:r>
              <w:rPr>
                <w:rFonts w:ascii="Times New Roman" w:hAnsi="Times New Roman" w:cs="Times New Roman"/>
                <w:sz w:val="24"/>
                <w:szCs w:val="24"/>
              </w:rPr>
              <w:t>Atsižvelgta</w:t>
            </w:r>
          </w:p>
        </w:tc>
        <w:tc>
          <w:tcPr>
            <w:tcW w:w="2374" w:type="dxa"/>
          </w:tcPr>
          <w:p w:rsidR="00EB4977" w:rsidRPr="006A7342" w:rsidRDefault="00772A13" w:rsidP="009376EF">
            <w:pPr>
              <w:pStyle w:val="Default"/>
              <w:jc w:val="both"/>
            </w:pPr>
            <w:r>
              <w:t>Apraše pataisyta punktų ir papunkčių numeracija.</w:t>
            </w:r>
          </w:p>
        </w:tc>
      </w:tr>
      <w:tr w:rsidR="00EB4977" w:rsidTr="00711642">
        <w:trPr>
          <w:trHeight w:val="1710"/>
        </w:trPr>
        <w:tc>
          <w:tcPr>
            <w:tcW w:w="1555" w:type="dxa"/>
            <w:vMerge/>
          </w:tcPr>
          <w:p w:rsidR="00EB4977" w:rsidRDefault="00EB4977" w:rsidP="00A53F40">
            <w:pPr>
              <w:jc w:val="center"/>
              <w:rPr>
                <w:rFonts w:ascii="Times New Roman" w:hAnsi="Times New Roman" w:cs="Times New Roman"/>
                <w:sz w:val="24"/>
                <w:szCs w:val="24"/>
              </w:rPr>
            </w:pPr>
          </w:p>
        </w:tc>
        <w:tc>
          <w:tcPr>
            <w:tcW w:w="708" w:type="dxa"/>
          </w:tcPr>
          <w:p w:rsidR="00EB4977" w:rsidRDefault="00772A13" w:rsidP="00A47D63">
            <w:pPr>
              <w:jc w:val="center"/>
              <w:rPr>
                <w:rFonts w:ascii="Times New Roman" w:hAnsi="Times New Roman" w:cs="Times New Roman"/>
                <w:sz w:val="24"/>
                <w:szCs w:val="24"/>
              </w:rPr>
            </w:pPr>
            <w:r>
              <w:rPr>
                <w:rFonts w:ascii="Times New Roman" w:hAnsi="Times New Roman" w:cs="Times New Roman"/>
                <w:sz w:val="24"/>
                <w:szCs w:val="24"/>
              </w:rPr>
              <w:t>3</w:t>
            </w:r>
            <w:r w:rsidR="00EB4977">
              <w:rPr>
                <w:rFonts w:ascii="Times New Roman" w:hAnsi="Times New Roman" w:cs="Times New Roman"/>
                <w:sz w:val="24"/>
                <w:szCs w:val="24"/>
              </w:rPr>
              <w:t>.</w:t>
            </w:r>
          </w:p>
        </w:tc>
        <w:tc>
          <w:tcPr>
            <w:tcW w:w="1701" w:type="dxa"/>
          </w:tcPr>
          <w:p w:rsidR="00EB4977" w:rsidRPr="00A94E62" w:rsidRDefault="00EB4977" w:rsidP="00FC4965">
            <w:pPr>
              <w:jc w:val="both"/>
              <w:rPr>
                <w:rFonts w:ascii="Times New Roman" w:hAnsi="Times New Roman" w:cs="Times New Roman"/>
                <w:sz w:val="24"/>
                <w:szCs w:val="24"/>
              </w:rPr>
            </w:pPr>
            <w:r>
              <w:rPr>
                <w:rFonts w:ascii="Times New Roman" w:hAnsi="Times New Roman" w:cs="Times New Roman"/>
                <w:sz w:val="24"/>
                <w:szCs w:val="24"/>
              </w:rPr>
              <w:t>2 priedas</w:t>
            </w:r>
          </w:p>
        </w:tc>
        <w:tc>
          <w:tcPr>
            <w:tcW w:w="5954" w:type="dxa"/>
          </w:tcPr>
          <w:p w:rsidR="00EB4977" w:rsidRPr="00EB4977" w:rsidRDefault="00EB4977" w:rsidP="00EB4977">
            <w:pPr>
              <w:jc w:val="both"/>
              <w:rPr>
                <w:rFonts w:ascii="Times New Roman" w:hAnsi="Times New Roman" w:cs="Times New Roman"/>
                <w:sz w:val="24"/>
                <w:szCs w:val="24"/>
              </w:rPr>
            </w:pPr>
            <w:r w:rsidRPr="00EB4977">
              <w:rPr>
                <w:rFonts w:ascii="Times New Roman" w:hAnsi="Times New Roman" w:cs="Times New Roman"/>
                <w:sz w:val="24"/>
                <w:szCs w:val="24"/>
              </w:rPr>
              <w:t>2 priede Naudos ir kokybės vertinimo lentelės 1 eilutės 4 punkte minimas kitos bendros veiklos su verslo įmonėmis (išskyrus ūkio subjektų taikomųjų mokslinių tyrimų užsakymus) sutarčių skaičius ir jų finansinė vertė. Prašome patikslinti, kas yra priskiriama kitai bendrai veiklai, kokie sutarčių objektai įsiskaičiuoja (licencinės sutartys ar pan.)?</w:t>
            </w:r>
          </w:p>
        </w:tc>
        <w:tc>
          <w:tcPr>
            <w:tcW w:w="1701" w:type="dxa"/>
          </w:tcPr>
          <w:p w:rsidR="00EB4977" w:rsidRPr="006442F3" w:rsidRDefault="006442F3" w:rsidP="00A47D63">
            <w:pPr>
              <w:jc w:val="center"/>
              <w:rPr>
                <w:rFonts w:ascii="Times New Roman" w:hAnsi="Times New Roman" w:cs="Times New Roman"/>
                <w:sz w:val="24"/>
                <w:szCs w:val="24"/>
              </w:rPr>
            </w:pPr>
            <w:r w:rsidRPr="00671E4E">
              <w:rPr>
                <w:rFonts w:ascii="Times New Roman" w:hAnsi="Times New Roman" w:cs="Times New Roman"/>
                <w:sz w:val="24"/>
                <w:szCs w:val="24"/>
              </w:rPr>
              <w:t>Atsižvelgta</w:t>
            </w:r>
          </w:p>
        </w:tc>
        <w:tc>
          <w:tcPr>
            <w:tcW w:w="2374" w:type="dxa"/>
          </w:tcPr>
          <w:p w:rsidR="006442F3" w:rsidRPr="006442F3" w:rsidRDefault="006442F3" w:rsidP="009376EF">
            <w:pPr>
              <w:pStyle w:val="Default"/>
              <w:jc w:val="both"/>
            </w:pPr>
            <w:r w:rsidRPr="006442F3">
              <w:t>2 priede Naudos ir kokybės vertinimo lentelės 1 eilutės 4 punkt</w:t>
            </w:r>
            <w:r>
              <w:t>e patikslinta formuluotė „</w:t>
            </w:r>
            <w:r w:rsidRPr="00671E4E">
              <w:rPr>
                <w:b/>
              </w:rPr>
              <w:t>Bendros veiklos su verslo įmonėmis sutarčių skaičius“</w:t>
            </w:r>
            <w:r>
              <w:rPr>
                <w:b/>
              </w:rPr>
              <w:t xml:space="preserve">, </w:t>
            </w:r>
            <w:r w:rsidRPr="00671E4E">
              <w:t>taip pat detalizuotas tokių sutarčių sąrašas</w:t>
            </w:r>
            <w:r w:rsidR="00A25ABF">
              <w:t xml:space="preserve"> </w:t>
            </w:r>
            <w:r w:rsidR="00A25ABF" w:rsidRPr="00A25ABF">
              <w:t>(sutartys tarptautinio bendradarbiavimo srityje (dalyvaujant kartu programose 7 BP, Horizontas 2020, Eureka, Eurostars, atitinkamos NATO, Europos kosmoso agentūros programos ir pan.), sutartys dėl jungtinių/bendrų veiklų MTEP srityje vykdymo, sutartys dėl intelektinės veiklos rezultatų (patentai, prekės ženklai, dizainas ir pramoninės nuosavybės apaugos objektai) licencijavimo, kt. sutartys, pareiškėjų nuomone, svarbios pareiškėjo mokslo-verslo bendradarbiavimo plėtrai)</w:t>
            </w:r>
            <w:r w:rsidRPr="00671E4E">
              <w:t>.</w:t>
            </w:r>
          </w:p>
        </w:tc>
      </w:tr>
      <w:tr w:rsidR="00EB4977" w:rsidTr="00711642">
        <w:trPr>
          <w:trHeight w:val="1710"/>
        </w:trPr>
        <w:tc>
          <w:tcPr>
            <w:tcW w:w="1555" w:type="dxa"/>
            <w:vMerge/>
          </w:tcPr>
          <w:p w:rsidR="00EB4977" w:rsidRDefault="00EB4977" w:rsidP="00A53F40">
            <w:pPr>
              <w:jc w:val="center"/>
              <w:rPr>
                <w:rFonts w:ascii="Times New Roman" w:hAnsi="Times New Roman" w:cs="Times New Roman"/>
                <w:sz w:val="24"/>
                <w:szCs w:val="24"/>
              </w:rPr>
            </w:pPr>
          </w:p>
        </w:tc>
        <w:tc>
          <w:tcPr>
            <w:tcW w:w="708" w:type="dxa"/>
          </w:tcPr>
          <w:p w:rsidR="00EB4977" w:rsidRDefault="00772A13" w:rsidP="00A47D63">
            <w:pPr>
              <w:jc w:val="center"/>
              <w:rPr>
                <w:rFonts w:ascii="Times New Roman" w:hAnsi="Times New Roman" w:cs="Times New Roman"/>
                <w:sz w:val="24"/>
                <w:szCs w:val="24"/>
              </w:rPr>
            </w:pPr>
            <w:r>
              <w:rPr>
                <w:rFonts w:ascii="Times New Roman" w:hAnsi="Times New Roman" w:cs="Times New Roman"/>
                <w:sz w:val="24"/>
                <w:szCs w:val="24"/>
              </w:rPr>
              <w:t>4</w:t>
            </w:r>
            <w:r w:rsidR="00EB4977">
              <w:rPr>
                <w:rFonts w:ascii="Times New Roman" w:hAnsi="Times New Roman" w:cs="Times New Roman"/>
                <w:sz w:val="24"/>
                <w:szCs w:val="24"/>
              </w:rPr>
              <w:t>.</w:t>
            </w:r>
          </w:p>
        </w:tc>
        <w:tc>
          <w:tcPr>
            <w:tcW w:w="1701" w:type="dxa"/>
          </w:tcPr>
          <w:p w:rsidR="00EB4977" w:rsidRPr="00A94E62" w:rsidRDefault="00EB4977" w:rsidP="00FC4965">
            <w:pPr>
              <w:jc w:val="both"/>
              <w:rPr>
                <w:rFonts w:ascii="Times New Roman" w:hAnsi="Times New Roman" w:cs="Times New Roman"/>
                <w:sz w:val="24"/>
                <w:szCs w:val="24"/>
              </w:rPr>
            </w:pPr>
            <w:r>
              <w:rPr>
                <w:rFonts w:ascii="Times New Roman" w:hAnsi="Times New Roman" w:cs="Times New Roman"/>
                <w:sz w:val="24"/>
                <w:szCs w:val="24"/>
              </w:rPr>
              <w:t>3 priedas</w:t>
            </w:r>
          </w:p>
        </w:tc>
        <w:tc>
          <w:tcPr>
            <w:tcW w:w="5954" w:type="dxa"/>
          </w:tcPr>
          <w:p w:rsidR="00EB4977" w:rsidRPr="00EB4977" w:rsidRDefault="00EB4977" w:rsidP="00EB4977">
            <w:pPr>
              <w:jc w:val="both"/>
              <w:rPr>
                <w:rFonts w:ascii="Times New Roman" w:hAnsi="Times New Roman" w:cs="Times New Roman"/>
                <w:sz w:val="24"/>
                <w:szCs w:val="24"/>
              </w:rPr>
            </w:pPr>
            <w:r w:rsidRPr="00EB4977">
              <w:rPr>
                <w:rFonts w:ascii="Times New Roman" w:hAnsi="Times New Roman" w:cs="Times New Roman"/>
                <w:sz w:val="24"/>
                <w:szCs w:val="24"/>
              </w:rPr>
              <w:t>Prašome nurodyti, ar reikės pateikti ir, jei reikės, kokius dokumentus, pagrindžiančius PFSA projekto 3 priedo 4.2 punkte pateikiamos lentelės 2 ir 3 stulpeliuose pateikiamą informaciją.</w:t>
            </w:r>
          </w:p>
        </w:tc>
        <w:tc>
          <w:tcPr>
            <w:tcW w:w="1701" w:type="dxa"/>
          </w:tcPr>
          <w:p w:rsidR="00EB4977" w:rsidRPr="009376EF" w:rsidRDefault="00772A13" w:rsidP="00A47D63">
            <w:pPr>
              <w:jc w:val="center"/>
              <w:rPr>
                <w:rFonts w:ascii="Times New Roman" w:hAnsi="Times New Roman" w:cs="Times New Roman"/>
                <w:sz w:val="24"/>
                <w:szCs w:val="24"/>
              </w:rPr>
            </w:pPr>
            <w:r>
              <w:rPr>
                <w:rFonts w:ascii="Times New Roman" w:hAnsi="Times New Roman" w:cs="Times New Roman"/>
                <w:sz w:val="24"/>
                <w:szCs w:val="24"/>
              </w:rPr>
              <w:t>Atsižvelgta</w:t>
            </w:r>
          </w:p>
        </w:tc>
        <w:tc>
          <w:tcPr>
            <w:tcW w:w="2374" w:type="dxa"/>
          </w:tcPr>
          <w:p w:rsidR="00EB4977" w:rsidRPr="006A7342" w:rsidRDefault="00772A13" w:rsidP="009376EF">
            <w:pPr>
              <w:pStyle w:val="Default"/>
              <w:jc w:val="both"/>
            </w:pPr>
            <w:r>
              <w:t xml:space="preserve">Aprašo 3 priedo 4.2 punkte pateikiama lentelė patikslinta, nurodant konkrečią informaciją, kurią reikia pateikti. Paraiškos priedai, kuriuos privaloma pateikti, yra nurodyti Aprašo </w:t>
            </w:r>
            <w:r w:rsidR="00C91711" w:rsidRPr="00671E4E">
              <w:t>51</w:t>
            </w:r>
            <w:r w:rsidRPr="006442F3">
              <w:t xml:space="preserve"> p</w:t>
            </w:r>
            <w:r>
              <w:t>unkte.</w:t>
            </w:r>
          </w:p>
        </w:tc>
      </w:tr>
    </w:tbl>
    <w:p w:rsidR="00FC4965" w:rsidRDefault="00FC4965" w:rsidP="00A47D63">
      <w:pPr>
        <w:jc w:val="center"/>
        <w:rPr>
          <w:rFonts w:ascii="Times New Roman" w:hAnsi="Times New Roman" w:cs="Times New Roman"/>
          <w:b/>
          <w:sz w:val="24"/>
          <w:szCs w:val="24"/>
        </w:rPr>
      </w:pPr>
    </w:p>
    <w:p w:rsidR="00FD32AD" w:rsidRDefault="00FD32AD">
      <w:pPr>
        <w:rPr>
          <w:rFonts w:ascii="Times New Roman" w:hAnsi="Times New Roman" w:cs="Times New Roman"/>
          <w:sz w:val="24"/>
          <w:szCs w:val="24"/>
        </w:rPr>
      </w:pPr>
    </w:p>
    <w:p w:rsidR="006442F3" w:rsidRPr="00A47D63" w:rsidRDefault="006442F3" w:rsidP="006442F3">
      <w:pPr>
        <w:rPr>
          <w:rFonts w:ascii="Times New Roman" w:hAnsi="Times New Roman" w:cs="Times New Roman"/>
          <w:sz w:val="24"/>
          <w:szCs w:val="24"/>
        </w:rPr>
      </w:pPr>
    </w:p>
    <w:sectPr w:rsidR="006442F3" w:rsidRPr="00A47D63" w:rsidSect="001F44A3">
      <w:pgSz w:w="16838" w:h="11906" w:orient="landscape"/>
      <w:pgMar w:top="567" w:right="1134"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A05" w:rsidRDefault="00DF3A05" w:rsidP="00B948FF">
      <w:pPr>
        <w:spacing w:after="0" w:line="240" w:lineRule="auto"/>
      </w:pPr>
      <w:r>
        <w:separator/>
      </w:r>
    </w:p>
  </w:endnote>
  <w:endnote w:type="continuationSeparator" w:id="0">
    <w:p w:rsidR="00DF3A05" w:rsidRDefault="00DF3A05" w:rsidP="00B94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A05" w:rsidRDefault="00DF3A05" w:rsidP="00B948FF">
      <w:pPr>
        <w:spacing w:after="0" w:line="240" w:lineRule="auto"/>
      </w:pPr>
      <w:r>
        <w:separator/>
      </w:r>
    </w:p>
  </w:footnote>
  <w:footnote w:type="continuationSeparator" w:id="0">
    <w:p w:rsidR="00DF3A05" w:rsidRDefault="00DF3A05" w:rsidP="00B948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E080B"/>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9B43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A33DC9"/>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07244E"/>
    <w:multiLevelType w:val="hybridMultilevel"/>
    <w:tmpl w:val="20DE5B34"/>
    <w:lvl w:ilvl="0" w:tplc="50F8CB76">
      <w:start w:val="1"/>
      <w:numFmt w:val="decimal"/>
      <w:lvlText w:val="%1."/>
      <w:lvlJc w:val="left"/>
      <w:pPr>
        <w:ind w:left="720" w:hanging="360"/>
      </w:pPr>
      <w:rPr>
        <w:rFonts w:ascii="Times New Roman" w:hAnsi="Times New Roman" w:cs="Times New Roman"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A40C5C"/>
    <w:multiLevelType w:val="hybridMultilevel"/>
    <w:tmpl w:val="F048B5A2"/>
    <w:lvl w:ilvl="0" w:tplc="86784E80">
      <w:start w:val="1"/>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8C0C1C"/>
    <w:multiLevelType w:val="hybridMultilevel"/>
    <w:tmpl w:val="73949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AD"/>
    <w:rsid w:val="000163D2"/>
    <w:rsid w:val="00017679"/>
    <w:rsid w:val="000248F0"/>
    <w:rsid w:val="0002776D"/>
    <w:rsid w:val="0003518B"/>
    <w:rsid w:val="00045CFA"/>
    <w:rsid w:val="000B4D22"/>
    <w:rsid w:val="000B6E39"/>
    <w:rsid w:val="000E5235"/>
    <w:rsid w:val="00125841"/>
    <w:rsid w:val="00125D96"/>
    <w:rsid w:val="00142318"/>
    <w:rsid w:val="001D0B4E"/>
    <w:rsid w:val="001F44A3"/>
    <w:rsid w:val="00200C98"/>
    <w:rsid w:val="00234EE0"/>
    <w:rsid w:val="002535C1"/>
    <w:rsid w:val="00283CB2"/>
    <w:rsid w:val="00294266"/>
    <w:rsid w:val="002A4A1F"/>
    <w:rsid w:val="003110AA"/>
    <w:rsid w:val="00324059"/>
    <w:rsid w:val="00350C00"/>
    <w:rsid w:val="00371782"/>
    <w:rsid w:val="003802F2"/>
    <w:rsid w:val="003809D6"/>
    <w:rsid w:val="003D1571"/>
    <w:rsid w:val="00406FB3"/>
    <w:rsid w:val="00452243"/>
    <w:rsid w:val="004712CF"/>
    <w:rsid w:val="00472E2A"/>
    <w:rsid w:val="00495AB0"/>
    <w:rsid w:val="004C60A7"/>
    <w:rsid w:val="004F09EB"/>
    <w:rsid w:val="00535C93"/>
    <w:rsid w:val="00561A4E"/>
    <w:rsid w:val="00584778"/>
    <w:rsid w:val="005D7FB4"/>
    <w:rsid w:val="00605001"/>
    <w:rsid w:val="006063EC"/>
    <w:rsid w:val="006442F3"/>
    <w:rsid w:val="00646EC4"/>
    <w:rsid w:val="00667CAB"/>
    <w:rsid w:val="00671E4E"/>
    <w:rsid w:val="00675A88"/>
    <w:rsid w:val="006A7342"/>
    <w:rsid w:val="006F13FD"/>
    <w:rsid w:val="00711642"/>
    <w:rsid w:val="00711BF5"/>
    <w:rsid w:val="007140C5"/>
    <w:rsid w:val="0072005F"/>
    <w:rsid w:val="007360BB"/>
    <w:rsid w:val="007540B7"/>
    <w:rsid w:val="0075612A"/>
    <w:rsid w:val="00772A13"/>
    <w:rsid w:val="007D7DC0"/>
    <w:rsid w:val="00832198"/>
    <w:rsid w:val="00863426"/>
    <w:rsid w:val="008A4FCA"/>
    <w:rsid w:val="008B077E"/>
    <w:rsid w:val="008C1ACC"/>
    <w:rsid w:val="008C36F4"/>
    <w:rsid w:val="0091023C"/>
    <w:rsid w:val="009212BB"/>
    <w:rsid w:val="009376EF"/>
    <w:rsid w:val="00957A2F"/>
    <w:rsid w:val="009712B4"/>
    <w:rsid w:val="00A25ABF"/>
    <w:rsid w:val="00A473F4"/>
    <w:rsid w:val="00A47D63"/>
    <w:rsid w:val="00A527A2"/>
    <w:rsid w:val="00A53F40"/>
    <w:rsid w:val="00A6149B"/>
    <w:rsid w:val="00A75E77"/>
    <w:rsid w:val="00A76E30"/>
    <w:rsid w:val="00A84B5E"/>
    <w:rsid w:val="00A9126D"/>
    <w:rsid w:val="00A94E62"/>
    <w:rsid w:val="00AA506B"/>
    <w:rsid w:val="00AC1DF3"/>
    <w:rsid w:val="00AC3953"/>
    <w:rsid w:val="00AC6532"/>
    <w:rsid w:val="00AD14AB"/>
    <w:rsid w:val="00B652B7"/>
    <w:rsid w:val="00B948FF"/>
    <w:rsid w:val="00BB4DEF"/>
    <w:rsid w:val="00BC170B"/>
    <w:rsid w:val="00BC5ADE"/>
    <w:rsid w:val="00BE6FE0"/>
    <w:rsid w:val="00C539E4"/>
    <w:rsid w:val="00C91711"/>
    <w:rsid w:val="00CA415B"/>
    <w:rsid w:val="00CB04C6"/>
    <w:rsid w:val="00CB19B3"/>
    <w:rsid w:val="00CD3E00"/>
    <w:rsid w:val="00D24CF5"/>
    <w:rsid w:val="00D40B49"/>
    <w:rsid w:val="00D740B6"/>
    <w:rsid w:val="00D84755"/>
    <w:rsid w:val="00D857DB"/>
    <w:rsid w:val="00DF3A05"/>
    <w:rsid w:val="00DF4DE5"/>
    <w:rsid w:val="00E13329"/>
    <w:rsid w:val="00E265CE"/>
    <w:rsid w:val="00E44829"/>
    <w:rsid w:val="00E5574C"/>
    <w:rsid w:val="00EB4977"/>
    <w:rsid w:val="00EC594F"/>
    <w:rsid w:val="00EC75C7"/>
    <w:rsid w:val="00ED4AF1"/>
    <w:rsid w:val="00EE6CDE"/>
    <w:rsid w:val="00EF366D"/>
    <w:rsid w:val="00F22900"/>
    <w:rsid w:val="00F27488"/>
    <w:rsid w:val="00F83EEE"/>
    <w:rsid w:val="00FC4965"/>
    <w:rsid w:val="00FD3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FA8FA-FE9B-4A32-998F-E1AEC9B1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40B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D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35C1"/>
    <w:pPr>
      <w:ind w:left="720"/>
      <w:contextualSpacing/>
    </w:pPr>
  </w:style>
  <w:style w:type="paragraph" w:customStyle="1" w:styleId="Default">
    <w:name w:val="Default"/>
    <w:rsid w:val="00CD3E0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uiPriority w:val="99"/>
    <w:rsid w:val="00D40B49"/>
    <w:rPr>
      <w:rFonts w:cs="Times New Roman"/>
      <w:sz w:val="16"/>
    </w:rPr>
  </w:style>
  <w:style w:type="paragraph" w:styleId="Komentarotekstas">
    <w:name w:val="annotation text"/>
    <w:basedOn w:val="prastasis"/>
    <w:link w:val="KomentarotekstasDiagrama"/>
    <w:uiPriority w:val="99"/>
    <w:rsid w:val="00D40B49"/>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D40B49"/>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40B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0B49"/>
    <w:rPr>
      <w:rFonts w:ascii="Tahoma" w:hAnsi="Tahoma" w:cs="Tahoma"/>
      <w:sz w:val="16"/>
      <w:szCs w:val="16"/>
    </w:rPr>
  </w:style>
  <w:style w:type="paragraph" w:styleId="prastasiniatinklio">
    <w:name w:val="Normal (Web)"/>
    <w:basedOn w:val="prastasis"/>
    <w:uiPriority w:val="99"/>
    <w:semiHidden/>
    <w:unhideWhenUsed/>
    <w:rsid w:val="0002776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B948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48FF"/>
  </w:style>
  <w:style w:type="paragraph" w:styleId="Porat">
    <w:name w:val="footer"/>
    <w:basedOn w:val="prastasis"/>
    <w:link w:val="PoratDiagrama"/>
    <w:uiPriority w:val="99"/>
    <w:unhideWhenUsed/>
    <w:rsid w:val="00B948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48FF"/>
  </w:style>
  <w:style w:type="paragraph" w:styleId="Komentarotema">
    <w:name w:val="annotation subject"/>
    <w:basedOn w:val="Komentarotekstas"/>
    <w:next w:val="Komentarotekstas"/>
    <w:link w:val="KomentarotemaDiagrama"/>
    <w:uiPriority w:val="99"/>
    <w:semiHidden/>
    <w:unhideWhenUsed/>
    <w:rsid w:val="00125D96"/>
    <w:pPr>
      <w:spacing w:after="16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125D96"/>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688707">
      <w:bodyDiv w:val="1"/>
      <w:marLeft w:val="0"/>
      <w:marRight w:val="0"/>
      <w:marTop w:val="0"/>
      <w:marBottom w:val="0"/>
      <w:divBdr>
        <w:top w:val="none" w:sz="0" w:space="0" w:color="auto"/>
        <w:left w:val="none" w:sz="0" w:space="0" w:color="auto"/>
        <w:bottom w:val="none" w:sz="0" w:space="0" w:color="auto"/>
        <w:right w:val="none" w:sz="0" w:space="0" w:color="auto"/>
      </w:divBdr>
    </w:div>
    <w:div w:id="1345328391">
      <w:bodyDiv w:val="1"/>
      <w:marLeft w:val="0"/>
      <w:marRight w:val="0"/>
      <w:marTop w:val="0"/>
      <w:marBottom w:val="0"/>
      <w:divBdr>
        <w:top w:val="none" w:sz="0" w:space="0" w:color="auto"/>
        <w:left w:val="none" w:sz="0" w:space="0" w:color="auto"/>
        <w:bottom w:val="none" w:sz="0" w:space="0" w:color="auto"/>
        <w:right w:val="none" w:sz="0" w:space="0" w:color="auto"/>
      </w:divBdr>
    </w:div>
    <w:div w:id="1419208630">
      <w:bodyDiv w:val="1"/>
      <w:marLeft w:val="0"/>
      <w:marRight w:val="0"/>
      <w:marTop w:val="0"/>
      <w:marBottom w:val="0"/>
      <w:divBdr>
        <w:top w:val="none" w:sz="0" w:space="0" w:color="auto"/>
        <w:left w:val="none" w:sz="0" w:space="0" w:color="auto"/>
        <w:bottom w:val="none" w:sz="0" w:space="0" w:color="auto"/>
        <w:right w:val="none" w:sz="0" w:space="0" w:color="auto"/>
      </w:divBdr>
    </w:div>
    <w:div w:id="15761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9784</Words>
  <Characters>5578</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Banuškevičiūtė Giedrė</cp:lastModifiedBy>
  <cp:revision>2</cp:revision>
  <cp:lastPrinted>2016-06-02T12:35:00Z</cp:lastPrinted>
  <dcterms:created xsi:type="dcterms:W3CDTF">2016-06-07T06:56:00Z</dcterms:created>
  <dcterms:modified xsi:type="dcterms:W3CDTF">2016-06-07T06:56:00Z</dcterms:modified>
</cp:coreProperties>
</file>