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F1" w:rsidRPr="00BD3360" w:rsidRDefault="006A70F6" w:rsidP="00BD33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Ataskaita</w:t>
      </w:r>
      <w:bookmarkStart w:id="0" w:name="_GoBack"/>
      <w:bookmarkEnd w:id="0"/>
      <w:r w:rsidR="00C229BA" w:rsidRPr="00BD3360">
        <w:rPr>
          <w:rFonts w:ascii="Times New Roman" w:hAnsi="Times New Roman" w:cs="Times New Roman"/>
          <w:b/>
          <w:bCs/>
          <w:sz w:val="24"/>
          <w:szCs w:val="24"/>
        </w:rPr>
        <w:t xml:space="preserve"> apie </w:t>
      </w:r>
      <w:r w:rsidR="000F16AA" w:rsidRPr="00BD3360">
        <w:rPr>
          <w:rFonts w:ascii="Times New Roman" w:hAnsi="Times New Roman" w:cs="Times New Roman"/>
          <w:b/>
          <w:bCs/>
          <w:sz w:val="24"/>
          <w:szCs w:val="24"/>
        </w:rPr>
        <w:t>Vyr</w:t>
      </w:r>
      <w:r w:rsidR="00C229BA" w:rsidRPr="00BD3360">
        <w:rPr>
          <w:rFonts w:ascii="Times New Roman" w:hAnsi="Times New Roman" w:cs="Times New Roman"/>
          <w:b/>
          <w:bCs/>
          <w:sz w:val="24"/>
          <w:szCs w:val="24"/>
        </w:rPr>
        <w:t>iausybės programos įgyvendinimą</w:t>
      </w:r>
      <w:r w:rsidR="000F16AA" w:rsidRPr="00BD3360">
        <w:rPr>
          <w:rFonts w:ascii="Times New Roman" w:hAnsi="Times New Roman" w:cs="Times New Roman"/>
          <w:b/>
          <w:bCs/>
          <w:sz w:val="24"/>
          <w:szCs w:val="24"/>
        </w:rPr>
        <w:t xml:space="preserve"> </w:t>
      </w:r>
      <w:r w:rsidR="00A12C43" w:rsidRPr="00BD3360">
        <w:rPr>
          <w:rFonts w:ascii="Times New Roman" w:hAnsi="Times New Roman" w:cs="Times New Roman"/>
          <w:b/>
          <w:bCs/>
          <w:sz w:val="24"/>
          <w:szCs w:val="24"/>
        </w:rPr>
        <w:t>2013-2016 metais</w:t>
      </w:r>
    </w:p>
    <w:p w:rsidR="000F16AA" w:rsidRPr="00BD3360" w:rsidRDefault="000F16AA" w:rsidP="00BD3360">
      <w:pPr>
        <w:pStyle w:val="Sraopastraipa"/>
        <w:numPr>
          <w:ilvl w:val="0"/>
          <w:numId w:val="11"/>
        </w:numPr>
        <w:tabs>
          <w:tab w:val="left" w:pos="993"/>
        </w:tabs>
        <w:spacing w:after="0" w:line="240" w:lineRule="auto"/>
        <w:jc w:val="both"/>
        <w:rPr>
          <w:rFonts w:ascii="Times New Roman" w:eastAsia="Times New Roman" w:hAnsi="Times New Roman" w:cs="Times New Roman"/>
          <w:b/>
          <w:sz w:val="24"/>
          <w:szCs w:val="24"/>
          <w:u w:val="single"/>
        </w:rPr>
      </w:pPr>
      <w:r w:rsidRPr="00BD3360">
        <w:rPr>
          <w:rFonts w:ascii="Times New Roman" w:eastAsia="Times New Roman" w:hAnsi="Times New Roman" w:cs="Times New Roman"/>
          <w:b/>
          <w:sz w:val="24"/>
          <w:szCs w:val="24"/>
          <w:u w:val="single"/>
        </w:rPr>
        <w:t xml:space="preserve">2014–2020 m. programavimo laikotarpio </w:t>
      </w:r>
      <w:r w:rsidRPr="00BD3360">
        <w:rPr>
          <w:rFonts w:ascii="Times New Roman" w:eastAsia="Times New Roman" w:hAnsi="Times New Roman" w:cs="Times New Roman"/>
          <w:b/>
          <w:bCs/>
          <w:sz w:val="24"/>
          <w:szCs w:val="24"/>
          <w:u w:val="single"/>
          <w:lang w:eastAsia="lt-LT"/>
        </w:rPr>
        <w:t xml:space="preserve">Europos Sąjungos (toliau – ES) fondų </w:t>
      </w:r>
      <w:r w:rsidRPr="00BD3360">
        <w:rPr>
          <w:rFonts w:ascii="Times New Roman" w:eastAsia="Times New Roman" w:hAnsi="Times New Roman" w:cs="Times New Roman"/>
          <w:b/>
          <w:sz w:val="24"/>
          <w:szCs w:val="24"/>
          <w:u w:val="single"/>
        </w:rPr>
        <w:t>lėšų panaudojimas</w:t>
      </w:r>
    </w:p>
    <w:p w:rsidR="00DB7302" w:rsidRPr="00BD3360" w:rsidRDefault="00DB7302" w:rsidP="00BD3360">
      <w:pPr>
        <w:tabs>
          <w:tab w:val="left" w:pos="993"/>
        </w:tabs>
        <w:spacing w:after="0" w:line="240" w:lineRule="auto"/>
        <w:jc w:val="both"/>
        <w:rPr>
          <w:rFonts w:ascii="Times New Roman" w:eastAsia="Times New Roman" w:hAnsi="Times New Roman" w:cs="Times New Roman"/>
          <w:b/>
          <w:sz w:val="24"/>
          <w:szCs w:val="24"/>
          <w:u w:val="single"/>
        </w:rPr>
      </w:pPr>
    </w:p>
    <w:p w:rsidR="00DB7302" w:rsidRPr="00BD3360" w:rsidRDefault="00DB7302" w:rsidP="00BD3360">
      <w:pPr>
        <w:spacing w:after="0" w:line="240" w:lineRule="auto"/>
        <w:ind w:firstLine="1080"/>
        <w:jc w:val="both"/>
        <w:rPr>
          <w:rFonts w:ascii="Times New Roman" w:eastAsia="Times New Roman" w:hAnsi="Times New Roman" w:cs="Times New Roman"/>
          <w:b/>
          <w:bCs/>
          <w:sz w:val="24"/>
          <w:szCs w:val="24"/>
          <w:lang w:eastAsia="lt-LT"/>
        </w:rPr>
      </w:pPr>
      <w:r w:rsidRPr="00BD3360">
        <w:rPr>
          <w:rFonts w:ascii="Times New Roman" w:eastAsia="Times New Roman" w:hAnsi="Times New Roman" w:cs="Times New Roman"/>
          <w:b/>
          <w:bCs/>
          <w:sz w:val="24"/>
          <w:szCs w:val="24"/>
          <w:lang w:eastAsia="lt-LT"/>
        </w:rPr>
        <w:t xml:space="preserve">2013 m. Lietuvos pirmininkavimo </w:t>
      </w:r>
      <w:r w:rsidRPr="00BD3360">
        <w:rPr>
          <w:rFonts w:ascii="Times New Roman" w:eastAsia="Times New Roman" w:hAnsi="Times New Roman" w:cs="Times New Roman"/>
          <w:bCs/>
          <w:sz w:val="24"/>
          <w:szCs w:val="24"/>
          <w:lang w:eastAsia="lt-LT"/>
        </w:rPr>
        <w:t xml:space="preserve">Europos Tarybai </w:t>
      </w:r>
      <w:r w:rsidRPr="00BD3360">
        <w:rPr>
          <w:rFonts w:ascii="Times New Roman" w:eastAsia="Times New Roman" w:hAnsi="Times New Roman" w:cs="Times New Roman"/>
          <w:b/>
          <w:bCs/>
          <w:sz w:val="24"/>
          <w:szCs w:val="24"/>
          <w:lang w:eastAsia="lt-LT"/>
        </w:rPr>
        <w:t>metu patvirtintas ES sanglaudos politikos 2014–2020 m. reglamentų paketas.</w:t>
      </w:r>
    </w:p>
    <w:p w:rsidR="00DB7302" w:rsidRPr="00BD3360" w:rsidRDefault="00DB7302" w:rsidP="00BD3360">
      <w:pPr>
        <w:spacing w:after="0" w:line="240" w:lineRule="auto"/>
        <w:ind w:firstLine="1080"/>
        <w:jc w:val="both"/>
        <w:rPr>
          <w:rFonts w:ascii="Times New Roman" w:eastAsia="Times New Roman" w:hAnsi="Times New Roman" w:cs="Times New Roman"/>
          <w:i/>
          <w:sz w:val="24"/>
          <w:szCs w:val="24"/>
        </w:rPr>
      </w:pPr>
      <w:r w:rsidRPr="00BD3360">
        <w:rPr>
          <w:rFonts w:ascii="Times New Roman" w:eastAsia="Times New Roman" w:hAnsi="Times New Roman" w:cs="Times New Roman"/>
          <w:b/>
          <w:bCs/>
          <w:sz w:val="24"/>
          <w:szCs w:val="24"/>
          <w:lang w:eastAsia="lt-LT"/>
        </w:rPr>
        <w:t xml:space="preserve">Patvirtintos Lietuvos Respublikos Partnerystės sutartis </w:t>
      </w:r>
      <w:r w:rsidRPr="00BD3360">
        <w:rPr>
          <w:rFonts w:ascii="Times New Roman" w:eastAsia="Times New Roman" w:hAnsi="Times New Roman" w:cs="Times New Roman"/>
          <w:bCs/>
          <w:sz w:val="24"/>
          <w:szCs w:val="24"/>
          <w:lang w:eastAsia="lt-LT"/>
        </w:rPr>
        <w:t>(2014 06 20) ir</w:t>
      </w:r>
      <w:r w:rsidRPr="00BD3360">
        <w:rPr>
          <w:rFonts w:ascii="Times New Roman" w:eastAsia="Times New Roman" w:hAnsi="Times New Roman" w:cs="Times New Roman"/>
          <w:b/>
          <w:bCs/>
          <w:sz w:val="24"/>
          <w:szCs w:val="24"/>
          <w:lang w:eastAsia="lt-LT"/>
        </w:rPr>
        <w:t xml:space="preserve"> 2014–2020 m.</w:t>
      </w:r>
      <w:r w:rsidRPr="00BD3360">
        <w:rPr>
          <w:rFonts w:ascii="Times New Roman" w:eastAsia="Times New Roman" w:hAnsi="Times New Roman" w:cs="Times New Roman"/>
          <w:bCs/>
          <w:sz w:val="24"/>
          <w:szCs w:val="24"/>
          <w:lang w:eastAsia="lt-LT"/>
        </w:rPr>
        <w:t xml:space="preserve"> Europos Sąjungos (toliau – ES)  fondų investicijų </w:t>
      </w:r>
      <w:r w:rsidRPr="00BD3360">
        <w:rPr>
          <w:rFonts w:ascii="Times New Roman" w:eastAsia="Times New Roman" w:hAnsi="Times New Roman" w:cs="Times New Roman"/>
          <w:b/>
          <w:bCs/>
          <w:sz w:val="24"/>
          <w:szCs w:val="24"/>
          <w:lang w:eastAsia="lt-LT"/>
        </w:rPr>
        <w:t>veiksmų programa</w:t>
      </w:r>
      <w:r w:rsidRPr="00BD3360">
        <w:rPr>
          <w:rFonts w:ascii="Times New Roman" w:eastAsia="Times New Roman" w:hAnsi="Times New Roman" w:cs="Times New Roman"/>
          <w:bCs/>
          <w:sz w:val="24"/>
          <w:szCs w:val="24"/>
          <w:lang w:eastAsia="lt-LT"/>
        </w:rPr>
        <w:t xml:space="preserve"> (2014  09 08). Lietuvai pirmai iš visų ES šalių narių visiems trims fondams Europos Komisija (toliau – EK) patvirtino minėtą programą. </w:t>
      </w:r>
      <w:r w:rsidRPr="00BD3360">
        <w:rPr>
          <w:rFonts w:ascii="Times New Roman" w:eastAsia="EUAlbertina-Regu-Identity-H" w:hAnsi="Times New Roman" w:cs="Times New Roman"/>
          <w:b/>
          <w:sz w:val="24"/>
          <w:szCs w:val="24"/>
        </w:rPr>
        <w:t>Parengta 2014–2020 m.</w:t>
      </w:r>
      <w:r w:rsidRPr="00BD3360">
        <w:rPr>
          <w:rFonts w:ascii="Times New Roman" w:eastAsia="EUAlbertina-Regu-Identity-H" w:hAnsi="Times New Roman" w:cs="Times New Roman"/>
          <w:sz w:val="24"/>
          <w:szCs w:val="24"/>
        </w:rPr>
        <w:t xml:space="preserve"> </w:t>
      </w:r>
      <w:r w:rsidRPr="00BD3360">
        <w:rPr>
          <w:rFonts w:ascii="Times New Roman" w:eastAsia="Times New Roman" w:hAnsi="Times New Roman" w:cs="Times New Roman"/>
          <w:b/>
          <w:color w:val="000000"/>
          <w:sz w:val="24"/>
          <w:szCs w:val="24"/>
        </w:rPr>
        <w:t>ES struktūrinių fondų lėšų valdymo ir kontrolės sistema:</w:t>
      </w:r>
      <w:r w:rsidRPr="00BD3360">
        <w:rPr>
          <w:rFonts w:ascii="Times New Roman" w:eastAsia="Times New Roman" w:hAnsi="Times New Roman" w:cs="Times New Roman"/>
          <w:i/>
          <w:sz w:val="24"/>
          <w:szCs w:val="24"/>
        </w:rPr>
        <w:t xml:space="preserve"> </w:t>
      </w:r>
      <w:r w:rsidRPr="00BD3360">
        <w:rPr>
          <w:rFonts w:ascii="Times New Roman" w:eastAsia="Times New Roman" w:hAnsi="Times New Roman" w:cs="Times New Roman"/>
          <w:bCs/>
          <w:sz w:val="24"/>
          <w:szCs w:val="24"/>
          <w:lang w:eastAsia="lt-LT"/>
        </w:rPr>
        <w:t xml:space="preserve">patvirtinti teisės aktai, reglamentuojantys 2014–2020 m. ES fondų investicijų veiksmų programą, parengtas ir pateiktas Valstybės kontrolei audituoti 2014–2020 m. ES struktūrinių fondų lėšų valdymo ir kontrolės sistemos aprašymo projektas). 2014 m. sukurta ES fondų investicijų svetainė </w:t>
      </w:r>
      <w:hyperlink r:id="rId9" w:history="1">
        <w:r w:rsidRPr="00BD3360">
          <w:rPr>
            <w:rFonts w:ascii="Times New Roman" w:eastAsia="Times New Roman" w:hAnsi="Times New Roman" w:cs="Times New Roman"/>
            <w:sz w:val="24"/>
            <w:szCs w:val="24"/>
            <w:lang w:eastAsia="lt-LT"/>
          </w:rPr>
          <w:t>www.esinvesticijos.lt</w:t>
        </w:r>
      </w:hyperlink>
      <w:r w:rsidRPr="00BD3360">
        <w:rPr>
          <w:rFonts w:ascii="Times New Roman" w:eastAsia="Times New Roman" w:hAnsi="Times New Roman" w:cs="Times New Roman"/>
          <w:bCs/>
          <w:sz w:val="24"/>
          <w:szCs w:val="24"/>
          <w:lang w:eastAsia="lt-LT"/>
        </w:rPr>
        <w:t>. 2015 m. patvirtinta ES fondų investicijų komunikacijos strategija.</w:t>
      </w:r>
    </w:p>
    <w:p w:rsidR="007338E8" w:rsidRPr="00BD3360" w:rsidRDefault="007338E8" w:rsidP="00BD3360">
      <w:pPr>
        <w:spacing w:after="0" w:line="240" w:lineRule="auto"/>
        <w:jc w:val="both"/>
        <w:rPr>
          <w:rFonts w:ascii="Times New Roman" w:eastAsia="Times New Roman" w:hAnsi="Times New Roman" w:cs="Times New Roman"/>
          <w:b/>
          <w:sz w:val="24"/>
          <w:szCs w:val="24"/>
        </w:rPr>
      </w:pPr>
    </w:p>
    <w:p w:rsidR="007338E8" w:rsidRPr="00BD3360" w:rsidRDefault="004779D5" w:rsidP="00BD3360">
      <w:pPr>
        <w:spacing w:after="0" w:line="240" w:lineRule="auto"/>
        <w:rPr>
          <w:rFonts w:ascii="Times New Roman" w:eastAsia="Times New Roman" w:hAnsi="Times New Roman" w:cs="Times New Roman"/>
          <w:b/>
          <w:sz w:val="24"/>
          <w:szCs w:val="24"/>
          <w:lang w:eastAsia="lt-LT"/>
        </w:rPr>
      </w:pPr>
      <w:r w:rsidRPr="00BD3360">
        <w:rPr>
          <w:rFonts w:ascii="Times New Roman" w:eastAsia="Times New Roman" w:hAnsi="Times New Roman" w:cs="Times New Roman"/>
          <w:b/>
          <w:noProof/>
          <w:sz w:val="24"/>
          <w:szCs w:val="24"/>
          <w:lang w:eastAsia="lt-LT"/>
        </w:rPr>
        <w:drawing>
          <wp:inline distT="0" distB="0" distL="0" distR="0" wp14:anchorId="7E5C77E5" wp14:editId="3C707611">
            <wp:extent cx="6028563" cy="2114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3347" cy="2116228"/>
                    </a:xfrm>
                    <a:prstGeom prst="rect">
                      <a:avLst/>
                    </a:prstGeom>
                    <a:noFill/>
                  </pic:spPr>
                </pic:pic>
              </a:graphicData>
            </a:graphic>
          </wp:inline>
        </w:drawing>
      </w:r>
    </w:p>
    <w:p w:rsidR="007338E8" w:rsidRPr="00216903" w:rsidRDefault="00AF1C8B" w:rsidP="00BD3360">
      <w:pPr>
        <w:spacing w:after="0" w:line="240" w:lineRule="auto"/>
        <w:jc w:val="center"/>
        <w:rPr>
          <w:rFonts w:ascii="Times New Roman" w:eastAsia="Times New Roman" w:hAnsi="Times New Roman" w:cs="Times New Roman"/>
          <w:sz w:val="20"/>
          <w:szCs w:val="20"/>
          <w:lang w:eastAsia="lt-LT"/>
        </w:rPr>
      </w:pPr>
      <w:r w:rsidRPr="00216903">
        <w:rPr>
          <w:rFonts w:ascii="Times New Roman" w:eastAsia="Times New Roman" w:hAnsi="Times New Roman" w:cs="Times New Roman"/>
          <w:sz w:val="20"/>
          <w:szCs w:val="20"/>
          <w:lang w:eastAsia="lt-LT"/>
        </w:rPr>
        <w:t xml:space="preserve"> 1 pav. </w:t>
      </w:r>
      <w:r w:rsidR="007338E8" w:rsidRPr="00216903">
        <w:rPr>
          <w:rFonts w:ascii="Times New Roman" w:eastAsia="Times New Roman" w:hAnsi="Times New Roman" w:cs="Times New Roman"/>
          <w:sz w:val="20"/>
          <w:szCs w:val="20"/>
          <w:lang w:eastAsia="lt-LT"/>
        </w:rPr>
        <w:t>2014–2020 m. ES fondų investicijų įgyvendinimas (mln. eurų)</w:t>
      </w:r>
    </w:p>
    <w:p w:rsidR="00BD384F" w:rsidRPr="00BD3360" w:rsidRDefault="00BD384F" w:rsidP="00BD3360">
      <w:pPr>
        <w:pStyle w:val="Sraopastraipa"/>
        <w:tabs>
          <w:tab w:val="left" w:pos="284"/>
        </w:tabs>
        <w:spacing w:after="0" w:line="240" w:lineRule="auto"/>
        <w:ind w:left="0" w:firstLine="567"/>
        <w:jc w:val="both"/>
        <w:rPr>
          <w:rFonts w:ascii="Times New Roman" w:hAnsi="Times New Roman" w:cs="Times New Roman"/>
          <w:sz w:val="24"/>
          <w:szCs w:val="24"/>
        </w:rPr>
      </w:pPr>
    </w:p>
    <w:p w:rsidR="005B30EF" w:rsidRDefault="003D168D" w:rsidP="00BD3360">
      <w:pPr>
        <w:pStyle w:val="Sraopastraipa"/>
        <w:tabs>
          <w:tab w:val="left" w:pos="284"/>
        </w:tabs>
        <w:spacing w:after="0" w:line="240" w:lineRule="auto"/>
        <w:ind w:left="0" w:firstLine="567"/>
        <w:jc w:val="both"/>
        <w:rPr>
          <w:rFonts w:ascii="Times New Roman" w:hAnsi="Times New Roman" w:cs="Times New Roman"/>
          <w:sz w:val="24"/>
          <w:szCs w:val="24"/>
        </w:rPr>
      </w:pPr>
      <w:r w:rsidRPr="00BD3360">
        <w:rPr>
          <w:rFonts w:ascii="Times New Roman" w:hAnsi="Times New Roman" w:cs="Times New Roman"/>
          <w:sz w:val="24"/>
          <w:szCs w:val="24"/>
        </w:rPr>
        <w:t>Jau</w:t>
      </w:r>
      <w:r w:rsidR="007338E8" w:rsidRPr="00BD3360">
        <w:rPr>
          <w:rFonts w:ascii="Times New Roman" w:hAnsi="Times New Roman" w:cs="Times New Roman"/>
          <w:sz w:val="24"/>
          <w:szCs w:val="24"/>
        </w:rPr>
        <w:t xml:space="preserve"> baigtas priemonių planavimas  paskirstant beveik visas  (99 proc.) Lietuvai skirtas </w:t>
      </w:r>
      <w:r w:rsidR="009471F3" w:rsidRPr="00BD3360">
        <w:rPr>
          <w:rFonts w:ascii="Times New Roman" w:hAnsi="Times New Roman" w:cs="Times New Roman"/>
          <w:sz w:val="24"/>
          <w:szCs w:val="24"/>
        </w:rPr>
        <w:t xml:space="preserve">2014–2020 m. </w:t>
      </w:r>
      <w:r w:rsidR="007338E8" w:rsidRPr="00BD3360">
        <w:rPr>
          <w:rFonts w:ascii="Times New Roman" w:hAnsi="Times New Roman" w:cs="Times New Roman"/>
          <w:sz w:val="24"/>
          <w:szCs w:val="24"/>
        </w:rPr>
        <w:t>ES fondų lėšas, šias koncentruojant ilgalaikę pridėtinę vertę kuriančiose srityse (pvz., moksliniai tyrimai, inovacijos, SVV, energetinis efektyvumas, žmogiškieji ištekliai), kurios gali užtikrinti ilgalaikį ir tvarų ekono</w:t>
      </w:r>
      <w:r w:rsidR="003111DE" w:rsidRPr="00BD3360">
        <w:rPr>
          <w:rFonts w:ascii="Times New Roman" w:hAnsi="Times New Roman" w:cs="Times New Roman"/>
          <w:sz w:val="24"/>
          <w:szCs w:val="24"/>
        </w:rPr>
        <w:t>mikos augimą ir konkurencingumą</w:t>
      </w:r>
      <w:r w:rsidR="00EA0993" w:rsidRPr="00BD3360">
        <w:rPr>
          <w:rFonts w:ascii="Times New Roman" w:hAnsi="Times New Roman" w:cs="Times New Roman"/>
          <w:sz w:val="24"/>
          <w:szCs w:val="24"/>
        </w:rPr>
        <w:t xml:space="preserve">. </w:t>
      </w:r>
      <w:r w:rsidR="00602123" w:rsidRPr="00BD3360">
        <w:rPr>
          <w:rFonts w:ascii="Times New Roman" w:hAnsi="Times New Roman" w:cs="Times New Roman"/>
          <w:sz w:val="24"/>
          <w:szCs w:val="24"/>
        </w:rPr>
        <w:t xml:space="preserve">Iki </w:t>
      </w:r>
      <w:r w:rsidR="00723458" w:rsidRPr="00BD3360">
        <w:rPr>
          <w:rFonts w:ascii="Times New Roman" w:hAnsi="Times New Roman" w:cs="Times New Roman"/>
          <w:sz w:val="24"/>
          <w:szCs w:val="24"/>
        </w:rPr>
        <w:t xml:space="preserve">2015 m. </w:t>
      </w:r>
      <w:r w:rsidR="00602123" w:rsidRPr="00BD3360">
        <w:rPr>
          <w:rFonts w:ascii="Times New Roman" w:hAnsi="Times New Roman" w:cs="Times New Roman"/>
          <w:sz w:val="24"/>
          <w:szCs w:val="24"/>
        </w:rPr>
        <w:t>gegužės 27 d.</w:t>
      </w:r>
      <w:r w:rsidR="005B30EF">
        <w:rPr>
          <w:rFonts w:ascii="Times New Roman" w:hAnsi="Times New Roman" w:cs="Times New Roman"/>
          <w:sz w:val="24"/>
          <w:szCs w:val="24"/>
        </w:rPr>
        <w:t>:</w:t>
      </w:r>
    </w:p>
    <w:p w:rsidR="005B30EF" w:rsidRDefault="005B30EF" w:rsidP="00BD3360">
      <w:pPr>
        <w:pStyle w:val="Sraopastraipa"/>
        <w:tabs>
          <w:tab w:val="left" w:pos="284"/>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w:t>
      </w:r>
      <w:r w:rsidR="009F22EB" w:rsidRPr="00BD3360">
        <w:rPr>
          <w:rFonts w:ascii="Times New Roman" w:hAnsi="Times New Roman" w:cs="Times New Roman"/>
          <w:sz w:val="24"/>
          <w:szCs w:val="24"/>
        </w:rPr>
        <w:t xml:space="preserve"> </w:t>
      </w:r>
      <w:r w:rsidR="000046F7">
        <w:rPr>
          <w:rFonts w:ascii="Times New Roman" w:hAnsi="Times New Roman" w:cs="Times New Roman"/>
          <w:sz w:val="24"/>
          <w:szCs w:val="24"/>
        </w:rPr>
        <w:t>s</w:t>
      </w:r>
      <w:r w:rsidR="00161457">
        <w:rPr>
          <w:rFonts w:ascii="Times New Roman" w:hAnsi="Times New Roman" w:cs="Times New Roman"/>
          <w:sz w:val="24"/>
          <w:szCs w:val="24"/>
        </w:rPr>
        <w:t>u Finansų ministerija suderinta ir patvirtinta</w:t>
      </w:r>
      <w:r w:rsidR="00540EF1">
        <w:rPr>
          <w:rFonts w:ascii="Times New Roman" w:hAnsi="Times New Roman" w:cs="Times New Roman"/>
          <w:sz w:val="24"/>
          <w:szCs w:val="24"/>
        </w:rPr>
        <w:t xml:space="preserve"> </w:t>
      </w:r>
      <w:r w:rsidR="009F22EB" w:rsidRPr="00BD3360">
        <w:rPr>
          <w:rFonts w:ascii="Times New Roman" w:hAnsi="Times New Roman" w:cs="Times New Roman"/>
          <w:sz w:val="24"/>
          <w:szCs w:val="24"/>
          <w:lang w:val="en-US"/>
        </w:rPr>
        <w:t>1</w:t>
      </w:r>
      <w:r w:rsidR="00161457">
        <w:rPr>
          <w:rFonts w:ascii="Times New Roman" w:hAnsi="Times New Roman" w:cs="Times New Roman"/>
          <w:sz w:val="24"/>
          <w:szCs w:val="24"/>
          <w:lang w:val="en-US"/>
        </w:rPr>
        <w:t>10</w:t>
      </w:r>
      <w:r w:rsidR="00E1647F" w:rsidRPr="00BD3360">
        <w:rPr>
          <w:rFonts w:ascii="Times New Roman" w:hAnsi="Times New Roman" w:cs="Times New Roman"/>
          <w:sz w:val="24"/>
          <w:szCs w:val="24"/>
        </w:rPr>
        <w:t xml:space="preserve"> kvietimams skelbti ir projektams planuoti reikaling</w:t>
      </w:r>
      <w:r w:rsidR="00161457">
        <w:rPr>
          <w:rFonts w:ascii="Times New Roman" w:hAnsi="Times New Roman" w:cs="Times New Roman"/>
          <w:sz w:val="24"/>
          <w:szCs w:val="24"/>
        </w:rPr>
        <w:t>ų</w:t>
      </w:r>
      <w:r w:rsidR="00E1647F" w:rsidRPr="00BD3360">
        <w:rPr>
          <w:rFonts w:ascii="Times New Roman" w:hAnsi="Times New Roman" w:cs="Times New Roman"/>
          <w:sz w:val="24"/>
          <w:szCs w:val="24"/>
        </w:rPr>
        <w:t xml:space="preserve"> </w:t>
      </w:r>
      <w:proofErr w:type="spellStart"/>
      <w:r w:rsidR="009F22EB" w:rsidRPr="00BD3360">
        <w:rPr>
          <w:rFonts w:ascii="Times New Roman" w:hAnsi="Times New Roman" w:cs="Times New Roman"/>
          <w:sz w:val="24"/>
          <w:szCs w:val="24"/>
          <w:lang w:val="en-US"/>
        </w:rPr>
        <w:t>pr</w:t>
      </w:r>
      <w:r w:rsidR="00E1647F" w:rsidRPr="00BD3360">
        <w:rPr>
          <w:rFonts w:ascii="Times New Roman" w:hAnsi="Times New Roman" w:cs="Times New Roman"/>
          <w:sz w:val="24"/>
          <w:szCs w:val="24"/>
          <w:lang w:val="en-US"/>
        </w:rPr>
        <w:t>ojektų</w:t>
      </w:r>
      <w:proofErr w:type="spellEnd"/>
      <w:r w:rsidR="00E1647F" w:rsidRPr="00BD3360">
        <w:rPr>
          <w:rFonts w:ascii="Times New Roman" w:hAnsi="Times New Roman" w:cs="Times New Roman"/>
          <w:sz w:val="24"/>
          <w:szCs w:val="24"/>
          <w:lang w:val="en-US"/>
        </w:rPr>
        <w:t xml:space="preserve"> </w:t>
      </w:r>
      <w:proofErr w:type="spellStart"/>
      <w:r w:rsidR="00E1647F" w:rsidRPr="00BD3360">
        <w:rPr>
          <w:rFonts w:ascii="Times New Roman" w:hAnsi="Times New Roman" w:cs="Times New Roman"/>
          <w:sz w:val="24"/>
          <w:szCs w:val="24"/>
          <w:lang w:val="en-US"/>
        </w:rPr>
        <w:t>finansavimo</w:t>
      </w:r>
      <w:proofErr w:type="spellEnd"/>
      <w:r w:rsidR="00E1647F" w:rsidRPr="00BD3360">
        <w:rPr>
          <w:rFonts w:ascii="Times New Roman" w:hAnsi="Times New Roman" w:cs="Times New Roman"/>
          <w:sz w:val="24"/>
          <w:szCs w:val="24"/>
          <w:lang w:val="en-US"/>
        </w:rPr>
        <w:t xml:space="preserve"> </w:t>
      </w:r>
      <w:proofErr w:type="spellStart"/>
      <w:r w:rsidR="00E1647F" w:rsidRPr="00BD3360">
        <w:rPr>
          <w:rFonts w:ascii="Times New Roman" w:hAnsi="Times New Roman" w:cs="Times New Roman"/>
          <w:sz w:val="24"/>
          <w:szCs w:val="24"/>
          <w:lang w:val="en-US"/>
        </w:rPr>
        <w:t>sąlygų</w:t>
      </w:r>
      <w:proofErr w:type="spellEnd"/>
      <w:r w:rsidR="00E1647F" w:rsidRPr="00BD3360">
        <w:rPr>
          <w:rFonts w:ascii="Times New Roman" w:hAnsi="Times New Roman" w:cs="Times New Roman"/>
          <w:sz w:val="24"/>
          <w:szCs w:val="24"/>
          <w:lang w:val="en-US"/>
        </w:rPr>
        <w:t xml:space="preserve"> </w:t>
      </w:r>
      <w:proofErr w:type="spellStart"/>
      <w:r w:rsidR="00E1647F" w:rsidRPr="00BD3360">
        <w:rPr>
          <w:rFonts w:ascii="Times New Roman" w:hAnsi="Times New Roman" w:cs="Times New Roman"/>
          <w:sz w:val="24"/>
          <w:szCs w:val="24"/>
          <w:lang w:val="en-US"/>
        </w:rPr>
        <w:t>apraš</w:t>
      </w:r>
      <w:r w:rsidR="00161457">
        <w:rPr>
          <w:rFonts w:ascii="Times New Roman" w:hAnsi="Times New Roman" w:cs="Times New Roman"/>
          <w:sz w:val="24"/>
          <w:szCs w:val="24"/>
          <w:lang w:val="en-US"/>
        </w:rPr>
        <w:t>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kurių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vertė</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sudaro</w:t>
      </w:r>
      <w:proofErr w:type="spellEnd"/>
      <w:r w:rsidR="009F22EB" w:rsidRPr="00BD3360">
        <w:rPr>
          <w:rFonts w:ascii="Times New Roman" w:hAnsi="Times New Roman" w:cs="Times New Roman"/>
          <w:sz w:val="24"/>
          <w:szCs w:val="24"/>
          <w:lang w:val="en-US"/>
        </w:rPr>
        <w:t xml:space="preserve"> </w:t>
      </w:r>
      <w:r w:rsidR="00161457">
        <w:rPr>
          <w:rFonts w:ascii="Times New Roman" w:hAnsi="Times New Roman" w:cs="Times New Roman"/>
          <w:sz w:val="24"/>
          <w:szCs w:val="24"/>
          <w:lang w:val="en-US"/>
        </w:rPr>
        <w:t>47</w:t>
      </w:r>
      <w:r w:rsidR="009F22EB" w:rsidRPr="00BD3360">
        <w:rPr>
          <w:rFonts w:ascii="Times New Roman" w:hAnsi="Times New Roman" w:cs="Times New Roman"/>
          <w:sz w:val="24"/>
          <w:szCs w:val="24"/>
          <w:lang w:val="en-US"/>
        </w:rPr>
        <w:t xml:space="preserve"> proc.</w:t>
      </w:r>
      <w:r w:rsidR="00733F58" w:rsidRPr="00BD3360">
        <w:rPr>
          <w:rFonts w:ascii="Times New Roman" w:hAnsi="Times New Roman" w:cs="Times New Roman"/>
          <w:sz w:val="24"/>
          <w:szCs w:val="24"/>
          <w:lang w:val="en-US"/>
        </w:rPr>
        <w:t xml:space="preserve"> </w:t>
      </w:r>
      <w:proofErr w:type="spellStart"/>
      <w:proofErr w:type="gramStart"/>
      <w:r w:rsidR="00733F58" w:rsidRPr="00BD3360">
        <w:rPr>
          <w:rFonts w:ascii="Times New Roman" w:hAnsi="Times New Roman" w:cs="Times New Roman"/>
          <w:sz w:val="24"/>
          <w:szCs w:val="24"/>
          <w:lang w:val="en-US"/>
        </w:rPr>
        <w:t>visų</w:t>
      </w:r>
      <w:proofErr w:type="spellEnd"/>
      <w:proofErr w:type="gramEnd"/>
      <w:r w:rsidR="00733F58" w:rsidRPr="00BD3360">
        <w:rPr>
          <w:rFonts w:ascii="Times New Roman" w:hAnsi="Times New Roman" w:cs="Times New Roman"/>
          <w:sz w:val="24"/>
          <w:szCs w:val="24"/>
          <w:lang w:val="en-US"/>
        </w:rPr>
        <w:t xml:space="preserve"> ES </w:t>
      </w:r>
      <w:proofErr w:type="spellStart"/>
      <w:r w:rsidR="00733F58" w:rsidRPr="00BD3360">
        <w:rPr>
          <w:rFonts w:ascii="Times New Roman" w:hAnsi="Times New Roman" w:cs="Times New Roman"/>
          <w:sz w:val="24"/>
          <w:szCs w:val="24"/>
          <w:lang w:val="en-US"/>
        </w:rPr>
        <w:t>fondų</w:t>
      </w:r>
      <w:proofErr w:type="spellEnd"/>
      <w:r w:rsidR="00733F58" w:rsidRPr="00BD3360">
        <w:rPr>
          <w:rFonts w:ascii="Times New Roman" w:hAnsi="Times New Roman" w:cs="Times New Roman"/>
          <w:sz w:val="24"/>
          <w:szCs w:val="24"/>
          <w:lang w:val="en-US"/>
        </w:rPr>
        <w:t xml:space="preserve"> </w:t>
      </w:r>
      <w:proofErr w:type="spellStart"/>
      <w:r w:rsidR="00733F58"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w:t>
      </w:r>
      <w:r w:rsidR="00602123" w:rsidRPr="00BD3360">
        <w:rPr>
          <w:rFonts w:ascii="Times New Roman" w:hAnsi="Times New Roman" w:cs="Times New Roman"/>
          <w:sz w:val="24"/>
          <w:szCs w:val="24"/>
          <w:lang w:val="en-US"/>
        </w:rPr>
        <w:t>;</w:t>
      </w:r>
    </w:p>
    <w:p w:rsidR="005B30EF" w:rsidRDefault="005B30EF" w:rsidP="00BD3360">
      <w:pPr>
        <w:pStyle w:val="Sraopastraipa"/>
        <w:tabs>
          <w:tab w:val="left" w:pos="284"/>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02123" w:rsidRPr="00BD3360">
        <w:rPr>
          <w:rFonts w:ascii="Times New Roman" w:hAnsi="Times New Roman" w:cs="Times New Roman"/>
          <w:sz w:val="24"/>
          <w:szCs w:val="24"/>
          <w:lang w:val="en-US"/>
        </w:rPr>
        <w:t xml:space="preserve"> </w:t>
      </w:r>
      <w:proofErr w:type="spellStart"/>
      <w:proofErr w:type="gramStart"/>
      <w:r w:rsidR="00602123" w:rsidRPr="00BD3360">
        <w:rPr>
          <w:rFonts w:ascii="Times New Roman" w:hAnsi="Times New Roman" w:cs="Times New Roman"/>
          <w:sz w:val="24"/>
          <w:szCs w:val="24"/>
          <w:lang w:val="en-US"/>
        </w:rPr>
        <w:t>p</w:t>
      </w:r>
      <w:r w:rsidR="009F22EB" w:rsidRPr="00BD3360">
        <w:rPr>
          <w:rFonts w:ascii="Times New Roman" w:hAnsi="Times New Roman" w:cs="Times New Roman"/>
          <w:sz w:val="24"/>
          <w:szCs w:val="24"/>
          <w:lang w:val="en-US"/>
        </w:rPr>
        <w:t>askelbta</w:t>
      </w:r>
      <w:proofErr w:type="spellEnd"/>
      <w:proofErr w:type="gram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kvietimų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ir</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sudaryta</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projektų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sąrašų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už</w:t>
      </w:r>
      <w:proofErr w:type="spellEnd"/>
      <w:r w:rsidR="009F22EB" w:rsidRPr="00BD3360">
        <w:rPr>
          <w:rFonts w:ascii="Times New Roman" w:hAnsi="Times New Roman" w:cs="Times New Roman"/>
          <w:sz w:val="24"/>
          <w:szCs w:val="24"/>
          <w:lang w:val="en-US"/>
        </w:rPr>
        <w:t xml:space="preserve"> 1 922 </w:t>
      </w:r>
      <w:proofErr w:type="spellStart"/>
      <w:r w:rsidR="009F22EB" w:rsidRPr="00BD3360">
        <w:rPr>
          <w:rFonts w:ascii="Times New Roman" w:hAnsi="Times New Roman" w:cs="Times New Roman"/>
          <w:sz w:val="24"/>
          <w:szCs w:val="24"/>
          <w:lang w:val="en-US"/>
        </w:rPr>
        <w:t>mln</w:t>
      </w:r>
      <w:proofErr w:type="spellEnd"/>
      <w:r w:rsidR="009F22EB" w:rsidRPr="00BD3360">
        <w:rPr>
          <w:rFonts w:ascii="Times New Roman" w:hAnsi="Times New Roman" w:cs="Times New Roman"/>
          <w:sz w:val="24"/>
          <w:szCs w:val="24"/>
          <w:lang w:val="en-US"/>
        </w:rPr>
        <w:t xml:space="preserve">. </w:t>
      </w:r>
      <w:proofErr w:type="spellStart"/>
      <w:proofErr w:type="gramStart"/>
      <w:r w:rsidR="009F22EB" w:rsidRPr="00BD3360">
        <w:rPr>
          <w:rFonts w:ascii="Times New Roman" w:hAnsi="Times New Roman" w:cs="Times New Roman"/>
          <w:sz w:val="24"/>
          <w:szCs w:val="24"/>
          <w:lang w:val="en-US"/>
        </w:rPr>
        <w:t>e</w:t>
      </w:r>
      <w:r w:rsidR="00733F58" w:rsidRPr="00BD3360">
        <w:rPr>
          <w:rFonts w:ascii="Times New Roman" w:hAnsi="Times New Roman" w:cs="Times New Roman"/>
          <w:sz w:val="24"/>
          <w:szCs w:val="24"/>
          <w:lang w:val="en-US"/>
        </w:rPr>
        <w:t>urų</w:t>
      </w:r>
      <w:proofErr w:type="spellEnd"/>
      <w:proofErr w:type="gramEnd"/>
      <w:r w:rsidR="00733F58" w:rsidRPr="00BD3360">
        <w:rPr>
          <w:rFonts w:ascii="Times New Roman" w:hAnsi="Times New Roman" w:cs="Times New Roman"/>
          <w:sz w:val="24"/>
          <w:szCs w:val="24"/>
          <w:lang w:val="en-US"/>
        </w:rPr>
        <w:t xml:space="preserve"> ES </w:t>
      </w:r>
      <w:proofErr w:type="spellStart"/>
      <w:r w:rsidR="00733F58" w:rsidRPr="00BD3360">
        <w:rPr>
          <w:rFonts w:ascii="Times New Roman" w:hAnsi="Times New Roman" w:cs="Times New Roman"/>
          <w:sz w:val="24"/>
          <w:szCs w:val="24"/>
          <w:lang w:val="en-US"/>
        </w:rPr>
        <w:t>fondų</w:t>
      </w:r>
      <w:proofErr w:type="spellEnd"/>
      <w:r w:rsidR="00733F58" w:rsidRPr="00BD3360">
        <w:rPr>
          <w:rFonts w:ascii="Times New Roman" w:hAnsi="Times New Roman" w:cs="Times New Roman"/>
          <w:sz w:val="24"/>
          <w:szCs w:val="24"/>
          <w:lang w:val="en-US"/>
        </w:rPr>
        <w:t xml:space="preserve"> </w:t>
      </w:r>
      <w:proofErr w:type="spellStart"/>
      <w:r w:rsidR="00733F58"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 xml:space="preserve"> (</w:t>
      </w:r>
      <w:r w:rsidR="009F22EB" w:rsidRPr="00BD3360">
        <w:rPr>
          <w:rFonts w:ascii="Times New Roman" w:hAnsi="Times New Roman" w:cs="Times New Roman"/>
          <w:sz w:val="24"/>
          <w:szCs w:val="24"/>
          <w:lang w:val="en-US"/>
        </w:rPr>
        <w:t>29</w:t>
      </w:r>
      <w:r w:rsidR="00602123" w:rsidRPr="00BD3360">
        <w:rPr>
          <w:rFonts w:ascii="Times New Roman" w:hAnsi="Times New Roman" w:cs="Times New Roman"/>
          <w:sz w:val="24"/>
          <w:szCs w:val="24"/>
          <w:lang w:val="en-US"/>
        </w:rPr>
        <w:t xml:space="preserve"> proc. </w:t>
      </w:r>
      <w:proofErr w:type="spellStart"/>
      <w:r w:rsidR="00602123" w:rsidRPr="00BD3360">
        <w:rPr>
          <w:rFonts w:ascii="Times New Roman" w:hAnsi="Times New Roman" w:cs="Times New Roman"/>
          <w:sz w:val="24"/>
          <w:szCs w:val="24"/>
          <w:lang w:val="en-US"/>
        </w:rPr>
        <w:t>visų</w:t>
      </w:r>
      <w:proofErr w:type="spellEnd"/>
      <w:r w:rsidR="00602123" w:rsidRPr="00BD3360">
        <w:rPr>
          <w:rFonts w:ascii="Times New Roman" w:hAnsi="Times New Roman" w:cs="Times New Roman"/>
          <w:sz w:val="24"/>
          <w:szCs w:val="24"/>
          <w:lang w:val="en-US"/>
        </w:rPr>
        <w:t xml:space="preserve"> ES </w:t>
      </w:r>
      <w:proofErr w:type="spellStart"/>
      <w:r w:rsidR="00602123" w:rsidRPr="00BD3360">
        <w:rPr>
          <w:rFonts w:ascii="Times New Roman" w:hAnsi="Times New Roman" w:cs="Times New Roman"/>
          <w:sz w:val="24"/>
          <w:szCs w:val="24"/>
          <w:lang w:val="en-US"/>
        </w:rPr>
        <w:t>fondų</w:t>
      </w:r>
      <w:proofErr w:type="spellEnd"/>
      <w:r w:rsidR="00602123" w:rsidRPr="00BD3360">
        <w:rPr>
          <w:rFonts w:ascii="Times New Roman" w:hAnsi="Times New Roman" w:cs="Times New Roman"/>
          <w:sz w:val="24"/>
          <w:szCs w:val="24"/>
          <w:lang w:val="en-US"/>
        </w:rPr>
        <w:t xml:space="preserve"> </w:t>
      </w:r>
      <w:proofErr w:type="spellStart"/>
      <w:r w:rsidR="00602123"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w:t>
      </w:r>
      <w:r w:rsidR="00602123" w:rsidRPr="00BD3360">
        <w:rPr>
          <w:rFonts w:ascii="Times New Roman" w:hAnsi="Times New Roman" w:cs="Times New Roman"/>
          <w:sz w:val="24"/>
          <w:szCs w:val="24"/>
          <w:lang w:val="en-US"/>
        </w:rPr>
        <w:t>;</w:t>
      </w:r>
    </w:p>
    <w:p w:rsidR="005B30EF" w:rsidRDefault="005B30EF" w:rsidP="00BD3360">
      <w:pPr>
        <w:pStyle w:val="Sraopastraipa"/>
        <w:tabs>
          <w:tab w:val="left" w:pos="284"/>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02123" w:rsidRPr="00BD3360">
        <w:rPr>
          <w:rFonts w:ascii="Times New Roman" w:hAnsi="Times New Roman" w:cs="Times New Roman"/>
          <w:sz w:val="24"/>
          <w:szCs w:val="24"/>
          <w:lang w:val="en-US"/>
        </w:rPr>
        <w:t xml:space="preserve"> </w:t>
      </w:r>
      <w:proofErr w:type="spellStart"/>
      <w:proofErr w:type="gramStart"/>
      <w:r w:rsidR="00602123" w:rsidRPr="00BD3360">
        <w:rPr>
          <w:rFonts w:ascii="Times New Roman" w:hAnsi="Times New Roman" w:cs="Times New Roman"/>
          <w:sz w:val="24"/>
          <w:szCs w:val="24"/>
          <w:lang w:val="en-US"/>
        </w:rPr>
        <w:t>p</w:t>
      </w:r>
      <w:r w:rsidR="009F22EB" w:rsidRPr="00BD3360">
        <w:rPr>
          <w:rFonts w:ascii="Times New Roman" w:hAnsi="Times New Roman" w:cs="Times New Roman"/>
          <w:sz w:val="24"/>
          <w:szCs w:val="24"/>
          <w:lang w:val="en-US"/>
        </w:rPr>
        <w:t>rojektams</w:t>
      </w:r>
      <w:proofErr w:type="spellEnd"/>
      <w:proofErr w:type="gram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įgyvendinti</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skirta</w:t>
      </w:r>
      <w:proofErr w:type="spellEnd"/>
      <w:r w:rsidR="009F22EB" w:rsidRPr="00BD3360">
        <w:rPr>
          <w:rFonts w:ascii="Times New Roman" w:hAnsi="Times New Roman" w:cs="Times New Roman"/>
          <w:sz w:val="24"/>
          <w:szCs w:val="24"/>
          <w:lang w:val="en-US"/>
        </w:rPr>
        <w:t xml:space="preserve"> </w:t>
      </w:r>
      <w:r w:rsidR="00733F58" w:rsidRPr="00BD3360">
        <w:rPr>
          <w:rFonts w:ascii="Times New Roman" w:hAnsi="Times New Roman" w:cs="Times New Roman"/>
          <w:sz w:val="24"/>
          <w:szCs w:val="24"/>
          <w:lang w:val="en-US"/>
        </w:rPr>
        <w:t xml:space="preserve">1 193 </w:t>
      </w:r>
      <w:proofErr w:type="spellStart"/>
      <w:r w:rsidR="00733F58" w:rsidRPr="00BD3360">
        <w:rPr>
          <w:rFonts w:ascii="Times New Roman" w:hAnsi="Times New Roman" w:cs="Times New Roman"/>
          <w:sz w:val="24"/>
          <w:szCs w:val="24"/>
          <w:lang w:val="en-US"/>
        </w:rPr>
        <w:t>mln</w:t>
      </w:r>
      <w:proofErr w:type="spellEnd"/>
      <w:r w:rsidR="00733F58" w:rsidRPr="00BD3360">
        <w:rPr>
          <w:rFonts w:ascii="Times New Roman" w:hAnsi="Times New Roman" w:cs="Times New Roman"/>
          <w:sz w:val="24"/>
          <w:szCs w:val="24"/>
          <w:lang w:val="en-US"/>
        </w:rPr>
        <w:t xml:space="preserve">. </w:t>
      </w:r>
      <w:proofErr w:type="spellStart"/>
      <w:r w:rsidR="00733F58" w:rsidRPr="00BD3360">
        <w:rPr>
          <w:rFonts w:ascii="Times New Roman" w:hAnsi="Times New Roman" w:cs="Times New Roman"/>
          <w:sz w:val="24"/>
          <w:szCs w:val="24"/>
          <w:lang w:val="en-US"/>
        </w:rPr>
        <w:t>Eurų</w:t>
      </w:r>
      <w:proofErr w:type="spellEnd"/>
      <w:r w:rsidR="00733F58" w:rsidRPr="00BD3360">
        <w:rPr>
          <w:rFonts w:ascii="Times New Roman" w:hAnsi="Times New Roman" w:cs="Times New Roman"/>
          <w:sz w:val="24"/>
          <w:szCs w:val="24"/>
          <w:lang w:val="en-US"/>
        </w:rPr>
        <w:t xml:space="preserve"> (</w:t>
      </w:r>
      <w:r w:rsidR="009F22EB" w:rsidRPr="00BD3360">
        <w:rPr>
          <w:rFonts w:ascii="Times New Roman" w:hAnsi="Times New Roman" w:cs="Times New Roman"/>
          <w:sz w:val="24"/>
          <w:szCs w:val="24"/>
          <w:lang w:val="en-US"/>
        </w:rPr>
        <w:t>18</w:t>
      </w:r>
      <w:r w:rsidR="00602123" w:rsidRPr="00BD3360">
        <w:rPr>
          <w:rFonts w:ascii="Times New Roman" w:hAnsi="Times New Roman" w:cs="Times New Roman"/>
          <w:sz w:val="24"/>
          <w:szCs w:val="24"/>
          <w:lang w:val="en-US"/>
        </w:rPr>
        <w:t xml:space="preserve"> proc. </w:t>
      </w:r>
      <w:proofErr w:type="spellStart"/>
      <w:r w:rsidR="00602123" w:rsidRPr="00BD3360">
        <w:rPr>
          <w:rFonts w:ascii="Times New Roman" w:hAnsi="Times New Roman" w:cs="Times New Roman"/>
          <w:sz w:val="24"/>
          <w:szCs w:val="24"/>
          <w:lang w:val="en-US"/>
        </w:rPr>
        <w:t>visų</w:t>
      </w:r>
      <w:proofErr w:type="spellEnd"/>
      <w:r w:rsidR="00602123" w:rsidRPr="00BD3360">
        <w:rPr>
          <w:rFonts w:ascii="Times New Roman" w:hAnsi="Times New Roman" w:cs="Times New Roman"/>
          <w:sz w:val="24"/>
          <w:szCs w:val="24"/>
          <w:lang w:val="en-US"/>
        </w:rPr>
        <w:t xml:space="preserve"> ES </w:t>
      </w:r>
      <w:proofErr w:type="spellStart"/>
      <w:r w:rsidR="00602123" w:rsidRPr="00BD3360">
        <w:rPr>
          <w:rFonts w:ascii="Times New Roman" w:hAnsi="Times New Roman" w:cs="Times New Roman"/>
          <w:sz w:val="24"/>
          <w:szCs w:val="24"/>
          <w:lang w:val="en-US"/>
        </w:rPr>
        <w:t>fondų</w:t>
      </w:r>
      <w:proofErr w:type="spellEnd"/>
      <w:r w:rsidR="00602123" w:rsidRPr="00BD3360">
        <w:rPr>
          <w:rFonts w:ascii="Times New Roman" w:hAnsi="Times New Roman" w:cs="Times New Roman"/>
          <w:sz w:val="24"/>
          <w:szCs w:val="24"/>
          <w:lang w:val="en-US"/>
        </w:rPr>
        <w:t xml:space="preserve"> </w:t>
      </w:r>
      <w:proofErr w:type="spellStart"/>
      <w:r w:rsidR="00602123"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w:t>
      </w:r>
      <w:r w:rsidR="00E53281">
        <w:rPr>
          <w:rFonts w:ascii="Times New Roman" w:hAnsi="Times New Roman" w:cs="Times New Roman"/>
          <w:sz w:val="24"/>
          <w:szCs w:val="24"/>
          <w:lang w:val="en-US"/>
        </w:rPr>
        <w:t>;</w:t>
      </w:r>
    </w:p>
    <w:p w:rsidR="005B30EF" w:rsidRDefault="005B30EF" w:rsidP="00BD3360">
      <w:pPr>
        <w:pStyle w:val="Sraopastraipa"/>
        <w:tabs>
          <w:tab w:val="left" w:pos="284"/>
        </w:tabs>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02123" w:rsidRPr="00BD3360">
        <w:rPr>
          <w:rFonts w:ascii="Times New Roman" w:hAnsi="Times New Roman" w:cs="Times New Roman"/>
          <w:sz w:val="24"/>
          <w:szCs w:val="24"/>
          <w:lang w:val="en-US"/>
        </w:rPr>
        <w:t xml:space="preserve"> </w:t>
      </w:r>
      <w:r w:rsidR="009F22EB" w:rsidRPr="00BD3360">
        <w:rPr>
          <w:rFonts w:ascii="Times New Roman" w:hAnsi="Times New Roman" w:cs="Times New Roman"/>
          <w:sz w:val="24"/>
          <w:szCs w:val="24"/>
          <w:lang w:val="en-US"/>
        </w:rPr>
        <w:t xml:space="preserve"> </w:t>
      </w:r>
      <w:proofErr w:type="spellStart"/>
      <w:proofErr w:type="gramStart"/>
      <w:r w:rsidRPr="00BD3360">
        <w:rPr>
          <w:rFonts w:ascii="Times New Roman" w:hAnsi="Times New Roman" w:cs="Times New Roman"/>
          <w:sz w:val="24"/>
          <w:szCs w:val="24"/>
          <w:lang w:val="en-US"/>
        </w:rPr>
        <w:t>projektams</w:t>
      </w:r>
      <w:proofErr w:type="spellEnd"/>
      <w:proofErr w:type="gramEnd"/>
      <w:r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išmokėta</w:t>
      </w:r>
      <w:proofErr w:type="spellEnd"/>
      <w:r w:rsidR="009F22EB" w:rsidRPr="00BD3360">
        <w:rPr>
          <w:rFonts w:ascii="Times New Roman" w:hAnsi="Times New Roman" w:cs="Times New Roman"/>
          <w:sz w:val="24"/>
          <w:szCs w:val="24"/>
          <w:lang w:val="en-US"/>
        </w:rPr>
        <w:t xml:space="preserve"> </w:t>
      </w:r>
      <w:r w:rsidR="00602123" w:rsidRPr="00BD3360">
        <w:rPr>
          <w:rFonts w:ascii="Times New Roman" w:hAnsi="Times New Roman" w:cs="Times New Roman"/>
          <w:sz w:val="24"/>
          <w:szCs w:val="24"/>
          <w:lang w:val="en-US"/>
        </w:rPr>
        <w:t>441</w:t>
      </w:r>
      <w:r w:rsidR="00733F58" w:rsidRPr="00BD3360">
        <w:rPr>
          <w:rFonts w:ascii="Times New Roman" w:hAnsi="Times New Roman" w:cs="Times New Roman"/>
          <w:sz w:val="24"/>
          <w:szCs w:val="24"/>
          <w:lang w:val="en-US"/>
        </w:rPr>
        <w:t xml:space="preserve"> </w:t>
      </w:r>
      <w:proofErr w:type="spellStart"/>
      <w:r w:rsidR="00733F58" w:rsidRPr="00BD3360">
        <w:rPr>
          <w:rFonts w:ascii="Times New Roman" w:hAnsi="Times New Roman" w:cs="Times New Roman"/>
          <w:sz w:val="24"/>
          <w:szCs w:val="24"/>
          <w:lang w:val="en-US"/>
        </w:rPr>
        <w:t>mln</w:t>
      </w:r>
      <w:proofErr w:type="spellEnd"/>
      <w:r w:rsidR="00733F58" w:rsidRPr="00BD3360">
        <w:rPr>
          <w:rFonts w:ascii="Times New Roman" w:hAnsi="Times New Roman" w:cs="Times New Roman"/>
          <w:sz w:val="24"/>
          <w:szCs w:val="24"/>
          <w:lang w:val="en-US"/>
        </w:rPr>
        <w:t xml:space="preserve">. </w:t>
      </w:r>
      <w:proofErr w:type="spellStart"/>
      <w:proofErr w:type="gramStart"/>
      <w:r w:rsidR="00733F58" w:rsidRPr="00BD3360">
        <w:rPr>
          <w:rFonts w:ascii="Times New Roman" w:hAnsi="Times New Roman" w:cs="Times New Roman"/>
          <w:sz w:val="24"/>
          <w:szCs w:val="24"/>
          <w:lang w:val="en-US"/>
        </w:rPr>
        <w:t>eurų</w:t>
      </w:r>
      <w:proofErr w:type="spellEnd"/>
      <w:proofErr w:type="gramEnd"/>
      <w:r w:rsidR="00733F58" w:rsidRPr="00BD3360">
        <w:rPr>
          <w:rFonts w:ascii="Times New Roman" w:hAnsi="Times New Roman" w:cs="Times New Roman"/>
          <w:sz w:val="24"/>
          <w:szCs w:val="24"/>
          <w:lang w:val="en-US"/>
        </w:rPr>
        <w:t xml:space="preserve"> ES </w:t>
      </w:r>
      <w:proofErr w:type="spellStart"/>
      <w:r w:rsidR="00733F58" w:rsidRPr="00BD3360">
        <w:rPr>
          <w:rFonts w:ascii="Times New Roman" w:hAnsi="Times New Roman" w:cs="Times New Roman"/>
          <w:sz w:val="24"/>
          <w:szCs w:val="24"/>
          <w:lang w:val="en-US"/>
        </w:rPr>
        <w:t>fondų</w:t>
      </w:r>
      <w:proofErr w:type="spellEnd"/>
      <w:r w:rsidR="00733F58" w:rsidRPr="00BD3360">
        <w:rPr>
          <w:rFonts w:ascii="Times New Roman" w:hAnsi="Times New Roman" w:cs="Times New Roman"/>
          <w:sz w:val="24"/>
          <w:szCs w:val="24"/>
          <w:lang w:val="en-US"/>
        </w:rPr>
        <w:t xml:space="preserve"> </w:t>
      </w:r>
      <w:proofErr w:type="spellStart"/>
      <w:r w:rsidR="00733F58"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 xml:space="preserve"> (</w:t>
      </w:r>
      <w:r w:rsidR="00602123" w:rsidRPr="00BD3360">
        <w:rPr>
          <w:rFonts w:ascii="Times New Roman" w:hAnsi="Times New Roman" w:cs="Times New Roman"/>
          <w:sz w:val="24"/>
          <w:szCs w:val="24"/>
          <w:lang w:val="en-US"/>
        </w:rPr>
        <w:t>7</w:t>
      </w:r>
      <w:r w:rsidR="009F22EB" w:rsidRPr="00BD3360">
        <w:rPr>
          <w:rFonts w:ascii="Times New Roman" w:hAnsi="Times New Roman" w:cs="Times New Roman"/>
          <w:sz w:val="24"/>
          <w:szCs w:val="24"/>
          <w:lang w:val="en-US"/>
        </w:rPr>
        <w:t xml:space="preserve"> proc. </w:t>
      </w:r>
      <w:proofErr w:type="spellStart"/>
      <w:r w:rsidR="009F22EB" w:rsidRPr="00BD3360">
        <w:rPr>
          <w:rFonts w:ascii="Times New Roman" w:hAnsi="Times New Roman" w:cs="Times New Roman"/>
          <w:sz w:val="24"/>
          <w:szCs w:val="24"/>
          <w:lang w:val="en-US"/>
        </w:rPr>
        <w:t>visų</w:t>
      </w:r>
      <w:proofErr w:type="spellEnd"/>
      <w:r w:rsidR="009F22EB" w:rsidRPr="00BD3360">
        <w:rPr>
          <w:rFonts w:ascii="Times New Roman" w:hAnsi="Times New Roman" w:cs="Times New Roman"/>
          <w:sz w:val="24"/>
          <w:szCs w:val="24"/>
          <w:lang w:val="en-US"/>
        </w:rPr>
        <w:t xml:space="preserve"> ES </w:t>
      </w:r>
      <w:proofErr w:type="spellStart"/>
      <w:r w:rsidR="009F22EB" w:rsidRPr="00BD3360">
        <w:rPr>
          <w:rFonts w:ascii="Times New Roman" w:hAnsi="Times New Roman" w:cs="Times New Roman"/>
          <w:sz w:val="24"/>
          <w:szCs w:val="24"/>
          <w:lang w:val="en-US"/>
        </w:rPr>
        <w:t>fondų</w:t>
      </w:r>
      <w:proofErr w:type="spellEnd"/>
      <w:r w:rsidR="009F22EB" w:rsidRPr="00BD3360">
        <w:rPr>
          <w:rFonts w:ascii="Times New Roman" w:hAnsi="Times New Roman" w:cs="Times New Roman"/>
          <w:sz w:val="24"/>
          <w:szCs w:val="24"/>
          <w:lang w:val="en-US"/>
        </w:rPr>
        <w:t xml:space="preserve"> </w:t>
      </w:r>
      <w:proofErr w:type="spellStart"/>
      <w:r w:rsidR="009F22EB" w:rsidRPr="00BD3360">
        <w:rPr>
          <w:rFonts w:ascii="Times New Roman" w:hAnsi="Times New Roman" w:cs="Times New Roman"/>
          <w:sz w:val="24"/>
          <w:szCs w:val="24"/>
          <w:lang w:val="en-US"/>
        </w:rPr>
        <w:t>lėšų</w:t>
      </w:r>
      <w:proofErr w:type="spellEnd"/>
      <w:r w:rsidR="00733F58" w:rsidRPr="00BD3360">
        <w:rPr>
          <w:rFonts w:ascii="Times New Roman" w:hAnsi="Times New Roman" w:cs="Times New Roman"/>
          <w:sz w:val="24"/>
          <w:szCs w:val="24"/>
          <w:lang w:val="en-US"/>
        </w:rPr>
        <w:t>)</w:t>
      </w:r>
      <w:r w:rsidR="009F22EB" w:rsidRPr="00BD3360">
        <w:rPr>
          <w:rFonts w:ascii="Times New Roman" w:hAnsi="Times New Roman" w:cs="Times New Roman"/>
          <w:sz w:val="24"/>
          <w:szCs w:val="24"/>
          <w:lang w:val="en-US"/>
        </w:rPr>
        <w:t>.</w:t>
      </w:r>
    </w:p>
    <w:p w:rsidR="001974E3" w:rsidRPr="001974E3" w:rsidRDefault="007338E8" w:rsidP="001974E3">
      <w:pPr>
        <w:pStyle w:val="Sraopastraipa"/>
        <w:tabs>
          <w:tab w:val="left" w:pos="284"/>
        </w:tabs>
        <w:spacing w:after="0" w:line="240" w:lineRule="auto"/>
        <w:ind w:left="0" w:firstLine="567"/>
        <w:jc w:val="both"/>
        <w:rPr>
          <w:rFonts w:ascii="Times New Roman" w:eastAsia="Times New Roman" w:hAnsi="Times New Roman" w:cs="Times New Roman"/>
          <w:color w:val="222222"/>
          <w:sz w:val="24"/>
          <w:szCs w:val="24"/>
          <w:lang w:eastAsia="lt-LT"/>
        </w:rPr>
      </w:pPr>
      <w:r w:rsidRPr="001974E3">
        <w:rPr>
          <w:rFonts w:ascii="Times New Roman" w:hAnsi="Times New Roman" w:cs="Times New Roman"/>
          <w:sz w:val="24"/>
          <w:szCs w:val="24"/>
        </w:rPr>
        <w:t xml:space="preserve">Daugiausiai lėšų </w:t>
      </w:r>
      <w:r w:rsidR="005B30EF" w:rsidRPr="001974E3">
        <w:rPr>
          <w:rFonts w:ascii="Times New Roman" w:hAnsi="Times New Roman" w:cs="Times New Roman"/>
          <w:sz w:val="24"/>
          <w:szCs w:val="24"/>
        </w:rPr>
        <w:t>investuota</w:t>
      </w:r>
      <w:r w:rsidRPr="001974E3">
        <w:rPr>
          <w:rFonts w:ascii="Times New Roman" w:hAnsi="Times New Roman" w:cs="Times New Roman"/>
          <w:sz w:val="24"/>
          <w:szCs w:val="24"/>
        </w:rPr>
        <w:t xml:space="preserve">, siekiant </w:t>
      </w:r>
      <w:r w:rsidR="005B30EF" w:rsidRPr="001974E3">
        <w:rPr>
          <w:rFonts w:ascii="Times New Roman" w:hAnsi="Times New Roman" w:cs="Times New Roman"/>
          <w:sz w:val="24"/>
          <w:szCs w:val="24"/>
        </w:rPr>
        <w:t xml:space="preserve">energetinio efektyvumo </w:t>
      </w:r>
      <w:r w:rsidRPr="001974E3">
        <w:rPr>
          <w:rFonts w:ascii="Times New Roman" w:hAnsi="Times New Roman" w:cs="Times New Roman"/>
          <w:sz w:val="24"/>
          <w:szCs w:val="24"/>
        </w:rPr>
        <w:t>atnaujin</w:t>
      </w:r>
      <w:r w:rsidR="005B30EF" w:rsidRPr="001974E3">
        <w:rPr>
          <w:rFonts w:ascii="Times New Roman" w:hAnsi="Times New Roman" w:cs="Times New Roman"/>
          <w:sz w:val="24"/>
          <w:szCs w:val="24"/>
        </w:rPr>
        <w:t>ant</w:t>
      </w:r>
      <w:r w:rsidRPr="001974E3">
        <w:rPr>
          <w:rFonts w:ascii="Times New Roman" w:hAnsi="Times New Roman" w:cs="Times New Roman"/>
          <w:sz w:val="24"/>
          <w:szCs w:val="24"/>
        </w:rPr>
        <w:t xml:space="preserve"> daugiabučius, didin</w:t>
      </w:r>
      <w:r w:rsidR="005B30EF" w:rsidRPr="001974E3">
        <w:rPr>
          <w:rFonts w:ascii="Times New Roman" w:hAnsi="Times New Roman" w:cs="Times New Roman"/>
          <w:sz w:val="24"/>
          <w:szCs w:val="24"/>
        </w:rPr>
        <w:t>ant</w:t>
      </w:r>
      <w:r w:rsidRPr="001974E3">
        <w:rPr>
          <w:rFonts w:ascii="Times New Roman" w:hAnsi="Times New Roman" w:cs="Times New Roman"/>
          <w:sz w:val="24"/>
          <w:szCs w:val="24"/>
        </w:rPr>
        <w:t xml:space="preserve"> užimtumą ir atnaujin</w:t>
      </w:r>
      <w:r w:rsidR="005B30EF" w:rsidRPr="001974E3">
        <w:rPr>
          <w:rFonts w:ascii="Times New Roman" w:hAnsi="Times New Roman" w:cs="Times New Roman"/>
          <w:sz w:val="24"/>
          <w:szCs w:val="24"/>
        </w:rPr>
        <w:t>ant</w:t>
      </w:r>
      <w:r w:rsidRPr="001974E3">
        <w:rPr>
          <w:rFonts w:ascii="Times New Roman" w:hAnsi="Times New Roman" w:cs="Times New Roman"/>
          <w:sz w:val="24"/>
          <w:szCs w:val="24"/>
        </w:rPr>
        <w:t xml:space="preserve"> ke</w:t>
      </w:r>
      <w:r w:rsidR="00FB6EF5" w:rsidRPr="001974E3">
        <w:rPr>
          <w:rFonts w:ascii="Times New Roman" w:hAnsi="Times New Roman" w:cs="Times New Roman"/>
          <w:sz w:val="24"/>
          <w:szCs w:val="24"/>
        </w:rPr>
        <w:t xml:space="preserve">lių infrastruktūrą. </w:t>
      </w:r>
      <w:r w:rsidR="00BF6E29">
        <w:rPr>
          <w:rFonts w:ascii="Times New Roman" w:hAnsi="Times New Roman" w:cs="Times New Roman"/>
          <w:sz w:val="24"/>
          <w:szCs w:val="24"/>
        </w:rPr>
        <w:t>I</w:t>
      </w:r>
      <w:r w:rsidR="001974E3" w:rsidRPr="001974E3">
        <w:rPr>
          <w:rFonts w:ascii="Times New Roman" w:hAnsi="Times New Roman" w:cs="Times New Roman"/>
          <w:sz w:val="24"/>
          <w:szCs w:val="24"/>
        </w:rPr>
        <w:t>ki 2015 m. pab</w:t>
      </w:r>
      <w:r w:rsidR="00B57E05">
        <w:rPr>
          <w:rFonts w:ascii="Times New Roman" w:hAnsi="Times New Roman" w:cs="Times New Roman"/>
          <w:sz w:val="24"/>
          <w:szCs w:val="24"/>
        </w:rPr>
        <w:t>aigos galima išskirti šiuos ES f</w:t>
      </w:r>
      <w:r w:rsidR="001974E3" w:rsidRPr="001974E3">
        <w:rPr>
          <w:rFonts w:ascii="Times New Roman" w:hAnsi="Times New Roman" w:cs="Times New Roman"/>
          <w:sz w:val="24"/>
          <w:szCs w:val="24"/>
        </w:rPr>
        <w:t>ondų investicijų rezultatus:</w:t>
      </w:r>
      <w:r w:rsidR="00945ECF" w:rsidRPr="001974E3">
        <w:rPr>
          <w:rFonts w:ascii="Times New Roman" w:hAnsi="Times New Roman" w:cs="Times New Roman"/>
          <w:sz w:val="24"/>
          <w:szCs w:val="24"/>
        </w:rPr>
        <w:t>1608 namų ūkiai po renovacijos priskirti geresnei energi</w:t>
      </w:r>
      <w:r w:rsidR="002E4AE3" w:rsidRPr="001974E3">
        <w:rPr>
          <w:rFonts w:ascii="Times New Roman" w:hAnsi="Times New Roman" w:cs="Times New Roman"/>
          <w:sz w:val="24"/>
          <w:szCs w:val="24"/>
        </w:rPr>
        <w:t>jos vartojimo efektyvumo klasei</w:t>
      </w:r>
      <w:r w:rsidR="001974E3" w:rsidRPr="001974E3">
        <w:rPr>
          <w:rFonts w:ascii="Times New Roman" w:hAnsi="Times New Roman" w:cs="Times New Roman"/>
          <w:sz w:val="24"/>
          <w:szCs w:val="24"/>
        </w:rPr>
        <w:t xml:space="preserve"> (iki 2016 m. kovo pabaigos sudarytos 147,7 mln. eurų vertės sutartys dėl 522 daugiabučių atnaujinimo ir 67 iš jų atnaujinimo darbai jau yra baigti); </w:t>
      </w:r>
      <w:r w:rsidR="001974E3" w:rsidRPr="00BF6E29">
        <w:rPr>
          <w:rFonts w:ascii="Times New Roman" w:hAnsi="Times New Roman" w:cs="Times New Roman"/>
          <w:sz w:val="24"/>
          <w:szCs w:val="24"/>
        </w:rPr>
        <w:t xml:space="preserve">439 įmonės gavo subsidijas gamybinėms investicijoms; 44 </w:t>
      </w:r>
      <w:r w:rsidR="001974E3" w:rsidRPr="001974E3">
        <w:rPr>
          <w:rFonts w:ascii="Times New Roman" w:eastAsia="Times New Roman" w:hAnsi="Times New Roman" w:cs="Times New Roman"/>
          <w:sz w:val="24"/>
          <w:szCs w:val="24"/>
          <w:lang w:eastAsia="lt-LT"/>
        </w:rPr>
        <w:t xml:space="preserve">proc. gyventojų naudojasi elektroniniu būdu teikiamomis viešosiomis ir administracinėmis paslaugomis; </w:t>
      </w:r>
      <w:r w:rsidR="001974E3" w:rsidRPr="001974E3">
        <w:rPr>
          <w:rFonts w:ascii="Times New Roman" w:eastAsia="Times New Roman" w:hAnsi="Times New Roman" w:cs="Times New Roman"/>
          <w:color w:val="222222"/>
          <w:sz w:val="24"/>
          <w:szCs w:val="24"/>
          <w:lang w:eastAsia="lt-LT"/>
        </w:rPr>
        <w:t xml:space="preserve">užimtumo didinimo </w:t>
      </w:r>
      <w:r w:rsidR="00B57E05">
        <w:rPr>
          <w:rFonts w:ascii="Times New Roman" w:eastAsia="Times New Roman" w:hAnsi="Times New Roman" w:cs="Times New Roman"/>
          <w:color w:val="222222"/>
          <w:sz w:val="24"/>
          <w:szCs w:val="24"/>
          <w:lang w:eastAsia="lt-LT"/>
        </w:rPr>
        <w:t>veiklose dalyvavo 8170 bedarbių</w:t>
      </w:r>
      <w:r w:rsidR="001974E3" w:rsidRPr="001974E3">
        <w:rPr>
          <w:rFonts w:ascii="Times New Roman" w:eastAsia="Times New Roman" w:hAnsi="Times New Roman" w:cs="Times New Roman"/>
          <w:color w:val="222222"/>
          <w:sz w:val="24"/>
          <w:szCs w:val="24"/>
          <w:lang w:eastAsia="lt-LT"/>
        </w:rPr>
        <w:t>, iš kurių 1278 – ilgalaikiai bedarbiai, 2426 vyresni nei 54 metų amžiaus asmenys.</w:t>
      </w:r>
    </w:p>
    <w:p w:rsidR="00C80446" w:rsidRDefault="00C80446" w:rsidP="00BD3360">
      <w:pPr>
        <w:pStyle w:val="Sraopastraipa"/>
        <w:tabs>
          <w:tab w:val="left" w:pos="284"/>
        </w:tabs>
        <w:spacing w:after="0" w:line="240" w:lineRule="auto"/>
        <w:ind w:left="0" w:firstLine="567"/>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2014</w:t>
      </w:r>
      <w:r w:rsidR="000C3E5A">
        <w:rPr>
          <w:rFonts w:ascii="Times New Roman" w:eastAsia="Times New Roman" w:hAnsi="Times New Roman" w:cs="Times New Roman"/>
          <w:color w:val="222222"/>
          <w:sz w:val="24"/>
          <w:szCs w:val="24"/>
          <w:lang w:eastAsia="lt-LT"/>
        </w:rPr>
        <w:t>–</w:t>
      </w:r>
      <w:r>
        <w:rPr>
          <w:rFonts w:ascii="Times New Roman" w:eastAsia="Times New Roman" w:hAnsi="Times New Roman" w:cs="Times New Roman"/>
          <w:color w:val="222222"/>
          <w:sz w:val="24"/>
          <w:szCs w:val="24"/>
          <w:lang w:eastAsia="lt-LT"/>
        </w:rPr>
        <w:t>2020</w:t>
      </w:r>
      <w:r w:rsidR="00AC648E">
        <w:rPr>
          <w:rFonts w:ascii="Times New Roman" w:eastAsia="Times New Roman" w:hAnsi="Times New Roman" w:cs="Times New Roman"/>
          <w:color w:val="222222"/>
          <w:sz w:val="24"/>
          <w:szCs w:val="24"/>
          <w:lang w:eastAsia="lt-LT"/>
        </w:rPr>
        <w:t xml:space="preserve"> m. laikotarpyje</w:t>
      </w:r>
      <w:r>
        <w:rPr>
          <w:rFonts w:ascii="Times New Roman" w:eastAsia="Times New Roman" w:hAnsi="Times New Roman" w:cs="Times New Roman"/>
          <w:color w:val="222222"/>
          <w:sz w:val="24"/>
          <w:szCs w:val="24"/>
          <w:lang w:eastAsia="lt-LT"/>
        </w:rPr>
        <w:t xml:space="preserve"> siekiama</w:t>
      </w:r>
      <w:r w:rsidRPr="00C80446">
        <w:rPr>
          <w:rFonts w:ascii="Times New Roman" w:eastAsia="Times New Roman" w:hAnsi="Times New Roman" w:cs="Times New Roman"/>
          <w:color w:val="222222"/>
          <w:sz w:val="24"/>
          <w:szCs w:val="24"/>
          <w:lang w:eastAsia="lt-LT"/>
        </w:rPr>
        <w:t xml:space="preserve"> didesnio </w:t>
      </w:r>
      <w:r w:rsidR="002E4AE3">
        <w:rPr>
          <w:rFonts w:ascii="Times New Roman" w:eastAsia="Times New Roman" w:hAnsi="Times New Roman" w:cs="Times New Roman"/>
          <w:color w:val="222222"/>
          <w:sz w:val="24"/>
          <w:szCs w:val="24"/>
          <w:lang w:eastAsia="lt-LT"/>
        </w:rPr>
        <w:t>investicijų</w:t>
      </w:r>
      <w:r>
        <w:rPr>
          <w:rFonts w:ascii="Times New Roman" w:eastAsia="Times New Roman" w:hAnsi="Times New Roman" w:cs="Times New Roman"/>
          <w:color w:val="222222"/>
          <w:sz w:val="24"/>
          <w:szCs w:val="24"/>
          <w:lang w:eastAsia="lt-LT"/>
        </w:rPr>
        <w:t xml:space="preserve"> efektyvumo – taikoma </w:t>
      </w:r>
      <w:r w:rsidR="00AC648E">
        <w:rPr>
          <w:rFonts w:ascii="Times New Roman" w:eastAsia="Times New Roman" w:hAnsi="Times New Roman" w:cs="Times New Roman"/>
          <w:color w:val="222222"/>
          <w:sz w:val="24"/>
          <w:szCs w:val="24"/>
          <w:lang w:eastAsia="lt-LT"/>
        </w:rPr>
        <w:t xml:space="preserve">investicijų </w:t>
      </w:r>
      <w:r>
        <w:rPr>
          <w:rFonts w:ascii="Times New Roman" w:eastAsia="Times New Roman" w:hAnsi="Times New Roman" w:cs="Times New Roman"/>
          <w:color w:val="222222"/>
          <w:sz w:val="24"/>
          <w:szCs w:val="24"/>
          <w:lang w:eastAsia="lt-LT"/>
        </w:rPr>
        <w:t>alternatyvų analizė, siekiama</w:t>
      </w:r>
      <w:r w:rsidR="002E4AE3">
        <w:rPr>
          <w:rFonts w:ascii="Times New Roman" w:eastAsia="Times New Roman" w:hAnsi="Times New Roman" w:cs="Times New Roman"/>
          <w:color w:val="222222"/>
          <w:sz w:val="24"/>
          <w:szCs w:val="24"/>
          <w:lang w:eastAsia="lt-LT"/>
        </w:rPr>
        <w:t xml:space="preserve"> investuoti į</w:t>
      </w:r>
      <w:r w:rsidRPr="00C80446">
        <w:rPr>
          <w:rFonts w:ascii="Times New Roman" w:eastAsia="Times New Roman" w:hAnsi="Times New Roman" w:cs="Times New Roman"/>
          <w:color w:val="222222"/>
          <w:sz w:val="24"/>
          <w:szCs w:val="24"/>
          <w:lang w:eastAsia="lt-LT"/>
        </w:rPr>
        <w:t xml:space="preserve"> infrastruktūr</w:t>
      </w:r>
      <w:r>
        <w:rPr>
          <w:rFonts w:ascii="Times New Roman" w:eastAsia="Times New Roman" w:hAnsi="Times New Roman" w:cs="Times New Roman"/>
          <w:color w:val="222222"/>
          <w:sz w:val="24"/>
          <w:szCs w:val="24"/>
          <w:lang w:eastAsia="lt-LT"/>
        </w:rPr>
        <w:t xml:space="preserve">ą tik </w:t>
      </w:r>
      <w:r w:rsidR="009373B3">
        <w:rPr>
          <w:rFonts w:ascii="Times New Roman" w:eastAsia="Times New Roman" w:hAnsi="Times New Roman" w:cs="Times New Roman"/>
          <w:color w:val="222222"/>
          <w:sz w:val="24"/>
          <w:szCs w:val="24"/>
          <w:lang w:eastAsia="lt-LT"/>
        </w:rPr>
        <w:t>į</w:t>
      </w:r>
      <w:r>
        <w:rPr>
          <w:rFonts w:ascii="Times New Roman" w:eastAsia="Times New Roman" w:hAnsi="Times New Roman" w:cs="Times New Roman"/>
          <w:color w:val="222222"/>
          <w:sz w:val="24"/>
          <w:szCs w:val="24"/>
          <w:lang w:eastAsia="lt-LT"/>
        </w:rPr>
        <w:t xml:space="preserve">vertinus jau padarytų investicijų mastą, </w:t>
      </w:r>
      <w:r w:rsidR="00AC648E">
        <w:rPr>
          <w:rFonts w:ascii="Times New Roman" w:eastAsia="Times New Roman" w:hAnsi="Times New Roman" w:cs="Times New Roman"/>
          <w:color w:val="222222"/>
          <w:sz w:val="24"/>
          <w:szCs w:val="24"/>
          <w:lang w:eastAsia="lt-LT"/>
        </w:rPr>
        <w:t>atsižvelgiant į planuojamą</w:t>
      </w:r>
      <w:r w:rsidRPr="00C80446">
        <w:rPr>
          <w:rFonts w:ascii="Times New Roman" w:eastAsia="Times New Roman" w:hAnsi="Times New Roman" w:cs="Times New Roman"/>
          <w:color w:val="222222"/>
          <w:sz w:val="24"/>
          <w:szCs w:val="24"/>
          <w:lang w:eastAsia="lt-LT"/>
        </w:rPr>
        <w:t xml:space="preserve"> infrastruktūros p</w:t>
      </w:r>
      <w:r w:rsidR="00AC648E">
        <w:rPr>
          <w:rFonts w:ascii="Times New Roman" w:eastAsia="Times New Roman" w:hAnsi="Times New Roman" w:cs="Times New Roman"/>
          <w:color w:val="222222"/>
          <w:sz w:val="24"/>
          <w:szCs w:val="24"/>
          <w:lang w:eastAsia="lt-LT"/>
        </w:rPr>
        <w:t>anaudojimą ir jos išlaikymo kaštus</w:t>
      </w:r>
      <w:r>
        <w:rPr>
          <w:rFonts w:ascii="Times New Roman" w:eastAsia="Times New Roman" w:hAnsi="Times New Roman" w:cs="Times New Roman"/>
          <w:color w:val="222222"/>
          <w:sz w:val="24"/>
          <w:szCs w:val="24"/>
          <w:lang w:eastAsia="lt-LT"/>
        </w:rPr>
        <w:t xml:space="preserve">, plečiamas </w:t>
      </w:r>
      <w:r w:rsidR="00AC648E">
        <w:rPr>
          <w:rFonts w:ascii="Times New Roman" w:eastAsia="Times New Roman" w:hAnsi="Times New Roman" w:cs="Times New Roman"/>
          <w:color w:val="222222"/>
          <w:sz w:val="24"/>
          <w:szCs w:val="24"/>
          <w:lang w:eastAsia="lt-LT"/>
        </w:rPr>
        <w:t xml:space="preserve">investicijų grąžą užtikrinančių </w:t>
      </w:r>
      <w:r>
        <w:rPr>
          <w:rFonts w:ascii="Times New Roman" w:eastAsia="Times New Roman" w:hAnsi="Times New Roman" w:cs="Times New Roman"/>
          <w:color w:val="222222"/>
          <w:sz w:val="24"/>
          <w:szCs w:val="24"/>
          <w:lang w:eastAsia="lt-LT"/>
        </w:rPr>
        <w:t>finansinių priemonių taikymas</w:t>
      </w:r>
      <w:r w:rsidRPr="00C80446">
        <w:rPr>
          <w:rFonts w:ascii="Times New Roman" w:eastAsia="Times New Roman" w:hAnsi="Times New Roman" w:cs="Times New Roman"/>
          <w:color w:val="222222"/>
          <w:sz w:val="24"/>
          <w:szCs w:val="24"/>
          <w:lang w:eastAsia="lt-LT"/>
        </w:rPr>
        <w:t>.</w:t>
      </w:r>
    </w:p>
    <w:p w:rsidR="00AB383A" w:rsidRPr="00BD3360" w:rsidRDefault="00AB383A" w:rsidP="00BD3360">
      <w:pPr>
        <w:tabs>
          <w:tab w:val="left" w:pos="284"/>
        </w:tabs>
        <w:spacing w:after="0" w:line="240" w:lineRule="auto"/>
        <w:ind w:firstLine="567"/>
        <w:contextualSpacing/>
        <w:jc w:val="both"/>
        <w:rPr>
          <w:rFonts w:ascii="Times New Roman" w:hAnsi="Times New Roman" w:cs="Times New Roman"/>
          <w:sz w:val="24"/>
          <w:szCs w:val="24"/>
        </w:rPr>
      </w:pPr>
      <w:r w:rsidRPr="00BD3360">
        <w:rPr>
          <w:rFonts w:ascii="Times New Roman" w:eastAsia="Times New Roman" w:hAnsi="Times New Roman" w:cs="Times New Roman"/>
          <w:b/>
          <w:sz w:val="24"/>
          <w:szCs w:val="24"/>
          <w:lang w:eastAsia="lt-LT"/>
        </w:rPr>
        <w:t>Pagal finansinėms priemonėms</w:t>
      </w:r>
      <w:r w:rsidRPr="00BD3360">
        <w:rPr>
          <w:rFonts w:ascii="Times New Roman" w:eastAsia="Times New Roman" w:hAnsi="Times New Roman" w:cs="Times New Roman"/>
          <w:sz w:val="24"/>
          <w:szCs w:val="24"/>
          <w:lang w:eastAsia="lt-LT"/>
        </w:rPr>
        <w:t xml:space="preserve"> </w:t>
      </w:r>
      <w:r w:rsidRPr="00BD3360">
        <w:rPr>
          <w:rFonts w:ascii="Times New Roman" w:eastAsia="Times New Roman" w:hAnsi="Times New Roman" w:cs="Times New Roman"/>
          <w:b/>
          <w:sz w:val="24"/>
          <w:szCs w:val="24"/>
          <w:lang w:eastAsia="lt-LT"/>
        </w:rPr>
        <w:t>skiriamą</w:t>
      </w:r>
      <w:r w:rsidRPr="00BD3360">
        <w:rPr>
          <w:rFonts w:ascii="Times New Roman" w:eastAsia="Times New Roman" w:hAnsi="Times New Roman" w:cs="Times New Roman"/>
          <w:sz w:val="24"/>
          <w:szCs w:val="24"/>
          <w:lang w:eastAsia="lt-LT"/>
        </w:rPr>
        <w:t xml:space="preserve"> </w:t>
      </w:r>
      <w:r w:rsidRPr="00BD3360">
        <w:rPr>
          <w:rFonts w:ascii="Times New Roman" w:eastAsia="Times New Roman" w:hAnsi="Times New Roman" w:cs="Times New Roman"/>
          <w:b/>
          <w:sz w:val="24"/>
          <w:szCs w:val="24"/>
          <w:lang w:eastAsia="lt-LT"/>
        </w:rPr>
        <w:t>lėšų dalį</w:t>
      </w:r>
      <w:r w:rsidRPr="00BD3360">
        <w:rPr>
          <w:rFonts w:ascii="Times New Roman" w:eastAsia="Times New Roman" w:hAnsi="Times New Roman" w:cs="Times New Roman"/>
          <w:sz w:val="24"/>
          <w:szCs w:val="24"/>
          <w:lang w:eastAsia="lt-LT"/>
        </w:rPr>
        <w:t xml:space="preserve"> </w:t>
      </w:r>
      <w:r w:rsidRPr="00BD3360">
        <w:rPr>
          <w:rFonts w:ascii="Times New Roman" w:eastAsia="Times New Roman" w:hAnsi="Times New Roman" w:cs="Times New Roman"/>
          <w:b/>
          <w:sz w:val="24"/>
          <w:szCs w:val="24"/>
          <w:lang w:eastAsia="lt-LT"/>
        </w:rPr>
        <w:t>Lietuva patenka tarp pirmaujančiųjų</w:t>
      </w:r>
      <w:r w:rsidR="00786B3A" w:rsidRPr="00BD3360">
        <w:rPr>
          <w:rFonts w:ascii="Times New Roman" w:eastAsia="Times New Roman" w:hAnsi="Times New Roman" w:cs="Times New Roman"/>
          <w:sz w:val="24"/>
          <w:szCs w:val="24"/>
          <w:lang w:eastAsia="lt-LT"/>
        </w:rPr>
        <w:t xml:space="preserve"> ES šalių narių </w:t>
      </w:r>
      <w:r w:rsidR="006E6C66" w:rsidRPr="00BD3360">
        <w:rPr>
          <w:rFonts w:ascii="Times New Roman" w:eastAsia="Times New Roman" w:hAnsi="Times New Roman" w:cs="Times New Roman"/>
          <w:sz w:val="24"/>
          <w:szCs w:val="24"/>
          <w:lang w:eastAsia="lt-LT"/>
        </w:rPr>
        <w:t>ir nurodoma</w:t>
      </w:r>
      <w:r w:rsidRPr="00BD3360">
        <w:rPr>
          <w:rFonts w:ascii="Times New Roman" w:eastAsia="Times New Roman" w:hAnsi="Times New Roman" w:cs="Times New Roman"/>
          <w:sz w:val="24"/>
          <w:szCs w:val="24"/>
          <w:lang w:eastAsia="lt-LT"/>
        </w:rPr>
        <w:t xml:space="preserve"> kaip sektinas pavyzdys kitoms šalims narėms. </w:t>
      </w:r>
      <w:r w:rsidRPr="00BD3360">
        <w:rPr>
          <w:rFonts w:ascii="Times New Roman" w:hAnsi="Times New Roman" w:cs="Times New Roman"/>
          <w:b/>
          <w:sz w:val="24"/>
          <w:szCs w:val="24"/>
        </w:rPr>
        <w:t xml:space="preserve">Finansinėms </w:t>
      </w:r>
      <w:r w:rsidRPr="00BD3360">
        <w:rPr>
          <w:rFonts w:ascii="Times New Roman" w:hAnsi="Times New Roman" w:cs="Times New Roman"/>
          <w:b/>
          <w:sz w:val="24"/>
          <w:szCs w:val="24"/>
        </w:rPr>
        <w:lastRenderedPageBreak/>
        <w:t>priemonėms 2014</w:t>
      </w:r>
      <w:r w:rsidR="005411A0">
        <w:rPr>
          <w:rFonts w:ascii="Times New Roman" w:hAnsi="Times New Roman" w:cs="Times New Roman"/>
          <w:b/>
          <w:sz w:val="24"/>
          <w:szCs w:val="24"/>
        </w:rPr>
        <w:t>–</w:t>
      </w:r>
      <w:r w:rsidRPr="00BD3360">
        <w:rPr>
          <w:rFonts w:ascii="Times New Roman" w:hAnsi="Times New Roman" w:cs="Times New Roman"/>
          <w:b/>
          <w:sz w:val="24"/>
          <w:szCs w:val="24"/>
        </w:rPr>
        <w:t xml:space="preserve">2020 m. skiriama </w:t>
      </w:r>
      <w:r w:rsidR="00146117" w:rsidRPr="00BD3360">
        <w:rPr>
          <w:rFonts w:ascii="Times New Roman" w:hAnsi="Times New Roman" w:cs="Times New Roman"/>
          <w:b/>
          <w:sz w:val="24"/>
          <w:szCs w:val="24"/>
        </w:rPr>
        <w:t xml:space="preserve">apie </w:t>
      </w:r>
      <w:r w:rsidR="00564A14" w:rsidRPr="00BD3360">
        <w:rPr>
          <w:rFonts w:ascii="Times New Roman" w:hAnsi="Times New Roman" w:cs="Times New Roman"/>
          <w:b/>
          <w:sz w:val="24"/>
          <w:szCs w:val="24"/>
        </w:rPr>
        <w:t xml:space="preserve">600 mln. eurų </w:t>
      </w:r>
      <w:r w:rsidRPr="00BD3360">
        <w:rPr>
          <w:rFonts w:ascii="Times New Roman" w:hAnsi="Times New Roman" w:cs="Times New Roman"/>
          <w:b/>
          <w:sz w:val="24"/>
          <w:szCs w:val="24"/>
        </w:rPr>
        <w:t xml:space="preserve">ES fondų lėšų. </w:t>
      </w:r>
      <w:r w:rsidRPr="00BD3360">
        <w:rPr>
          <w:rFonts w:ascii="Times New Roman" w:hAnsi="Times New Roman" w:cs="Times New Roman"/>
          <w:sz w:val="24"/>
          <w:szCs w:val="24"/>
        </w:rPr>
        <w:t>Iš jų bus finansuojamas verslas, energetinio efektyvumo didinimas (įskaitant viešojoje infrastruktūroje).</w:t>
      </w:r>
    </w:p>
    <w:p w:rsidR="004970FB" w:rsidRPr="00BD3360" w:rsidRDefault="004970FB" w:rsidP="00BD3360">
      <w:pPr>
        <w:spacing w:after="0" w:line="240" w:lineRule="auto"/>
        <w:rPr>
          <w:rFonts w:ascii="Times New Roman" w:eastAsia="Times New Roman" w:hAnsi="Times New Roman" w:cs="Times New Roman"/>
          <w:b/>
          <w:sz w:val="24"/>
          <w:szCs w:val="24"/>
          <w:lang w:eastAsia="lt-LT"/>
        </w:rPr>
      </w:pPr>
    </w:p>
    <w:p w:rsidR="004970FB" w:rsidRPr="00BD3360" w:rsidRDefault="004970FB" w:rsidP="00BD3360">
      <w:pPr>
        <w:spacing w:after="0" w:line="240" w:lineRule="auto"/>
        <w:jc w:val="center"/>
        <w:rPr>
          <w:rFonts w:ascii="Times New Roman" w:eastAsia="Times New Roman" w:hAnsi="Times New Roman" w:cs="Times New Roman"/>
          <w:b/>
          <w:sz w:val="24"/>
          <w:szCs w:val="24"/>
          <w:lang w:eastAsia="lt-LT"/>
        </w:rPr>
      </w:pPr>
      <w:r w:rsidRPr="00BD3360">
        <w:rPr>
          <w:rFonts w:ascii="Times New Roman" w:eastAsia="Times New Roman" w:hAnsi="Times New Roman" w:cs="Times New Roman"/>
          <w:b/>
          <w:noProof/>
          <w:sz w:val="24"/>
          <w:szCs w:val="24"/>
          <w:lang w:eastAsia="lt-LT"/>
        </w:rPr>
        <w:drawing>
          <wp:inline distT="0" distB="0" distL="0" distR="0" wp14:anchorId="3B439D32" wp14:editId="2BF269C5">
            <wp:extent cx="4225641" cy="2781300"/>
            <wp:effectExtent l="19050" t="19050" r="22860" b="1905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641" cy="2781300"/>
                    </a:xfrm>
                    <a:prstGeom prst="rect">
                      <a:avLst/>
                    </a:prstGeom>
                    <a:noFill/>
                    <a:ln>
                      <a:solidFill>
                        <a:schemeClr val="tx1"/>
                      </a:solidFill>
                    </a:ln>
                  </pic:spPr>
                </pic:pic>
              </a:graphicData>
            </a:graphic>
          </wp:inline>
        </w:drawing>
      </w:r>
    </w:p>
    <w:p w:rsidR="007338E8" w:rsidRPr="00216903" w:rsidRDefault="006E6C66" w:rsidP="00BD3360">
      <w:pPr>
        <w:spacing w:after="0" w:line="240" w:lineRule="auto"/>
        <w:jc w:val="center"/>
        <w:rPr>
          <w:rFonts w:ascii="Times New Roman" w:eastAsia="Times New Roman" w:hAnsi="Times New Roman" w:cs="Times New Roman"/>
          <w:sz w:val="20"/>
          <w:szCs w:val="20"/>
          <w:lang w:eastAsia="lt-LT"/>
        </w:rPr>
      </w:pPr>
      <w:r w:rsidRPr="00216903">
        <w:rPr>
          <w:rFonts w:ascii="Times New Roman" w:eastAsia="Times New Roman" w:hAnsi="Times New Roman" w:cs="Times New Roman"/>
          <w:sz w:val="20"/>
          <w:szCs w:val="20"/>
          <w:lang w:eastAsia="lt-LT"/>
        </w:rPr>
        <w:t xml:space="preserve">2 pav. </w:t>
      </w:r>
      <w:r w:rsidR="0062394E" w:rsidRPr="00216903">
        <w:rPr>
          <w:rFonts w:ascii="Times New Roman" w:eastAsia="Times New Roman" w:hAnsi="Times New Roman" w:cs="Times New Roman"/>
          <w:sz w:val="20"/>
          <w:szCs w:val="20"/>
          <w:lang w:eastAsia="lt-LT"/>
        </w:rPr>
        <w:t>ES lėšomis įsteigti fondai Lietuvoje</w:t>
      </w:r>
    </w:p>
    <w:p w:rsidR="004970FB" w:rsidRPr="00BD3360" w:rsidRDefault="004970FB" w:rsidP="00BD3360">
      <w:pPr>
        <w:tabs>
          <w:tab w:val="num" w:pos="720"/>
        </w:tabs>
        <w:spacing w:after="0" w:line="240" w:lineRule="auto"/>
        <w:jc w:val="both"/>
        <w:rPr>
          <w:rFonts w:ascii="Times New Roman" w:eastAsia="Times New Roman" w:hAnsi="Times New Roman" w:cs="Times New Roman"/>
          <w:b/>
          <w:sz w:val="24"/>
          <w:szCs w:val="24"/>
          <w:lang w:eastAsia="lt-LT"/>
        </w:rPr>
      </w:pPr>
    </w:p>
    <w:p w:rsidR="002843D8" w:rsidRPr="00332C04" w:rsidRDefault="002843D8" w:rsidP="00BD3360">
      <w:pPr>
        <w:spacing w:after="0" w:line="240" w:lineRule="auto"/>
        <w:ind w:firstLine="567"/>
        <w:jc w:val="both"/>
        <w:rPr>
          <w:rFonts w:ascii="Times New Roman" w:hAnsi="Times New Roman" w:cs="Times New Roman"/>
          <w:bCs/>
          <w:sz w:val="24"/>
          <w:szCs w:val="24"/>
        </w:rPr>
      </w:pPr>
      <w:r w:rsidRPr="00332C04">
        <w:rPr>
          <w:rFonts w:ascii="Times New Roman" w:hAnsi="Times New Roman" w:cs="Times New Roman"/>
          <w:bCs/>
          <w:sz w:val="24"/>
          <w:szCs w:val="24"/>
        </w:rPr>
        <w:t xml:space="preserve">Šiuo metu įmonės ir fiziniai asmenys gali kreiptis 2014–2020  m. programavimo laikotarpio ES fondų lėšomis </w:t>
      </w:r>
      <w:r w:rsidRPr="00332C04">
        <w:rPr>
          <w:rFonts w:ascii="Times New Roman" w:hAnsi="Times New Roman" w:cs="Times New Roman"/>
          <w:b/>
          <w:bCs/>
          <w:sz w:val="24"/>
          <w:szCs w:val="24"/>
        </w:rPr>
        <w:t xml:space="preserve">įkurtus </w:t>
      </w:r>
      <w:r w:rsidRPr="00332C04">
        <w:rPr>
          <w:rFonts w:ascii="Times New Roman" w:hAnsi="Times New Roman" w:cs="Times New Roman"/>
          <w:bCs/>
          <w:sz w:val="24"/>
          <w:szCs w:val="24"/>
        </w:rPr>
        <w:t>fondus:</w:t>
      </w:r>
      <w:r w:rsidR="00332C04">
        <w:rPr>
          <w:rFonts w:ascii="Times New Roman" w:hAnsi="Times New Roman" w:cs="Times New Roman"/>
          <w:bCs/>
          <w:sz w:val="24"/>
          <w:szCs w:val="24"/>
        </w:rPr>
        <w:t xml:space="preserve"> </w:t>
      </w:r>
    </w:p>
    <w:p w:rsidR="002843D8" w:rsidRPr="00BD3360" w:rsidRDefault="002843D8" w:rsidP="00BD3360">
      <w:pPr>
        <w:spacing w:after="0" w:line="240" w:lineRule="auto"/>
        <w:jc w:val="both"/>
        <w:rPr>
          <w:rFonts w:ascii="Times New Roman" w:hAnsi="Times New Roman" w:cs="Times New Roman"/>
          <w:b/>
          <w:bCs/>
          <w:sz w:val="24"/>
          <w:szCs w:val="24"/>
        </w:rPr>
      </w:pPr>
      <w:r w:rsidRPr="00BD3360">
        <w:rPr>
          <w:rFonts w:ascii="Times New Roman" w:hAnsi="Times New Roman" w:cs="Times New Roman"/>
          <w:sz w:val="24"/>
          <w:szCs w:val="24"/>
        </w:rPr>
        <w:t xml:space="preserve">        </w:t>
      </w:r>
      <w:r w:rsidR="005B30EF">
        <w:rPr>
          <w:rFonts w:ascii="Times New Roman" w:hAnsi="Times New Roman" w:cs="Times New Roman"/>
          <w:sz w:val="24"/>
          <w:szCs w:val="24"/>
        </w:rPr>
        <w:t>-</w:t>
      </w:r>
      <w:r w:rsidR="009373B3">
        <w:rPr>
          <w:rFonts w:ascii="Times New Roman" w:hAnsi="Times New Roman" w:cs="Times New Roman"/>
          <w:sz w:val="24"/>
          <w:szCs w:val="24"/>
        </w:rPr>
        <w:t xml:space="preserve"> </w:t>
      </w:r>
      <w:r w:rsidRPr="00BD3360">
        <w:rPr>
          <w:rFonts w:ascii="Times New Roman" w:hAnsi="Times New Roman" w:cs="Times New Roman"/>
          <w:sz w:val="24"/>
          <w:szCs w:val="24"/>
        </w:rPr>
        <w:t>„</w:t>
      </w:r>
      <w:proofErr w:type="spellStart"/>
      <w:r w:rsidRPr="00BD3360">
        <w:rPr>
          <w:rFonts w:ascii="Times New Roman" w:hAnsi="Times New Roman" w:cs="Times New Roman"/>
          <w:b/>
          <w:bCs/>
          <w:sz w:val="24"/>
          <w:szCs w:val="24"/>
        </w:rPr>
        <w:t>Verslumo</w:t>
      </w:r>
      <w:proofErr w:type="spellEnd"/>
      <w:r w:rsidRPr="00BD3360">
        <w:rPr>
          <w:rFonts w:ascii="Times New Roman" w:hAnsi="Times New Roman" w:cs="Times New Roman"/>
          <w:b/>
          <w:bCs/>
          <w:sz w:val="24"/>
          <w:szCs w:val="24"/>
        </w:rPr>
        <w:t xml:space="preserve"> skatinimo fondas 2014–2020“ </w:t>
      </w:r>
      <w:r w:rsidRPr="00BD3360">
        <w:rPr>
          <w:rFonts w:ascii="Times New Roman" w:hAnsi="Times New Roman" w:cs="Times New Roman"/>
          <w:bCs/>
          <w:sz w:val="24"/>
          <w:szCs w:val="24"/>
        </w:rPr>
        <w:t>(</w:t>
      </w:r>
      <w:r w:rsidRPr="00BD3360">
        <w:rPr>
          <w:rFonts w:ascii="Times New Roman" w:hAnsi="Times New Roman" w:cs="Times New Roman"/>
          <w:sz w:val="24"/>
          <w:szCs w:val="24"/>
        </w:rPr>
        <w:t>26 mln. eurų</w:t>
      </w:r>
      <w:r w:rsidRPr="00BD3360">
        <w:rPr>
          <w:rFonts w:ascii="Times New Roman" w:hAnsi="Times New Roman" w:cs="Times New Roman"/>
          <w:bCs/>
          <w:sz w:val="24"/>
          <w:szCs w:val="24"/>
        </w:rPr>
        <w:t xml:space="preserve">), skatinantis </w:t>
      </w:r>
      <w:r w:rsidRPr="00BD3360">
        <w:rPr>
          <w:rFonts w:ascii="Times New Roman" w:hAnsi="Times New Roman" w:cs="Times New Roman"/>
          <w:sz w:val="24"/>
          <w:szCs w:val="24"/>
        </w:rPr>
        <w:t xml:space="preserve">gyventojų, ypač susiduriančių su sunkumais darbo rinkoje, </w:t>
      </w:r>
      <w:proofErr w:type="spellStart"/>
      <w:r w:rsidRPr="00BD3360">
        <w:rPr>
          <w:rFonts w:ascii="Times New Roman" w:hAnsi="Times New Roman" w:cs="Times New Roman"/>
          <w:sz w:val="24"/>
          <w:szCs w:val="24"/>
        </w:rPr>
        <w:t>verslumą</w:t>
      </w:r>
      <w:proofErr w:type="spellEnd"/>
      <w:r w:rsidRPr="00BD3360">
        <w:rPr>
          <w:rFonts w:ascii="Times New Roman" w:hAnsi="Times New Roman" w:cs="Times New Roman"/>
          <w:sz w:val="24"/>
          <w:szCs w:val="24"/>
        </w:rPr>
        <w:t>.</w:t>
      </w:r>
    </w:p>
    <w:p w:rsidR="002843D8" w:rsidRPr="00BD3360" w:rsidRDefault="002843D8" w:rsidP="00BD3360">
      <w:pPr>
        <w:spacing w:after="0" w:line="240" w:lineRule="auto"/>
        <w:jc w:val="both"/>
        <w:rPr>
          <w:rFonts w:ascii="Times New Roman" w:hAnsi="Times New Roman" w:cs="Times New Roman"/>
          <w:sz w:val="24"/>
          <w:szCs w:val="24"/>
        </w:rPr>
      </w:pPr>
      <w:r w:rsidRPr="00BD3360">
        <w:rPr>
          <w:rFonts w:ascii="Times New Roman" w:hAnsi="Times New Roman" w:cs="Times New Roman"/>
          <w:bCs/>
          <w:sz w:val="24"/>
          <w:szCs w:val="24"/>
        </w:rPr>
        <w:t xml:space="preserve">         </w:t>
      </w:r>
      <w:r w:rsidR="005B30EF">
        <w:rPr>
          <w:rFonts w:ascii="Times New Roman" w:hAnsi="Times New Roman" w:cs="Times New Roman"/>
          <w:bCs/>
          <w:sz w:val="24"/>
          <w:szCs w:val="24"/>
        </w:rPr>
        <w:t>-</w:t>
      </w:r>
      <w:r w:rsidR="009373B3">
        <w:rPr>
          <w:rFonts w:ascii="Times New Roman" w:hAnsi="Times New Roman" w:cs="Times New Roman"/>
          <w:bCs/>
          <w:sz w:val="24"/>
          <w:szCs w:val="24"/>
        </w:rPr>
        <w:t xml:space="preserve"> </w:t>
      </w:r>
      <w:r w:rsidRPr="00BD3360">
        <w:rPr>
          <w:rFonts w:ascii="Times New Roman" w:hAnsi="Times New Roman" w:cs="Times New Roman"/>
          <w:b/>
          <w:bCs/>
          <w:sz w:val="24"/>
          <w:szCs w:val="24"/>
        </w:rPr>
        <w:t>„</w:t>
      </w:r>
      <w:proofErr w:type="spellStart"/>
      <w:r w:rsidRPr="00BD3360">
        <w:rPr>
          <w:rFonts w:ascii="Times New Roman" w:hAnsi="Times New Roman" w:cs="Times New Roman"/>
          <w:b/>
          <w:bCs/>
          <w:sz w:val="24"/>
          <w:szCs w:val="24"/>
        </w:rPr>
        <w:t>Jessica</w:t>
      </w:r>
      <w:proofErr w:type="spellEnd"/>
      <w:r w:rsidRPr="00BD3360">
        <w:rPr>
          <w:rFonts w:ascii="Times New Roman" w:hAnsi="Times New Roman" w:cs="Times New Roman"/>
          <w:b/>
          <w:bCs/>
          <w:sz w:val="24"/>
          <w:szCs w:val="24"/>
        </w:rPr>
        <w:t xml:space="preserve"> II fondų fondas“</w:t>
      </w:r>
      <w:r w:rsidRPr="00BD3360">
        <w:rPr>
          <w:rFonts w:ascii="Times New Roman" w:hAnsi="Times New Roman" w:cs="Times New Roman"/>
          <w:bCs/>
          <w:sz w:val="24"/>
          <w:szCs w:val="24"/>
        </w:rPr>
        <w:t xml:space="preserve"> (150 mln. eurų) ir </w:t>
      </w:r>
      <w:r w:rsidRPr="00BD3360">
        <w:rPr>
          <w:rFonts w:ascii="Times New Roman" w:hAnsi="Times New Roman" w:cs="Times New Roman"/>
          <w:b/>
          <w:sz w:val="24"/>
          <w:szCs w:val="24"/>
        </w:rPr>
        <w:t>„Daugiabučių namų modernizavimo fondas“</w:t>
      </w:r>
      <w:r w:rsidRPr="00BD3360">
        <w:rPr>
          <w:rFonts w:ascii="Times New Roman" w:hAnsi="Times New Roman" w:cs="Times New Roman"/>
          <w:sz w:val="24"/>
          <w:szCs w:val="24"/>
        </w:rPr>
        <w:t xml:space="preserve"> (74 mln. eurų) tęsiamos su energetinio efektyvumo didinimu būsto sektoriuje susijusios veiklos. </w:t>
      </w:r>
    </w:p>
    <w:p w:rsidR="002843D8" w:rsidRPr="00BD3360" w:rsidRDefault="002843D8" w:rsidP="00BD3360">
      <w:pPr>
        <w:spacing w:after="0" w:line="240" w:lineRule="auto"/>
        <w:jc w:val="both"/>
        <w:rPr>
          <w:rFonts w:ascii="Times New Roman" w:hAnsi="Times New Roman" w:cs="Times New Roman"/>
          <w:bCs/>
          <w:sz w:val="24"/>
          <w:szCs w:val="24"/>
        </w:rPr>
      </w:pPr>
      <w:r w:rsidRPr="00BD3360">
        <w:rPr>
          <w:rFonts w:ascii="Times New Roman" w:hAnsi="Times New Roman" w:cs="Times New Roman"/>
          <w:sz w:val="24"/>
          <w:szCs w:val="24"/>
        </w:rPr>
        <w:t xml:space="preserve">         </w:t>
      </w:r>
      <w:r w:rsidR="005B30EF">
        <w:rPr>
          <w:rFonts w:ascii="Times New Roman" w:hAnsi="Times New Roman" w:cs="Times New Roman"/>
          <w:sz w:val="24"/>
          <w:szCs w:val="24"/>
        </w:rPr>
        <w:t>-</w:t>
      </w:r>
      <w:r w:rsidR="009373B3">
        <w:rPr>
          <w:rFonts w:ascii="Times New Roman" w:hAnsi="Times New Roman" w:cs="Times New Roman"/>
          <w:sz w:val="24"/>
          <w:szCs w:val="24"/>
        </w:rPr>
        <w:t xml:space="preserve"> </w:t>
      </w:r>
      <w:r w:rsidRPr="00BD3360">
        <w:rPr>
          <w:rFonts w:ascii="Times New Roman" w:hAnsi="Times New Roman" w:cs="Times New Roman"/>
          <w:b/>
          <w:sz w:val="24"/>
          <w:szCs w:val="24"/>
        </w:rPr>
        <w:t>„Energijos vartojimo efektyvumo fondas“</w:t>
      </w:r>
      <w:r w:rsidRPr="00BD3360">
        <w:rPr>
          <w:rFonts w:ascii="Times New Roman" w:hAnsi="Times New Roman" w:cs="Times New Roman"/>
          <w:sz w:val="24"/>
          <w:szCs w:val="24"/>
        </w:rPr>
        <w:t xml:space="preserve"> (79,6 mln. eurų) – skirtas valstybei nuosavybės teise priklausančių pastatų atnaujinimo bei gatvių apšvietimo modernizavimo projektams.</w:t>
      </w:r>
      <w:r w:rsidRPr="00BD3360">
        <w:rPr>
          <w:rFonts w:ascii="Times New Roman" w:hAnsi="Times New Roman" w:cs="Times New Roman"/>
          <w:bCs/>
          <w:sz w:val="24"/>
          <w:szCs w:val="24"/>
        </w:rPr>
        <w:t xml:space="preserve"> </w:t>
      </w:r>
    </w:p>
    <w:p w:rsidR="006A7665" w:rsidRPr="00BD3360" w:rsidRDefault="005B30EF" w:rsidP="00BD336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w:t>
      </w:r>
      <w:r w:rsidR="00217C5A" w:rsidRPr="00BD3360">
        <w:rPr>
          <w:rFonts w:ascii="Times New Roman" w:hAnsi="Times New Roman" w:cs="Times New Roman"/>
          <w:b/>
          <w:bCs/>
          <w:sz w:val="24"/>
          <w:szCs w:val="24"/>
        </w:rPr>
        <w:t>,,Verslo finansavimo fondas</w:t>
      </w:r>
      <w:r w:rsidR="00217C5A" w:rsidRPr="00BD3360">
        <w:rPr>
          <w:rFonts w:ascii="Times New Roman" w:hAnsi="Times New Roman" w:cs="Times New Roman"/>
          <w:b/>
          <w:sz w:val="24"/>
          <w:szCs w:val="24"/>
        </w:rPr>
        <w:t xml:space="preserve">“ </w:t>
      </w:r>
      <w:r w:rsidR="00217C5A" w:rsidRPr="00BD3360">
        <w:rPr>
          <w:rFonts w:ascii="Times New Roman" w:hAnsi="Times New Roman" w:cs="Times New Roman"/>
          <w:sz w:val="24"/>
          <w:szCs w:val="24"/>
        </w:rPr>
        <w:t>(179,6 mln. eurų)</w:t>
      </w:r>
      <w:r w:rsidR="00217C5A" w:rsidRPr="00BD3360">
        <w:rPr>
          <w:rFonts w:ascii="Times New Roman" w:hAnsi="Times New Roman" w:cs="Times New Roman"/>
          <w:bCs/>
          <w:sz w:val="24"/>
          <w:szCs w:val="24"/>
        </w:rPr>
        <w:t xml:space="preserve">, kuris </w:t>
      </w:r>
      <w:r w:rsidR="00217C5A" w:rsidRPr="00BD3360">
        <w:rPr>
          <w:rFonts w:ascii="Times New Roman" w:hAnsi="Times New Roman" w:cs="Times New Roman"/>
          <w:sz w:val="24"/>
          <w:szCs w:val="24"/>
        </w:rPr>
        <w:t>skirtas teikti paskolas, garantijas SVV ir investuoti rizikos kapitalą</w:t>
      </w:r>
      <w:r w:rsidR="002843D8" w:rsidRPr="00BD3360">
        <w:rPr>
          <w:rFonts w:ascii="Times New Roman" w:hAnsi="Times New Roman" w:cs="Times New Roman"/>
          <w:sz w:val="24"/>
          <w:szCs w:val="24"/>
        </w:rPr>
        <w:t>.</w:t>
      </w:r>
    </w:p>
    <w:p w:rsidR="002843D8" w:rsidRPr="00BD3360" w:rsidRDefault="002843D8" w:rsidP="00BD3360">
      <w:pPr>
        <w:tabs>
          <w:tab w:val="num" w:pos="720"/>
        </w:tabs>
        <w:spacing w:after="0" w:line="240" w:lineRule="auto"/>
        <w:jc w:val="both"/>
        <w:rPr>
          <w:rFonts w:ascii="Times New Roman" w:hAnsi="Times New Roman" w:cs="Times New Roman"/>
          <w:bCs/>
          <w:sz w:val="24"/>
          <w:szCs w:val="24"/>
        </w:rPr>
      </w:pPr>
      <w:r w:rsidRPr="00BD3360">
        <w:rPr>
          <w:rFonts w:ascii="Times New Roman" w:eastAsia="Times New Roman" w:hAnsi="Times New Roman" w:cs="Times New Roman"/>
          <w:b/>
          <w:sz w:val="24"/>
          <w:szCs w:val="24"/>
          <w:lang w:eastAsia="lt-LT"/>
        </w:rPr>
        <w:tab/>
      </w:r>
      <w:r w:rsidRPr="00BD3360">
        <w:rPr>
          <w:rFonts w:ascii="Times New Roman" w:hAnsi="Times New Roman" w:cs="Times New Roman"/>
          <w:bCs/>
          <w:sz w:val="24"/>
          <w:szCs w:val="24"/>
        </w:rPr>
        <w:t xml:space="preserve">Ateityje finansinių priemonių pagrindu taip pat numatomi steigti fondai, kurių lėšos bus panaudotos savivaldybių viešiesiems pastatams atnaujinti, taip pat projektų </w:t>
      </w:r>
      <w:proofErr w:type="spellStart"/>
      <w:r w:rsidRPr="00BD3360">
        <w:rPr>
          <w:rFonts w:ascii="Times New Roman" w:hAnsi="Times New Roman" w:cs="Times New Roman"/>
          <w:bCs/>
          <w:sz w:val="24"/>
          <w:szCs w:val="24"/>
        </w:rPr>
        <w:t>vandentvarkos</w:t>
      </w:r>
      <w:proofErr w:type="spellEnd"/>
      <w:r w:rsidRPr="00BD3360">
        <w:rPr>
          <w:rFonts w:ascii="Times New Roman" w:hAnsi="Times New Roman" w:cs="Times New Roman"/>
          <w:bCs/>
          <w:sz w:val="24"/>
          <w:szCs w:val="24"/>
        </w:rPr>
        <w:t xml:space="preserve">, kultūros paveldo ir vietinių kelių vystymo srityse finansavimui užtikrinti. </w:t>
      </w:r>
    </w:p>
    <w:p w:rsidR="00A24758" w:rsidRDefault="005611B5" w:rsidP="00A24758">
      <w:pPr>
        <w:tabs>
          <w:tab w:val="num" w:pos="720"/>
        </w:tabs>
        <w:spacing w:after="0" w:line="240" w:lineRule="auto"/>
        <w:jc w:val="both"/>
        <w:rPr>
          <w:rFonts w:ascii="Times New Roman" w:eastAsia="Times New Roman" w:hAnsi="Times New Roman" w:cs="Times New Roman"/>
          <w:color w:val="000000"/>
          <w:sz w:val="24"/>
          <w:szCs w:val="24"/>
          <w:lang w:eastAsia="lt-LT"/>
        </w:rPr>
      </w:pPr>
      <w:r w:rsidRPr="00BD3360">
        <w:rPr>
          <w:rFonts w:ascii="Times New Roman" w:eastAsia="Times New Roman" w:hAnsi="Times New Roman" w:cs="Times New Roman"/>
          <w:b/>
          <w:color w:val="000000"/>
          <w:sz w:val="24"/>
          <w:szCs w:val="24"/>
          <w:lang w:eastAsia="lt-LT"/>
        </w:rPr>
        <w:tab/>
        <w:t xml:space="preserve">Pasirašyta sutartis su Europos Investicijų banku </w:t>
      </w:r>
      <w:r w:rsidRPr="00BD3360">
        <w:rPr>
          <w:rFonts w:ascii="Times New Roman" w:eastAsia="Times New Roman" w:hAnsi="Times New Roman" w:cs="Times New Roman"/>
          <w:color w:val="000000"/>
          <w:sz w:val="24"/>
          <w:szCs w:val="24"/>
          <w:lang w:eastAsia="lt-LT"/>
        </w:rPr>
        <w:t>(toliau – EIB)</w:t>
      </w:r>
      <w:r w:rsidRPr="00BD3360">
        <w:rPr>
          <w:rFonts w:ascii="Times New Roman" w:eastAsia="Times New Roman" w:hAnsi="Times New Roman" w:cs="Times New Roman"/>
          <w:b/>
          <w:color w:val="000000"/>
          <w:sz w:val="24"/>
          <w:szCs w:val="24"/>
          <w:lang w:eastAsia="lt-LT"/>
        </w:rPr>
        <w:t xml:space="preserve"> dėl 300 mln. eurų, kurie gali būti naudojami 2014–2020 m. ES investicijų lėšomis bendrai finansuojamų projektų Lietuvoje bendrajam finansavimui užtikrinti. </w:t>
      </w:r>
      <w:r w:rsidRPr="00BD3360">
        <w:rPr>
          <w:rFonts w:ascii="Times New Roman" w:eastAsia="Times New Roman" w:hAnsi="Times New Roman" w:cs="Times New Roman"/>
          <w:color w:val="000000"/>
          <w:sz w:val="24"/>
          <w:szCs w:val="24"/>
          <w:lang w:eastAsia="lt-LT"/>
        </w:rPr>
        <w:t>Taip pat, dalis EIB paskolos gali būti perskolinama ES projektus įgyvendinančioms savivaldybėms, valstybės ir savivaldybės įmonėms, akcinėms ir uždarosioms akcinėms bendrovėms, kurių visas arba dalį akcijų valdo valstybė ar savivaldybė.</w:t>
      </w:r>
    </w:p>
    <w:p w:rsidR="00A42C5A" w:rsidRPr="00A24758" w:rsidRDefault="00A24758" w:rsidP="00A24758">
      <w:pPr>
        <w:tabs>
          <w:tab w:val="num" w:pos="720"/>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A42C5A" w:rsidRPr="00BD3360">
        <w:rPr>
          <w:rFonts w:ascii="Times New Roman" w:hAnsi="Times New Roman" w:cs="Times New Roman"/>
          <w:color w:val="000000"/>
          <w:sz w:val="24"/>
          <w:szCs w:val="24"/>
        </w:rPr>
        <w:t xml:space="preserve">Atsižvelgiant į didelį daugiabučių namų modernizavimo projektų srautą, </w:t>
      </w:r>
      <w:r w:rsidR="00211A36" w:rsidRPr="00BD3360">
        <w:rPr>
          <w:rFonts w:ascii="Times New Roman" w:hAnsi="Times New Roman" w:cs="Times New Roman"/>
          <w:color w:val="000000"/>
          <w:sz w:val="24"/>
          <w:szCs w:val="24"/>
        </w:rPr>
        <w:t xml:space="preserve">Europos rekonstrukcijos ir plėtros bankas (toliau – </w:t>
      </w:r>
      <w:r w:rsidR="00A42C5A" w:rsidRPr="00BD3360">
        <w:rPr>
          <w:rFonts w:ascii="Times New Roman" w:hAnsi="Times New Roman" w:cs="Times New Roman"/>
          <w:color w:val="000000"/>
          <w:sz w:val="24"/>
          <w:szCs w:val="24"/>
        </w:rPr>
        <w:t>ERPB</w:t>
      </w:r>
      <w:r w:rsidR="00211A36" w:rsidRPr="00BD3360">
        <w:rPr>
          <w:rFonts w:ascii="Times New Roman" w:hAnsi="Times New Roman" w:cs="Times New Roman"/>
          <w:color w:val="000000"/>
          <w:sz w:val="24"/>
          <w:szCs w:val="24"/>
        </w:rPr>
        <w:t>)</w:t>
      </w:r>
      <w:r w:rsidR="00A42C5A" w:rsidRPr="00BD3360">
        <w:rPr>
          <w:rFonts w:ascii="Times New Roman" w:hAnsi="Times New Roman" w:cs="Times New Roman"/>
          <w:color w:val="000000"/>
          <w:sz w:val="24"/>
          <w:szCs w:val="24"/>
        </w:rPr>
        <w:t xml:space="preserve"> ir </w:t>
      </w:r>
      <w:r w:rsidR="00211A36" w:rsidRPr="00BD3360">
        <w:rPr>
          <w:rFonts w:ascii="Times New Roman" w:hAnsi="Times New Roman" w:cs="Times New Roman"/>
          <w:color w:val="000000"/>
          <w:sz w:val="24"/>
          <w:szCs w:val="24"/>
        </w:rPr>
        <w:t xml:space="preserve">UAB Viešųjų investicijų plėtros agentūra (toliau – </w:t>
      </w:r>
      <w:r w:rsidR="00A42C5A" w:rsidRPr="00BD3360">
        <w:rPr>
          <w:rFonts w:ascii="Times New Roman" w:hAnsi="Times New Roman" w:cs="Times New Roman"/>
          <w:color w:val="000000"/>
          <w:sz w:val="24"/>
          <w:szCs w:val="24"/>
        </w:rPr>
        <w:t>VIPA</w:t>
      </w:r>
      <w:r w:rsidR="00211A36" w:rsidRPr="00BD3360">
        <w:rPr>
          <w:rFonts w:ascii="Times New Roman" w:hAnsi="Times New Roman" w:cs="Times New Roman"/>
          <w:color w:val="000000"/>
          <w:sz w:val="24"/>
          <w:szCs w:val="24"/>
        </w:rPr>
        <w:t>)</w:t>
      </w:r>
      <w:r w:rsidR="00A42C5A" w:rsidRPr="00BD3360">
        <w:rPr>
          <w:rFonts w:ascii="Times New Roman" w:hAnsi="Times New Roman" w:cs="Times New Roman"/>
          <w:color w:val="000000"/>
          <w:sz w:val="24"/>
          <w:szCs w:val="24"/>
        </w:rPr>
        <w:t xml:space="preserve"> derasi dėl </w:t>
      </w:r>
      <w:r w:rsidR="00A42C5A" w:rsidRPr="00BD3360">
        <w:rPr>
          <w:rFonts w:ascii="Times New Roman" w:hAnsi="Times New Roman" w:cs="Times New Roman"/>
          <w:b/>
          <w:bCs/>
          <w:color w:val="000000"/>
          <w:sz w:val="24"/>
          <w:szCs w:val="24"/>
        </w:rPr>
        <w:t xml:space="preserve">ERPB paskolos VIPA teikti finansavimą daugiabučių namų modernizavimo projektams </w:t>
      </w:r>
      <w:r w:rsidR="00A42C5A" w:rsidRPr="00BD3360">
        <w:rPr>
          <w:rFonts w:ascii="Times New Roman" w:hAnsi="Times New Roman" w:cs="Times New Roman"/>
          <w:color w:val="000000"/>
          <w:sz w:val="24"/>
          <w:szCs w:val="24"/>
        </w:rPr>
        <w:t>(50 mln. EUR).</w:t>
      </w:r>
      <w:r w:rsidR="00A42C5A" w:rsidRPr="00BD3360">
        <w:rPr>
          <w:rFonts w:ascii="Times New Roman" w:hAnsi="Times New Roman" w:cs="Times New Roman"/>
          <w:b/>
          <w:bCs/>
          <w:color w:val="000000"/>
          <w:sz w:val="24"/>
          <w:szCs w:val="24"/>
        </w:rPr>
        <w:t xml:space="preserve"> </w:t>
      </w:r>
      <w:r w:rsidR="00A42C5A" w:rsidRPr="00BD3360">
        <w:rPr>
          <w:rFonts w:ascii="Times New Roman" w:hAnsi="Times New Roman" w:cs="Times New Roman"/>
          <w:color w:val="000000"/>
          <w:sz w:val="24"/>
          <w:szCs w:val="24"/>
        </w:rPr>
        <w:t xml:space="preserve">Pasiūlymas dėl paskolos 2016 m. balandžio 8 d. buvo patvirtintas ERPB Kredito komitete. ERPB lėšos programos finansavimui VIPA galėtų pasiekti 2016 m. vasarą, atlikus detalią finansinę, ekonominę, socialinę, aplinkosauginę ir teisinę patikrą (angl. k. </w:t>
      </w:r>
      <w:proofErr w:type="spellStart"/>
      <w:r w:rsidR="00A42C5A" w:rsidRPr="00BD3360">
        <w:rPr>
          <w:rFonts w:ascii="Times New Roman" w:hAnsi="Times New Roman" w:cs="Times New Roman"/>
          <w:i/>
          <w:iCs/>
          <w:color w:val="000000"/>
          <w:sz w:val="24"/>
          <w:szCs w:val="24"/>
        </w:rPr>
        <w:t>due</w:t>
      </w:r>
      <w:proofErr w:type="spellEnd"/>
      <w:r w:rsidR="00A42C5A" w:rsidRPr="00BD3360">
        <w:rPr>
          <w:rFonts w:ascii="Times New Roman" w:hAnsi="Times New Roman" w:cs="Times New Roman"/>
          <w:i/>
          <w:iCs/>
          <w:color w:val="000000"/>
          <w:sz w:val="24"/>
          <w:szCs w:val="24"/>
        </w:rPr>
        <w:t xml:space="preserve"> </w:t>
      </w:r>
      <w:proofErr w:type="spellStart"/>
      <w:r w:rsidR="00A42C5A" w:rsidRPr="00BD3360">
        <w:rPr>
          <w:rFonts w:ascii="Times New Roman" w:hAnsi="Times New Roman" w:cs="Times New Roman"/>
          <w:i/>
          <w:iCs/>
          <w:color w:val="000000"/>
          <w:sz w:val="24"/>
          <w:szCs w:val="24"/>
        </w:rPr>
        <w:t>diligence</w:t>
      </w:r>
      <w:proofErr w:type="spellEnd"/>
      <w:r w:rsidR="00A42C5A" w:rsidRPr="00BD3360">
        <w:rPr>
          <w:rFonts w:ascii="Times New Roman" w:hAnsi="Times New Roman" w:cs="Times New Roman"/>
          <w:color w:val="000000"/>
          <w:sz w:val="24"/>
          <w:szCs w:val="24"/>
        </w:rPr>
        <w:t xml:space="preserve">). </w:t>
      </w:r>
    </w:p>
    <w:p w:rsidR="004A4748" w:rsidRPr="00BD3360" w:rsidRDefault="007F15B6" w:rsidP="00BD3360">
      <w:pPr>
        <w:spacing w:line="240" w:lineRule="auto"/>
        <w:jc w:val="center"/>
        <w:rPr>
          <w:rFonts w:ascii="Times New Roman" w:hAnsi="Times New Roman" w:cs="Times New Roman"/>
          <w:b/>
          <w:bCs/>
          <w:sz w:val="24"/>
          <w:szCs w:val="24"/>
        </w:rPr>
      </w:pPr>
      <w:r w:rsidRPr="00BD3360">
        <w:rPr>
          <w:rFonts w:ascii="Times New Roman" w:eastAsia="Times New Roman" w:hAnsi="Times New Roman" w:cs="Times New Roman"/>
          <w:b/>
          <w:sz w:val="24"/>
          <w:szCs w:val="24"/>
          <w:u w:val="single"/>
        </w:rPr>
        <w:t>I</w:t>
      </w:r>
      <w:r w:rsidR="00C229BA" w:rsidRPr="00BD3360">
        <w:rPr>
          <w:rFonts w:ascii="Times New Roman" w:eastAsia="Times New Roman" w:hAnsi="Times New Roman" w:cs="Times New Roman"/>
          <w:b/>
          <w:sz w:val="24"/>
          <w:szCs w:val="24"/>
          <w:u w:val="single"/>
        </w:rPr>
        <w:t>I</w:t>
      </w:r>
      <w:r w:rsidR="000F16AA" w:rsidRPr="00BD3360">
        <w:rPr>
          <w:rFonts w:ascii="Times New Roman" w:eastAsia="Times New Roman" w:hAnsi="Times New Roman" w:cs="Times New Roman"/>
          <w:b/>
          <w:sz w:val="24"/>
          <w:szCs w:val="24"/>
          <w:u w:val="single"/>
        </w:rPr>
        <w:t xml:space="preserve">. </w:t>
      </w:r>
      <w:r w:rsidR="004D3FF1" w:rsidRPr="00BD3360">
        <w:rPr>
          <w:rFonts w:ascii="Times New Roman" w:eastAsia="Times New Roman" w:hAnsi="Times New Roman" w:cs="Times New Roman"/>
          <w:b/>
          <w:sz w:val="24"/>
          <w:szCs w:val="24"/>
          <w:u w:val="single"/>
        </w:rPr>
        <w:t xml:space="preserve">Sėkmingai baigti 2007–2013 m. programavimo laikotarpio </w:t>
      </w:r>
      <w:r w:rsidR="004D3FF1" w:rsidRPr="00BD3360">
        <w:rPr>
          <w:rFonts w:ascii="Times New Roman" w:eastAsia="Times New Roman" w:hAnsi="Times New Roman" w:cs="Times New Roman"/>
          <w:b/>
          <w:bCs/>
          <w:sz w:val="24"/>
          <w:szCs w:val="24"/>
          <w:u w:val="single"/>
          <w:lang w:eastAsia="lt-LT"/>
        </w:rPr>
        <w:t>projektai</w:t>
      </w:r>
    </w:p>
    <w:p w:rsidR="00382010" w:rsidRPr="00BD3360" w:rsidRDefault="00953918" w:rsidP="00BD3360">
      <w:pPr>
        <w:tabs>
          <w:tab w:val="left" w:pos="758"/>
        </w:tabs>
        <w:spacing w:after="0" w:line="240" w:lineRule="auto"/>
        <w:jc w:val="both"/>
        <w:rPr>
          <w:rFonts w:ascii="Times New Roman" w:hAnsi="Times New Roman" w:cs="Times New Roman"/>
          <w:sz w:val="24"/>
          <w:szCs w:val="24"/>
        </w:rPr>
      </w:pPr>
      <w:r w:rsidRPr="00BD3360">
        <w:rPr>
          <w:rFonts w:ascii="Times New Roman" w:eastAsia="Calibri" w:hAnsi="Times New Roman" w:cs="Times New Roman"/>
          <w:bCs/>
          <w:sz w:val="24"/>
          <w:szCs w:val="24"/>
        </w:rPr>
        <w:tab/>
      </w:r>
      <w:r w:rsidR="00D93FB2" w:rsidRPr="00BD3360">
        <w:rPr>
          <w:rFonts w:ascii="Times New Roman" w:eastAsia="Calibri" w:hAnsi="Times New Roman" w:cs="Times New Roman"/>
          <w:bCs/>
          <w:sz w:val="24"/>
          <w:szCs w:val="24"/>
        </w:rPr>
        <w:t>Iki 2015 m. pabaigos investuotos visos 6,8 mlrd. (100 proc.)</w:t>
      </w:r>
      <w:r w:rsidR="00CB54D6" w:rsidRPr="00BD3360">
        <w:rPr>
          <w:rFonts w:ascii="Times New Roman" w:eastAsia="Calibri" w:hAnsi="Times New Roman" w:cs="Times New Roman"/>
          <w:bCs/>
          <w:sz w:val="24"/>
          <w:szCs w:val="24"/>
        </w:rPr>
        <w:t xml:space="preserve"> 2007–2013 m. </w:t>
      </w:r>
      <w:r w:rsidR="00C66E58" w:rsidRPr="00BD3360">
        <w:rPr>
          <w:rFonts w:ascii="Times New Roman" w:eastAsia="Calibri" w:hAnsi="Times New Roman" w:cs="Times New Roman"/>
          <w:bCs/>
          <w:sz w:val="24"/>
          <w:szCs w:val="24"/>
        </w:rPr>
        <w:t xml:space="preserve">veiksmų programų </w:t>
      </w:r>
      <w:r w:rsidR="00CB54D6" w:rsidRPr="00BD3360">
        <w:rPr>
          <w:rFonts w:ascii="Times New Roman" w:eastAsia="Calibri" w:hAnsi="Times New Roman" w:cs="Times New Roman"/>
          <w:bCs/>
          <w:sz w:val="24"/>
          <w:szCs w:val="24"/>
        </w:rPr>
        <w:t>ES fondų lėšos</w:t>
      </w:r>
      <w:r w:rsidR="00382010" w:rsidRPr="00BD3360">
        <w:rPr>
          <w:rFonts w:ascii="Times New Roman" w:eastAsia="Calibri" w:hAnsi="Times New Roman" w:cs="Times New Roman"/>
          <w:bCs/>
          <w:sz w:val="24"/>
          <w:szCs w:val="24"/>
        </w:rPr>
        <w:t xml:space="preserve"> ir </w:t>
      </w:r>
      <w:r w:rsidR="00561888" w:rsidRPr="00BD3360">
        <w:rPr>
          <w:rFonts w:ascii="Times New Roman" w:eastAsia="Times New Roman" w:hAnsi="Times New Roman" w:cs="Times New Roman"/>
          <w:b/>
          <w:color w:val="000000"/>
          <w:sz w:val="24"/>
          <w:szCs w:val="24"/>
          <w:lang w:eastAsia="lt-LT"/>
        </w:rPr>
        <w:t>b</w:t>
      </w:r>
      <w:r w:rsidR="00382010" w:rsidRPr="00BD3360">
        <w:rPr>
          <w:rFonts w:ascii="Times New Roman" w:eastAsia="Times New Roman" w:hAnsi="Times New Roman" w:cs="Times New Roman"/>
          <w:b/>
          <w:color w:val="000000"/>
          <w:sz w:val="24"/>
          <w:szCs w:val="24"/>
          <w:lang w:eastAsia="lt-LT"/>
        </w:rPr>
        <w:t xml:space="preserve">aigtas projektų įgyvendinimas. </w:t>
      </w:r>
      <w:r w:rsidR="00C66E58" w:rsidRPr="00BD3360">
        <w:rPr>
          <w:rFonts w:ascii="Times New Roman" w:eastAsia="Times New Roman" w:hAnsi="Times New Roman" w:cs="Times New Roman"/>
          <w:bCs/>
          <w:sz w:val="24"/>
          <w:szCs w:val="24"/>
          <w:lang w:eastAsia="lt-LT"/>
        </w:rPr>
        <w:t xml:space="preserve">Lietuvai </w:t>
      </w:r>
      <w:r w:rsidR="00382010" w:rsidRPr="00BD3360">
        <w:rPr>
          <w:rFonts w:ascii="Times New Roman" w:eastAsia="Times New Roman" w:hAnsi="Times New Roman" w:cs="Times New Roman"/>
          <w:bCs/>
          <w:sz w:val="24"/>
          <w:szCs w:val="24"/>
          <w:lang w:eastAsia="lt-LT"/>
        </w:rPr>
        <w:t xml:space="preserve"> EK jau išmokėjo maksimalią ES reglamentuose nustatytą</w:t>
      </w:r>
      <w:r w:rsidR="00C66E58" w:rsidRPr="00BD3360">
        <w:rPr>
          <w:rFonts w:ascii="Times New Roman" w:eastAsia="Times New Roman" w:hAnsi="Times New Roman" w:cs="Times New Roman"/>
          <w:bCs/>
          <w:sz w:val="24"/>
          <w:szCs w:val="24"/>
          <w:lang w:eastAsia="lt-LT"/>
        </w:rPr>
        <w:t xml:space="preserve"> 95 proc.</w:t>
      </w:r>
      <w:r w:rsidR="00382010" w:rsidRPr="00BD3360">
        <w:rPr>
          <w:rFonts w:ascii="Times New Roman" w:eastAsia="Times New Roman" w:hAnsi="Times New Roman" w:cs="Times New Roman"/>
          <w:bCs/>
          <w:sz w:val="24"/>
          <w:szCs w:val="24"/>
          <w:lang w:eastAsia="lt-LT"/>
        </w:rPr>
        <w:t xml:space="preserve"> ES struktūrinių fondų lėšų sumą</w:t>
      </w:r>
      <w:r w:rsidR="00C66E58" w:rsidRPr="00BD3360">
        <w:rPr>
          <w:rFonts w:ascii="Times New Roman" w:eastAsia="Times New Roman" w:hAnsi="Times New Roman" w:cs="Times New Roman"/>
          <w:bCs/>
          <w:sz w:val="24"/>
          <w:szCs w:val="24"/>
          <w:lang w:eastAsia="lt-LT"/>
        </w:rPr>
        <w:t>.</w:t>
      </w:r>
      <w:r w:rsidR="00A942FD" w:rsidRPr="00BD3360">
        <w:rPr>
          <w:rFonts w:ascii="Times New Roman" w:eastAsia="Times New Roman" w:hAnsi="Times New Roman" w:cs="Times New Roman"/>
          <w:bCs/>
          <w:sz w:val="24"/>
          <w:szCs w:val="24"/>
          <w:lang w:eastAsia="lt-LT"/>
        </w:rPr>
        <w:t xml:space="preserve"> </w:t>
      </w:r>
      <w:r w:rsidR="00070684" w:rsidRPr="00BD3360">
        <w:rPr>
          <w:rFonts w:ascii="Times New Roman" w:hAnsi="Times New Roman" w:cs="Times New Roman"/>
          <w:sz w:val="24"/>
          <w:szCs w:val="24"/>
        </w:rPr>
        <w:t xml:space="preserve">Likę 5 proc. bus išmokėti tik galutinai atsikaičius ir iš gavus EK pritarimą dėl tinkamo veiksmų programų </w:t>
      </w:r>
      <w:r w:rsidR="00070684" w:rsidRPr="00BD3360">
        <w:rPr>
          <w:rFonts w:ascii="Times New Roman" w:hAnsi="Times New Roman" w:cs="Times New Roman"/>
          <w:sz w:val="24"/>
          <w:szCs w:val="24"/>
        </w:rPr>
        <w:lastRenderedPageBreak/>
        <w:t>įgyvendinimo (dokumentai dėl galutinio atsiskaitymo turi būti pateikti iki 2017 m. kovo pabaigos).</w:t>
      </w:r>
      <w:r w:rsidR="00382010" w:rsidRPr="00BD3360">
        <w:rPr>
          <w:rFonts w:ascii="Times New Roman" w:hAnsi="Times New Roman" w:cs="Times New Roman"/>
          <w:sz w:val="24"/>
          <w:szCs w:val="24"/>
        </w:rPr>
        <w:t xml:space="preserve"> ES fondų lėšų panaudojimo dinamika 2013–2015 metais pavaizduota 3 paveiksle.</w:t>
      </w:r>
      <w:r w:rsidR="00070684" w:rsidRPr="00BD3360">
        <w:rPr>
          <w:rFonts w:ascii="Times New Roman" w:hAnsi="Times New Roman" w:cs="Times New Roman"/>
          <w:sz w:val="24"/>
          <w:szCs w:val="24"/>
        </w:rPr>
        <w:tab/>
      </w:r>
    </w:p>
    <w:p w:rsidR="00382010" w:rsidRPr="00BD3360" w:rsidRDefault="00382010" w:rsidP="00216903">
      <w:pPr>
        <w:tabs>
          <w:tab w:val="left" w:pos="758"/>
        </w:tabs>
        <w:spacing w:after="0" w:line="240" w:lineRule="auto"/>
        <w:jc w:val="center"/>
        <w:rPr>
          <w:rFonts w:ascii="Times New Roman" w:hAnsi="Times New Roman" w:cs="Times New Roman"/>
          <w:sz w:val="24"/>
          <w:szCs w:val="24"/>
        </w:rPr>
      </w:pPr>
      <w:r w:rsidRPr="00BD3360">
        <w:rPr>
          <w:rFonts w:ascii="Times New Roman" w:hAnsi="Times New Roman" w:cs="Times New Roman"/>
          <w:noProof/>
          <w:sz w:val="24"/>
          <w:szCs w:val="24"/>
          <w:lang w:eastAsia="lt-LT"/>
        </w:rPr>
        <w:drawing>
          <wp:inline distT="0" distB="0" distL="0" distR="0" wp14:anchorId="12274C4A" wp14:editId="08A66DA1">
            <wp:extent cx="5105400" cy="2705100"/>
            <wp:effectExtent l="0" t="0" r="1905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2010" w:rsidRPr="00216903" w:rsidRDefault="00382010" w:rsidP="00BD3360">
      <w:pPr>
        <w:spacing w:after="0" w:line="240" w:lineRule="auto"/>
        <w:ind w:firstLine="567"/>
        <w:jc w:val="both"/>
        <w:rPr>
          <w:rFonts w:ascii="Times New Roman" w:eastAsia="Times New Roman" w:hAnsi="Times New Roman" w:cs="Times New Roman"/>
          <w:sz w:val="20"/>
          <w:szCs w:val="20"/>
          <w:lang w:eastAsia="lt-LT"/>
        </w:rPr>
      </w:pPr>
      <w:r w:rsidRPr="00216903">
        <w:rPr>
          <w:rFonts w:ascii="Times New Roman" w:eastAsia="Times New Roman" w:hAnsi="Times New Roman" w:cs="Times New Roman"/>
          <w:sz w:val="20"/>
          <w:szCs w:val="20"/>
          <w:lang w:eastAsia="lt-LT"/>
        </w:rPr>
        <w:t>3 pav. Lietuvos 2007–2013 m. ES lėšų investavimo strategijos įgyvendinimas 2013–2015 m., proc.</w:t>
      </w:r>
    </w:p>
    <w:p w:rsidR="00382010" w:rsidRPr="00216903" w:rsidRDefault="00382010" w:rsidP="00BD3360">
      <w:pPr>
        <w:spacing w:before="120" w:after="0" w:line="240" w:lineRule="auto"/>
        <w:ind w:firstLine="709"/>
        <w:jc w:val="both"/>
        <w:rPr>
          <w:rFonts w:ascii="Times New Roman" w:eastAsia="Times New Roman" w:hAnsi="Times New Roman" w:cs="Times New Roman"/>
          <w:sz w:val="20"/>
          <w:szCs w:val="20"/>
          <w:lang w:eastAsia="lt-LT"/>
        </w:rPr>
      </w:pPr>
      <w:r w:rsidRPr="00216903">
        <w:rPr>
          <w:rFonts w:ascii="Times New Roman" w:eastAsia="Times New Roman" w:hAnsi="Times New Roman" w:cs="Times New Roman"/>
          <w:i/>
          <w:sz w:val="20"/>
          <w:szCs w:val="20"/>
          <w:lang w:eastAsia="lt-LT"/>
        </w:rPr>
        <w:t>Šaltinis – ES struktūrinės paramos kompiuterinės informacinės valdymo ir priežiūros sistemos (SFMIS) 2016-06-02 duomenimis</w:t>
      </w:r>
      <w:r w:rsidRPr="00216903">
        <w:rPr>
          <w:rFonts w:ascii="Times New Roman" w:eastAsia="Times New Roman" w:hAnsi="Times New Roman" w:cs="Times New Roman"/>
          <w:sz w:val="20"/>
          <w:szCs w:val="20"/>
          <w:lang w:eastAsia="lt-LT"/>
        </w:rPr>
        <w:t>.</w:t>
      </w:r>
    </w:p>
    <w:p w:rsidR="00EC1E89" w:rsidRPr="00BD3360" w:rsidRDefault="00EC1E89" w:rsidP="00BD336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D3360">
        <w:rPr>
          <w:rFonts w:ascii="Times New Roman" w:hAnsi="Times New Roman" w:cs="Times New Roman"/>
          <w:iCs/>
          <w:color w:val="000000"/>
          <w:sz w:val="24"/>
          <w:szCs w:val="24"/>
        </w:rPr>
        <w:t>Šiuo metu įmonės ir fiziniai asmenys dėl paskolų, garantijų teikimo ar rizikos kapitalo investicijų gali kreiptis į 2007–2013 m. programavimo laikotarpiu ES fondų lėšomis įkurtus fondus (</w:t>
      </w:r>
      <w:proofErr w:type="spellStart"/>
      <w:r w:rsidRPr="00BD3360">
        <w:rPr>
          <w:rFonts w:ascii="Times New Roman" w:hAnsi="Times New Roman" w:cs="Times New Roman"/>
          <w:bCs/>
          <w:color w:val="000000"/>
          <w:sz w:val="24"/>
          <w:szCs w:val="24"/>
        </w:rPr>
        <w:t>Verslumo</w:t>
      </w:r>
      <w:proofErr w:type="spellEnd"/>
      <w:r w:rsidRPr="00BD3360">
        <w:rPr>
          <w:rFonts w:ascii="Times New Roman" w:hAnsi="Times New Roman" w:cs="Times New Roman"/>
          <w:bCs/>
          <w:color w:val="000000"/>
          <w:sz w:val="24"/>
          <w:szCs w:val="24"/>
        </w:rPr>
        <w:t xml:space="preserve"> skatinimo fondas</w:t>
      </w:r>
      <w:r w:rsidRPr="00BD3360">
        <w:rPr>
          <w:rFonts w:ascii="Times New Roman" w:hAnsi="Times New Roman" w:cs="Times New Roman"/>
          <w:color w:val="000000"/>
          <w:sz w:val="24"/>
          <w:szCs w:val="24"/>
        </w:rPr>
        <w:t xml:space="preserve">, </w:t>
      </w:r>
      <w:proofErr w:type="spellStart"/>
      <w:r w:rsidRPr="00BD3360">
        <w:rPr>
          <w:rFonts w:ascii="Times New Roman" w:hAnsi="Times New Roman" w:cs="Times New Roman"/>
          <w:bCs/>
          <w:color w:val="000000"/>
          <w:sz w:val="24"/>
          <w:szCs w:val="24"/>
        </w:rPr>
        <w:t>Invegos</w:t>
      </w:r>
      <w:proofErr w:type="spellEnd"/>
      <w:r w:rsidRPr="00BD3360">
        <w:rPr>
          <w:rFonts w:ascii="Times New Roman" w:hAnsi="Times New Roman" w:cs="Times New Roman"/>
          <w:bCs/>
          <w:color w:val="000000"/>
          <w:sz w:val="24"/>
          <w:szCs w:val="24"/>
        </w:rPr>
        <w:t xml:space="preserve"> fondas</w:t>
      </w:r>
      <w:r w:rsidRPr="00BD3360">
        <w:rPr>
          <w:rFonts w:ascii="Times New Roman" w:hAnsi="Times New Roman" w:cs="Times New Roman"/>
          <w:color w:val="000000"/>
          <w:sz w:val="24"/>
          <w:szCs w:val="24"/>
        </w:rPr>
        <w:t xml:space="preserve">, </w:t>
      </w:r>
      <w:r w:rsidRPr="00BD3360">
        <w:rPr>
          <w:rFonts w:ascii="Times New Roman" w:hAnsi="Times New Roman" w:cs="Times New Roman"/>
          <w:bCs/>
          <w:color w:val="000000"/>
          <w:sz w:val="24"/>
          <w:szCs w:val="24"/>
        </w:rPr>
        <w:t>Baltijos inovacijų fondas)</w:t>
      </w:r>
      <w:r w:rsidRPr="00BD3360">
        <w:rPr>
          <w:rFonts w:ascii="Times New Roman" w:hAnsi="Times New Roman" w:cs="Times New Roman"/>
          <w:color w:val="000000"/>
          <w:sz w:val="24"/>
          <w:szCs w:val="24"/>
        </w:rPr>
        <w:t xml:space="preserve">. </w:t>
      </w:r>
    </w:p>
    <w:p w:rsidR="00EC1E89" w:rsidRPr="00332C04" w:rsidRDefault="00CD0394" w:rsidP="00BD3360">
      <w:pPr>
        <w:tabs>
          <w:tab w:val="left" w:pos="758"/>
        </w:tabs>
        <w:spacing w:after="0" w:line="240" w:lineRule="auto"/>
        <w:jc w:val="both"/>
        <w:rPr>
          <w:rFonts w:ascii="Times New Roman" w:eastAsia="Times New Roman" w:hAnsi="Times New Roman" w:cs="Times New Roman"/>
          <w:sz w:val="24"/>
          <w:szCs w:val="24"/>
          <w:lang w:eastAsia="lt-LT"/>
        </w:rPr>
      </w:pPr>
      <w:r w:rsidRPr="00332C04">
        <w:rPr>
          <w:rFonts w:ascii="Times New Roman" w:hAnsi="Times New Roman" w:cs="Times New Roman"/>
          <w:color w:val="000000"/>
          <w:sz w:val="24"/>
          <w:szCs w:val="24"/>
        </w:rPr>
        <w:t xml:space="preserve">            </w:t>
      </w:r>
      <w:r w:rsidR="00EC1E89" w:rsidRPr="00332C04">
        <w:rPr>
          <w:rFonts w:ascii="Times New Roman" w:eastAsia="Times New Roman" w:hAnsi="Times New Roman" w:cs="Times New Roman"/>
          <w:sz w:val="24"/>
          <w:szCs w:val="24"/>
          <w:lang w:eastAsia="lt-LT"/>
        </w:rPr>
        <w:t xml:space="preserve">Vykdant ES investicijų projektus 245 tūkst. žmonių dalyvavo  įdarbinimo programose, 2,4 tūkst. įmonių panaudojo lėšas </w:t>
      </w:r>
      <w:proofErr w:type="spellStart"/>
      <w:r w:rsidR="00EC1E89" w:rsidRPr="00332C04">
        <w:rPr>
          <w:rFonts w:ascii="Times New Roman" w:eastAsia="Times New Roman" w:hAnsi="Times New Roman" w:cs="Times New Roman"/>
          <w:sz w:val="24"/>
          <w:szCs w:val="24"/>
          <w:lang w:eastAsia="lt-LT"/>
        </w:rPr>
        <w:t>inovatyviai</w:t>
      </w:r>
      <w:proofErr w:type="spellEnd"/>
      <w:r w:rsidR="00EC1E89" w:rsidRPr="00332C04">
        <w:rPr>
          <w:rFonts w:ascii="Times New Roman" w:eastAsia="Times New Roman" w:hAnsi="Times New Roman" w:cs="Times New Roman"/>
          <w:sz w:val="24"/>
          <w:szCs w:val="24"/>
          <w:lang w:eastAsia="lt-LT"/>
        </w:rPr>
        <w:t xml:space="preserve"> plėtrai, 11 </w:t>
      </w:r>
      <w:proofErr w:type="spellStart"/>
      <w:r w:rsidR="00EC1E89" w:rsidRPr="00332C04">
        <w:rPr>
          <w:rFonts w:ascii="Times New Roman" w:eastAsia="Times New Roman" w:hAnsi="Times New Roman" w:cs="Times New Roman"/>
          <w:sz w:val="24"/>
          <w:szCs w:val="24"/>
          <w:lang w:eastAsia="lt-LT"/>
        </w:rPr>
        <w:t>tūkst</w:t>
      </w:r>
      <w:proofErr w:type="spellEnd"/>
      <w:r w:rsidR="00EC1E89" w:rsidRPr="00332C04">
        <w:rPr>
          <w:rFonts w:ascii="Times New Roman" w:eastAsia="Times New Roman" w:hAnsi="Times New Roman" w:cs="Times New Roman"/>
          <w:sz w:val="24"/>
          <w:szCs w:val="24"/>
          <w:lang w:eastAsia="lt-LT"/>
        </w:rPr>
        <w:t>. smulkaus ir vidutinio verslo subjektų pasinaudojo investicijomis verslo plėtrai, buvo suteikta 7809 paskolos/garantijos SVV, atlikta 90 investicijų į įmones, renovuoti 667 daugiabučiai namai (388 daugiabučiai šiuo metu dar renovuojami), atnaujinta ir modernizuota daugiau kaip 700 švietimo, beveik 350 sveikatos priežiūros įstaigų,  nutiesta 1,7 tūkst. km naujų ir rekonstruota esamų  kelių.</w:t>
      </w:r>
      <w:r w:rsidR="00EC1E89" w:rsidRPr="00332C04">
        <w:rPr>
          <w:rFonts w:ascii="Times New Roman" w:eastAsia="Times New Roman" w:hAnsi="Times New Roman" w:cs="Times New Roman"/>
          <w:bCs/>
          <w:sz w:val="24"/>
          <w:szCs w:val="24"/>
          <w:lang w:eastAsia="lt-LT"/>
        </w:rPr>
        <w:t xml:space="preserve"> Dėl sėkmingai investuojamų ES fondų lėšų sumažėjo atsilikimas nuo ES vidurkio: naujausiais duomenis (2015 m. </w:t>
      </w:r>
      <w:proofErr w:type="spellStart"/>
      <w:r w:rsidR="00EC1E89" w:rsidRPr="00332C04">
        <w:rPr>
          <w:rFonts w:ascii="Times New Roman" w:eastAsia="Times New Roman" w:hAnsi="Times New Roman" w:cs="Times New Roman"/>
          <w:bCs/>
          <w:sz w:val="24"/>
          <w:szCs w:val="24"/>
          <w:lang w:eastAsia="lt-LT"/>
        </w:rPr>
        <w:t>pab</w:t>
      </w:r>
      <w:proofErr w:type="spellEnd"/>
      <w:r w:rsidR="00EC1E89" w:rsidRPr="00332C04">
        <w:rPr>
          <w:rFonts w:ascii="Times New Roman" w:eastAsia="Times New Roman" w:hAnsi="Times New Roman" w:cs="Times New Roman"/>
          <w:bCs/>
          <w:sz w:val="24"/>
          <w:szCs w:val="24"/>
          <w:lang w:eastAsia="lt-LT"/>
        </w:rPr>
        <w:t>.), Lietuvos BVP vienam gyventojui  2014 m. pasiekė 75 proc. ES vidurkio. Palaikytas stabiliai ženklus (vidutiniškai po 1 mlrd. eurų kasmet) ES fondų lėšų srautas į šalies  ekonomiką.</w:t>
      </w:r>
    </w:p>
    <w:p w:rsidR="005E33BC" w:rsidRPr="00BD3360" w:rsidRDefault="007338E8" w:rsidP="00BD3360">
      <w:pPr>
        <w:spacing w:line="240" w:lineRule="auto"/>
        <w:ind w:firstLine="709"/>
        <w:jc w:val="both"/>
        <w:rPr>
          <w:rFonts w:ascii="Times New Roman" w:eastAsia="Calibri" w:hAnsi="Times New Roman" w:cs="Times New Roman"/>
          <w:bCs/>
          <w:sz w:val="24"/>
          <w:szCs w:val="24"/>
        </w:rPr>
      </w:pPr>
      <w:r w:rsidRPr="00BD3360">
        <w:rPr>
          <w:rFonts w:ascii="Times New Roman" w:eastAsia="Calibri" w:hAnsi="Times New Roman" w:cs="Times New Roman"/>
          <w:bCs/>
          <w:sz w:val="24"/>
          <w:szCs w:val="24"/>
        </w:rPr>
        <w:t>V</w:t>
      </w:r>
      <w:r w:rsidR="005E33BC" w:rsidRPr="00BD3360">
        <w:rPr>
          <w:rFonts w:ascii="Times New Roman" w:eastAsia="Calibri" w:hAnsi="Times New Roman" w:cs="Times New Roman"/>
          <w:bCs/>
          <w:sz w:val="24"/>
          <w:szCs w:val="24"/>
        </w:rPr>
        <w:t>ertinimai rodo, kad ES investicijos turėjo teigiamą įtaką šalies e</w:t>
      </w:r>
      <w:r w:rsidR="00CB54D6" w:rsidRPr="00BD3360">
        <w:rPr>
          <w:rFonts w:ascii="Times New Roman" w:eastAsia="Calibri" w:hAnsi="Times New Roman" w:cs="Times New Roman"/>
          <w:bCs/>
          <w:sz w:val="24"/>
          <w:szCs w:val="24"/>
        </w:rPr>
        <w:t>konomikai, užtikrinta patikima administravimo sistema:</w:t>
      </w:r>
    </w:p>
    <w:p w:rsidR="002F7B25" w:rsidRPr="00216903" w:rsidRDefault="0034445C" w:rsidP="0034445C">
      <w:pPr>
        <w:spacing w:after="0" w:line="240" w:lineRule="auto"/>
        <w:rPr>
          <w:rFonts w:ascii="Times New Roman" w:eastAsia="Times New Roman" w:hAnsi="Times New Roman" w:cs="Times New Roman"/>
          <w:b/>
          <w:bCs/>
          <w:sz w:val="20"/>
          <w:szCs w:val="20"/>
        </w:rPr>
      </w:pPr>
      <w:r>
        <w:rPr>
          <w:rFonts w:ascii="Times New Roman" w:hAnsi="Times New Roman" w:cs="Times New Roman"/>
          <w:b/>
          <w:bCs/>
          <w:sz w:val="20"/>
          <w:szCs w:val="20"/>
        </w:rPr>
        <w:t xml:space="preserve">     </w:t>
      </w:r>
      <w:r w:rsidR="002F7B25" w:rsidRPr="00216903">
        <w:rPr>
          <w:rFonts w:ascii="Times New Roman" w:hAnsi="Times New Roman" w:cs="Times New Roman"/>
          <w:b/>
          <w:bCs/>
          <w:sz w:val="20"/>
          <w:szCs w:val="20"/>
        </w:rPr>
        <w:t xml:space="preserve">100 proc. ES fondų         </w:t>
      </w:r>
      <w:r>
        <w:rPr>
          <w:rFonts w:ascii="Times New Roman" w:hAnsi="Times New Roman" w:cs="Times New Roman"/>
          <w:b/>
          <w:bCs/>
          <w:sz w:val="20"/>
          <w:szCs w:val="20"/>
        </w:rPr>
        <w:t xml:space="preserve">  </w:t>
      </w:r>
      <w:r w:rsidR="002F7B25" w:rsidRPr="00216903">
        <w:rPr>
          <w:rFonts w:ascii="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Teigiamas poveikis          </w:t>
      </w:r>
      <w:r w:rsidR="002F7B25" w:rsidRPr="00216903">
        <w:rPr>
          <w:rFonts w:ascii="Times New Roman" w:eastAsia="Times New Roman" w:hAnsi="Times New Roman" w:cs="Times New Roman"/>
          <w:b/>
          <w:bCs/>
          <w:sz w:val="20"/>
          <w:szCs w:val="20"/>
        </w:rPr>
        <w:t xml:space="preserve">Administravimo sistema </w:t>
      </w:r>
    </w:p>
    <w:p w:rsidR="002F7B25" w:rsidRPr="00216903" w:rsidRDefault="0034445C" w:rsidP="0034445C">
      <w:pPr>
        <w:spacing w:after="0" w:line="240" w:lineRule="auto"/>
        <w:rPr>
          <w:rFonts w:ascii="Times New Roman" w:eastAsia="Times New Roman" w:hAnsi="Times New Roman" w:cs="Times New Roman"/>
          <w:sz w:val="20"/>
          <w:szCs w:val="20"/>
        </w:rPr>
      </w:pPr>
      <w:r>
        <w:rPr>
          <w:rFonts w:ascii="Times New Roman" w:hAnsi="Times New Roman" w:cs="Times New Roman"/>
          <w:b/>
          <w:bCs/>
          <w:sz w:val="20"/>
          <w:szCs w:val="20"/>
        </w:rPr>
        <w:t xml:space="preserve">         </w:t>
      </w:r>
      <w:r w:rsidR="009373B3">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2F7B25" w:rsidRPr="00216903">
        <w:rPr>
          <w:rFonts w:ascii="Times New Roman" w:hAnsi="Times New Roman" w:cs="Times New Roman"/>
          <w:b/>
          <w:bCs/>
          <w:sz w:val="20"/>
          <w:szCs w:val="20"/>
        </w:rPr>
        <w:t>panaudojimas</w:t>
      </w:r>
      <w:r w:rsidR="002F7B25" w:rsidRPr="00216903">
        <w:rPr>
          <w:rFonts w:ascii="Times New Roman" w:hAnsi="Times New Roman" w:cs="Times New Roman"/>
          <w:sz w:val="20"/>
          <w:szCs w:val="20"/>
        </w:rPr>
        <w:t xml:space="preserve">  </w:t>
      </w:r>
      <w:r w:rsidR="002F7B25" w:rsidRPr="002169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2F7B25" w:rsidRPr="00216903">
        <w:rPr>
          <w:rFonts w:ascii="Times New Roman" w:eastAsia="Times New Roman" w:hAnsi="Times New Roman" w:cs="Times New Roman"/>
          <w:sz w:val="20"/>
          <w:szCs w:val="20"/>
        </w:rPr>
        <w:t xml:space="preserve"> </w:t>
      </w:r>
      <w:r w:rsidR="002F7B25" w:rsidRPr="00216903">
        <w:rPr>
          <w:rFonts w:ascii="Times New Roman" w:eastAsia="Times New Roman" w:hAnsi="Times New Roman" w:cs="Times New Roman"/>
          <w:b/>
          <w:bCs/>
          <w:sz w:val="20"/>
          <w:szCs w:val="20"/>
        </w:rPr>
        <w:t>ekonomik</w:t>
      </w:r>
      <w:r>
        <w:rPr>
          <w:rFonts w:ascii="Times New Roman" w:eastAsia="Times New Roman" w:hAnsi="Times New Roman" w:cs="Times New Roman"/>
          <w:b/>
          <w:bCs/>
          <w:sz w:val="20"/>
          <w:szCs w:val="20"/>
        </w:rPr>
        <w:t xml:space="preserve">ai                    </w:t>
      </w:r>
      <w:r w:rsidR="002F7B25" w:rsidRPr="00216903">
        <w:rPr>
          <w:rFonts w:ascii="Times New Roman" w:eastAsia="Times New Roman" w:hAnsi="Times New Roman" w:cs="Times New Roman"/>
          <w:b/>
          <w:bCs/>
          <w:sz w:val="20"/>
          <w:szCs w:val="20"/>
        </w:rPr>
        <w:t>veikia patikimai</w:t>
      </w:r>
    </w:p>
    <w:tbl>
      <w:tblPr>
        <w:tblpPr w:leftFromText="180" w:rightFromText="180" w:vertAnchor="text" w:horzAnchor="page" w:tblpY="228"/>
        <w:tblW w:w="10505" w:type="dxa"/>
        <w:tblLook w:val="04A0" w:firstRow="1" w:lastRow="0" w:firstColumn="1" w:lastColumn="0" w:noHBand="0" w:noVBand="1"/>
      </w:tblPr>
      <w:tblGrid>
        <w:gridCol w:w="10505"/>
      </w:tblGrid>
      <w:tr w:rsidR="00216903" w:rsidRPr="00BD3360" w:rsidTr="009373B3">
        <w:trPr>
          <w:trHeight w:val="255"/>
        </w:trPr>
        <w:tc>
          <w:tcPr>
            <w:tcW w:w="10505" w:type="dxa"/>
            <w:tcBorders>
              <w:top w:val="nil"/>
              <w:left w:val="nil"/>
              <w:bottom w:val="nil"/>
              <w:right w:val="nil"/>
            </w:tcBorders>
            <w:shd w:val="clear" w:color="auto" w:fill="auto"/>
            <w:noWrap/>
            <w:vAlign w:val="bottom"/>
          </w:tcPr>
          <w:p w:rsidR="00216903" w:rsidRPr="00BD3360" w:rsidRDefault="00216903" w:rsidP="00CB46D3">
            <w:pPr>
              <w:spacing w:after="0" w:line="240" w:lineRule="auto"/>
              <w:jc w:val="center"/>
              <w:rPr>
                <w:rFonts w:ascii="Times New Roman" w:eastAsia="Times New Roman" w:hAnsi="Times New Roman" w:cs="Times New Roman"/>
                <w:sz w:val="24"/>
                <w:szCs w:val="24"/>
                <w:lang w:eastAsia="lt-LT"/>
              </w:rPr>
            </w:pPr>
            <w:r w:rsidRPr="00BD3360">
              <w:rPr>
                <w:rFonts w:ascii="Times New Roman" w:hAnsi="Times New Roman" w:cs="Times New Roman"/>
                <w:bCs/>
                <w:noProof/>
                <w:color w:val="000000"/>
                <w:sz w:val="24"/>
                <w:szCs w:val="24"/>
                <w:lang w:eastAsia="lt-LT"/>
              </w:rPr>
              <w:drawing>
                <wp:inline distT="0" distB="0" distL="0" distR="0" wp14:anchorId="1896933A" wp14:editId="639AD0CA">
                  <wp:extent cx="1072239" cy="24669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5255" cy="2473915"/>
                          </a:xfrm>
                          <a:prstGeom prst="rect">
                            <a:avLst/>
                          </a:prstGeom>
                          <a:noFill/>
                        </pic:spPr>
                      </pic:pic>
                    </a:graphicData>
                  </a:graphic>
                </wp:inline>
              </w:drawing>
            </w:r>
            <w:r w:rsidRPr="00BD3360">
              <w:rPr>
                <w:rFonts w:ascii="Times New Roman" w:hAnsi="Times New Roman" w:cs="Times New Roman"/>
                <w:bCs/>
                <w:noProof/>
                <w:color w:val="000000"/>
                <w:sz w:val="24"/>
                <w:szCs w:val="24"/>
                <w:lang w:eastAsia="lt-LT"/>
              </w:rPr>
              <w:drawing>
                <wp:inline distT="0" distB="0" distL="0" distR="0" wp14:anchorId="4548C27A" wp14:editId="1359AE25">
                  <wp:extent cx="1474775" cy="2695575"/>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9995" cy="2705117"/>
                          </a:xfrm>
                          <a:prstGeom prst="rect">
                            <a:avLst/>
                          </a:prstGeom>
                          <a:solidFill>
                            <a:schemeClr val="accent1">
                              <a:lumMod val="20000"/>
                              <a:lumOff val="80000"/>
                            </a:schemeClr>
                          </a:solidFill>
                        </pic:spPr>
                      </pic:pic>
                    </a:graphicData>
                  </a:graphic>
                </wp:inline>
              </w:drawing>
            </w:r>
            <w:r w:rsidRPr="00BD3360">
              <w:rPr>
                <w:rFonts w:ascii="Times New Roman" w:hAnsi="Times New Roman" w:cs="Times New Roman"/>
                <w:bCs/>
                <w:noProof/>
                <w:color w:val="000000"/>
                <w:sz w:val="24"/>
                <w:szCs w:val="24"/>
                <w:lang w:eastAsia="lt-LT"/>
              </w:rPr>
              <w:drawing>
                <wp:inline distT="0" distB="0" distL="0" distR="0" wp14:anchorId="727A8387" wp14:editId="6114B3D3">
                  <wp:extent cx="1354725" cy="2771775"/>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8844" cy="2780203"/>
                          </a:xfrm>
                          <a:prstGeom prst="rect">
                            <a:avLst/>
                          </a:prstGeom>
                          <a:noFill/>
                        </pic:spPr>
                      </pic:pic>
                    </a:graphicData>
                  </a:graphic>
                </wp:inline>
              </w:drawing>
            </w:r>
          </w:p>
        </w:tc>
      </w:tr>
    </w:tbl>
    <w:p w:rsidR="002F7B25" w:rsidRPr="00BD3360" w:rsidRDefault="002F7B25" w:rsidP="00720099">
      <w:pPr>
        <w:spacing w:after="0" w:line="240" w:lineRule="auto"/>
        <w:jc w:val="both"/>
        <w:rPr>
          <w:rFonts w:ascii="Times New Roman" w:hAnsi="Times New Roman" w:cs="Times New Roman"/>
          <w:sz w:val="24"/>
          <w:szCs w:val="24"/>
        </w:rPr>
      </w:pPr>
    </w:p>
    <w:sectPr w:rsidR="002F7B25" w:rsidRPr="00BD3360" w:rsidSect="002A0784">
      <w:footerReference w:type="default" r:id="rId16"/>
      <w:pgSz w:w="11906" w:h="16838"/>
      <w:pgMar w:top="993"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D9" w:rsidRDefault="007208D9" w:rsidP="002A0784">
      <w:pPr>
        <w:spacing w:after="0" w:line="240" w:lineRule="auto"/>
      </w:pPr>
      <w:r>
        <w:separator/>
      </w:r>
    </w:p>
  </w:endnote>
  <w:endnote w:type="continuationSeparator" w:id="0">
    <w:p w:rsidR="007208D9" w:rsidRDefault="007208D9" w:rsidP="002A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48017"/>
      <w:docPartObj>
        <w:docPartGallery w:val="Page Numbers (Bottom of Page)"/>
        <w:docPartUnique/>
      </w:docPartObj>
    </w:sdtPr>
    <w:sdtEndPr/>
    <w:sdtContent>
      <w:p w:rsidR="002A0784" w:rsidRDefault="002A0784">
        <w:pPr>
          <w:pStyle w:val="Porat"/>
          <w:jc w:val="center"/>
        </w:pPr>
        <w:r>
          <w:fldChar w:fldCharType="begin"/>
        </w:r>
        <w:r>
          <w:instrText>PAGE   \* MERGEFORMAT</w:instrText>
        </w:r>
        <w:r>
          <w:fldChar w:fldCharType="separate"/>
        </w:r>
        <w:r w:rsidR="00802605">
          <w:rPr>
            <w:noProof/>
          </w:rPr>
          <w:t>2</w:t>
        </w:r>
        <w:r>
          <w:fldChar w:fldCharType="end"/>
        </w:r>
      </w:p>
    </w:sdtContent>
  </w:sdt>
  <w:p w:rsidR="002A0784" w:rsidRDefault="002A07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D9" w:rsidRDefault="007208D9" w:rsidP="002A0784">
      <w:pPr>
        <w:spacing w:after="0" w:line="240" w:lineRule="auto"/>
      </w:pPr>
      <w:r>
        <w:separator/>
      </w:r>
    </w:p>
  </w:footnote>
  <w:footnote w:type="continuationSeparator" w:id="0">
    <w:p w:rsidR="007208D9" w:rsidRDefault="007208D9" w:rsidP="002A0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6EFA"/>
    <w:multiLevelType w:val="hybridMultilevel"/>
    <w:tmpl w:val="21FE9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4815384"/>
    <w:multiLevelType w:val="hybridMultilevel"/>
    <w:tmpl w:val="685E63E0"/>
    <w:lvl w:ilvl="0" w:tplc="203AA948">
      <w:start w:val="1"/>
      <w:numFmt w:val="bullet"/>
      <w:lvlText w:val="•"/>
      <w:lvlJc w:val="left"/>
      <w:pPr>
        <w:tabs>
          <w:tab w:val="num" w:pos="720"/>
        </w:tabs>
        <w:ind w:left="720" w:hanging="360"/>
      </w:pPr>
      <w:rPr>
        <w:rFonts w:ascii="Times New Roman" w:hAnsi="Times New Roman" w:hint="default"/>
      </w:rPr>
    </w:lvl>
    <w:lvl w:ilvl="1" w:tplc="9A5AE5D6" w:tentative="1">
      <w:start w:val="1"/>
      <w:numFmt w:val="bullet"/>
      <w:lvlText w:val="•"/>
      <w:lvlJc w:val="left"/>
      <w:pPr>
        <w:tabs>
          <w:tab w:val="num" w:pos="1440"/>
        </w:tabs>
        <w:ind w:left="1440" w:hanging="360"/>
      </w:pPr>
      <w:rPr>
        <w:rFonts w:ascii="Times New Roman" w:hAnsi="Times New Roman" w:hint="default"/>
      </w:rPr>
    </w:lvl>
    <w:lvl w:ilvl="2" w:tplc="EEA286C8" w:tentative="1">
      <w:start w:val="1"/>
      <w:numFmt w:val="bullet"/>
      <w:lvlText w:val="•"/>
      <w:lvlJc w:val="left"/>
      <w:pPr>
        <w:tabs>
          <w:tab w:val="num" w:pos="2160"/>
        </w:tabs>
        <w:ind w:left="2160" w:hanging="360"/>
      </w:pPr>
      <w:rPr>
        <w:rFonts w:ascii="Times New Roman" w:hAnsi="Times New Roman" w:hint="default"/>
      </w:rPr>
    </w:lvl>
    <w:lvl w:ilvl="3" w:tplc="4C7A32B6" w:tentative="1">
      <w:start w:val="1"/>
      <w:numFmt w:val="bullet"/>
      <w:lvlText w:val="•"/>
      <w:lvlJc w:val="left"/>
      <w:pPr>
        <w:tabs>
          <w:tab w:val="num" w:pos="2880"/>
        </w:tabs>
        <w:ind w:left="2880" w:hanging="360"/>
      </w:pPr>
      <w:rPr>
        <w:rFonts w:ascii="Times New Roman" w:hAnsi="Times New Roman" w:hint="default"/>
      </w:rPr>
    </w:lvl>
    <w:lvl w:ilvl="4" w:tplc="BFCA54DE" w:tentative="1">
      <w:start w:val="1"/>
      <w:numFmt w:val="bullet"/>
      <w:lvlText w:val="•"/>
      <w:lvlJc w:val="left"/>
      <w:pPr>
        <w:tabs>
          <w:tab w:val="num" w:pos="3600"/>
        </w:tabs>
        <w:ind w:left="3600" w:hanging="360"/>
      </w:pPr>
      <w:rPr>
        <w:rFonts w:ascii="Times New Roman" w:hAnsi="Times New Roman" w:hint="default"/>
      </w:rPr>
    </w:lvl>
    <w:lvl w:ilvl="5" w:tplc="266A3A1E" w:tentative="1">
      <w:start w:val="1"/>
      <w:numFmt w:val="bullet"/>
      <w:lvlText w:val="•"/>
      <w:lvlJc w:val="left"/>
      <w:pPr>
        <w:tabs>
          <w:tab w:val="num" w:pos="4320"/>
        </w:tabs>
        <w:ind w:left="4320" w:hanging="360"/>
      </w:pPr>
      <w:rPr>
        <w:rFonts w:ascii="Times New Roman" w:hAnsi="Times New Roman" w:hint="default"/>
      </w:rPr>
    </w:lvl>
    <w:lvl w:ilvl="6" w:tplc="E25096C4" w:tentative="1">
      <w:start w:val="1"/>
      <w:numFmt w:val="bullet"/>
      <w:lvlText w:val="•"/>
      <w:lvlJc w:val="left"/>
      <w:pPr>
        <w:tabs>
          <w:tab w:val="num" w:pos="5040"/>
        </w:tabs>
        <w:ind w:left="5040" w:hanging="360"/>
      </w:pPr>
      <w:rPr>
        <w:rFonts w:ascii="Times New Roman" w:hAnsi="Times New Roman" w:hint="default"/>
      </w:rPr>
    </w:lvl>
    <w:lvl w:ilvl="7" w:tplc="69CC3558" w:tentative="1">
      <w:start w:val="1"/>
      <w:numFmt w:val="bullet"/>
      <w:lvlText w:val="•"/>
      <w:lvlJc w:val="left"/>
      <w:pPr>
        <w:tabs>
          <w:tab w:val="num" w:pos="5760"/>
        </w:tabs>
        <w:ind w:left="5760" w:hanging="360"/>
      </w:pPr>
      <w:rPr>
        <w:rFonts w:ascii="Times New Roman" w:hAnsi="Times New Roman" w:hint="default"/>
      </w:rPr>
    </w:lvl>
    <w:lvl w:ilvl="8" w:tplc="CD1E8F3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B3153B2"/>
    <w:multiLevelType w:val="hybridMultilevel"/>
    <w:tmpl w:val="BF6C0A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1BB4181"/>
    <w:multiLevelType w:val="hybridMultilevel"/>
    <w:tmpl w:val="6F360ADC"/>
    <w:lvl w:ilvl="0" w:tplc="E1B8D9BE">
      <w:start w:val="1"/>
      <w:numFmt w:val="upperRoman"/>
      <w:lvlText w:val="%1."/>
      <w:lvlJc w:val="left"/>
      <w:pPr>
        <w:ind w:left="1440" w:hanging="720"/>
      </w:pPr>
      <w:rPr>
        <w:rFonts w:hint="default"/>
        <w:b/>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49804C4"/>
    <w:multiLevelType w:val="hybridMultilevel"/>
    <w:tmpl w:val="22BA9580"/>
    <w:lvl w:ilvl="0" w:tplc="51020E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70A703D"/>
    <w:multiLevelType w:val="hybridMultilevel"/>
    <w:tmpl w:val="752C90EA"/>
    <w:lvl w:ilvl="0" w:tplc="04270001">
      <w:start w:val="1"/>
      <w:numFmt w:val="bullet"/>
      <w:lvlText w:val=""/>
      <w:lvlJc w:val="left"/>
      <w:pPr>
        <w:ind w:left="1440" w:hanging="360"/>
      </w:pPr>
      <w:rPr>
        <w:rFonts w:ascii="Symbol" w:hAnsi="Symbol" w:hint="default"/>
        <w:sz w:val="24"/>
        <w:szCs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32897BAD"/>
    <w:multiLevelType w:val="hybridMultilevel"/>
    <w:tmpl w:val="E6F4A54E"/>
    <w:lvl w:ilvl="0" w:tplc="4BF677D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24C2DFF"/>
    <w:multiLevelType w:val="hybridMultilevel"/>
    <w:tmpl w:val="1E5AB8E8"/>
    <w:lvl w:ilvl="0" w:tplc="A0C63B0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604DAD"/>
    <w:multiLevelType w:val="hybridMultilevel"/>
    <w:tmpl w:val="3820A2F8"/>
    <w:lvl w:ilvl="0" w:tplc="E34088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51228EA"/>
    <w:multiLevelType w:val="hybridMultilevel"/>
    <w:tmpl w:val="7DCEA926"/>
    <w:lvl w:ilvl="0" w:tplc="84CC08F6">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62C3DE8"/>
    <w:multiLevelType w:val="hybridMultilevel"/>
    <w:tmpl w:val="99ACD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ED57BE8"/>
    <w:multiLevelType w:val="hybridMultilevel"/>
    <w:tmpl w:val="B08EE3C2"/>
    <w:lvl w:ilvl="0" w:tplc="0427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9"/>
  </w:num>
  <w:num w:numId="4">
    <w:abstractNumId w:val="2"/>
  </w:num>
  <w:num w:numId="5">
    <w:abstractNumId w:val="5"/>
  </w:num>
  <w:num w:numId="6">
    <w:abstractNumId w:val="3"/>
  </w:num>
  <w:num w:numId="7">
    <w:abstractNumId w:val="10"/>
  </w:num>
  <w:num w:numId="8">
    <w:abstractNumId w:val="6"/>
  </w:num>
  <w:num w:numId="9">
    <w:abstractNumId w:val="8"/>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D1"/>
    <w:rsid w:val="000046F7"/>
    <w:rsid w:val="00007B96"/>
    <w:rsid w:val="00012E22"/>
    <w:rsid w:val="00024549"/>
    <w:rsid w:val="000372A4"/>
    <w:rsid w:val="00056E4E"/>
    <w:rsid w:val="00066E4F"/>
    <w:rsid w:val="000705B8"/>
    <w:rsid w:val="00070684"/>
    <w:rsid w:val="00076E48"/>
    <w:rsid w:val="0008102F"/>
    <w:rsid w:val="00093DE6"/>
    <w:rsid w:val="000C1668"/>
    <w:rsid w:val="000C3E5A"/>
    <w:rsid w:val="000C6B20"/>
    <w:rsid w:val="000D1653"/>
    <w:rsid w:val="000D1D82"/>
    <w:rsid w:val="000E5114"/>
    <w:rsid w:val="000F16AA"/>
    <w:rsid w:val="000F2BC1"/>
    <w:rsid w:val="001245D1"/>
    <w:rsid w:val="00126B66"/>
    <w:rsid w:val="00146117"/>
    <w:rsid w:val="00161457"/>
    <w:rsid w:val="00174FEF"/>
    <w:rsid w:val="001868A4"/>
    <w:rsid w:val="001974E3"/>
    <w:rsid w:val="001A03B3"/>
    <w:rsid w:val="001B53C2"/>
    <w:rsid w:val="001D2554"/>
    <w:rsid w:val="001F5076"/>
    <w:rsid w:val="00211A36"/>
    <w:rsid w:val="00216903"/>
    <w:rsid w:val="00217C5A"/>
    <w:rsid w:val="002319DD"/>
    <w:rsid w:val="00237024"/>
    <w:rsid w:val="00251D40"/>
    <w:rsid w:val="0025413E"/>
    <w:rsid w:val="00277EB7"/>
    <w:rsid w:val="002843D8"/>
    <w:rsid w:val="00295EB9"/>
    <w:rsid w:val="002A0784"/>
    <w:rsid w:val="002B06F5"/>
    <w:rsid w:val="002B687A"/>
    <w:rsid w:val="002B73E7"/>
    <w:rsid w:val="002C4750"/>
    <w:rsid w:val="002D5505"/>
    <w:rsid w:val="002E2896"/>
    <w:rsid w:val="002E4AE3"/>
    <w:rsid w:val="002F7B25"/>
    <w:rsid w:val="00300D85"/>
    <w:rsid w:val="00304E6A"/>
    <w:rsid w:val="003111DE"/>
    <w:rsid w:val="00321490"/>
    <w:rsid w:val="003265E5"/>
    <w:rsid w:val="00332C04"/>
    <w:rsid w:val="003331B8"/>
    <w:rsid w:val="0034445C"/>
    <w:rsid w:val="003463AF"/>
    <w:rsid w:val="003471E1"/>
    <w:rsid w:val="00364290"/>
    <w:rsid w:val="003777AD"/>
    <w:rsid w:val="00382010"/>
    <w:rsid w:val="00390B72"/>
    <w:rsid w:val="0039188B"/>
    <w:rsid w:val="0039348C"/>
    <w:rsid w:val="003A2864"/>
    <w:rsid w:val="003B72A5"/>
    <w:rsid w:val="003C5045"/>
    <w:rsid w:val="003D168D"/>
    <w:rsid w:val="0042670A"/>
    <w:rsid w:val="00450E8A"/>
    <w:rsid w:val="004779D5"/>
    <w:rsid w:val="004970FB"/>
    <w:rsid w:val="004A4748"/>
    <w:rsid w:val="004C09EB"/>
    <w:rsid w:val="004D3FF1"/>
    <w:rsid w:val="004E66D2"/>
    <w:rsid w:val="0051371D"/>
    <w:rsid w:val="00535499"/>
    <w:rsid w:val="00536769"/>
    <w:rsid w:val="00540EF1"/>
    <w:rsid w:val="005411A0"/>
    <w:rsid w:val="005412E4"/>
    <w:rsid w:val="005611B5"/>
    <w:rsid w:val="00561888"/>
    <w:rsid w:val="00564A14"/>
    <w:rsid w:val="005B30EF"/>
    <w:rsid w:val="005E1DF0"/>
    <w:rsid w:val="005E33BC"/>
    <w:rsid w:val="005F3977"/>
    <w:rsid w:val="00602123"/>
    <w:rsid w:val="0062394E"/>
    <w:rsid w:val="0062470D"/>
    <w:rsid w:val="00626014"/>
    <w:rsid w:val="0062628E"/>
    <w:rsid w:val="00636653"/>
    <w:rsid w:val="00650797"/>
    <w:rsid w:val="006564CE"/>
    <w:rsid w:val="006618D2"/>
    <w:rsid w:val="006913DA"/>
    <w:rsid w:val="006A09F0"/>
    <w:rsid w:val="006A40C0"/>
    <w:rsid w:val="006A5E73"/>
    <w:rsid w:val="006A70F6"/>
    <w:rsid w:val="006A7665"/>
    <w:rsid w:val="006B1C70"/>
    <w:rsid w:val="006B5D77"/>
    <w:rsid w:val="006E6C66"/>
    <w:rsid w:val="006F5D22"/>
    <w:rsid w:val="00700600"/>
    <w:rsid w:val="00710236"/>
    <w:rsid w:val="00720099"/>
    <w:rsid w:val="007208D9"/>
    <w:rsid w:val="00723137"/>
    <w:rsid w:val="00723458"/>
    <w:rsid w:val="007338E8"/>
    <w:rsid w:val="00733F58"/>
    <w:rsid w:val="00750F09"/>
    <w:rsid w:val="00766AB2"/>
    <w:rsid w:val="00772B69"/>
    <w:rsid w:val="007801C4"/>
    <w:rsid w:val="00786B3A"/>
    <w:rsid w:val="007A1948"/>
    <w:rsid w:val="007A3B02"/>
    <w:rsid w:val="007A3DD9"/>
    <w:rsid w:val="007E7C6A"/>
    <w:rsid w:val="007F1194"/>
    <w:rsid w:val="007F15B6"/>
    <w:rsid w:val="00802605"/>
    <w:rsid w:val="00803219"/>
    <w:rsid w:val="00805AF2"/>
    <w:rsid w:val="0085371C"/>
    <w:rsid w:val="00855F99"/>
    <w:rsid w:val="00860C6C"/>
    <w:rsid w:val="0086327D"/>
    <w:rsid w:val="008764A9"/>
    <w:rsid w:val="008910E7"/>
    <w:rsid w:val="008F4BB0"/>
    <w:rsid w:val="009210AA"/>
    <w:rsid w:val="00925196"/>
    <w:rsid w:val="009373B3"/>
    <w:rsid w:val="00945ECF"/>
    <w:rsid w:val="00946116"/>
    <w:rsid w:val="009471F3"/>
    <w:rsid w:val="00953918"/>
    <w:rsid w:val="009554D3"/>
    <w:rsid w:val="009850C6"/>
    <w:rsid w:val="009B1205"/>
    <w:rsid w:val="009F22EB"/>
    <w:rsid w:val="009F3582"/>
    <w:rsid w:val="00A12C43"/>
    <w:rsid w:val="00A2448C"/>
    <w:rsid w:val="00A24758"/>
    <w:rsid w:val="00A27B47"/>
    <w:rsid w:val="00A27F28"/>
    <w:rsid w:val="00A42C5A"/>
    <w:rsid w:val="00A43EED"/>
    <w:rsid w:val="00A726DA"/>
    <w:rsid w:val="00A942FD"/>
    <w:rsid w:val="00AB383A"/>
    <w:rsid w:val="00AC648E"/>
    <w:rsid w:val="00AF0EEC"/>
    <w:rsid w:val="00AF1C8B"/>
    <w:rsid w:val="00AF5927"/>
    <w:rsid w:val="00B0460B"/>
    <w:rsid w:val="00B14BCD"/>
    <w:rsid w:val="00B402C8"/>
    <w:rsid w:val="00B56C4C"/>
    <w:rsid w:val="00B5765A"/>
    <w:rsid w:val="00B57E05"/>
    <w:rsid w:val="00B62BA6"/>
    <w:rsid w:val="00B8491B"/>
    <w:rsid w:val="00B8561C"/>
    <w:rsid w:val="00B9720E"/>
    <w:rsid w:val="00BB36B8"/>
    <w:rsid w:val="00BC7E77"/>
    <w:rsid w:val="00BD1BCB"/>
    <w:rsid w:val="00BD3360"/>
    <w:rsid w:val="00BD384F"/>
    <w:rsid w:val="00BD7E74"/>
    <w:rsid w:val="00BE4E9F"/>
    <w:rsid w:val="00BF2963"/>
    <w:rsid w:val="00BF6E29"/>
    <w:rsid w:val="00C130C3"/>
    <w:rsid w:val="00C13E99"/>
    <w:rsid w:val="00C163E6"/>
    <w:rsid w:val="00C229BA"/>
    <w:rsid w:val="00C2594B"/>
    <w:rsid w:val="00C66E58"/>
    <w:rsid w:val="00C80446"/>
    <w:rsid w:val="00CA71A3"/>
    <w:rsid w:val="00CB46D3"/>
    <w:rsid w:val="00CB54D6"/>
    <w:rsid w:val="00CC52C9"/>
    <w:rsid w:val="00CD0394"/>
    <w:rsid w:val="00CD2E40"/>
    <w:rsid w:val="00CF0C74"/>
    <w:rsid w:val="00D024C7"/>
    <w:rsid w:val="00D05894"/>
    <w:rsid w:val="00D4248B"/>
    <w:rsid w:val="00D624AD"/>
    <w:rsid w:val="00D739DE"/>
    <w:rsid w:val="00D757CD"/>
    <w:rsid w:val="00D93FB2"/>
    <w:rsid w:val="00DB7302"/>
    <w:rsid w:val="00DD2024"/>
    <w:rsid w:val="00DE1BD1"/>
    <w:rsid w:val="00DE6E90"/>
    <w:rsid w:val="00DE7889"/>
    <w:rsid w:val="00DF00E9"/>
    <w:rsid w:val="00E1647F"/>
    <w:rsid w:val="00E40D4C"/>
    <w:rsid w:val="00E43A4B"/>
    <w:rsid w:val="00E53281"/>
    <w:rsid w:val="00E60DC1"/>
    <w:rsid w:val="00E610CA"/>
    <w:rsid w:val="00E9126A"/>
    <w:rsid w:val="00EA0993"/>
    <w:rsid w:val="00EA6DFE"/>
    <w:rsid w:val="00EB468F"/>
    <w:rsid w:val="00EB7A71"/>
    <w:rsid w:val="00EB7CD0"/>
    <w:rsid w:val="00EC1E89"/>
    <w:rsid w:val="00ED6CBF"/>
    <w:rsid w:val="00EE0820"/>
    <w:rsid w:val="00F326F5"/>
    <w:rsid w:val="00F43866"/>
    <w:rsid w:val="00F63B07"/>
    <w:rsid w:val="00F80D46"/>
    <w:rsid w:val="00F824A4"/>
    <w:rsid w:val="00F96F49"/>
    <w:rsid w:val="00F97F57"/>
    <w:rsid w:val="00FB32CE"/>
    <w:rsid w:val="00FB6EF5"/>
    <w:rsid w:val="00FD6FE1"/>
    <w:rsid w:val="00FE09CF"/>
    <w:rsid w:val="00FE388F"/>
    <w:rsid w:val="00FF63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1B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1BD1"/>
    <w:rPr>
      <w:rFonts w:ascii="Tahoma" w:hAnsi="Tahoma" w:cs="Tahoma"/>
      <w:sz w:val="16"/>
      <w:szCs w:val="16"/>
    </w:rPr>
  </w:style>
  <w:style w:type="paragraph" w:styleId="prastasistinklapis">
    <w:name w:val="Normal (Web)"/>
    <w:basedOn w:val="prastasis"/>
    <w:uiPriority w:val="99"/>
    <w:unhideWhenUsed/>
    <w:rsid w:val="006F5D2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F5D22"/>
    <w:pPr>
      <w:ind w:left="720"/>
      <w:contextualSpacing/>
    </w:pPr>
  </w:style>
  <w:style w:type="paragraph" w:styleId="Antrats">
    <w:name w:val="header"/>
    <w:basedOn w:val="prastasis"/>
    <w:link w:val="AntratsDiagrama"/>
    <w:uiPriority w:val="99"/>
    <w:unhideWhenUsed/>
    <w:rsid w:val="002A0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0784"/>
  </w:style>
  <w:style w:type="paragraph" w:styleId="Porat">
    <w:name w:val="footer"/>
    <w:basedOn w:val="prastasis"/>
    <w:link w:val="PoratDiagrama"/>
    <w:uiPriority w:val="99"/>
    <w:unhideWhenUsed/>
    <w:rsid w:val="002A0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0784"/>
  </w:style>
  <w:style w:type="character" w:styleId="Komentaronuoroda">
    <w:name w:val="annotation reference"/>
    <w:basedOn w:val="Numatytasispastraiposriftas"/>
    <w:uiPriority w:val="99"/>
    <w:semiHidden/>
    <w:unhideWhenUsed/>
    <w:rsid w:val="006A40C0"/>
    <w:rPr>
      <w:sz w:val="16"/>
      <w:szCs w:val="16"/>
    </w:rPr>
  </w:style>
  <w:style w:type="paragraph" w:styleId="Komentarotekstas">
    <w:name w:val="annotation text"/>
    <w:basedOn w:val="prastasis"/>
    <w:link w:val="KomentarotekstasDiagrama"/>
    <w:uiPriority w:val="99"/>
    <w:semiHidden/>
    <w:unhideWhenUsed/>
    <w:rsid w:val="006A40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40C0"/>
    <w:rPr>
      <w:sz w:val="20"/>
      <w:szCs w:val="20"/>
    </w:rPr>
  </w:style>
  <w:style w:type="paragraph" w:styleId="Komentarotema">
    <w:name w:val="annotation subject"/>
    <w:basedOn w:val="Komentarotekstas"/>
    <w:next w:val="Komentarotekstas"/>
    <w:link w:val="KomentarotemaDiagrama"/>
    <w:uiPriority w:val="99"/>
    <w:semiHidden/>
    <w:unhideWhenUsed/>
    <w:rsid w:val="006A40C0"/>
    <w:rPr>
      <w:b/>
      <w:bCs/>
    </w:rPr>
  </w:style>
  <w:style w:type="character" w:customStyle="1" w:styleId="KomentarotemaDiagrama">
    <w:name w:val="Komentaro tema Diagrama"/>
    <w:basedOn w:val="KomentarotekstasDiagrama"/>
    <w:link w:val="Komentarotema"/>
    <w:uiPriority w:val="99"/>
    <w:semiHidden/>
    <w:rsid w:val="006A40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1B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1BD1"/>
    <w:rPr>
      <w:rFonts w:ascii="Tahoma" w:hAnsi="Tahoma" w:cs="Tahoma"/>
      <w:sz w:val="16"/>
      <w:szCs w:val="16"/>
    </w:rPr>
  </w:style>
  <w:style w:type="paragraph" w:styleId="prastasistinklapis">
    <w:name w:val="Normal (Web)"/>
    <w:basedOn w:val="prastasis"/>
    <w:uiPriority w:val="99"/>
    <w:unhideWhenUsed/>
    <w:rsid w:val="006F5D2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6F5D22"/>
    <w:pPr>
      <w:ind w:left="720"/>
      <w:contextualSpacing/>
    </w:pPr>
  </w:style>
  <w:style w:type="paragraph" w:styleId="Antrats">
    <w:name w:val="header"/>
    <w:basedOn w:val="prastasis"/>
    <w:link w:val="AntratsDiagrama"/>
    <w:uiPriority w:val="99"/>
    <w:unhideWhenUsed/>
    <w:rsid w:val="002A0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0784"/>
  </w:style>
  <w:style w:type="paragraph" w:styleId="Porat">
    <w:name w:val="footer"/>
    <w:basedOn w:val="prastasis"/>
    <w:link w:val="PoratDiagrama"/>
    <w:uiPriority w:val="99"/>
    <w:unhideWhenUsed/>
    <w:rsid w:val="002A0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0784"/>
  </w:style>
  <w:style w:type="character" w:styleId="Komentaronuoroda">
    <w:name w:val="annotation reference"/>
    <w:basedOn w:val="Numatytasispastraiposriftas"/>
    <w:uiPriority w:val="99"/>
    <w:semiHidden/>
    <w:unhideWhenUsed/>
    <w:rsid w:val="006A40C0"/>
    <w:rPr>
      <w:sz w:val="16"/>
      <w:szCs w:val="16"/>
    </w:rPr>
  </w:style>
  <w:style w:type="paragraph" w:styleId="Komentarotekstas">
    <w:name w:val="annotation text"/>
    <w:basedOn w:val="prastasis"/>
    <w:link w:val="KomentarotekstasDiagrama"/>
    <w:uiPriority w:val="99"/>
    <w:semiHidden/>
    <w:unhideWhenUsed/>
    <w:rsid w:val="006A40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40C0"/>
    <w:rPr>
      <w:sz w:val="20"/>
      <w:szCs w:val="20"/>
    </w:rPr>
  </w:style>
  <w:style w:type="paragraph" w:styleId="Komentarotema">
    <w:name w:val="annotation subject"/>
    <w:basedOn w:val="Komentarotekstas"/>
    <w:next w:val="Komentarotekstas"/>
    <w:link w:val="KomentarotemaDiagrama"/>
    <w:uiPriority w:val="99"/>
    <w:semiHidden/>
    <w:unhideWhenUsed/>
    <w:rsid w:val="006A40C0"/>
    <w:rPr>
      <w:b/>
      <w:bCs/>
    </w:rPr>
  </w:style>
  <w:style w:type="character" w:customStyle="1" w:styleId="KomentarotemaDiagrama">
    <w:name w:val="Komentaro tema Diagrama"/>
    <w:basedOn w:val="KomentarotekstasDiagrama"/>
    <w:link w:val="Komentarotema"/>
    <w:uiPriority w:val="99"/>
    <w:semiHidden/>
    <w:rsid w:val="006A4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3734">
      <w:bodyDiv w:val="1"/>
      <w:marLeft w:val="0"/>
      <w:marRight w:val="0"/>
      <w:marTop w:val="0"/>
      <w:marBottom w:val="0"/>
      <w:divBdr>
        <w:top w:val="none" w:sz="0" w:space="0" w:color="auto"/>
        <w:left w:val="none" w:sz="0" w:space="0" w:color="auto"/>
        <w:bottom w:val="none" w:sz="0" w:space="0" w:color="auto"/>
        <w:right w:val="none" w:sz="0" w:space="0" w:color="auto"/>
      </w:divBdr>
    </w:div>
    <w:div w:id="140850814">
      <w:bodyDiv w:val="1"/>
      <w:marLeft w:val="0"/>
      <w:marRight w:val="0"/>
      <w:marTop w:val="0"/>
      <w:marBottom w:val="0"/>
      <w:divBdr>
        <w:top w:val="none" w:sz="0" w:space="0" w:color="auto"/>
        <w:left w:val="none" w:sz="0" w:space="0" w:color="auto"/>
        <w:bottom w:val="none" w:sz="0" w:space="0" w:color="auto"/>
        <w:right w:val="none" w:sz="0" w:space="0" w:color="auto"/>
      </w:divBdr>
    </w:div>
    <w:div w:id="242571994">
      <w:bodyDiv w:val="1"/>
      <w:marLeft w:val="0"/>
      <w:marRight w:val="0"/>
      <w:marTop w:val="0"/>
      <w:marBottom w:val="0"/>
      <w:divBdr>
        <w:top w:val="none" w:sz="0" w:space="0" w:color="auto"/>
        <w:left w:val="none" w:sz="0" w:space="0" w:color="auto"/>
        <w:bottom w:val="none" w:sz="0" w:space="0" w:color="auto"/>
        <w:right w:val="none" w:sz="0" w:space="0" w:color="auto"/>
      </w:divBdr>
    </w:div>
    <w:div w:id="279842956">
      <w:bodyDiv w:val="1"/>
      <w:marLeft w:val="0"/>
      <w:marRight w:val="0"/>
      <w:marTop w:val="0"/>
      <w:marBottom w:val="0"/>
      <w:divBdr>
        <w:top w:val="none" w:sz="0" w:space="0" w:color="auto"/>
        <w:left w:val="none" w:sz="0" w:space="0" w:color="auto"/>
        <w:bottom w:val="none" w:sz="0" w:space="0" w:color="auto"/>
        <w:right w:val="none" w:sz="0" w:space="0" w:color="auto"/>
      </w:divBdr>
    </w:div>
    <w:div w:id="465395964">
      <w:bodyDiv w:val="1"/>
      <w:marLeft w:val="0"/>
      <w:marRight w:val="0"/>
      <w:marTop w:val="0"/>
      <w:marBottom w:val="0"/>
      <w:divBdr>
        <w:top w:val="none" w:sz="0" w:space="0" w:color="auto"/>
        <w:left w:val="none" w:sz="0" w:space="0" w:color="auto"/>
        <w:bottom w:val="none" w:sz="0" w:space="0" w:color="auto"/>
        <w:right w:val="none" w:sz="0" w:space="0" w:color="auto"/>
      </w:divBdr>
    </w:div>
    <w:div w:id="805202198">
      <w:bodyDiv w:val="1"/>
      <w:marLeft w:val="0"/>
      <w:marRight w:val="0"/>
      <w:marTop w:val="0"/>
      <w:marBottom w:val="0"/>
      <w:divBdr>
        <w:top w:val="none" w:sz="0" w:space="0" w:color="auto"/>
        <w:left w:val="none" w:sz="0" w:space="0" w:color="auto"/>
        <w:bottom w:val="none" w:sz="0" w:space="0" w:color="auto"/>
        <w:right w:val="none" w:sz="0" w:space="0" w:color="auto"/>
      </w:divBdr>
    </w:div>
    <w:div w:id="874465138">
      <w:bodyDiv w:val="1"/>
      <w:marLeft w:val="0"/>
      <w:marRight w:val="0"/>
      <w:marTop w:val="0"/>
      <w:marBottom w:val="0"/>
      <w:divBdr>
        <w:top w:val="none" w:sz="0" w:space="0" w:color="auto"/>
        <w:left w:val="none" w:sz="0" w:space="0" w:color="auto"/>
        <w:bottom w:val="none" w:sz="0" w:space="0" w:color="auto"/>
        <w:right w:val="none" w:sz="0" w:space="0" w:color="auto"/>
      </w:divBdr>
    </w:div>
    <w:div w:id="982003294">
      <w:bodyDiv w:val="1"/>
      <w:marLeft w:val="0"/>
      <w:marRight w:val="0"/>
      <w:marTop w:val="0"/>
      <w:marBottom w:val="0"/>
      <w:divBdr>
        <w:top w:val="none" w:sz="0" w:space="0" w:color="auto"/>
        <w:left w:val="none" w:sz="0" w:space="0" w:color="auto"/>
        <w:bottom w:val="none" w:sz="0" w:space="0" w:color="auto"/>
        <w:right w:val="none" w:sz="0" w:space="0" w:color="auto"/>
      </w:divBdr>
    </w:div>
    <w:div w:id="1033460728">
      <w:bodyDiv w:val="1"/>
      <w:marLeft w:val="0"/>
      <w:marRight w:val="0"/>
      <w:marTop w:val="0"/>
      <w:marBottom w:val="0"/>
      <w:divBdr>
        <w:top w:val="none" w:sz="0" w:space="0" w:color="auto"/>
        <w:left w:val="none" w:sz="0" w:space="0" w:color="auto"/>
        <w:bottom w:val="none" w:sz="0" w:space="0" w:color="auto"/>
        <w:right w:val="none" w:sz="0" w:space="0" w:color="auto"/>
      </w:divBdr>
    </w:div>
    <w:div w:id="1127048277">
      <w:bodyDiv w:val="1"/>
      <w:marLeft w:val="0"/>
      <w:marRight w:val="0"/>
      <w:marTop w:val="0"/>
      <w:marBottom w:val="0"/>
      <w:divBdr>
        <w:top w:val="none" w:sz="0" w:space="0" w:color="auto"/>
        <w:left w:val="none" w:sz="0" w:space="0" w:color="auto"/>
        <w:bottom w:val="none" w:sz="0" w:space="0" w:color="auto"/>
        <w:right w:val="none" w:sz="0" w:space="0" w:color="auto"/>
      </w:divBdr>
    </w:div>
    <w:div w:id="1294017379">
      <w:bodyDiv w:val="1"/>
      <w:marLeft w:val="0"/>
      <w:marRight w:val="0"/>
      <w:marTop w:val="0"/>
      <w:marBottom w:val="0"/>
      <w:divBdr>
        <w:top w:val="none" w:sz="0" w:space="0" w:color="auto"/>
        <w:left w:val="none" w:sz="0" w:space="0" w:color="auto"/>
        <w:bottom w:val="none" w:sz="0" w:space="0" w:color="auto"/>
        <w:right w:val="none" w:sz="0" w:space="0" w:color="auto"/>
      </w:divBdr>
    </w:div>
    <w:div w:id="1341152875">
      <w:bodyDiv w:val="1"/>
      <w:marLeft w:val="0"/>
      <w:marRight w:val="0"/>
      <w:marTop w:val="0"/>
      <w:marBottom w:val="0"/>
      <w:divBdr>
        <w:top w:val="none" w:sz="0" w:space="0" w:color="auto"/>
        <w:left w:val="none" w:sz="0" w:space="0" w:color="auto"/>
        <w:bottom w:val="none" w:sz="0" w:space="0" w:color="auto"/>
        <w:right w:val="none" w:sz="0" w:space="0" w:color="auto"/>
      </w:divBdr>
    </w:div>
    <w:div w:id="1390230693">
      <w:bodyDiv w:val="1"/>
      <w:marLeft w:val="0"/>
      <w:marRight w:val="0"/>
      <w:marTop w:val="0"/>
      <w:marBottom w:val="0"/>
      <w:divBdr>
        <w:top w:val="none" w:sz="0" w:space="0" w:color="auto"/>
        <w:left w:val="none" w:sz="0" w:space="0" w:color="auto"/>
        <w:bottom w:val="none" w:sz="0" w:space="0" w:color="auto"/>
        <w:right w:val="none" w:sz="0" w:space="0" w:color="auto"/>
      </w:divBdr>
    </w:div>
    <w:div w:id="1575815981">
      <w:bodyDiv w:val="1"/>
      <w:marLeft w:val="0"/>
      <w:marRight w:val="0"/>
      <w:marTop w:val="0"/>
      <w:marBottom w:val="0"/>
      <w:divBdr>
        <w:top w:val="none" w:sz="0" w:space="0" w:color="auto"/>
        <w:left w:val="none" w:sz="0" w:space="0" w:color="auto"/>
        <w:bottom w:val="none" w:sz="0" w:space="0" w:color="auto"/>
        <w:right w:val="none" w:sz="0" w:space="0" w:color="auto"/>
      </w:divBdr>
    </w:div>
    <w:div w:id="1596791629">
      <w:bodyDiv w:val="1"/>
      <w:marLeft w:val="0"/>
      <w:marRight w:val="0"/>
      <w:marTop w:val="0"/>
      <w:marBottom w:val="0"/>
      <w:divBdr>
        <w:top w:val="none" w:sz="0" w:space="0" w:color="auto"/>
        <w:left w:val="none" w:sz="0" w:space="0" w:color="auto"/>
        <w:bottom w:val="none" w:sz="0" w:space="0" w:color="auto"/>
        <w:right w:val="none" w:sz="0" w:space="0" w:color="auto"/>
      </w:divBdr>
      <w:divsChild>
        <w:div w:id="509295230">
          <w:marLeft w:val="547"/>
          <w:marRight w:val="0"/>
          <w:marTop w:val="0"/>
          <w:marBottom w:val="0"/>
          <w:divBdr>
            <w:top w:val="none" w:sz="0" w:space="0" w:color="auto"/>
            <w:left w:val="none" w:sz="0" w:space="0" w:color="auto"/>
            <w:bottom w:val="none" w:sz="0" w:space="0" w:color="auto"/>
            <w:right w:val="none" w:sz="0" w:space="0" w:color="auto"/>
          </w:divBdr>
        </w:div>
        <w:div w:id="278683801">
          <w:marLeft w:val="547"/>
          <w:marRight w:val="0"/>
          <w:marTop w:val="0"/>
          <w:marBottom w:val="0"/>
          <w:divBdr>
            <w:top w:val="none" w:sz="0" w:space="0" w:color="auto"/>
            <w:left w:val="none" w:sz="0" w:space="0" w:color="auto"/>
            <w:bottom w:val="none" w:sz="0" w:space="0" w:color="auto"/>
            <w:right w:val="none" w:sz="0" w:space="0" w:color="auto"/>
          </w:divBdr>
        </w:div>
        <w:div w:id="560023399">
          <w:marLeft w:val="547"/>
          <w:marRight w:val="0"/>
          <w:marTop w:val="0"/>
          <w:marBottom w:val="0"/>
          <w:divBdr>
            <w:top w:val="none" w:sz="0" w:space="0" w:color="auto"/>
            <w:left w:val="none" w:sz="0" w:space="0" w:color="auto"/>
            <w:bottom w:val="none" w:sz="0" w:space="0" w:color="auto"/>
            <w:right w:val="none" w:sz="0" w:space="0" w:color="auto"/>
          </w:divBdr>
        </w:div>
      </w:divsChild>
    </w:div>
    <w:div w:id="1693720206">
      <w:bodyDiv w:val="1"/>
      <w:marLeft w:val="0"/>
      <w:marRight w:val="0"/>
      <w:marTop w:val="0"/>
      <w:marBottom w:val="0"/>
      <w:divBdr>
        <w:top w:val="none" w:sz="0" w:space="0" w:color="auto"/>
        <w:left w:val="none" w:sz="0" w:space="0" w:color="auto"/>
        <w:bottom w:val="none" w:sz="0" w:space="0" w:color="auto"/>
        <w:right w:val="none" w:sz="0" w:space="0" w:color="auto"/>
      </w:divBdr>
    </w:div>
    <w:div w:id="1743990063">
      <w:bodyDiv w:val="1"/>
      <w:marLeft w:val="0"/>
      <w:marRight w:val="0"/>
      <w:marTop w:val="0"/>
      <w:marBottom w:val="0"/>
      <w:divBdr>
        <w:top w:val="none" w:sz="0" w:space="0" w:color="auto"/>
        <w:left w:val="none" w:sz="0" w:space="0" w:color="auto"/>
        <w:bottom w:val="none" w:sz="0" w:space="0" w:color="auto"/>
        <w:right w:val="none" w:sz="0" w:space="0" w:color="auto"/>
      </w:divBdr>
    </w:div>
    <w:div w:id="1776827064">
      <w:bodyDiv w:val="1"/>
      <w:marLeft w:val="0"/>
      <w:marRight w:val="0"/>
      <w:marTop w:val="0"/>
      <w:marBottom w:val="0"/>
      <w:divBdr>
        <w:top w:val="none" w:sz="0" w:space="0" w:color="auto"/>
        <w:left w:val="none" w:sz="0" w:space="0" w:color="auto"/>
        <w:bottom w:val="none" w:sz="0" w:space="0" w:color="auto"/>
        <w:right w:val="none" w:sz="0" w:space="0" w:color="auto"/>
      </w:divBdr>
    </w:div>
    <w:div w:id="1971669962">
      <w:bodyDiv w:val="1"/>
      <w:marLeft w:val="0"/>
      <w:marRight w:val="0"/>
      <w:marTop w:val="0"/>
      <w:marBottom w:val="0"/>
      <w:divBdr>
        <w:top w:val="none" w:sz="0" w:space="0" w:color="auto"/>
        <w:left w:val="none" w:sz="0" w:space="0" w:color="auto"/>
        <w:bottom w:val="none" w:sz="0" w:space="0" w:color="auto"/>
        <w:right w:val="none" w:sz="0" w:space="0" w:color="auto"/>
      </w:divBdr>
    </w:div>
    <w:div w:id="2009675685">
      <w:bodyDiv w:val="1"/>
      <w:marLeft w:val="0"/>
      <w:marRight w:val="0"/>
      <w:marTop w:val="0"/>
      <w:marBottom w:val="0"/>
      <w:divBdr>
        <w:top w:val="none" w:sz="0" w:space="0" w:color="auto"/>
        <w:left w:val="none" w:sz="0" w:space="0" w:color="auto"/>
        <w:bottom w:val="none" w:sz="0" w:space="0" w:color="auto"/>
        <w:right w:val="none" w:sz="0" w:space="0" w:color="auto"/>
      </w:divBdr>
    </w:div>
    <w:div w:id="2073650919">
      <w:bodyDiv w:val="1"/>
      <w:marLeft w:val="0"/>
      <w:marRight w:val="0"/>
      <w:marTop w:val="0"/>
      <w:marBottom w:val="0"/>
      <w:divBdr>
        <w:top w:val="none" w:sz="0" w:space="0" w:color="auto"/>
        <w:left w:val="none" w:sz="0" w:space="0" w:color="auto"/>
        <w:bottom w:val="none" w:sz="0" w:space="0" w:color="auto"/>
        <w:right w:val="none" w:sz="0" w:space="0" w:color="auto"/>
      </w:divBdr>
      <w:divsChild>
        <w:div w:id="19617207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Lapas1!$H$22</c:f>
              <c:strCache>
                <c:ptCount val="1"/>
                <c:pt idx="0">
                  <c:v>Išmokėta projektų vykdytojams</c:v>
                </c:pt>
              </c:strCache>
            </c:strRef>
          </c:tx>
          <c:invertIfNegative val="0"/>
          <c:dLbls>
            <c:txPr>
              <a:bodyPr/>
              <a:lstStyle/>
              <a:p>
                <a:pPr>
                  <a:defRPr b="1"/>
                </a:pPr>
                <a:endParaRPr lang="lt-LT"/>
              </a:p>
            </c:txPr>
            <c:showLegendKey val="0"/>
            <c:showVal val="1"/>
            <c:showCatName val="0"/>
            <c:showSerName val="0"/>
            <c:showPercent val="0"/>
            <c:showBubbleSize val="0"/>
            <c:showLeaderLines val="0"/>
          </c:dLbls>
          <c:cat>
            <c:numRef>
              <c:f>Lapas1!$G$23:$G$25</c:f>
              <c:numCache>
                <c:formatCode>General</c:formatCode>
                <c:ptCount val="3"/>
                <c:pt idx="0">
                  <c:v>2013</c:v>
                </c:pt>
                <c:pt idx="1">
                  <c:v>2014</c:v>
                </c:pt>
                <c:pt idx="2">
                  <c:v>2015</c:v>
                </c:pt>
              </c:numCache>
            </c:numRef>
          </c:cat>
          <c:val>
            <c:numRef>
              <c:f>Lapas1!$H$23:$H$25</c:f>
              <c:numCache>
                <c:formatCode>0%</c:formatCode>
                <c:ptCount val="3"/>
                <c:pt idx="0">
                  <c:v>0.73529411764705888</c:v>
                </c:pt>
                <c:pt idx="1">
                  <c:v>0.88235294117647056</c:v>
                </c:pt>
                <c:pt idx="2">
                  <c:v>1</c:v>
                </c:pt>
              </c:numCache>
            </c:numRef>
          </c:val>
        </c:ser>
        <c:ser>
          <c:idx val="1"/>
          <c:order val="1"/>
          <c:tx>
            <c:strRef>
              <c:f>Lapas1!$I$22</c:f>
              <c:strCache>
                <c:ptCount val="1"/>
                <c:pt idx="0">
                  <c:v>Projektams paskirstyta pagal pasirašytas sutartis</c:v>
                </c:pt>
              </c:strCache>
            </c:strRef>
          </c:tx>
          <c:spPr>
            <a:solidFill>
              <a:srgbClr val="FFC000"/>
            </a:solidFill>
          </c:spPr>
          <c:invertIfNegative val="0"/>
          <c:dLbls>
            <c:dLbl>
              <c:idx val="0"/>
              <c:tx>
                <c:rich>
                  <a:bodyPr/>
                  <a:lstStyle/>
                  <a:p>
                    <a:r>
                      <a:rPr lang="en-US"/>
                      <a:t>99%</a:t>
                    </a:r>
                  </a:p>
                </c:rich>
              </c:tx>
              <c:showLegendKey val="0"/>
              <c:showVal val="1"/>
              <c:showCatName val="0"/>
              <c:showSerName val="0"/>
              <c:showPercent val="0"/>
              <c:showBubbleSize val="0"/>
            </c:dLbl>
            <c:dLbl>
              <c:idx val="1"/>
              <c:tx>
                <c:rich>
                  <a:bodyPr/>
                  <a:lstStyle/>
                  <a:p>
                    <a:r>
                      <a:rPr lang="en-US"/>
                      <a:t>100%</a:t>
                    </a:r>
                  </a:p>
                </c:rich>
              </c:tx>
              <c:showLegendKey val="0"/>
              <c:showVal val="1"/>
              <c:showCatName val="0"/>
              <c:showSerName val="0"/>
              <c:showPercent val="0"/>
              <c:showBubbleSize val="0"/>
            </c:dLbl>
            <c:dLbl>
              <c:idx val="2"/>
              <c:delete val="1"/>
            </c:dLbl>
            <c:txPr>
              <a:bodyPr/>
              <a:lstStyle/>
              <a:p>
                <a:pPr>
                  <a:defRPr b="1"/>
                </a:pPr>
                <a:endParaRPr lang="lt-LT"/>
              </a:p>
            </c:txPr>
            <c:showLegendKey val="0"/>
            <c:showVal val="1"/>
            <c:showCatName val="0"/>
            <c:showSerName val="0"/>
            <c:showPercent val="0"/>
            <c:showBubbleSize val="0"/>
            <c:showLeaderLines val="0"/>
          </c:dLbls>
          <c:cat>
            <c:numRef>
              <c:f>Lapas1!$G$23:$G$25</c:f>
              <c:numCache>
                <c:formatCode>General</c:formatCode>
                <c:ptCount val="3"/>
                <c:pt idx="0">
                  <c:v>2013</c:v>
                </c:pt>
                <c:pt idx="1">
                  <c:v>2014</c:v>
                </c:pt>
                <c:pt idx="2">
                  <c:v>2015</c:v>
                </c:pt>
              </c:numCache>
            </c:numRef>
          </c:cat>
          <c:val>
            <c:numRef>
              <c:f>Lapas1!$I$23:$I$25</c:f>
              <c:numCache>
                <c:formatCode>0%</c:formatCode>
                <c:ptCount val="3"/>
                <c:pt idx="0">
                  <c:v>0.25000000000000006</c:v>
                </c:pt>
                <c:pt idx="1">
                  <c:v>0.11764705882352938</c:v>
                </c:pt>
                <c:pt idx="2">
                  <c:v>0</c:v>
                </c:pt>
              </c:numCache>
            </c:numRef>
          </c:val>
        </c:ser>
        <c:ser>
          <c:idx val="2"/>
          <c:order val="2"/>
          <c:tx>
            <c:strRef>
              <c:f>Lapas1!$J$22</c:f>
              <c:strCache>
                <c:ptCount val="1"/>
                <c:pt idx="0">
                  <c:v>Nepaskirstyta</c:v>
                </c:pt>
              </c:strCache>
            </c:strRef>
          </c:tx>
          <c:invertIfNegative val="0"/>
          <c:dLbls>
            <c:dLbl>
              <c:idx val="1"/>
              <c:delete val="1"/>
            </c:dLbl>
            <c:dLbl>
              <c:idx val="2"/>
              <c:delete val="1"/>
            </c:dLbl>
            <c:txPr>
              <a:bodyPr/>
              <a:lstStyle/>
              <a:p>
                <a:pPr>
                  <a:defRPr b="1"/>
                </a:pPr>
                <a:endParaRPr lang="lt-LT"/>
              </a:p>
            </c:txPr>
            <c:showLegendKey val="0"/>
            <c:showVal val="1"/>
            <c:showCatName val="0"/>
            <c:showSerName val="0"/>
            <c:showPercent val="0"/>
            <c:showBubbleSize val="0"/>
            <c:showLeaderLines val="0"/>
          </c:dLbls>
          <c:cat>
            <c:numRef>
              <c:f>Lapas1!$G$23:$G$25</c:f>
              <c:numCache>
                <c:formatCode>General</c:formatCode>
                <c:ptCount val="3"/>
                <c:pt idx="0">
                  <c:v>2013</c:v>
                </c:pt>
                <c:pt idx="1">
                  <c:v>2014</c:v>
                </c:pt>
                <c:pt idx="2">
                  <c:v>2015</c:v>
                </c:pt>
              </c:numCache>
            </c:numRef>
          </c:cat>
          <c:val>
            <c:numRef>
              <c:f>Lapas1!$J$23:$J$25</c:f>
              <c:numCache>
                <c:formatCode>0%</c:formatCode>
                <c:ptCount val="3"/>
                <c:pt idx="0">
                  <c:v>1.4705882352941124E-2</c:v>
                </c:pt>
                <c:pt idx="1">
                  <c:v>0</c:v>
                </c:pt>
                <c:pt idx="2">
                  <c:v>0</c:v>
                </c:pt>
              </c:numCache>
            </c:numRef>
          </c:val>
        </c:ser>
        <c:dLbls>
          <c:showLegendKey val="0"/>
          <c:showVal val="0"/>
          <c:showCatName val="0"/>
          <c:showSerName val="0"/>
          <c:showPercent val="0"/>
          <c:showBubbleSize val="0"/>
        </c:dLbls>
        <c:gapWidth val="150"/>
        <c:overlap val="100"/>
        <c:axId val="256776832"/>
        <c:axId val="256799104"/>
      </c:barChart>
      <c:catAx>
        <c:axId val="256776832"/>
        <c:scaling>
          <c:orientation val="minMax"/>
        </c:scaling>
        <c:delete val="0"/>
        <c:axPos val="b"/>
        <c:numFmt formatCode="General" sourceLinked="1"/>
        <c:majorTickMark val="out"/>
        <c:minorTickMark val="none"/>
        <c:tickLblPos val="nextTo"/>
        <c:txPr>
          <a:bodyPr/>
          <a:lstStyle/>
          <a:p>
            <a:pPr>
              <a:defRPr b="1"/>
            </a:pPr>
            <a:endParaRPr lang="lt-LT"/>
          </a:p>
        </c:txPr>
        <c:crossAx val="256799104"/>
        <c:crosses val="autoZero"/>
        <c:auto val="1"/>
        <c:lblAlgn val="ctr"/>
        <c:lblOffset val="100"/>
        <c:noMultiLvlLbl val="0"/>
      </c:catAx>
      <c:valAx>
        <c:axId val="256799104"/>
        <c:scaling>
          <c:orientation val="minMax"/>
          <c:max val="1"/>
          <c:min val="0.60000000000000009"/>
        </c:scaling>
        <c:delete val="0"/>
        <c:axPos val="l"/>
        <c:majorGridlines/>
        <c:numFmt formatCode="0%" sourceLinked="1"/>
        <c:majorTickMark val="out"/>
        <c:minorTickMark val="none"/>
        <c:tickLblPos val="nextTo"/>
        <c:crossAx val="256776832"/>
        <c:crosses val="autoZero"/>
        <c:crossBetween val="between"/>
      </c:valAx>
    </c:plotArea>
    <c:legend>
      <c:legendPos val="r"/>
      <c:overlay val="0"/>
      <c:txPr>
        <a:bodyPr/>
        <a:lstStyle/>
        <a:p>
          <a:pPr>
            <a:defRPr b="1"/>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2756-6E38-420E-8210-E0378A8B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4947</Words>
  <Characters>2820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Beržinytė</dc:creator>
  <cp:lastModifiedBy>Jonas Balkevičius</cp:lastModifiedBy>
  <cp:revision>3</cp:revision>
  <cp:lastPrinted>2016-06-02T11:15:00Z</cp:lastPrinted>
  <dcterms:created xsi:type="dcterms:W3CDTF">2016-06-08T05:47:00Z</dcterms:created>
  <dcterms:modified xsi:type="dcterms:W3CDTF">2016-06-08T05:47:00Z</dcterms:modified>
</cp:coreProperties>
</file>