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4" w:rsidRPr="00655494" w:rsidRDefault="00655494" w:rsidP="00726872">
      <w:pPr>
        <w:spacing w:after="0" w:line="240" w:lineRule="auto"/>
        <w:ind w:left="7797" w:right="-881"/>
        <w:jc w:val="both"/>
        <w:rPr>
          <w:rFonts w:ascii="Times New Roman" w:eastAsia="Calibri" w:hAnsi="Times New Roman" w:cs="Times New Roman"/>
          <w:sz w:val="24"/>
          <w:szCs w:val="24"/>
        </w:rPr>
      </w:pPr>
      <w:bookmarkStart w:id="0" w:name="_GoBack"/>
      <w:bookmarkEnd w:id="0"/>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Pr="00655494">
        <w:rPr>
          <w:rFonts w:ascii="Times New Roman" w:eastAsia="Calibri" w:hAnsi="Times New Roman" w:cs="Times New Roman"/>
          <w:sz w:val="24"/>
          <w:szCs w:val="24"/>
        </w:rPr>
        <w:t>1 prioriteto „Mokslinių tyrimų, eksperimentinės plėtros ir inovacijų skatinimas“</w:t>
      </w:r>
      <w:r w:rsidR="00AC1F8D">
        <w:rPr>
          <w:rFonts w:ascii="Times New Roman" w:eastAsia="Calibri" w:hAnsi="Times New Roman" w:cs="Times New Roman"/>
          <w:sz w:val="24"/>
          <w:szCs w:val="24"/>
        </w:rPr>
        <w:t xml:space="preserve"> priemonės Nr. 01.2.2-CPVA-K-703 „Kompetencijos centrų ir inovacijų ir technologijų perdavimo centrų veiklos skatinimas</w:t>
      </w:r>
      <w:r w:rsidRPr="00655494">
        <w:rPr>
          <w:rFonts w:ascii="Times New Roman" w:eastAsia="Calibri" w:hAnsi="Times New Roman" w:cs="Times New Roman"/>
          <w:sz w:val="24"/>
          <w:szCs w:val="24"/>
        </w:rPr>
        <w:t>“ projektų</w:t>
      </w:r>
      <w:r w:rsidR="00916F0B">
        <w:rPr>
          <w:rFonts w:ascii="Times New Roman" w:eastAsia="Calibri" w:hAnsi="Times New Roman" w:cs="Times New Roman"/>
          <w:sz w:val="24"/>
          <w:szCs w:val="24"/>
        </w:rPr>
        <w:t xml:space="preserve"> finansavimo sąlygų aprašo Nr. 2</w:t>
      </w:r>
    </w:p>
    <w:p w:rsidR="00655494" w:rsidRPr="00655494" w:rsidRDefault="00655494" w:rsidP="00726872">
      <w:pPr>
        <w:spacing w:after="0" w:line="240" w:lineRule="auto"/>
        <w:ind w:left="7371" w:firstLine="405"/>
        <w:jc w:val="both"/>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rsidTr="000265C2">
        <w:trPr>
          <w:trHeight w:val="20"/>
        </w:trPr>
        <w:tc>
          <w:tcPr>
            <w:tcW w:w="14940" w:type="dxa"/>
            <w:tcBorders>
              <w:top w:val="nil"/>
              <w:left w:val="nil"/>
              <w:right w:val="nil"/>
            </w:tcBorders>
          </w:tcPr>
          <w:p w:rsidR="00655494" w:rsidRPr="00655494" w:rsidRDefault="00655494" w:rsidP="00655494">
            <w:pPr>
              <w:spacing w:after="0" w:line="276" w:lineRule="auto"/>
              <w:jc w:val="center"/>
              <w:rPr>
                <w:rFonts w:ascii="Times New Roman" w:eastAsia="Calibri" w:hAnsi="Times New Roman" w:cs="Times New Roman"/>
                <w:b/>
                <w:bCs/>
                <w:caps/>
                <w:sz w:val="24"/>
                <w:szCs w:val="24"/>
              </w:rPr>
            </w:pPr>
          </w:p>
          <w:p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rsidR="00655494" w:rsidRDefault="00655494" w:rsidP="00655494">
            <w:pPr>
              <w:spacing w:after="0" w:line="276" w:lineRule="auto"/>
              <w:ind w:right="373"/>
              <w:rPr>
                <w:rFonts w:ascii="Times New Roman" w:eastAsia="Calibri" w:hAnsi="Times New Roman" w:cs="Times New Roman"/>
                <w:b/>
                <w:sz w:val="24"/>
                <w:szCs w:val="24"/>
              </w:rPr>
            </w:pPr>
          </w:p>
          <w:p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rsidTr="000265C2">
              <w:trPr>
                <w:trHeight w:val="276"/>
              </w:trPr>
              <w:tc>
                <w:tcPr>
                  <w:tcW w:w="3006"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rsidR="00655494" w:rsidRPr="00E75124" w:rsidRDefault="00655494" w:rsidP="00655494">
                  <w:pPr>
                    <w:keepNext/>
                    <w:spacing w:after="0" w:line="240" w:lineRule="auto"/>
                    <w:jc w:val="center"/>
                    <w:rPr>
                      <w:rFonts w:ascii="Times New Roman" w:eastAsia="Calibri" w:hAnsi="Times New Roman" w:cs="Times New Roman"/>
                      <w:b/>
                      <w:bCs/>
                      <w:caps/>
                      <w:sz w:val="24"/>
                      <w:szCs w:val="24"/>
                    </w:rPr>
                  </w:pPr>
                  <w:r w:rsidRPr="00E7512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655494" w:rsidRPr="00655494" w:rsidTr="000265C2">
              <w:trPr>
                <w:trHeight w:val="276"/>
              </w:trPr>
              <w:tc>
                <w:tcPr>
                  <w:tcW w:w="3006" w:type="dxa"/>
                  <w:vMerge/>
                  <w:shd w:val="clear" w:color="auto" w:fill="auto"/>
                </w:tcPr>
                <w:p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rsidR="00655494" w:rsidRPr="00E7512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3006" w:type="dxa"/>
                  <w:shd w:val="clear" w:color="auto" w:fill="auto"/>
                </w:tcPr>
                <w:p w:rsidR="00655494" w:rsidRPr="00655494" w:rsidRDefault="00655494" w:rsidP="00D05767">
                  <w:pPr>
                    <w:spacing w:after="0" w:line="240" w:lineRule="auto"/>
                    <w:jc w:val="both"/>
                    <w:rPr>
                      <w:rFonts w:ascii="Times New Roman" w:eastAsia="Calibri" w:hAnsi="Times New Roman" w:cs="Times New Roman"/>
                      <w:b/>
                      <w:bCs/>
                      <w:caps/>
                      <w:sz w:val="24"/>
                      <w:szCs w:val="24"/>
                    </w:rPr>
                  </w:pPr>
                  <w:r w:rsidRPr="00655494">
                    <w:rPr>
                      <w:rFonts w:ascii="Times New Roman" w:eastAsia="Times New Roman" w:hAnsi="Times New Roman" w:cs="Times New Roman"/>
                      <w:b/>
                      <w:bCs/>
                      <w:sz w:val="24"/>
                      <w:szCs w:val="24"/>
                      <w:lang w:eastAsia="lt-LT"/>
                    </w:rPr>
                    <w:t xml:space="preserve">1. </w:t>
                  </w:r>
                  <w:r w:rsidR="00080BC7" w:rsidRPr="00080BC7">
                    <w:rPr>
                      <w:rFonts w:ascii="Times New Roman" w:eastAsia="Times New Roman" w:hAnsi="Times New Roman" w:cs="Times New Roman"/>
                      <w:b/>
                      <w:bCs/>
                      <w:sz w:val="24"/>
                      <w:szCs w:val="24"/>
                      <w:lang w:eastAsia="lt-LT"/>
                    </w:rPr>
                    <w:t>Pareiškėjų ir partnerių pasirengimas vykdyti mokslo vadybos arba žinių ir technologijų perdavimo veiklas.</w:t>
                  </w:r>
                </w:p>
              </w:tc>
              <w:tc>
                <w:tcPr>
                  <w:tcW w:w="6271" w:type="dxa"/>
                  <w:shd w:val="clear" w:color="auto" w:fill="auto"/>
                </w:tcPr>
                <w:p w:rsidR="006C7CA2"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080BC7">
                    <w:rPr>
                      <w:rFonts w:ascii="Times New Roman" w:eastAsia="Times New Roman" w:hAnsi="Times New Roman" w:cs="Times New Roman"/>
                      <w:color w:val="000000"/>
                      <w:sz w:val="24"/>
                      <w:szCs w:val="24"/>
                    </w:rPr>
                    <w:t>Prioritetas teikiamas projektams, kurių pareiškėjo/</w:t>
                  </w:r>
                  <w:r w:rsidRPr="00080BC7">
                    <w:rPr>
                      <w:rFonts w:ascii="Times New Roman" w:eastAsia="Times New Roman" w:hAnsi="Times New Roman" w:cs="Times New Roman"/>
                      <w:bCs/>
                      <w:iCs/>
                      <w:color w:val="000000"/>
                      <w:sz w:val="24"/>
                      <w:szCs w:val="24"/>
                    </w:rPr>
                    <w:t>partnerio</w:t>
                  </w:r>
                  <w:r w:rsidRPr="00080BC7">
                    <w:rPr>
                      <w:rFonts w:ascii="Times New Roman" w:eastAsia="Times New Roman" w:hAnsi="Times New Roman" w:cs="Times New Roman"/>
                      <w:color w:val="000000"/>
                      <w:sz w:val="24"/>
                      <w:szCs w:val="24"/>
                    </w:rPr>
                    <w:t xml:space="preserve"> </w:t>
                  </w:r>
                  <w:r w:rsidRPr="00080BC7">
                    <w:rPr>
                      <w:rFonts w:ascii="Times New Roman" w:eastAsia="Times New Roman" w:hAnsi="Times New Roman" w:cs="Times New Roman"/>
                      <w:bCs/>
                      <w:iCs/>
                      <w:color w:val="000000"/>
                      <w:sz w:val="24"/>
                      <w:szCs w:val="24"/>
                    </w:rPr>
                    <w:t>veiklai vystyti</w:t>
                  </w:r>
                  <w:r w:rsidRPr="00080BC7">
                    <w:rPr>
                      <w:rFonts w:ascii="Times New Roman" w:eastAsia="Times New Roman" w:hAnsi="Times New Roman" w:cs="Times New Roman"/>
                      <w:color w:val="000000"/>
                      <w:sz w:val="24"/>
                      <w:szCs w:val="24"/>
                    </w:rPr>
                    <w:t xml:space="preserve"> </w:t>
                  </w:r>
                  <w:r w:rsidRPr="00080BC7">
                    <w:rPr>
                      <w:rFonts w:ascii="Times New Roman" w:eastAsia="Times New Roman" w:hAnsi="Times New Roman" w:cs="Times New Roman"/>
                      <w:bCs/>
                      <w:iCs/>
                      <w:color w:val="000000"/>
                      <w:sz w:val="24"/>
                      <w:szCs w:val="24"/>
                    </w:rPr>
                    <w:t>buvo parengta</w:t>
                  </w:r>
                  <w:r w:rsidRPr="00080BC7">
                    <w:rPr>
                      <w:rFonts w:ascii="Times New Roman" w:eastAsia="Times New Roman" w:hAnsi="Times New Roman" w:cs="Times New Roman"/>
                      <w:color w:val="000000"/>
                      <w:sz w:val="24"/>
                      <w:szCs w:val="24"/>
                    </w:rPr>
                    <w:t xml:space="preserve">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ir (ar) žinių ir technologijų perdavimo struktūrinių padalinių ir (ar) organizacinių vienetų, įskaitant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ir (ar) žinių ir technologijų perdavimo funkcijas atliekančius atskirus juridinius asmenis, plėtros galimybių studij</w:t>
                  </w:r>
                  <w:r w:rsidRPr="00080BC7">
                    <w:rPr>
                      <w:rFonts w:ascii="Times New Roman" w:eastAsia="Times New Roman" w:hAnsi="Times New Roman" w:cs="Times New Roman"/>
                      <w:bCs/>
                      <w:iCs/>
                      <w:color w:val="000000"/>
                      <w:sz w:val="24"/>
                      <w:szCs w:val="24"/>
                    </w:rPr>
                    <w:t>a,</w:t>
                  </w:r>
                  <w:r w:rsidRPr="00080BC7">
                    <w:rPr>
                      <w:rFonts w:ascii="Times New Roman" w:eastAsia="Times New Roman" w:hAnsi="Times New Roman" w:cs="Times New Roman"/>
                      <w:sz w:val="24"/>
                      <w:szCs w:val="24"/>
                    </w:rPr>
                    <w:t xml:space="preserve"> </w:t>
                  </w:r>
                  <w:r w:rsidRPr="00080BC7">
                    <w:rPr>
                      <w:rFonts w:ascii="Times New Roman" w:eastAsia="Times New Roman" w:hAnsi="Times New Roman" w:cs="Times New Roman"/>
                      <w:bCs/>
                      <w:iCs/>
                      <w:color w:val="000000"/>
                      <w:sz w:val="24"/>
                      <w:szCs w:val="24"/>
                    </w:rPr>
                    <w:t>vadovaujantis </w:t>
                  </w:r>
                  <w:hyperlink r:id="rId5" w:history="1">
                    <w:r w:rsidRPr="00080BC7">
                      <w:rPr>
                        <w:rFonts w:ascii="Times New Roman" w:eastAsia="Times New Roman" w:hAnsi="Times New Roman" w:cs="Times New Roman"/>
                        <w:bCs/>
                        <w:iCs/>
                        <w:color w:val="0000FF"/>
                        <w:sz w:val="24"/>
                        <w:szCs w:val="24"/>
                        <w:u w:val="single"/>
                      </w:rPr>
                      <w:t xml:space="preserve">Mokslo ir studijų institucijų mokslinių tyrimų ir eksperimentinės plėtros rezultatų </w:t>
                    </w:r>
                    <w:proofErr w:type="spellStart"/>
                    <w:r w:rsidRPr="00080BC7">
                      <w:rPr>
                        <w:rFonts w:ascii="Times New Roman" w:eastAsia="Times New Roman" w:hAnsi="Times New Roman" w:cs="Times New Roman"/>
                        <w:bCs/>
                        <w:iCs/>
                        <w:color w:val="0000FF"/>
                        <w:sz w:val="24"/>
                        <w:szCs w:val="24"/>
                        <w:u w:val="single"/>
                      </w:rPr>
                      <w:t>komercinimo</w:t>
                    </w:r>
                    <w:proofErr w:type="spellEnd"/>
                    <w:r w:rsidRPr="00080BC7">
                      <w:rPr>
                        <w:rFonts w:ascii="Times New Roman" w:eastAsia="Times New Roman" w:hAnsi="Times New Roman" w:cs="Times New Roman"/>
                        <w:bCs/>
                        <w:iCs/>
                        <w:color w:val="0000FF"/>
                        <w:sz w:val="24"/>
                        <w:szCs w:val="24"/>
                        <w:u w:val="single"/>
                      </w:rPr>
                      <w:t xml:space="preserve"> plėtros projektų konkursinio finansavimo tvarkos aprašu, patvirtintu Mokslo, inovacijų ir technologijų agentūros direktoriaus 2014 m. rugsėjo 9 d. įsakymu Nr. 2V-109</w:t>
                    </w:r>
                  </w:hyperlink>
                  <w:r w:rsidRPr="00080BC7">
                    <w:rPr>
                      <w:rFonts w:ascii="Times New Roman" w:eastAsia="Times New Roman" w:hAnsi="Times New Roman" w:cs="Times New Roman"/>
                      <w:color w:val="000000"/>
                      <w:sz w:val="24"/>
                      <w:szCs w:val="24"/>
                    </w:rPr>
                    <w:t>.</w:t>
                  </w:r>
                </w:p>
              </w:tc>
              <w:tc>
                <w:tcPr>
                  <w:tcW w:w="1984" w:type="dxa"/>
                  <w:shd w:val="clear" w:color="auto" w:fill="auto"/>
                </w:tcPr>
                <w:p w:rsidR="00655494" w:rsidRPr="00E75124" w:rsidRDefault="00080BC7" w:rsidP="00655494">
                  <w:pPr>
                    <w:spacing w:after="0" w:line="240" w:lineRule="auto"/>
                    <w:jc w:val="center"/>
                    <w:rPr>
                      <w:rFonts w:ascii="Times New Roman" w:eastAsia="Calibri" w:hAnsi="Times New Roman" w:cs="Times New Roman"/>
                      <w:bCs/>
                      <w:sz w:val="24"/>
                      <w:szCs w:val="24"/>
                      <w:lang w:val="en-US"/>
                    </w:rPr>
                  </w:pPr>
                  <w:r w:rsidRPr="00E75124">
                    <w:rPr>
                      <w:rFonts w:ascii="Times New Roman" w:eastAsia="Calibri" w:hAnsi="Times New Roman" w:cs="Times New Roman"/>
                      <w:bCs/>
                      <w:sz w:val="24"/>
                      <w:szCs w:val="24"/>
                      <w:lang w:val="en-US"/>
                    </w:rPr>
                    <w:t>10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080BC7" w:rsidRPr="00080BC7" w:rsidRDefault="00655494" w:rsidP="00080BC7">
                  <w:pPr>
                    <w:spacing w:line="240" w:lineRule="auto"/>
                    <w:rPr>
                      <w:rFonts w:ascii="Times New Roman" w:eastAsia="Times New Roman" w:hAnsi="Times New Roman" w:cs="Times New Roman"/>
                      <w:bCs/>
                      <w:i/>
                      <w:color w:val="000000"/>
                      <w:sz w:val="24"/>
                      <w:szCs w:val="24"/>
                      <w:lang w:eastAsia="lt-LT"/>
                    </w:rPr>
                  </w:pPr>
                  <w:r w:rsidRPr="00655494">
                    <w:rPr>
                      <w:rFonts w:ascii="Times New Roman" w:eastAsia="Calibri" w:hAnsi="Times New Roman" w:cs="Times New Roman"/>
                      <w:b/>
                      <w:bCs/>
                      <w:caps/>
                      <w:sz w:val="24"/>
                      <w:szCs w:val="24"/>
                    </w:rPr>
                    <w:lastRenderedPageBreak/>
                    <w:t xml:space="preserve">2. </w:t>
                  </w:r>
                  <w:r w:rsidR="00080BC7" w:rsidRPr="00080BC7">
                    <w:rPr>
                      <w:rFonts w:ascii="Times New Roman" w:eastAsia="Times New Roman" w:hAnsi="Times New Roman" w:cs="Times New Roman"/>
                      <w:b/>
                      <w:bCs/>
                      <w:sz w:val="24"/>
                      <w:szCs w:val="24"/>
                      <w:lang w:eastAsia="lt-LT"/>
                    </w:rPr>
                    <w:t xml:space="preserve">Projekto pareiškėjas turi veikiančią </w:t>
                  </w:r>
                  <w:r w:rsidR="00080BC7" w:rsidRPr="00080BC7">
                    <w:rPr>
                      <w:rFonts w:ascii="Times New Roman" w:eastAsia="Times New Roman" w:hAnsi="Times New Roman" w:cs="Times New Roman"/>
                      <w:b/>
                      <w:color w:val="000000"/>
                      <w:sz w:val="24"/>
                      <w:szCs w:val="24"/>
                    </w:rPr>
                    <w:t xml:space="preserve">MTEP rezultatų </w:t>
                  </w:r>
                  <w:proofErr w:type="spellStart"/>
                  <w:r w:rsidR="00080BC7" w:rsidRPr="00080BC7">
                    <w:rPr>
                      <w:rFonts w:ascii="Times New Roman" w:eastAsia="Times New Roman" w:hAnsi="Times New Roman" w:cs="Times New Roman"/>
                      <w:b/>
                      <w:color w:val="000000"/>
                      <w:sz w:val="24"/>
                      <w:szCs w:val="24"/>
                    </w:rPr>
                    <w:t>komercinimo</w:t>
                  </w:r>
                  <w:proofErr w:type="spellEnd"/>
                  <w:r w:rsidR="00080BC7" w:rsidRPr="00080BC7">
                    <w:rPr>
                      <w:rFonts w:ascii="Times New Roman" w:eastAsia="Times New Roman" w:hAnsi="Times New Roman" w:cs="Times New Roman"/>
                      <w:b/>
                      <w:color w:val="000000"/>
                      <w:sz w:val="24"/>
                      <w:szCs w:val="24"/>
                    </w:rPr>
                    <w:t xml:space="preserve"> ir (ar) žinių ir technologijų perdavimo organizacinę struktūrą.</w:t>
                  </w:r>
                </w:p>
                <w:p w:rsidR="00D05767" w:rsidRPr="00655494" w:rsidRDefault="00D05767" w:rsidP="00080BC7">
                  <w:pPr>
                    <w:spacing w:after="0" w:line="240" w:lineRule="auto"/>
                    <w:jc w:val="both"/>
                    <w:rPr>
                      <w:rFonts w:ascii="Times New Roman" w:eastAsia="Calibri" w:hAnsi="Times New Roman" w:cs="Times New Roman"/>
                      <w:b/>
                      <w:bCs/>
                      <w:caps/>
                      <w:sz w:val="24"/>
                      <w:szCs w:val="24"/>
                    </w:rPr>
                  </w:pPr>
                </w:p>
              </w:tc>
              <w:tc>
                <w:tcPr>
                  <w:tcW w:w="6271" w:type="dxa"/>
                  <w:shd w:val="clear" w:color="auto" w:fill="auto"/>
                </w:tcPr>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rPr>
                  </w:pPr>
                  <w:r w:rsidRPr="00080BC7">
                    <w:rPr>
                      <w:rFonts w:ascii="Times New Roman" w:eastAsia="Times New Roman" w:hAnsi="Times New Roman" w:cs="Times New Roman"/>
                      <w:sz w:val="24"/>
                      <w:szCs w:val="24"/>
                    </w:rPr>
                    <w:t>Prioritetas teikiamas projektams, kurių pareiškėjas yra įsteigęs vidinius specializuotus padalinius mokslo vadybos, žinių ir technologijų perdavimo ir MTEP paslaugų plėtros funkcijoms vykdyti arba šių funkcijų vykdymui turi sutartis su kita mokslo ir studijų institucija(-</w:t>
                  </w:r>
                  <w:proofErr w:type="spellStart"/>
                  <w:r w:rsidRPr="00080BC7">
                    <w:rPr>
                      <w:rFonts w:ascii="Times New Roman" w:eastAsia="Times New Roman" w:hAnsi="Times New Roman" w:cs="Times New Roman"/>
                      <w:sz w:val="24"/>
                      <w:szCs w:val="24"/>
                    </w:rPr>
                    <w:t>omis</w:t>
                  </w:r>
                  <w:proofErr w:type="spellEnd"/>
                  <w:r w:rsidRPr="00080BC7">
                    <w:rPr>
                      <w:rFonts w:ascii="Times New Roman" w:eastAsia="Times New Roman" w:hAnsi="Times New Roman" w:cs="Times New Roman"/>
                      <w:sz w:val="24"/>
                      <w:szCs w:val="24"/>
                    </w:rPr>
                    <w:t>) ar šių funkcijų vykdymui yra įsteigusi atskirą  juridinį asmenį.</w:t>
                  </w:r>
                </w:p>
                <w:p w:rsidR="006C7CA2" w:rsidRPr="00AC1F8D"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rPr>
                  </w:pPr>
                  <w:r w:rsidRPr="00080BC7">
                    <w:rPr>
                      <w:rFonts w:ascii="Times New Roman" w:eastAsia="Times New Roman" w:hAnsi="Times New Roman" w:cs="Times New Roman"/>
                      <w:sz w:val="24"/>
                      <w:szCs w:val="24"/>
                    </w:rPr>
                    <w:t>Šios nuostatos taikomos priemonės veiklai „Inovacijų ir technologijų perdavimo centrų veiklos skatinimas“.</w:t>
                  </w:r>
                </w:p>
              </w:tc>
              <w:tc>
                <w:tcPr>
                  <w:tcW w:w="1984" w:type="dxa"/>
                  <w:shd w:val="clear" w:color="auto" w:fill="auto"/>
                </w:tcPr>
                <w:p w:rsidR="00655494" w:rsidRPr="00E75124" w:rsidRDefault="00080BC7" w:rsidP="00655494">
                  <w:pPr>
                    <w:spacing w:after="0" w:line="240" w:lineRule="auto"/>
                    <w:jc w:val="center"/>
                    <w:rPr>
                      <w:rFonts w:ascii="Times New Roman" w:eastAsia="Calibri" w:hAnsi="Times New Roman" w:cs="Times New Roman"/>
                      <w:bCs/>
                      <w:sz w:val="24"/>
                      <w:szCs w:val="24"/>
                      <w:lang w:val="en-US"/>
                    </w:rPr>
                  </w:pPr>
                  <w:r w:rsidRPr="00E75124">
                    <w:rPr>
                      <w:rFonts w:ascii="Times New Roman" w:eastAsia="Calibri" w:hAnsi="Times New Roman" w:cs="Times New Roman"/>
                      <w:bCs/>
                      <w:sz w:val="24"/>
                      <w:szCs w:val="24"/>
                      <w:lang w:val="en-US"/>
                    </w:rPr>
                    <w:t>10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080BC7" w:rsidRPr="00080BC7" w:rsidRDefault="00D05767" w:rsidP="00080BC7">
                  <w:pPr>
                    <w:spacing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b/>
                      <w:bCs/>
                      <w:caps/>
                      <w:sz w:val="24"/>
                      <w:szCs w:val="24"/>
                    </w:rPr>
                    <w:t>3</w:t>
                  </w:r>
                  <w:r w:rsidR="00655494" w:rsidRPr="00655494">
                    <w:rPr>
                      <w:rFonts w:ascii="Times New Roman" w:eastAsia="Calibri" w:hAnsi="Times New Roman" w:cs="Times New Roman"/>
                      <w:b/>
                      <w:bCs/>
                      <w:caps/>
                      <w:sz w:val="24"/>
                      <w:szCs w:val="24"/>
                    </w:rPr>
                    <w:t xml:space="preserve">. </w:t>
                  </w:r>
                  <w:r w:rsidR="00080BC7" w:rsidRPr="00080BC7">
                    <w:rPr>
                      <w:rFonts w:ascii="Times New Roman" w:eastAsia="Times New Roman" w:hAnsi="Times New Roman" w:cs="Times New Roman"/>
                      <w:b/>
                      <w:bCs/>
                      <w:sz w:val="24"/>
                      <w:szCs w:val="24"/>
                      <w:lang w:eastAsia="lt-LT"/>
                    </w:rPr>
                    <w:t>Projektą vykdančių asmenų patirtis (kompetencija).</w:t>
                  </w:r>
                </w:p>
                <w:p w:rsidR="00655494" w:rsidRPr="00655494" w:rsidRDefault="00655494" w:rsidP="00080BC7">
                  <w:pPr>
                    <w:spacing w:after="0" w:line="240" w:lineRule="auto"/>
                    <w:rPr>
                      <w:rFonts w:ascii="Times New Roman" w:eastAsia="Calibri" w:hAnsi="Times New Roman" w:cs="Times New Roman"/>
                      <w:b/>
                      <w:bCs/>
                      <w:caps/>
                      <w:sz w:val="24"/>
                      <w:szCs w:val="24"/>
                    </w:rPr>
                  </w:pPr>
                </w:p>
              </w:tc>
              <w:tc>
                <w:tcPr>
                  <w:tcW w:w="6271" w:type="dxa"/>
                  <w:shd w:val="clear" w:color="auto" w:fill="auto"/>
                </w:tcPr>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080BC7">
                    <w:rPr>
                      <w:rFonts w:ascii="Times New Roman" w:eastAsia="Times New Roman" w:hAnsi="Times New Roman" w:cs="Times New Roman"/>
                      <w:bCs/>
                      <w:color w:val="000000"/>
                      <w:sz w:val="24"/>
                      <w:szCs w:val="24"/>
                      <w:lang w:eastAsia="lt-LT"/>
                    </w:rPr>
                    <w:t xml:space="preserve">Vertinama pareiškėjo </w:t>
                  </w:r>
                  <w:r w:rsidRPr="00080BC7">
                    <w:rPr>
                      <w:rFonts w:ascii="Times New Roman" w:eastAsia="Times New Roman" w:hAnsi="Times New Roman" w:cs="Times New Roman"/>
                      <w:color w:val="000000"/>
                      <w:sz w:val="24"/>
                      <w:szCs w:val="24"/>
                    </w:rPr>
                    <w:t xml:space="preserve">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ir (ar) žinių ir technologijų perdavimo funkcijas atliekančių darbuotojų patirtis atliekant žinių ir technologijų perdavimo veiklų organizavimo ir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funkcijas. </w:t>
                  </w:r>
                </w:p>
                <w:p w:rsidR="006C7CA2" w:rsidRDefault="00080BC7" w:rsidP="00080BC7">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080BC7">
                    <w:rPr>
                      <w:rFonts w:ascii="Times New Roman" w:eastAsia="Times New Roman" w:hAnsi="Times New Roman" w:cs="Times New Roman"/>
                      <w:sz w:val="24"/>
                      <w:szCs w:val="24"/>
                    </w:rPr>
                    <w:t>Didesnis balų skaičius suteikiamas tam pareiškėjui, kurio darbuotojų patirtis minėtose srityse yra didesnė.</w:t>
                  </w:r>
                  <w:r w:rsidRPr="00080BC7">
                    <w:rPr>
                      <w:rFonts w:ascii="Times New Roman" w:eastAsia="Times New Roman" w:hAnsi="Times New Roman" w:cs="Times New Roman"/>
                      <w:color w:val="000000"/>
                      <w:sz w:val="24"/>
                      <w:szCs w:val="24"/>
                    </w:rPr>
                    <w:t xml:space="preserve"> Darbuotojų patirtis vertinama pagal jų prisidėjimą prie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(pagal įvykdytų projektų, susijusių su MTEP rezultatų </w:t>
                  </w:r>
                  <w:proofErr w:type="spellStart"/>
                  <w:r w:rsidRPr="00080BC7">
                    <w:rPr>
                      <w:rFonts w:ascii="Times New Roman" w:eastAsia="Times New Roman" w:hAnsi="Times New Roman" w:cs="Times New Roman"/>
                      <w:color w:val="000000"/>
                      <w:sz w:val="24"/>
                      <w:szCs w:val="24"/>
                    </w:rPr>
                    <w:t>komercinimu</w:t>
                  </w:r>
                  <w:proofErr w:type="spellEnd"/>
                  <w:r w:rsidRPr="00080BC7">
                    <w:rPr>
                      <w:rFonts w:ascii="Times New Roman" w:eastAsia="Times New Roman" w:hAnsi="Times New Roman" w:cs="Times New Roman"/>
                      <w:color w:val="000000"/>
                      <w:sz w:val="24"/>
                      <w:szCs w:val="24"/>
                    </w:rPr>
                    <w:t xml:space="preserve"> skaičių) Pareiškėjas turi pateikti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080BC7">
                    <w:rPr>
                      <w:rFonts w:ascii="Times New Roman" w:eastAsia="Times New Roman" w:hAnsi="Times New Roman" w:cs="Times New Roman"/>
                      <w:color w:val="000000"/>
                      <w:sz w:val="24"/>
                      <w:szCs w:val="24"/>
                    </w:rPr>
                    <w:t>komercinimu</w:t>
                  </w:r>
                  <w:proofErr w:type="spellEnd"/>
                  <w:r w:rsidRPr="00080BC7">
                    <w:rPr>
                      <w:rFonts w:ascii="Times New Roman" w:eastAsia="Times New Roman" w:hAnsi="Times New Roman" w:cs="Times New Roman"/>
                      <w:color w:val="000000"/>
                      <w:sz w:val="24"/>
                      <w:szCs w:val="24"/>
                    </w:rPr>
                    <w:t xml:space="preserve">). Vertinant kelių asmenų patirtį atliekant žinių ir technologijų perdavimo veiklų organizavimo ir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funkcijas, skaičiuojamas dokumentuose nurodytų MTEP rezultatų </w:t>
                  </w:r>
                  <w:proofErr w:type="spellStart"/>
                  <w:r w:rsidRPr="00080BC7">
                    <w:rPr>
                      <w:rFonts w:ascii="Times New Roman" w:eastAsia="Times New Roman" w:hAnsi="Times New Roman" w:cs="Times New Roman"/>
                      <w:color w:val="000000"/>
                      <w:sz w:val="24"/>
                      <w:szCs w:val="24"/>
                    </w:rPr>
                    <w:t>komercinimo</w:t>
                  </w:r>
                  <w:proofErr w:type="spellEnd"/>
                  <w:r w:rsidRPr="00080BC7">
                    <w:rPr>
                      <w:rFonts w:ascii="Times New Roman" w:eastAsia="Times New Roman" w:hAnsi="Times New Roman" w:cs="Times New Roman"/>
                      <w:color w:val="000000"/>
                      <w:sz w:val="24"/>
                      <w:szCs w:val="24"/>
                    </w:rPr>
                    <w:t xml:space="preserve"> projektų vidurkis.</w:t>
                  </w:r>
                </w:p>
                <w:p w:rsidR="00916F0B" w:rsidRPr="00E75124" w:rsidRDefault="00206650" w:rsidP="00080BC7">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E75124">
                    <w:rPr>
                      <w:rFonts w:ascii="Times New Roman" w:eastAsia="Times New Roman" w:hAnsi="Times New Roman" w:cs="Times New Roman"/>
                      <w:color w:val="000000"/>
                      <w:sz w:val="24"/>
                      <w:szCs w:val="24"/>
                    </w:rPr>
                    <w:t xml:space="preserve">Už projektą vykdančių asmenų </w:t>
                  </w:r>
                  <w:r w:rsidR="00916F0B" w:rsidRPr="00E75124">
                    <w:rPr>
                      <w:rFonts w:ascii="Times New Roman" w:eastAsia="Times New Roman" w:hAnsi="Times New Roman" w:cs="Times New Roman"/>
                      <w:color w:val="000000"/>
                      <w:sz w:val="24"/>
                      <w:szCs w:val="24"/>
                    </w:rPr>
                    <w:t>patirtį balai suteikiami šia tvarka:</w:t>
                  </w:r>
                </w:p>
                <w:p w:rsidR="00916F0B" w:rsidRPr="00E75124" w:rsidRDefault="00916F0B" w:rsidP="00916F0B">
                  <w:pPr>
                    <w:pStyle w:val="Sraopastraipa"/>
                    <w:widowControl w:val="0"/>
                    <w:numPr>
                      <w:ilvl w:val="0"/>
                      <w:numId w:val="4"/>
                    </w:numPr>
                    <w:adjustRightInd w:val="0"/>
                    <w:spacing w:after="0" w:line="240" w:lineRule="auto"/>
                    <w:jc w:val="both"/>
                    <w:textAlignment w:val="baseline"/>
                    <w:rPr>
                      <w:rFonts w:ascii="Times New Roman" w:eastAsia="Times New Roman" w:hAnsi="Times New Roman" w:cs="Times New Roman"/>
                      <w:color w:val="000000"/>
                      <w:sz w:val="24"/>
                      <w:szCs w:val="24"/>
                    </w:rPr>
                  </w:pPr>
                  <w:r w:rsidRPr="00E75124">
                    <w:rPr>
                      <w:rFonts w:ascii="Times New Roman" w:eastAsia="Times New Roman" w:hAnsi="Times New Roman" w:cs="Times New Roman"/>
                      <w:color w:val="000000"/>
                      <w:sz w:val="24"/>
                      <w:szCs w:val="24"/>
                    </w:rPr>
                    <w:t xml:space="preserve">už </w:t>
                  </w:r>
                  <w:r w:rsidR="00206650" w:rsidRPr="00E75124">
                    <w:rPr>
                      <w:rFonts w:ascii="Times New Roman" w:eastAsia="Times New Roman" w:hAnsi="Times New Roman" w:cs="Times New Roman"/>
                      <w:color w:val="000000"/>
                      <w:sz w:val="24"/>
                      <w:szCs w:val="24"/>
                    </w:rPr>
                    <w:t xml:space="preserve">dalyvavimą vykdant nuo 1 iki </w:t>
                  </w:r>
                  <w:r w:rsidRPr="00E75124">
                    <w:rPr>
                      <w:rFonts w:ascii="Times New Roman" w:eastAsia="Times New Roman" w:hAnsi="Times New Roman" w:cs="Times New Roman"/>
                      <w:color w:val="000000"/>
                      <w:sz w:val="24"/>
                      <w:szCs w:val="24"/>
                    </w:rPr>
                    <w:t>3 projektų, susijusių</w:t>
                  </w:r>
                  <w:r w:rsidR="00206650" w:rsidRPr="00E75124">
                    <w:rPr>
                      <w:rFonts w:ascii="Times New Roman" w:eastAsia="Times New Roman" w:hAnsi="Times New Roman" w:cs="Times New Roman"/>
                      <w:color w:val="000000"/>
                      <w:sz w:val="24"/>
                      <w:szCs w:val="24"/>
                    </w:rPr>
                    <w:t xml:space="preserve"> su MTEP rezultatų </w:t>
                  </w:r>
                  <w:proofErr w:type="spellStart"/>
                  <w:r w:rsidR="00206650" w:rsidRPr="00E75124">
                    <w:rPr>
                      <w:rFonts w:ascii="Times New Roman" w:eastAsia="Times New Roman" w:hAnsi="Times New Roman" w:cs="Times New Roman"/>
                      <w:color w:val="000000"/>
                      <w:sz w:val="24"/>
                      <w:szCs w:val="24"/>
                    </w:rPr>
                    <w:t>komercinimu</w:t>
                  </w:r>
                  <w:proofErr w:type="spellEnd"/>
                  <w:r w:rsidRPr="00E75124">
                    <w:rPr>
                      <w:rFonts w:ascii="Times New Roman" w:eastAsia="Times New Roman" w:hAnsi="Times New Roman" w:cs="Times New Roman"/>
                      <w:color w:val="000000"/>
                      <w:sz w:val="24"/>
                      <w:szCs w:val="24"/>
                    </w:rPr>
                    <w:t>, suteikiama 10 balų;</w:t>
                  </w:r>
                </w:p>
                <w:p w:rsidR="00206650" w:rsidRPr="00E75124" w:rsidRDefault="00916F0B" w:rsidP="00916F0B">
                  <w:pPr>
                    <w:pStyle w:val="Sraopastraipa"/>
                    <w:widowControl w:val="0"/>
                    <w:numPr>
                      <w:ilvl w:val="0"/>
                      <w:numId w:val="4"/>
                    </w:numPr>
                    <w:adjustRightInd w:val="0"/>
                    <w:spacing w:after="0" w:line="240" w:lineRule="auto"/>
                    <w:jc w:val="both"/>
                    <w:textAlignment w:val="baseline"/>
                    <w:rPr>
                      <w:rFonts w:ascii="Times New Roman" w:eastAsia="Times New Roman" w:hAnsi="Times New Roman" w:cs="Times New Roman"/>
                      <w:color w:val="000000"/>
                      <w:sz w:val="24"/>
                      <w:szCs w:val="24"/>
                    </w:rPr>
                  </w:pPr>
                  <w:r w:rsidRPr="00E75124">
                    <w:rPr>
                      <w:rFonts w:ascii="Times New Roman" w:eastAsia="Times New Roman" w:hAnsi="Times New Roman" w:cs="Times New Roman"/>
                      <w:color w:val="000000"/>
                      <w:sz w:val="24"/>
                      <w:szCs w:val="24"/>
                    </w:rPr>
                    <w:t xml:space="preserve">už dalyvavimą vykdant nuo 4 iki 5 projektų, susijusių su MTEP rezultatų </w:t>
                  </w:r>
                  <w:proofErr w:type="spellStart"/>
                  <w:r w:rsidRPr="00E75124">
                    <w:rPr>
                      <w:rFonts w:ascii="Times New Roman" w:eastAsia="Times New Roman" w:hAnsi="Times New Roman" w:cs="Times New Roman"/>
                      <w:color w:val="000000"/>
                      <w:sz w:val="24"/>
                      <w:szCs w:val="24"/>
                    </w:rPr>
                    <w:t>komercinimu</w:t>
                  </w:r>
                  <w:proofErr w:type="spellEnd"/>
                  <w:r w:rsidRPr="00E75124">
                    <w:rPr>
                      <w:rFonts w:ascii="Times New Roman" w:eastAsia="Times New Roman" w:hAnsi="Times New Roman" w:cs="Times New Roman"/>
                      <w:color w:val="000000"/>
                      <w:sz w:val="24"/>
                      <w:szCs w:val="24"/>
                    </w:rPr>
                    <w:t>, suteikiama 20 balų;</w:t>
                  </w:r>
                </w:p>
                <w:p w:rsidR="00916F0B" w:rsidRPr="00916F0B" w:rsidRDefault="00916F0B" w:rsidP="00916F0B">
                  <w:pPr>
                    <w:pStyle w:val="Sraopastraipa"/>
                    <w:widowControl w:val="0"/>
                    <w:numPr>
                      <w:ilvl w:val="0"/>
                      <w:numId w:val="4"/>
                    </w:numPr>
                    <w:adjustRightInd w:val="0"/>
                    <w:spacing w:after="0" w:line="240" w:lineRule="auto"/>
                    <w:jc w:val="both"/>
                    <w:textAlignment w:val="baseline"/>
                    <w:rPr>
                      <w:rFonts w:ascii="Times New Roman" w:eastAsia="Times New Roman" w:hAnsi="Times New Roman" w:cs="Times New Roman"/>
                      <w:color w:val="000000"/>
                      <w:sz w:val="24"/>
                      <w:szCs w:val="24"/>
                    </w:rPr>
                  </w:pPr>
                  <w:r w:rsidRPr="00E75124">
                    <w:rPr>
                      <w:rFonts w:ascii="Times New Roman" w:eastAsia="Times New Roman" w:hAnsi="Times New Roman" w:cs="Times New Roman"/>
                      <w:color w:val="000000"/>
                      <w:sz w:val="24"/>
                      <w:szCs w:val="24"/>
                    </w:rPr>
                    <w:t xml:space="preserve">už dalyvavimą vykdant daugiau nei 5 su MTEP rezultatų </w:t>
                  </w:r>
                  <w:proofErr w:type="spellStart"/>
                  <w:r w:rsidRPr="00E75124">
                    <w:rPr>
                      <w:rFonts w:ascii="Times New Roman" w:eastAsia="Times New Roman" w:hAnsi="Times New Roman" w:cs="Times New Roman"/>
                      <w:color w:val="000000"/>
                      <w:sz w:val="24"/>
                      <w:szCs w:val="24"/>
                    </w:rPr>
                    <w:t>komercinimu</w:t>
                  </w:r>
                  <w:proofErr w:type="spellEnd"/>
                  <w:r w:rsidRPr="00E75124">
                    <w:rPr>
                      <w:rFonts w:ascii="Times New Roman" w:eastAsia="Times New Roman" w:hAnsi="Times New Roman" w:cs="Times New Roman"/>
                      <w:color w:val="000000"/>
                      <w:sz w:val="24"/>
                      <w:szCs w:val="24"/>
                    </w:rPr>
                    <w:t xml:space="preserve"> susijusius </w:t>
                  </w:r>
                  <w:proofErr w:type="spellStart"/>
                  <w:r w:rsidRPr="00E75124">
                    <w:rPr>
                      <w:rFonts w:ascii="Times New Roman" w:eastAsia="Times New Roman" w:hAnsi="Times New Roman" w:cs="Times New Roman"/>
                      <w:color w:val="000000"/>
                      <w:sz w:val="24"/>
                      <w:szCs w:val="24"/>
                    </w:rPr>
                    <w:t>preojektus</w:t>
                  </w:r>
                  <w:proofErr w:type="spellEnd"/>
                  <w:r w:rsidRPr="00E75124">
                    <w:rPr>
                      <w:rFonts w:ascii="Times New Roman" w:eastAsia="Times New Roman" w:hAnsi="Times New Roman" w:cs="Times New Roman"/>
                      <w:color w:val="000000"/>
                      <w:sz w:val="24"/>
                      <w:szCs w:val="24"/>
                    </w:rPr>
                    <w:t>, suteikiama 30 balų.</w:t>
                  </w:r>
                </w:p>
              </w:tc>
              <w:tc>
                <w:tcPr>
                  <w:tcW w:w="1984" w:type="dxa"/>
                  <w:shd w:val="clear" w:color="auto" w:fill="auto"/>
                </w:tcPr>
                <w:p w:rsidR="00655494" w:rsidRPr="00E75124" w:rsidRDefault="00206650" w:rsidP="00655494">
                  <w:pPr>
                    <w:spacing w:after="0" w:line="240" w:lineRule="auto"/>
                    <w:jc w:val="center"/>
                    <w:rPr>
                      <w:rFonts w:ascii="Times New Roman" w:eastAsia="Calibri" w:hAnsi="Times New Roman" w:cs="Times New Roman"/>
                      <w:bCs/>
                      <w:caps/>
                      <w:sz w:val="24"/>
                      <w:szCs w:val="24"/>
                    </w:rPr>
                  </w:pPr>
                  <w:r w:rsidRPr="00E75124">
                    <w:rPr>
                      <w:rFonts w:ascii="Times New Roman" w:eastAsia="Calibri" w:hAnsi="Times New Roman" w:cs="Times New Roman"/>
                      <w:bCs/>
                      <w:caps/>
                      <w:sz w:val="24"/>
                      <w:szCs w:val="24"/>
                    </w:rPr>
                    <w:t>30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080BC7" w:rsidRPr="00655494" w:rsidTr="000265C2">
              <w:tc>
                <w:tcPr>
                  <w:tcW w:w="3006" w:type="dxa"/>
                  <w:shd w:val="clear" w:color="auto" w:fill="auto"/>
                </w:tcPr>
                <w:p w:rsidR="00080BC7" w:rsidRDefault="00080BC7" w:rsidP="00080BC7">
                  <w:pPr>
                    <w:spacing w:after="0" w:line="240" w:lineRule="auto"/>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4. </w:t>
                  </w:r>
                  <w:r w:rsidRPr="00080BC7">
                    <w:rPr>
                      <w:rFonts w:ascii="Times New Roman" w:eastAsia="Times New Roman" w:hAnsi="Times New Roman" w:cs="Times New Roman"/>
                      <w:b/>
                      <w:bCs/>
                      <w:sz w:val="24"/>
                      <w:szCs w:val="24"/>
                      <w:lang w:eastAsia="lt-LT"/>
                    </w:rPr>
                    <w:t xml:space="preserve">Projekto įgyvendinimo poveikis pareiškėjo MTEP </w:t>
                  </w:r>
                  <w:r w:rsidRPr="00080BC7">
                    <w:rPr>
                      <w:rFonts w:ascii="Times New Roman" w:eastAsia="Times New Roman" w:hAnsi="Times New Roman" w:cs="Times New Roman"/>
                      <w:b/>
                      <w:bCs/>
                      <w:sz w:val="24"/>
                      <w:szCs w:val="24"/>
                      <w:lang w:eastAsia="lt-LT"/>
                    </w:rPr>
                    <w:lastRenderedPageBreak/>
                    <w:t xml:space="preserve">veiklos rezultatų </w:t>
                  </w:r>
                  <w:proofErr w:type="spellStart"/>
                  <w:r w:rsidRPr="00080BC7">
                    <w:rPr>
                      <w:rFonts w:ascii="Times New Roman" w:eastAsia="Times New Roman" w:hAnsi="Times New Roman" w:cs="Times New Roman"/>
                      <w:b/>
                      <w:bCs/>
                      <w:sz w:val="24"/>
                      <w:szCs w:val="24"/>
                      <w:lang w:eastAsia="lt-LT"/>
                    </w:rPr>
                    <w:t>komercinimo</w:t>
                  </w:r>
                  <w:proofErr w:type="spellEnd"/>
                  <w:r w:rsidRPr="00080BC7">
                    <w:rPr>
                      <w:rFonts w:ascii="Times New Roman" w:eastAsia="Times New Roman" w:hAnsi="Times New Roman" w:cs="Times New Roman"/>
                      <w:b/>
                      <w:bCs/>
                      <w:sz w:val="24"/>
                      <w:szCs w:val="24"/>
                      <w:lang w:eastAsia="lt-LT"/>
                    </w:rPr>
                    <w:t xml:space="preserve"> rezultatams.</w:t>
                  </w:r>
                </w:p>
              </w:tc>
              <w:tc>
                <w:tcPr>
                  <w:tcW w:w="6271" w:type="dxa"/>
                  <w:shd w:val="clear" w:color="auto" w:fill="auto"/>
                </w:tcPr>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080BC7">
                    <w:rPr>
                      <w:rFonts w:ascii="Times New Roman" w:eastAsia="Times New Roman" w:hAnsi="Times New Roman" w:cs="Times New Roman"/>
                      <w:sz w:val="24"/>
                      <w:szCs w:val="24"/>
                      <w:lang w:eastAsia="lt-LT"/>
                    </w:rPr>
                    <w:lastRenderedPageBreak/>
                    <w:t>Didesnis prioritetinis balas suteikiamas tiems projektams, kuriuose pareiškėjas įsipareigoja užtikrinti didesnį</w:t>
                  </w:r>
                  <w:r w:rsidRPr="00080BC7">
                    <w:rPr>
                      <w:rFonts w:ascii="Times New Roman" w:eastAsia="Times New Roman" w:hAnsi="Times New Roman" w:cs="Times New Roman"/>
                      <w:sz w:val="24"/>
                      <w:szCs w:val="24"/>
                    </w:rPr>
                    <w:t xml:space="preserve"> </w:t>
                  </w:r>
                  <w:r w:rsidRPr="00080BC7">
                    <w:rPr>
                      <w:rFonts w:ascii="Times New Roman" w:eastAsia="Times New Roman" w:hAnsi="Times New Roman" w:cs="Times New Roman"/>
                      <w:sz w:val="24"/>
                      <w:szCs w:val="24"/>
                      <w:lang w:eastAsia="lt-LT"/>
                    </w:rPr>
                    <w:t>sutarčių</w:t>
                  </w:r>
                  <w:r w:rsidRPr="00080BC7">
                    <w:rPr>
                      <w:rFonts w:ascii="Times New Roman" w:eastAsia="Times New Roman" w:hAnsi="Times New Roman" w:cs="Times New Roman"/>
                      <w:sz w:val="24"/>
                      <w:szCs w:val="24"/>
                    </w:rPr>
                    <w:t xml:space="preserve"> </w:t>
                  </w:r>
                  <w:r w:rsidRPr="00080BC7">
                    <w:rPr>
                      <w:rFonts w:ascii="Times New Roman" w:eastAsia="Times New Roman" w:hAnsi="Times New Roman" w:cs="Times New Roman"/>
                      <w:sz w:val="24"/>
                      <w:szCs w:val="24"/>
                      <w:lang w:eastAsia="lt-LT"/>
                    </w:rPr>
                    <w:t xml:space="preserve">su įmonėmis finansinės vertės augimą. Pareiškėjo sutarčių su </w:t>
                  </w:r>
                  <w:r w:rsidRPr="00080BC7">
                    <w:rPr>
                      <w:rFonts w:ascii="Times New Roman" w:eastAsia="Times New Roman" w:hAnsi="Times New Roman" w:cs="Times New Roman"/>
                      <w:sz w:val="24"/>
                      <w:szCs w:val="24"/>
                      <w:lang w:eastAsia="lt-LT"/>
                    </w:rPr>
                    <w:lastRenderedPageBreak/>
                    <w:t>įmonėmis finansinės vertės augimas apskaičiuojamas pagal formulę: F= P/P1*100 proc., kur:</w:t>
                  </w:r>
                </w:p>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080BC7">
                    <w:rPr>
                      <w:rFonts w:ascii="Times New Roman" w:eastAsia="Times New Roman" w:hAnsi="Times New Roman" w:cs="Times New Roman"/>
                      <w:sz w:val="24"/>
                      <w:szCs w:val="24"/>
                      <w:lang w:eastAsia="lt-LT"/>
                    </w:rPr>
                    <w:t xml:space="preserve">F – pareiškėjo sutarčių su įmonėmis finansinės vertės padidėjimas; </w:t>
                  </w:r>
                </w:p>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val="en-US" w:eastAsia="lt-LT"/>
                    </w:rPr>
                  </w:pPr>
                  <w:r w:rsidRPr="00080BC7">
                    <w:rPr>
                      <w:rFonts w:ascii="Times New Roman" w:eastAsia="Times New Roman" w:hAnsi="Times New Roman" w:cs="Times New Roman"/>
                      <w:sz w:val="24"/>
                      <w:szCs w:val="24"/>
                      <w:lang w:eastAsia="lt-LT"/>
                    </w:rPr>
                    <w:t>P</w:t>
                  </w:r>
                  <w:r w:rsidRPr="00080BC7">
                    <w:rPr>
                      <w:rFonts w:ascii="Times New Roman" w:eastAsia="Times New Roman" w:hAnsi="Times New Roman" w:cs="Times New Roman"/>
                      <w:sz w:val="24"/>
                      <w:szCs w:val="24"/>
                      <w:lang w:val="en-US" w:eastAsia="lt-LT"/>
                    </w:rPr>
                    <w:t xml:space="preserve">=P2-P1, </w:t>
                  </w:r>
                  <w:proofErr w:type="spellStart"/>
                  <w:r w:rsidRPr="00080BC7">
                    <w:rPr>
                      <w:rFonts w:ascii="Times New Roman" w:eastAsia="Times New Roman" w:hAnsi="Times New Roman" w:cs="Times New Roman"/>
                      <w:sz w:val="24"/>
                      <w:szCs w:val="24"/>
                      <w:lang w:val="en-US" w:eastAsia="lt-LT"/>
                    </w:rPr>
                    <w:t>kur</w:t>
                  </w:r>
                  <w:proofErr w:type="spellEnd"/>
                  <w:r w:rsidRPr="00080BC7">
                    <w:rPr>
                      <w:rFonts w:ascii="Times New Roman" w:eastAsia="Times New Roman" w:hAnsi="Times New Roman" w:cs="Times New Roman"/>
                      <w:sz w:val="24"/>
                      <w:szCs w:val="24"/>
                      <w:lang w:val="en-US" w:eastAsia="lt-LT"/>
                    </w:rPr>
                    <w:t>:</w:t>
                  </w:r>
                </w:p>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080BC7">
                    <w:rPr>
                      <w:rFonts w:ascii="Times New Roman" w:eastAsia="Times New Roman" w:hAnsi="Times New Roman" w:cs="Times New Roman"/>
                      <w:sz w:val="24"/>
                      <w:szCs w:val="24"/>
                      <w:lang w:eastAsia="lt-LT"/>
                    </w:rPr>
                    <w:t>P1 – pareiškėjo sutarčių su įmonėmis finansinė vertė paraiškos pateikimo metais;</w:t>
                  </w:r>
                </w:p>
                <w:p w:rsidR="00080BC7" w:rsidRP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val="en-US" w:eastAsia="lt-LT"/>
                    </w:rPr>
                  </w:pPr>
                  <w:r w:rsidRPr="00080BC7">
                    <w:rPr>
                      <w:rFonts w:ascii="Times New Roman" w:eastAsia="Times New Roman" w:hAnsi="Times New Roman" w:cs="Times New Roman"/>
                      <w:sz w:val="24"/>
                      <w:szCs w:val="24"/>
                      <w:lang w:eastAsia="lt-LT"/>
                    </w:rPr>
                    <w:t>P2 – trečiųjų metų po projekto įgyvendinimo  pabaigos  pareiškėjo sutarčių su įmonėmis finansinė vertė (skaičiuojama visų galiojančių pareiškėjo sutarčių su įmonėmis finansinė vertė).</w:t>
                  </w:r>
                </w:p>
                <w:p w:rsidR="00080BC7" w:rsidRDefault="00080BC7" w:rsidP="00080BC7">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080BC7">
                    <w:rPr>
                      <w:rFonts w:ascii="Times New Roman" w:eastAsia="Times New Roman" w:hAnsi="Times New Roman" w:cs="Times New Roman"/>
                      <w:sz w:val="24"/>
                      <w:szCs w:val="24"/>
                      <w:lang w:eastAsia="lt-LT"/>
                    </w:rPr>
                    <w:t>Vertinama pareiškėjo pateikta ekonomiškai pagrįsta analizė dėl prognozuojamo bendros veiklos su įmonėmis (taip pat ūkio subjektų taikomųjų mokslinių tyrimų užsakymų) sutarčių finansinės vertės</w:t>
                  </w:r>
                  <w:r>
                    <w:rPr>
                      <w:rFonts w:ascii="Times New Roman" w:eastAsia="Times New Roman" w:hAnsi="Times New Roman" w:cs="Times New Roman"/>
                      <w:sz w:val="24"/>
                      <w:szCs w:val="24"/>
                      <w:lang w:eastAsia="lt-LT"/>
                    </w:rPr>
                    <w:t xml:space="preserve"> augimo.</w:t>
                  </w:r>
                </w:p>
                <w:p w:rsidR="00080BC7" w:rsidRPr="00206650" w:rsidRDefault="00080BC7" w:rsidP="00080BC7">
                  <w:pPr>
                    <w:widowControl w:val="0"/>
                    <w:adjustRightInd w:val="0"/>
                    <w:spacing w:after="0" w:line="240" w:lineRule="auto"/>
                    <w:jc w:val="both"/>
                    <w:textAlignment w:val="baseline"/>
                  </w:pPr>
                  <w:r w:rsidRPr="00E75124">
                    <w:rPr>
                      <w:rFonts w:ascii="Times New Roman" w:eastAsia="Times New Roman" w:hAnsi="Times New Roman" w:cs="Times New Roman"/>
                      <w:color w:val="000000"/>
                      <w:sz w:val="24"/>
                      <w:szCs w:val="24"/>
                      <w:lang w:eastAsia="lt-LT"/>
                    </w:rPr>
                    <w:t xml:space="preserve">Projektai </w:t>
                  </w:r>
                  <w:proofErr w:type="spellStart"/>
                  <w:r w:rsidRPr="00E75124">
                    <w:rPr>
                      <w:rFonts w:ascii="Times New Roman" w:eastAsia="Times New Roman" w:hAnsi="Times New Roman" w:cs="Times New Roman"/>
                      <w:color w:val="000000"/>
                      <w:sz w:val="24"/>
                      <w:szCs w:val="24"/>
                      <w:lang w:eastAsia="lt-LT"/>
                    </w:rPr>
                    <w:t>suranguojami</w:t>
                  </w:r>
                  <w:proofErr w:type="spellEnd"/>
                  <w:r w:rsidRPr="00E75124">
                    <w:rPr>
                      <w:rFonts w:ascii="Times New Roman" w:eastAsia="Times New Roman" w:hAnsi="Times New Roman" w:cs="Times New Roman"/>
                      <w:color w:val="000000"/>
                      <w:sz w:val="24"/>
                      <w:szCs w:val="24"/>
                      <w:lang w:eastAsia="lt-LT"/>
                    </w:rPr>
                    <w:t xml:space="preserve"> nuo didžiausio iki mažiausio pagal </w:t>
                  </w:r>
                  <w:r w:rsidR="00206650" w:rsidRPr="00E75124">
                    <w:rPr>
                      <w:rFonts w:ascii="Times New Roman" w:eastAsia="Times New Roman" w:hAnsi="Times New Roman" w:cs="Times New Roman"/>
                      <w:color w:val="000000"/>
                      <w:sz w:val="24"/>
                      <w:szCs w:val="24"/>
                      <w:lang w:eastAsia="lt-LT"/>
                    </w:rPr>
                    <w:t>pareiškėjo sutarčių su įmonėmis finansinės vertės padidėjimą</w:t>
                  </w:r>
                  <w:r w:rsidRPr="00E75124">
                    <w:rPr>
                      <w:rFonts w:ascii="Times New Roman" w:eastAsia="Times New Roman" w:hAnsi="Times New Roman" w:cs="Times New Roman"/>
                      <w:color w:val="000000"/>
                      <w:sz w:val="24"/>
                      <w:szCs w:val="24"/>
                      <w:lang w:eastAsia="lt-LT"/>
                    </w:rPr>
                    <w:t>.</w:t>
                  </w:r>
                  <w:r w:rsidR="00206650" w:rsidRPr="00E75124">
                    <w:t xml:space="preserve"> </w:t>
                  </w:r>
                  <w:r w:rsidRPr="00E75124">
                    <w:rPr>
                      <w:rFonts w:ascii="Times New Roman" w:eastAsia="Times New Roman" w:hAnsi="Times New Roman" w:cs="Times New Roman"/>
                      <w:color w:val="000000"/>
                      <w:sz w:val="24"/>
                      <w:szCs w:val="24"/>
                      <w:lang w:eastAsia="lt-LT"/>
                    </w:rPr>
                    <w:t xml:space="preserve">10 procentų projektų, kuriuose </w:t>
                  </w:r>
                  <w:r w:rsidR="00206650" w:rsidRPr="00E75124">
                    <w:rPr>
                      <w:rFonts w:ascii="Times New Roman" w:eastAsia="Times New Roman" w:hAnsi="Times New Roman" w:cs="Times New Roman"/>
                      <w:color w:val="000000"/>
                      <w:sz w:val="24"/>
                      <w:szCs w:val="24"/>
                      <w:lang w:eastAsia="lt-LT"/>
                    </w:rPr>
                    <w:t>pareiškėjas įsipareigoja užtikrinti didžiausią sutarčių su įmonėmis finansinės vertės padidėjimą, vertinami 50 balų. Į kiekvieną kitą 5</w:t>
                  </w:r>
                  <w:r w:rsidRPr="00E75124">
                    <w:rPr>
                      <w:rFonts w:ascii="Times New Roman" w:eastAsia="Times New Roman" w:hAnsi="Times New Roman" w:cs="Times New Roman"/>
                      <w:color w:val="000000"/>
                      <w:sz w:val="24"/>
                      <w:szCs w:val="24"/>
                      <w:lang w:eastAsia="lt-LT"/>
                    </w:rPr>
                    <w:t xml:space="preserve"> procentų intervalą patenkantys mažesnį projekto vykdytojo ir (arba) partnerio privatų indėlį turintys </w:t>
                  </w:r>
                  <w:r w:rsidR="00206650" w:rsidRPr="00E75124">
                    <w:rPr>
                      <w:rFonts w:ascii="Times New Roman" w:eastAsia="Times New Roman" w:hAnsi="Times New Roman" w:cs="Times New Roman"/>
                      <w:color w:val="000000"/>
                      <w:sz w:val="24"/>
                      <w:szCs w:val="24"/>
                      <w:lang w:eastAsia="lt-LT"/>
                    </w:rPr>
                    <w:t>projektai vertinami suteikiant 5</w:t>
                  </w:r>
                  <w:r w:rsidRPr="00E75124">
                    <w:rPr>
                      <w:rFonts w:ascii="Times New Roman" w:eastAsia="Times New Roman" w:hAnsi="Times New Roman" w:cs="Times New Roman"/>
                      <w:color w:val="000000"/>
                      <w:sz w:val="24"/>
                      <w:szCs w:val="24"/>
                      <w:lang w:eastAsia="lt-LT"/>
                    </w:rPr>
                    <w:t xml:space="preserve"> balu mažesnį įvertinimą.</w:t>
                  </w:r>
                </w:p>
              </w:tc>
              <w:tc>
                <w:tcPr>
                  <w:tcW w:w="1984" w:type="dxa"/>
                  <w:shd w:val="clear" w:color="auto" w:fill="auto"/>
                </w:tcPr>
                <w:p w:rsidR="00080BC7" w:rsidRPr="002C43B9" w:rsidRDefault="00206650" w:rsidP="00655494">
                  <w:pPr>
                    <w:spacing w:after="0" w:line="240" w:lineRule="auto"/>
                    <w:jc w:val="center"/>
                    <w:rPr>
                      <w:rFonts w:ascii="Times New Roman" w:eastAsia="Calibri" w:hAnsi="Times New Roman" w:cs="Times New Roman"/>
                      <w:bCs/>
                      <w:caps/>
                      <w:sz w:val="24"/>
                      <w:szCs w:val="24"/>
                      <w:highlight w:val="yellow"/>
                    </w:rPr>
                  </w:pPr>
                  <w:r w:rsidRPr="00E75124">
                    <w:rPr>
                      <w:rFonts w:ascii="Times New Roman" w:eastAsia="Calibri" w:hAnsi="Times New Roman" w:cs="Times New Roman"/>
                      <w:bCs/>
                      <w:caps/>
                      <w:sz w:val="24"/>
                      <w:szCs w:val="24"/>
                    </w:rPr>
                    <w:lastRenderedPageBreak/>
                    <w:t>50</w:t>
                  </w:r>
                </w:p>
              </w:tc>
              <w:tc>
                <w:tcPr>
                  <w:tcW w:w="1701" w:type="dxa"/>
                  <w:shd w:val="clear" w:color="auto" w:fill="auto"/>
                </w:tcPr>
                <w:p w:rsidR="00080BC7" w:rsidRPr="00655494" w:rsidRDefault="00080BC7"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080BC7" w:rsidRPr="00655494" w:rsidRDefault="00080BC7"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100</w:t>
                  </w:r>
                </w:p>
              </w:tc>
              <w:tc>
                <w:tcPr>
                  <w:tcW w:w="1701" w:type="dxa"/>
                  <w:shd w:val="clear" w:color="auto" w:fill="auto"/>
                </w:tcPr>
                <w:p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rsidR="00655494" w:rsidRPr="00655494" w:rsidRDefault="00E75124" w:rsidP="00655494">
                  <w:pPr>
                    <w:spacing w:after="0" w:line="240" w:lineRule="auto"/>
                    <w:jc w:val="center"/>
                    <w:rPr>
                      <w:rFonts w:ascii="Times New Roman" w:eastAsia="Calibri" w:hAnsi="Times New Roman" w:cs="Times New Roman"/>
                      <w:b/>
                      <w:bCs/>
                      <w:caps/>
                      <w:sz w:val="24"/>
                      <w:szCs w:val="24"/>
                      <w:highlight w:val="yellow"/>
                    </w:rPr>
                  </w:pPr>
                  <w:r w:rsidRPr="00E75124">
                    <w:rPr>
                      <w:rFonts w:ascii="Times New Roman" w:eastAsia="Calibri" w:hAnsi="Times New Roman" w:cs="Times New Roman"/>
                      <w:b/>
                      <w:bCs/>
                      <w:caps/>
                      <w:sz w:val="24"/>
                      <w:szCs w:val="24"/>
                    </w:rPr>
                    <w:t>41</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r w:rsidRPr="00655494">
        <w:rPr>
          <w:rFonts w:ascii="Times New Roman" w:eastAsia="Calibri" w:hAnsi="Times New Roman" w:cs="Times New Roman"/>
        </w:rPr>
        <w:t>____________________________________                                     ______________________</w:t>
      </w:r>
      <w:r w:rsidRPr="00655494">
        <w:rPr>
          <w:rFonts w:ascii="Times New Roman" w:eastAsia="Calibri" w:hAnsi="Times New Roman" w:cs="Times New Roman"/>
        </w:rPr>
        <w:tab/>
        <w:t xml:space="preserve">  ___________________________</w:t>
      </w:r>
    </w:p>
    <w:p w:rsidR="00655494" w:rsidRPr="00655494" w:rsidRDefault="00655494" w:rsidP="00655494">
      <w:pPr>
        <w:tabs>
          <w:tab w:val="center" w:pos="10800"/>
        </w:tabs>
        <w:spacing w:after="0" w:line="240" w:lineRule="auto"/>
        <w:ind w:left="426"/>
        <w:jc w:val="both"/>
        <w:rPr>
          <w:rFonts w:ascii="Times New Roman" w:eastAsia="Calibri" w:hAnsi="Times New Roman" w:cs="Times New Roman"/>
        </w:rPr>
      </w:pPr>
      <w:r w:rsidRPr="00655494">
        <w:rPr>
          <w:rFonts w:ascii="Times New Roman" w:eastAsia="Calibri" w:hAnsi="Times New Roman" w:cs="Times New Roman"/>
        </w:rPr>
        <w:t xml:space="preserve">(paraiškos vertinimą atlikusios institucijos atsakingo </w:t>
      </w:r>
    </w:p>
    <w:p w:rsidR="00A9102F" w:rsidRDefault="00655494" w:rsidP="00655494">
      <w:r w:rsidRPr="00655494">
        <w:rPr>
          <w:rFonts w:ascii="Times New Roman" w:eastAsia="Calibri" w:hAnsi="Times New Roman" w:cs="Times New Roman"/>
        </w:rPr>
        <w:t xml:space="preserve">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950FC0">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2DA"/>
    <w:multiLevelType w:val="hybridMultilevel"/>
    <w:tmpl w:val="73E203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80BC7"/>
    <w:rsid w:val="00206650"/>
    <w:rsid w:val="0023656C"/>
    <w:rsid w:val="00275886"/>
    <w:rsid w:val="002C003F"/>
    <w:rsid w:val="002C43B9"/>
    <w:rsid w:val="00385ADC"/>
    <w:rsid w:val="003B782C"/>
    <w:rsid w:val="00484138"/>
    <w:rsid w:val="00655494"/>
    <w:rsid w:val="006C7CA2"/>
    <w:rsid w:val="006E3E19"/>
    <w:rsid w:val="00726872"/>
    <w:rsid w:val="0078569C"/>
    <w:rsid w:val="00800A24"/>
    <w:rsid w:val="00916F0B"/>
    <w:rsid w:val="009201EE"/>
    <w:rsid w:val="00950FC0"/>
    <w:rsid w:val="009E73C5"/>
    <w:rsid w:val="00A9102F"/>
    <w:rsid w:val="00AC1F8D"/>
    <w:rsid w:val="00D05767"/>
    <w:rsid w:val="00E533DF"/>
    <w:rsid w:val="00E75124"/>
    <w:rsid w:val="00F02E4D"/>
    <w:rsid w:val="00F27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semiHidden/>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b2ec838039a111e48fcad59d611776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3761</Words>
  <Characters>2145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Banuškevičiūtė Giedrė</cp:lastModifiedBy>
  <cp:revision>2</cp:revision>
  <dcterms:created xsi:type="dcterms:W3CDTF">2016-06-10T05:54:00Z</dcterms:created>
  <dcterms:modified xsi:type="dcterms:W3CDTF">2016-06-10T05:54:00Z</dcterms:modified>
</cp:coreProperties>
</file>