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1108D" w14:textId="77777777" w:rsidR="00B168CA" w:rsidRDefault="00B168CA" w:rsidP="00CD43F2">
      <w:pPr>
        <w:tabs>
          <w:tab w:val="left" w:pos="9356"/>
        </w:tabs>
        <w:spacing w:after="0" w:line="240" w:lineRule="auto"/>
        <w:ind w:left="935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2014–2020 metų Europos Sąjungos fondų investicijų veiksmų programos 9 prioriteto „Visuomenės švietimas ir žmogiškųjų išteklių potencialo didinimas“ 09.4.2-ESFA-K-714 priemonės „Formaliojo ir neformaliojo mokymosi galimybių plėtra“ projektų finansavimo sąlygų aprašo Nr. 1</w:t>
      </w:r>
    </w:p>
    <w:p w14:paraId="4714E9DB" w14:textId="77777777" w:rsidR="00B168CA" w:rsidRDefault="00B168CA" w:rsidP="00B168CA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085C617C" w14:textId="77777777" w:rsidR="00B168CA" w:rsidRDefault="00B168CA" w:rsidP="00B168CA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940"/>
      </w:tblGrid>
      <w:tr w:rsidR="00B168CA" w:rsidRPr="00B168CA" w14:paraId="71040A6F" w14:textId="77777777" w:rsidTr="00F55E48">
        <w:trPr>
          <w:trHeight w:val="20"/>
        </w:trPr>
        <w:tc>
          <w:tcPr>
            <w:tcW w:w="14940" w:type="dxa"/>
            <w:tcBorders>
              <w:top w:val="nil"/>
              <w:left w:val="nil"/>
              <w:right w:val="nil"/>
            </w:tcBorders>
          </w:tcPr>
          <w:p w14:paraId="5B148D3D" w14:textId="77777777" w:rsidR="00B168CA" w:rsidRPr="00B168CA" w:rsidRDefault="00B168CA" w:rsidP="00B168C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  <w:p w14:paraId="3E7B4A08" w14:textId="77777777" w:rsidR="00B168CA" w:rsidRPr="00B168CA" w:rsidRDefault="00B168CA" w:rsidP="00B168C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B168C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>Naudos ir kokybės vertinimo LENTELĖ</w:t>
            </w:r>
          </w:p>
          <w:p w14:paraId="1AD3EBD3" w14:textId="77777777" w:rsidR="00B168CA" w:rsidRPr="00906AE8" w:rsidRDefault="00B168CA" w:rsidP="00906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348"/>
            </w:tblGrid>
            <w:tr w:rsidR="00B168CA" w:rsidRPr="00B168CA" w14:paraId="29A2E56D" w14:textId="77777777" w:rsidTr="00F55E48">
              <w:tc>
                <w:tcPr>
                  <w:tcW w:w="3856" w:type="dxa"/>
                  <w:shd w:val="clear" w:color="auto" w:fill="auto"/>
                </w:tcPr>
                <w:p w14:paraId="4F0ACC1A" w14:textId="77777777" w:rsidR="00B168CA" w:rsidRPr="00B168CA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  <w:lang w:eastAsia="en-US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Paraiškos kodas</w:t>
                  </w:r>
                </w:p>
              </w:tc>
              <w:tc>
                <w:tcPr>
                  <w:tcW w:w="10348" w:type="dxa"/>
                  <w:shd w:val="clear" w:color="auto" w:fill="auto"/>
                </w:tcPr>
                <w:p w14:paraId="6C44E21A" w14:textId="77777777" w:rsidR="00B168CA" w:rsidRPr="00B168CA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168CA" w:rsidRPr="00B168CA" w14:paraId="67D8ACC3" w14:textId="77777777" w:rsidTr="00F55E48">
              <w:tc>
                <w:tcPr>
                  <w:tcW w:w="3856" w:type="dxa"/>
                  <w:shd w:val="clear" w:color="auto" w:fill="auto"/>
                </w:tcPr>
                <w:p w14:paraId="69484250" w14:textId="77777777" w:rsidR="00B168CA" w:rsidRPr="00B168CA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Pareiškėjo pavadinimas</w:t>
                  </w:r>
                </w:p>
              </w:tc>
              <w:tc>
                <w:tcPr>
                  <w:tcW w:w="10348" w:type="dxa"/>
                  <w:shd w:val="clear" w:color="auto" w:fill="auto"/>
                </w:tcPr>
                <w:p w14:paraId="1424EE5A" w14:textId="77777777" w:rsidR="00B168CA" w:rsidRPr="00B168CA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B168CA" w:rsidRPr="00B168CA" w14:paraId="47BA6C61" w14:textId="77777777" w:rsidTr="00F55E48">
              <w:tc>
                <w:tcPr>
                  <w:tcW w:w="3856" w:type="dxa"/>
                  <w:shd w:val="clear" w:color="auto" w:fill="auto"/>
                </w:tcPr>
                <w:p w14:paraId="7E68AC46" w14:textId="77777777" w:rsidR="00B168CA" w:rsidRPr="00B168CA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  <w:lang w:eastAsia="en-US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Projekto pavadinimas</w:t>
                  </w:r>
                </w:p>
              </w:tc>
              <w:tc>
                <w:tcPr>
                  <w:tcW w:w="10348" w:type="dxa"/>
                  <w:shd w:val="clear" w:color="auto" w:fill="auto"/>
                </w:tcPr>
                <w:p w14:paraId="10A5E7CD" w14:textId="77777777" w:rsidR="00B168CA" w:rsidRPr="00B168CA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168CA" w:rsidRPr="00B168CA" w14:paraId="0E496057" w14:textId="77777777" w:rsidTr="00F55E48">
              <w:tc>
                <w:tcPr>
                  <w:tcW w:w="14204" w:type="dxa"/>
                  <w:gridSpan w:val="2"/>
                  <w:shd w:val="clear" w:color="auto" w:fill="auto"/>
                </w:tcPr>
                <w:p w14:paraId="55DC94F6" w14:textId="77777777" w:rsidR="00B168CA" w:rsidRPr="00B168CA" w:rsidRDefault="00B168CA" w:rsidP="00B168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Projektą planuojama įgyvendinti:</w:t>
                  </w:r>
                </w:p>
                <w:p w14:paraId="0A4B8566" w14:textId="77777777" w:rsidR="00B168CA" w:rsidRPr="00B168CA" w:rsidRDefault="00B168CA" w:rsidP="00B168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 su partneriu (-iais)              </w:t>
                  </w: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 be partnerio (-ių)</w:t>
                  </w:r>
                </w:p>
              </w:tc>
            </w:tr>
            <w:tr w:rsidR="00B168CA" w:rsidRPr="00B168CA" w14:paraId="7D117C58" w14:textId="77777777" w:rsidTr="00F55E48">
              <w:tc>
                <w:tcPr>
                  <w:tcW w:w="14204" w:type="dxa"/>
                  <w:gridSpan w:val="2"/>
                  <w:shd w:val="clear" w:color="auto" w:fill="auto"/>
                </w:tcPr>
                <w:p w14:paraId="3001AB9E" w14:textId="77777777" w:rsidR="00B168CA" w:rsidRPr="00B168CA" w:rsidRDefault="00B168CA" w:rsidP="00B168CA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B21A736" w14:textId="77777777" w:rsidR="00B168CA" w:rsidRPr="00B168CA" w:rsidRDefault="00B168CA" w:rsidP="00B168CA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 PIRMINĖ               </w:t>
                  </w: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PATIKSLINTA</w:t>
                  </w:r>
                </w:p>
                <w:p w14:paraId="6518A226" w14:textId="77777777" w:rsidR="00B168CA" w:rsidRPr="00906AE8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2DC356E" w14:textId="77777777" w:rsidR="00B168CA" w:rsidRPr="00B168CA" w:rsidRDefault="00B168CA" w:rsidP="00B168C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i/>
                <w:cap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6"/>
              <w:gridCol w:w="4536"/>
              <w:gridCol w:w="1559"/>
              <w:gridCol w:w="1560"/>
              <w:gridCol w:w="1417"/>
              <w:gridCol w:w="2410"/>
            </w:tblGrid>
            <w:tr w:rsidR="001F4754" w:rsidRPr="00B168CA" w14:paraId="5A2F690C" w14:textId="77777777" w:rsidTr="001F4754">
              <w:tc>
                <w:tcPr>
                  <w:tcW w:w="2756" w:type="dxa"/>
                  <w:shd w:val="clear" w:color="auto" w:fill="auto"/>
                </w:tcPr>
                <w:p w14:paraId="74FA815E" w14:textId="77777777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Prioritetinis projektų atrankos kriterijus (toliau – kriterijus)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4941ED22" w14:textId="3009F8E6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Kriterijaus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vertinimo aspektai ir paaiškinimai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133001B" w14:textId="77777777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Maksimalus galimas kriterijaus vertinimo balas</w:t>
                  </w:r>
                </w:p>
              </w:tc>
              <w:tc>
                <w:tcPr>
                  <w:tcW w:w="1560" w:type="dxa"/>
                </w:tcPr>
                <w:p w14:paraId="7437D6DB" w14:textId="10EC0A58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Minimalus</w:t>
                  </w: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galimas kriterijaus vertinimo balas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C97BB9E" w14:textId="2B764B69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Vertinimo metu suteiktų balų skaičius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04054B89" w14:textId="77777777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Komentarai</w:t>
                  </w:r>
                </w:p>
              </w:tc>
            </w:tr>
            <w:tr w:rsidR="001F4754" w:rsidRPr="00B168CA" w14:paraId="70BA50B5" w14:textId="77777777" w:rsidTr="001F4754">
              <w:tc>
                <w:tcPr>
                  <w:tcW w:w="2756" w:type="dxa"/>
                  <w:shd w:val="clear" w:color="auto" w:fill="auto"/>
                </w:tcPr>
                <w:p w14:paraId="67DDE23D" w14:textId="5E751F55" w:rsidR="001F4754" w:rsidRPr="00B168CA" w:rsidRDefault="001F4754" w:rsidP="005B6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 xml:space="preserve">1. </w:t>
                  </w:r>
                  <w:r w:rsidRPr="005B66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Projekte numatyta, kad pedagogai gali tobulinti technologines kompetencijas pagal kuo dau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giau kvalifikacijų lygių pagal L</w:t>
                  </w:r>
                  <w:r w:rsidRPr="005B66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ietuvos kvalifikacijų sandarą.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34E0C388" w14:textId="77777777" w:rsidR="001F4754" w:rsidRDefault="001F4754" w:rsidP="005A1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5B6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Didesnį balą gauna projektai, kuriuose pedagogai gali tobulinti technologines </w:t>
                  </w:r>
                  <w:r w:rsidRPr="00033B0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kompetencijas pagal daugiau kvalifikacijų lygių pagal Lietuvos kvalifikacijų sandarą.</w:t>
                  </w:r>
                  <w:r w:rsidRPr="005B6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Projektai suranguojami nuo daugiausiai kvalifikacijų lygių numatančių projektų iki mažiausiai kvalifikacijų lygių numatančių projektų.</w:t>
                  </w:r>
                </w:p>
                <w:p w14:paraId="055CBC4E" w14:textId="22741822" w:rsidR="001F4754" w:rsidRDefault="001F4754" w:rsidP="005A1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I kvalifikacijų lygi</w:t>
                  </w:r>
                  <w:r w:rsidR="000506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s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vertinamas 4 balais; </w:t>
                  </w:r>
                </w:p>
                <w:p w14:paraId="7FE507E0" w14:textId="2DA06352" w:rsidR="001F4754" w:rsidRDefault="001F4754" w:rsidP="005A1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lastRenderedPageBreak/>
                    <w:t xml:space="preserve">II kvalifikacijų lygis – 8 balais; </w:t>
                  </w:r>
                </w:p>
                <w:p w14:paraId="692FAEC3" w14:textId="77777777" w:rsidR="001F4754" w:rsidRDefault="001F4754" w:rsidP="005A1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III ir IV kvalifikacijų lygiai – po 10 balų; </w:t>
                  </w:r>
                </w:p>
                <w:p w14:paraId="26C0AC3C" w14:textId="77777777" w:rsidR="001F4754" w:rsidRDefault="001F4754" w:rsidP="005A1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V kvalifikacijų lygis – 8 balais. </w:t>
                  </w:r>
                </w:p>
                <w:p w14:paraId="463D1D78" w14:textId="489C37EA" w:rsidR="003F3FBB" w:rsidRPr="00906AE8" w:rsidRDefault="003F3FBB" w:rsidP="005A1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ap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Balai sumuojami.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A0603B" w14:textId="4A558EBC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lastRenderedPageBreak/>
                    <w:t>40</w:t>
                  </w:r>
                </w:p>
              </w:tc>
              <w:tc>
                <w:tcPr>
                  <w:tcW w:w="1560" w:type="dxa"/>
                </w:tcPr>
                <w:p w14:paraId="66CD2A13" w14:textId="4F51A80D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>18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09896E4" w14:textId="1D3A75FD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28E19267" w14:textId="77777777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F4754" w:rsidRPr="00B168CA" w14:paraId="12334471" w14:textId="77777777" w:rsidTr="001F4754">
              <w:tc>
                <w:tcPr>
                  <w:tcW w:w="2756" w:type="dxa"/>
                  <w:shd w:val="clear" w:color="auto" w:fill="auto"/>
                </w:tcPr>
                <w:p w14:paraId="36B7210C" w14:textId="4E3FE5EE" w:rsidR="001F4754" w:rsidRPr="00B168CA" w:rsidRDefault="001F4754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B66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Projektas įgyvendinamas bendradarbiaujant su didesniu įmonių, kurios susijungusios į asocijuotas struktūras ir kuriose vykdomas technologinių kompetencijų tobulinimas, skaičiumi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4EEFE6B" w14:textId="3AC18443" w:rsidR="001F4754" w:rsidRPr="005B66DA" w:rsidRDefault="001F4754" w:rsidP="005B6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5B6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Didesnį balą gauna projektai, kurie įgyvendinami su didesniu įmonių, kurios susijungusios į asocijuotas struktūras ir kuriose vykdomas technologinių kompetencijų tobulinimas, skaičiumi.  </w:t>
                  </w:r>
                </w:p>
                <w:p w14:paraId="3CC25B12" w14:textId="77777777" w:rsidR="001F4754" w:rsidRDefault="001F4754" w:rsidP="005B6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5B6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Skaičiuojamos tik tos įmonės, kurios susijungusios į asocijuotas struktūras ir kurių asocijuotos struktūros yra pareiškėjas arba partneris ir kuriose vykdomas technologinių kompetencijų tobulinimas, skaičius.</w:t>
                  </w:r>
                </w:p>
                <w:p w14:paraId="2A7B956A" w14:textId="33EDC4A3" w:rsidR="009E4703" w:rsidRPr="00033B0E" w:rsidRDefault="009E4703" w:rsidP="005B6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Projektai suranguojami nuo daugiausiai</w:t>
                  </w:r>
                  <w:r w:rsidR="00C728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projekte dalyvaujančių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įmonių </w:t>
                  </w:r>
                  <w:r w:rsidR="00C728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apimančių projektų iki mažiausiai projekte dalyvaujančių įmonių apimančių projektų.</w:t>
                  </w:r>
                  <w:r w:rsidR="007756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10 procentų</w:t>
                  </w:r>
                  <w:r w:rsidR="000137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0137F0" w:rsidRPr="000137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(apvalinama iki sveiko skaičiaus, gavus rezultatą su skaičiumi „5“ po kablelio, apvalinama iki didesnio sveiko skaičiaus)</w:t>
                  </w:r>
                  <w:r w:rsidR="007756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daugiausiai dalyvaujančių įmonių apimantys projektai vertinami 30 balų. Į kiekvieną kitą </w:t>
                  </w:r>
                  <w:r w:rsidR="007756E8" w:rsidRPr="008C0A9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10 procentų</w:t>
                  </w:r>
                  <w:r w:rsidR="007756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bookmarkStart w:id="0" w:name="_GoBack"/>
                  <w:bookmarkEnd w:id="0"/>
                  <w:r w:rsidR="007756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intervalą patenkantys mažiau dalyvaujančių įmonių apimantys projektai </w:t>
                  </w:r>
                  <w:r w:rsidR="00014E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vertinami suteikiant 3 balais mažesnį balą.</w:t>
                  </w:r>
                  <w:r w:rsidR="00D77F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EF125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Jei daugiau nei 10 procentų projektų </w:t>
                  </w:r>
                  <w:r w:rsidR="00D77F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konkurse </w:t>
                  </w:r>
                  <w:r w:rsidR="00EF125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dalyvauja su vienodu įmonių skaičiumi, visiems šio intervalo projektams skiriamas vienodas maksimalus šio intervalo balas.  </w:t>
                  </w:r>
                  <w:r w:rsidR="00014E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21FC4FE" w14:textId="0AA8C7D4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>30</w:t>
                  </w:r>
                </w:p>
              </w:tc>
              <w:tc>
                <w:tcPr>
                  <w:tcW w:w="1560" w:type="dxa"/>
                </w:tcPr>
                <w:p w14:paraId="4A16068C" w14:textId="05FF7087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>_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7D53B08" w14:textId="67D3F976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4A469E49" w14:textId="77777777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F4754" w:rsidRPr="00B168CA" w14:paraId="53A2AAA0" w14:textId="77777777" w:rsidTr="001F4754">
              <w:tc>
                <w:tcPr>
                  <w:tcW w:w="2756" w:type="dxa"/>
                  <w:shd w:val="clear" w:color="auto" w:fill="auto"/>
                </w:tcPr>
                <w:p w14:paraId="53D5686F" w14:textId="307ABF03" w:rsidR="001F4754" w:rsidRPr="00B168CA" w:rsidRDefault="001F4754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3</w:t>
                  </w: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B66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Pareiškėjo ir partnerio (-ių) vykdyti </w:t>
                  </w:r>
                  <w:r w:rsidRPr="005B66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technologinių kompetencijų mokymus patirtis.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24D1973B" w14:textId="5B7938BE" w:rsidR="001F4754" w:rsidRPr="005B66DA" w:rsidRDefault="001F4754" w:rsidP="005B6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5B6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lastRenderedPageBreak/>
                    <w:t>Didesnį balą gauna projektai, kurių pareiškėjas ir partneris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B6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(-iai), kurie numato </w:t>
                  </w:r>
                  <w:r w:rsidRPr="005B6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lastRenderedPageBreak/>
                    <w:t xml:space="preserve">vykdyti mokymus, turi ilgesnę mokymų vykdymo patirtį.  </w:t>
                  </w:r>
                </w:p>
                <w:p w14:paraId="1FCCEC1D" w14:textId="77777777" w:rsidR="009E4703" w:rsidRDefault="001F4754" w:rsidP="005B6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5B6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Pareiškėjo ir partnerių mokymų vykdymo patirtis apskaičiuojama sumuojant pareiškėjo ir partnerio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B6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(-ių) mokymų vykdymo patirtį, atsižvelgiant į kvalifikacijos tobulinimo pažymėjimų registro išrašo duomenis, mėnesiais ir dalinama iš pareiškėjo ir partnerio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B6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(-ių) skaičiaus.</w:t>
                  </w:r>
                </w:p>
                <w:p w14:paraId="683FE9B8" w14:textId="7B374884" w:rsidR="008C0A99" w:rsidRDefault="008C0A99" w:rsidP="005B6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Už p</w:t>
                  </w:r>
                  <w:r w:rsidRPr="008C0A9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areiškėjo ir par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tnerių mokymų vykdymo patirtį, kurios trukmė: </w:t>
                  </w:r>
                </w:p>
                <w:p w14:paraId="46E5EDE4" w14:textId="2B11E30B" w:rsidR="008C0A99" w:rsidRDefault="008C0A99" w:rsidP="005B6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nuo 6 mėn. iki 12 mėn. suteikiama 10 balų; </w:t>
                  </w:r>
                </w:p>
                <w:p w14:paraId="31645FFB" w14:textId="117B6A73" w:rsidR="008C0A99" w:rsidRDefault="008C0A99" w:rsidP="005B6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nuo 12 mėn. iki 24 mėn. – 20 balų; </w:t>
                  </w:r>
                </w:p>
                <w:p w14:paraId="3D144BCE" w14:textId="53F1B846" w:rsidR="008C0A99" w:rsidRPr="009E4703" w:rsidRDefault="008C0A99" w:rsidP="005B66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daugiau kaip 24 mėn. – 30 balų.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EAD03BD" w14:textId="0806BFF9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lastRenderedPageBreak/>
                    <w:t>30</w:t>
                  </w:r>
                </w:p>
              </w:tc>
              <w:tc>
                <w:tcPr>
                  <w:tcW w:w="1560" w:type="dxa"/>
                </w:tcPr>
                <w:p w14:paraId="64E73015" w14:textId="338C9FF2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>_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E7544B2" w14:textId="4A060B2A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53D9551A" w14:textId="77777777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F4754" w:rsidRPr="00B168CA" w14:paraId="3A5E05AD" w14:textId="77777777" w:rsidTr="001F4754">
              <w:tc>
                <w:tcPr>
                  <w:tcW w:w="7292" w:type="dxa"/>
                  <w:gridSpan w:val="2"/>
                  <w:shd w:val="clear" w:color="auto" w:fill="auto"/>
                </w:tcPr>
                <w:p w14:paraId="22789059" w14:textId="76F6380B" w:rsidR="001F4754" w:rsidRPr="00B168CA" w:rsidRDefault="001F4754" w:rsidP="00B168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Suma</w:t>
                  </w: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>: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646601B" w14:textId="77777777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B168CA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1560" w:type="dxa"/>
                </w:tcPr>
                <w:p w14:paraId="0C9F8803" w14:textId="77777777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4E1A102" w14:textId="142C9011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10" w:type="dxa"/>
                  <w:shd w:val="clear" w:color="auto" w:fill="D9D9D9"/>
                </w:tcPr>
                <w:p w14:paraId="6EEAA237" w14:textId="77777777" w:rsidR="001F4754" w:rsidRPr="00B168CA" w:rsidRDefault="001F4754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40C94B1" w14:textId="77777777" w:rsidR="00B168CA" w:rsidRPr="00B168CA" w:rsidRDefault="00B168CA" w:rsidP="00B168C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  <w:p w14:paraId="31B111C9" w14:textId="77777777" w:rsidR="00B168CA" w:rsidRPr="00B168CA" w:rsidRDefault="00B168CA" w:rsidP="00B168C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  <w:r w:rsidRPr="00B168C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31129ED" w14:textId="77777777" w:rsidR="00B168CA" w:rsidRPr="00B168CA" w:rsidRDefault="00B168CA" w:rsidP="00B168CA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4824EA1" w14:textId="77777777" w:rsidR="00B168CA" w:rsidRPr="00B168CA" w:rsidRDefault="00B168CA" w:rsidP="00B168C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68C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                                     ______________________</w:t>
      </w:r>
      <w:r w:rsidRPr="00B168C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___________________________</w:t>
      </w:r>
    </w:p>
    <w:p w14:paraId="160F2EB0" w14:textId="77777777" w:rsidR="00B168CA" w:rsidRPr="00B168CA" w:rsidRDefault="00B168CA" w:rsidP="00B168CA">
      <w:pPr>
        <w:tabs>
          <w:tab w:val="center" w:pos="108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68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(paraiškos vertinimą atlikusios institucijos atsakingo </w:t>
      </w:r>
    </w:p>
    <w:p w14:paraId="5F7ED241" w14:textId="77777777" w:rsidR="00B168CA" w:rsidRPr="00B168CA" w:rsidRDefault="00B168CA" w:rsidP="00B168CA">
      <w:pPr>
        <w:tabs>
          <w:tab w:val="center" w:pos="10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68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asmens pareigų pavadinimas)                                                                     (data) </w:t>
      </w:r>
      <w:r w:rsidRPr="00B168C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(vardas ir pavardė, parašas</w:t>
      </w:r>
      <w:r w:rsidRPr="00B168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*</w:t>
      </w:r>
      <w:r w:rsidRPr="00B168C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1F54E9EC" w14:textId="77777777" w:rsidR="00B168CA" w:rsidRPr="00B168CA" w:rsidRDefault="00B168CA" w:rsidP="00B168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79EC234" w14:textId="77777777" w:rsidR="00B168CA" w:rsidRPr="00B168CA" w:rsidRDefault="00B168CA" w:rsidP="00B168C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168CA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 xml:space="preserve">* </w:t>
      </w:r>
      <w:r w:rsidRPr="00B168CA">
        <w:rPr>
          <w:rFonts w:ascii="Times New Roman" w:eastAsia="Times New Roman" w:hAnsi="Times New Roman" w:cs="Times New Roman"/>
          <w:sz w:val="18"/>
          <w:szCs w:val="18"/>
          <w:lang w:eastAsia="en-US"/>
        </w:rPr>
        <w:t>Jei pildoma popierinė versija</w:t>
      </w:r>
    </w:p>
    <w:p w14:paraId="408CF299" w14:textId="77777777" w:rsidR="00B168CA" w:rsidRDefault="00B168CA" w:rsidP="00B168CA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3A9C6" w14:textId="77777777" w:rsidR="000A7C9E" w:rsidRDefault="000A7C9E" w:rsidP="00B168CA">
      <w:pPr>
        <w:jc w:val="right"/>
      </w:pPr>
    </w:p>
    <w:sectPr w:rsidR="000A7C9E" w:rsidSect="00B168CA">
      <w:pgSz w:w="16838" w:h="11906" w:orient="landscape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72C7C" w14:textId="77777777" w:rsidR="00AB7253" w:rsidRDefault="00AB7253" w:rsidP="00CD43F2">
      <w:pPr>
        <w:spacing w:after="0" w:line="240" w:lineRule="auto"/>
      </w:pPr>
      <w:r>
        <w:separator/>
      </w:r>
    </w:p>
  </w:endnote>
  <w:endnote w:type="continuationSeparator" w:id="0">
    <w:p w14:paraId="6D128D03" w14:textId="77777777" w:rsidR="00AB7253" w:rsidRDefault="00AB7253" w:rsidP="00CD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D4DF3" w14:textId="77777777" w:rsidR="00AB7253" w:rsidRDefault="00AB7253" w:rsidP="00CD43F2">
      <w:pPr>
        <w:spacing w:after="0" w:line="240" w:lineRule="auto"/>
      </w:pPr>
      <w:r>
        <w:separator/>
      </w:r>
    </w:p>
  </w:footnote>
  <w:footnote w:type="continuationSeparator" w:id="0">
    <w:p w14:paraId="16B16D0B" w14:textId="77777777" w:rsidR="00AB7253" w:rsidRDefault="00AB7253" w:rsidP="00CD4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F4E1A"/>
    <w:multiLevelType w:val="hybridMultilevel"/>
    <w:tmpl w:val="62667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CA"/>
    <w:rsid w:val="000137F0"/>
    <w:rsid w:val="00014E20"/>
    <w:rsid w:val="00033B0E"/>
    <w:rsid w:val="000506F0"/>
    <w:rsid w:val="000A7C9E"/>
    <w:rsid w:val="00196585"/>
    <w:rsid w:val="001E2345"/>
    <w:rsid w:val="001F4754"/>
    <w:rsid w:val="003F3FBB"/>
    <w:rsid w:val="004730D6"/>
    <w:rsid w:val="00513DFE"/>
    <w:rsid w:val="005273BD"/>
    <w:rsid w:val="005A126D"/>
    <w:rsid w:val="005B66DA"/>
    <w:rsid w:val="005C5716"/>
    <w:rsid w:val="007756E8"/>
    <w:rsid w:val="008C0A99"/>
    <w:rsid w:val="008D45EB"/>
    <w:rsid w:val="00906AE8"/>
    <w:rsid w:val="009819AC"/>
    <w:rsid w:val="009E4703"/>
    <w:rsid w:val="00AB7253"/>
    <w:rsid w:val="00AC7E33"/>
    <w:rsid w:val="00B168CA"/>
    <w:rsid w:val="00BB716D"/>
    <w:rsid w:val="00C728B5"/>
    <w:rsid w:val="00CD43F2"/>
    <w:rsid w:val="00D77F5C"/>
    <w:rsid w:val="00E46B9C"/>
    <w:rsid w:val="00E5315C"/>
    <w:rsid w:val="00EF1259"/>
    <w:rsid w:val="00F0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2EEE"/>
  <w15:chartTrackingRefBased/>
  <w15:docId w15:val="{6FBEA808-2345-4710-BEBD-31F21485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06A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6A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6A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6A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6A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6AE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A126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D4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43F2"/>
  </w:style>
  <w:style w:type="paragraph" w:styleId="Porat">
    <w:name w:val="footer"/>
    <w:basedOn w:val="prastasis"/>
    <w:link w:val="PoratDiagrama"/>
    <w:uiPriority w:val="99"/>
    <w:unhideWhenUsed/>
    <w:rsid w:val="00CD4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D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1B52-9D42-4114-ABB4-C4862DF4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2381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Banuškevičiūtė Giedrė</dc:creator>
  <cp:keywords/>
  <dc:description/>
  <cp:lastModifiedBy>Banuškevičiūtė Giedrė</cp:lastModifiedBy>
  <cp:revision>30</cp:revision>
  <dcterms:created xsi:type="dcterms:W3CDTF">2016-02-03T12:54:00Z</dcterms:created>
  <dcterms:modified xsi:type="dcterms:W3CDTF">2016-06-28T08:40:00Z</dcterms:modified>
</cp:coreProperties>
</file>