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09" w:rsidRPr="0068597E" w:rsidRDefault="001B7776" w:rsidP="00B3009B">
      <w:pPr>
        <w:spacing w:after="0" w:line="240" w:lineRule="auto"/>
        <w:ind w:firstLine="851"/>
        <w:jc w:val="center"/>
        <w:rPr>
          <w:rFonts w:ascii="Times New Roman" w:hAnsi="Times New Roman" w:cs="Times New Roman"/>
          <w:b/>
          <w:sz w:val="24"/>
          <w:szCs w:val="24"/>
        </w:rPr>
      </w:pPr>
      <w:bookmarkStart w:id="0" w:name="_GoBack"/>
      <w:bookmarkEnd w:id="0"/>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dėl projektų, apimančių finansines priemones, išlaidų atitikties Europos Sąjungos (toliau – ES) struktūrinių fondų reikalavimams (toliau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 xml:space="preserve">41 </w:t>
      </w:r>
      <w:r w:rsidR="00F44CD9" w:rsidRPr="0068597E">
        <w:rPr>
          <w:rFonts w:ascii="Times New Roman" w:hAnsi="Times New Roman" w:cs="Times New Roman"/>
          <w:color w:val="auto"/>
        </w:rPr>
        <w:lastRenderedPageBreak/>
        <w:t>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  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w:t>
      </w:r>
      <w:proofErr w:type="spellStart"/>
      <w:r w:rsidRPr="0068597E">
        <w:rPr>
          <w:rFonts w:ascii="Times New Roman" w:hAnsi="Times New Roman" w:cs="Times New Roman"/>
          <w:b/>
          <w:i/>
          <w:sz w:val="24"/>
          <w:szCs w:val="24"/>
        </w:rPr>
        <w:t>stebėseną</w:t>
      </w:r>
      <w:proofErr w:type="spellEnd"/>
      <w:r w:rsidRPr="0068597E">
        <w:rPr>
          <w:rFonts w:ascii="Times New Roman" w:hAnsi="Times New Roman" w:cs="Times New Roman"/>
          <w:b/>
          <w:i/>
          <w:sz w:val="24"/>
          <w:szCs w:val="24"/>
        </w:rPr>
        <w:t xml:space="preserve"> atsakingi projektų vykdytojai. Už šiame punkte nurodytų reikalavimų įgyvendinimą ir </w:t>
      </w:r>
      <w:proofErr w:type="spellStart"/>
      <w:r w:rsidRPr="0068597E">
        <w:rPr>
          <w:rFonts w:ascii="Times New Roman" w:hAnsi="Times New Roman" w:cs="Times New Roman"/>
          <w:b/>
          <w:i/>
          <w:sz w:val="24"/>
          <w:szCs w:val="24"/>
        </w:rPr>
        <w:t>stebėseną</w:t>
      </w:r>
      <w:proofErr w:type="spellEnd"/>
      <w:r w:rsidRPr="0068597E">
        <w:rPr>
          <w:rFonts w:ascii="Times New Roman" w:hAnsi="Times New Roman" w:cs="Times New Roman"/>
          <w:b/>
          <w:i/>
          <w:sz w:val="24"/>
          <w:szCs w:val="24"/>
        </w:rPr>
        <w:t>,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seką.</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  arba kurios nors finansavimo formos taikymas gali būti išankstinė kitos finansavimo formos taikymo sąlyga, nepažeidžiant Taisyklių 50 punkte nustatytų reikalavimų, kai ministerija nustato tam tikrus skirtingų finansavimo formų 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lastRenderedPageBreak/>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Stebėsenos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Stebėsenos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seką.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w:t>
      </w:r>
      <w:r w:rsidRPr="0068597E">
        <w:rPr>
          <w:rFonts w:ascii="Times New Roman" w:hAnsi="Times New Roman" w:cs="Times New Roman"/>
          <w:sz w:val="24"/>
          <w:szCs w:val="24"/>
        </w:rPr>
        <w:lastRenderedPageBreak/>
        <w:t>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Finansinės priemonės valdytojas turi saugoti sutartį su galutiniu naudos gavėju FP taisyklių XIX skyriuje nurodytu laikotarpiu, užtikrinant tinkamą audito seką.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Stebėsenos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Finansinės priemonės valdytojas turi saugoti sutartį su galutiniu naudos gavėju FP taisyklių XIX skyriuje nurodytu laikotarpiu, užtikrinant tinkamą audito seką.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seką.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Minėtus dokumentus finansinės priemonės valdytojas turi saugoti FP taisyklių XIX skyriuje nurodytu laikotarpiu, užtikrinant tinkamą audito seką.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Įmonė gauna 10 mln. EUR lengvatinę paskolą gamybinei įrangai įsigyti. Šią įrangą sudaro centrinė konsolė, verta 7 mln. EUR, kurios naudingas tarnavimo laikas yra 20 metų, ir rotorius, vertas 3 mln. EUR, kurio naudingas tarnavimo laikas (esant įprastoms apkrovoms) yra 2 metai (remiantis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w:t>
            </w:r>
            <w:r w:rsidRPr="0068597E">
              <w:rPr>
                <w:rFonts w:ascii="Times New Roman" w:hAnsi="Times New Roman" w:cs="Times New Roman"/>
                <w:bCs/>
                <w:sz w:val="24"/>
                <w:szCs w:val="24"/>
              </w:rPr>
              <w:lastRenderedPageBreak/>
              <w:t xml:space="preserve">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arbo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pilnai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 įskaitant labai mažas, mažas ir vidutines įmones bei verslininkus, kaip jie apibrėžti 1998 m. lapkričio 24 d. Lietuvos Respublikos smulkiojo ir vidutinio verslo plėtros įstatyme Nr. VIII-935, finansavimas turi būti skiriamas, kaip nurodyta Reglamento (ES) Nr. 1303/2013 37 straipsnio 4 dalyje, t. y. naujoms įmonėms steigti, ankstyvosios stadijos kapitalui (parengiamosios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Vadovaujantis Reglamento (ES) Nr. 1303/2013 37 straipsnio 5 dalimi, investicijos, kurioms turi būti skiriamas finansinių priemonių finansavimas, sprendimo 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Finansavimo pagal finansines priemones gavėjas turi deklaruoti savo statusą, tinkamai užpildydamas Smulkiojo ir vidutinio verslo subjekto statuso deklaraciją, kurios forma ir pildymo instrukcija patvirtinta Lietuvos Respublikos ūkio ministro 2008 m. kovo 26 d. įsakymu Nr. 4-119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seką.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Finansavimas gali būti teikiamas investicijoms ir apyvartiniam kapitalui papildyti.</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 Finansavimas</w:t>
      </w:r>
      <w:r w:rsidR="006E4F0C" w:rsidRPr="0068597E">
        <w:rPr>
          <w:rFonts w:ascii="Times New Roman" w:hAnsi="Times New Roman" w:cs="Times New Roman"/>
          <w:sz w:val="24"/>
          <w:szCs w:val="24"/>
        </w:rPr>
        <w:t xml:space="preserve"> </w:t>
      </w:r>
      <w:r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Pr="0068597E">
        <w:rPr>
          <w:rFonts w:ascii="Times New Roman" w:hAnsi="Times New Roman" w:cs="Times New Roman"/>
          <w:sz w:val="24"/>
          <w:szCs w:val="24"/>
        </w:rPr>
        <w:t>gali apimti</w:t>
      </w:r>
      <w:r w:rsidR="006E4F0C"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3.3. Apyvartinis kapitalas yra suprantamas kaip skirtumas tarp įmonės trumpalaikio turto ir trumpalaikių įsipareigojimų.</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3.4.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70 proc. visos finansuojamos sumos. Kitu atveju toks finansavimas yra laikomas suteiktas apyvartiniam kapitalui papildyti.</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0A6B1C">
        <w:tc>
          <w:tcPr>
            <w:tcW w:w="9889" w:type="dxa"/>
          </w:tcPr>
          <w:p w:rsidR="00470ECE" w:rsidRPr="0068597E" w:rsidRDefault="00470ECE"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Jei planuojama suteikti 100.000 EUR paskolą, kur 70.000 EUR paskolos lėšų yra planuojama skirti įrangai pirkti, o likusi, 30.000 EUR paskolos dalis, planuojama skirti apyvartiniam kapitalui papildyti, tokia paskola bus laikoma investicine paskola. Kitu atveju, jeigu 65.000 EUR paskolos lėšų bus planuojama skirti įrangai pirkti, o likusi, 35.000 EUR paskolos dalis apyvartiniam kapitalui papildyti, tokia paskola bus laikoma apyvartine paskola.</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3.5. Finansavimas apyvartiniam kapitalui papildyti yra tinkamas, kai laikomasi pagrindinių tinkamumo kriterijų: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3.5.1.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3.5.2.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470ECE" w:rsidP="00B3009B">
      <w:pPr>
        <w:tabs>
          <w:tab w:val="left" w:pos="993"/>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3.5.3. konkrečios finansinės priemonės sąlygų.</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3.6.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3.7. Suteikęs finansavimą, finansinės priemonės valdytojas turi turėti paskirtį, jei tokia buvo nurodyta sutartyje su galutiniu naudos gavėju, ir (ar) panaudojimą pagrindžiančius dokumentus.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Pr="0068597E">
        <w:rPr>
          <w:rFonts w:ascii="Times New Roman" w:hAnsi="Times New Roman" w:cs="Times New Roman"/>
          <w:sz w:val="24"/>
          <w:szCs w:val="24"/>
        </w:rPr>
        <w:t>.</w:t>
      </w:r>
    </w:p>
    <w:p w:rsidR="00470ECE" w:rsidRPr="0068597E" w:rsidRDefault="00470ECE" w:rsidP="00B3009B">
      <w:pPr>
        <w:tabs>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Sprendimo dėl investavimo priėmimo dieną investicijos turi būti fiziškai neužbaigtos arba negali būti visiškai įgyvendintos.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Įmonė C teikia paraišką vienam iš finansinės priemonės valdytojų dėl paskolos gamybinių patalpų statybai. Paraiškos pridavimo metu statybų užbaigtumas yra 60%. Jei per laikotarpį iki sprendimo priėmimo situacija nesikeičia tinkamomis finansuoti išlaidomis būtų pripažįstama tik investicija skirta pradėtam projektui pabaigti, t. y. ne daugiau nei 40% viso projekto vertės.</w:t>
      </w: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w:t>
            </w:r>
            <w:r w:rsidRPr="0068597E">
              <w:rPr>
                <w:rFonts w:ascii="Times New Roman" w:hAnsi="Times New Roman" w:cs="Times New Roman"/>
                <w:sz w:val="24"/>
                <w:szCs w:val="24"/>
              </w:rPr>
              <w:lastRenderedPageBreak/>
              <w:t>remiantis atliktu išankstiniu rizikos vertinimu, garantuotų išmokėtų paskolų suma turi siekti 3 kartus didesnę sumą nei garantijų finansinei priemonei skirta suma. T. y., jeigu garantijų finansinei priemonei yra skirta 100 mln. EUR suma (100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(kompensacinę) dalį Valdytojas perveda kiekvienam naudos gavėjui mėnesio pabaigoje. Po 2023 m. gruodžio 31 d. Valdytojas dar turi kompensuoti garantijos mokestį už banko išduotas garantijas, kurių galiojimo laikotarpis yra 2028 m. </w:t>
            </w:r>
            <w:proofErr w:type="spellStart"/>
            <w:r w:rsidRPr="0068597E">
              <w:rPr>
                <w:rFonts w:ascii="Times New Roman" w:hAnsi="Times New Roman" w:cs="Times New Roman"/>
                <w:bCs/>
                <w:sz w:val="24"/>
                <w:szCs w:val="24"/>
              </w:rPr>
              <w:t>pab</w:t>
            </w:r>
            <w:proofErr w:type="spellEnd"/>
            <w:r w:rsidRPr="0068597E">
              <w:rPr>
                <w:rFonts w:ascii="Times New Roman" w:hAnsi="Times New Roman" w:cs="Times New Roman"/>
                <w:bCs/>
                <w:sz w:val="24"/>
                <w:szCs w:val="24"/>
              </w:rPr>
              <w:t xml:space="preserve">.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w:t>
            </w:r>
            <w:r w:rsidRPr="0068597E">
              <w:rPr>
                <w:rFonts w:ascii="Times New Roman" w:hAnsi="Times New Roman" w:cs="Times New Roman"/>
                <w:bCs/>
                <w:sz w:val="24"/>
                <w:szCs w:val="24"/>
              </w:rPr>
              <w:lastRenderedPageBreak/>
              <w:t xml:space="preserve">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drawing>
          <wp:inline distT="0" distB="0" distL="0" distR="0" wp14:anchorId="5E21D198" wp14:editId="527291F4">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 veiklos rezultatais grįstas,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 xml:space="preserve">a institucija sutartam atskaitomybės laikotarpiui (pvz.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Fondų fondą įgyvendinantis subjektas arba finansines priemones įgyvendinantys subjektai, kaip numatyta 38 straipsnio 4 dalies a ir b punktuose, gali reikalauti atlyginti šio straipsnio 1 dalies 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lastRenderedPageBreak/>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Pagal sutartį numatyta, kad rodiklis kiekvienai priemonei bus skaičiuojamas naudojant šiuos </w:t>
            </w:r>
            <w:proofErr w:type="spellStart"/>
            <w:r w:rsidRPr="0068597E">
              <w:rPr>
                <w:rFonts w:ascii="Times New Roman" w:hAnsi="Times New Roman" w:cs="Times New Roman"/>
                <w:iCs/>
                <w:sz w:val="24"/>
                <w:szCs w:val="24"/>
              </w:rPr>
              <w:t>įverčius</w:t>
            </w:r>
            <w:proofErr w:type="spellEnd"/>
            <w:r w:rsidRPr="0068597E">
              <w:rPr>
                <w:rFonts w:ascii="Times New Roman" w:hAnsi="Times New Roman" w:cs="Times New Roman"/>
                <w:iCs/>
                <w:sz w:val="24"/>
                <w:szCs w:val="24"/>
              </w:rPr>
              <w:t>: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Nepasiekus rodiklio, proporcingai 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60%.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Pvz. fondų fondo valdytojas ataskaitinio laikotarpio pabaigai pasiekė abu rodiklius 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stebėsenos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stebėsenos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xml:space="preserve">. Atrenkant fondų fondo arba finansinės priemonės valdytoją tinkamai prognozuotos ir su Vadovaujančiąja institucija suderintos išlaidos     </w:t>
      </w:r>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511053">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Siekiant išvengti didelės administracinės naštos fondų fondo arba finansinės priemonės valdytojui ir Vadovaujančiajai institucijai, valdymo mokesčio dydis gali būti prognozuojamas ir aptariamas prieš pasirašant sutartį, tokio mokesčio konkretų dydį numatant sutartyje.</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  </w:t>
      </w: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sumokėtų </w:t>
      </w:r>
      <w:r w:rsidRPr="0068597E">
        <w:rPr>
          <w:rFonts w:ascii="Times New Roman" w:hAnsi="Times New Roman" w:cs="Times New Roman"/>
          <w:bCs/>
          <w:sz w:val="24"/>
          <w:szCs w:val="24"/>
          <w:u w:val="single"/>
        </w:rPr>
        <w:t>(kriterijus (a))</w:t>
      </w:r>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 </w:t>
      </w:r>
      <w:r w:rsidRPr="0068597E">
        <w:rPr>
          <w:rFonts w:ascii="Times New Roman" w:hAnsi="Times New Roman" w:cs="Times New Roman"/>
          <w:bCs/>
          <w:sz w:val="24"/>
          <w:szCs w:val="24"/>
        </w:rPr>
        <w:t xml:space="preserve"> 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*0,5%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 pavyzdžiui.</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50%)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lastRenderedPageBreak/>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 pavyzdžiui.</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priemonių valdymu, jeigu bus tenkinamas investicijų kokybės kriterijus. Sutartyje numatyta, kad investicijų kokybę papildančios priemonės bus vertinamos 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r w:rsidRPr="0068597E">
        <w:rPr>
          <w:rFonts w:ascii="Times New Roman" w:hAnsi="Times New Roman" w:cs="Times New Roman"/>
          <w:bCs/>
          <w:sz w:val="24"/>
          <w:szCs w:val="24"/>
          <w:u w:val="single"/>
        </w:rPr>
        <w:t>90%</w:t>
      </w:r>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r w:rsidRPr="0068597E">
        <w:rPr>
          <w:rFonts w:ascii="Times New Roman" w:hAnsi="Times New Roman" w:cs="Times New Roman"/>
          <w:bCs/>
          <w:sz w:val="24"/>
          <w:szCs w:val="24"/>
          <w:u w:val="single"/>
        </w:rPr>
        <w:t xml:space="preserve">95%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o ne 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apklauso rezultatai, kaip tai yra finansinės priemonės valdytojo atveju (pateiktame pavyzdyje aukščiau). Kiti pagal šį kriterijų skaičiuojamų valdymo išlaidų skaičiavimo principai yra analogiški aukščiau pateiktam pavyzdžiui.</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Tuo atveju, jei valdymo mokesčio mokėjimas yra numatytas daugiau negu kartą per metus, o vertinamas rodiklis matuojamas, kartą metuose – vertinamo rodiklio rezultatas galioja visiems mokėjimams vykdomiems iki sekančio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finansinių priemonių valdymu, jeigu bus pasiekti stebėsenos rodikliai per numatytą laikotarpį. Sutartyje numatyta, kad stebėsenos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Abiem stebėsenos rodikliams sutarta suteikti vienodą lyginamąjį svorį t. y po 50%.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2015.12.31. Finansinės priemonės valdytojas finansinių metų pabaigoje atlieka stebėsenos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*3%*50% (tik vienas iš stebėsenos rodiklių buvo pasiektas))</w:t>
      </w:r>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 xml:space="preserve">Ribinis dydis skaičiuojamas kaip bazinio atlygio (a dalis) ir veiklos rezultatais grįsto atlygio (b dalis) suma. Skaičiuojant fondų fondo valdytojo ribinius valdymo išlaidų  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jeigu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Skaičiuojant valdymo išlaidų ir mokesčio ribinį dydį gali būti naudojamas tiek supaprastintas  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 xml:space="preserve">Tinkamomis finansuoti už laikotarpį nuo 2015 m. sausio 1 d. iki 2015 m. sausio 31 d.  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(25%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3%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 xml:space="preserve">Tinkamomis finansuoti už laikotarpį nuo 2015 m. vasario 1 d. iki 2015 m. gegužės 31 d  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w:t>
            </w:r>
            <w:r w:rsidRPr="0068597E">
              <w:rPr>
                <w:rFonts w:ascii="Times New Roman" w:hAnsi="Times New Roman" w:cs="Times New Roman"/>
              </w:rPr>
              <w:lastRenderedPageBreak/>
              <w:t xml:space="preserve">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3%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 nuo 2015 m. birželio 1 d. iki 2015 m. birželio 30 d.  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3%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2015 m. liepos 1 d. iki 2015 m. gruodžio 31 d.  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r w:rsidRPr="0068597E">
              <w:rPr>
                <w:rFonts w:ascii="Times New Roman" w:hAnsi="Times New Roman" w:cs="Times New Roman"/>
              </w:rPr>
              <w:t xml:space="preserve">  (prie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lastRenderedPageBreak/>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 t.</w:t>
            </w:r>
            <w:r w:rsidR="00B770BA" w:rsidRPr="0068597E">
              <w:rPr>
                <w:rFonts w:ascii="Times New Roman" w:hAnsi="Times New Roman" w:cs="Times New Roman"/>
              </w:rPr>
              <w:t xml:space="preserve"> </w:t>
            </w:r>
            <w:r w:rsidRPr="0068597E">
              <w:rPr>
                <w:rFonts w:ascii="Times New Roman" w:hAnsi="Times New Roman" w:cs="Times New Roman"/>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 xml:space="preserve">6 dalyje  –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w:t>
            </w:r>
            <w:r w:rsidRPr="0068597E">
              <w:rPr>
                <w:rFonts w:ascii="Times New Roman" w:hAnsi="Times New Roman" w:cs="Times New Roman"/>
                <w:i/>
              </w:rPr>
              <w:lastRenderedPageBreak/>
              <w:t xml:space="preserve">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(pvz. bankams</w:t>
      </w:r>
      <w:r w:rsidR="005B4777" w:rsidRPr="0068597E">
        <w:rPr>
          <w:rFonts w:ascii="Times New Roman" w:hAnsi="Times New Roman" w:cs="Times New Roman"/>
          <w:sz w:val="24"/>
          <w:szCs w:val="24"/>
        </w:rPr>
        <w:t xml:space="preserve">). Ribinis dydis skaičiuojamas kaip bazinio atlygio (a dalis) ir veiklos rezultatais grįsto 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Sutartyje numatyta, kad garantijų finansinei priemonei bus skiriama 40%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sausio 1 d. iki 2015 m. sausio 31 d.  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sausio 1 d. iki 2015 m. sausio 31 d.  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lastRenderedPageBreak/>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(25% visos sutarties vertės). 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3%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r w:rsidRPr="0068597E">
              <w:rPr>
                <w:rFonts w:ascii="Times New Roman" w:hAnsi="Times New Roman" w:cs="Times New Roman"/>
                <w:b/>
                <w:sz w:val="24"/>
                <w:szCs w:val="24"/>
              </w:rPr>
              <w:t xml:space="preserve">  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3%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w:t>
            </w:r>
            <w:r w:rsidRPr="0068597E">
              <w:rPr>
                <w:rFonts w:ascii="Times New Roman" w:hAnsi="Times New Roman" w:cs="Times New Roman"/>
                <w:sz w:val="24"/>
                <w:szCs w:val="24"/>
              </w:rPr>
              <w:lastRenderedPageBreak/>
              <w:t xml:space="preserve">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tuo tarpu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3%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liepos 1 d. iki 2015 m. gruodžio 31 d.  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liepos 1 d. iki 2015 m. gruodžio 31 d.  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.*0,5%*180/360=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1%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2016 m. sausio 1 d. iki 2016 m. sausio 31:.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w:t>
            </w:r>
            <w:r w:rsidRPr="0068597E">
              <w:rPr>
                <w:rFonts w:ascii="Times New Roman" w:hAnsi="Times New Roman" w:cs="Times New Roman"/>
                <w:b/>
                <w:sz w:val="24"/>
                <w:szCs w:val="24"/>
              </w:rPr>
              <w:lastRenderedPageBreak/>
              <w:t xml:space="preserve">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w:t>
            </w:r>
            <w:r w:rsidRPr="0068597E">
              <w:rPr>
                <w:rFonts w:ascii="Times New Roman" w:hAnsi="Times New Roman" w:cs="Times New Roman"/>
                <w:bCs/>
                <w:sz w:val="24"/>
                <w:szCs w:val="24"/>
              </w:rPr>
              <w:lastRenderedPageBreak/>
              <w:t xml:space="preserve">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Žr. pavyzdį Nr. 11, kaip skaičiuojamos valdymo išlaidos ir mokesčiai, kai tas pats subjektas yra ir fondų fondo valdytojas ir finansinės priemonės valdytojas. Daugiau informacijas pateikta Gairių</w:t>
      </w:r>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60</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inės priemonės valdytojui yra 2</w:t>
            </w:r>
            <w:r w:rsidRPr="0068597E">
              <w:rPr>
                <w:rFonts w:ascii="Times New Roman" w:hAnsi="Times New Roman" w:cs="Times New Roman"/>
                <w:bCs/>
                <w:sz w:val="24"/>
                <w:szCs w:val="24"/>
              </w:rPr>
              <w:t>%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Fondų fondo valdytojas sutarė, kad metinis valdymo mokestis bus nustatomas analogiškai kaip ir </w:t>
            </w:r>
            <w:r w:rsidRPr="0068597E">
              <w:rPr>
                <w:rFonts w:ascii="Times New Roman" w:hAnsi="Times New Roman" w:cs="Times New Roman"/>
                <w:bCs/>
                <w:sz w:val="24"/>
                <w:szCs w:val="24"/>
              </w:rPr>
              <w:lastRenderedPageBreak/>
              <w:t>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y. 2</w:t>
            </w:r>
            <w:r w:rsidRPr="0068597E">
              <w:rPr>
                <w:rFonts w:ascii="Times New Roman" w:hAnsi="Times New Roman" w:cs="Times New Roman"/>
                <w:bCs/>
                <w:sz w:val="24"/>
                <w:szCs w:val="24"/>
              </w:rPr>
              <w:t>%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Pr="0068597E" w:rsidRDefault="005B4777"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Sąskaitos-faktūros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visas sutartis su naudos gavėjais bei mokėjimo nurodymus (banko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mokesčio skaičiavimo modelis, jei dalis mokesčio yra kintama, pvz.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Dėl tos priežasties, kad valdymo išlaidos arba mokesčiai esantys sąlyginio deponavimo sąskaitoje „uždirbs“ pajamas per laikotarpį po tinkamumo finansuoti pabaigos, valdymo išlaidos arba mokesčiai  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ekonomiškai naudojant išteklius) po 2023 m. gruodžio 31 d., ir tik už kainą, kuri atitinka rinkos sąlygas. Pvz., įvertinant (ir pagrindžiant), kiek ir kokio lygio darbuotojų prižiūrės priemonę (dalyvaus jos valdyme) po 2023 m. 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Ribota investicijoms į galutinius naudos gavėjus skirtų mokėjimų, kurie, suėjus 2023-12-31 datai, turi būti mokami ne ilgesnį nei ketverių metų laikotarpį, suma gali būti laikoma tinkamomis 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perka įrangą vykdomam projektui, ir sumoka tiekėjui </w:t>
      </w:r>
      <w:r w:rsidRPr="0094283B">
        <w:rPr>
          <w:rFonts w:ascii="Times New Roman" w:hAnsi="Times New Roman" w:cs="Times New Roman"/>
          <w:bCs/>
          <w:sz w:val="24"/>
          <w:szCs w:val="24"/>
        </w:rPr>
        <w:t>100%</w:t>
      </w:r>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šiuo atveju svarbu įsitikinti, kad projektas yra ekonomiškai pagrįstas, bei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lastRenderedPageBreak/>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(lizingo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 xml:space="preserve">FP </w:t>
      </w:r>
      <w:r w:rsidRPr="0068597E">
        <w:rPr>
          <w:rFonts w:ascii="Times New Roman" w:hAnsi="Times New Roman" w:cs="Times New Roman"/>
          <w:sz w:val="24"/>
          <w:szCs w:val="24"/>
        </w:rPr>
        <w:t xml:space="preserve"> 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Stebėsenos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Stebėsenos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 xml:space="preserve">2. Tiesioginė nauda Lietuvai finansuojant galutinius naudos gavėjus pasireiškia tada, kai </w:t>
      </w:r>
      <w:r w:rsidRPr="0068597E">
        <w:rPr>
          <w:lang w:val="lt-LT"/>
        </w:rPr>
        <w:lastRenderedPageBreak/>
        <w:t>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lizingo sandorį (įskaitant garantuotą finansinės priemonės lėšomis) (pvz., ketinimų protokolus, sutartis su užsakovais ir (ar)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81648D" w:rsidRPr="0068597E"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r w:rsidR="00674F00" w:rsidRPr="0068597E">
        <w:rPr>
          <w:lang w:val="lt-LT"/>
        </w:rPr>
        <w:t xml:space="preserve"> </w:t>
      </w:r>
      <w:r w:rsidR="00674F00" w:rsidRPr="0068597E">
        <w:rPr>
          <w:bCs/>
        </w:rPr>
        <w:t xml:space="preserve"> 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90% visų sąnaudų) įmonė perka iš IT įmonės Indijoje. Sukurta PĮ (99%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w:t>
            </w:r>
            <w:r w:rsidRPr="0068597E">
              <w:rPr>
                <w:rFonts w:ascii="Times New Roman" w:hAnsi="Times New Roman" w:cs="Times New Roman"/>
                <w:bCs/>
              </w:rPr>
              <w:lastRenderedPageBreak/>
              <w:t xml:space="preserve">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r w:rsidR="007201D6" w:rsidRPr="0068597E">
        <w:rPr>
          <w:rFonts w:ascii="Times New Roman" w:hAnsi="Times New Roman" w:cs="Times New Roman"/>
          <w:sz w:val="24"/>
          <w:szCs w:val="24"/>
        </w:rPr>
        <w:t xml:space="preserve">  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visų veiksmų programos prioriteto lėšų (esant Stebėsenos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„83. Pridėtinės vertės mokestis (toliau – PVM), kurį pagal atitinkamam ūkio subjektui taikomus teisės aktus galima įtraukti į PVM atskaitą, net jeigu toks PVM į atskaitą įtrauktas nebuvo, yra netinkamas finansuoti (netaikoma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Įmonė PVM mokėtoja vykdo tik PVM apmokestinamą veiklą (ir todėl į PVM atskaitą įsitraukia 100%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60% PVM apmokestinamą veiklą (ir todėl į PVM atskaitą </w:t>
            </w:r>
            <w:r w:rsidRPr="0068597E">
              <w:rPr>
                <w:rFonts w:ascii="Times New Roman" w:hAnsi="Times New Roman" w:cs="Times New Roman"/>
                <w:sz w:val="24"/>
                <w:szCs w:val="24"/>
              </w:rPr>
              <w:lastRenderedPageBreak/>
              <w:t>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21%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5. Minėti dokumentai turi būti saugomi FP taisyklių XIX skyriuje nurodytu laikotarpiu, užtikrinant tinkamą audito seką.</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  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seką.</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dienos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ar prioritetinę kryptį ar tos pačios programos priemonę, naudojant kodavimą ar kitą patikimą atskyrimo principą, kuris užtikrintų panaudojimo </w:t>
      </w:r>
      <w:proofErr w:type="spellStart"/>
      <w:r w:rsidRPr="0068597E">
        <w:rPr>
          <w:rFonts w:ascii="Times New Roman" w:hAnsi="Times New Roman" w:cs="Times New Roman"/>
          <w:sz w:val="24"/>
          <w:szCs w:val="24"/>
        </w:rPr>
        <w:t>atsekamumą</w:t>
      </w:r>
      <w:proofErr w:type="spellEnd"/>
      <w:r w:rsidRPr="0068597E">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xml:space="preserve">.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(ES) Nr. 1303/2013 43 straipsnio 2 dalyje. Projekto vykdytojas turi užtikrinti duomenų apie palūkanų ir kitų pajamų ar pelno panaudojimą </w:t>
      </w:r>
      <w:proofErr w:type="spellStart"/>
      <w:r w:rsidRPr="0068597E">
        <w:rPr>
          <w:rFonts w:ascii="Times New Roman" w:hAnsi="Times New Roman" w:cs="Times New Roman"/>
          <w:b/>
          <w:i/>
          <w:sz w:val="24"/>
          <w:szCs w:val="24"/>
        </w:rPr>
        <w:t>atsekamumą</w:t>
      </w:r>
      <w:proofErr w:type="spellEnd"/>
      <w:r w:rsidRPr="0068597E">
        <w:rPr>
          <w:rFonts w:ascii="Times New Roman" w:hAnsi="Times New Roman" w:cs="Times New Roman"/>
          <w:b/>
          <w:i/>
          <w:sz w:val="24"/>
          <w:szCs w:val="24"/>
        </w:rPr>
        <w:t xml:space="preserve">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w:t>
      </w:r>
      <w:proofErr w:type="spellStart"/>
      <w:r w:rsidRPr="0068597E">
        <w:rPr>
          <w:rFonts w:ascii="Times New Roman" w:hAnsi="Times New Roman" w:cs="Times New Roman"/>
          <w:sz w:val="24"/>
          <w:szCs w:val="24"/>
        </w:rPr>
        <w:t>atsekamumą</w:t>
      </w:r>
      <w:proofErr w:type="spellEnd"/>
      <w:r w:rsidRPr="0068597E">
        <w:rPr>
          <w:rFonts w:ascii="Times New Roman" w:hAnsi="Times New Roman" w:cs="Times New Roman"/>
          <w:sz w:val="24"/>
          <w:szCs w:val="24"/>
        </w:rPr>
        <w:t>.</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w:t>
      </w:r>
      <w:r w:rsidRPr="0068597E">
        <w:rPr>
          <w:rFonts w:ascii="Times New Roman" w:hAnsi="Times New Roman" w:cs="Times New Roman"/>
          <w:b/>
          <w:i/>
          <w:sz w:val="24"/>
          <w:szCs w:val="24"/>
        </w:rPr>
        <w:lastRenderedPageBreak/>
        <w:t>reglamento 1 straipsnio 3 ir 6 dalyse ir Deleguotojo reglamento 9 straipsnyje, užtikrinant tinkamą audito seką.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Finansines priemones įgyvendinantys subjektai turi išlaikyti nacionalinių viešųjų arba privačiųjų įnašų, sudarančių bendrojo finansavimo nacionalinę dalį, iki jie pasiekia galutinį naudos gavėją, audito seką.</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„118. Projektų dokumentai saugomi ne trumpiau kaip 2 metus nuo tų metų, kuriais priimtas sprendimas dėl sąskaitų Europos Komisijai, į kurias įtraukiamos galutinės projekto išlaidos, patvirtinimo, gruodžio 31 dienos, kaip nurodyta Reglamento (ES) Nr. 1303/2013 140 straipsnio 1 dalies antroje pastraipoje. Kai skiriama valstybės pagalba, atsižvelgiant į Europos 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lastRenderedPageBreak/>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  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  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Registrų centro informacija -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230" w:rsidRDefault="00AF1230" w:rsidP="00F7073F">
      <w:pPr>
        <w:spacing w:after="0" w:line="240" w:lineRule="auto"/>
      </w:pPr>
      <w:r>
        <w:separator/>
      </w:r>
    </w:p>
  </w:endnote>
  <w:endnote w:type="continuationSeparator" w:id="0">
    <w:p w:rsidR="00AF1230" w:rsidRDefault="00AF1230"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altName w:val="Segoe UI Symbol"/>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94283B" w:rsidRPr="003B722A" w:rsidRDefault="0094283B">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3C0F1A">
          <w:rPr>
            <w:rFonts w:ascii="Times New Roman" w:hAnsi="Times New Roman" w:cs="Times New Roman"/>
            <w:noProof/>
          </w:rPr>
          <w:t>7</w:t>
        </w:r>
        <w:r w:rsidRPr="003B722A">
          <w:rPr>
            <w:rFonts w:ascii="Times New Roman" w:hAnsi="Times New Roman" w:cs="Times New Roman"/>
          </w:rPr>
          <w:fldChar w:fldCharType="end"/>
        </w:r>
      </w:p>
    </w:sdtContent>
  </w:sdt>
  <w:p w:rsidR="0094283B" w:rsidRDefault="0094283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230" w:rsidRDefault="00AF1230" w:rsidP="00F7073F">
      <w:pPr>
        <w:spacing w:after="0" w:line="240" w:lineRule="auto"/>
      </w:pPr>
      <w:r>
        <w:separator/>
      </w:r>
    </w:p>
  </w:footnote>
  <w:footnote w:type="continuationSeparator" w:id="0">
    <w:p w:rsidR="00AF1230" w:rsidRDefault="00AF1230" w:rsidP="00F70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2">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3">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4">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4">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6"/>
  </w:num>
  <w:num w:numId="2">
    <w:abstractNumId w:val="12"/>
  </w:num>
  <w:num w:numId="3">
    <w:abstractNumId w:val="21"/>
  </w:num>
  <w:num w:numId="4">
    <w:abstractNumId w:val="29"/>
  </w:num>
  <w:num w:numId="5">
    <w:abstractNumId w:val="43"/>
  </w:num>
  <w:num w:numId="6">
    <w:abstractNumId w:val="45"/>
  </w:num>
  <w:num w:numId="7">
    <w:abstractNumId w:val="2"/>
  </w:num>
  <w:num w:numId="8">
    <w:abstractNumId w:val="3"/>
  </w:num>
  <w:num w:numId="9">
    <w:abstractNumId w:val="4"/>
  </w:num>
  <w:num w:numId="10">
    <w:abstractNumId w:val="8"/>
  </w:num>
  <w:num w:numId="11">
    <w:abstractNumId w:val="22"/>
  </w:num>
  <w:num w:numId="12">
    <w:abstractNumId w:val="35"/>
  </w:num>
  <w:num w:numId="13">
    <w:abstractNumId w:val="34"/>
  </w:num>
  <w:num w:numId="14">
    <w:abstractNumId w:val="5"/>
  </w:num>
  <w:num w:numId="15">
    <w:abstractNumId w:val="6"/>
  </w:num>
  <w:num w:numId="16">
    <w:abstractNumId w:val="9"/>
  </w:num>
  <w:num w:numId="17">
    <w:abstractNumId w:val="38"/>
  </w:num>
  <w:num w:numId="18">
    <w:abstractNumId w:val="18"/>
  </w:num>
  <w:num w:numId="19">
    <w:abstractNumId w:val="16"/>
  </w:num>
  <w:num w:numId="20">
    <w:abstractNumId w:val="25"/>
  </w:num>
  <w:num w:numId="21">
    <w:abstractNumId w:val="0"/>
  </w:num>
  <w:num w:numId="22">
    <w:abstractNumId w:val="30"/>
  </w:num>
  <w:num w:numId="23">
    <w:abstractNumId w:val="1"/>
  </w:num>
  <w:num w:numId="24">
    <w:abstractNumId w:val="14"/>
  </w:num>
  <w:num w:numId="25">
    <w:abstractNumId w:val="40"/>
  </w:num>
  <w:num w:numId="26">
    <w:abstractNumId w:val="20"/>
  </w:num>
  <w:num w:numId="27">
    <w:abstractNumId w:val="10"/>
  </w:num>
  <w:num w:numId="28">
    <w:abstractNumId w:val="46"/>
  </w:num>
  <w:num w:numId="29">
    <w:abstractNumId w:val="44"/>
  </w:num>
  <w:num w:numId="30">
    <w:abstractNumId w:val="28"/>
  </w:num>
  <w:num w:numId="31">
    <w:abstractNumId w:val="39"/>
  </w:num>
  <w:num w:numId="32">
    <w:abstractNumId w:val="15"/>
  </w:num>
  <w:num w:numId="33">
    <w:abstractNumId w:val="27"/>
  </w:num>
  <w:num w:numId="34">
    <w:abstractNumId w:val="32"/>
  </w:num>
  <w:num w:numId="35">
    <w:abstractNumId w:val="42"/>
  </w:num>
  <w:num w:numId="36">
    <w:abstractNumId w:val="19"/>
  </w:num>
  <w:num w:numId="37">
    <w:abstractNumId w:val="17"/>
  </w:num>
  <w:num w:numId="38">
    <w:abstractNumId w:val="31"/>
  </w:num>
  <w:num w:numId="39">
    <w:abstractNumId w:val="26"/>
  </w:num>
  <w:num w:numId="40">
    <w:abstractNumId w:val="7"/>
  </w:num>
  <w:num w:numId="41">
    <w:abstractNumId w:val="23"/>
  </w:num>
  <w:num w:numId="42">
    <w:abstractNumId w:val="33"/>
  </w:num>
  <w:num w:numId="43">
    <w:abstractNumId w:val="13"/>
  </w:num>
  <w:num w:numId="44">
    <w:abstractNumId w:val="37"/>
  </w:num>
  <w:num w:numId="45">
    <w:abstractNumId w:val="24"/>
  </w:num>
  <w:num w:numId="46">
    <w:abstractNumId w:val="41"/>
  </w:num>
  <w:num w:numId="47">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15153"/>
    <w:rsid w:val="0003000F"/>
    <w:rsid w:val="00035193"/>
    <w:rsid w:val="000701C1"/>
    <w:rsid w:val="00071292"/>
    <w:rsid w:val="000818F9"/>
    <w:rsid w:val="000A6B1C"/>
    <w:rsid w:val="001049FD"/>
    <w:rsid w:val="0010778B"/>
    <w:rsid w:val="0015683E"/>
    <w:rsid w:val="00162CC6"/>
    <w:rsid w:val="00164E1B"/>
    <w:rsid w:val="00191774"/>
    <w:rsid w:val="001A00E3"/>
    <w:rsid w:val="001B7776"/>
    <w:rsid w:val="001C21C9"/>
    <w:rsid w:val="001D3B5B"/>
    <w:rsid w:val="001E0366"/>
    <w:rsid w:val="001E6B33"/>
    <w:rsid w:val="001F5CF1"/>
    <w:rsid w:val="001F7FB2"/>
    <w:rsid w:val="002254E6"/>
    <w:rsid w:val="002306D2"/>
    <w:rsid w:val="00232706"/>
    <w:rsid w:val="002500A2"/>
    <w:rsid w:val="00253F4F"/>
    <w:rsid w:val="002665BC"/>
    <w:rsid w:val="002A45C8"/>
    <w:rsid w:val="002C2392"/>
    <w:rsid w:val="002C343C"/>
    <w:rsid w:val="002E46B0"/>
    <w:rsid w:val="002F4C98"/>
    <w:rsid w:val="00313C2B"/>
    <w:rsid w:val="003624C3"/>
    <w:rsid w:val="00371901"/>
    <w:rsid w:val="00383B56"/>
    <w:rsid w:val="003924D8"/>
    <w:rsid w:val="003B722A"/>
    <w:rsid w:val="003C0F1A"/>
    <w:rsid w:val="003D0BC0"/>
    <w:rsid w:val="003F4A20"/>
    <w:rsid w:val="004314E4"/>
    <w:rsid w:val="00440800"/>
    <w:rsid w:val="004519DF"/>
    <w:rsid w:val="00463F9D"/>
    <w:rsid w:val="00465F82"/>
    <w:rsid w:val="00470ECE"/>
    <w:rsid w:val="004846D4"/>
    <w:rsid w:val="004D4281"/>
    <w:rsid w:val="00503B9E"/>
    <w:rsid w:val="00511053"/>
    <w:rsid w:val="00514370"/>
    <w:rsid w:val="0051440F"/>
    <w:rsid w:val="005218F9"/>
    <w:rsid w:val="005268CF"/>
    <w:rsid w:val="00536999"/>
    <w:rsid w:val="0053715A"/>
    <w:rsid w:val="0056704A"/>
    <w:rsid w:val="0058107B"/>
    <w:rsid w:val="0058569C"/>
    <w:rsid w:val="005930EA"/>
    <w:rsid w:val="0059463F"/>
    <w:rsid w:val="005B4777"/>
    <w:rsid w:val="005C5D8B"/>
    <w:rsid w:val="005C6A9A"/>
    <w:rsid w:val="005E11AD"/>
    <w:rsid w:val="005F2B77"/>
    <w:rsid w:val="006208A1"/>
    <w:rsid w:val="006278D6"/>
    <w:rsid w:val="00641852"/>
    <w:rsid w:val="00663EE4"/>
    <w:rsid w:val="00672E9F"/>
    <w:rsid w:val="00674F00"/>
    <w:rsid w:val="0068174A"/>
    <w:rsid w:val="006825EE"/>
    <w:rsid w:val="0068597E"/>
    <w:rsid w:val="00687E6F"/>
    <w:rsid w:val="006A3932"/>
    <w:rsid w:val="006E4F0C"/>
    <w:rsid w:val="006F69C4"/>
    <w:rsid w:val="00716B73"/>
    <w:rsid w:val="007201D6"/>
    <w:rsid w:val="00726F90"/>
    <w:rsid w:val="00735642"/>
    <w:rsid w:val="00756D5D"/>
    <w:rsid w:val="00780A8D"/>
    <w:rsid w:val="0078373B"/>
    <w:rsid w:val="00783D7F"/>
    <w:rsid w:val="007B6A9D"/>
    <w:rsid w:val="007C2302"/>
    <w:rsid w:val="00810C8C"/>
    <w:rsid w:val="00811183"/>
    <w:rsid w:val="0081648D"/>
    <w:rsid w:val="008348E7"/>
    <w:rsid w:val="008718AE"/>
    <w:rsid w:val="00886B13"/>
    <w:rsid w:val="00892FFB"/>
    <w:rsid w:val="008B3760"/>
    <w:rsid w:val="008C6684"/>
    <w:rsid w:val="008D2714"/>
    <w:rsid w:val="008D45FA"/>
    <w:rsid w:val="00900888"/>
    <w:rsid w:val="00926F14"/>
    <w:rsid w:val="0094283B"/>
    <w:rsid w:val="0094737A"/>
    <w:rsid w:val="00953CCF"/>
    <w:rsid w:val="009613F3"/>
    <w:rsid w:val="00977283"/>
    <w:rsid w:val="009B1A7C"/>
    <w:rsid w:val="009B222B"/>
    <w:rsid w:val="009B4971"/>
    <w:rsid w:val="009C35B7"/>
    <w:rsid w:val="009C3BC0"/>
    <w:rsid w:val="009F2116"/>
    <w:rsid w:val="00A05EC5"/>
    <w:rsid w:val="00A241DB"/>
    <w:rsid w:val="00A9436C"/>
    <w:rsid w:val="00AC2D29"/>
    <w:rsid w:val="00AC426D"/>
    <w:rsid w:val="00AE0F7B"/>
    <w:rsid w:val="00AE2AAB"/>
    <w:rsid w:val="00AF1230"/>
    <w:rsid w:val="00B03A57"/>
    <w:rsid w:val="00B0634A"/>
    <w:rsid w:val="00B17286"/>
    <w:rsid w:val="00B226BD"/>
    <w:rsid w:val="00B3009B"/>
    <w:rsid w:val="00B60348"/>
    <w:rsid w:val="00B61AD6"/>
    <w:rsid w:val="00B65BD3"/>
    <w:rsid w:val="00B770BA"/>
    <w:rsid w:val="00B778B3"/>
    <w:rsid w:val="00B8726E"/>
    <w:rsid w:val="00B94C95"/>
    <w:rsid w:val="00BB154D"/>
    <w:rsid w:val="00BB564B"/>
    <w:rsid w:val="00BC1565"/>
    <w:rsid w:val="00BE4520"/>
    <w:rsid w:val="00BF184A"/>
    <w:rsid w:val="00BF199B"/>
    <w:rsid w:val="00C07665"/>
    <w:rsid w:val="00C3038C"/>
    <w:rsid w:val="00C306DB"/>
    <w:rsid w:val="00C60913"/>
    <w:rsid w:val="00C63888"/>
    <w:rsid w:val="00C9658E"/>
    <w:rsid w:val="00CA1652"/>
    <w:rsid w:val="00CA72B2"/>
    <w:rsid w:val="00CD439C"/>
    <w:rsid w:val="00CD4E96"/>
    <w:rsid w:val="00CE2682"/>
    <w:rsid w:val="00D06E68"/>
    <w:rsid w:val="00D2451F"/>
    <w:rsid w:val="00D42BFF"/>
    <w:rsid w:val="00D439DF"/>
    <w:rsid w:val="00D55952"/>
    <w:rsid w:val="00D6643F"/>
    <w:rsid w:val="00D91851"/>
    <w:rsid w:val="00DA2494"/>
    <w:rsid w:val="00DB6B46"/>
    <w:rsid w:val="00DC2CB4"/>
    <w:rsid w:val="00DD0FB5"/>
    <w:rsid w:val="00DD3733"/>
    <w:rsid w:val="00DE05C1"/>
    <w:rsid w:val="00E20055"/>
    <w:rsid w:val="00E319D2"/>
    <w:rsid w:val="00E44CE6"/>
    <w:rsid w:val="00EA3509"/>
    <w:rsid w:val="00EB4893"/>
    <w:rsid w:val="00ED40D4"/>
    <w:rsid w:val="00EE2E7E"/>
    <w:rsid w:val="00EF0895"/>
    <w:rsid w:val="00F227AB"/>
    <w:rsid w:val="00F44CD9"/>
    <w:rsid w:val="00F60ADB"/>
    <w:rsid w:val="00F60C42"/>
    <w:rsid w:val="00F7073F"/>
    <w:rsid w:val="00FA0259"/>
    <w:rsid w:val="00FB2D41"/>
    <w:rsid w:val="00FC1B6E"/>
    <w:rsid w:val="00FC2632"/>
    <w:rsid w:val="00FC613E"/>
    <w:rsid w:val="00FD0E14"/>
    <w:rsid w:val="00FE6C53"/>
    <w:rsid w:val="00FF1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6068D-3272-426E-B0C3-628003BF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97223</Words>
  <Characters>55418</Characters>
  <Application>Microsoft Office Word</Application>
  <DocSecurity>0</DocSecurity>
  <Lines>461</Lines>
  <Paragraphs>304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152337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Jurgita Vilūnienė</cp:lastModifiedBy>
  <cp:revision>4</cp:revision>
  <cp:lastPrinted>2016-06-28T13:32:00Z</cp:lastPrinted>
  <dcterms:created xsi:type="dcterms:W3CDTF">2016-07-07T06:16:00Z</dcterms:created>
  <dcterms:modified xsi:type="dcterms:W3CDTF">2016-07-07T06:19:00Z</dcterms:modified>
</cp:coreProperties>
</file>