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EE41C" w14:textId="77777777" w:rsidR="00CB13D1" w:rsidRPr="00624A96" w:rsidRDefault="00CB13D1" w:rsidP="00DE330A">
      <w:pPr>
        <w:pStyle w:val="statymopavad0"/>
        <w:spacing w:line="240" w:lineRule="auto"/>
        <w:rPr>
          <w:rFonts w:ascii="Times New Roman" w:hAnsi="Times New Roman"/>
          <w:b/>
          <w:szCs w:val="24"/>
        </w:rPr>
      </w:pPr>
      <w:bookmarkStart w:id="0" w:name="_GoBack"/>
      <w:r w:rsidRPr="00624A96">
        <w:rPr>
          <w:rFonts w:ascii="Times New Roman" w:hAnsi="Times New Roman"/>
          <w:b/>
          <w:szCs w:val="24"/>
        </w:rPr>
        <w:t xml:space="preserve">institucijų pateiktų pastabų derinimo lentelė </w:t>
      </w:r>
    </w:p>
    <w:p w14:paraId="0EE20661" w14:textId="77777777" w:rsidR="00DE330A" w:rsidRPr="00624A96" w:rsidRDefault="004264D6" w:rsidP="00DE330A">
      <w:pPr>
        <w:pStyle w:val="statymopavad0"/>
        <w:spacing w:line="240" w:lineRule="auto"/>
        <w:rPr>
          <w:rFonts w:ascii="Times New Roman" w:hAnsi="Times New Roman"/>
          <w:b/>
          <w:szCs w:val="24"/>
        </w:rPr>
      </w:pPr>
      <w:r w:rsidRPr="00624A96">
        <w:rPr>
          <w:rFonts w:ascii="Times New Roman" w:hAnsi="Times New Roman"/>
          <w:b/>
          <w:szCs w:val="24"/>
        </w:rPr>
        <w:t>DĖL</w:t>
      </w:r>
      <w:r w:rsidR="00537714" w:rsidRPr="00624A96">
        <w:rPr>
          <w:szCs w:val="24"/>
        </w:rPr>
        <w:t xml:space="preserve"> </w:t>
      </w:r>
      <w:r w:rsidR="00DE330A" w:rsidRPr="00624A96">
        <w:rPr>
          <w:rFonts w:ascii="Times New Roman" w:hAnsi="Times New Roman"/>
          <w:b/>
          <w:szCs w:val="24"/>
        </w:rPr>
        <w:t>2014–2020 M. EUROPOS SĄJUNGOS FONDŲ INVESTICIJŲ VEIKSMŲ PROGRAMOS</w:t>
      </w:r>
    </w:p>
    <w:p w14:paraId="101B62A0" w14:textId="77777777" w:rsidR="00DE330A" w:rsidRPr="00624A96" w:rsidRDefault="00DE330A" w:rsidP="00DE330A">
      <w:pPr>
        <w:pStyle w:val="statymopavad0"/>
        <w:spacing w:line="240" w:lineRule="auto"/>
        <w:rPr>
          <w:rFonts w:ascii="Times New Roman" w:hAnsi="Times New Roman"/>
          <w:b/>
          <w:szCs w:val="24"/>
        </w:rPr>
      </w:pPr>
      <w:r w:rsidRPr="00624A96">
        <w:rPr>
          <w:rFonts w:ascii="Times New Roman" w:hAnsi="Times New Roman"/>
          <w:b/>
          <w:szCs w:val="24"/>
        </w:rPr>
        <w:t>10 PRIORITETO „VISUOMENĖS POREIKIUS ATITINKANTIS IR PAŽANGUS VIEŠASIS VALDYMAS“</w:t>
      </w:r>
    </w:p>
    <w:p w14:paraId="05A34E20" w14:textId="77777777" w:rsidR="004264D6" w:rsidRPr="00624A96" w:rsidRDefault="00E24DB3" w:rsidP="00DE330A">
      <w:pPr>
        <w:pStyle w:val="statymopavad0"/>
        <w:spacing w:line="240" w:lineRule="auto"/>
        <w:rPr>
          <w:rFonts w:ascii="Times New Roman" w:hAnsi="Times New Roman"/>
          <w:b/>
          <w:szCs w:val="24"/>
        </w:rPr>
      </w:pPr>
      <w:r w:rsidRPr="00624A96">
        <w:rPr>
          <w:rFonts w:ascii="Times New Roman" w:hAnsi="Times New Roman"/>
          <w:b/>
          <w:szCs w:val="24"/>
        </w:rPr>
        <w:t>NR. 10.1.3-ESFA-R-920</w:t>
      </w:r>
      <w:r w:rsidR="00DE330A" w:rsidRPr="00624A96">
        <w:rPr>
          <w:rFonts w:ascii="Times New Roman" w:hAnsi="Times New Roman"/>
          <w:b/>
          <w:szCs w:val="24"/>
        </w:rPr>
        <w:t xml:space="preserve"> PRIEMONĖS „</w:t>
      </w:r>
      <w:r w:rsidR="007C495A" w:rsidRPr="00624A96">
        <w:rPr>
          <w:rFonts w:ascii="Times New Roman" w:hAnsi="Times New Roman"/>
          <w:b/>
          <w:caps w:val="0"/>
          <w:szCs w:val="24"/>
        </w:rPr>
        <w:t>PASLAUGŲ IR ASME</w:t>
      </w:r>
      <w:r w:rsidRPr="00624A96">
        <w:rPr>
          <w:rFonts w:ascii="Times New Roman" w:hAnsi="Times New Roman"/>
          <w:b/>
          <w:caps w:val="0"/>
          <w:szCs w:val="24"/>
        </w:rPr>
        <w:t>NŲ APTARNAVIMO KOKYBĖS GERINIMAS SAVIVALDYBĖSE</w:t>
      </w:r>
      <w:r w:rsidR="00DE330A" w:rsidRPr="00624A96">
        <w:rPr>
          <w:rFonts w:ascii="Times New Roman" w:hAnsi="Times New Roman"/>
          <w:b/>
          <w:szCs w:val="24"/>
        </w:rPr>
        <w:t>“ PROJEKTŲ FINANSAVIMO SĄLYGŲ APRAŠO</w:t>
      </w:r>
      <w:r w:rsidR="00537714" w:rsidRPr="00624A96">
        <w:rPr>
          <w:rFonts w:ascii="Times New Roman" w:hAnsi="Times New Roman"/>
          <w:b/>
          <w:szCs w:val="24"/>
        </w:rPr>
        <w:t xml:space="preserve"> projekto</w:t>
      </w:r>
    </w:p>
    <w:p w14:paraId="64F8C55D" w14:textId="77777777" w:rsidR="004264D6" w:rsidRPr="00624A96"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5103"/>
        <w:gridCol w:w="8363"/>
      </w:tblGrid>
      <w:tr w:rsidR="009F7B62" w:rsidRPr="00624A96" w14:paraId="5D87136F" w14:textId="77777777" w:rsidTr="00372F2E">
        <w:tc>
          <w:tcPr>
            <w:tcW w:w="1526" w:type="dxa"/>
            <w:hideMark/>
          </w:tcPr>
          <w:bookmarkEnd w:id="0"/>
          <w:p w14:paraId="36B87347" w14:textId="77777777" w:rsidR="00CF5CF4" w:rsidRPr="00624A96" w:rsidRDefault="00CF5CF4" w:rsidP="004264D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Institucijos pavadinimas</w:t>
            </w:r>
          </w:p>
        </w:tc>
        <w:tc>
          <w:tcPr>
            <w:tcW w:w="5103" w:type="dxa"/>
            <w:hideMark/>
          </w:tcPr>
          <w:p w14:paraId="5D2B333F" w14:textId="77777777" w:rsidR="00CF5CF4" w:rsidRPr="00624A96" w:rsidRDefault="00CF5CF4" w:rsidP="004264D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Pastabos ir pasiūlymai</w:t>
            </w:r>
          </w:p>
        </w:tc>
        <w:tc>
          <w:tcPr>
            <w:tcW w:w="8363" w:type="dxa"/>
            <w:hideMark/>
          </w:tcPr>
          <w:p w14:paraId="5D59EA87" w14:textId="77777777" w:rsidR="00CF5CF4" w:rsidRPr="00624A96" w:rsidRDefault="00CF5CF4" w:rsidP="007049F6">
            <w:pPr>
              <w:jc w:val="center"/>
              <w:rPr>
                <w:rFonts w:ascii="Times New Roman" w:eastAsia="Times New Roman" w:hAnsi="Times New Roman" w:cs="Times New Roman"/>
                <w:b/>
                <w:bCs/>
                <w:sz w:val="24"/>
                <w:szCs w:val="24"/>
              </w:rPr>
            </w:pPr>
            <w:r w:rsidRPr="00624A96">
              <w:rPr>
                <w:rFonts w:ascii="Times New Roman" w:eastAsia="Times New Roman" w:hAnsi="Times New Roman" w:cs="Times New Roman"/>
                <w:b/>
                <w:bCs/>
                <w:sz w:val="24"/>
                <w:szCs w:val="24"/>
              </w:rPr>
              <w:t>Pastabų ir pasiūlymų įvertinimas</w:t>
            </w:r>
          </w:p>
        </w:tc>
      </w:tr>
      <w:tr w:rsidR="00E24DB3" w:rsidRPr="00624A96" w14:paraId="6E4B5D35" w14:textId="77777777" w:rsidTr="00372F2E">
        <w:tc>
          <w:tcPr>
            <w:tcW w:w="1526" w:type="dxa"/>
            <w:vMerge w:val="restart"/>
          </w:tcPr>
          <w:p w14:paraId="220173B9" w14:textId="77777777" w:rsidR="00E24DB3" w:rsidRPr="00624A96" w:rsidRDefault="00E24DB3" w:rsidP="004264D6">
            <w:pPr>
              <w:pStyle w:val="Preformatted"/>
              <w:jc w:val="both"/>
              <w:rPr>
                <w:rFonts w:ascii="Times New Roman" w:hAnsi="Times New Roman"/>
                <w:sz w:val="24"/>
                <w:szCs w:val="24"/>
              </w:rPr>
            </w:pPr>
            <w:r w:rsidRPr="00624A96">
              <w:rPr>
                <w:rFonts w:ascii="Times New Roman" w:hAnsi="Times New Roman"/>
                <w:sz w:val="24"/>
                <w:szCs w:val="24"/>
              </w:rPr>
              <w:t>Europos socialinio fondo agentūra</w:t>
            </w:r>
          </w:p>
        </w:tc>
        <w:tc>
          <w:tcPr>
            <w:tcW w:w="5103" w:type="dxa"/>
          </w:tcPr>
          <w:p w14:paraId="2CC1575A" w14:textId="77777777" w:rsidR="00E24DB3" w:rsidRPr="00624A96" w:rsidRDefault="00E24DB3" w:rsidP="00601BD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Atsižvelgdami į tai, kad 2007-2013 m. laikotarpiu buvo įgyvendinta daug projektų, kuriuose buvo diegiami ir vieno langelio principai, siekiant išvengti dvigubo finansavimo rizikos, siūlome papildyti Aprašo 11 punktą, nurodant, kad tos pačios veiklos, kurios jau buvo finansuojamos, pagal šį Aprašą netinkamos finansuoti.</w:t>
            </w:r>
          </w:p>
        </w:tc>
        <w:tc>
          <w:tcPr>
            <w:tcW w:w="8363" w:type="dxa"/>
          </w:tcPr>
          <w:p w14:paraId="1040D4B1" w14:textId="177A9E08" w:rsidR="00E24DB3" w:rsidRPr="00624A96" w:rsidRDefault="004A0AFF" w:rsidP="007049F6">
            <w:pPr>
              <w:jc w:val="both"/>
              <w:rPr>
                <w:rFonts w:ascii="Times New Roman" w:hAnsi="Times New Roman" w:cs="Times New Roman"/>
                <w:b/>
                <w:sz w:val="24"/>
                <w:szCs w:val="24"/>
              </w:rPr>
            </w:pPr>
            <w:r>
              <w:rPr>
                <w:rFonts w:ascii="Times New Roman" w:hAnsi="Times New Roman" w:cs="Times New Roman"/>
                <w:b/>
                <w:sz w:val="24"/>
                <w:szCs w:val="24"/>
              </w:rPr>
              <w:t>Atsižvelgta iš dalies</w:t>
            </w:r>
            <w:r w:rsidR="00E24DB3" w:rsidRPr="00624A96">
              <w:rPr>
                <w:rFonts w:ascii="Times New Roman" w:hAnsi="Times New Roman" w:cs="Times New Roman"/>
                <w:b/>
                <w:sz w:val="24"/>
                <w:szCs w:val="24"/>
              </w:rPr>
              <w:t>.</w:t>
            </w:r>
          </w:p>
          <w:p w14:paraId="1576168A" w14:textId="3465A257" w:rsidR="004A0AFF" w:rsidRPr="00624A96" w:rsidRDefault="004A0AFF" w:rsidP="004A0AFF">
            <w:pPr>
              <w:jc w:val="both"/>
              <w:rPr>
                <w:rFonts w:ascii="Times New Roman" w:hAnsi="Times New Roman" w:cs="Times New Roman"/>
                <w:sz w:val="24"/>
                <w:szCs w:val="24"/>
              </w:rPr>
            </w:pPr>
            <w:r>
              <w:rPr>
                <w:rFonts w:ascii="Times New Roman" w:hAnsi="Times New Roman" w:cs="Times New Roman"/>
                <w:sz w:val="24"/>
                <w:szCs w:val="24"/>
              </w:rPr>
              <w:t>Netinkamų finansuoti išlaidų sąrašas (Aprašo 45 punktas) papildytas nuostata, kad netinkamo</w:t>
            </w:r>
            <w:r w:rsidR="00D61A22">
              <w:rPr>
                <w:rFonts w:ascii="Times New Roman" w:hAnsi="Times New Roman" w:cs="Times New Roman"/>
                <w:sz w:val="24"/>
                <w:szCs w:val="24"/>
              </w:rPr>
              <w:t>s</w:t>
            </w:r>
            <w:r>
              <w:rPr>
                <w:rFonts w:ascii="Times New Roman" w:hAnsi="Times New Roman" w:cs="Times New Roman"/>
                <w:sz w:val="24"/>
                <w:szCs w:val="24"/>
              </w:rPr>
              <w:t xml:space="preserve"> finansuoti yra </w:t>
            </w:r>
            <w:r w:rsidRPr="004A0AFF">
              <w:rPr>
                <w:rFonts w:ascii="Times New Roman" w:hAnsi="Times New Roman" w:cs="Times New Roman"/>
                <w:sz w:val="24"/>
                <w:szCs w:val="24"/>
              </w:rPr>
              <w:t>kokybės vadybos sistemų / metodų palaikymo, t. y. taikymo priežiūros, atnaujinimo, persertifikavimo išlaidos</w:t>
            </w:r>
            <w:r>
              <w:rPr>
                <w:rFonts w:ascii="Times New Roman" w:hAnsi="Times New Roman" w:cs="Times New Roman"/>
                <w:sz w:val="24"/>
                <w:szCs w:val="24"/>
              </w:rPr>
              <w:t>.</w:t>
            </w:r>
          </w:p>
        </w:tc>
      </w:tr>
      <w:tr w:rsidR="00E24DB3" w:rsidRPr="00624A96" w14:paraId="65324BD3" w14:textId="77777777" w:rsidTr="00372F2E">
        <w:tc>
          <w:tcPr>
            <w:tcW w:w="1526" w:type="dxa"/>
            <w:vMerge/>
          </w:tcPr>
          <w:p w14:paraId="5C43B97B" w14:textId="77777777" w:rsidR="00E24DB3" w:rsidRPr="00624A96" w:rsidRDefault="00E24DB3" w:rsidP="004264D6">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D2F8E02" w14:textId="77777777" w:rsidR="00E24DB3" w:rsidRPr="00624A96" w:rsidRDefault="00E24DB3" w:rsidP="00601BD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Aprašo 20.2 punkte nurodyta, kad finansuojami projektai, kuriuos įgyvendinant gerinama bent vienos savivaldybės administracijos ir visų šios savivaldybės viešojo valdymo institucijų, kurios teikia gyventojams tokias pačias ir (arba) panašias viešąsias paslaugas teikiamų paslaugų ir (ar) asmenų aptarnavimo kokybė. Siūlome tikslinti nuostatą ir palikti galimybę finansuoti tik tokius projektus, kai savivaldybės administracija ir jos viešosios valdymo institucijos teikia gyventojams tas pačias paslaugas. Kitu atveju, prašome tiksliai nurodyti, kas yra panašios viešosios paslaugos, kokiais kriterijais turi būti vadovaujamasi, norint įvertinti ar teikiamos paslaugos yra panašios.</w:t>
            </w:r>
          </w:p>
        </w:tc>
        <w:tc>
          <w:tcPr>
            <w:tcW w:w="8363" w:type="dxa"/>
          </w:tcPr>
          <w:p w14:paraId="1467B2E7" w14:textId="77777777" w:rsidR="00E24DB3" w:rsidRPr="00624A96" w:rsidRDefault="00E24DB3" w:rsidP="007049F6">
            <w:pPr>
              <w:jc w:val="both"/>
              <w:rPr>
                <w:rFonts w:ascii="Times New Roman" w:hAnsi="Times New Roman" w:cs="Times New Roman"/>
                <w:b/>
                <w:sz w:val="24"/>
                <w:szCs w:val="24"/>
              </w:rPr>
            </w:pPr>
            <w:r w:rsidRPr="00624A96">
              <w:rPr>
                <w:rFonts w:ascii="Times New Roman" w:hAnsi="Times New Roman" w:cs="Times New Roman"/>
                <w:b/>
                <w:sz w:val="24"/>
                <w:szCs w:val="24"/>
              </w:rPr>
              <w:t>Atsižvelgta.</w:t>
            </w:r>
          </w:p>
          <w:p w14:paraId="69470907" w14:textId="2B855448" w:rsidR="00E24DB3" w:rsidRPr="00624A96" w:rsidRDefault="00E24DB3" w:rsidP="00747D2D">
            <w:pPr>
              <w:jc w:val="both"/>
              <w:rPr>
                <w:rFonts w:ascii="Times New Roman" w:hAnsi="Times New Roman" w:cs="Times New Roman"/>
                <w:sz w:val="24"/>
                <w:szCs w:val="24"/>
              </w:rPr>
            </w:pPr>
            <w:r w:rsidRPr="00624A96">
              <w:rPr>
                <w:rFonts w:ascii="Times New Roman" w:hAnsi="Times New Roman" w:cs="Times New Roman"/>
                <w:sz w:val="24"/>
                <w:szCs w:val="24"/>
              </w:rPr>
              <w:t>Aprašo 20.2 punkte išbraukta „ir (arba) panašias“.</w:t>
            </w:r>
          </w:p>
        </w:tc>
      </w:tr>
      <w:tr w:rsidR="00E24DB3" w:rsidRPr="00624A96" w14:paraId="20FBE7C6" w14:textId="77777777" w:rsidTr="00372F2E">
        <w:tc>
          <w:tcPr>
            <w:tcW w:w="1526" w:type="dxa"/>
            <w:vMerge/>
          </w:tcPr>
          <w:p w14:paraId="5593C846" w14:textId="77777777" w:rsidR="00E24DB3" w:rsidRPr="00624A96" w:rsidRDefault="00E24DB3"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177117A" w14:textId="77777777" w:rsidR="00E24DB3" w:rsidRPr="00624A96" w:rsidRDefault="00E24DB3" w:rsidP="007C495A">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 xml:space="preserve">Aprašo 25.4 punkte numatytas tik rezultato pokyčio rodiklis Nr. R.S.397-2. Atsižvelgdami į tai, kad šis rodiklis paraiškoje negali būti pasirenkamas atskirai nuo rodiklio „Valstybės ir savivaldybių institucijų ir įstaigų, pagal veiksmų programą ESF lėšomis įgyvendinusių paslaugų ir </w:t>
            </w:r>
            <w:r w:rsidRPr="00624A96">
              <w:rPr>
                <w:rFonts w:ascii="Times New Roman" w:hAnsi="Times New Roman"/>
                <w:sz w:val="24"/>
                <w:szCs w:val="24"/>
              </w:rPr>
              <w:lastRenderedPageBreak/>
              <w:t>(ar) aptarnavimo kokybei gerinti skirtas priemones, dalis“ Nr. R.S. 397, siūlome tikslinti minėtą punktą.</w:t>
            </w:r>
          </w:p>
        </w:tc>
        <w:tc>
          <w:tcPr>
            <w:tcW w:w="8363" w:type="dxa"/>
          </w:tcPr>
          <w:p w14:paraId="6FE64C4F" w14:textId="0EAEA2A2" w:rsidR="00E24DB3" w:rsidRPr="00624A96" w:rsidRDefault="009C7014" w:rsidP="007049F6">
            <w:pPr>
              <w:jc w:val="both"/>
              <w:rPr>
                <w:rFonts w:ascii="Times New Roman" w:hAnsi="Times New Roman" w:cs="Times New Roman"/>
                <w:b/>
                <w:sz w:val="24"/>
                <w:szCs w:val="24"/>
              </w:rPr>
            </w:pPr>
            <w:r>
              <w:rPr>
                <w:rFonts w:ascii="Times New Roman" w:hAnsi="Times New Roman" w:cs="Times New Roman"/>
                <w:b/>
                <w:sz w:val="24"/>
                <w:szCs w:val="24"/>
              </w:rPr>
              <w:lastRenderedPageBreak/>
              <w:t>Atsižvelgta iš dalies.</w:t>
            </w:r>
          </w:p>
          <w:p w14:paraId="383D4139" w14:textId="001ED46D" w:rsidR="00E24DB3" w:rsidRPr="00624A96" w:rsidRDefault="009C7014" w:rsidP="007049F6">
            <w:pPr>
              <w:jc w:val="both"/>
              <w:rPr>
                <w:rFonts w:ascii="Times New Roman" w:hAnsi="Times New Roman" w:cs="Times New Roman"/>
                <w:sz w:val="24"/>
                <w:szCs w:val="24"/>
              </w:rPr>
            </w:pPr>
            <w:r>
              <w:rPr>
                <w:rFonts w:ascii="Times New Roman" w:hAnsi="Times New Roman" w:cs="Times New Roman"/>
                <w:sz w:val="24"/>
                <w:szCs w:val="24"/>
              </w:rPr>
              <w:t>Punktas patikslintas nurodant, kad projektu turi būti siekiama „</w:t>
            </w:r>
            <w:r w:rsidRPr="009C7014">
              <w:rPr>
                <w:rFonts w:ascii="Times New Roman" w:hAnsi="Times New Roman" w:cs="Times New Roman"/>
                <w:sz w:val="24"/>
                <w:szCs w:val="24"/>
              </w:rPr>
              <w:t xml:space="preserve">rezultato rodiklio  – „Valstybės ir savivaldybių institucijų ir įstaigų, pagal veiksmų programą ESF lėšomis įgyvendinusių paslaugų ir (ar) aptarnavimo kokybei gerinti skirtas priemones, dalis“ (rodiklio kodas – R.S. 397) pokyčio rodiklio – „Valstybės ir savivaldybių institucijų ir įstaigų, įgyvendinusių paslaugų ir (ar) aptarnavimo </w:t>
            </w:r>
            <w:r w:rsidRPr="009C7014">
              <w:rPr>
                <w:rFonts w:ascii="Times New Roman" w:hAnsi="Times New Roman" w:cs="Times New Roman"/>
                <w:sz w:val="24"/>
                <w:szCs w:val="24"/>
              </w:rPr>
              <w:lastRenderedPageBreak/>
              <w:t>kokybei gerinti skirtas priemones, skaičius“ (rodiklio kodas – R.S.397-2); minimali šio rezultato rodiklio siektina reikšmė projektui – 2 vnt.</w:t>
            </w:r>
            <w:r>
              <w:rPr>
                <w:rFonts w:ascii="Times New Roman" w:hAnsi="Times New Roman" w:cs="Times New Roman"/>
                <w:sz w:val="24"/>
                <w:szCs w:val="24"/>
              </w:rPr>
              <w:t>“</w:t>
            </w:r>
          </w:p>
        </w:tc>
      </w:tr>
      <w:tr w:rsidR="00E24DB3" w:rsidRPr="00624A96" w14:paraId="35D39590" w14:textId="77777777" w:rsidTr="00372F2E">
        <w:tc>
          <w:tcPr>
            <w:tcW w:w="1526" w:type="dxa"/>
            <w:vMerge/>
          </w:tcPr>
          <w:p w14:paraId="7AF75604" w14:textId="77777777" w:rsidR="00E24DB3" w:rsidRPr="00624A96" w:rsidRDefault="00E24DB3"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7DABD567" w14:textId="6D2C1F17" w:rsidR="00E24DB3" w:rsidRPr="00624A96" w:rsidRDefault="00E24DB3" w:rsidP="00747D2D">
            <w:pPr>
              <w:pStyle w:val="Preformatted"/>
              <w:tabs>
                <w:tab w:val="clear" w:pos="959"/>
                <w:tab w:val="clear" w:pos="1918"/>
                <w:tab w:val="left" w:pos="1276"/>
              </w:tabs>
              <w:snapToGrid/>
              <w:jc w:val="both"/>
              <w:rPr>
                <w:rFonts w:ascii="Times New Roman" w:hAnsi="Times New Roman"/>
                <w:sz w:val="24"/>
                <w:szCs w:val="24"/>
              </w:rPr>
            </w:pPr>
            <w:r w:rsidRPr="007A4396">
              <w:rPr>
                <w:rFonts w:ascii="Times New Roman" w:hAnsi="Times New Roman"/>
                <w:sz w:val="24"/>
                <w:szCs w:val="24"/>
              </w:rPr>
              <w:t>Aprašo 26</w:t>
            </w:r>
            <w:r w:rsidR="00747D2D">
              <w:rPr>
                <w:rFonts w:ascii="Times New Roman" w:hAnsi="Times New Roman"/>
                <w:sz w:val="24"/>
                <w:szCs w:val="24"/>
              </w:rPr>
              <w:t xml:space="preserve"> </w:t>
            </w:r>
            <w:r w:rsidRPr="007A4396">
              <w:rPr>
                <w:rFonts w:ascii="Times New Roman" w:hAnsi="Times New Roman"/>
                <w:sz w:val="24"/>
                <w:szCs w:val="24"/>
              </w:rPr>
              <w:t>ir 27</w:t>
            </w:r>
            <w:r w:rsidR="00747D2D">
              <w:rPr>
                <w:rFonts w:ascii="Times New Roman" w:hAnsi="Times New Roman"/>
                <w:sz w:val="24"/>
                <w:szCs w:val="24"/>
              </w:rPr>
              <w:t xml:space="preserve"> </w:t>
            </w:r>
            <w:r w:rsidRPr="007A4396">
              <w:rPr>
                <w:rFonts w:ascii="Times New Roman" w:hAnsi="Times New Roman"/>
                <w:sz w:val="24"/>
                <w:szCs w:val="24"/>
              </w:rPr>
              <w:t>punktuose yra numatyti reikalavimai dėl stebėsenos rodiklių reikšmių pasiekimo, tačiau nėra nurodyta, kokiame etape ir kas yra atsakingas. Atsižvelgdami į tai, prašome patikslinti minėtus punktus, pateikiant tikslesnę informaciją.</w:t>
            </w:r>
          </w:p>
        </w:tc>
        <w:tc>
          <w:tcPr>
            <w:tcW w:w="8363" w:type="dxa"/>
          </w:tcPr>
          <w:p w14:paraId="4426DDA8" w14:textId="77777777" w:rsidR="00E24DB3" w:rsidRPr="00624A96" w:rsidRDefault="00E24DB3" w:rsidP="007049F6">
            <w:pPr>
              <w:jc w:val="both"/>
              <w:rPr>
                <w:rFonts w:ascii="Times New Roman" w:hAnsi="Times New Roman" w:cs="Times New Roman"/>
                <w:b/>
                <w:sz w:val="24"/>
                <w:szCs w:val="24"/>
              </w:rPr>
            </w:pPr>
            <w:r w:rsidRPr="00624A96">
              <w:rPr>
                <w:rFonts w:ascii="Times New Roman" w:hAnsi="Times New Roman" w:cs="Times New Roman"/>
                <w:b/>
                <w:sz w:val="24"/>
                <w:szCs w:val="24"/>
              </w:rPr>
              <w:t>Atsižvelgta.</w:t>
            </w:r>
          </w:p>
          <w:p w14:paraId="22125F02" w14:textId="5D472E0B" w:rsidR="00E24DB3" w:rsidRPr="00624A96" w:rsidRDefault="007A4396" w:rsidP="007049F6">
            <w:pPr>
              <w:jc w:val="both"/>
              <w:rPr>
                <w:rFonts w:ascii="Times New Roman" w:hAnsi="Times New Roman" w:cs="Times New Roman"/>
                <w:sz w:val="24"/>
                <w:szCs w:val="24"/>
              </w:rPr>
            </w:pPr>
            <w:r>
              <w:rPr>
                <w:rFonts w:ascii="Times New Roman" w:hAnsi="Times New Roman" w:cs="Times New Roman"/>
                <w:sz w:val="24"/>
                <w:szCs w:val="24"/>
              </w:rPr>
              <w:t>Punktai</w:t>
            </w:r>
            <w:r w:rsidR="00747D2D">
              <w:rPr>
                <w:rFonts w:ascii="Times New Roman" w:hAnsi="Times New Roman" w:cs="Times New Roman"/>
                <w:sz w:val="24"/>
                <w:szCs w:val="24"/>
              </w:rPr>
              <w:t xml:space="preserve"> (dabar Aprašo 27 ir 28)</w:t>
            </w:r>
            <w:r>
              <w:rPr>
                <w:rFonts w:ascii="Times New Roman" w:hAnsi="Times New Roman" w:cs="Times New Roman"/>
                <w:sz w:val="24"/>
                <w:szCs w:val="24"/>
              </w:rPr>
              <w:t xml:space="preserve"> patikslinti nurodant, kad už punktuose nurodytų rodiklių suplanavimą atsakinga Regiono plėtros taryba.</w:t>
            </w:r>
          </w:p>
        </w:tc>
      </w:tr>
      <w:tr w:rsidR="00E24DB3" w:rsidRPr="00624A96" w14:paraId="31BCA439" w14:textId="77777777" w:rsidTr="00372F2E">
        <w:tc>
          <w:tcPr>
            <w:tcW w:w="1526" w:type="dxa"/>
            <w:vMerge/>
          </w:tcPr>
          <w:p w14:paraId="111D73E1" w14:textId="77777777" w:rsidR="00E24DB3" w:rsidRPr="00624A96" w:rsidRDefault="00E24DB3"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31F34BEA" w14:textId="77777777" w:rsidR="00E24DB3" w:rsidRPr="00624A96" w:rsidRDefault="00E24DB3" w:rsidP="00601BD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Atsižvelgdami į tai, kad projekto veiklos ir rezultatai turi būti prieinami visiems, o ne tik projekto dalyviams, siūlome patikslinti Aprašo 33 punktą ir vietoj sąvokos „dalyviai“ nurodyti „tikslinė grupė“.  Atkreipiame dėmesį, kad projekto dalyvis yra tiesioginėse projekto veiklose dalyvaujantis, bet tuo pačiu metu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w:t>
            </w:r>
          </w:p>
        </w:tc>
        <w:tc>
          <w:tcPr>
            <w:tcW w:w="8363" w:type="dxa"/>
          </w:tcPr>
          <w:p w14:paraId="5DB42D4B" w14:textId="77777777" w:rsidR="00E24DB3" w:rsidRPr="00624A96" w:rsidRDefault="00E24DB3" w:rsidP="007049F6">
            <w:pPr>
              <w:jc w:val="both"/>
              <w:rPr>
                <w:rFonts w:ascii="Times New Roman" w:hAnsi="Times New Roman" w:cs="Times New Roman"/>
                <w:b/>
                <w:sz w:val="24"/>
                <w:szCs w:val="24"/>
              </w:rPr>
            </w:pPr>
            <w:r w:rsidRPr="00624A96">
              <w:rPr>
                <w:rFonts w:ascii="Times New Roman" w:hAnsi="Times New Roman" w:cs="Times New Roman"/>
                <w:b/>
                <w:sz w:val="24"/>
                <w:szCs w:val="24"/>
              </w:rPr>
              <w:t>Atsižvelgta.</w:t>
            </w:r>
          </w:p>
          <w:p w14:paraId="643A758E" w14:textId="39A230BB" w:rsidR="00E24DB3" w:rsidRPr="00624A96" w:rsidRDefault="00E24DB3" w:rsidP="00747D2D">
            <w:pPr>
              <w:jc w:val="both"/>
              <w:rPr>
                <w:rFonts w:ascii="Times New Roman" w:hAnsi="Times New Roman" w:cs="Times New Roman"/>
                <w:sz w:val="24"/>
                <w:szCs w:val="24"/>
              </w:rPr>
            </w:pPr>
            <w:r w:rsidRPr="00624A96">
              <w:rPr>
                <w:rFonts w:ascii="Times New Roman" w:hAnsi="Times New Roman" w:cs="Times New Roman"/>
                <w:sz w:val="24"/>
                <w:szCs w:val="24"/>
              </w:rPr>
              <w:t xml:space="preserve">Aprašo </w:t>
            </w:r>
            <w:r w:rsidR="00747D2D">
              <w:rPr>
                <w:rFonts w:ascii="Times New Roman" w:hAnsi="Times New Roman" w:cs="Times New Roman"/>
                <w:sz w:val="24"/>
                <w:szCs w:val="24"/>
              </w:rPr>
              <w:t>punkte</w:t>
            </w:r>
            <w:r w:rsidR="00415F7A">
              <w:rPr>
                <w:rFonts w:ascii="Times New Roman" w:hAnsi="Times New Roman" w:cs="Times New Roman"/>
                <w:sz w:val="24"/>
                <w:szCs w:val="24"/>
              </w:rPr>
              <w:t xml:space="preserve"> </w:t>
            </w:r>
            <w:r w:rsidR="00747D2D">
              <w:rPr>
                <w:rFonts w:ascii="Times New Roman" w:hAnsi="Times New Roman" w:cs="Times New Roman"/>
                <w:sz w:val="24"/>
                <w:szCs w:val="24"/>
              </w:rPr>
              <w:t>(dabar 34</w:t>
            </w:r>
            <w:r w:rsidR="00415F7A">
              <w:rPr>
                <w:rFonts w:ascii="Times New Roman" w:hAnsi="Times New Roman" w:cs="Times New Roman"/>
                <w:sz w:val="24"/>
                <w:szCs w:val="24"/>
              </w:rPr>
              <w:t>)</w:t>
            </w:r>
            <w:r w:rsidRPr="00624A96">
              <w:rPr>
                <w:rFonts w:ascii="Times New Roman" w:hAnsi="Times New Roman" w:cs="Times New Roman"/>
                <w:sz w:val="24"/>
                <w:szCs w:val="24"/>
              </w:rPr>
              <w:t xml:space="preserve"> vietoj „dalyviai“ nurodyta „tikslinės grupės atstovai“.</w:t>
            </w:r>
          </w:p>
        </w:tc>
      </w:tr>
      <w:tr w:rsidR="00E24DB3" w:rsidRPr="00624A96" w14:paraId="4CF2A5BE" w14:textId="77777777" w:rsidTr="00372F2E">
        <w:tc>
          <w:tcPr>
            <w:tcW w:w="1526" w:type="dxa"/>
            <w:vMerge/>
          </w:tcPr>
          <w:p w14:paraId="2CF4FE2B" w14:textId="77777777" w:rsidR="00E24DB3" w:rsidRPr="00624A96" w:rsidRDefault="00E24DB3"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4DC77AD5" w14:textId="77777777" w:rsidR="00E24DB3" w:rsidRPr="00624A96" w:rsidRDefault="00E24DB3" w:rsidP="00601BD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Vadovaujantis Projekto administravimo ir finansavimo taisyklėmis bei 2014–2020 m. rekomendacijomis dėl projektų išlaidų atitikties Europos Sąjungos struktūrinių fondų reikalavimams, prašome Aprašo 40 punkto lentelės 7 kategorijoje išbraukti numatytas išlaidas projekto priežiūrai, kurios nėra tinkamos minėtoje kategorijoje.</w:t>
            </w:r>
          </w:p>
        </w:tc>
        <w:tc>
          <w:tcPr>
            <w:tcW w:w="8363" w:type="dxa"/>
          </w:tcPr>
          <w:p w14:paraId="78C01498" w14:textId="77777777" w:rsidR="00E24DB3" w:rsidRPr="00624A96" w:rsidRDefault="00E24DB3" w:rsidP="007049F6">
            <w:pPr>
              <w:jc w:val="both"/>
              <w:rPr>
                <w:rFonts w:ascii="Times New Roman" w:hAnsi="Times New Roman" w:cs="Times New Roman"/>
                <w:b/>
                <w:sz w:val="24"/>
                <w:szCs w:val="24"/>
              </w:rPr>
            </w:pPr>
            <w:r w:rsidRPr="00624A96">
              <w:rPr>
                <w:rFonts w:ascii="Times New Roman" w:hAnsi="Times New Roman" w:cs="Times New Roman"/>
                <w:b/>
                <w:sz w:val="24"/>
                <w:szCs w:val="24"/>
              </w:rPr>
              <w:t>Atsižvelgta.</w:t>
            </w:r>
          </w:p>
          <w:p w14:paraId="7BE2F58A" w14:textId="28F284C0" w:rsidR="00E24DB3" w:rsidRPr="00624A96" w:rsidRDefault="00747D2D" w:rsidP="00747D2D">
            <w:pPr>
              <w:jc w:val="both"/>
              <w:rPr>
                <w:rFonts w:ascii="Times New Roman" w:hAnsi="Times New Roman" w:cs="Times New Roman"/>
                <w:sz w:val="24"/>
                <w:szCs w:val="24"/>
              </w:rPr>
            </w:pPr>
            <w:r>
              <w:rPr>
                <w:rFonts w:ascii="Times New Roman" w:hAnsi="Times New Roman" w:cs="Times New Roman"/>
                <w:sz w:val="24"/>
                <w:szCs w:val="24"/>
              </w:rPr>
              <w:t>Iš A</w:t>
            </w:r>
            <w:r w:rsidR="00E24DB3" w:rsidRPr="00624A96">
              <w:rPr>
                <w:rFonts w:ascii="Times New Roman" w:hAnsi="Times New Roman" w:cs="Times New Roman"/>
                <w:sz w:val="24"/>
                <w:szCs w:val="24"/>
              </w:rPr>
              <w:t xml:space="preserve">prašo </w:t>
            </w:r>
            <w:r>
              <w:rPr>
                <w:rFonts w:ascii="Times New Roman" w:hAnsi="Times New Roman" w:cs="Times New Roman"/>
                <w:sz w:val="24"/>
                <w:szCs w:val="24"/>
              </w:rPr>
              <w:t xml:space="preserve"> punkto (dabar 42</w:t>
            </w:r>
            <w:r w:rsidR="00415F7A">
              <w:rPr>
                <w:rFonts w:ascii="Times New Roman" w:hAnsi="Times New Roman" w:cs="Times New Roman"/>
                <w:sz w:val="24"/>
                <w:szCs w:val="24"/>
              </w:rPr>
              <w:t>)</w:t>
            </w:r>
            <w:r w:rsidR="00E24DB3" w:rsidRPr="00624A96">
              <w:rPr>
                <w:rFonts w:ascii="Times New Roman" w:hAnsi="Times New Roman" w:cs="Times New Roman"/>
                <w:sz w:val="24"/>
                <w:szCs w:val="24"/>
              </w:rPr>
              <w:t xml:space="preserve"> lentelės 7 kategorijos išbrauktas žodis „priežiūra“.</w:t>
            </w:r>
          </w:p>
        </w:tc>
      </w:tr>
      <w:tr w:rsidR="00624A96" w:rsidRPr="00624A96" w14:paraId="3BB036DB" w14:textId="77777777" w:rsidTr="00372F2E">
        <w:tc>
          <w:tcPr>
            <w:tcW w:w="1526" w:type="dxa"/>
            <w:vMerge w:val="restart"/>
          </w:tcPr>
          <w:p w14:paraId="13CD588C"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r w:rsidRPr="00624A96">
              <w:rPr>
                <w:rFonts w:ascii="Times New Roman" w:hAnsi="Times New Roman"/>
                <w:sz w:val="24"/>
                <w:szCs w:val="24"/>
              </w:rPr>
              <w:t xml:space="preserve">Vilniaus regiono plėtros </w:t>
            </w:r>
            <w:r w:rsidRPr="00624A96">
              <w:rPr>
                <w:rFonts w:ascii="Times New Roman" w:hAnsi="Times New Roman"/>
                <w:sz w:val="24"/>
                <w:szCs w:val="24"/>
              </w:rPr>
              <w:lastRenderedPageBreak/>
              <w:t>taryba</w:t>
            </w:r>
          </w:p>
        </w:tc>
        <w:tc>
          <w:tcPr>
            <w:tcW w:w="5103" w:type="dxa"/>
          </w:tcPr>
          <w:p w14:paraId="47CAA343" w14:textId="77777777" w:rsidR="00624A96" w:rsidRPr="00624A96" w:rsidRDefault="00624A96" w:rsidP="00601BD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lastRenderedPageBreak/>
              <w:t xml:space="preserve">Aprašo 11.2 punktą siūlome papildyti „savivaldybių administracijų veiklos ir personalo valdymo sistemos diegimas, siekiant gerinti </w:t>
            </w:r>
            <w:r w:rsidRPr="00624A96">
              <w:rPr>
                <w:rFonts w:ascii="Times New Roman" w:hAnsi="Times New Roman"/>
                <w:sz w:val="24"/>
                <w:szCs w:val="24"/>
              </w:rPr>
              <w:lastRenderedPageBreak/>
              <w:t>interesantų aptarnavimą ne tik vieno langelio principu“. Mes manome, kad visi savivaldybės darbuotojai vienaip ar kitaip yra susiję su interesantų aptarnavimu, todėl būtina stiprinti tiek vidaus bei išorės komunikacinius, tiek bendravimo raštu bei telefonu įgūdžius. Tokiu atveju kompetencijų stiprinimas minėtose srityse atitiktų Aprašo 11.4.2 papunktį.</w:t>
            </w:r>
          </w:p>
        </w:tc>
        <w:tc>
          <w:tcPr>
            <w:tcW w:w="8363" w:type="dxa"/>
          </w:tcPr>
          <w:p w14:paraId="43E62837" w14:textId="77777777" w:rsidR="00624A96" w:rsidRDefault="000214C2" w:rsidP="007049F6">
            <w:pPr>
              <w:jc w:val="both"/>
              <w:rPr>
                <w:rFonts w:ascii="Times New Roman" w:hAnsi="Times New Roman" w:cs="Times New Roman"/>
                <w:b/>
                <w:sz w:val="24"/>
                <w:szCs w:val="24"/>
              </w:rPr>
            </w:pPr>
            <w:r w:rsidRPr="000214C2">
              <w:rPr>
                <w:rFonts w:ascii="Times New Roman" w:hAnsi="Times New Roman" w:cs="Times New Roman"/>
                <w:b/>
                <w:sz w:val="24"/>
                <w:szCs w:val="24"/>
              </w:rPr>
              <w:lastRenderedPageBreak/>
              <w:t>Nea</w:t>
            </w:r>
            <w:r w:rsidR="00624A96" w:rsidRPr="000214C2">
              <w:rPr>
                <w:rFonts w:ascii="Times New Roman" w:hAnsi="Times New Roman" w:cs="Times New Roman"/>
                <w:b/>
                <w:sz w:val="24"/>
                <w:szCs w:val="24"/>
              </w:rPr>
              <w:t>tsižvelgta.</w:t>
            </w:r>
          </w:p>
          <w:p w14:paraId="6FA1AEE1" w14:textId="5152CEE9" w:rsidR="00624A96" w:rsidRDefault="000214C2" w:rsidP="007049F6">
            <w:pPr>
              <w:jc w:val="both"/>
              <w:rPr>
                <w:rFonts w:ascii="Times New Roman" w:hAnsi="Times New Roman" w:cs="Times New Roman"/>
                <w:sz w:val="24"/>
                <w:szCs w:val="24"/>
              </w:rPr>
            </w:pPr>
            <w:r>
              <w:rPr>
                <w:rFonts w:ascii="Times New Roman" w:hAnsi="Times New Roman" w:cs="Times New Roman"/>
                <w:sz w:val="24"/>
                <w:szCs w:val="24"/>
              </w:rPr>
              <w:t xml:space="preserve">Aprašo nuostatos neįpareigoja projektų vykdytojų </w:t>
            </w:r>
            <w:r w:rsidRPr="000214C2">
              <w:rPr>
                <w:rFonts w:ascii="Times New Roman" w:hAnsi="Times New Roman" w:cs="Times New Roman"/>
                <w:sz w:val="24"/>
                <w:szCs w:val="24"/>
              </w:rPr>
              <w:t>veiklos organizavimo procedūrų (veiklos procesų), susijusių su paslaugų teikimu ir (</w:t>
            </w:r>
            <w:r>
              <w:rPr>
                <w:rFonts w:ascii="Times New Roman" w:hAnsi="Times New Roman" w:cs="Times New Roman"/>
                <w:sz w:val="24"/>
                <w:szCs w:val="24"/>
              </w:rPr>
              <w:t xml:space="preserve">ar) asmenų aptarnavimu, kūrimą, </w:t>
            </w:r>
            <w:r>
              <w:rPr>
                <w:rFonts w:ascii="Times New Roman" w:hAnsi="Times New Roman" w:cs="Times New Roman"/>
                <w:sz w:val="24"/>
                <w:szCs w:val="24"/>
              </w:rPr>
              <w:lastRenderedPageBreak/>
              <w:t>tobulinimą, diegimą vykdyti įgyvendinant vieno langelio principą, todėl atskiras nurodymas, kad „ne tik vieno langelio principu“ būtų perteklinis.</w:t>
            </w:r>
            <w:r w:rsidR="004A0AFF">
              <w:rPr>
                <w:rFonts w:ascii="Times New Roman" w:hAnsi="Times New Roman" w:cs="Times New Roman"/>
                <w:sz w:val="24"/>
                <w:szCs w:val="24"/>
              </w:rPr>
              <w:t xml:space="preserve"> Taip pat atkreiptinas dėmesys, kad pagal šią priemonę remiamos tik </w:t>
            </w:r>
            <w:r w:rsidR="00D61A22">
              <w:rPr>
                <w:rFonts w:ascii="Times New Roman" w:hAnsi="Times New Roman" w:cs="Times New Roman"/>
                <w:sz w:val="24"/>
                <w:szCs w:val="24"/>
              </w:rPr>
              <w:t xml:space="preserve">tikslinės, </w:t>
            </w:r>
            <w:r w:rsidR="004A0AFF">
              <w:rPr>
                <w:rFonts w:ascii="Times New Roman" w:hAnsi="Times New Roman" w:cs="Times New Roman"/>
                <w:sz w:val="24"/>
                <w:szCs w:val="24"/>
              </w:rPr>
              <w:t xml:space="preserve">tiesioginį poveikį paslaugų kokybei ir asmenų aptarnavimo gerinimui turinčios veiklos. </w:t>
            </w:r>
          </w:p>
          <w:p w14:paraId="28BED2F8" w14:textId="118DD0BC" w:rsidR="000214C2" w:rsidRPr="00624A96" w:rsidRDefault="000214C2" w:rsidP="00372F2E">
            <w:pPr>
              <w:jc w:val="both"/>
              <w:rPr>
                <w:rFonts w:ascii="Times New Roman" w:hAnsi="Times New Roman" w:cs="Times New Roman"/>
                <w:sz w:val="24"/>
                <w:szCs w:val="24"/>
              </w:rPr>
            </w:pPr>
            <w:r>
              <w:rPr>
                <w:rFonts w:ascii="Times New Roman" w:hAnsi="Times New Roman" w:cs="Times New Roman"/>
                <w:sz w:val="24"/>
                <w:szCs w:val="24"/>
              </w:rPr>
              <w:t xml:space="preserve">Personalo valdymo sistemų diegimas </w:t>
            </w:r>
            <w:r w:rsidR="00372F2E">
              <w:rPr>
                <w:rFonts w:ascii="Times New Roman" w:hAnsi="Times New Roman" w:cs="Times New Roman"/>
                <w:sz w:val="24"/>
                <w:szCs w:val="24"/>
              </w:rPr>
              <w:t xml:space="preserve">yra institucijų, įstaigų vidaus administravimui (bendrųjų funkcijų vykdymui) gerinti skirta priemonė, turinti netiesioginį poveikį teikiamų paslaugų kokybei. Personalo valdymui gerinti </w:t>
            </w:r>
            <w:r>
              <w:rPr>
                <w:rFonts w:ascii="Times New Roman" w:hAnsi="Times New Roman" w:cs="Times New Roman"/>
                <w:sz w:val="24"/>
                <w:szCs w:val="24"/>
              </w:rPr>
              <w:t xml:space="preserve">Vidaus reikalų ministerija yra numačiusi atskirą priemonę Nr. 10.1.5-ESFA-K-926 „Personalo valdymo valstybės ir savivaldybių institucijose ir įstaigose tobulinimo iniciatyvų skatinimas“. </w:t>
            </w:r>
          </w:p>
        </w:tc>
      </w:tr>
      <w:tr w:rsidR="00624A96" w:rsidRPr="00624A96" w14:paraId="2104DC76" w14:textId="77777777" w:rsidTr="00372F2E">
        <w:tc>
          <w:tcPr>
            <w:tcW w:w="1526" w:type="dxa"/>
            <w:vMerge/>
          </w:tcPr>
          <w:p w14:paraId="72354353"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0064CA35" w14:textId="77777777" w:rsidR="00624A96" w:rsidRPr="00624A96" w:rsidRDefault="00624A96" w:rsidP="00601BD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Aprašo 11 punktą siūlome papildyti 11.6 papunkčiu „IT produktų kūrimas, diegimas ir naudojimas.</w:t>
            </w:r>
          </w:p>
        </w:tc>
        <w:tc>
          <w:tcPr>
            <w:tcW w:w="8363" w:type="dxa"/>
          </w:tcPr>
          <w:p w14:paraId="35ADFAE4" w14:textId="3B094131" w:rsidR="00624A96" w:rsidRPr="00624A96" w:rsidRDefault="00BC14FA" w:rsidP="007049F6">
            <w:pPr>
              <w:jc w:val="both"/>
              <w:rPr>
                <w:rFonts w:ascii="Times New Roman" w:hAnsi="Times New Roman" w:cs="Times New Roman"/>
                <w:b/>
                <w:sz w:val="24"/>
                <w:szCs w:val="24"/>
              </w:rPr>
            </w:pPr>
            <w:r>
              <w:rPr>
                <w:rFonts w:ascii="Times New Roman" w:hAnsi="Times New Roman" w:cs="Times New Roman"/>
                <w:b/>
                <w:sz w:val="24"/>
                <w:szCs w:val="24"/>
              </w:rPr>
              <w:t xml:space="preserve">Atsižvelgta iš dalies. </w:t>
            </w:r>
          </w:p>
          <w:p w14:paraId="23F69422" w14:textId="0E7D7B07" w:rsidR="00BC14FA" w:rsidRDefault="00BC14FA" w:rsidP="007049F6">
            <w:pPr>
              <w:jc w:val="both"/>
              <w:rPr>
                <w:rFonts w:ascii="Times New Roman" w:hAnsi="Times New Roman" w:cs="Times New Roman"/>
                <w:sz w:val="24"/>
                <w:szCs w:val="24"/>
              </w:rPr>
            </w:pPr>
            <w:r>
              <w:rPr>
                <w:rFonts w:ascii="Times New Roman" w:hAnsi="Times New Roman" w:cs="Times New Roman"/>
                <w:sz w:val="24"/>
                <w:szCs w:val="24"/>
              </w:rPr>
              <w:t>Aprašo 11.2 papunktyje detalizuojama, kad „</w:t>
            </w:r>
            <w:r w:rsidRPr="00BC14FA">
              <w:rPr>
                <w:rFonts w:ascii="Times New Roman" w:hAnsi="Times New Roman" w:cs="Times New Roman"/>
                <w:sz w:val="24"/>
                <w:szCs w:val="24"/>
              </w:rPr>
              <w:t xml:space="preserve">vidinių ir (ar) tarpinstitucinių procedūrų (procesų) </w:t>
            </w:r>
            <w:r>
              <w:rPr>
                <w:rFonts w:ascii="Times New Roman" w:hAnsi="Times New Roman" w:cs="Times New Roman"/>
                <w:i/>
                <w:sz w:val="24"/>
                <w:szCs w:val="24"/>
              </w:rPr>
              <w:t>automatizavimas</w:t>
            </w:r>
            <w:r>
              <w:rPr>
                <w:rFonts w:ascii="Times New Roman" w:hAnsi="Times New Roman" w:cs="Times New Roman"/>
                <w:sz w:val="24"/>
                <w:szCs w:val="24"/>
              </w:rPr>
              <w:t xml:space="preserve">“ yra remtina veikla. </w:t>
            </w:r>
          </w:p>
          <w:p w14:paraId="137F985D" w14:textId="140262FF" w:rsidR="00624A96" w:rsidRPr="00624A96" w:rsidRDefault="00BC14FA" w:rsidP="00BC14FA">
            <w:pPr>
              <w:jc w:val="both"/>
              <w:rPr>
                <w:rFonts w:ascii="Times New Roman" w:hAnsi="Times New Roman" w:cs="Times New Roman"/>
                <w:sz w:val="24"/>
                <w:szCs w:val="24"/>
              </w:rPr>
            </w:pPr>
            <w:r>
              <w:rPr>
                <w:rFonts w:ascii="Times New Roman" w:hAnsi="Times New Roman" w:cs="Times New Roman"/>
                <w:sz w:val="24"/>
                <w:szCs w:val="24"/>
              </w:rPr>
              <w:t>Taip pat p</w:t>
            </w:r>
            <w:r w:rsidR="00624A96" w:rsidRPr="00624A96">
              <w:rPr>
                <w:rFonts w:ascii="Times New Roman" w:hAnsi="Times New Roman" w:cs="Times New Roman"/>
                <w:sz w:val="24"/>
                <w:szCs w:val="24"/>
              </w:rPr>
              <w:t xml:space="preserve">ažymėtina, kad Aprašo </w:t>
            </w:r>
            <w:r w:rsidR="00027104">
              <w:rPr>
                <w:rFonts w:ascii="Times New Roman" w:hAnsi="Times New Roman" w:cs="Times New Roman"/>
                <w:sz w:val="24"/>
                <w:szCs w:val="24"/>
              </w:rPr>
              <w:t>42</w:t>
            </w:r>
            <w:r w:rsidR="00747D2D">
              <w:rPr>
                <w:rFonts w:ascii="Times New Roman" w:hAnsi="Times New Roman" w:cs="Times New Roman"/>
                <w:sz w:val="24"/>
                <w:szCs w:val="24"/>
              </w:rPr>
              <w:t xml:space="preserve"> </w:t>
            </w:r>
            <w:r w:rsidR="00624A96" w:rsidRPr="00624A96">
              <w:rPr>
                <w:rFonts w:ascii="Times New Roman" w:hAnsi="Times New Roman" w:cs="Times New Roman"/>
                <w:sz w:val="24"/>
                <w:szCs w:val="24"/>
              </w:rPr>
              <w:t>punkte prie tinkamų finansuoti išlaidų yra nurodyta, kokių IT technologijų kūrimo ar diegimo išlaidos yra tinkamos finansuoti (pvz. taikomosios programinės įrangos</w:t>
            </w:r>
            <w:r w:rsidR="00624A96" w:rsidRPr="00624A96">
              <w:rPr>
                <w:sz w:val="24"/>
                <w:szCs w:val="24"/>
              </w:rPr>
              <w:t xml:space="preserve"> </w:t>
            </w:r>
            <w:r w:rsidR="00624A96" w:rsidRPr="00624A96">
              <w:rPr>
                <w:rFonts w:ascii="Times New Roman" w:hAnsi="Times New Roman" w:cs="Times New Roman"/>
                <w:sz w:val="24"/>
                <w:szCs w:val="24"/>
              </w:rPr>
              <w:t xml:space="preserve">kūrimo, pritaikymo, įsigijimo išlaidos, IS kūrimo ir (ar) modernizavimo išlaidos (įskaitant IS projektavimo, išbandymo, techninės priežiūros, apmokymo naudotis ir kitas susijusias išlaidas) ir kt.). </w:t>
            </w:r>
          </w:p>
        </w:tc>
      </w:tr>
      <w:tr w:rsidR="00624A96" w:rsidRPr="00624A96" w14:paraId="568DE442" w14:textId="77777777" w:rsidTr="00372F2E">
        <w:tc>
          <w:tcPr>
            <w:tcW w:w="1526" w:type="dxa"/>
            <w:vMerge/>
          </w:tcPr>
          <w:p w14:paraId="528A68F1"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2E8C9BB" w14:textId="77777777" w:rsidR="00624A96" w:rsidRPr="00624A96" w:rsidRDefault="00624A96" w:rsidP="004B72F9">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 xml:space="preserve">Aprašo II skyriaus 16 punkte išvardinti pareiškėjų galimi partneriai. Siūlytume Aprašo 16.2. papunktį „viešosios įstaigos, kurių savininkė ar dalininkė – savivaldybė (kai savivaldybė visuotiniame dalininkų susirinkime turi daugiau nei 50 proc. balsų)“ papildyti ir jį išdėstyti taip: „viešosios įstaigos ar </w:t>
            </w:r>
            <w:r w:rsidRPr="002F3B21">
              <w:rPr>
                <w:rFonts w:ascii="Times New Roman" w:hAnsi="Times New Roman"/>
                <w:b/>
                <w:sz w:val="24"/>
                <w:szCs w:val="24"/>
              </w:rPr>
              <w:t>savivaldybės įmonės,</w:t>
            </w:r>
            <w:r w:rsidRPr="00624A96">
              <w:rPr>
                <w:rFonts w:ascii="Times New Roman" w:hAnsi="Times New Roman"/>
                <w:sz w:val="24"/>
                <w:szCs w:val="24"/>
              </w:rPr>
              <w:t xml:space="preserve"> kurių savininkė ar dalininkė – savivaldybė (kai savivaldybė visuotiniame dalininkų susirinkime turi daugiau nei 50 proc. balsų)“. Pakeitimas siūlomas, atsižvelgiant į Vilniaus miesto savivaldybės ilgalaikius strateginius planus, kurie įgyvendinami su Vilniaus miesto savivaldybės įmonėmis. Savivaldybės įmonės taip pat teikia paslaugas Vilniaus miesto gyventojams, todėl bendrų projektų vystymas užtikrintų vienodą paslaugų teikimo kokybę.</w:t>
            </w:r>
          </w:p>
        </w:tc>
        <w:tc>
          <w:tcPr>
            <w:tcW w:w="8363" w:type="dxa"/>
          </w:tcPr>
          <w:p w14:paraId="68A20737" w14:textId="77777777" w:rsidR="00624A96" w:rsidRDefault="009C7014" w:rsidP="00415F7A">
            <w:pPr>
              <w:jc w:val="both"/>
              <w:rPr>
                <w:rFonts w:ascii="Times New Roman" w:hAnsi="Times New Roman" w:cs="Times New Roman"/>
                <w:sz w:val="24"/>
                <w:szCs w:val="24"/>
              </w:rPr>
            </w:pPr>
            <w:r>
              <w:rPr>
                <w:rFonts w:ascii="Times New Roman" w:hAnsi="Times New Roman" w:cs="Times New Roman"/>
                <w:b/>
                <w:sz w:val="24"/>
                <w:szCs w:val="24"/>
              </w:rPr>
              <w:t>Atsižvelgta</w:t>
            </w:r>
            <w:r>
              <w:rPr>
                <w:rFonts w:ascii="Times New Roman" w:hAnsi="Times New Roman" w:cs="Times New Roman"/>
                <w:sz w:val="24"/>
                <w:szCs w:val="24"/>
              </w:rPr>
              <w:t>.</w:t>
            </w:r>
          </w:p>
          <w:p w14:paraId="10CE548A" w14:textId="567C9C63" w:rsidR="009C7014" w:rsidRPr="009C7014" w:rsidRDefault="009C7014" w:rsidP="00415F7A">
            <w:pPr>
              <w:jc w:val="both"/>
              <w:rPr>
                <w:rFonts w:ascii="Times New Roman" w:hAnsi="Times New Roman" w:cs="Times New Roman"/>
                <w:b/>
                <w:sz w:val="24"/>
                <w:szCs w:val="24"/>
              </w:rPr>
            </w:pPr>
            <w:r>
              <w:rPr>
                <w:rFonts w:ascii="Times New Roman" w:hAnsi="Times New Roman" w:cs="Times New Roman"/>
                <w:sz w:val="24"/>
                <w:szCs w:val="24"/>
              </w:rPr>
              <w:t>Partnerių sąrašas papildytas savivaldybių įmonėmis</w:t>
            </w:r>
            <w:r w:rsidRPr="009C7014">
              <w:rPr>
                <w:rFonts w:ascii="Times New Roman" w:hAnsi="Times New Roman" w:cs="Times New Roman"/>
                <w:sz w:val="24"/>
                <w:szCs w:val="24"/>
              </w:rPr>
              <w:t>, kurioms teisės aktų nustatyta tvarka suteikti įgaliojimai teikti administracines paslaugas</w:t>
            </w:r>
            <w:r>
              <w:rPr>
                <w:rFonts w:ascii="Times New Roman" w:hAnsi="Times New Roman" w:cs="Times New Roman"/>
                <w:sz w:val="24"/>
                <w:szCs w:val="24"/>
              </w:rPr>
              <w:t>.</w:t>
            </w:r>
          </w:p>
        </w:tc>
      </w:tr>
      <w:tr w:rsidR="00624A96" w:rsidRPr="00624A96" w14:paraId="4054FE96" w14:textId="77777777" w:rsidTr="00372F2E">
        <w:tc>
          <w:tcPr>
            <w:tcW w:w="1526" w:type="dxa"/>
            <w:vMerge/>
          </w:tcPr>
          <w:p w14:paraId="1C7AA5AD"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8328E54" w14:textId="77777777" w:rsidR="00624A96" w:rsidRPr="00624A96" w:rsidRDefault="00624A96" w:rsidP="00601BD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eastAsia="SimSun" w:hAnsi="Times New Roman"/>
                <w:sz w:val="24"/>
                <w:szCs w:val="24"/>
                <w:lang w:eastAsia="zh-CN"/>
              </w:rPr>
              <w:t>Siūlome Aprašo I skyriaus 11.2. papunktį „</w:t>
            </w:r>
            <w:r w:rsidRPr="00624A96">
              <w:rPr>
                <w:rFonts w:ascii="Times New Roman" w:eastAsia="SimSun" w:hAnsi="Times New Roman"/>
                <w:sz w:val="24"/>
                <w:szCs w:val="24"/>
              </w:rPr>
              <w:t>projektų vykdytojų ir partnerių veiklos organizavimo procedūrų (veiklos procesų), susijusių su paslaugų teikimu ir (ar) asmenų aptarnavimu, kūrimas, tobulinimas, diegimas (įskaitant vieno langelio principui įgyvendinti reikalingų veiksmų vykdymą); kokybės vadybos metodų/sistemų, skirtų gerinti paslaugų teikimo ir (ar) asmenų aptarnavimo kokybę, diegimas“</w:t>
            </w:r>
            <w:r w:rsidRPr="00624A96">
              <w:rPr>
                <w:rFonts w:ascii="Times New Roman" w:eastAsia="SimSun" w:hAnsi="Times New Roman"/>
                <w:sz w:val="24"/>
                <w:szCs w:val="24"/>
                <w:lang w:eastAsia="zh-CN"/>
              </w:rPr>
              <w:t xml:space="preserve"> pakeisti ir jį išdėstyti taip: „</w:t>
            </w:r>
            <w:r w:rsidRPr="00624A96">
              <w:rPr>
                <w:rFonts w:ascii="Times New Roman" w:eastAsia="SimSun" w:hAnsi="Times New Roman"/>
                <w:sz w:val="24"/>
                <w:szCs w:val="24"/>
              </w:rPr>
              <w:t>projektų vykdytojų ir partnerių veiklos organizavimo procedūrų (veiklos procesų), susijusių su paslaugų teikimu ir (ar) asmenų aptarnavimu, kūrimas, tobulinimas, diegimas (įskaitant vieno langelio principui įgyvendinti reikalingų veiksmų vykdymą); kokybės vadybos metodų/sistemų</w:t>
            </w:r>
            <w:r w:rsidRPr="00624A96">
              <w:rPr>
                <w:rFonts w:ascii="Times New Roman" w:eastAsia="SimSun" w:hAnsi="Times New Roman"/>
                <w:i/>
                <w:sz w:val="24"/>
                <w:szCs w:val="24"/>
              </w:rPr>
              <w:t xml:space="preserve"> </w:t>
            </w:r>
            <w:r w:rsidRPr="00624A96">
              <w:rPr>
                <w:rFonts w:ascii="Times New Roman" w:eastAsia="SimSun" w:hAnsi="Times New Roman"/>
                <w:b/>
                <w:i/>
                <w:sz w:val="24"/>
                <w:szCs w:val="24"/>
              </w:rPr>
              <w:t>ir</w:t>
            </w:r>
            <w:r w:rsidRPr="00624A96">
              <w:rPr>
                <w:rFonts w:ascii="Times New Roman" w:eastAsia="SimSun" w:hAnsi="Times New Roman"/>
                <w:b/>
                <w:sz w:val="24"/>
                <w:szCs w:val="24"/>
              </w:rPr>
              <w:t xml:space="preserve"> </w:t>
            </w:r>
            <w:r w:rsidRPr="00624A96">
              <w:rPr>
                <w:rFonts w:ascii="Times New Roman" w:eastAsia="SimSun" w:hAnsi="Times New Roman"/>
                <w:b/>
                <w:i/>
                <w:sz w:val="24"/>
                <w:szCs w:val="24"/>
              </w:rPr>
              <w:t>veiklų efektyvumo taikymo ir vertinimo metodų</w:t>
            </w:r>
            <w:r w:rsidRPr="00624A96">
              <w:rPr>
                <w:rFonts w:ascii="Times New Roman" w:eastAsia="SimSun" w:hAnsi="Times New Roman"/>
                <w:sz w:val="24"/>
                <w:szCs w:val="24"/>
              </w:rPr>
              <w:t>, skirtų gerinti paslaugų teikimo ir (ar) asmenų aptarnavimo kokybę, diegimas“</w:t>
            </w:r>
            <w:r w:rsidRPr="00624A96">
              <w:rPr>
                <w:rFonts w:ascii="Times New Roman" w:eastAsia="SimSun" w:hAnsi="Times New Roman"/>
                <w:sz w:val="24"/>
                <w:szCs w:val="24"/>
                <w:lang w:eastAsia="zh-CN"/>
              </w:rPr>
              <w:t xml:space="preserve">.  </w:t>
            </w:r>
          </w:p>
        </w:tc>
        <w:tc>
          <w:tcPr>
            <w:tcW w:w="8363" w:type="dxa"/>
          </w:tcPr>
          <w:p w14:paraId="368AF400" w14:textId="77777777" w:rsidR="00624A96" w:rsidRDefault="00624A96" w:rsidP="007049F6">
            <w:pPr>
              <w:jc w:val="both"/>
              <w:rPr>
                <w:rFonts w:ascii="Times New Roman" w:hAnsi="Times New Roman" w:cs="Times New Roman"/>
                <w:b/>
                <w:sz w:val="24"/>
                <w:szCs w:val="24"/>
              </w:rPr>
            </w:pPr>
            <w:r w:rsidRPr="002F3B21">
              <w:rPr>
                <w:rFonts w:ascii="Times New Roman" w:hAnsi="Times New Roman" w:cs="Times New Roman"/>
                <w:b/>
                <w:sz w:val="24"/>
                <w:szCs w:val="24"/>
              </w:rPr>
              <w:t>Neatsižvelgta.</w:t>
            </w:r>
          </w:p>
          <w:p w14:paraId="33EA3674" w14:textId="3B84B364" w:rsidR="00DD1124" w:rsidRDefault="002F3B21" w:rsidP="007049F6">
            <w:pPr>
              <w:jc w:val="both"/>
              <w:rPr>
                <w:rFonts w:ascii="Times New Roman" w:hAnsi="Times New Roman" w:cs="Times New Roman"/>
                <w:sz w:val="24"/>
                <w:szCs w:val="24"/>
              </w:rPr>
            </w:pPr>
            <w:r>
              <w:rPr>
                <w:rFonts w:ascii="Times New Roman" w:hAnsi="Times New Roman" w:cs="Times New Roman"/>
                <w:sz w:val="24"/>
                <w:szCs w:val="24"/>
              </w:rPr>
              <w:t xml:space="preserve">Pagal priemonę remtinos veiklos yra patvirtintos </w:t>
            </w:r>
            <w:r w:rsidRPr="002F3B21">
              <w:rPr>
                <w:rFonts w:ascii="Times New Roman" w:hAnsi="Times New Roman" w:cs="Times New Roman"/>
                <w:sz w:val="24"/>
                <w:szCs w:val="24"/>
              </w:rPr>
              <w:t>Lietuvos Respublikos vidaus reikalų ministro 2015 m. kovo 6 d. įsakymu Nr. 1V-164 „Dėl Lietuvos Respublikos vidaus reikalų ministerijos 2014–2020 metų Europos Sąjungos fondų investicijų veiksmų programos prioritetų įgyvendinimo priemonių įgyvendinimo plano ir nacionalinių stebėsenos rodiklių skaičiavimo aprašo patvirtinimo“</w:t>
            </w:r>
            <w:r>
              <w:rPr>
                <w:rFonts w:ascii="Times New Roman" w:hAnsi="Times New Roman" w:cs="Times New Roman"/>
                <w:sz w:val="24"/>
                <w:szCs w:val="24"/>
              </w:rPr>
              <w:t xml:space="preserve"> ir </w:t>
            </w:r>
            <w:r w:rsidRPr="002F3B21">
              <w:rPr>
                <w:rFonts w:ascii="Times New Roman" w:hAnsi="Times New Roman" w:cs="Times New Roman"/>
                <w:sz w:val="24"/>
                <w:szCs w:val="24"/>
              </w:rPr>
              <w:t>projektų finansavimo sąlygų apraše negali būti nurodyt</w:t>
            </w:r>
            <w:r>
              <w:rPr>
                <w:rFonts w:ascii="Times New Roman" w:hAnsi="Times New Roman" w:cs="Times New Roman"/>
                <w:sz w:val="24"/>
                <w:szCs w:val="24"/>
              </w:rPr>
              <w:t>os kitos veiklos nei jos yra nustatytos minėtame įsakyme.</w:t>
            </w:r>
          </w:p>
          <w:p w14:paraId="21303D3C" w14:textId="6F02B255" w:rsidR="0086386F" w:rsidRPr="0086386F" w:rsidRDefault="0086386F" w:rsidP="007049F6">
            <w:pPr>
              <w:jc w:val="both"/>
              <w:rPr>
                <w:rFonts w:ascii="Times New Roman" w:hAnsi="Times New Roman" w:cs="Times New Roman"/>
                <w:sz w:val="24"/>
                <w:szCs w:val="24"/>
              </w:rPr>
            </w:pPr>
            <w:r w:rsidRPr="0086386F">
              <w:rPr>
                <w:rFonts w:ascii="Times New Roman" w:hAnsi="Times New Roman" w:cs="Times New Roman"/>
                <w:sz w:val="24"/>
                <w:szCs w:val="24"/>
              </w:rPr>
              <w:t>Papildomai atkreiptinas dėmesys, kad</w:t>
            </w:r>
            <w:r>
              <w:rPr>
                <w:rFonts w:ascii="Times New Roman" w:hAnsi="Times New Roman" w:cs="Times New Roman"/>
                <w:sz w:val="24"/>
                <w:szCs w:val="24"/>
              </w:rPr>
              <w:t xml:space="preserve"> Aprašo 11.3 papunktyje numatyta, kad remtinų veiklų, skirtų </w:t>
            </w:r>
            <w:r w:rsidRPr="0086386F">
              <w:rPr>
                <w:rFonts w:ascii="Times New Roman" w:hAnsi="Times New Roman" w:cs="Times New Roman"/>
                <w:sz w:val="24"/>
                <w:szCs w:val="24"/>
              </w:rPr>
              <w:t>paslaugų i</w:t>
            </w:r>
            <w:r>
              <w:rPr>
                <w:rFonts w:ascii="Times New Roman" w:hAnsi="Times New Roman" w:cs="Times New Roman"/>
                <w:sz w:val="24"/>
                <w:szCs w:val="24"/>
              </w:rPr>
              <w:t>r (ar) asmenų aptarnavimo kokybei</w:t>
            </w:r>
            <w:r w:rsidRPr="0086386F">
              <w:rPr>
                <w:rFonts w:ascii="Times New Roman" w:hAnsi="Times New Roman" w:cs="Times New Roman"/>
                <w:sz w:val="24"/>
                <w:szCs w:val="24"/>
              </w:rPr>
              <w:t xml:space="preserve"> gerin</w:t>
            </w:r>
            <w:r>
              <w:rPr>
                <w:rFonts w:ascii="Times New Roman" w:hAnsi="Times New Roman" w:cs="Times New Roman"/>
                <w:sz w:val="24"/>
                <w:szCs w:val="24"/>
              </w:rPr>
              <w:t>ti, sąrašas nėra baigtinis, t. y. „</w:t>
            </w:r>
            <w:r w:rsidRPr="0086386F">
              <w:rPr>
                <w:rFonts w:ascii="Times New Roman" w:hAnsi="Times New Roman" w:cs="Times New Roman"/>
                <w:sz w:val="24"/>
                <w:szCs w:val="24"/>
              </w:rPr>
              <w:t xml:space="preserve">11.3. piliečių chartijų, paslaugų ir (ar) asmenų aptarnavimo kokybės standartų rengimas, </w:t>
            </w:r>
            <w:r w:rsidRPr="0086386F">
              <w:rPr>
                <w:rFonts w:ascii="Times New Roman" w:hAnsi="Times New Roman" w:cs="Times New Roman"/>
                <w:b/>
                <w:i/>
                <w:sz w:val="24"/>
                <w:szCs w:val="24"/>
                <w:u w:val="single"/>
              </w:rPr>
              <w:t>kitų paslaugų ir (ar) asmenų aptarnavimo kokybę gerinančių priemonių (įrankių) kūrimas, tobulinimas, pritaikymas, diegimas</w:t>
            </w:r>
            <w:r>
              <w:rPr>
                <w:rFonts w:ascii="Times New Roman" w:hAnsi="Times New Roman" w:cs="Times New Roman"/>
                <w:b/>
                <w:i/>
                <w:sz w:val="24"/>
                <w:szCs w:val="24"/>
                <w:u w:val="single"/>
              </w:rPr>
              <w:t xml:space="preserve">“. </w:t>
            </w:r>
          </w:p>
          <w:p w14:paraId="5CD3B1B3" w14:textId="77777777" w:rsidR="00624A96" w:rsidRPr="00624A96" w:rsidRDefault="00624A96" w:rsidP="0086386F">
            <w:pPr>
              <w:jc w:val="both"/>
              <w:rPr>
                <w:rFonts w:ascii="Times New Roman" w:hAnsi="Times New Roman" w:cs="Times New Roman"/>
                <w:sz w:val="24"/>
                <w:szCs w:val="24"/>
              </w:rPr>
            </w:pPr>
          </w:p>
        </w:tc>
      </w:tr>
      <w:tr w:rsidR="00624A96" w:rsidRPr="00624A96" w14:paraId="6FDB82B2" w14:textId="77777777" w:rsidTr="00372F2E">
        <w:tc>
          <w:tcPr>
            <w:tcW w:w="1526" w:type="dxa"/>
            <w:vMerge w:val="restart"/>
          </w:tcPr>
          <w:p w14:paraId="17B7A32D"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r w:rsidRPr="00624A96">
              <w:rPr>
                <w:rFonts w:ascii="Times New Roman" w:hAnsi="Times New Roman"/>
                <w:sz w:val="24"/>
                <w:szCs w:val="24"/>
              </w:rPr>
              <w:t>Kauno regiono plėtros taryba</w:t>
            </w:r>
          </w:p>
        </w:tc>
        <w:tc>
          <w:tcPr>
            <w:tcW w:w="5103" w:type="dxa"/>
          </w:tcPr>
          <w:p w14:paraId="7AFBB149" w14:textId="77777777" w:rsidR="00624A96" w:rsidRPr="00624A96" w:rsidRDefault="00624A96" w:rsidP="00806D66">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Aprašo 11 punkte, kuriame nurodytos remiamos veiklos, nei viename iš papunkčių nėra paminėtas informacinių technologijų sprendimų kūrimas, tobulinimas, diegimas, nors Aprašo 40 pateiktoje tinkamų finansuoti išlaidų kategorijų lentelėje 4.2 papunktyje paminėtos IS kūrimo, modernizavimo išlaidos įvardintos kaip tinkamos.</w:t>
            </w:r>
          </w:p>
        </w:tc>
        <w:tc>
          <w:tcPr>
            <w:tcW w:w="8363" w:type="dxa"/>
          </w:tcPr>
          <w:p w14:paraId="24CD49B6" w14:textId="662A36B4" w:rsidR="00624A96" w:rsidRPr="00624A96" w:rsidRDefault="00BC14FA" w:rsidP="007049F6">
            <w:pPr>
              <w:jc w:val="both"/>
              <w:rPr>
                <w:rFonts w:ascii="Times New Roman" w:hAnsi="Times New Roman" w:cs="Times New Roman"/>
                <w:b/>
                <w:sz w:val="24"/>
                <w:szCs w:val="24"/>
              </w:rPr>
            </w:pPr>
            <w:r>
              <w:rPr>
                <w:rFonts w:ascii="Times New Roman" w:hAnsi="Times New Roman" w:cs="Times New Roman"/>
                <w:b/>
                <w:sz w:val="24"/>
                <w:szCs w:val="24"/>
              </w:rPr>
              <w:t>Atsižvelgta iš dalies.</w:t>
            </w:r>
          </w:p>
          <w:p w14:paraId="770E19AE" w14:textId="77777777" w:rsidR="00BC14FA" w:rsidRDefault="00BC14FA" w:rsidP="00BC14FA">
            <w:pPr>
              <w:jc w:val="both"/>
              <w:rPr>
                <w:rFonts w:ascii="Times New Roman" w:hAnsi="Times New Roman" w:cs="Times New Roman"/>
                <w:sz w:val="24"/>
                <w:szCs w:val="24"/>
              </w:rPr>
            </w:pPr>
            <w:r>
              <w:rPr>
                <w:rFonts w:ascii="Times New Roman" w:hAnsi="Times New Roman" w:cs="Times New Roman"/>
                <w:sz w:val="24"/>
                <w:szCs w:val="24"/>
              </w:rPr>
              <w:t>Aprašo 11.2 papunktyje detalizuojama, kad „</w:t>
            </w:r>
            <w:r w:rsidRPr="00BC14FA">
              <w:rPr>
                <w:rFonts w:ascii="Times New Roman" w:hAnsi="Times New Roman" w:cs="Times New Roman"/>
                <w:sz w:val="24"/>
                <w:szCs w:val="24"/>
              </w:rPr>
              <w:t xml:space="preserve">vidinių ir (ar) tarpinstitucinių procedūrų (procesų) </w:t>
            </w:r>
            <w:r>
              <w:rPr>
                <w:rFonts w:ascii="Times New Roman" w:hAnsi="Times New Roman" w:cs="Times New Roman"/>
                <w:i/>
                <w:sz w:val="24"/>
                <w:szCs w:val="24"/>
              </w:rPr>
              <w:t>automatizavimas</w:t>
            </w:r>
            <w:r>
              <w:rPr>
                <w:rFonts w:ascii="Times New Roman" w:hAnsi="Times New Roman" w:cs="Times New Roman"/>
                <w:sz w:val="24"/>
                <w:szCs w:val="24"/>
              </w:rPr>
              <w:t xml:space="preserve">“ yra remtina veikla. </w:t>
            </w:r>
          </w:p>
          <w:p w14:paraId="4D42B39B" w14:textId="0FA8C250" w:rsidR="00BC14FA" w:rsidRDefault="00BC14FA" w:rsidP="007049F6">
            <w:pPr>
              <w:jc w:val="both"/>
              <w:rPr>
                <w:rFonts w:ascii="Times New Roman" w:hAnsi="Times New Roman" w:cs="Times New Roman"/>
                <w:sz w:val="24"/>
                <w:szCs w:val="24"/>
              </w:rPr>
            </w:pPr>
            <w:r>
              <w:rPr>
                <w:rFonts w:ascii="Times New Roman" w:hAnsi="Times New Roman" w:cs="Times New Roman"/>
                <w:sz w:val="24"/>
                <w:szCs w:val="24"/>
              </w:rPr>
              <w:t>Taip pat p</w:t>
            </w:r>
            <w:r w:rsidRPr="00624A96">
              <w:rPr>
                <w:rFonts w:ascii="Times New Roman" w:hAnsi="Times New Roman" w:cs="Times New Roman"/>
                <w:sz w:val="24"/>
                <w:szCs w:val="24"/>
              </w:rPr>
              <w:t xml:space="preserve">ažymėtina, kad Aprašo </w:t>
            </w:r>
            <w:r>
              <w:rPr>
                <w:rFonts w:ascii="Times New Roman" w:hAnsi="Times New Roman" w:cs="Times New Roman"/>
                <w:sz w:val="24"/>
                <w:szCs w:val="24"/>
              </w:rPr>
              <w:t xml:space="preserve">42 </w:t>
            </w:r>
            <w:r w:rsidRPr="00624A96">
              <w:rPr>
                <w:rFonts w:ascii="Times New Roman" w:hAnsi="Times New Roman" w:cs="Times New Roman"/>
                <w:sz w:val="24"/>
                <w:szCs w:val="24"/>
              </w:rPr>
              <w:t>punkte prie tinkamų finansuoti išlaidų yra nurodyta, kokių IT technologijų kūrimo ar diegimo išlaidos yra tinkamos finansuoti (pvz. taikomosios programinės įrangos</w:t>
            </w:r>
            <w:r w:rsidRPr="00624A96">
              <w:rPr>
                <w:sz w:val="24"/>
                <w:szCs w:val="24"/>
              </w:rPr>
              <w:t xml:space="preserve"> </w:t>
            </w:r>
            <w:r w:rsidRPr="00624A96">
              <w:rPr>
                <w:rFonts w:ascii="Times New Roman" w:hAnsi="Times New Roman" w:cs="Times New Roman"/>
                <w:sz w:val="24"/>
                <w:szCs w:val="24"/>
              </w:rPr>
              <w:t>kūrimo, pritaikymo, įsigijimo išlaidos, IS kūrimo ir (ar) modernizavimo išlaidos (įskaitant IS projektavimo, išbandymo, techninės priežiūros, apmokymo naudotis ir kitas susijusias išlaidas) ir kt.).</w:t>
            </w:r>
          </w:p>
          <w:p w14:paraId="5797A681" w14:textId="74B2E419" w:rsidR="00624A96" w:rsidRPr="00624A96" w:rsidRDefault="00624A96" w:rsidP="007049F6">
            <w:pPr>
              <w:jc w:val="both"/>
              <w:rPr>
                <w:rFonts w:ascii="Times New Roman" w:hAnsi="Times New Roman" w:cs="Times New Roman"/>
                <w:sz w:val="24"/>
                <w:szCs w:val="24"/>
              </w:rPr>
            </w:pPr>
          </w:p>
        </w:tc>
      </w:tr>
      <w:tr w:rsidR="00624A96" w:rsidRPr="00624A96" w14:paraId="38082091" w14:textId="77777777" w:rsidTr="00372F2E">
        <w:tc>
          <w:tcPr>
            <w:tcW w:w="1526" w:type="dxa"/>
            <w:vMerge/>
          </w:tcPr>
          <w:p w14:paraId="5331CCB7"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3887719B" w14:textId="77777777" w:rsidR="00624A96" w:rsidRPr="00624A96" w:rsidRDefault="00624A96" w:rsidP="0041170B">
            <w:pPr>
              <w:pStyle w:val="Preformatted"/>
              <w:tabs>
                <w:tab w:val="clear" w:pos="959"/>
                <w:tab w:val="clear" w:pos="1918"/>
                <w:tab w:val="left" w:pos="1276"/>
              </w:tabs>
              <w:snapToGrid/>
              <w:jc w:val="both"/>
              <w:rPr>
                <w:rFonts w:ascii="Times New Roman" w:hAnsi="Times New Roman"/>
                <w:sz w:val="24"/>
                <w:szCs w:val="24"/>
              </w:rPr>
            </w:pPr>
            <w:r w:rsidRPr="00624A96">
              <w:rPr>
                <w:rFonts w:ascii="Times New Roman" w:hAnsi="Times New Roman"/>
                <w:sz w:val="24"/>
                <w:szCs w:val="24"/>
              </w:rPr>
              <w:t xml:space="preserve">Aprašo 11.2 punkte minimų veiklų įgyvendinimas yra ne visuomet galimas be konsultantų pagalbos. Tačiau konsultavimo išlaidos nėra paminėtos tarp Aprašo 40 punkte išvardintų tinkamų finansuoti išlaidų kategorijų. Minėto punkto 5 dalyje numatyta tai, kad tinkamomis finansuoti gali būti </w:t>
            </w:r>
            <w:r w:rsidRPr="00624A96">
              <w:rPr>
                <w:rFonts w:ascii="Times New Roman" w:hAnsi="Times New Roman"/>
                <w:sz w:val="24"/>
                <w:szCs w:val="24"/>
              </w:rPr>
              <w:lastRenderedPageBreak/>
              <w:t xml:space="preserve">(Aprašo 40 punktas, 5.3 dalis) investicijų projektų, galimybių studijų, leidinių rengimo, tyrimų, vertinimų, viešųjų konsultacijų su visuomene vykdymo, mokymų, renginių organizavimo ir vykdymo, leidybos ir panašios išlaidos“. Kokybės vadybos metodų / sistemų diegimo išlaidos, susijusios su konsultantų samdymų, nėra paminėtos. </w:t>
            </w:r>
          </w:p>
        </w:tc>
        <w:tc>
          <w:tcPr>
            <w:tcW w:w="8363" w:type="dxa"/>
          </w:tcPr>
          <w:p w14:paraId="3F1E1B14"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lastRenderedPageBreak/>
              <w:t>Neatsižvelgta.</w:t>
            </w:r>
          </w:p>
          <w:p w14:paraId="0101AAF5" w14:textId="6AD6C3E8" w:rsidR="00624A96" w:rsidRPr="00624A96" w:rsidRDefault="00624A96" w:rsidP="007049F6">
            <w:pPr>
              <w:jc w:val="both"/>
              <w:rPr>
                <w:rFonts w:ascii="Times New Roman" w:hAnsi="Times New Roman" w:cs="Times New Roman"/>
                <w:sz w:val="24"/>
                <w:szCs w:val="24"/>
              </w:rPr>
            </w:pPr>
            <w:r w:rsidRPr="00624A96">
              <w:rPr>
                <w:rFonts w:ascii="Times New Roman" w:hAnsi="Times New Roman" w:cs="Times New Roman"/>
                <w:sz w:val="24"/>
                <w:szCs w:val="24"/>
              </w:rPr>
              <w:t>Atkreiptinas dėmesys, kad Aprašo 40</w:t>
            </w:r>
            <w:r w:rsidR="00747D2D">
              <w:rPr>
                <w:rFonts w:ascii="Times New Roman" w:hAnsi="Times New Roman" w:cs="Times New Roman"/>
                <w:sz w:val="24"/>
                <w:szCs w:val="24"/>
              </w:rPr>
              <w:t xml:space="preserve"> (dabar 42</w:t>
            </w:r>
            <w:r w:rsidR="00CD1E5A">
              <w:rPr>
                <w:rFonts w:ascii="Times New Roman" w:hAnsi="Times New Roman" w:cs="Times New Roman"/>
                <w:sz w:val="24"/>
                <w:szCs w:val="24"/>
              </w:rPr>
              <w:t>)</w:t>
            </w:r>
            <w:r w:rsidRPr="00624A96">
              <w:rPr>
                <w:rFonts w:ascii="Times New Roman" w:hAnsi="Times New Roman" w:cs="Times New Roman"/>
                <w:sz w:val="24"/>
                <w:szCs w:val="24"/>
              </w:rPr>
              <w:t xml:space="preserve"> punkto 5 kategorijos 5.9 punkte nurodyta, kad tinkamomis finansuoti gali būti ir </w:t>
            </w:r>
            <w:r w:rsidRPr="00624A96">
              <w:rPr>
                <w:rFonts w:ascii="Times New Roman" w:hAnsi="Times New Roman" w:cs="Times New Roman"/>
                <w:sz w:val="24"/>
                <w:szCs w:val="24"/>
                <w:u w:val="single"/>
              </w:rPr>
              <w:t xml:space="preserve">kitos projekto veikloms vykdyti būtinos ir pagrįstos išlaidos. </w:t>
            </w:r>
            <w:r w:rsidRPr="00624A96">
              <w:rPr>
                <w:rFonts w:ascii="Times New Roman" w:hAnsi="Times New Roman" w:cs="Times New Roman"/>
                <w:sz w:val="24"/>
                <w:szCs w:val="24"/>
              </w:rPr>
              <w:t>T. y., pagal Aprašą nėra nurodytas baigtinis tinkamų finansuoti išlaidų sąrašas ir jeigu pareiškėjas tinkamai pagrindžia išlaidų būtinumą (ir jeigu šios nepatenka prie netinkamų finansuoti išlaidų), išlaidos bus tinkamo</w:t>
            </w:r>
            <w:r w:rsidR="0086386F">
              <w:rPr>
                <w:rFonts w:ascii="Times New Roman" w:hAnsi="Times New Roman" w:cs="Times New Roman"/>
                <w:sz w:val="24"/>
                <w:szCs w:val="24"/>
              </w:rPr>
              <w:t>s</w:t>
            </w:r>
            <w:r w:rsidRPr="00624A96">
              <w:rPr>
                <w:rFonts w:ascii="Times New Roman" w:hAnsi="Times New Roman" w:cs="Times New Roman"/>
                <w:sz w:val="24"/>
                <w:szCs w:val="24"/>
              </w:rPr>
              <w:t xml:space="preserve"> </w:t>
            </w:r>
            <w:r w:rsidRPr="00624A96">
              <w:rPr>
                <w:rFonts w:ascii="Times New Roman" w:hAnsi="Times New Roman" w:cs="Times New Roman"/>
                <w:sz w:val="24"/>
                <w:szCs w:val="24"/>
              </w:rPr>
              <w:lastRenderedPageBreak/>
              <w:t>finansuoti. Konsultantų pagalbos įsigijimo išlaidos, jeigu jos yra būtinos ir tinkamai pagrįstos, būtų tinkamos finansuoti.</w:t>
            </w:r>
          </w:p>
        </w:tc>
      </w:tr>
      <w:tr w:rsidR="00624A96" w:rsidRPr="00624A96" w14:paraId="354F9784" w14:textId="77777777" w:rsidTr="00372F2E">
        <w:tc>
          <w:tcPr>
            <w:tcW w:w="1526" w:type="dxa"/>
            <w:vMerge/>
          </w:tcPr>
          <w:p w14:paraId="2AD630EC"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761F8F4B" w14:textId="77777777" w:rsidR="00624A96" w:rsidRPr="00624A96" w:rsidRDefault="00624A96" w:rsidP="00806D66">
            <w:pPr>
              <w:pStyle w:val="Preformatted"/>
              <w:tabs>
                <w:tab w:val="left" w:pos="1276"/>
              </w:tabs>
              <w:jc w:val="both"/>
              <w:rPr>
                <w:rFonts w:ascii="Times New Roman" w:hAnsi="Times New Roman"/>
                <w:sz w:val="24"/>
                <w:szCs w:val="24"/>
              </w:rPr>
            </w:pPr>
            <w:r w:rsidRPr="00624A96">
              <w:rPr>
                <w:rFonts w:ascii="Times New Roman" w:hAnsi="Times New Roman"/>
                <w:sz w:val="24"/>
                <w:szCs w:val="24"/>
              </w:rPr>
              <w:t>Aprašo 11.3 punkte konkrečiai neįvardinta kokios galimos paslaugų ir (ar) asmenų aptarnavimo kokybę gerinančios priemonės (įrankiai), kurių kūrimas numatytas vienoje iš remiamų veiklų.</w:t>
            </w:r>
          </w:p>
        </w:tc>
        <w:tc>
          <w:tcPr>
            <w:tcW w:w="8363" w:type="dxa"/>
          </w:tcPr>
          <w:p w14:paraId="33C92DFA"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Neatsižvelgta.</w:t>
            </w:r>
          </w:p>
          <w:p w14:paraId="47F5A1DE" w14:textId="77777777" w:rsidR="00624A96" w:rsidRPr="00624A96" w:rsidRDefault="00624A96" w:rsidP="007049F6">
            <w:pPr>
              <w:jc w:val="both"/>
              <w:rPr>
                <w:rFonts w:ascii="Times New Roman" w:hAnsi="Times New Roman" w:cs="Times New Roman"/>
                <w:sz w:val="24"/>
                <w:szCs w:val="24"/>
              </w:rPr>
            </w:pPr>
            <w:r w:rsidRPr="00624A96">
              <w:rPr>
                <w:rFonts w:ascii="Times New Roman" w:hAnsi="Times New Roman" w:cs="Times New Roman"/>
                <w:sz w:val="24"/>
                <w:szCs w:val="24"/>
              </w:rPr>
              <w:t xml:space="preserve">Aprašo 11.3 papunktyje numatytas nebaigtinis paslaugų ir (ar) asmenų aptarnavimo kokybę gerinančių priemonių (įrankių) sąrašas siekiant neužkirsti kelio inovatyviems pareiškėjų sprendimams. </w:t>
            </w:r>
          </w:p>
        </w:tc>
      </w:tr>
      <w:tr w:rsidR="00624A96" w:rsidRPr="00624A96" w14:paraId="1D08D9B0" w14:textId="77777777" w:rsidTr="00372F2E">
        <w:tc>
          <w:tcPr>
            <w:tcW w:w="1526" w:type="dxa"/>
            <w:vMerge/>
          </w:tcPr>
          <w:p w14:paraId="497482F0"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15CFFED1" w14:textId="77777777" w:rsidR="00624A96" w:rsidRPr="00624A96" w:rsidRDefault="00624A96" w:rsidP="009241D6">
            <w:pPr>
              <w:pStyle w:val="Preformatted"/>
              <w:tabs>
                <w:tab w:val="left" w:pos="1276"/>
              </w:tabs>
              <w:jc w:val="both"/>
              <w:rPr>
                <w:rFonts w:ascii="Times New Roman" w:hAnsi="Times New Roman"/>
                <w:sz w:val="24"/>
                <w:szCs w:val="24"/>
              </w:rPr>
            </w:pPr>
            <w:r w:rsidRPr="00624A96">
              <w:rPr>
                <w:rFonts w:ascii="Times New Roman" w:hAnsi="Times New Roman"/>
                <w:sz w:val="24"/>
                <w:szCs w:val="24"/>
              </w:rPr>
              <w:t>Aprašo 12 punkte numatyta, kad Aprašo 11.4 ir 11.5 papunkčiuose nurodytos veiklos finansuojamos tik vykdant kartu su kitomis Aprašo 11.1-11.3 papunkčiuose nurodytomis veiklomis. Atkreipiame dėmesį, kad Aprašo 11.5 punkte numatyta veikla – tyrimų skirtų įvertinti paslaugų ir (ar) asmenų aptarnavimo kokybę, vykdymas negali būti vykdoma kartu su 11.1-11.3 papunkčiuose nurodytomis veiklomis, nes tyrimas būtų atliekamas norint sužinoti, kokius paslaugų ir (ar) asmenų aptarnavimo kokybę gerinančias priemones (įrankius) pasirinkti.</w:t>
            </w:r>
          </w:p>
        </w:tc>
        <w:tc>
          <w:tcPr>
            <w:tcW w:w="8363" w:type="dxa"/>
          </w:tcPr>
          <w:p w14:paraId="676F524B"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Neatsižvelgta.</w:t>
            </w:r>
          </w:p>
          <w:p w14:paraId="34B4F431" w14:textId="77777777" w:rsidR="00624A96" w:rsidRPr="00624A96" w:rsidRDefault="00624A96" w:rsidP="007049F6">
            <w:pPr>
              <w:jc w:val="both"/>
              <w:rPr>
                <w:rFonts w:ascii="Times New Roman" w:hAnsi="Times New Roman" w:cs="Times New Roman"/>
                <w:sz w:val="24"/>
                <w:szCs w:val="24"/>
              </w:rPr>
            </w:pPr>
            <w:r w:rsidRPr="00624A96">
              <w:rPr>
                <w:rFonts w:ascii="Times New Roman" w:hAnsi="Times New Roman" w:cs="Times New Roman"/>
                <w:sz w:val="24"/>
                <w:szCs w:val="24"/>
              </w:rPr>
              <w:t xml:space="preserve">Aprašo 12 punkto esmė – kad nebus finansuoji projektai, kuriuose yra numatyta tik vykdyti tyrimus arba tik tobulinti darbuotojų kvalifikaciją. Pareiškėjas turės savo lėšomis atlikti tyrimą norėdamas sužinoti, kokias paslaugų ir (ar) asmenų aptarnavimo kokybę gerinančias priemones (įrankius) pasirinkti, o vėliau, po projekto įgyvendinimo sutarties pasirašymo, tokios išlaidos galės būti kompensuotos Priemonės Nr. 10.1.3-ESFA-R-920 lėšomis. </w:t>
            </w:r>
          </w:p>
        </w:tc>
      </w:tr>
      <w:tr w:rsidR="00624A96" w:rsidRPr="00624A96" w14:paraId="48BEB4AC" w14:textId="77777777" w:rsidTr="00372F2E">
        <w:tc>
          <w:tcPr>
            <w:tcW w:w="1526" w:type="dxa"/>
            <w:vMerge/>
          </w:tcPr>
          <w:p w14:paraId="7793FF43"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03B4B4BD" w14:textId="77777777" w:rsidR="00624A96" w:rsidRPr="00624A96" w:rsidRDefault="00624A96" w:rsidP="00C14D01">
            <w:pPr>
              <w:pStyle w:val="Preformatted"/>
              <w:tabs>
                <w:tab w:val="left" w:pos="1276"/>
              </w:tabs>
              <w:jc w:val="both"/>
              <w:rPr>
                <w:rFonts w:ascii="Times New Roman" w:hAnsi="Times New Roman"/>
                <w:sz w:val="24"/>
                <w:szCs w:val="24"/>
              </w:rPr>
            </w:pPr>
            <w:r w:rsidRPr="00624A96">
              <w:rPr>
                <w:rFonts w:ascii="Times New Roman" w:hAnsi="Times New Roman"/>
                <w:sz w:val="24"/>
                <w:szCs w:val="24"/>
              </w:rPr>
              <w:t>Aprašo 20.1 punkte nėra konkrečiai numatyta, kaip pareiškėjas turi užtikrinti numatytą reikalavimą, kuomet įgyvendinant projektą nauda ir rezultatai turi tekti ne mažiau kaip 3 (trims) konkrečiame regione esančioms savivaldybėms arba tuo atveju, kai konkrečiame regione yra daugiau nei 6 (šešios) savivaldybės, – ne mažiau kaip pusei visų konkrečiame regione esančių savivaldybių</w:t>
            </w:r>
          </w:p>
        </w:tc>
        <w:tc>
          <w:tcPr>
            <w:tcW w:w="8363" w:type="dxa"/>
          </w:tcPr>
          <w:p w14:paraId="3662BB55" w14:textId="5863DBCC" w:rsidR="00415F7A" w:rsidRDefault="00415F7A" w:rsidP="007049F6">
            <w:pPr>
              <w:jc w:val="both"/>
              <w:rPr>
                <w:rFonts w:ascii="Times New Roman" w:hAnsi="Times New Roman" w:cs="Times New Roman"/>
                <w:b/>
                <w:sz w:val="24"/>
                <w:szCs w:val="24"/>
              </w:rPr>
            </w:pPr>
            <w:r w:rsidRPr="00415F7A">
              <w:rPr>
                <w:rFonts w:ascii="Times New Roman" w:hAnsi="Times New Roman" w:cs="Times New Roman"/>
                <w:b/>
                <w:sz w:val="24"/>
                <w:szCs w:val="24"/>
              </w:rPr>
              <w:t>Atsižvelgta.</w:t>
            </w:r>
          </w:p>
          <w:p w14:paraId="09F3F615" w14:textId="276238E1" w:rsidR="00415F7A" w:rsidRPr="00415F7A" w:rsidRDefault="00747D2D" w:rsidP="007049F6">
            <w:pPr>
              <w:jc w:val="both"/>
              <w:rPr>
                <w:rFonts w:ascii="Times New Roman" w:hAnsi="Times New Roman" w:cs="Times New Roman"/>
                <w:sz w:val="24"/>
                <w:szCs w:val="24"/>
              </w:rPr>
            </w:pPr>
            <w:r>
              <w:rPr>
                <w:rFonts w:ascii="Times New Roman" w:hAnsi="Times New Roman" w:cs="Times New Roman"/>
                <w:sz w:val="24"/>
                <w:szCs w:val="24"/>
              </w:rPr>
              <w:t xml:space="preserve">Patikslintas Aprašo 20.1 </w:t>
            </w:r>
            <w:r w:rsidR="00415F7A" w:rsidRPr="00415F7A">
              <w:rPr>
                <w:rFonts w:ascii="Times New Roman" w:hAnsi="Times New Roman" w:cs="Times New Roman"/>
                <w:sz w:val="24"/>
                <w:szCs w:val="24"/>
              </w:rPr>
              <w:t>papunktis.</w:t>
            </w:r>
          </w:p>
          <w:p w14:paraId="2EF00363" w14:textId="77777777" w:rsidR="00624A96" w:rsidRPr="00624A96" w:rsidRDefault="00624A96" w:rsidP="007049F6">
            <w:pPr>
              <w:jc w:val="both"/>
              <w:rPr>
                <w:rFonts w:ascii="Times New Roman" w:hAnsi="Times New Roman" w:cs="Times New Roman"/>
                <w:sz w:val="24"/>
                <w:szCs w:val="24"/>
              </w:rPr>
            </w:pPr>
          </w:p>
        </w:tc>
      </w:tr>
      <w:tr w:rsidR="00624A96" w:rsidRPr="00624A96" w14:paraId="4D520A5B" w14:textId="77777777" w:rsidTr="00372F2E">
        <w:tc>
          <w:tcPr>
            <w:tcW w:w="1526" w:type="dxa"/>
            <w:vMerge/>
          </w:tcPr>
          <w:p w14:paraId="5725FDCE"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6786A113" w14:textId="77777777" w:rsidR="00624A96" w:rsidRPr="00624A96" w:rsidRDefault="00624A96" w:rsidP="00C14D01">
            <w:pPr>
              <w:pStyle w:val="Preformatted"/>
              <w:tabs>
                <w:tab w:val="left" w:pos="1276"/>
              </w:tabs>
              <w:jc w:val="both"/>
              <w:rPr>
                <w:rFonts w:ascii="Times New Roman" w:hAnsi="Times New Roman"/>
                <w:sz w:val="24"/>
                <w:szCs w:val="24"/>
              </w:rPr>
            </w:pPr>
            <w:r w:rsidRPr="00624A96">
              <w:rPr>
                <w:rFonts w:ascii="Times New Roman" w:hAnsi="Times New Roman"/>
                <w:sz w:val="24"/>
                <w:szCs w:val="24"/>
              </w:rPr>
              <w:t xml:space="preserve">Nėra aiškiai apibrėžta, kuomet įgyvendinant </w:t>
            </w:r>
            <w:r w:rsidRPr="00624A96">
              <w:rPr>
                <w:rFonts w:ascii="Times New Roman" w:hAnsi="Times New Roman"/>
                <w:sz w:val="24"/>
                <w:szCs w:val="24"/>
              </w:rPr>
              <w:lastRenderedPageBreak/>
              <w:t>projektą taikomas Aprašo 20.2 punktas, ar turi būti atsižvelgta ir į Aprašo 20.1 punkto reikalavimus.</w:t>
            </w:r>
          </w:p>
        </w:tc>
        <w:tc>
          <w:tcPr>
            <w:tcW w:w="8363" w:type="dxa"/>
          </w:tcPr>
          <w:p w14:paraId="32DE3C8E"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lastRenderedPageBreak/>
              <w:t>Atsižvelgta.</w:t>
            </w:r>
          </w:p>
          <w:p w14:paraId="12C5E795" w14:textId="2F23C77D" w:rsidR="00624A96" w:rsidRPr="00624A96" w:rsidRDefault="00624A96" w:rsidP="003447EC">
            <w:pPr>
              <w:jc w:val="both"/>
              <w:rPr>
                <w:rFonts w:ascii="Times New Roman" w:hAnsi="Times New Roman" w:cs="Times New Roman"/>
                <w:sz w:val="24"/>
                <w:szCs w:val="24"/>
                <w:highlight w:val="yellow"/>
              </w:rPr>
            </w:pPr>
            <w:r w:rsidRPr="00624A96">
              <w:rPr>
                <w:rFonts w:ascii="Times New Roman" w:hAnsi="Times New Roman" w:cs="Times New Roman"/>
                <w:sz w:val="24"/>
                <w:szCs w:val="24"/>
              </w:rPr>
              <w:lastRenderedPageBreak/>
              <w:t>Aprašo 20.1</w:t>
            </w:r>
            <w:r w:rsidR="00CD1E5A">
              <w:rPr>
                <w:rFonts w:ascii="Times New Roman" w:hAnsi="Times New Roman" w:cs="Times New Roman"/>
                <w:sz w:val="24"/>
                <w:szCs w:val="24"/>
              </w:rPr>
              <w:t xml:space="preserve"> </w:t>
            </w:r>
            <w:r w:rsidRPr="00624A96">
              <w:rPr>
                <w:rFonts w:ascii="Times New Roman" w:hAnsi="Times New Roman" w:cs="Times New Roman"/>
                <w:sz w:val="24"/>
                <w:szCs w:val="24"/>
              </w:rPr>
              <w:t>ir 20.2</w:t>
            </w:r>
            <w:r w:rsidR="00CD1E5A">
              <w:rPr>
                <w:rFonts w:ascii="Times New Roman" w:hAnsi="Times New Roman" w:cs="Times New Roman"/>
                <w:sz w:val="24"/>
                <w:szCs w:val="24"/>
              </w:rPr>
              <w:t xml:space="preserve"> </w:t>
            </w:r>
            <w:r w:rsidRPr="00624A96">
              <w:rPr>
                <w:rFonts w:ascii="Times New Roman" w:hAnsi="Times New Roman" w:cs="Times New Roman"/>
                <w:sz w:val="24"/>
                <w:szCs w:val="24"/>
              </w:rPr>
              <w:t>papunkčiuose yra numatytos dvi skirtingos alternatyvos. Siekiant aiškumo, išbraukiamas jungtukas „ir“, paliekant tik „arba“, kas nurodo, kad turi būti pasirinkta arba Aprašo 20.1</w:t>
            </w:r>
            <w:r w:rsidR="00CD1E5A">
              <w:rPr>
                <w:rFonts w:ascii="Times New Roman" w:hAnsi="Times New Roman" w:cs="Times New Roman"/>
                <w:sz w:val="24"/>
                <w:szCs w:val="24"/>
              </w:rPr>
              <w:t xml:space="preserve"> </w:t>
            </w:r>
            <w:r w:rsidRPr="00624A96">
              <w:rPr>
                <w:rFonts w:ascii="Times New Roman" w:hAnsi="Times New Roman" w:cs="Times New Roman"/>
                <w:sz w:val="24"/>
                <w:szCs w:val="24"/>
              </w:rPr>
              <w:t>papunktyje numatyta alternatyva, arba – Aprašo 20.2.</w:t>
            </w:r>
            <w:r w:rsidR="00CD1E5A">
              <w:rPr>
                <w:rFonts w:ascii="Times New Roman" w:hAnsi="Times New Roman" w:cs="Times New Roman"/>
                <w:sz w:val="24"/>
                <w:szCs w:val="24"/>
              </w:rPr>
              <w:t xml:space="preserve"> </w:t>
            </w:r>
            <w:r w:rsidRPr="00624A96">
              <w:rPr>
                <w:rFonts w:ascii="Times New Roman" w:hAnsi="Times New Roman" w:cs="Times New Roman"/>
                <w:sz w:val="24"/>
                <w:szCs w:val="24"/>
              </w:rPr>
              <w:t xml:space="preserve">papunktyje numatyta alternatyva. </w:t>
            </w:r>
          </w:p>
        </w:tc>
      </w:tr>
      <w:tr w:rsidR="00624A96" w:rsidRPr="00624A96" w14:paraId="452A9A58" w14:textId="77777777" w:rsidTr="00372F2E">
        <w:tc>
          <w:tcPr>
            <w:tcW w:w="1526" w:type="dxa"/>
            <w:vMerge/>
          </w:tcPr>
          <w:p w14:paraId="5F642CFC"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11E96EA" w14:textId="77777777" w:rsidR="00624A96" w:rsidRPr="00624A96" w:rsidRDefault="00624A96" w:rsidP="00C14D01">
            <w:pPr>
              <w:pStyle w:val="Preformatted"/>
              <w:tabs>
                <w:tab w:val="left" w:pos="1276"/>
              </w:tabs>
              <w:jc w:val="both"/>
              <w:rPr>
                <w:rFonts w:ascii="Times New Roman" w:hAnsi="Times New Roman"/>
                <w:sz w:val="24"/>
                <w:szCs w:val="24"/>
              </w:rPr>
            </w:pPr>
            <w:r w:rsidRPr="00624A96">
              <w:rPr>
                <w:rFonts w:ascii="Times New Roman" w:hAnsi="Times New Roman"/>
                <w:sz w:val="24"/>
                <w:szCs w:val="24"/>
              </w:rPr>
              <w:t>Nėra konkrečiai įvardinta, kokių rodiklių privaloma siekti įgyvendinant atskiras pagal Aprašą remiamas veiklas.</w:t>
            </w:r>
          </w:p>
        </w:tc>
        <w:tc>
          <w:tcPr>
            <w:tcW w:w="8363" w:type="dxa"/>
          </w:tcPr>
          <w:p w14:paraId="2D9060E8"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Neatsižvelgta.</w:t>
            </w:r>
          </w:p>
          <w:p w14:paraId="16E26C37" w14:textId="1D988209" w:rsidR="00624A96" w:rsidRPr="00624A96" w:rsidRDefault="003447EC" w:rsidP="007049F6">
            <w:pPr>
              <w:jc w:val="both"/>
              <w:rPr>
                <w:rFonts w:ascii="Times New Roman" w:hAnsi="Times New Roman" w:cs="Times New Roman"/>
                <w:sz w:val="24"/>
                <w:szCs w:val="24"/>
              </w:rPr>
            </w:pPr>
            <w:r>
              <w:rPr>
                <w:rFonts w:ascii="Times New Roman" w:hAnsi="Times New Roman" w:cs="Times New Roman"/>
                <w:sz w:val="24"/>
                <w:szCs w:val="24"/>
              </w:rPr>
              <w:t>Aprašo 26</w:t>
            </w:r>
            <w:r w:rsidR="00CD1E5A">
              <w:rPr>
                <w:rFonts w:ascii="Times New Roman" w:hAnsi="Times New Roman" w:cs="Times New Roman"/>
                <w:sz w:val="24"/>
                <w:szCs w:val="24"/>
              </w:rPr>
              <w:t xml:space="preserve"> </w:t>
            </w:r>
            <w:r w:rsidR="00624A96" w:rsidRPr="00624A96">
              <w:rPr>
                <w:rFonts w:ascii="Times New Roman" w:hAnsi="Times New Roman" w:cs="Times New Roman"/>
                <w:sz w:val="24"/>
                <w:szCs w:val="24"/>
              </w:rPr>
              <w:t xml:space="preserve">punkte yra aiškiai išvardinti visi priemonės įgyvendinimo stebėsenos rezultato ir produkto rodikliai, prie kurių turi prisidėti projektai, kur reikalinga – nurodant konkrečią veiklą. Jeigu prie konkretaus priemonės įgyvendinimo rodiklio nėra nurodytų atskirų veiklų, įgyvendinamas projektas visais atvejais turi siekti numatyto priemonės įgyvendinimo rodiklio. </w:t>
            </w:r>
          </w:p>
          <w:p w14:paraId="075E3BD9" w14:textId="77777777" w:rsidR="00624A96" w:rsidRPr="00624A96" w:rsidRDefault="00624A96" w:rsidP="007049F6">
            <w:pPr>
              <w:jc w:val="both"/>
              <w:rPr>
                <w:rFonts w:ascii="Times New Roman" w:hAnsi="Times New Roman" w:cs="Times New Roman"/>
                <w:sz w:val="24"/>
                <w:szCs w:val="24"/>
                <w:highlight w:val="yellow"/>
              </w:rPr>
            </w:pPr>
            <w:r w:rsidRPr="00624A96">
              <w:rPr>
                <w:rFonts w:ascii="Times New Roman" w:hAnsi="Times New Roman" w:cs="Times New Roman"/>
                <w:sz w:val="24"/>
                <w:szCs w:val="24"/>
              </w:rPr>
              <w:t>Rengiant projektinio pasiūlymo aprašymą ir paraišką, pareiškėjas atskirai turės nurodyti visų savo planuojamų įgyvendinti veiklų kokybinius rodiklius, kurių sieks, tačiau jie nebūtinai sutaps su priemonės įgyvendinimo rodikliais.</w:t>
            </w:r>
          </w:p>
        </w:tc>
      </w:tr>
      <w:tr w:rsidR="00624A96" w:rsidRPr="00624A96" w14:paraId="36391E22" w14:textId="77777777" w:rsidTr="00372F2E">
        <w:tc>
          <w:tcPr>
            <w:tcW w:w="1526" w:type="dxa"/>
            <w:vMerge/>
          </w:tcPr>
          <w:p w14:paraId="0E7009BF"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7B32ADD0" w14:textId="77777777" w:rsidR="00624A96" w:rsidRPr="00624A96" w:rsidRDefault="00624A96" w:rsidP="00C14D01">
            <w:pPr>
              <w:pStyle w:val="Preformatted"/>
              <w:tabs>
                <w:tab w:val="left" w:pos="1276"/>
              </w:tabs>
              <w:jc w:val="both"/>
              <w:rPr>
                <w:rFonts w:ascii="Times New Roman" w:hAnsi="Times New Roman"/>
                <w:sz w:val="24"/>
                <w:szCs w:val="24"/>
              </w:rPr>
            </w:pPr>
            <w:r w:rsidRPr="00624A96">
              <w:rPr>
                <w:rFonts w:ascii="Times New Roman" w:hAnsi="Times New Roman"/>
                <w:sz w:val="24"/>
                <w:szCs w:val="24"/>
              </w:rPr>
              <w:t>Aprašo 1 priede pateiktoje projekto tinkamumo finansuoti vertinimo lentelės 5.6 ir 7 punkte numatyta, kad Aprašo 30.1 papunktį vertina Ministerija ir atitinkamai minima, kad Ministerija vertina, ar projekto įgyvendinimo alternatyvos pasirinkimas pagrįstas sąnaudų efektyvumo rodikliu. Atkreipiame dėmesį, kad pagal Iš Europos Sąjungos struktūrinių fondų bendrai finansuojamų regionų projektų atrankos tvarkos aprašą, patvirtintą Lietuvos Respublikos vidaus reikalų ministro 2014 m. gruodžio 22 d. įsakymu Nr. 1V-893, minėtus vertinimo aspektus atlieka Regioninės plėtros departamento teritorinis skyrius.</w:t>
            </w:r>
          </w:p>
        </w:tc>
        <w:tc>
          <w:tcPr>
            <w:tcW w:w="8363" w:type="dxa"/>
          </w:tcPr>
          <w:p w14:paraId="62430510" w14:textId="77777777" w:rsidR="00624A96" w:rsidRDefault="00624A96" w:rsidP="007049F6">
            <w:pPr>
              <w:jc w:val="both"/>
              <w:rPr>
                <w:rFonts w:ascii="Times New Roman" w:hAnsi="Times New Roman" w:cs="Times New Roman"/>
                <w:b/>
                <w:sz w:val="24"/>
                <w:szCs w:val="24"/>
              </w:rPr>
            </w:pPr>
            <w:r w:rsidRPr="00005B73">
              <w:rPr>
                <w:rFonts w:ascii="Times New Roman" w:hAnsi="Times New Roman" w:cs="Times New Roman"/>
                <w:b/>
                <w:sz w:val="24"/>
                <w:szCs w:val="24"/>
              </w:rPr>
              <w:t>Atsižvelgta.</w:t>
            </w:r>
          </w:p>
          <w:p w14:paraId="4026246F" w14:textId="53365137" w:rsidR="00005B73" w:rsidRPr="00005B73" w:rsidRDefault="003447EC" w:rsidP="007049F6">
            <w:pPr>
              <w:jc w:val="both"/>
              <w:rPr>
                <w:rFonts w:ascii="Times New Roman" w:hAnsi="Times New Roman" w:cs="Times New Roman"/>
                <w:sz w:val="24"/>
                <w:szCs w:val="24"/>
              </w:rPr>
            </w:pPr>
            <w:r>
              <w:rPr>
                <w:rFonts w:ascii="Times New Roman" w:hAnsi="Times New Roman" w:cs="Times New Roman"/>
                <w:sz w:val="24"/>
                <w:szCs w:val="24"/>
              </w:rPr>
              <w:t>Aprašo 1 priede</w:t>
            </w:r>
            <w:r w:rsidR="00005B73" w:rsidRPr="00005B73">
              <w:rPr>
                <w:rFonts w:ascii="Times New Roman" w:hAnsi="Times New Roman" w:cs="Times New Roman"/>
                <w:sz w:val="24"/>
                <w:szCs w:val="24"/>
              </w:rPr>
              <w:t xml:space="preserve"> patikslinti visi neatitikimai dėl atsakingų vertintojų ir vietoj Ministerijos nurodytas Regiono plėtros tarybos sekretoriatas. </w:t>
            </w:r>
          </w:p>
          <w:p w14:paraId="12508633" w14:textId="77777777" w:rsidR="00624A96" w:rsidRPr="00624A96" w:rsidRDefault="00624A96" w:rsidP="007049F6">
            <w:pPr>
              <w:jc w:val="both"/>
              <w:rPr>
                <w:rFonts w:ascii="Times New Roman" w:hAnsi="Times New Roman" w:cs="Times New Roman"/>
                <w:b/>
                <w:sz w:val="24"/>
                <w:szCs w:val="24"/>
              </w:rPr>
            </w:pPr>
          </w:p>
        </w:tc>
      </w:tr>
      <w:tr w:rsidR="00624A96" w:rsidRPr="00624A96" w14:paraId="06E42015" w14:textId="77777777" w:rsidTr="00372F2E">
        <w:tc>
          <w:tcPr>
            <w:tcW w:w="1526" w:type="dxa"/>
            <w:vMerge/>
          </w:tcPr>
          <w:p w14:paraId="4845BC64"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36593174" w14:textId="77777777" w:rsidR="00624A96" w:rsidRPr="00624A96" w:rsidRDefault="00624A96" w:rsidP="00C14D01">
            <w:pPr>
              <w:pStyle w:val="Preformatted"/>
              <w:tabs>
                <w:tab w:val="left" w:pos="1276"/>
              </w:tabs>
              <w:jc w:val="both"/>
              <w:rPr>
                <w:rFonts w:ascii="Times New Roman" w:hAnsi="Times New Roman"/>
                <w:sz w:val="24"/>
                <w:szCs w:val="24"/>
              </w:rPr>
            </w:pPr>
            <w:r w:rsidRPr="00624A96">
              <w:rPr>
                <w:rFonts w:ascii="Times New Roman" w:hAnsi="Times New Roman"/>
                <w:sz w:val="24"/>
                <w:szCs w:val="24"/>
              </w:rPr>
              <w:t>Nėra aišku, kaip įvertinti Aprašo 25.5 punkte numatyto rezultato rodiklio R.N. 907 pasiekimą, nes teikiamos paslaugos pagerėjimo įvertinimui, analizė bei stebėjimai turėtų būti atliekami iki paslaugų ir aptarnavimo kokybės gerinimo priemonių įgyvendinimo.</w:t>
            </w:r>
          </w:p>
        </w:tc>
        <w:tc>
          <w:tcPr>
            <w:tcW w:w="8363" w:type="dxa"/>
          </w:tcPr>
          <w:p w14:paraId="16CB02EA"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Neatsižvelgta.</w:t>
            </w:r>
          </w:p>
          <w:p w14:paraId="053B8156" w14:textId="54C997E5" w:rsidR="00624A96" w:rsidRPr="00624A96" w:rsidRDefault="00B339AB" w:rsidP="007049F6">
            <w:pPr>
              <w:jc w:val="both"/>
              <w:rPr>
                <w:rFonts w:ascii="Times New Roman" w:hAnsi="Times New Roman" w:cs="Times New Roman"/>
                <w:sz w:val="24"/>
                <w:szCs w:val="24"/>
                <w:u w:val="single"/>
              </w:rPr>
            </w:pPr>
            <w:r>
              <w:rPr>
                <w:rFonts w:ascii="Times New Roman" w:hAnsi="Times New Roman" w:cs="Times New Roman"/>
                <w:sz w:val="24"/>
                <w:szCs w:val="24"/>
              </w:rPr>
              <w:t>Aprašo 29</w:t>
            </w:r>
            <w:r w:rsidR="00CD1E5A">
              <w:rPr>
                <w:rFonts w:ascii="Times New Roman" w:hAnsi="Times New Roman" w:cs="Times New Roman"/>
                <w:sz w:val="24"/>
                <w:szCs w:val="24"/>
              </w:rPr>
              <w:t xml:space="preserve"> </w:t>
            </w:r>
            <w:r w:rsidR="00624A96" w:rsidRPr="00624A96">
              <w:rPr>
                <w:rFonts w:ascii="Times New Roman" w:hAnsi="Times New Roman" w:cs="Times New Roman"/>
                <w:sz w:val="24"/>
                <w:szCs w:val="24"/>
              </w:rPr>
              <w:t>punkte nurodyta, kad Aprašo 25.5</w:t>
            </w:r>
            <w:r>
              <w:rPr>
                <w:rFonts w:ascii="Times New Roman" w:hAnsi="Times New Roman" w:cs="Times New Roman"/>
                <w:sz w:val="24"/>
                <w:szCs w:val="24"/>
              </w:rPr>
              <w:t xml:space="preserve"> (dabar 26</w:t>
            </w:r>
            <w:r w:rsidR="00CD1E5A">
              <w:rPr>
                <w:rFonts w:ascii="Times New Roman" w:hAnsi="Times New Roman" w:cs="Times New Roman"/>
                <w:sz w:val="24"/>
                <w:szCs w:val="24"/>
              </w:rPr>
              <w:t>.5)</w:t>
            </w:r>
            <w:r w:rsidR="00624A96" w:rsidRPr="00624A96">
              <w:rPr>
                <w:rFonts w:ascii="Times New Roman" w:hAnsi="Times New Roman" w:cs="Times New Roman"/>
                <w:sz w:val="24"/>
                <w:szCs w:val="24"/>
              </w:rPr>
              <w:t xml:space="preserve"> papunktyje nurodytas Priemonės įgyvendinimo stebėsenos rodiklis skaičiuojamas pagal Nacionalinių stebėsenos rodiklių skaičiavimo aprašą, patvirtintą Lietuvos Respublikos vidaus reikalų ministro 2015 m. kovo 6 d. įsakymu Nr. 1V-164 „Dėl Lietuvos Respublikos vidaus reikalų ministerijos 2014–2020 metų Europos Sąjungos fondų investicijų veiksmų programos prioritetų įgyvendinimo priemonių įgyvendinimo veiksmų </w:t>
            </w:r>
            <w:r w:rsidR="00624A96" w:rsidRPr="00624A96">
              <w:rPr>
                <w:rFonts w:ascii="Times New Roman" w:hAnsi="Times New Roman" w:cs="Times New Roman"/>
                <w:sz w:val="24"/>
                <w:szCs w:val="24"/>
              </w:rPr>
              <w:lastRenderedPageBreak/>
              <w:t>plano ir nacionalinių stebėsenos rodiklių skaičiavimo aprašo patvirtinimo“. Šiame apraše yra numatyta, kad „</w:t>
            </w:r>
            <w:r w:rsidR="00624A96" w:rsidRPr="00624A96">
              <w:rPr>
                <w:rFonts w:ascii="Times New Roman" w:hAnsi="Times New Roman" w:cs="Times New Roman"/>
                <w:sz w:val="24"/>
                <w:szCs w:val="24"/>
                <w:u w:val="single"/>
              </w:rPr>
              <w:t>Stebėsenos rodiklis laikomas pasiektu kai:</w:t>
            </w:r>
          </w:p>
          <w:p w14:paraId="56DD67CE" w14:textId="712C99E9" w:rsidR="00624A96" w:rsidRPr="00624A96" w:rsidRDefault="00624A96" w:rsidP="00FE6FBE">
            <w:pPr>
              <w:jc w:val="both"/>
              <w:rPr>
                <w:rFonts w:ascii="Times New Roman" w:hAnsi="Times New Roman" w:cs="Times New Roman"/>
                <w:sz w:val="24"/>
                <w:szCs w:val="24"/>
                <w:highlight w:val="yellow"/>
              </w:rPr>
            </w:pPr>
            <w:r w:rsidRPr="00624A96">
              <w:rPr>
                <w:rFonts w:ascii="Times New Roman" w:hAnsi="Times New Roman" w:cs="Times New Roman"/>
                <w:sz w:val="24"/>
                <w:szCs w:val="24"/>
              </w:rPr>
              <w:t xml:space="preserve">praėjus vieneriems metams po projekto veiklų įgyvendinimo pabaigos institucijos vadovo ar jo įgalioto asmens suderinimo žyma ar kita teisės aktuose nurodyta forma pritariama atlikto Visuomenės patenkinimo teikiamomis paslaugomis tyrimo ataskaitai arba institucijos vadovas ar jo įgaliotas asmuo pasirašo visuomenės patenkinimo teikiamomis paslaugomis tyrimo ataskaitos priėmimo– perdavimo aktą.“ Tai reiškia, kad po projekto pabaigos po vienerių metų, projekto vykdytojas įsipareigoja savo lėšomis </w:t>
            </w:r>
            <w:r w:rsidR="00FE6FBE">
              <w:rPr>
                <w:rFonts w:ascii="Times New Roman" w:hAnsi="Times New Roman" w:cs="Times New Roman"/>
                <w:sz w:val="24"/>
                <w:szCs w:val="24"/>
              </w:rPr>
              <w:t>pa</w:t>
            </w:r>
            <w:r w:rsidR="00FE6FBE" w:rsidRPr="00624A96">
              <w:rPr>
                <w:rFonts w:ascii="Times New Roman" w:hAnsi="Times New Roman" w:cs="Times New Roman"/>
                <w:sz w:val="24"/>
                <w:szCs w:val="24"/>
              </w:rPr>
              <w:t xml:space="preserve">kartoti </w:t>
            </w:r>
            <w:r w:rsidRPr="00624A96">
              <w:rPr>
                <w:rFonts w:ascii="Times New Roman" w:hAnsi="Times New Roman" w:cs="Times New Roman"/>
                <w:sz w:val="24"/>
                <w:szCs w:val="24"/>
              </w:rPr>
              <w:t>iki projekto atliktą visuomenės patenkinimo teikiamomis paslaugomis tyrimą ir jį pateikti Europos socialinio fondo agentūrai.</w:t>
            </w:r>
          </w:p>
        </w:tc>
      </w:tr>
      <w:tr w:rsidR="00624A96" w:rsidRPr="00624A96" w14:paraId="50EA882B" w14:textId="77777777" w:rsidTr="00372F2E">
        <w:tc>
          <w:tcPr>
            <w:tcW w:w="1526" w:type="dxa"/>
            <w:vMerge/>
          </w:tcPr>
          <w:p w14:paraId="78AF7BB9"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7F2A6DF3" w14:textId="77777777" w:rsidR="00624A96" w:rsidRPr="00624A96" w:rsidRDefault="00624A96" w:rsidP="00C14D01">
            <w:pPr>
              <w:pStyle w:val="Preformatted"/>
              <w:tabs>
                <w:tab w:val="left" w:pos="1276"/>
              </w:tabs>
              <w:jc w:val="both"/>
              <w:rPr>
                <w:rFonts w:ascii="Times New Roman" w:hAnsi="Times New Roman"/>
                <w:sz w:val="24"/>
                <w:szCs w:val="24"/>
              </w:rPr>
            </w:pPr>
            <w:r w:rsidRPr="00624A96">
              <w:rPr>
                <w:rFonts w:ascii="Times New Roman" w:hAnsi="Times New Roman"/>
                <w:sz w:val="24"/>
                <w:szCs w:val="24"/>
              </w:rPr>
              <w:t>Neįvardintos Aprašo 66.2 punkte numatytų projekto vykdymo priežiūros grupių atsakomybės ir funkcijos.</w:t>
            </w:r>
          </w:p>
        </w:tc>
        <w:tc>
          <w:tcPr>
            <w:tcW w:w="8363" w:type="dxa"/>
          </w:tcPr>
          <w:p w14:paraId="0B78C50B" w14:textId="77777777" w:rsidR="00624A96" w:rsidRDefault="00415F7A" w:rsidP="007049F6">
            <w:pPr>
              <w:jc w:val="both"/>
              <w:rPr>
                <w:rFonts w:ascii="Times New Roman" w:hAnsi="Times New Roman" w:cs="Times New Roman"/>
                <w:b/>
                <w:sz w:val="24"/>
                <w:szCs w:val="24"/>
              </w:rPr>
            </w:pPr>
            <w:r w:rsidRPr="00415F7A">
              <w:rPr>
                <w:rFonts w:ascii="Times New Roman" w:hAnsi="Times New Roman" w:cs="Times New Roman"/>
                <w:b/>
                <w:sz w:val="24"/>
                <w:szCs w:val="24"/>
              </w:rPr>
              <w:t>N</w:t>
            </w:r>
            <w:r w:rsidR="00C3148F" w:rsidRPr="00415F7A">
              <w:rPr>
                <w:rFonts w:ascii="Times New Roman" w:hAnsi="Times New Roman" w:cs="Times New Roman"/>
                <w:b/>
                <w:sz w:val="24"/>
                <w:szCs w:val="24"/>
              </w:rPr>
              <w:t>eatsižvelgta.</w:t>
            </w:r>
          </w:p>
          <w:p w14:paraId="19C90C53" w14:textId="142831A3" w:rsidR="00415F7A" w:rsidRPr="00415F7A" w:rsidRDefault="00415F7A" w:rsidP="00415F7A">
            <w:pPr>
              <w:jc w:val="both"/>
              <w:rPr>
                <w:rFonts w:ascii="Times New Roman" w:hAnsi="Times New Roman" w:cs="Times New Roman"/>
                <w:sz w:val="24"/>
                <w:szCs w:val="24"/>
              </w:rPr>
            </w:pPr>
            <w:r w:rsidRPr="00415F7A">
              <w:rPr>
                <w:rFonts w:ascii="Times New Roman" w:hAnsi="Times New Roman" w:cs="Times New Roman"/>
                <w:sz w:val="24"/>
                <w:szCs w:val="24"/>
              </w:rPr>
              <w:t xml:space="preserve">Institucijos kiekviena individualiai turės apsispręsti dėl valdymo priežiūros grupių atsakomybės ir funkcijų. </w:t>
            </w:r>
          </w:p>
        </w:tc>
      </w:tr>
      <w:tr w:rsidR="00624A96" w:rsidRPr="00624A96" w14:paraId="60DBB45B" w14:textId="77777777" w:rsidTr="00372F2E">
        <w:tc>
          <w:tcPr>
            <w:tcW w:w="1526" w:type="dxa"/>
            <w:vMerge w:val="restart"/>
          </w:tcPr>
          <w:p w14:paraId="5076C66B"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r w:rsidRPr="00624A96">
              <w:rPr>
                <w:rFonts w:ascii="Times New Roman" w:hAnsi="Times New Roman"/>
                <w:sz w:val="24"/>
                <w:szCs w:val="24"/>
              </w:rPr>
              <w:t>Šiaulių regiono plėtros taryba</w:t>
            </w:r>
          </w:p>
        </w:tc>
        <w:tc>
          <w:tcPr>
            <w:tcW w:w="5103" w:type="dxa"/>
          </w:tcPr>
          <w:p w14:paraId="77A6C6D1" w14:textId="77777777" w:rsidR="00624A96" w:rsidRPr="00624A96" w:rsidRDefault="00624A96" w:rsidP="00C14D01">
            <w:pPr>
              <w:pStyle w:val="Preformatted"/>
              <w:tabs>
                <w:tab w:val="left" w:pos="1276"/>
              </w:tabs>
              <w:jc w:val="both"/>
              <w:rPr>
                <w:rFonts w:ascii="Times New Roman" w:hAnsi="Times New Roman"/>
                <w:i/>
                <w:sz w:val="24"/>
                <w:szCs w:val="24"/>
              </w:rPr>
            </w:pPr>
            <w:r w:rsidRPr="00624A96">
              <w:rPr>
                <w:rFonts w:ascii="Times New Roman" w:hAnsi="Times New Roman"/>
                <w:i/>
                <w:sz w:val="24"/>
                <w:szCs w:val="24"/>
              </w:rPr>
              <w:t>Dėl Aprašo 20.1 papunkčio:</w:t>
            </w:r>
          </w:p>
          <w:p w14:paraId="542638DC"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 xml:space="preserve">Atkreipiame dėmesį, kad įgyvendinant nedidelės apimties projektus reikalavimas, jog nauda ir rezultatai tektų ne mažiau kaip 3 (trims) konkrečiame regione esančioms savivaldybėms arba tuo atveju, kai konkrečiame regione yra daugiau nei 6 (šešios) savivaldybės, — ne mažiau kaip pusei visų konkrečiame regione esančių savivaldybių, laikytinas pertekliniu, apsunkinančiu pareiškėjus. </w:t>
            </w:r>
          </w:p>
          <w:p w14:paraId="5960305A"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Siūlome numatyti galimybę, jei bendra projekto vertė neviršija 200 000 Eur, finansuoti projektus, kuriuos įgyvendinant nauda ir rezultatai tektų ne mažiau kaip 2 (dviem) konkrečiame regione esančioms savivaldybėms (vietoj Aprašo projekte nustatytų 3 arba pusės regiono savivaldybių).</w:t>
            </w:r>
          </w:p>
        </w:tc>
        <w:tc>
          <w:tcPr>
            <w:tcW w:w="8363" w:type="dxa"/>
          </w:tcPr>
          <w:p w14:paraId="2DEA1850" w14:textId="7BA60449" w:rsidR="00624A96" w:rsidRDefault="00415F7A" w:rsidP="00415F7A">
            <w:pPr>
              <w:jc w:val="both"/>
              <w:rPr>
                <w:rFonts w:ascii="Times New Roman" w:hAnsi="Times New Roman" w:cs="Times New Roman"/>
                <w:b/>
                <w:sz w:val="24"/>
                <w:szCs w:val="24"/>
              </w:rPr>
            </w:pPr>
            <w:r>
              <w:rPr>
                <w:rFonts w:ascii="Times New Roman" w:hAnsi="Times New Roman" w:cs="Times New Roman"/>
                <w:b/>
                <w:sz w:val="24"/>
                <w:szCs w:val="24"/>
              </w:rPr>
              <w:t>Atsižvelgta iš dalies.</w:t>
            </w:r>
          </w:p>
          <w:p w14:paraId="2AFF6BEB" w14:textId="5A7EF0B1" w:rsidR="00415F7A" w:rsidRPr="00415F7A" w:rsidRDefault="00CD1E5A" w:rsidP="00415F7A">
            <w:pPr>
              <w:jc w:val="both"/>
              <w:rPr>
                <w:rFonts w:ascii="Times New Roman" w:hAnsi="Times New Roman" w:cs="Times New Roman"/>
                <w:sz w:val="24"/>
                <w:szCs w:val="24"/>
              </w:rPr>
            </w:pPr>
            <w:r>
              <w:rPr>
                <w:rFonts w:ascii="Times New Roman" w:hAnsi="Times New Roman" w:cs="Times New Roman"/>
                <w:sz w:val="24"/>
                <w:szCs w:val="24"/>
              </w:rPr>
              <w:t>Aprašo 20.1 papunktyje n</w:t>
            </w:r>
            <w:r w:rsidR="00415F7A" w:rsidRPr="00415F7A">
              <w:rPr>
                <w:rFonts w:ascii="Times New Roman" w:hAnsi="Times New Roman" w:cs="Times New Roman"/>
                <w:sz w:val="24"/>
                <w:szCs w:val="24"/>
              </w:rPr>
              <w:t>ėra nurodoma projekto vertė, tačiau numato</w:t>
            </w:r>
            <w:r w:rsidR="00B339AB">
              <w:rPr>
                <w:rFonts w:ascii="Times New Roman" w:hAnsi="Times New Roman" w:cs="Times New Roman"/>
                <w:sz w:val="24"/>
                <w:szCs w:val="24"/>
              </w:rPr>
              <w:t>ma, kad nauda ir rezultatai turi</w:t>
            </w:r>
            <w:r w:rsidR="00415F7A" w:rsidRPr="00415F7A">
              <w:rPr>
                <w:rFonts w:ascii="Times New Roman" w:hAnsi="Times New Roman" w:cs="Times New Roman"/>
                <w:sz w:val="24"/>
                <w:szCs w:val="24"/>
              </w:rPr>
              <w:t xml:space="preserve"> tekti ne mažiau kaip </w:t>
            </w:r>
            <w:r w:rsidR="009C7014">
              <w:rPr>
                <w:rFonts w:ascii="Times New Roman" w:hAnsi="Times New Roman" w:cs="Times New Roman"/>
                <w:sz w:val="24"/>
                <w:szCs w:val="24"/>
              </w:rPr>
              <w:t>pusei visų konkrečiame regione esančių savivaldybių</w:t>
            </w:r>
            <w:r w:rsidR="00415F7A" w:rsidRPr="00415F7A">
              <w:rPr>
                <w:rFonts w:ascii="Times New Roman" w:hAnsi="Times New Roman" w:cs="Times New Roman"/>
                <w:sz w:val="24"/>
                <w:szCs w:val="24"/>
              </w:rPr>
              <w:t>.</w:t>
            </w:r>
          </w:p>
          <w:p w14:paraId="5A2BE421" w14:textId="20A67BDA" w:rsidR="00415F7A" w:rsidRPr="00624A96" w:rsidRDefault="00415F7A" w:rsidP="00415F7A">
            <w:pPr>
              <w:jc w:val="both"/>
              <w:rPr>
                <w:rFonts w:ascii="Times New Roman" w:hAnsi="Times New Roman" w:cs="Times New Roman"/>
                <w:b/>
                <w:sz w:val="24"/>
                <w:szCs w:val="24"/>
              </w:rPr>
            </w:pPr>
          </w:p>
        </w:tc>
      </w:tr>
      <w:tr w:rsidR="00624A96" w:rsidRPr="00624A96" w14:paraId="41CDCAF4" w14:textId="77777777" w:rsidTr="00372F2E">
        <w:tc>
          <w:tcPr>
            <w:tcW w:w="1526" w:type="dxa"/>
            <w:vMerge/>
          </w:tcPr>
          <w:p w14:paraId="67A2F640"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71CDE45E" w14:textId="77777777" w:rsidR="00624A96" w:rsidRPr="00624A96" w:rsidRDefault="00624A96" w:rsidP="001B0BDE">
            <w:pPr>
              <w:pStyle w:val="Preformatted"/>
              <w:tabs>
                <w:tab w:val="left" w:pos="1276"/>
              </w:tabs>
              <w:jc w:val="both"/>
              <w:rPr>
                <w:rFonts w:ascii="Times New Roman" w:hAnsi="Times New Roman"/>
                <w:i/>
                <w:sz w:val="24"/>
                <w:szCs w:val="24"/>
              </w:rPr>
            </w:pPr>
            <w:r w:rsidRPr="00624A96">
              <w:rPr>
                <w:rFonts w:ascii="Times New Roman" w:hAnsi="Times New Roman"/>
                <w:i/>
                <w:sz w:val="24"/>
                <w:szCs w:val="24"/>
              </w:rPr>
              <w:t>Dėl Aprašo 20.2 papunkčio:</w:t>
            </w:r>
          </w:p>
          <w:p w14:paraId="02BED24E"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 xml:space="preserve">Aprašo projekte nurodyta sąlyga, kad finansuojami projektai, kuriuos įgyvendinant gerinama „bent vienos savivaldybės administracijos ir visų šios savivaldybės viešojo </w:t>
            </w:r>
            <w:r w:rsidRPr="00624A96">
              <w:rPr>
                <w:rFonts w:ascii="Times New Roman" w:hAnsi="Times New Roman"/>
                <w:sz w:val="24"/>
                <w:szCs w:val="24"/>
              </w:rPr>
              <w:lastRenderedPageBreak/>
              <w:t>valdymo institucijų“ teikiamų</w:t>
            </w:r>
          </w:p>
          <w:p w14:paraId="6D969A07"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paslaugų ir (ar) asmenų aptarnavimo kokybė.</w:t>
            </w:r>
          </w:p>
          <w:p w14:paraId="459FF861"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Atkreipiame dėmesį, kad yra poreikis įgyvendinti projektus, kai bus gerinama vienos savivaldybės administracijos ir vienos šios savivaldybės viešojo valdymo institucijos (esant tik vienai tokiai</w:t>
            </w:r>
          </w:p>
          <w:p w14:paraId="25087922"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institucijai), teikiamų paslaugų ir (ar) asmenų aptarnavimo kokybė.</w:t>
            </w:r>
          </w:p>
          <w:p w14:paraId="511BC34D"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Prašome patikslinti nuostatą ir numatyti galimybę finansuoti projektus, kai gerinama „bent vienos savivaldybės administracijos ir bent vienos šios savivaldybės viešojo valdymo institucijų“ teikiamų</w:t>
            </w:r>
          </w:p>
          <w:p w14:paraId="3120326C"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paslaugų ir (ar) asmenų aptarnavimo kokybė.</w:t>
            </w:r>
          </w:p>
        </w:tc>
        <w:tc>
          <w:tcPr>
            <w:tcW w:w="8363" w:type="dxa"/>
          </w:tcPr>
          <w:p w14:paraId="3B3B1DB8"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lastRenderedPageBreak/>
              <w:t>Atsižvelgta iš dalies.</w:t>
            </w:r>
          </w:p>
          <w:p w14:paraId="65EFF66E" w14:textId="426A41C4" w:rsidR="00624A96" w:rsidRPr="00624A96" w:rsidRDefault="00624A96" w:rsidP="00B339AB">
            <w:pPr>
              <w:jc w:val="both"/>
              <w:rPr>
                <w:rFonts w:ascii="Times New Roman" w:hAnsi="Times New Roman" w:cs="Times New Roman"/>
                <w:sz w:val="24"/>
                <w:szCs w:val="24"/>
              </w:rPr>
            </w:pPr>
            <w:r w:rsidRPr="00624A96">
              <w:rPr>
                <w:rFonts w:ascii="Times New Roman" w:hAnsi="Times New Roman" w:cs="Times New Roman"/>
                <w:sz w:val="24"/>
                <w:szCs w:val="24"/>
              </w:rPr>
              <w:t>Aprašo 20.2 papunktis papildytas nuostata: „Jeigu savivaldybėje yra tik viena konkrečias viešąsias paslaugas teikianti viešojo valdymo institucija, projektas gali būti įgyvendinamas tik su šia institucija.“</w:t>
            </w:r>
          </w:p>
        </w:tc>
      </w:tr>
      <w:tr w:rsidR="00624A96" w:rsidRPr="00624A96" w14:paraId="428D4CC1" w14:textId="77777777" w:rsidTr="00372F2E">
        <w:tc>
          <w:tcPr>
            <w:tcW w:w="1526" w:type="dxa"/>
            <w:vMerge/>
          </w:tcPr>
          <w:p w14:paraId="0EEFC930"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2005E20C" w14:textId="77777777" w:rsidR="00624A96" w:rsidRPr="00624A96" w:rsidRDefault="00624A96" w:rsidP="001B0BDE">
            <w:pPr>
              <w:pStyle w:val="Preformatted"/>
              <w:tabs>
                <w:tab w:val="left" w:pos="1276"/>
              </w:tabs>
              <w:jc w:val="both"/>
              <w:rPr>
                <w:rFonts w:ascii="Times New Roman" w:hAnsi="Times New Roman"/>
                <w:i/>
                <w:sz w:val="24"/>
                <w:szCs w:val="24"/>
              </w:rPr>
            </w:pPr>
            <w:r w:rsidRPr="00624A96">
              <w:rPr>
                <w:rFonts w:ascii="Times New Roman" w:hAnsi="Times New Roman"/>
                <w:i/>
                <w:sz w:val="24"/>
                <w:szCs w:val="24"/>
              </w:rPr>
              <w:t>Dėl Aprašo 40 punkto:</w:t>
            </w:r>
          </w:p>
          <w:p w14:paraId="1CBDB543"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Nurodyta, kad tinkamomis finansuoti gali būti „projekto veikloms vykdyti reikalingų patalpų, kurias projekto vykdytojas ar partneris valdo patikėjimo teise, paprastojo remonto darbų išlaidos“.</w:t>
            </w:r>
          </w:p>
          <w:p w14:paraId="34DF8915"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 xml:space="preserve">Prašome patikslinti nuostatą numatant, kad patalpos gali būti valdomos ir nuosavybės teise, ne tik patikėjimo. </w:t>
            </w:r>
          </w:p>
          <w:p w14:paraId="7E9AB7E0"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Neaišku, ar bus tinkamos finansuoti perkamos konsultantų paslaugos, reikalingos kokybės vadybos sistemai įdiegti (ar tokios paslaugos būtų priskiriamos išlaidų kategorijai „kitos projekto veikloms vykdyti būtinos ir pagrįstos išlaidos"). Prašome aiškiai įvardinti, ar tinkamos išlaidos yra konsultantų paslaugų pirkimas.</w:t>
            </w:r>
          </w:p>
        </w:tc>
        <w:tc>
          <w:tcPr>
            <w:tcW w:w="8363" w:type="dxa"/>
          </w:tcPr>
          <w:p w14:paraId="108D16FF"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Atsižvelgta.</w:t>
            </w:r>
          </w:p>
          <w:p w14:paraId="0FB7E99D" w14:textId="1C3EEE9A" w:rsidR="00624A96" w:rsidRPr="00624A96" w:rsidRDefault="00624A96" w:rsidP="007049F6">
            <w:pPr>
              <w:jc w:val="both"/>
              <w:rPr>
                <w:rFonts w:ascii="Times New Roman" w:hAnsi="Times New Roman" w:cs="Times New Roman"/>
                <w:sz w:val="24"/>
                <w:szCs w:val="24"/>
              </w:rPr>
            </w:pPr>
            <w:r w:rsidRPr="00624A96">
              <w:rPr>
                <w:rFonts w:ascii="Times New Roman" w:hAnsi="Times New Roman" w:cs="Times New Roman"/>
                <w:sz w:val="24"/>
                <w:szCs w:val="24"/>
              </w:rPr>
              <w:t>Aprašo punkto</w:t>
            </w:r>
            <w:r w:rsidR="00B339AB">
              <w:rPr>
                <w:rFonts w:ascii="Times New Roman" w:hAnsi="Times New Roman" w:cs="Times New Roman"/>
                <w:sz w:val="24"/>
                <w:szCs w:val="24"/>
              </w:rPr>
              <w:t xml:space="preserve"> (dabar 42)</w:t>
            </w:r>
            <w:r w:rsidRPr="00624A96">
              <w:rPr>
                <w:rFonts w:ascii="Times New Roman" w:hAnsi="Times New Roman" w:cs="Times New Roman"/>
                <w:sz w:val="24"/>
                <w:szCs w:val="24"/>
              </w:rPr>
              <w:t xml:space="preserve"> 3 išlaidų kategorijoje numatyta, kad tinkamos finansuoti išlaidos gali būti patalpų, kurias projekto vykdytojas ar partneris valdo </w:t>
            </w:r>
            <w:r w:rsidRPr="00624A96">
              <w:rPr>
                <w:rFonts w:ascii="Times New Roman" w:hAnsi="Times New Roman" w:cs="Times New Roman"/>
                <w:b/>
                <w:sz w:val="24"/>
                <w:szCs w:val="24"/>
                <w:u w:val="single"/>
              </w:rPr>
              <w:t xml:space="preserve">nuosavybės </w:t>
            </w:r>
            <w:r w:rsidRPr="00624A96">
              <w:rPr>
                <w:rFonts w:ascii="Times New Roman" w:hAnsi="Times New Roman" w:cs="Times New Roman"/>
                <w:sz w:val="24"/>
                <w:szCs w:val="24"/>
              </w:rPr>
              <w:t>arba patikėjimo teise, paprastojo remonto darbų išlaidos.</w:t>
            </w:r>
          </w:p>
          <w:p w14:paraId="1D89EF9F" w14:textId="77777777" w:rsidR="00624A96" w:rsidRPr="00624A96" w:rsidRDefault="00624A96" w:rsidP="007049F6">
            <w:pPr>
              <w:jc w:val="both"/>
              <w:rPr>
                <w:rFonts w:ascii="Times New Roman" w:hAnsi="Times New Roman" w:cs="Times New Roman"/>
                <w:sz w:val="24"/>
                <w:szCs w:val="24"/>
              </w:rPr>
            </w:pPr>
          </w:p>
          <w:p w14:paraId="4FBA7A75" w14:textId="77777777" w:rsidR="00624A96" w:rsidRPr="007049F6" w:rsidRDefault="00624A96" w:rsidP="007049F6">
            <w:pPr>
              <w:jc w:val="both"/>
              <w:rPr>
                <w:rFonts w:ascii="Times New Roman" w:hAnsi="Times New Roman" w:cs="Times New Roman"/>
                <w:i/>
                <w:sz w:val="24"/>
                <w:szCs w:val="24"/>
              </w:rPr>
            </w:pPr>
            <w:r w:rsidRPr="007049F6">
              <w:rPr>
                <w:rFonts w:ascii="Times New Roman" w:hAnsi="Times New Roman" w:cs="Times New Roman"/>
                <w:i/>
                <w:sz w:val="24"/>
                <w:szCs w:val="24"/>
              </w:rPr>
              <w:t>Dėl konsultantų paslaugų prikimo:</w:t>
            </w:r>
          </w:p>
          <w:p w14:paraId="3FF8B039" w14:textId="4E91337F" w:rsidR="00624A96" w:rsidRPr="00624A96" w:rsidRDefault="00624A96" w:rsidP="00B339AB">
            <w:pPr>
              <w:jc w:val="both"/>
              <w:rPr>
                <w:rFonts w:ascii="Times New Roman" w:hAnsi="Times New Roman" w:cs="Times New Roman"/>
                <w:sz w:val="24"/>
                <w:szCs w:val="24"/>
              </w:rPr>
            </w:pPr>
            <w:r w:rsidRPr="00624A96">
              <w:rPr>
                <w:rFonts w:ascii="Times New Roman" w:hAnsi="Times New Roman" w:cs="Times New Roman"/>
                <w:sz w:val="24"/>
                <w:szCs w:val="24"/>
              </w:rPr>
              <w:t xml:space="preserve">Aprašo punkto </w:t>
            </w:r>
            <w:r w:rsidR="00B339AB">
              <w:rPr>
                <w:rFonts w:ascii="Times New Roman" w:hAnsi="Times New Roman" w:cs="Times New Roman"/>
                <w:sz w:val="24"/>
                <w:szCs w:val="24"/>
              </w:rPr>
              <w:t xml:space="preserve">(dabar 42) </w:t>
            </w:r>
            <w:r w:rsidRPr="00624A96">
              <w:rPr>
                <w:rFonts w:ascii="Times New Roman" w:hAnsi="Times New Roman" w:cs="Times New Roman"/>
                <w:sz w:val="24"/>
                <w:szCs w:val="24"/>
              </w:rPr>
              <w:t>5 kategorijos 5.9 punkte nurodyta, kad tinkamomis finansuoti gali būti ir kitos projekto veikloms vykdyti būtinos ir pagrįstos išlaidos. T. y., pagal Aprašą nėra nurodytas baigtinis tinkamų finansuoti išlaidų sąrašas ir jeigu pareiškėjas tinkamai pagrindžia išlaidų būtinumą (ir jeigu šios nepatenka prie netinkamų finansuoti išlaidų), išlaidos bus tinkamo finansuoti. Konsultantų pagalbos įsigijimo išlaidos, jeigu jos yra būtinos ir tinkamai pagrįstos, būtų tinkamos finansuoti.</w:t>
            </w:r>
          </w:p>
        </w:tc>
      </w:tr>
      <w:tr w:rsidR="00624A96" w:rsidRPr="00624A96" w14:paraId="0E877AC8" w14:textId="77777777" w:rsidTr="00372F2E">
        <w:tc>
          <w:tcPr>
            <w:tcW w:w="1526" w:type="dxa"/>
            <w:vMerge w:val="restart"/>
          </w:tcPr>
          <w:p w14:paraId="41C65DFB"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r w:rsidRPr="00624A96">
              <w:rPr>
                <w:rFonts w:ascii="Times New Roman" w:hAnsi="Times New Roman"/>
                <w:sz w:val="24"/>
                <w:szCs w:val="24"/>
              </w:rPr>
              <w:t>Panevėžio regiono plėtros taryba</w:t>
            </w:r>
          </w:p>
        </w:tc>
        <w:tc>
          <w:tcPr>
            <w:tcW w:w="5103" w:type="dxa"/>
          </w:tcPr>
          <w:p w14:paraId="7210462A"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 xml:space="preserve">Siūlome atsisakyti Aprašo 16.3 papunkčio, nes priemonė nėra susijusi su nevyriausybinių organizacijų veikla. </w:t>
            </w:r>
          </w:p>
        </w:tc>
        <w:tc>
          <w:tcPr>
            <w:tcW w:w="8363" w:type="dxa"/>
          </w:tcPr>
          <w:p w14:paraId="7560AD3E"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Neatsižvelgta.</w:t>
            </w:r>
          </w:p>
          <w:p w14:paraId="18E32A9F" w14:textId="77777777" w:rsidR="00624A96" w:rsidRPr="00624A96" w:rsidRDefault="00624A96" w:rsidP="007049F6">
            <w:pPr>
              <w:jc w:val="both"/>
              <w:rPr>
                <w:rFonts w:ascii="Times New Roman" w:hAnsi="Times New Roman" w:cs="Times New Roman"/>
                <w:sz w:val="24"/>
                <w:szCs w:val="24"/>
              </w:rPr>
            </w:pPr>
            <w:r w:rsidRPr="00624A96">
              <w:rPr>
                <w:rFonts w:ascii="Times New Roman" w:hAnsi="Times New Roman" w:cs="Times New Roman"/>
                <w:sz w:val="24"/>
                <w:szCs w:val="24"/>
              </w:rPr>
              <w:t xml:space="preserve">Priemonės galimų pareiškėjų ir partnerių sąrašas yra patvirtintas Lietuvos Respublikos vidaus reikalų ministro 2015 m. kovo 6 d. įsakymu Nr. 1V-164 „Dėl Lietuvos Respublikos vidaus reikalų ministerijos 2014–2020 metų Europos </w:t>
            </w:r>
            <w:r w:rsidRPr="00624A96">
              <w:rPr>
                <w:rFonts w:ascii="Times New Roman" w:hAnsi="Times New Roman" w:cs="Times New Roman"/>
                <w:sz w:val="24"/>
                <w:szCs w:val="24"/>
              </w:rPr>
              <w:lastRenderedPageBreak/>
              <w:t xml:space="preserve">Sąjungos fondų investicijų veiksmų programos prioritetų įgyvendinimo priemonių įgyvendinimo veiksmų plano ir nacionalinių stebėsenos rodiklių skaičiavimo aprašo patvirtinimo“ ir jame yra numatyta, kad nevyriausybinės organizacijos yra galimos partnerės pagal šią priemonė. </w:t>
            </w:r>
          </w:p>
          <w:p w14:paraId="5DE6DC6B" w14:textId="0C761890" w:rsidR="00624A96" w:rsidRPr="00624A96" w:rsidRDefault="00624A96" w:rsidP="007049F6">
            <w:pPr>
              <w:jc w:val="both"/>
              <w:rPr>
                <w:rFonts w:ascii="Times New Roman" w:hAnsi="Times New Roman" w:cs="Times New Roman"/>
                <w:sz w:val="24"/>
                <w:szCs w:val="24"/>
              </w:rPr>
            </w:pPr>
            <w:r w:rsidRPr="00624A96">
              <w:rPr>
                <w:rFonts w:ascii="Times New Roman" w:hAnsi="Times New Roman" w:cs="Times New Roman"/>
                <w:sz w:val="24"/>
                <w:szCs w:val="24"/>
              </w:rPr>
              <w:t>Pažymėtina, kad įvairių susitikimų ir diskusijų metu, nevyriausybinių organizacijų atstovai išreiškė didelį norą dalyvauti šio</w:t>
            </w:r>
            <w:r w:rsidR="007049F6">
              <w:rPr>
                <w:rFonts w:ascii="Times New Roman" w:hAnsi="Times New Roman" w:cs="Times New Roman"/>
                <w:sz w:val="24"/>
                <w:szCs w:val="24"/>
              </w:rPr>
              <w:t>s</w:t>
            </w:r>
            <w:r w:rsidRPr="00624A96">
              <w:rPr>
                <w:rFonts w:ascii="Times New Roman" w:hAnsi="Times New Roman" w:cs="Times New Roman"/>
                <w:sz w:val="24"/>
                <w:szCs w:val="24"/>
              </w:rPr>
              <w:t xml:space="preserve"> priemonės įgyvendinime. </w:t>
            </w:r>
          </w:p>
          <w:p w14:paraId="7CA2D9B9" w14:textId="55719DB8" w:rsidR="00624A96" w:rsidRPr="00624A96" w:rsidRDefault="00624A96" w:rsidP="007049F6">
            <w:pPr>
              <w:jc w:val="both"/>
              <w:rPr>
                <w:rFonts w:ascii="Times New Roman" w:hAnsi="Times New Roman" w:cs="Times New Roman"/>
                <w:sz w:val="24"/>
                <w:szCs w:val="24"/>
              </w:rPr>
            </w:pPr>
            <w:r w:rsidRPr="00624A96">
              <w:rPr>
                <w:rFonts w:ascii="Times New Roman" w:hAnsi="Times New Roman" w:cs="Times New Roman"/>
                <w:sz w:val="24"/>
                <w:szCs w:val="24"/>
              </w:rPr>
              <w:t>Taip pat atkreiptinas dėmesys, kad Aprašo 16.3 papunktis suteikia galimybę į projekto įgyvendinimą įtra</w:t>
            </w:r>
            <w:r w:rsidR="00B339AB">
              <w:rPr>
                <w:rFonts w:ascii="Times New Roman" w:hAnsi="Times New Roman" w:cs="Times New Roman"/>
                <w:sz w:val="24"/>
                <w:szCs w:val="24"/>
              </w:rPr>
              <w:t>u</w:t>
            </w:r>
            <w:r w:rsidRPr="00624A96">
              <w:rPr>
                <w:rFonts w:ascii="Times New Roman" w:hAnsi="Times New Roman" w:cs="Times New Roman"/>
                <w:sz w:val="24"/>
                <w:szCs w:val="24"/>
              </w:rPr>
              <w:t>kti ir nevyriausybines organizacijas, tačiau tai nėra privaloma.</w:t>
            </w:r>
            <w:r w:rsidR="00027104">
              <w:rPr>
                <w:rFonts w:ascii="Times New Roman" w:hAnsi="Times New Roman" w:cs="Times New Roman"/>
                <w:sz w:val="24"/>
                <w:szCs w:val="24"/>
              </w:rPr>
              <w:t xml:space="preserve"> Manytina, kad didelis vaidmuo NVO galėtų būti skiriamas įtraukiant NVO į veiklos 11.1 „</w:t>
            </w:r>
            <w:r w:rsidR="00027104" w:rsidRPr="00027104">
              <w:rPr>
                <w:rFonts w:ascii="Times New Roman" w:hAnsi="Times New Roman" w:cs="Times New Roman"/>
                <w:sz w:val="24"/>
                <w:szCs w:val="24"/>
              </w:rPr>
              <w:t>pasiūlymų dėl savivaldybių reguliuojamų paslaugų teikimo ir (ar) asmenų aptarnavimo teisinio reglamentavimo tobulinimo rengimas</w:t>
            </w:r>
            <w:r w:rsidR="00027104">
              <w:rPr>
                <w:rFonts w:ascii="Times New Roman" w:hAnsi="Times New Roman" w:cs="Times New Roman"/>
                <w:sz w:val="24"/>
                <w:szCs w:val="24"/>
              </w:rPr>
              <w:t>“ vykdymą, sudarant galimybę NVO teikti savo nuomonę ir pasiūlymus projekte sprendžiamais klausimais.</w:t>
            </w:r>
          </w:p>
        </w:tc>
      </w:tr>
      <w:tr w:rsidR="00624A96" w:rsidRPr="00624A96" w14:paraId="347BDAF0" w14:textId="77777777" w:rsidTr="00372F2E">
        <w:tc>
          <w:tcPr>
            <w:tcW w:w="1526" w:type="dxa"/>
            <w:vMerge/>
          </w:tcPr>
          <w:p w14:paraId="7E7E05C5"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43B062D5" w14:textId="77777777" w:rsidR="00624A96" w:rsidRPr="00624A96" w:rsidRDefault="00624A96" w:rsidP="005555DF">
            <w:pPr>
              <w:pStyle w:val="Preformatted"/>
              <w:tabs>
                <w:tab w:val="left" w:pos="1276"/>
              </w:tabs>
              <w:jc w:val="both"/>
              <w:rPr>
                <w:rFonts w:ascii="Times New Roman" w:hAnsi="Times New Roman"/>
                <w:sz w:val="24"/>
                <w:szCs w:val="24"/>
              </w:rPr>
            </w:pPr>
            <w:r w:rsidRPr="00624A96">
              <w:rPr>
                <w:rFonts w:ascii="Times New Roman" w:hAnsi="Times New Roman"/>
                <w:sz w:val="24"/>
                <w:szCs w:val="24"/>
              </w:rPr>
              <w:t>Siūlome 19.3 punkte vietoj žodžių strateginio veiklos plano nuostatas“ įrašyti „strateginio plėtros plano nuostatas“, o 19.3.1, 19.3.2 papunkčių atsisakyti.</w:t>
            </w:r>
          </w:p>
        </w:tc>
        <w:tc>
          <w:tcPr>
            <w:tcW w:w="8363" w:type="dxa"/>
          </w:tcPr>
          <w:p w14:paraId="60CC606A"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 xml:space="preserve">Neatsižvelgta. </w:t>
            </w:r>
          </w:p>
          <w:p w14:paraId="3FC39B7B" w14:textId="1D24188C" w:rsidR="00B3246F" w:rsidRPr="00B3246F" w:rsidRDefault="00B3246F" w:rsidP="00B3246F">
            <w:pPr>
              <w:jc w:val="both"/>
              <w:rPr>
                <w:rFonts w:ascii="Times New Roman" w:hAnsi="Times New Roman" w:cs="Times New Roman"/>
                <w:sz w:val="24"/>
                <w:szCs w:val="24"/>
              </w:rPr>
            </w:pPr>
            <w:r w:rsidRPr="00B3246F">
              <w:rPr>
                <w:rFonts w:ascii="Times New Roman" w:hAnsi="Times New Roman" w:cs="Times New Roman"/>
                <w:sz w:val="24"/>
                <w:szCs w:val="24"/>
              </w:rPr>
              <w:t>Atrankos kriterijus</w:t>
            </w:r>
            <w:r w:rsidR="00BC14FA">
              <w:rPr>
                <w:rFonts w:ascii="Times New Roman" w:hAnsi="Times New Roman" w:cs="Times New Roman"/>
                <w:sz w:val="24"/>
                <w:szCs w:val="24"/>
              </w:rPr>
              <w:t>, t. y., kad „</w:t>
            </w:r>
            <w:r w:rsidR="00BC14FA" w:rsidRPr="00BC14FA">
              <w:rPr>
                <w:rFonts w:ascii="Times New Roman" w:hAnsi="Times New Roman" w:cs="Times New Roman"/>
                <w:sz w:val="24"/>
                <w:szCs w:val="24"/>
              </w:rPr>
              <w:t>projektas turi atitikti savivaldybės strateginio veiklos plano nuostatas</w:t>
            </w:r>
            <w:r w:rsidR="00BC14FA">
              <w:rPr>
                <w:rFonts w:ascii="Times New Roman" w:hAnsi="Times New Roman" w:cs="Times New Roman"/>
                <w:sz w:val="24"/>
                <w:szCs w:val="24"/>
              </w:rPr>
              <w:t>“,</w:t>
            </w:r>
            <w:r w:rsidRPr="00B3246F">
              <w:rPr>
                <w:rFonts w:ascii="Times New Roman" w:hAnsi="Times New Roman" w:cs="Times New Roman"/>
                <w:sz w:val="24"/>
                <w:szCs w:val="24"/>
              </w:rPr>
              <w:t xml:space="preserve"> pasirinktas todėl, kad, vadovaujantis Lietuvos Respublikos vietos savivaldos įstatymo (toliau –</w:t>
            </w:r>
            <w:r w:rsidR="006D125D">
              <w:rPr>
                <w:rFonts w:ascii="Times New Roman" w:hAnsi="Times New Roman" w:cs="Times New Roman"/>
                <w:sz w:val="24"/>
                <w:szCs w:val="24"/>
              </w:rPr>
              <w:t xml:space="preserve"> Į</w:t>
            </w:r>
            <w:r>
              <w:rPr>
                <w:rFonts w:ascii="Times New Roman" w:hAnsi="Times New Roman" w:cs="Times New Roman"/>
                <w:sz w:val="24"/>
                <w:szCs w:val="24"/>
              </w:rPr>
              <w:t>statymas) 10</w:t>
            </w:r>
            <w:r>
              <w:rPr>
                <w:rFonts w:ascii="Times New Roman" w:hAnsi="Times New Roman" w:cs="Times New Roman"/>
                <w:sz w:val="24"/>
                <w:szCs w:val="24"/>
                <w:vertAlign w:val="superscript"/>
              </w:rPr>
              <w:t>4</w:t>
            </w:r>
            <w:r w:rsidRPr="00B3246F">
              <w:rPr>
                <w:rFonts w:ascii="Times New Roman" w:hAnsi="Times New Roman" w:cs="Times New Roman"/>
                <w:sz w:val="24"/>
                <w:szCs w:val="24"/>
              </w:rPr>
              <w:t xml:space="preserve"> straipsniu, savivaldybės biudžetas rengiamas vadovaujantis patvirtintu savivaldybės strateginiu veiklos planu, taip pat atsižvelgiant į kitus patvirtintus savivaldybės strateginio planavimo dokumentus, asignavimus planuojant savivaldybės strateginio veiklos plano programoms įgyvendinti ir planuojamiems rezultatams pasiekti ir paskirstant juos asig</w:t>
            </w:r>
            <w:r>
              <w:rPr>
                <w:rFonts w:ascii="Times New Roman" w:hAnsi="Times New Roman" w:cs="Times New Roman"/>
                <w:sz w:val="24"/>
                <w:szCs w:val="24"/>
              </w:rPr>
              <w:t>navimų valdytojams. Įstatymo 10</w:t>
            </w:r>
            <w:r>
              <w:rPr>
                <w:rFonts w:ascii="Times New Roman" w:hAnsi="Times New Roman" w:cs="Times New Roman"/>
                <w:sz w:val="24"/>
                <w:szCs w:val="24"/>
                <w:vertAlign w:val="superscript"/>
              </w:rPr>
              <w:t>3</w:t>
            </w:r>
            <w:r w:rsidRPr="00B3246F">
              <w:rPr>
                <w:rFonts w:ascii="Times New Roman" w:hAnsi="Times New Roman" w:cs="Times New Roman"/>
                <w:sz w:val="24"/>
                <w:szCs w:val="24"/>
              </w:rPr>
              <w:t xml:space="preserve"> str. nustatyta, kad savivaldybės strateginis veiklos planas detalizuoja savivaldybės strateginio plėtros plano ir savivaldybės atskirų ūkio šakų plėtros programų tikslų ir uždavinių įgyvendinimą ir sudaromas atsižvelgiant į planuojamus savivaldybės finansinius ir žmogiškuosius išteklius. Savivaldybė, įtraukdama projektą į savivaldybės strateginį veiklos planą, kartu pritaria ir užtikrina bendrojo finansavimo dalies iš savivaldybės biudžeto lėšų skyrimą projektui įgyvendinti.</w:t>
            </w:r>
          </w:p>
          <w:p w14:paraId="3FC64618" w14:textId="385C7F75" w:rsidR="00624A96" w:rsidRPr="00624A96" w:rsidRDefault="00624A96" w:rsidP="006D125D">
            <w:pPr>
              <w:jc w:val="both"/>
              <w:rPr>
                <w:rFonts w:ascii="Times New Roman" w:hAnsi="Times New Roman" w:cs="Times New Roman"/>
                <w:sz w:val="24"/>
                <w:szCs w:val="24"/>
              </w:rPr>
            </w:pPr>
            <w:r w:rsidRPr="00624A96">
              <w:rPr>
                <w:rFonts w:ascii="Times New Roman" w:hAnsi="Times New Roman" w:cs="Times New Roman"/>
                <w:sz w:val="24"/>
                <w:szCs w:val="24"/>
              </w:rPr>
              <w:t>Specialiuosius projektų atrankos kriterijus, kuriuos turi atitikti pagal šią priemonę atrenkami projektai, tvirtina Stebėsenos komitetas. Aprašo 19.3</w:t>
            </w:r>
            <w:r w:rsidR="00CD1E5A">
              <w:rPr>
                <w:rFonts w:ascii="Times New Roman" w:hAnsi="Times New Roman" w:cs="Times New Roman"/>
                <w:sz w:val="24"/>
                <w:szCs w:val="24"/>
              </w:rPr>
              <w:t xml:space="preserve"> papunktyje</w:t>
            </w:r>
            <w:r w:rsidRPr="00624A96">
              <w:rPr>
                <w:rFonts w:ascii="Times New Roman" w:hAnsi="Times New Roman" w:cs="Times New Roman"/>
                <w:sz w:val="24"/>
                <w:szCs w:val="24"/>
              </w:rPr>
              <w:t xml:space="preserve"> nurodytas atrankos kriterijus buvo patvirtintas 2015 m. rugsėjo 24 </w:t>
            </w:r>
            <w:r w:rsidR="00B339AB">
              <w:rPr>
                <w:rFonts w:ascii="Times New Roman" w:hAnsi="Times New Roman" w:cs="Times New Roman"/>
                <w:sz w:val="24"/>
                <w:szCs w:val="24"/>
              </w:rPr>
              <w:t>d. Stebėsenos komiteto posėdyje,</w:t>
            </w:r>
            <w:r w:rsidRPr="00624A96">
              <w:rPr>
                <w:rFonts w:ascii="Times New Roman" w:hAnsi="Times New Roman" w:cs="Times New Roman"/>
                <w:sz w:val="24"/>
                <w:szCs w:val="24"/>
              </w:rPr>
              <w:t xml:space="preserve"> protokolo Nr. 44P-8 (10).</w:t>
            </w:r>
          </w:p>
        </w:tc>
      </w:tr>
      <w:tr w:rsidR="00624A96" w:rsidRPr="00624A96" w14:paraId="0196DAA1" w14:textId="77777777" w:rsidTr="00372F2E">
        <w:tc>
          <w:tcPr>
            <w:tcW w:w="1526" w:type="dxa"/>
            <w:vMerge/>
          </w:tcPr>
          <w:p w14:paraId="0E8B0953"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06F16A5B"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 xml:space="preserve">Siūlome koreguoti Aprašo 25.1 papunktį ir vietoj siektinos reikšmės projektui „2 vnt.“ įrašyti „1 </w:t>
            </w:r>
            <w:r w:rsidRPr="00624A96">
              <w:rPr>
                <w:rFonts w:ascii="Times New Roman" w:hAnsi="Times New Roman"/>
                <w:sz w:val="24"/>
                <w:szCs w:val="24"/>
              </w:rPr>
              <w:lastRenderedPageBreak/>
              <w:t>vnt.“, ir Aprašo 25.4 papunktyje vietoj siektinos reikšmės „2 vnt.“ įrašyti „1 vnt.“.</w:t>
            </w:r>
          </w:p>
        </w:tc>
        <w:tc>
          <w:tcPr>
            <w:tcW w:w="8363" w:type="dxa"/>
          </w:tcPr>
          <w:p w14:paraId="7689D72F" w14:textId="2305F40B" w:rsid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lastRenderedPageBreak/>
              <w:t>Neatsižvelgta.</w:t>
            </w:r>
          </w:p>
          <w:p w14:paraId="367010E1" w14:textId="484FD48C" w:rsidR="00B3246F" w:rsidRPr="00B3246F" w:rsidRDefault="00B3246F" w:rsidP="007049F6">
            <w:pPr>
              <w:jc w:val="both"/>
              <w:rPr>
                <w:rFonts w:ascii="Times New Roman" w:hAnsi="Times New Roman" w:cs="Times New Roman"/>
                <w:sz w:val="24"/>
                <w:szCs w:val="24"/>
              </w:rPr>
            </w:pPr>
            <w:r w:rsidRPr="00B3246F">
              <w:rPr>
                <w:rFonts w:ascii="Times New Roman" w:hAnsi="Times New Roman" w:cs="Times New Roman"/>
                <w:sz w:val="24"/>
                <w:szCs w:val="24"/>
              </w:rPr>
              <w:t xml:space="preserve">2014–2020 metų periodu siekiama, kad būtų įgyvendinami regioninę reikšmę </w:t>
            </w:r>
            <w:r w:rsidRPr="00B3246F">
              <w:rPr>
                <w:rFonts w:ascii="Times New Roman" w:hAnsi="Times New Roman" w:cs="Times New Roman"/>
                <w:sz w:val="24"/>
                <w:szCs w:val="24"/>
              </w:rPr>
              <w:lastRenderedPageBreak/>
              <w:t>turintys projektai, bet ne pavieniai savivaldybių projektai. Manytina, kad sisteminių projektų įgyvendinimas</w:t>
            </w:r>
            <w:r w:rsidR="00C8385E">
              <w:rPr>
                <w:rFonts w:ascii="Times New Roman" w:hAnsi="Times New Roman" w:cs="Times New Roman"/>
                <w:sz w:val="24"/>
                <w:szCs w:val="24"/>
              </w:rPr>
              <w:t>, pasiekti rezultatai</w:t>
            </w:r>
            <w:r w:rsidRPr="00B3246F">
              <w:rPr>
                <w:rFonts w:ascii="Times New Roman" w:hAnsi="Times New Roman" w:cs="Times New Roman"/>
                <w:sz w:val="24"/>
                <w:szCs w:val="24"/>
              </w:rPr>
              <w:t xml:space="preserve"> turės didesnį poveikį</w:t>
            </w:r>
            <w:r w:rsidRPr="00B3246F">
              <w:t xml:space="preserve"> </w:t>
            </w:r>
            <w:r w:rsidRPr="00B3246F">
              <w:rPr>
                <w:rFonts w:ascii="Times New Roman" w:hAnsi="Times New Roman" w:cs="Times New Roman"/>
                <w:sz w:val="24"/>
                <w:szCs w:val="24"/>
              </w:rPr>
              <w:t xml:space="preserve">paslaugų kokybei, asmenų aptarnavimui, bei </w:t>
            </w:r>
            <w:r w:rsidR="00C8385E">
              <w:rPr>
                <w:rFonts w:ascii="Times New Roman" w:hAnsi="Times New Roman" w:cs="Times New Roman"/>
                <w:sz w:val="24"/>
                <w:szCs w:val="24"/>
              </w:rPr>
              <w:t xml:space="preserve">paskatins </w:t>
            </w:r>
            <w:r w:rsidRPr="00B3246F">
              <w:rPr>
                <w:rFonts w:ascii="Times New Roman" w:hAnsi="Times New Roman" w:cs="Times New Roman"/>
                <w:sz w:val="24"/>
                <w:szCs w:val="24"/>
              </w:rPr>
              <w:t>savivaldyb</w:t>
            </w:r>
            <w:r w:rsidR="00C8385E">
              <w:rPr>
                <w:rFonts w:ascii="Times New Roman" w:hAnsi="Times New Roman" w:cs="Times New Roman"/>
                <w:sz w:val="24"/>
                <w:szCs w:val="24"/>
              </w:rPr>
              <w:t>es</w:t>
            </w:r>
            <w:r w:rsidRPr="00B3246F">
              <w:rPr>
                <w:rFonts w:ascii="Times New Roman" w:hAnsi="Times New Roman" w:cs="Times New Roman"/>
                <w:sz w:val="24"/>
                <w:szCs w:val="24"/>
              </w:rPr>
              <w:t xml:space="preserve"> bendradarbia</w:t>
            </w:r>
            <w:r w:rsidR="00C8385E">
              <w:rPr>
                <w:rFonts w:ascii="Times New Roman" w:hAnsi="Times New Roman" w:cs="Times New Roman"/>
                <w:sz w:val="24"/>
                <w:szCs w:val="24"/>
              </w:rPr>
              <w:t>uti, sprendžiant su paslaugų teikimo ir asmenų aptarnavimo kokybės gerinimu susijusius klausimus.</w:t>
            </w:r>
          </w:p>
          <w:p w14:paraId="27304369" w14:textId="769A98D2" w:rsidR="00624A96" w:rsidRPr="00624A96" w:rsidRDefault="00624A96" w:rsidP="007049F6">
            <w:pPr>
              <w:jc w:val="both"/>
              <w:rPr>
                <w:rFonts w:ascii="Times New Roman" w:hAnsi="Times New Roman" w:cs="Times New Roman"/>
                <w:sz w:val="24"/>
                <w:szCs w:val="24"/>
              </w:rPr>
            </w:pPr>
          </w:p>
        </w:tc>
      </w:tr>
      <w:tr w:rsidR="00624A96" w:rsidRPr="00624A96" w14:paraId="10C0E068" w14:textId="77777777" w:rsidTr="00372F2E">
        <w:tc>
          <w:tcPr>
            <w:tcW w:w="1526" w:type="dxa"/>
            <w:vMerge/>
          </w:tcPr>
          <w:p w14:paraId="134E10E8" w14:textId="77777777" w:rsidR="00624A96" w:rsidRPr="00624A96" w:rsidRDefault="00624A96" w:rsidP="00284661">
            <w:pPr>
              <w:pStyle w:val="Preformatted"/>
              <w:tabs>
                <w:tab w:val="clear" w:pos="0"/>
                <w:tab w:val="clear" w:pos="1918"/>
                <w:tab w:val="left" w:pos="851"/>
                <w:tab w:val="left" w:pos="1276"/>
              </w:tabs>
              <w:jc w:val="both"/>
              <w:rPr>
                <w:rFonts w:ascii="Times New Roman" w:hAnsi="Times New Roman"/>
                <w:sz w:val="24"/>
                <w:szCs w:val="24"/>
              </w:rPr>
            </w:pPr>
          </w:p>
        </w:tc>
        <w:tc>
          <w:tcPr>
            <w:tcW w:w="5103" w:type="dxa"/>
          </w:tcPr>
          <w:p w14:paraId="34EB5386" w14:textId="77777777" w:rsidR="00624A96" w:rsidRPr="00624A96" w:rsidRDefault="00624A96" w:rsidP="001B0BDE">
            <w:pPr>
              <w:pStyle w:val="Preformatted"/>
              <w:tabs>
                <w:tab w:val="left" w:pos="1276"/>
              </w:tabs>
              <w:jc w:val="both"/>
              <w:rPr>
                <w:rFonts w:ascii="Times New Roman" w:hAnsi="Times New Roman"/>
                <w:sz w:val="24"/>
                <w:szCs w:val="24"/>
              </w:rPr>
            </w:pPr>
            <w:r w:rsidRPr="00624A96">
              <w:rPr>
                <w:rFonts w:ascii="Times New Roman" w:hAnsi="Times New Roman"/>
                <w:sz w:val="24"/>
                <w:szCs w:val="24"/>
              </w:rPr>
              <w:t>Siūlome Aprašo 30.1.2 papunktyje nurodytų dokumentų pateikimą perkelti kartu su paraiškos pateikimu, o ne su projektiniu pasiūlymu.</w:t>
            </w:r>
          </w:p>
        </w:tc>
        <w:tc>
          <w:tcPr>
            <w:tcW w:w="8363" w:type="dxa"/>
          </w:tcPr>
          <w:p w14:paraId="42F00659" w14:textId="77777777" w:rsidR="00624A96" w:rsidRPr="00624A96" w:rsidRDefault="00624A96" w:rsidP="007049F6">
            <w:pPr>
              <w:jc w:val="both"/>
              <w:rPr>
                <w:rFonts w:ascii="Times New Roman" w:hAnsi="Times New Roman" w:cs="Times New Roman"/>
                <w:b/>
                <w:sz w:val="24"/>
                <w:szCs w:val="24"/>
              </w:rPr>
            </w:pPr>
            <w:r w:rsidRPr="00624A96">
              <w:rPr>
                <w:rFonts w:ascii="Times New Roman" w:hAnsi="Times New Roman" w:cs="Times New Roman"/>
                <w:b/>
                <w:sz w:val="24"/>
                <w:szCs w:val="24"/>
              </w:rPr>
              <w:t>Neatsižvelgta.</w:t>
            </w:r>
          </w:p>
          <w:p w14:paraId="0D304B2E" w14:textId="16291AB9" w:rsidR="00624A96" w:rsidRPr="00624A96" w:rsidRDefault="00624A96" w:rsidP="00B339AB">
            <w:pPr>
              <w:jc w:val="both"/>
              <w:rPr>
                <w:rFonts w:ascii="Times New Roman" w:hAnsi="Times New Roman" w:cs="Times New Roman"/>
                <w:sz w:val="24"/>
                <w:szCs w:val="24"/>
              </w:rPr>
            </w:pPr>
            <w:r w:rsidRPr="00624A96">
              <w:rPr>
                <w:rFonts w:ascii="Times New Roman" w:hAnsi="Times New Roman" w:cs="Times New Roman"/>
                <w:sz w:val="24"/>
                <w:szCs w:val="24"/>
              </w:rPr>
              <w:t>Pareiškėjai, dar iki projektui atsirandant regiono plėtros plane, jau turi būti išsianalizavę ir atlikę Aprašo</w:t>
            </w:r>
            <w:r w:rsidR="00B339AB">
              <w:t xml:space="preserve"> </w:t>
            </w:r>
            <w:r w:rsidR="00B339AB" w:rsidRPr="00B339AB">
              <w:rPr>
                <w:rFonts w:ascii="Times New Roman" w:hAnsi="Times New Roman" w:cs="Times New Roman"/>
                <w:sz w:val="24"/>
                <w:szCs w:val="24"/>
              </w:rPr>
              <w:t>papunktyje</w:t>
            </w:r>
            <w:r w:rsidRPr="00624A96">
              <w:rPr>
                <w:rFonts w:ascii="Times New Roman" w:hAnsi="Times New Roman" w:cs="Times New Roman"/>
                <w:sz w:val="24"/>
                <w:szCs w:val="24"/>
              </w:rPr>
              <w:t xml:space="preserve"> </w:t>
            </w:r>
            <w:r w:rsidR="00B339AB">
              <w:rPr>
                <w:rFonts w:ascii="Times New Roman" w:hAnsi="Times New Roman" w:cs="Times New Roman"/>
                <w:sz w:val="24"/>
                <w:szCs w:val="24"/>
              </w:rPr>
              <w:t>(dabar 31</w:t>
            </w:r>
            <w:r w:rsidR="00CD1E5A">
              <w:rPr>
                <w:rFonts w:ascii="Times New Roman" w:hAnsi="Times New Roman" w:cs="Times New Roman"/>
                <w:sz w:val="24"/>
                <w:szCs w:val="24"/>
              </w:rPr>
              <w:t xml:space="preserve">.1.2) </w:t>
            </w:r>
            <w:r w:rsidRPr="00624A96">
              <w:rPr>
                <w:rFonts w:ascii="Times New Roman" w:hAnsi="Times New Roman" w:cs="Times New Roman"/>
                <w:sz w:val="24"/>
                <w:szCs w:val="24"/>
              </w:rPr>
              <w:t xml:space="preserve">nurodytus veiksmus, kadangi neatlikus šių veiksmų, pareiškėjai negali žinoti, kokių veiksmų reikia imtis siekiant pagerinti paslaugų ar asmenų aptarnavimo kokybę; pvz., ar reikalinga parengti naujas metodikas, ar būtini tam tikri informaciniai sprendimai, ir pan. </w:t>
            </w:r>
          </w:p>
        </w:tc>
      </w:tr>
    </w:tbl>
    <w:p w14:paraId="526DAE34" w14:textId="77777777" w:rsidR="00CF5CF4" w:rsidRPr="00624A96" w:rsidRDefault="00284661" w:rsidP="00B00017">
      <w:pPr>
        <w:jc w:val="center"/>
        <w:rPr>
          <w:rFonts w:ascii="Times New Roman" w:hAnsi="Times New Roman" w:cs="Times New Roman"/>
          <w:sz w:val="24"/>
          <w:szCs w:val="24"/>
        </w:rPr>
      </w:pPr>
      <w:r w:rsidRPr="00624A96">
        <w:rPr>
          <w:rFonts w:ascii="Times New Roman" w:hAnsi="Times New Roman" w:cs="Times New Roman"/>
          <w:sz w:val="24"/>
          <w:szCs w:val="24"/>
        </w:rPr>
        <w:t>____________________________</w:t>
      </w:r>
    </w:p>
    <w:sectPr w:rsidR="00CF5CF4" w:rsidRPr="00624A96" w:rsidSect="004264D6">
      <w:headerReference w:type="default" r:id="rId9"/>
      <w:footerReference w:type="default" r:id="rId10"/>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5B644" w14:textId="77777777" w:rsidR="00CC58DD" w:rsidRDefault="00CC58DD" w:rsidP="00CF5CF4">
      <w:pPr>
        <w:spacing w:after="0" w:line="240" w:lineRule="auto"/>
      </w:pPr>
      <w:r>
        <w:separator/>
      </w:r>
    </w:p>
  </w:endnote>
  <w:endnote w:type="continuationSeparator" w:id="0">
    <w:p w14:paraId="3E8EED10" w14:textId="77777777" w:rsidR="00CC58DD" w:rsidRDefault="00CC58DD"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8C886" w14:textId="77777777" w:rsidR="004264D6" w:rsidRDefault="004264D6">
    <w:pPr>
      <w:pStyle w:val="Porat"/>
    </w:pPr>
  </w:p>
  <w:p w14:paraId="1BA19360" w14:textId="77777777" w:rsidR="004264D6" w:rsidRDefault="004264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90537" w14:textId="77777777" w:rsidR="00CC58DD" w:rsidRDefault="00CC58DD" w:rsidP="00CF5CF4">
      <w:pPr>
        <w:spacing w:after="0" w:line="240" w:lineRule="auto"/>
      </w:pPr>
      <w:r>
        <w:separator/>
      </w:r>
    </w:p>
  </w:footnote>
  <w:footnote w:type="continuationSeparator" w:id="0">
    <w:p w14:paraId="752A784D" w14:textId="77777777" w:rsidR="00CC58DD" w:rsidRDefault="00CC58DD" w:rsidP="00CF5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11993"/>
      <w:docPartObj>
        <w:docPartGallery w:val="Page Numbers (Top of Page)"/>
        <w:docPartUnique/>
      </w:docPartObj>
    </w:sdtPr>
    <w:sdtEndPr>
      <w:rPr>
        <w:rFonts w:ascii="Times New Roman" w:hAnsi="Times New Roman" w:cs="Times New Roman"/>
        <w:noProof/>
      </w:rPr>
    </w:sdtEndPr>
    <w:sdtContent>
      <w:p w14:paraId="440F4A1A" w14:textId="1330CAEA" w:rsidR="004264D6" w:rsidRPr="00CF5CF4" w:rsidRDefault="00521DF1">
        <w:pPr>
          <w:pStyle w:val="Antrats"/>
          <w:jc w:val="center"/>
          <w:rPr>
            <w:rFonts w:ascii="Times New Roman" w:hAnsi="Times New Roman" w:cs="Times New Roman"/>
          </w:rPr>
        </w:pPr>
        <w:r w:rsidRPr="00CF5CF4">
          <w:rPr>
            <w:rFonts w:ascii="Times New Roman" w:hAnsi="Times New Roman" w:cs="Times New Roman"/>
          </w:rPr>
          <w:fldChar w:fldCharType="begin"/>
        </w:r>
        <w:r w:rsidR="004264D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A64B9D">
          <w:rPr>
            <w:rFonts w:ascii="Times New Roman" w:hAnsi="Times New Roman" w:cs="Times New Roman"/>
            <w:noProof/>
          </w:rPr>
          <w:t>2</w:t>
        </w:r>
        <w:r w:rsidRPr="00CF5CF4">
          <w:rPr>
            <w:rFonts w:ascii="Times New Roman" w:hAnsi="Times New Roman" w:cs="Times New Roman"/>
            <w:noProof/>
          </w:rPr>
          <w:fldChar w:fldCharType="end"/>
        </w:r>
      </w:p>
    </w:sdtContent>
  </w:sdt>
  <w:p w14:paraId="199AAAA7" w14:textId="77777777" w:rsidR="004264D6" w:rsidRDefault="004264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4"/>
  </w:num>
  <w:num w:numId="4">
    <w:abstractNumId w:val="14"/>
  </w:num>
  <w:num w:numId="5">
    <w:abstractNumId w:val="22"/>
  </w:num>
  <w:num w:numId="6">
    <w:abstractNumId w:val="11"/>
  </w:num>
  <w:num w:numId="7">
    <w:abstractNumId w:val="15"/>
  </w:num>
  <w:num w:numId="8">
    <w:abstractNumId w:val="20"/>
  </w:num>
  <w:num w:numId="9">
    <w:abstractNumId w:val="1"/>
  </w:num>
  <w:num w:numId="10">
    <w:abstractNumId w:val="8"/>
  </w:num>
  <w:num w:numId="11">
    <w:abstractNumId w:val="0"/>
  </w:num>
  <w:num w:numId="12">
    <w:abstractNumId w:val="18"/>
  </w:num>
  <w:num w:numId="13">
    <w:abstractNumId w:val="5"/>
  </w:num>
  <w:num w:numId="14">
    <w:abstractNumId w:val="9"/>
  </w:num>
  <w:num w:numId="15">
    <w:abstractNumId w:val="23"/>
  </w:num>
  <w:num w:numId="16">
    <w:abstractNumId w:val="19"/>
  </w:num>
  <w:num w:numId="17">
    <w:abstractNumId w:val="3"/>
  </w:num>
  <w:num w:numId="18">
    <w:abstractNumId w:val="7"/>
  </w:num>
  <w:num w:numId="19">
    <w:abstractNumId w:val="17"/>
  </w:num>
  <w:num w:numId="20">
    <w:abstractNumId w:val="6"/>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13"/>
  </w:num>
  <w:num w:numId="24">
    <w:abstractNumId w:val="10"/>
  </w:num>
  <w:num w:numId="25">
    <w:abstractNumId w:val="1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2F6"/>
    <w:rsid w:val="000017A9"/>
    <w:rsid w:val="00005B73"/>
    <w:rsid w:val="000214C2"/>
    <w:rsid w:val="00027104"/>
    <w:rsid w:val="0003567D"/>
    <w:rsid w:val="00050A02"/>
    <w:rsid w:val="00052EFB"/>
    <w:rsid w:val="0005508C"/>
    <w:rsid w:val="00064347"/>
    <w:rsid w:val="0007515F"/>
    <w:rsid w:val="00082097"/>
    <w:rsid w:val="000916AF"/>
    <w:rsid w:val="000A3C6E"/>
    <w:rsid w:val="000A4628"/>
    <w:rsid w:val="000A6215"/>
    <w:rsid w:val="000D3DFD"/>
    <w:rsid w:val="000E264B"/>
    <w:rsid w:val="0012102F"/>
    <w:rsid w:val="001256E0"/>
    <w:rsid w:val="0013293A"/>
    <w:rsid w:val="0013333A"/>
    <w:rsid w:val="00133403"/>
    <w:rsid w:val="00133F3C"/>
    <w:rsid w:val="00144ED2"/>
    <w:rsid w:val="00160AE2"/>
    <w:rsid w:val="00164B9C"/>
    <w:rsid w:val="00170F59"/>
    <w:rsid w:val="00187398"/>
    <w:rsid w:val="001954FD"/>
    <w:rsid w:val="0019635B"/>
    <w:rsid w:val="001A1195"/>
    <w:rsid w:val="001A6056"/>
    <w:rsid w:val="001A6EAD"/>
    <w:rsid w:val="001B0BDE"/>
    <w:rsid w:val="001B2112"/>
    <w:rsid w:val="00212785"/>
    <w:rsid w:val="00214271"/>
    <w:rsid w:val="00224380"/>
    <w:rsid w:val="00227F3C"/>
    <w:rsid w:val="00230059"/>
    <w:rsid w:val="00232B0A"/>
    <w:rsid w:val="002421B6"/>
    <w:rsid w:val="00247764"/>
    <w:rsid w:val="0025298C"/>
    <w:rsid w:val="00267226"/>
    <w:rsid w:val="0027410A"/>
    <w:rsid w:val="00284661"/>
    <w:rsid w:val="002924C1"/>
    <w:rsid w:val="0029535C"/>
    <w:rsid w:val="002D1A81"/>
    <w:rsid w:val="002D4B59"/>
    <w:rsid w:val="002E06DA"/>
    <w:rsid w:val="002F3B21"/>
    <w:rsid w:val="0030434F"/>
    <w:rsid w:val="003104D6"/>
    <w:rsid w:val="00310624"/>
    <w:rsid w:val="00320F28"/>
    <w:rsid w:val="00323262"/>
    <w:rsid w:val="0033160A"/>
    <w:rsid w:val="003347C5"/>
    <w:rsid w:val="003363EB"/>
    <w:rsid w:val="003447EC"/>
    <w:rsid w:val="0034578A"/>
    <w:rsid w:val="00357005"/>
    <w:rsid w:val="0035703A"/>
    <w:rsid w:val="003702EB"/>
    <w:rsid w:val="00372F2E"/>
    <w:rsid w:val="00394829"/>
    <w:rsid w:val="003A0F55"/>
    <w:rsid w:val="003A15C8"/>
    <w:rsid w:val="003A2EC2"/>
    <w:rsid w:val="003A432A"/>
    <w:rsid w:val="003A713B"/>
    <w:rsid w:val="003B16A5"/>
    <w:rsid w:val="003B2A52"/>
    <w:rsid w:val="003B569F"/>
    <w:rsid w:val="003B73C5"/>
    <w:rsid w:val="003C5CB9"/>
    <w:rsid w:val="003D0474"/>
    <w:rsid w:val="003D5C5B"/>
    <w:rsid w:val="003E21AB"/>
    <w:rsid w:val="003E5501"/>
    <w:rsid w:val="003F223A"/>
    <w:rsid w:val="0041170B"/>
    <w:rsid w:val="00414034"/>
    <w:rsid w:val="00415F7A"/>
    <w:rsid w:val="00421684"/>
    <w:rsid w:val="004264D6"/>
    <w:rsid w:val="0042777F"/>
    <w:rsid w:val="00432FD5"/>
    <w:rsid w:val="00462961"/>
    <w:rsid w:val="004A0AFF"/>
    <w:rsid w:val="004A29D1"/>
    <w:rsid w:val="004B72F9"/>
    <w:rsid w:val="004D0673"/>
    <w:rsid w:val="004D24A9"/>
    <w:rsid w:val="004E2FA6"/>
    <w:rsid w:val="004E6F1D"/>
    <w:rsid w:val="004F1BCE"/>
    <w:rsid w:val="004F30A2"/>
    <w:rsid w:val="004F6542"/>
    <w:rsid w:val="0050693C"/>
    <w:rsid w:val="00521DF1"/>
    <w:rsid w:val="00531A88"/>
    <w:rsid w:val="00537714"/>
    <w:rsid w:val="00543D8C"/>
    <w:rsid w:val="0054609A"/>
    <w:rsid w:val="00550917"/>
    <w:rsid w:val="005555DF"/>
    <w:rsid w:val="0057253D"/>
    <w:rsid w:val="00572E65"/>
    <w:rsid w:val="005736A1"/>
    <w:rsid w:val="005A4804"/>
    <w:rsid w:val="005B1CF8"/>
    <w:rsid w:val="005B327C"/>
    <w:rsid w:val="005E4C0E"/>
    <w:rsid w:val="005E7E30"/>
    <w:rsid w:val="005F32EE"/>
    <w:rsid w:val="005F7D75"/>
    <w:rsid w:val="00601BD6"/>
    <w:rsid w:val="0061735B"/>
    <w:rsid w:val="006239EB"/>
    <w:rsid w:val="00624A96"/>
    <w:rsid w:val="00650989"/>
    <w:rsid w:val="00653C6A"/>
    <w:rsid w:val="006549E6"/>
    <w:rsid w:val="0068331C"/>
    <w:rsid w:val="006900D8"/>
    <w:rsid w:val="006A0540"/>
    <w:rsid w:val="006A10F9"/>
    <w:rsid w:val="006A4E4D"/>
    <w:rsid w:val="006A7434"/>
    <w:rsid w:val="006B60B8"/>
    <w:rsid w:val="006B79E6"/>
    <w:rsid w:val="006C2F47"/>
    <w:rsid w:val="006C75CC"/>
    <w:rsid w:val="006D125D"/>
    <w:rsid w:val="006D6609"/>
    <w:rsid w:val="006E1CD1"/>
    <w:rsid w:val="006F27CF"/>
    <w:rsid w:val="006F5698"/>
    <w:rsid w:val="007049F6"/>
    <w:rsid w:val="00727B1F"/>
    <w:rsid w:val="00732818"/>
    <w:rsid w:val="00746C01"/>
    <w:rsid w:val="00747D2D"/>
    <w:rsid w:val="00751EBB"/>
    <w:rsid w:val="00756636"/>
    <w:rsid w:val="007775D6"/>
    <w:rsid w:val="007876B4"/>
    <w:rsid w:val="007A03F6"/>
    <w:rsid w:val="007A1C66"/>
    <w:rsid w:val="007A4396"/>
    <w:rsid w:val="007A6C01"/>
    <w:rsid w:val="007B21A9"/>
    <w:rsid w:val="007B5A60"/>
    <w:rsid w:val="007B7688"/>
    <w:rsid w:val="007C3D50"/>
    <w:rsid w:val="007C495A"/>
    <w:rsid w:val="007E17CE"/>
    <w:rsid w:val="00803808"/>
    <w:rsid w:val="00805F50"/>
    <w:rsid w:val="008061B0"/>
    <w:rsid w:val="00806D66"/>
    <w:rsid w:val="00833ECF"/>
    <w:rsid w:val="00841E76"/>
    <w:rsid w:val="008525B1"/>
    <w:rsid w:val="00856A67"/>
    <w:rsid w:val="00862189"/>
    <w:rsid w:val="0086386F"/>
    <w:rsid w:val="00872478"/>
    <w:rsid w:val="0088269E"/>
    <w:rsid w:val="008919CD"/>
    <w:rsid w:val="0089367C"/>
    <w:rsid w:val="008A2B95"/>
    <w:rsid w:val="008A5A12"/>
    <w:rsid w:val="008B0496"/>
    <w:rsid w:val="008B64AE"/>
    <w:rsid w:val="008C0F19"/>
    <w:rsid w:val="008C1C52"/>
    <w:rsid w:val="008C322C"/>
    <w:rsid w:val="008F03B1"/>
    <w:rsid w:val="009124DE"/>
    <w:rsid w:val="00912A9E"/>
    <w:rsid w:val="009241D6"/>
    <w:rsid w:val="0093542F"/>
    <w:rsid w:val="00957DFF"/>
    <w:rsid w:val="0097037C"/>
    <w:rsid w:val="00975417"/>
    <w:rsid w:val="00985BA9"/>
    <w:rsid w:val="009903DB"/>
    <w:rsid w:val="009962DD"/>
    <w:rsid w:val="009A5EEC"/>
    <w:rsid w:val="009C2DA0"/>
    <w:rsid w:val="009C6EAA"/>
    <w:rsid w:val="009C7014"/>
    <w:rsid w:val="009D0A8E"/>
    <w:rsid w:val="009E5899"/>
    <w:rsid w:val="009F4EA1"/>
    <w:rsid w:val="009F7B62"/>
    <w:rsid w:val="00A0788E"/>
    <w:rsid w:val="00A12C1E"/>
    <w:rsid w:val="00A20E0F"/>
    <w:rsid w:val="00A222B4"/>
    <w:rsid w:val="00A34238"/>
    <w:rsid w:val="00A3647F"/>
    <w:rsid w:val="00A4712A"/>
    <w:rsid w:val="00A64B9D"/>
    <w:rsid w:val="00A93896"/>
    <w:rsid w:val="00AA22B2"/>
    <w:rsid w:val="00AA7E71"/>
    <w:rsid w:val="00AC3AE3"/>
    <w:rsid w:val="00AE6D73"/>
    <w:rsid w:val="00AF0A23"/>
    <w:rsid w:val="00B00017"/>
    <w:rsid w:val="00B141D2"/>
    <w:rsid w:val="00B2035A"/>
    <w:rsid w:val="00B3246F"/>
    <w:rsid w:val="00B339AB"/>
    <w:rsid w:val="00B4643D"/>
    <w:rsid w:val="00B56B5D"/>
    <w:rsid w:val="00BA6431"/>
    <w:rsid w:val="00BA69B6"/>
    <w:rsid w:val="00BB071A"/>
    <w:rsid w:val="00BC14FA"/>
    <w:rsid w:val="00BC2F49"/>
    <w:rsid w:val="00BC4B5E"/>
    <w:rsid w:val="00BE57EC"/>
    <w:rsid w:val="00BE5CE7"/>
    <w:rsid w:val="00BF4D8F"/>
    <w:rsid w:val="00C057BF"/>
    <w:rsid w:val="00C14D01"/>
    <w:rsid w:val="00C3148F"/>
    <w:rsid w:val="00C33566"/>
    <w:rsid w:val="00C35D53"/>
    <w:rsid w:val="00C62D05"/>
    <w:rsid w:val="00C64040"/>
    <w:rsid w:val="00C66BA8"/>
    <w:rsid w:val="00C702D0"/>
    <w:rsid w:val="00C72583"/>
    <w:rsid w:val="00C8385E"/>
    <w:rsid w:val="00C83874"/>
    <w:rsid w:val="00C97BF9"/>
    <w:rsid w:val="00CA1755"/>
    <w:rsid w:val="00CB13D1"/>
    <w:rsid w:val="00CB4D3A"/>
    <w:rsid w:val="00CC02DB"/>
    <w:rsid w:val="00CC0A8A"/>
    <w:rsid w:val="00CC2C58"/>
    <w:rsid w:val="00CC58DD"/>
    <w:rsid w:val="00CD1E5A"/>
    <w:rsid w:val="00CE35D1"/>
    <w:rsid w:val="00CE74A4"/>
    <w:rsid w:val="00CF5CF4"/>
    <w:rsid w:val="00CF7C64"/>
    <w:rsid w:val="00D0120E"/>
    <w:rsid w:val="00D12938"/>
    <w:rsid w:val="00D1742D"/>
    <w:rsid w:val="00D232F6"/>
    <w:rsid w:val="00D23ABA"/>
    <w:rsid w:val="00D3000F"/>
    <w:rsid w:val="00D444F9"/>
    <w:rsid w:val="00D61A22"/>
    <w:rsid w:val="00D66D5E"/>
    <w:rsid w:val="00D83645"/>
    <w:rsid w:val="00D845B1"/>
    <w:rsid w:val="00D852D2"/>
    <w:rsid w:val="00D86EB2"/>
    <w:rsid w:val="00D87DEF"/>
    <w:rsid w:val="00D924E8"/>
    <w:rsid w:val="00D92733"/>
    <w:rsid w:val="00D974EC"/>
    <w:rsid w:val="00DA0E87"/>
    <w:rsid w:val="00DA1B54"/>
    <w:rsid w:val="00DA28F6"/>
    <w:rsid w:val="00DA6DEC"/>
    <w:rsid w:val="00DB0C49"/>
    <w:rsid w:val="00DB37B3"/>
    <w:rsid w:val="00DB7572"/>
    <w:rsid w:val="00DD1124"/>
    <w:rsid w:val="00DE1BB7"/>
    <w:rsid w:val="00DE330A"/>
    <w:rsid w:val="00DE5980"/>
    <w:rsid w:val="00E079BC"/>
    <w:rsid w:val="00E15751"/>
    <w:rsid w:val="00E24DB3"/>
    <w:rsid w:val="00E32D27"/>
    <w:rsid w:val="00E36B9A"/>
    <w:rsid w:val="00E45E72"/>
    <w:rsid w:val="00E53833"/>
    <w:rsid w:val="00E57CAD"/>
    <w:rsid w:val="00E63A88"/>
    <w:rsid w:val="00E7457A"/>
    <w:rsid w:val="00E74C99"/>
    <w:rsid w:val="00E75A99"/>
    <w:rsid w:val="00E80D09"/>
    <w:rsid w:val="00E841F7"/>
    <w:rsid w:val="00E91C59"/>
    <w:rsid w:val="00E9489F"/>
    <w:rsid w:val="00E951F4"/>
    <w:rsid w:val="00EA4001"/>
    <w:rsid w:val="00EA5EAF"/>
    <w:rsid w:val="00EE4780"/>
    <w:rsid w:val="00F0258F"/>
    <w:rsid w:val="00F15A11"/>
    <w:rsid w:val="00F2066E"/>
    <w:rsid w:val="00F221F0"/>
    <w:rsid w:val="00F238BB"/>
    <w:rsid w:val="00F257FE"/>
    <w:rsid w:val="00F6599B"/>
    <w:rsid w:val="00F6701A"/>
    <w:rsid w:val="00F7264D"/>
    <w:rsid w:val="00F752C0"/>
    <w:rsid w:val="00F84CF5"/>
    <w:rsid w:val="00F912D9"/>
    <w:rsid w:val="00F92A13"/>
    <w:rsid w:val="00F92C90"/>
    <w:rsid w:val="00F94171"/>
    <w:rsid w:val="00F9572D"/>
    <w:rsid w:val="00FA23EC"/>
    <w:rsid w:val="00FA697F"/>
    <w:rsid w:val="00FC3BE5"/>
    <w:rsid w:val="00FC6331"/>
    <w:rsid w:val="00FD1557"/>
    <w:rsid w:val="00FD176B"/>
    <w:rsid w:val="00FE3034"/>
    <w:rsid w:val="00FE5962"/>
    <w:rsid w:val="00FE6F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basedOn w:val="prastasis"/>
    <w:link w:val="KomentarotekstasDiagrama"/>
    <w:uiPriority w:val="99"/>
    <w:semiHidden/>
    <w:unhideWhenUsed/>
    <w:rsid w:val="0028466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AE7AB-9842-442B-B47A-1094430C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15274</Words>
  <Characters>8707</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dc:creator>
  <cp:lastModifiedBy>Simona Gerybė</cp:lastModifiedBy>
  <cp:revision>2</cp:revision>
  <cp:lastPrinted>2015-11-04T12:32:00Z</cp:lastPrinted>
  <dcterms:created xsi:type="dcterms:W3CDTF">2016-07-13T13:00:00Z</dcterms:created>
  <dcterms:modified xsi:type="dcterms:W3CDTF">2016-07-13T13:00:00Z</dcterms:modified>
</cp:coreProperties>
</file>