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E2" w:rsidRDefault="00A0534D" w:rsidP="002138A0">
      <w:pPr>
        <w:tabs>
          <w:tab w:val="left" w:pos="6379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9A002B">
        <w:rPr>
          <w:rFonts w:ascii="Times New Roman" w:hAnsi="Times New Roman"/>
          <w:sz w:val="23"/>
          <w:szCs w:val="23"/>
        </w:rPr>
        <w:t xml:space="preserve">2014–2020 metų Europos Sąjungos </w:t>
      </w:r>
      <w:r>
        <w:rPr>
          <w:rFonts w:ascii="Times New Roman" w:hAnsi="Times New Roman"/>
          <w:sz w:val="23"/>
          <w:szCs w:val="23"/>
        </w:rPr>
        <w:t xml:space="preserve">fondų </w:t>
      </w:r>
      <w:r w:rsidRPr="009A002B">
        <w:rPr>
          <w:rFonts w:ascii="Times New Roman" w:hAnsi="Times New Roman"/>
          <w:sz w:val="23"/>
          <w:szCs w:val="23"/>
        </w:rPr>
        <w:t>investicijų veiksmų programos 6 prioriteto „Darn</w:t>
      </w:r>
      <w:r>
        <w:rPr>
          <w:rFonts w:ascii="Times New Roman" w:hAnsi="Times New Roman"/>
          <w:sz w:val="23"/>
          <w:szCs w:val="23"/>
        </w:rPr>
        <w:t>aus</w:t>
      </w:r>
      <w:r w:rsidRPr="009A002B">
        <w:rPr>
          <w:rFonts w:ascii="Times New Roman" w:hAnsi="Times New Roman"/>
          <w:sz w:val="23"/>
          <w:szCs w:val="23"/>
        </w:rPr>
        <w:t xml:space="preserve"> transporto, pagrindinių tinklų infrastruktūros </w:t>
      </w:r>
      <w:r>
        <w:rPr>
          <w:rFonts w:ascii="Times New Roman" w:hAnsi="Times New Roman"/>
          <w:sz w:val="23"/>
          <w:szCs w:val="23"/>
        </w:rPr>
        <w:t>plėtra</w:t>
      </w:r>
      <w:r w:rsidRPr="00A76985">
        <w:rPr>
          <w:rFonts w:ascii="Times New Roman" w:hAnsi="Times New Roman"/>
          <w:sz w:val="23"/>
          <w:szCs w:val="23"/>
        </w:rPr>
        <w:t>“ 06.1.1-TID-V-506 priemonės „Aplinkosaugos ir skrydžių saugos tobulinimas tarptautiniame oro uoste“ projektų</w:t>
      </w:r>
      <w:r w:rsidRPr="009A002B">
        <w:rPr>
          <w:rFonts w:ascii="Times New Roman" w:hAnsi="Times New Roman"/>
          <w:sz w:val="23"/>
          <w:szCs w:val="23"/>
        </w:rPr>
        <w:t xml:space="preserve"> finansavimo sąlygų aprašo pagrindimo</w:t>
      </w:r>
      <w:r w:rsidR="00AC48E2" w:rsidRPr="00A87A17">
        <w:rPr>
          <w:rFonts w:ascii="Times New Roman" w:hAnsi="Times New Roman"/>
          <w:sz w:val="24"/>
          <w:szCs w:val="24"/>
        </w:rPr>
        <w:t xml:space="preserve"> </w:t>
      </w:r>
    </w:p>
    <w:p w:rsidR="00AC48E2" w:rsidRDefault="00AC48E2" w:rsidP="002138A0">
      <w:pPr>
        <w:tabs>
          <w:tab w:val="left" w:pos="6379"/>
        </w:tabs>
        <w:spacing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A87A17">
        <w:rPr>
          <w:rFonts w:ascii="Times New Roman" w:hAnsi="Times New Roman"/>
          <w:sz w:val="24"/>
          <w:szCs w:val="24"/>
        </w:rPr>
        <w:t>2 priedas</w:t>
      </w:r>
    </w:p>
    <w:p w:rsidR="00D270DE" w:rsidRPr="00881C29" w:rsidRDefault="00D270DE" w:rsidP="00193627">
      <w:pPr>
        <w:jc w:val="center"/>
        <w:rPr>
          <w:rFonts w:ascii="Times New Roman" w:hAnsi="Times New Roman"/>
          <w:b/>
          <w:sz w:val="24"/>
          <w:szCs w:val="24"/>
        </w:rPr>
      </w:pPr>
      <w:r w:rsidRPr="00881C29">
        <w:rPr>
          <w:rFonts w:ascii="Times New Roman" w:hAnsi="Times New Roman"/>
          <w:b/>
          <w:sz w:val="24"/>
          <w:szCs w:val="24"/>
        </w:rPr>
        <w:t xml:space="preserve">HORIZONTALIŲJŲ PRINCIPŲ </w:t>
      </w:r>
      <w:r w:rsidR="00487034" w:rsidRPr="00881C29">
        <w:rPr>
          <w:rFonts w:ascii="Times New Roman" w:hAnsi="Times New Roman"/>
          <w:b/>
          <w:sz w:val="24"/>
          <w:szCs w:val="24"/>
        </w:rPr>
        <w:t xml:space="preserve">TAIKYMO </w:t>
      </w:r>
      <w:r w:rsidR="00EE3E8D" w:rsidRPr="00881C29">
        <w:rPr>
          <w:rFonts w:ascii="Times New Roman" w:hAnsi="Times New Roman"/>
          <w:b/>
          <w:sz w:val="24"/>
          <w:szCs w:val="24"/>
        </w:rPr>
        <w:t>ANALIZĖ</w:t>
      </w:r>
    </w:p>
    <w:p w:rsidR="00F9793D" w:rsidRPr="00F6049C" w:rsidRDefault="00D81DF3" w:rsidP="00193627">
      <w:pPr>
        <w:pStyle w:val="Sraopastraip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6049C">
        <w:rPr>
          <w:rFonts w:ascii="Times New Roman" w:hAnsi="Times New Roman"/>
          <w:sz w:val="24"/>
          <w:szCs w:val="24"/>
        </w:rPr>
        <w:t xml:space="preserve">MOTERŲ IR VYRŲ </w:t>
      </w:r>
      <w:r w:rsidR="0052429A" w:rsidRPr="00F6049C">
        <w:rPr>
          <w:rFonts w:ascii="Times New Roman" w:hAnsi="Times New Roman"/>
          <w:sz w:val="24"/>
          <w:szCs w:val="24"/>
        </w:rPr>
        <w:t>LYGYBĖ</w:t>
      </w:r>
      <w:r w:rsidR="00193627" w:rsidRPr="00F6049C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58"/>
        <w:gridCol w:w="4799"/>
      </w:tblGrid>
      <w:tr w:rsidR="00D270DE" w:rsidRPr="00F6049C" w:rsidTr="00567D02">
        <w:tc>
          <w:tcPr>
            <w:tcW w:w="675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49C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D270DE" w:rsidRPr="00F6049C" w:rsidRDefault="00D270DE" w:rsidP="00F604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3635E" w:rsidRPr="00C421EE" w:rsidTr="00567D02">
        <w:trPr>
          <w:trHeight w:val="1573"/>
        </w:trPr>
        <w:tc>
          <w:tcPr>
            <w:tcW w:w="675" w:type="dxa"/>
            <w:shd w:val="clear" w:color="auto" w:fill="auto"/>
          </w:tcPr>
          <w:p w:rsidR="0013635E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1</w:t>
            </w:r>
            <w:r w:rsidR="0013635E" w:rsidRPr="00C42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shd w:val="clear" w:color="auto" w:fill="auto"/>
          </w:tcPr>
          <w:p w:rsidR="0013635E" w:rsidRPr="00C421EE" w:rsidRDefault="007C1C80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</w:t>
            </w:r>
            <w:r w:rsidR="006968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numatytose intervencijų srityse</w:t>
            </w:r>
            <w:r w:rsidR="00B705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</w:t>
            </w:r>
            <w:r w:rsidR="000820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naudos gavėjų grupėje</w:t>
            </w:r>
            <w:r w:rsidR="00B7052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3912F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yra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CF772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susiduriama su </w:t>
            </w:r>
            <w:r w:rsidR="00D81DF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nelygyb</w:t>
            </w:r>
            <w:r w:rsidR="00CF772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e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? </w:t>
            </w:r>
          </w:p>
        </w:tc>
        <w:tc>
          <w:tcPr>
            <w:tcW w:w="4926" w:type="dxa"/>
            <w:shd w:val="clear" w:color="auto" w:fill="auto"/>
          </w:tcPr>
          <w:p w:rsidR="00811276" w:rsidRPr="00C421EE" w:rsidRDefault="003F7104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Ne.</w:t>
            </w:r>
            <w:r w:rsidR="00316D0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090261" w:rsidRPr="00C421EE" w:rsidRDefault="006A4CC2" w:rsidP="005757DD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Projektų investicijos nukreiptos</w:t>
            </w:r>
            <w:r w:rsidR="00EA2B5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A677E9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į </w:t>
            </w:r>
            <w:r w:rsidR="00532C8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viešąją </w:t>
            </w:r>
            <w:r w:rsidR="005757DD" w:rsidRPr="005757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oro uostų 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infrastruktūrą, </w:t>
            </w:r>
            <w:r w:rsidR="005757DD" w:rsidRPr="005757DD">
              <w:rPr>
                <w:rFonts w:ascii="Times New Roman" w:hAnsi="Times New Roman"/>
                <w:spacing w:val="-4"/>
                <w:sz w:val="24"/>
                <w:szCs w:val="24"/>
              </w:rPr>
              <w:t>skirtą skrydžių saugos ir aviacijos saugumui didinti ir aplinkosaugai gerinti</w:t>
            </w:r>
            <w:r w:rsidR="005757DD"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.</w:t>
            </w:r>
          </w:p>
        </w:tc>
      </w:tr>
      <w:tr w:rsidR="0013635E" w:rsidRPr="00C421EE" w:rsidTr="00567D02">
        <w:tc>
          <w:tcPr>
            <w:tcW w:w="675" w:type="dxa"/>
            <w:shd w:val="clear" w:color="auto" w:fill="auto"/>
          </w:tcPr>
          <w:p w:rsidR="0013635E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13635E" w:rsidRPr="00C421EE" w:rsidRDefault="003912FE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2A3AE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602A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specialiųjų,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su </w:t>
            </w:r>
            <w:r w:rsidR="00D81DF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lygybe </w:t>
            </w:r>
            <w:r w:rsidR="008D28E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susijusių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poreikių?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Jei taip, ar į juos buvo atsižvelgta rengiant PFSA? 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Jei ne</w:t>
            </w:r>
            <w:r w:rsidR="000A491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atsižvelgta</w:t>
            </w:r>
            <w:r w:rsidR="008A63F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kodėl nebuvo į juos atsižvelgta</w:t>
            </w:r>
            <w:r w:rsidR="008B7E0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? </w:t>
            </w:r>
          </w:p>
        </w:tc>
        <w:tc>
          <w:tcPr>
            <w:tcW w:w="4926" w:type="dxa"/>
            <w:shd w:val="clear" w:color="auto" w:fill="auto"/>
          </w:tcPr>
          <w:p w:rsidR="00FA77D8" w:rsidRPr="00C421EE" w:rsidRDefault="00156CA4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Netaikoma. </w:t>
            </w:r>
          </w:p>
        </w:tc>
      </w:tr>
      <w:tr w:rsidR="00855D72" w:rsidRPr="00C421EE" w:rsidTr="00567D02">
        <w:tc>
          <w:tcPr>
            <w:tcW w:w="675" w:type="dxa"/>
            <w:shd w:val="clear" w:color="auto" w:fill="auto"/>
          </w:tcPr>
          <w:p w:rsidR="00855D72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855D72" w:rsidRPr="00C421EE" w:rsidRDefault="00860C2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nustatytomis sąlygomis nebus diskriminuojama dėl lyties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</w:t>
            </w:r>
            <w:r w:rsidR="00E611B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moterys ir vyrai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96324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lygiomis teisėmis </w:t>
            </w:r>
            <w:r w:rsidR="00855D7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galės pasinaudoti projekto metu sukurtais produktais ir rezultatais, taip pat dalyvauti projekto veiklose? </w:t>
            </w:r>
          </w:p>
        </w:tc>
        <w:tc>
          <w:tcPr>
            <w:tcW w:w="4926" w:type="dxa"/>
            <w:shd w:val="clear" w:color="auto" w:fill="auto"/>
          </w:tcPr>
          <w:p w:rsidR="0053561F" w:rsidRPr="00C421EE" w:rsidRDefault="008054D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</w:t>
            </w:r>
            <w:r w:rsidR="0053561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9E69E5" w:rsidRPr="00C421EE" w:rsidRDefault="00452FB4" w:rsidP="00532C8D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A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biejų lyčių atstovai galės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be apribojimų dalyvauti projekt</w:t>
            </w:r>
            <w:r w:rsidR="005757DD">
              <w:rPr>
                <w:rFonts w:ascii="Times New Roman" w:hAnsi="Times New Roman"/>
                <w:spacing w:val="-4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veiklose ir </w:t>
            </w:r>
            <w:r w:rsidR="00532C8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vienodai turėti naudos iš pagerintos infrastruktūros. </w:t>
            </w:r>
          </w:p>
        </w:tc>
      </w:tr>
    </w:tbl>
    <w:p w:rsidR="0077409A" w:rsidRPr="00C421EE" w:rsidRDefault="0077409A" w:rsidP="00C421EE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B70523" w:rsidRPr="00C421EE" w:rsidRDefault="00B70523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NEDISKRIMINAVIMAS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049"/>
        <w:gridCol w:w="4797"/>
      </w:tblGrid>
      <w:tr w:rsidR="00B70523" w:rsidRPr="00C421EE" w:rsidTr="002857B3">
        <w:tc>
          <w:tcPr>
            <w:tcW w:w="791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137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B70523" w:rsidRPr="00C421EE" w:rsidRDefault="00B70523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A2B5A" w:rsidRPr="00C421EE" w:rsidTr="002857B3">
        <w:tc>
          <w:tcPr>
            <w:tcW w:w="791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137" w:type="dxa"/>
            <w:shd w:val="clear" w:color="auto" w:fill="auto"/>
          </w:tcPr>
          <w:p w:rsidR="00EA2B5A" w:rsidRPr="00C421EE" w:rsidRDefault="00EA2B5A" w:rsidP="00452FB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PFSA numatytose intervencijų srityse (naudos gavėjų grupėje) yra susiduriama su diskriminavimu dėl rasės, tautybės, kalbos, kilmės, socialinės padėties, tikėjimo, įsitikinimų ar pažiūrų, amžiaus, negalios, lytinės orientacijos, etninės priklausomybės, religijos?</w:t>
            </w:r>
          </w:p>
        </w:tc>
        <w:tc>
          <w:tcPr>
            <w:tcW w:w="4926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EA2B5A" w:rsidRPr="00C421EE" w:rsidRDefault="00D81C11" w:rsidP="00D81C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Projektų investicijos nukreiptos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viešąją </w:t>
            </w:r>
            <w:r w:rsidRPr="005757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oro uostų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infrastruktūrą, </w:t>
            </w:r>
            <w:r w:rsidRPr="005757DD">
              <w:rPr>
                <w:rFonts w:ascii="Times New Roman" w:hAnsi="Times New Roman"/>
                <w:spacing w:val="-4"/>
                <w:sz w:val="24"/>
                <w:szCs w:val="24"/>
              </w:rPr>
              <w:t>skirtą skrydžių saugos ir aviacijos saugumui didinti ir aplinkosaugai gerinti</w:t>
            </w:r>
            <w:r>
              <w:rPr>
                <w:rFonts w:ascii="Times New Roman" w:hAnsi="Times New Roman"/>
                <w:i/>
                <w:color w:val="000000"/>
                <w:sz w:val="23"/>
                <w:szCs w:val="23"/>
              </w:rPr>
              <w:t>.</w:t>
            </w:r>
          </w:p>
        </w:tc>
      </w:tr>
      <w:tr w:rsidR="00EA2B5A" w:rsidRPr="00C421EE" w:rsidTr="002857B3">
        <w:tc>
          <w:tcPr>
            <w:tcW w:w="791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37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intervencijos naudos gavėjų grupė turi (gali turėti) specialiųjų, su nediskriminavimu susijusių poreikių?  Jei taip, ar į juos buvo atsižvelgta rengiant PFSA? Jei neatsižvelgta, kodėl nebuvo į juos atsižvelgta? </w:t>
            </w:r>
          </w:p>
        </w:tc>
        <w:tc>
          <w:tcPr>
            <w:tcW w:w="4926" w:type="dxa"/>
            <w:shd w:val="clear" w:color="auto" w:fill="auto"/>
          </w:tcPr>
          <w:p w:rsidR="00EA2B5A" w:rsidRPr="00C421EE" w:rsidRDefault="00EA2B5A" w:rsidP="00C421EE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Netaikoma. </w:t>
            </w:r>
          </w:p>
        </w:tc>
      </w:tr>
      <w:tr w:rsidR="00EA2B5A" w:rsidRPr="00C421EE" w:rsidTr="002857B3">
        <w:tc>
          <w:tcPr>
            <w:tcW w:w="791" w:type="dxa"/>
            <w:shd w:val="clear" w:color="auto" w:fill="auto"/>
          </w:tcPr>
          <w:p w:rsidR="00EA2B5A" w:rsidRPr="00C421EE" w:rsidRDefault="00EA2B5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37" w:type="dxa"/>
            <w:shd w:val="clear" w:color="auto" w:fill="auto"/>
          </w:tcPr>
          <w:p w:rsidR="00EA2B5A" w:rsidRPr="00C421EE" w:rsidRDefault="00EA2B5A" w:rsidP="007A7BE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nustatytomis sąlygomis nebus diskriminuojamos visuomenės grupės dėl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rasės, tautybės, kalbos, kilmės, socialinės padėties, tikėjimo, įsitikinimų ar pažiūrų, amžiaus, negalios, lytinės orientacijos, etninės priklausomybės, religijos</w:t>
            </w:r>
            <w:bookmarkStart w:id="0" w:name="_GoBack"/>
            <w:bookmarkEnd w:id="0"/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visos grupės galės pasinaudoti projekto metu sukurtais produktais ir rezultatais, taip pat dalyvauti projekto veiklose? </w:t>
            </w:r>
          </w:p>
        </w:tc>
        <w:tc>
          <w:tcPr>
            <w:tcW w:w="4926" w:type="dxa"/>
            <w:shd w:val="clear" w:color="auto" w:fill="auto"/>
          </w:tcPr>
          <w:p w:rsidR="009F2BE0" w:rsidRPr="00C421EE" w:rsidRDefault="009F2BE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Taip.</w:t>
            </w:r>
          </w:p>
          <w:p w:rsidR="00EA2B5A" w:rsidRPr="00C421EE" w:rsidRDefault="00452FB4" w:rsidP="00D81C11">
            <w:pPr>
              <w:spacing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V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isų visuomenės grupių atstovai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galės </w:t>
            </w:r>
            <w:r w:rsidR="00D81C11">
              <w:rPr>
                <w:rFonts w:ascii="Times New Roman" w:hAnsi="Times New Roman"/>
                <w:spacing w:val="-4"/>
                <w:sz w:val="24"/>
                <w:szCs w:val="24"/>
              </w:rPr>
              <w:t>be apribojimų dalyvauti projektų veiklose ir vienodai turėti naudos iš pagerintos infrastruktūros.</w:t>
            </w:r>
          </w:p>
        </w:tc>
      </w:tr>
    </w:tbl>
    <w:p w:rsidR="003B54E9" w:rsidRPr="00C421EE" w:rsidRDefault="003B54E9" w:rsidP="00C421EE">
      <w:pPr>
        <w:pStyle w:val="Sraopastraipa"/>
        <w:ind w:left="1080"/>
        <w:jc w:val="both"/>
        <w:rPr>
          <w:rFonts w:ascii="Times New Roman" w:hAnsi="Times New Roman"/>
          <w:sz w:val="24"/>
          <w:szCs w:val="24"/>
        </w:rPr>
      </w:pPr>
    </w:p>
    <w:p w:rsidR="0052429A" w:rsidRPr="00C421EE" w:rsidRDefault="0052429A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UNIVERSALAUS DIZAINO PRINCIPAS: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5"/>
        <w:gridCol w:w="4803"/>
      </w:tblGrid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33F15" w:rsidRPr="00C421EE" w:rsidTr="008B1DF1">
        <w:tc>
          <w:tcPr>
            <w:tcW w:w="675" w:type="dxa"/>
            <w:shd w:val="clear" w:color="auto" w:fill="auto"/>
          </w:tcPr>
          <w:p w:rsidR="00333F15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  <w:shd w:val="clear" w:color="auto" w:fill="auto"/>
          </w:tcPr>
          <w:p w:rsidR="00333F15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D803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 poreikių, kuriuos padėtų išspręsti universalaus dizaino principo taikymas? </w:t>
            </w:r>
          </w:p>
        </w:tc>
        <w:tc>
          <w:tcPr>
            <w:tcW w:w="4926" w:type="dxa"/>
            <w:shd w:val="clear" w:color="auto" w:fill="auto"/>
          </w:tcPr>
          <w:p w:rsidR="00B01081" w:rsidRPr="00C421EE" w:rsidRDefault="00B01081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090261" w:rsidRPr="00C421EE" w:rsidRDefault="00E53BC1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 xml:space="preserve">Kadangi </w:t>
            </w:r>
            <w:r w:rsidR="0071537C" w:rsidRPr="00C421EE">
              <w:rPr>
                <w:rFonts w:ascii="Times New Roman" w:hAnsi="Times New Roman"/>
                <w:sz w:val="24"/>
                <w:szCs w:val="24"/>
              </w:rPr>
              <w:t xml:space="preserve">intervencijos sritį detaliai reglamentuoja norminiai dokumentai, </w:t>
            </w:r>
            <w:r w:rsidRPr="00C421EE">
              <w:rPr>
                <w:rFonts w:ascii="Times New Roman" w:hAnsi="Times New Roman"/>
                <w:sz w:val="24"/>
                <w:szCs w:val="24"/>
              </w:rPr>
              <w:t>nėra poreiki</w:t>
            </w:r>
            <w:r w:rsidR="0071537C" w:rsidRPr="00C421EE">
              <w:rPr>
                <w:rFonts w:ascii="Times New Roman" w:hAnsi="Times New Roman"/>
                <w:sz w:val="24"/>
                <w:szCs w:val="24"/>
              </w:rPr>
              <w:t xml:space="preserve">o PFSA numatyti papildomų reikalavimų dėl universalaus </w:t>
            </w:r>
            <w:r w:rsidRPr="00C421EE">
              <w:rPr>
                <w:rFonts w:ascii="Times New Roman" w:hAnsi="Times New Roman"/>
                <w:sz w:val="24"/>
                <w:szCs w:val="24"/>
              </w:rPr>
              <w:t>dizaino principo</w:t>
            </w:r>
            <w:r w:rsidR="0071537C" w:rsidRPr="00C421EE">
              <w:rPr>
                <w:rFonts w:ascii="Times New Roman" w:hAnsi="Times New Roman"/>
                <w:sz w:val="24"/>
                <w:szCs w:val="24"/>
              </w:rPr>
              <w:t xml:space="preserve"> taikymo</w:t>
            </w:r>
            <w:r w:rsidRPr="00C421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</w:t>
            </w:r>
            <w:r w:rsidR="00683C40" w:rsidRPr="00C421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333F1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Jei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intervencijos naudos gavėjų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grupė turi </w:t>
            </w:r>
            <w:r w:rsidR="00D8035E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(gali turėti)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specialiųjų poreikių, susijusių su universalaus dizaino principo taikymu,  </w:t>
            </w:r>
            <w:r w:rsidR="00A7622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ar rengiant PFSA į tai buvo atsižvelgta ir PFSA nustatyti konkretūs reikalavimai dėl universalaus dizaino principo taikymo</w:t>
            </w:r>
            <w:r w:rsidR="00683C4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t. y. </w:t>
            </w:r>
            <w:r w:rsidR="002F577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užtikrinantys, kad projekto veiklose galėtų dalyvauti ir jų rezultatais bei sukurtais produktais (gaminių, paslaugų, aplinkos) galėtų naudotis visi žmonės kuo platesniu mastu nepriklausomai nuo jų funkcinių galimybių </w:t>
            </w:r>
            <w:r w:rsidR="00683C4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  <w:r w:rsidR="00D433CF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Jei neatsižvelgta,</w:t>
            </w:r>
            <w:r w:rsidR="00A7622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kodėl nebuvo į juos atsižvelgta ir PFSA nebuvo nustatyti minėti reikalavimai?</w:t>
            </w:r>
          </w:p>
        </w:tc>
        <w:tc>
          <w:tcPr>
            <w:tcW w:w="4926" w:type="dxa"/>
            <w:shd w:val="clear" w:color="auto" w:fill="auto"/>
          </w:tcPr>
          <w:p w:rsidR="008A5ED0" w:rsidRPr="00C421EE" w:rsidRDefault="00410DA5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Netaikoma. </w:t>
            </w:r>
            <w:r w:rsidR="00AD183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</w:p>
        </w:tc>
      </w:tr>
      <w:tr w:rsidR="00D12A51" w:rsidRPr="00C421EE" w:rsidTr="008B1DF1">
        <w:tc>
          <w:tcPr>
            <w:tcW w:w="675" w:type="dxa"/>
            <w:shd w:val="clear" w:color="auto" w:fill="auto"/>
          </w:tcPr>
          <w:p w:rsidR="00D12A51" w:rsidRPr="00C421EE" w:rsidRDefault="00D12A51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D12A51" w:rsidRPr="00C421EE" w:rsidRDefault="00272B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</w:t>
            </w:r>
            <w:r w:rsidR="001974D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yra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nustatyti reikalavimai</w:t>
            </w:r>
            <w:r w:rsidR="001974D7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CD5ABC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užtikrinantys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kad projektuose kuriama infrastruktūra turi būti pritaikyta visoms visuomenės grupėms</w:t>
            </w:r>
            <w:r w:rsidR="00E42B74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(atnaujinant viešąją infrastruktūrą šie reikalavimai yra privalomi)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</w:p>
        </w:tc>
        <w:tc>
          <w:tcPr>
            <w:tcW w:w="4926" w:type="dxa"/>
            <w:shd w:val="clear" w:color="auto" w:fill="auto"/>
          </w:tcPr>
          <w:p w:rsidR="009F2BE0" w:rsidRPr="00DC4ED9" w:rsidRDefault="009F2BE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C4ED9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412A18" w:rsidRPr="00DC4ED9" w:rsidRDefault="00DC4ED9" w:rsidP="006A4CC2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DC4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yra nustatyta,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kad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C4ED9">
              <w:rPr>
                <w:rFonts w:ascii="Times New Roman" w:hAnsi="Times New Roman"/>
                <w:sz w:val="24"/>
                <w:szCs w:val="24"/>
              </w:rPr>
              <w:t>rojekt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DC4ED9">
              <w:rPr>
                <w:rFonts w:ascii="Times New Roman" w:hAnsi="Times New Roman"/>
                <w:sz w:val="24"/>
                <w:szCs w:val="24"/>
              </w:rPr>
              <w:t xml:space="preserve"> investicijos turi būti skirtos viešajai transporto infrastruktūrai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pritaikytai </w:t>
            </w:r>
            <w:r w:rsidR="00B01081" w:rsidRPr="00DC4ED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naudotis </w:t>
            </w:r>
            <w:r w:rsidR="00995103" w:rsidRPr="00DC4ED9">
              <w:rPr>
                <w:rFonts w:ascii="Times New Roman" w:hAnsi="Times New Roman"/>
                <w:spacing w:val="-4"/>
                <w:sz w:val="24"/>
                <w:szCs w:val="24"/>
              </w:rPr>
              <w:t>visų visuomenės grupių atstova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ms</w:t>
            </w:r>
            <w:r w:rsidR="006A4CC2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="006A4CC2" w:rsidRPr="00DC4ED9">
              <w:rPr>
                <w:rFonts w:ascii="Times New Roman" w:hAnsi="Times New Roman"/>
                <w:sz w:val="24"/>
                <w:szCs w:val="24"/>
              </w:rPr>
              <w:t xml:space="preserve"> rekonstruoti ir (ar) sukurti</w:t>
            </w:r>
            <w:r w:rsidR="00B01081" w:rsidRPr="00DC4ED9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C421EE" w:rsidRPr="00C421EE" w:rsidRDefault="00C421EE" w:rsidP="00C421EE">
      <w:pPr>
        <w:jc w:val="both"/>
        <w:rPr>
          <w:rFonts w:ascii="Times New Roman" w:hAnsi="Times New Roman"/>
          <w:sz w:val="24"/>
          <w:szCs w:val="24"/>
        </w:rPr>
      </w:pPr>
    </w:p>
    <w:p w:rsidR="007034FF" w:rsidRPr="00C421EE" w:rsidRDefault="00354B80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DARNUS VYSTYMASIS</w:t>
      </w:r>
      <w:r w:rsidR="0052429A" w:rsidRPr="00C421E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60"/>
        <w:gridCol w:w="4797"/>
      </w:tblGrid>
      <w:tr w:rsidR="005362FF" w:rsidRPr="00C421EE" w:rsidTr="008B1DF1">
        <w:tc>
          <w:tcPr>
            <w:tcW w:w="675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362FF" w:rsidRPr="00C421EE" w:rsidTr="008B1DF1">
        <w:tc>
          <w:tcPr>
            <w:tcW w:w="675" w:type="dxa"/>
            <w:vMerge w:val="restart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Ar PFSA nėra numatyta veiklų, kurios turėtų neigiamą poveikį darnaus vystymosi principo įgyvendinimui</w:t>
            </w:r>
            <w:r w:rsidR="00754224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4926" w:type="dxa"/>
            <w:vMerge w:val="restart"/>
            <w:shd w:val="clear" w:color="auto" w:fill="auto"/>
          </w:tcPr>
          <w:p w:rsidR="00B01081" w:rsidRPr="00C421EE" w:rsidRDefault="000774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Taip.</w:t>
            </w:r>
          </w:p>
          <w:p w:rsidR="00B01081" w:rsidRPr="00C421EE" w:rsidRDefault="00B01081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PFSA nėra numatytos veiklos, kurios turėtų neigiamą poveikį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aplinkosaugos srityje, socialinėje srityje, ekonomikos srityje, teritorijų vystymo srityje. </w:t>
            </w:r>
          </w:p>
          <w:p w:rsidR="008A5ED0" w:rsidRPr="00C421EE" w:rsidRDefault="008A5ED0" w:rsidP="00C421EE">
            <w:pPr>
              <w:spacing w:after="0" w:line="240" w:lineRule="auto"/>
              <w:jc w:val="both"/>
              <w:rPr>
                <w:rFonts w:ascii="Times New Roman" w:hAnsi="Times New Roman"/>
                <w:i/>
                <w:strike/>
                <w:spacing w:val="-4"/>
                <w:sz w:val="24"/>
                <w:szCs w:val="24"/>
              </w:rPr>
            </w:pPr>
          </w:p>
        </w:tc>
      </w:tr>
      <w:tr w:rsidR="005362FF" w:rsidRPr="00C421EE" w:rsidTr="008B1DF1">
        <w:tc>
          <w:tcPr>
            <w:tcW w:w="675" w:type="dxa"/>
            <w:vMerge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aplinkosaugos srityje (aplinkos kokybė ir gamtos ištekliai, kraštovaizdžio ir biologinės įvairovės apsauga, klimato kaita, aplinkos apsauga ir kt.);</w:t>
            </w:r>
          </w:p>
        </w:tc>
        <w:tc>
          <w:tcPr>
            <w:tcW w:w="4926" w:type="dxa"/>
            <w:vMerge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</w:tc>
      </w:tr>
      <w:tr w:rsidR="005D693A" w:rsidRPr="00C421EE" w:rsidTr="008B1DF1">
        <w:tc>
          <w:tcPr>
            <w:tcW w:w="675" w:type="dxa"/>
            <w:vMerge w:val="restart"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socialinėje srityje (užimtumas, skurdas ir socialinė atskirtis, visuomenės sveikata,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lastRenderedPageBreak/>
              <w:t>švietimas ir mokslas, kultūros savitumo išsaugojimas, tausojantis vartojimas);</w:t>
            </w:r>
          </w:p>
        </w:tc>
        <w:tc>
          <w:tcPr>
            <w:tcW w:w="4926" w:type="dxa"/>
            <w:vMerge w:val="restart"/>
            <w:shd w:val="clear" w:color="auto" w:fill="auto"/>
          </w:tcPr>
          <w:p w:rsidR="005D693A" w:rsidRPr="00C421EE" w:rsidRDefault="005D693A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  <w:tr w:rsidR="005D693A" w:rsidRPr="00C421EE" w:rsidTr="008B1DF1">
        <w:tc>
          <w:tcPr>
            <w:tcW w:w="675" w:type="dxa"/>
            <w:vMerge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ekonomikos srityje (darnus pagrindinių ūkio šakų ir regionų vystymas);</w:t>
            </w:r>
          </w:p>
        </w:tc>
        <w:tc>
          <w:tcPr>
            <w:tcW w:w="4926" w:type="dxa"/>
            <w:vMerge/>
            <w:shd w:val="clear" w:color="auto" w:fill="auto"/>
          </w:tcPr>
          <w:p w:rsidR="005D693A" w:rsidRPr="00C421EE" w:rsidRDefault="005D693A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  <w:tr w:rsidR="005D693A" w:rsidRPr="00C421EE" w:rsidTr="008B1DF1">
        <w:tc>
          <w:tcPr>
            <w:tcW w:w="675" w:type="dxa"/>
            <w:vMerge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D693A" w:rsidRPr="00C421EE" w:rsidRDefault="005D693A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teritorijų vystymo srityje (aplinkosauginių, socialinių ir ekonominių skirtumų mažinimas)?</w:t>
            </w:r>
          </w:p>
        </w:tc>
        <w:tc>
          <w:tcPr>
            <w:tcW w:w="4926" w:type="dxa"/>
            <w:vMerge/>
            <w:shd w:val="clear" w:color="auto" w:fill="auto"/>
          </w:tcPr>
          <w:p w:rsidR="005D693A" w:rsidRPr="00C421EE" w:rsidRDefault="005D693A" w:rsidP="00C421EE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</w:p>
        </w:tc>
      </w:tr>
      <w:tr w:rsidR="005362FF" w:rsidRPr="00C421EE" w:rsidTr="008B1DF1">
        <w:tc>
          <w:tcPr>
            <w:tcW w:w="675" w:type="dxa"/>
            <w:shd w:val="clear" w:color="auto" w:fill="auto"/>
          </w:tcPr>
          <w:p w:rsidR="005362FF" w:rsidRPr="00C421EE" w:rsidRDefault="005362FF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7D1975" w:rsidRPr="00C421EE" w:rsidRDefault="005362FF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Ar PFSA nustatyti papildomi darnaus vystymosi reikalavimai ir galimi </w:t>
            </w:r>
            <w:proofErr w:type="spellStart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proaktyvūs</w:t>
            </w:r>
            <w:proofErr w:type="spellEnd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veiksmai, skatinantys </w:t>
            </w:r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darnaus vystymosi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įgyvendinimą?</w:t>
            </w:r>
            <w:r w:rsidR="007D1975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Jeigu ne, ar galima juos nustatyti? Ar yra galimybė nustatyti jų daugiau?</w:t>
            </w:r>
            <w:r w:rsidR="00FE3142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</w:t>
            </w:r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Jeigu reikalavimai ir </w:t>
            </w:r>
            <w:proofErr w:type="spellStart"/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proaktyvūs</w:t>
            </w:r>
            <w:proofErr w:type="spellEnd"/>
            <w:r w:rsidR="008076F6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veiksmai nenustatyti, paaiškinti kodėl?</w:t>
            </w:r>
          </w:p>
        </w:tc>
        <w:tc>
          <w:tcPr>
            <w:tcW w:w="4926" w:type="dxa"/>
            <w:shd w:val="clear" w:color="auto" w:fill="auto"/>
          </w:tcPr>
          <w:p w:rsidR="00930FB3" w:rsidRPr="00C421EE" w:rsidRDefault="009107A6" w:rsidP="007738E3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Ne. </w:t>
            </w:r>
          </w:p>
        </w:tc>
      </w:tr>
      <w:tr w:rsidR="005362FF" w:rsidRPr="00C421EE" w:rsidTr="008B1DF1">
        <w:tc>
          <w:tcPr>
            <w:tcW w:w="675" w:type="dxa"/>
            <w:shd w:val="clear" w:color="auto" w:fill="auto"/>
          </w:tcPr>
          <w:p w:rsidR="005362FF" w:rsidRPr="00C421EE" w:rsidRDefault="00754224" w:rsidP="00C421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5362FF" w:rsidRPr="00C421EE" w:rsidRDefault="00B82066" w:rsidP="00C421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bookmarkStart w:id="1" w:name="_Toc401932131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Ar</w:t>
            </w:r>
            <w:r w:rsidR="000C6D9D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yra galimybė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PFSA nustatyti reikalavim</w:t>
            </w:r>
            <w:r w:rsidR="000C6D9D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us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vykdyti a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plinkai </w:t>
            </w:r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palankius (žaliuosius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) pirkim</w:t>
            </w:r>
            <w:bookmarkEnd w:id="1"/>
            <w:r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us</w:t>
            </w:r>
            <w:r w:rsidR="000E75A2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 xml:space="preserve"> (jei taikoma)</w:t>
            </w:r>
            <w:r w:rsidR="005362FF" w:rsidRPr="00C421E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926" w:type="dxa"/>
            <w:shd w:val="clear" w:color="auto" w:fill="auto"/>
          </w:tcPr>
          <w:p w:rsidR="005362FF" w:rsidRPr="00643950" w:rsidRDefault="009107A6" w:rsidP="005D6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lt-LT"/>
              </w:rPr>
              <w:t>Ne.</w:t>
            </w:r>
          </w:p>
        </w:tc>
      </w:tr>
    </w:tbl>
    <w:p w:rsidR="00322282" w:rsidRPr="00C421EE" w:rsidRDefault="00322282" w:rsidP="00C421EE">
      <w:pPr>
        <w:jc w:val="both"/>
        <w:rPr>
          <w:rFonts w:ascii="Times New Roman" w:hAnsi="Times New Roman"/>
          <w:sz w:val="24"/>
          <w:szCs w:val="24"/>
        </w:rPr>
      </w:pPr>
    </w:p>
    <w:p w:rsidR="00354B80" w:rsidRPr="00C421EE" w:rsidRDefault="00354B80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421EE">
        <w:rPr>
          <w:rFonts w:ascii="Times New Roman" w:hAnsi="Times New Roman"/>
          <w:sz w:val="24"/>
          <w:szCs w:val="24"/>
        </w:rPr>
        <w:t>JAUNIMAS: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155"/>
        <w:gridCol w:w="4802"/>
      </w:tblGrid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83C40" w:rsidRPr="00C421EE" w:rsidTr="008B1DF1">
        <w:tc>
          <w:tcPr>
            <w:tcW w:w="675" w:type="dxa"/>
            <w:shd w:val="clear" w:color="auto" w:fill="auto"/>
          </w:tcPr>
          <w:p w:rsidR="00683C40" w:rsidRPr="00C421EE" w:rsidRDefault="00D433CF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683C40" w:rsidRPr="00C421EE" w:rsidRDefault="00683C40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pagal PFSA </w:t>
            </w:r>
            <w:r w:rsidR="00022A3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atsižvelgiant į naudos gavėjų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grupę yra numat</w:t>
            </w:r>
            <w:r w:rsidR="006C4C0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yto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priemonės  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aktualiom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s </w:t>
            </w:r>
            <w:r w:rsidR="00B61055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jaunim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problem</w:t>
            </w:r>
            <w:r w:rsidR="005842B1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oms spręsti</w:t>
            </w:r>
            <w:r w:rsidR="00BC79D8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?</w:t>
            </w:r>
            <w:r w:rsidR="006C4C02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Jei ne, kodėl tokios priemonės PFSA nenumatytos?</w:t>
            </w:r>
          </w:p>
        </w:tc>
        <w:tc>
          <w:tcPr>
            <w:tcW w:w="4926" w:type="dxa"/>
            <w:shd w:val="clear" w:color="auto" w:fill="auto"/>
          </w:tcPr>
          <w:p w:rsidR="000774B3" w:rsidRPr="00C421EE" w:rsidRDefault="000774B3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BC79D8" w:rsidRPr="00C421EE" w:rsidRDefault="006A4CC2" w:rsidP="00D81C11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Projekt</w:t>
            </w:r>
            <w:r w:rsidR="00D81C11">
              <w:rPr>
                <w:rFonts w:ascii="Times New Roman" w:hAnsi="Times New Roman"/>
                <w:spacing w:val="-4"/>
                <w:sz w:val="24"/>
                <w:szCs w:val="24"/>
              </w:rPr>
              <w:t>ai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D81C11">
              <w:rPr>
                <w:rFonts w:ascii="Times New Roman" w:hAnsi="Times New Roman"/>
                <w:spacing w:val="-4"/>
                <w:sz w:val="24"/>
                <w:szCs w:val="24"/>
              </w:rPr>
              <w:t>teiks naudą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visų visuomenės grupių atstova</w:t>
            </w:r>
            <w:r w:rsidR="00D81C11">
              <w:rPr>
                <w:rFonts w:ascii="Times New Roman" w:hAnsi="Times New Roman"/>
                <w:spacing w:val="-4"/>
                <w:sz w:val="24"/>
                <w:szCs w:val="24"/>
              </w:rPr>
              <w:t>ms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41488C" w:rsidRPr="00C421EE" w:rsidRDefault="0041488C" w:rsidP="00C421EE">
      <w:pPr>
        <w:jc w:val="both"/>
        <w:rPr>
          <w:rFonts w:ascii="Times New Roman" w:hAnsi="Times New Roman"/>
          <w:spacing w:val="-4"/>
          <w:sz w:val="24"/>
          <w:szCs w:val="24"/>
        </w:rPr>
      </w:pPr>
    </w:p>
    <w:p w:rsidR="007F28DB" w:rsidRPr="00C421EE" w:rsidRDefault="007F28DB" w:rsidP="00C421EE">
      <w:pPr>
        <w:pStyle w:val="Sraopastraipa"/>
        <w:numPr>
          <w:ilvl w:val="0"/>
          <w:numId w:val="4"/>
        </w:numPr>
        <w:jc w:val="both"/>
        <w:rPr>
          <w:rFonts w:ascii="Times New Roman" w:hAnsi="Times New Roman"/>
          <w:spacing w:val="-4"/>
          <w:sz w:val="24"/>
          <w:szCs w:val="24"/>
        </w:rPr>
      </w:pPr>
      <w:r w:rsidRPr="00C421EE">
        <w:rPr>
          <w:rFonts w:ascii="Times New Roman" w:hAnsi="Times New Roman"/>
          <w:spacing w:val="-4"/>
          <w:sz w:val="24"/>
          <w:szCs w:val="24"/>
        </w:rPr>
        <w:t>BENDRI KLAUSIMAI: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57"/>
        <w:gridCol w:w="4801"/>
      </w:tblGrid>
      <w:tr w:rsidR="00193627" w:rsidRPr="00C421EE" w:rsidTr="008B1DF1">
        <w:tc>
          <w:tcPr>
            <w:tcW w:w="675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Nr.</w:t>
            </w:r>
          </w:p>
        </w:tc>
        <w:tc>
          <w:tcPr>
            <w:tcW w:w="4253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Klausimas</w:t>
            </w:r>
          </w:p>
        </w:tc>
        <w:tc>
          <w:tcPr>
            <w:tcW w:w="4926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Ministerijos pateikta informacija</w:t>
            </w:r>
          </w:p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4"/>
                <w:sz w:val="24"/>
                <w:szCs w:val="24"/>
              </w:rPr>
            </w:pPr>
          </w:p>
        </w:tc>
      </w:tr>
      <w:tr w:rsidR="00193627" w:rsidRPr="00C421EE" w:rsidTr="008B1DF1">
        <w:tc>
          <w:tcPr>
            <w:tcW w:w="675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rengiant PFSA buvo konsultuojamasi su </w:t>
            </w:r>
            <w:r w:rsidR="00BD2863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moterų ir vyrų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lygybės ir nediskriminavimo </w:t>
            </w:r>
            <w:r w:rsidR="00C054A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(įskaitant universalaus dizaino principą)</w:t>
            </w:r>
            <w:r w:rsidR="00C53B7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darnaus vystymosi ir jaunimo</w:t>
            </w:r>
            <w:r w:rsidR="00C054AD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srity</w:t>
            </w:r>
            <w:r w:rsidR="00C53B7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e dirbančiomis valstybės institucijomis, </w:t>
            </w:r>
            <w:r w:rsidR="00354B80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nevyriausybinėmis organizacijomis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, ekspertais, taip pat asociacijomis ir pan.?</w:t>
            </w:r>
          </w:p>
        </w:tc>
        <w:tc>
          <w:tcPr>
            <w:tcW w:w="4926" w:type="dxa"/>
            <w:shd w:val="clear" w:color="auto" w:fill="auto"/>
          </w:tcPr>
          <w:p w:rsidR="00B057DC" w:rsidRPr="006A4CC2" w:rsidRDefault="00A7158A" w:rsidP="006A4CC2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A4CC2">
              <w:rPr>
                <w:rFonts w:ascii="Times New Roman" w:hAnsi="Times New Roman"/>
                <w:spacing w:val="-4"/>
                <w:sz w:val="24"/>
                <w:szCs w:val="24"/>
              </w:rPr>
              <w:t>Ne.</w:t>
            </w:r>
          </w:p>
          <w:p w:rsidR="00955873" w:rsidRPr="006A4CC2" w:rsidRDefault="009107A6" w:rsidP="006A4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Priemonės investicijos sritis nėra susijusi su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moterų ir vyrų lygyb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e ir nediskriminavimu.</w:t>
            </w:r>
          </w:p>
        </w:tc>
      </w:tr>
      <w:tr w:rsidR="00193627" w:rsidRPr="00C421EE" w:rsidTr="008B1DF1">
        <w:tc>
          <w:tcPr>
            <w:tcW w:w="675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shd w:val="clear" w:color="auto" w:fill="auto"/>
          </w:tcPr>
          <w:p w:rsidR="00193627" w:rsidRPr="00C421EE" w:rsidRDefault="00193627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Ar PFSA yra </w:t>
            </w:r>
            <w:r w:rsidR="00A736AA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numatyti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papildomi reikalavimai dėl horizontaliųjų principų taikymo </w:t>
            </w:r>
            <w:r w:rsidR="00D60EB9"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projekte </w:t>
            </w: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viešinimo?</w:t>
            </w:r>
          </w:p>
        </w:tc>
        <w:tc>
          <w:tcPr>
            <w:tcW w:w="4926" w:type="dxa"/>
            <w:shd w:val="clear" w:color="auto" w:fill="auto"/>
          </w:tcPr>
          <w:p w:rsidR="009B7A9B" w:rsidRPr="00C421EE" w:rsidRDefault="00A7158A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Ne. </w:t>
            </w:r>
          </w:p>
          <w:p w:rsidR="00B057DC" w:rsidRPr="00C421EE" w:rsidRDefault="00B057DC" w:rsidP="00C421E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21EE">
              <w:rPr>
                <w:rFonts w:ascii="Times New Roman" w:hAnsi="Times New Roman"/>
                <w:spacing w:val="-4"/>
                <w:sz w:val="24"/>
                <w:szCs w:val="24"/>
              </w:rPr>
              <w:t>PFSA nėra numatyti papildomi reikalavimai dėl horizontaliųjų principų taikymo projekte viešinimo</w:t>
            </w:r>
            <w:r w:rsidR="004B1B9B" w:rsidRPr="00C421E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52429A" w:rsidRPr="00F6049C" w:rsidRDefault="0052429A" w:rsidP="0052429A">
      <w:pPr>
        <w:rPr>
          <w:rFonts w:ascii="Times New Roman" w:hAnsi="Times New Roman"/>
        </w:rPr>
      </w:pPr>
    </w:p>
    <w:sectPr w:rsidR="0052429A" w:rsidRPr="00F6049C" w:rsidSect="00DC2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3C1" w:rsidRDefault="009423C1" w:rsidP="00596F94">
      <w:pPr>
        <w:spacing w:after="0" w:line="240" w:lineRule="auto"/>
      </w:pPr>
      <w:r>
        <w:separator/>
      </w:r>
    </w:p>
  </w:endnote>
  <w:endnote w:type="continuationSeparator" w:id="0">
    <w:p w:rsidR="009423C1" w:rsidRDefault="009423C1" w:rsidP="0059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C1" w:rsidRDefault="00E53BC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3C1" w:rsidRDefault="009423C1" w:rsidP="00596F94">
      <w:pPr>
        <w:spacing w:after="0" w:line="240" w:lineRule="auto"/>
      </w:pPr>
      <w:r>
        <w:separator/>
      </w:r>
    </w:p>
  </w:footnote>
  <w:footnote w:type="continuationSeparator" w:id="0">
    <w:p w:rsidR="009423C1" w:rsidRDefault="009423C1" w:rsidP="0059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A7BE0">
      <w:rPr>
        <w:noProof/>
      </w:rPr>
      <w:t>3</w:t>
    </w:r>
    <w:r>
      <w:fldChar w:fldCharType="end"/>
    </w:r>
  </w:p>
  <w:p w:rsidR="00DC2D35" w:rsidRDefault="00DC2D3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35" w:rsidRDefault="00DC2D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F3A00"/>
    <w:multiLevelType w:val="hybridMultilevel"/>
    <w:tmpl w:val="A10CC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24B5"/>
    <w:multiLevelType w:val="hybridMultilevel"/>
    <w:tmpl w:val="2A6E074E"/>
    <w:lvl w:ilvl="0" w:tplc="43407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DCB"/>
    <w:multiLevelType w:val="multilevel"/>
    <w:tmpl w:val="5C103CAC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">
    <w:nsid w:val="2E4F444E"/>
    <w:multiLevelType w:val="hybridMultilevel"/>
    <w:tmpl w:val="60B45C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B0798"/>
    <w:multiLevelType w:val="hybridMultilevel"/>
    <w:tmpl w:val="0F9062B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96028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569B6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811A5"/>
    <w:multiLevelType w:val="hybridMultilevel"/>
    <w:tmpl w:val="2A521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60C2A"/>
    <w:multiLevelType w:val="hybridMultilevel"/>
    <w:tmpl w:val="D71266F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8372D0"/>
    <w:multiLevelType w:val="hybridMultilevel"/>
    <w:tmpl w:val="A10CC4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D7A2B"/>
    <w:multiLevelType w:val="hybridMultilevel"/>
    <w:tmpl w:val="222688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1285D"/>
    <w:multiLevelType w:val="hybridMultilevel"/>
    <w:tmpl w:val="62667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065F1"/>
    <w:multiLevelType w:val="hybridMultilevel"/>
    <w:tmpl w:val="3DAC801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82"/>
    <w:rsid w:val="00014EFF"/>
    <w:rsid w:val="00016717"/>
    <w:rsid w:val="00022A3B"/>
    <w:rsid w:val="00024BAB"/>
    <w:rsid w:val="000260DC"/>
    <w:rsid w:val="00027215"/>
    <w:rsid w:val="00033311"/>
    <w:rsid w:val="000549F5"/>
    <w:rsid w:val="00054CD0"/>
    <w:rsid w:val="00055824"/>
    <w:rsid w:val="000559C5"/>
    <w:rsid w:val="000774B3"/>
    <w:rsid w:val="000820B1"/>
    <w:rsid w:val="0008282C"/>
    <w:rsid w:val="00090261"/>
    <w:rsid w:val="00092E70"/>
    <w:rsid w:val="000A4911"/>
    <w:rsid w:val="000A4D95"/>
    <w:rsid w:val="000B07ED"/>
    <w:rsid w:val="000B1982"/>
    <w:rsid w:val="000C6D9D"/>
    <w:rsid w:val="000E75A2"/>
    <w:rsid w:val="001041D1"/>
    <w:rsid w:val="00116152"/>
    <w:rsid w:val="001217C9"/>
    <w:rsid w:val="001224A9"/>
    <w:rsid w:val="0013635E"/>
    <w:rsid w:val="00137CA0"/>
    <w:rsid w:val="00156CA4"/>
    <w:rsid w:val="0016202C"/>
    <w:rsid w:val="0017260A"/>
    <w:rsid w:val="00192F02"/>
    <w:rsid w:val="00193627"/>
    <w:rsid w:val="001974D7"/>
    <w:rsid w:val="001A3CFA"/>
    <w:rsid w:val="001A6830"/>
    <w:rsid w:val="001B195E"/>
    <w:rsid w:val="001B20FE"/>
    <w:rsid w:val="001D47F3"/>
    <w:rsid w:val="00204592"/>
    <w:rsid w:val="0020708B"/>
    <w:rsid w:val="00211005"/>
    <w:rsid w:val="002138A0"/>
    <w:rsid w:val="00217CC6"/>
    <w:rsid w:val="00242188"/>
    <w:rsid w:val="0024511E"/>
    <w:rsid w:val="00250B95"/>
    <w:rsid w:val="00253B05"/>
    <w:rsid w:val="00261716"/>
    <w:rsid w:val="00272BB3"/>
    <w:rsid w:val="002857B3"/>
    <w:rsid w:val="00290AAE"/>
    <w:rsid w:val="00293A2F"/>
    <w:rsid w:val="002A2FF5"/>
    <w:rsid w:val="002A3AEB"/>
    <w:rsid w:val="002B24FD"/>
    <w:rsid w:val="002E15FD"/>
    <w:rsid w:val="002F577B"/>
    <w:rsid w:val="002F6ADA"/>
    <w:rsid w:val="00300F7A"/>
    <w:rsid w:val="003160C4"/>
    <w:rsid w:val="00316D07"/>
    <w:rsid w:val="00320BF9"/>
    <w:rsid w:val="00321ED4"/>
    <w:rsid w:val="00322282"/>
    <w:rsid w:val="00330D05"/>
    <w:rsid w:val="00333F15"/>
    <w:rsid w:val="00354502"/>
    <w:rsid w:val="00354B80"/>
    <w:rsid w:val="00364AAC"/>
    <w:rsid w:val="0036650F"/>
    <w:rsid w:val="00375C8D"/>
    <w:rsid w:val="003801D2"/>
    <w:rsid w:val="00387C73"/>
    <w:rsid w:val="003912FE"/>
    <w:rsid w:val="003A03AC"/>
    <w:rsid w:val="003A3AA6"/>
    <w:rsid w:val="003B54E9"/>
    <w:rsid w:val="003C5F9B"/>
    <w:rsid w:val="003E6B45"/>
    <w:rsid w:val="003F7104"/>
    <w:rsid w:val="003F75C6"/>
    <w:rsid w:val="0040122F"/>
    <w:rsid w:val="00410DA5"/>
    <w:rsid w:val="00412A18"/>
    <w:rsid w:val="0041488C"/>
    <w:rsid w:val="004465FB"/>
    <w:rsid w:val="0045081F"/>
    <w:rsid w:val="00452FB4"/>
    <w:rsid w:val="004615EF"/>
    <w:rsid w:val="0046502E"/>
    <w:rsid w:val="004664E8"/>
    <w:rsid w:val="004806E4"/>
    <w:rsid w:val="00487034"/>
    <w:rsid w:val="004925B9"/>
    <w:rsid w:val="004B05F5"/>
    <w:rsid w:val="004B1B9B"/>
    <w:rsid w:val="004C2303"/>
    <w:rsid w:val="004C3850"/>
    <w:rsid w:val="004C38DC"/>
    <w:rsid w:val="004D4F17"/>
    <w:rsid w:val="004F4753"/>
    <w:rsid w:val="004F5B8E"/>
    <w:rsid w:val="00512941"/>
    <w:rsid w:val="0052429A"/>
    <w:rsid w:val="00524ED8"/>
    <w:rsid w:val="00527FA3"/>
    <w:rsid w:val="00532C8D"/>
    <w:rsid w:val="0053561F"/>
    <w:rsid w:val="005362FF"/>
    <w:rsid w:val="00550911"/>
    <w:rsid w:val="00553E00"/>
    <w:rsid w:val="00567D02"/>
    <w:rsid w:val="005757DD"/>
    <w:rsid w:val="00575AD3"/>
    <w:rsid w:val="00581E47"/>
    <w:rsid w:val="005842B1"/>
    <w:rsid w:val="0058521E"/>
    <w:rsid w:val="00587619"/>
    <w:rsid w:val="00591B28"/>
    <w:rsid w:val="00595285"/>
    <w:rsid w:val="00596F94"/>
    <w:rsid w:val="005A5F14"/>
    <w:rsid w:val="005A70FF"/>
    <w:rsid w:val="005A71C5"/>
    <w:rsid w:val="005B7938"/>
    <w:rsid w:val="005C76B5"/>
    <w:rsid w:val="005D0AD9"/>
    <w:rsid w:val="005D3622"/>
    <w:rsid w:val="005D45DA"/>
    <w:rsid w:val="005D693A"/>
    <w:rsid w:val="005F6657"/>
    <w:rsid w:val="00602A5E"/>
    <w:rsid w:val="00604D72"/>
    <w:rsid w:val="00605064"/>
    <w:rsid w:val="00622B23"/>
    <w:rsid w:val="006274DF"/>
    <w:rsid w:val="00636094"/>
    <w:rsid w:val="00636937"/>
    <w:rsid w:val="0063781E"/>
    <w:rsid w:val="00637C16"/>
    <w:rsid w:val="00643950"/>
    <w:rsid w:val="00660B66"/>
    <w:rsid w:val="00660CC6"/>
    <w:rsid w:val="00665873"/>
    <w:rsid w:val="00681755"/>
    <w:rsid w:val="006827ED"/>
    <w:rsid w:val="00683C40"/>
    <w:rsid w:val="006849FC"/>
    <w:rsid w:val="00692D78"/>
    <w:rsid w:val="00696823"/>
    <w:rsid w:val="006A04EF"/>
    <w:rsid w:val="006A0A6D"/>
    <w:rsid w:val="006A4CC2"/>
    <w:rsid w:val="006B1736"/>
    <w:rsid w:val="006B196B"/>
    <w:rsid w:val="006C2389"/>
    <w:rsid w:val="006C4C02"/>
    <w:rsid w:val="006F0623"/>
    <w:rsid w:val="00703426"/>
    <w:rsid w:val="007034FF"/>
    <w:rsid w:val="0071537C"/>
    <w:rsid w:val="007166D7"/>
    <w:rsid w:val="00721AD9"/>
    <w:rsid w:val="007264EB"/>
    <w:rsid w:val="00731BEA"/>
    <w:rsid w:val="00732882"/>
    <w:rsid w:val="00733E1C"/>
    <w:rsid w:val="00734300"/>
    <w:rsid w:val="00746890"/>
    <w:rsid w:val="00752B35"/>
    <w:rsid w:val="00754224"/>
    <w:rsid w:val="00756E82"/>
    <w:rsid w:val="00770CF2"/>
    <w:rsid w:val="007738E3"/>
    <w:rsid w:val="0077409A"/>
    <w:rsid w:val="007752FB"/>
    <w:rsid w:val="00777CCD"/>
    <w:rsid w:val="00780D46"/>
    <w:rsid w:val="007839A1"/>
    <w:rsid w:val="00785A40"/>
    <w:rsid w:val="007961A7"/>
    <w:rsid w:val="007A5F63"/>
    <w:rsid w:val="007A7BE0"/>
    <w:rsid w:val="007C1C80"/>
    <w:rsid w:val="007D1975"/>
    <w:rsid w:val="007D30F2"/>
    <w:rsid w:val="007D5059"/>
    <w:rsid w:val="007E2ECA"/>
    <w:rsid w:val="007F1B53"/>
    <w:rsid w:val="007F28DB"/>
    <w:rsid w:val="008054DA"/>
    <w:rsid w:val="008076F6"/>
    <w:rsid w:val="008078AE"/>
    <w:rsid w:val="00811276"/>
    <w:rsid w:val="00823D9F"/>
    <w:rsid w:val="00827A91"/>
    <w:rsid w:val="00846ED6"/>
    <w:rsid w:val="00853D6F"/>
    <w:rsid w:val="00855D72"/>
    <w:rsid w:val="00857075"/>
    <w:rsid w:val="00860C25"/>
    <w:rsid w:val="00881C29"/>
    <w:rsid w:val="00886D84"/>
    <w:rsid w:val="008A3B21"/>
    <w:rsid w:val="008A5ED0"/>
    <w:rsid w:val="008A63F4"/>
    <w:rsid w:val="008A6B0C"/>
    <w:rsid w:val="008B0069"/>
    <w:rsid w:val="008B1DF1"/>
    <w:rsid w:val="008B5D11"/>
    <w:rsid w:val="008B7964"/>
    <w:rsid w:val="008B7E00"/>
    <w:rsid w:val="008D28EE"/>
    <w:rsid w:val="008E31F7"/>
    <w:rsid w:val="008F65EF"/>
    <w:rsid w:val="008F76EF"/>
    <w:rsid w:val="00902CF4"/>
    <w:rsid w:val="00907117"/>
    <w:rsid w:val="009107A6"/>
    <w:rsid w:val="009154CB"/>
    <w:rsid w:val="00930FB3"/>
    <w:rsid w:val="00936A1C"/>
    <w:rsid w:val="009423C1"/>
    <w:rsid w:val="00955873"/>
    <w:rsid w:val="00960523"/>
    <w:rsid w:val="00963243"/>
    <w:rsid w:val="0096424B"/>
    <w:rsid w:val="00971FDE"/>
    <w:rsid w:val="00995103"/>
    <w:rsid w:val="00997B83"/>
    <w:rsid w:val="00997D97"/>
    <w:rsid w:val="009B7A9B"/>
    <w:rsid w:val="009D6645"/>
    <w:rsid w:val="009E2252"/>
    <w:rsid w:val="009E2A5D"/>
    <w:rsid w:val="009E2D7F"/>
    <w:rsid w:val="009E69E5"/>
    <w:rsid w:val="009F2BE0"/>
    <w:rsid w:val="00A0534D"/>
    <w:rsid w:val="00A2794A"/>
    <w:rsid w:val="00A32127"/>
    <w:rsid w:val="00A34E1F"/>
    <w:rsid w:val="00A351B6"/>
    <w:rsid w:val="00A377AB"/>
    <w:rsid w:val="00A45133"/>
    <w:rsid w:val="00A4709F"/>
    <w:rsid w:val="00A52984"/>
    <w:rsid w:val="00A54EE6"/>
    <w:rsid w:val="00A55FDC"/>
    <w:rsid w:val="00A677E9"/>
    <w:rsid w:val="00A7158A"/>
    <w:rsid w:val="00A736AA"/>
    <w:rsid w:val="00A75CF2"/>
    <w:rsid w:val="00A7622D"/>
    <w:rsid w:val="00A87A17"/>
    <w:rsid w:val="00AB2585"/>
    <w:rsid w:val="00AB322E"/>
    <w:rsid w:val="00AB5084"/>
    <w:rsid w:val="00AC0D9C"/>
    <w:rsid w:val="00AC48E2"/>
    <w:rsid w:val="00AC6B95"/>
    <w:rsid w:val="00AD1831"/>
    <w:rsid w:val="00AD1A5F"/>
    <w:rsid w:val="00AD6EA5"/>
    <w:rsid w:val="00AE3939"/>
    <w:rsid w:val="00AF229B"/>
    <w:rsid w:val="00AF7694"/>
    <w:rsid w:val="00B01081"/>
    <w:rsid w:val="00B0562E"/>
    <w:rsid w:val="00B057DC"/>
    <w:rsid w:val="00B05BC5"/>
    <w:rsid w:val="00B15720"/>
    <w:rsid w:val="00B24EF3"/>
    <w:rsid w:val="00B25F69"/>
    <w:rsid w:val="00B377BE"/>
    <w:rsid w:val="00B56837"/>
    <w:rsid w:val="00B61055"/>
    <w:rsid w:val="00B70523"/>
    <w:rsid w:val="00B82066"/>
    <w:rsid w:val="00B82472"/>
    <w:rsid w:val="00B910C8"/>
    <w:rsid w:val="00B93A5B"/>
    <w:rsid w:val="00BA345F"/>
    <w:rsid w:val="00BC79D8"/>
    <w:rsid w:val="00BD2863"/>
    <w:rsid w:val="00BD5428"/>
    <w:rsid w:val="00BD623D"/>
    <w:rsid w:val="00BE14D8"/>
    <w:rsid w:val="00BF419B"/>
    <w:rsid w:val="00BF69B4"/>
    <w:rsid w:val="00C054AD"/>
    <w:rsid w:val="00C12134"/>
    <w:rsid w:val="00C26FB1"/>
    <w:rsid w:val="00C421EE"/>
    <w:rsid w:val="00C53B70"/>
    <w:rsid w:val="00C80ED8"/>
    <w:rsid w:val="00CA1270"/>
    <w:rsid w:val="00CA3FF9"/>
    <w:rsid w:val="00CD2916"/>
    <w:rsid w:val="00CD5ABC"/>
    <w:rsid w:val="00CF7720"/>
    <w:rsid w:val="00D03D22"/>
    <w:rsid w:val="00D12A51"/>
    <w:rsid w:val="00D233C4"/>
    <w:rsid w:val="00D270DE"/>
    <w:rsid w:val="00D36273"/>
    <w:rsid w:val="00D433CF"/>
    <w:rsid w:val="00D52F0C"/>
    <w:rsid w:val="00D53598"/>
    <w:rsid w:val="00D5430F"/>
    <w:rsid w:val="00D5653C"/>
    <w:rsid w:val="00D57738"/>
    <w:rsid w:val="00D60EB9"/>
    <w:rsid w:val="00D67560"/>
    <w:rsid w:val="00D720A5"/>
    <w:rsid w:val="00D8035E"/>
    <w:rsid w:val="00D81C11"/>
    <w:rsid w:val="00D81DF3"/>
    <w:rsid w:val="00DA4ED8"/>
    <w:rsid w:val="00DA7D71"/>
    <w:rsid w:val="00DB5528"/>
    <w:rsid w:val="00DC2D35"/>
    <w:rsid w:val="00DC4ED9"/>
    <w:rsid w:val="00DC6F3A"/>
    <w:rsid w:val="00DF5360"/>
    <w:rsid w:val="00DF581E"/>
    <w:rsid w:val="00E05F34"/>
    <w:rsid w:val="00E07517"/>
    <w:rsid w:val="00E2201B"/>
    <w:rsid w:val="00E32E34"/>
    <w:rsid w:val="00E42B74"/>
    <w:rsid w:val="00E437F3"/>
    <w:rsid w:val="00E46F09"/>
    <w:rsid w:val="00E53BC1"/>
    <w:rsid w:val="00E611B8"/>
    <w:rsid w:val="00E80F4B"/>
    <w:rsid w:val="00E815C1"/>
    <w:rsid w:val="00E864DE"/>
    <w:rsid w:val="00EA2B5A"/>
    <w:rsid w:val="00EA7FC2"/>
    <w:rsid w:val="00EB120E"/>
    <w:rsid w:val="00EB19DA"/>
    <w:rsid w:val="00ED105E"/>
    <w:rsid w:val="00ED2680"/>
    <w:rsid w:val="00ED7378"/>
    <w:rsid w:val="00EE3E8D"/>
    <w:rsid w:val="00EE603A"/>
    <w:rsid w:val="00F27797"/>
    <w:rsid w:val="00F3588D"/>
    <w:rsid w:val="00F3714D"/>
    <w:rsid w:val="00F53658"/>
    <w:rsid w:val="00F53AF0"/>
    <w:rsid w:val="00F6049C"/>
    <w:rsid w:val="00F74F2D"/>
    <w:rsid w:val="00F76B76"/>
    <w:rsid w:val="00F80FB7"/>
    <w:rsid w:val="00F926CB"/>
    <w:rsid w:val="00F96177"/>
    <w:rsid w:val="00F96AAA"/>
    <w:rsid w:val="00F9793D"/>
    <w:rsid w:val="00FA318D"/>
    <w:rsid w:val="00FA77D8"/>
    <w:rsid w:val="00FD3034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6565-89F3-4D75-A2F6-159930FE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9793D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96F9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596F94"/>
    <w:rPr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596F94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5242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2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5242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29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242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2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2429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581E47"/>
    <w:rPr>
      <w:color w:val="0000FF"/>
      <w:u w:val="single"/>
    </w:rPr>
  </w:style>
  <w:style w:type="paragraph" w:customStyle="1" w:styleId="afoutputdocumentparagraph">
    <w:name w:val="af_outputdocument_paragraph"/>
    <w:basedOn w:val="prastasis"/>
    <w:rsid w:val="007328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6650F"/>
  </w:style>
  <w:style w:type="paragraph" w:styleId="Porat">
    <w:name w:val="footer"/>
    <w:basedOn w:val="prastasis"/>
    <w:link w:val="PoratDiagrama"/>
    <w:uiPriority w:val="99"/>
    <w:unhideWhenUsed/>
    <w:rsid w:val="00366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6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4907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B2D0E7"/>
                            <w:left w:val="single" w:sz="6" w:space="4" w:color="B2D0E7"/>
                            <w:bottom w:val="single" w:sz="6" w:space="4" w:color="B2D0E7"/>
                            <w:right w:val="single" w:sz="6" w:space="4" w:color="B2D0E7"/>
                          </w:divBdr>
                          <w:divsChild>
                            <w:div w:id="11199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D233-7444-465D-869C-E4A799EA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3876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Jermakovičiūtė</dc:creator>
  <cp:keywords/>
  <cp:lastModifiedBy>Mindaugas Sidagis</cp:lastModifiedBy>
  <cp:revision>6</cp:revision>
  <cp:lastPrinted>2016-02-02T05:21:00Z</cp:lastPrinted>
  <dcterms:created xsi:type="dcterms:W3CDTF">2016-05-31T12:31:00Z</dcterms:created>
  <dcterms:modified xsi:type="dcterms:W3CDTF">2016-06-08T06:41:00Z</dcterms:modified>
</cp:coreProperties>
</file>