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4C" w:rsidRPr="0075612A" w:rsidRDefault="00E5574C">
      <w:pPr>
        <w:rPr>
          <w:rFonts w:ascii="Segoe UI" w:hAnsi="Segoe UI" w:cs="Segoe UI"/>
          <w:sz w:val="20"/>
          <w:szCs w:val="20"/>
        </w:rPr>
      </w:pPr>
    </w:p>
    <w:p w:rsidR="00324059" w:rsidRDefault="00562CE1" w:rsidP="00A47D63">
      <w:pPr>
        <w:jc w:val="center"/>
        <w:rPr>
          <w:rFonts w:ascii="Times New Roman" w:hAnsi="Times New Roman" w:cs="Times New Roman"/>
          <w:b/>
          <w:sz w:val="24"/>
          <w:szCs w:val="24"/>
        </w:rPr>
      </w:pPr>
      <w:r w:rsidRPr="00562CE1">
        <w:rPr>
          <w:rFonts w:ascii="Times New Roman" w:hAnsi="Times New Roman" w:cs="Times New Roman"/>
          <w:b/>
          <w:kern w:val="16"/>
          <w:sz w:val="24"/>
          <w:szCs w:val="24"/>
        </w:rPr>
        <w:t>2014–2020 metų Europos Sąjungos fondų investicijų veiksmų programos 9 prioriteto „Visuomenės švietimas ir žmogiškųjų išteklių potencialo didinimas“ 09.4.2-ESFA-K-714 priemonės „Formaliojo ir neformaliojo mokymosi galimybių plėtra“ projektų finansavimo sąly</w:t>
      </w:r>
      <w:r>
        <w:rPr>
          <w:rFonts w:ascii="Times New Roman" w:hAnsi="Times New Roman" w:cs="Times New Roman"/>
          <w:b/>
          <w:kern w:val="16"/>
          <w:sz w:val="24"/>
          <w:szCs w:val="24"/>
        </w:rPr>
        <w:t>gų aprašo</w:t>
      </w:r>
      <w:r w:rsidRPr="00562CE1">
        <w:rPr>
          <w:rFonts w:ascii="Times New Roman" w:hAnsi="Times New Roman" w:cs="Times New Roman"/>
          <w:b/>
          <w:kern w:val="16"/>
          <w:sz w:val="24"/>
          <w:szCs w:val="24"/>
        </w:rPr>
        <w:t xml:space="preserve"> Nr. 1 </w:t>
      </w:r>
      <w:r w:rsidR="00A47D63">
        <w:rPr>
          <w:rFonts w:ascii="Times New Roman" w:hAnsi="Times New Roman" w:cs="Times New Roman"/>
          <w:b/>
          <w:sz w:val="24"/>
          <w:szCs w:val="24"/>
        </w:rPr>
        <w:t xml:space="preserve"> (toliau – PFSA</w:t>
      </w:r>
      <w:r w:rsidR="00A47D63" w:rsidRPr="00A47D63">
        <w:rPr>
          <w:rFonts w:ascii="Times New Roman" w:hAnsi="Times New Roman" w:cs="Times New Roman"/>
          <w:b/>
          <w:sz w:val="24"/>
          <w:szCs w:val="24"/>
        </w:rPr>
        <w:t>)</w:t>
      </w:r>
      <w:r w:rsidR="00A47D63">
        <w:rPr>
          <w:rFonts w:ascii="Times New Roman" w:hAnsi="Times New Roman" w:cs="Times New Roman"/>
          <w:b/>
          <w:sz w:val="24"/>
          <w:szCs w:val="24"/>
        </w:rPr>
        <w:t xml:space="preserve"> </w:t>
      </w:r>
      <w:r w:rsidR="00A47D63" w:rsidRPr="00A47D63">
        <w:rPr>
          <w:rFonts w:ascii="Times New Roman" w:hAnsi="Times New Roman" w:cs="Times New Roman"/>
          <w:b/>
          <w:sz w:val="24"/>
          <w:szCs w:val="24"/>
        </w:rPr>
        <w:t>projekto pastabų derinimo lentelė</w:t>
      </w:r>
    </w:p>
    <w:tbl>
      <w:tblPr>
        <w:tblStyle w:val="Lentelstinklelis"/>
        <w:tblW w:w="0" w:type="auto"/>
        <w:tblLayout w:type="fixed"/>
        <w:tblLook w:val="04A0" w:firstRow="1" w:lastRow="0" w:firstColumn="1" w:lastColumn="0" w:noHBand="0" w:noVBand="1"/>
      </w:tblPr>
      <w:tblGrid>
        <w:gridCol w:w="1430"/>
        <w:gridCol w:w="570"/>
        <w:gridCol w:w="2248"/>
        <w:gridCol w:w="4394"/>
        <w:gridCol w:w="1559"/>
        <w:gridCol w:w="3792"/>
      </w:tblGrid>
      <w:tr w:rsidR="00A473F4" w:rsidTr="00AE17B3">
        <w:tc>
          <w:tcPr>
            <w:tcW w:w="1430"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Pastabos teikėjas</w:t>
            </w:r>
          </w:p>
        </w:tc>
        <w:tc>
          <w:tcPr>
            <w:tcW w:w="570"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Eil. Nr.</w:t>
            </w:r>
          </w:p>
        </w:tc>
        <w:tc>
          <w:tcPr>
            <w:tcW w:w="2248"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PFSA nuostatos, kurioms teikiama pastaba</w:t>
            </w:r>
          </w:p>
        </w:tc>
        <w:tc>
          <w:tcPr>
            <w:tcW w:w="4394"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Komentarai/pasiūlymai</w:t>
            </w:r>
          </w:p>
        </w:tc>
        <w:tc>
          <w:tcPr>
            <w:tcW w:w="1559"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pozicija</w:t>
            </w:r>
          </w:p>
        </w:tc>
        <w:tc>
          <w:tcPr>
            <w:tcW w:w="3792"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argumentai</w:t>
            </w:r>
          </w:p>
        </w:tc>
      </w:tr>
      <w:tr w:rsidR="00A473F4" w:rsidTr="00AE17B3">
        <w:tc>
          <w:tcPr>
            <w:tcW w:w="1430" w:type="dxa"/>
          </w:tcPr>
          <w:p w:rsidR="00FC4965" w:rsidRDefault="00562CE1" w:rsidP="00A47D63">
            <w:pPr>
              <w:jc w:val="center"/>
              <w:rPr>
                <w:rFonts w:ascii="Times New Roman" w:hAnsi="Times New Roman" w:cs="Times New Roman"/>
                <w:b/>
                <w:sz w:val="24"/>
                <w:szCs w:val="24"/>
              </w:rPr>
            </w:pPr>
            <w:r>
              <w:rPr>
                <w:rFonts w:ascii="Times New Roman" w:eastAsia="Calibri" w:hAnsi="Times New Roman" w:cs="Times New Roman"/>
                <w:sz w:val="24"/>
                <w:szCs w:val="24"/>
              </w:rPr>
              <w:t>Akmenės rajono savivaldybė</w:t>
            </w:r>
          </w:p>
        </w:tc>
        <w:tc>
          <w:tcPr>
            <w:tcW w:w="570"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sz w:val="24"/>
                <w:szCs w:val="24"/>
              </w:rPr>
              <w:t>1.</w:t>
            </w:r>
          </w:p>
        </w:tc>
        <w:tc>
          <w:tcPr>
            <w:tcW w:w="2248" w:type="dxa"/>
          </w:tcPr>
          <w:p w:rsidR="00FC4965" w:rsidRPr="00562CE1" w:rsidRDefault="00562CE1" w:rsidP="00FC4965">
            <w:pPr>
              <w:jc w:val="both"/>
              <w:rPr>
                <w:rFonts w:ascii="Times New Roman" w:hAnsi="Times New Roman" w:cs="Times New Roman"/>
                <w:sz w:val="24"/>
                <w:szCs w:val="24"/>
              </w:rPr>
            </w:pPr>
            <w:r w:rsidRPr="00562CE1">
              <w:rPr>
                <w:rFonts w:ascii="Times New Roman" w:hAnsi="Times New Roman" w:cs="Times New Roman"/>
                <w:sz w:val="24"/>
                <w:szCs w:val="24"/>
              </w:rPr>
              <w:t>17. Pagal Aprašą galimi pareiškėjai yra profesinio mokymo įstaigos, darbdavių asociacijos, profesinio mokymo įstaigų asociacijos, galimi partneriai yra viešieji juridiniai asmenys, veikiantys švietimo srityje ir (arba) atstovaujantys darbdavius.</w:t>
            </w:r>
          </w:p>
        </w:tc>
        <w:tc>
          <w:tcPr>
            <w:tcW w:w="4394" w:type="dxa"/>
          </w:tcPr>
          <w:p w:rsidR="00562CE1" w:rsidRPr="00562CE1" w:rsidRDefault="00BD1EA9" w:rsidP="00562CE1">
            <w:pPr>
              <w:jc w:val="both"/>
              <w:rPr>
                <w:rFonts w:ascii="Times New Roman" w:hAnsi="Times New Roman" w:cs="Times New Roman"/>
                <w:sz w:val="24"/>
                <w:szCs w:val="24"/>
              </w:rPr>
            </w:pPr>
            <w:proofErr w:type="spellStart"/>
            <w:r>
              <w:rPr>
                <w:rFonts w:ascii="Times New Roman" w:hAnsi="Times New Roman" w:cs="Times New Roman"/>
                <w:sz w:val="24"/>
                <w:szCs w:val="24"/>
              </w:rPr>
              <w:t>E</w:t>
            </w:r>
            <w:r w:rsidR="00562CE1" w:rsidRPr="00562CE1">
              <w:rPr>
                <w:rFonts w:ascii="Times New Roman" w:hAnsi="Times New Roman" w:cs="Times New Roman"/>
                <w:sz w:val="24"/>
                <w:szCs w:val="24"/>
              </w:rPr>
              <w:t>sinvesticijos.lt</w:t>
            </w:r>
            <w:proofErr w:type="spellEnd"/>
            <w:r w:rsidR="00562CE1" w:rsidRPr="00562CE1">
              <w:rPr>
                <w:rFonts w:ascii="Times New Roman" w:hAnsi="Times New Roman" w:cs="Times New Roman"/>
                <w:sz w:val="24"/>
                <w:szCs w:val="24"/>
              </w:rPr>
              <w:t xml:space="preserve"> svetainėje prie priemonė</w:t>
            </w:r>
            <w:r w:rsidR="00562CE1">
              <w:rPr>
                <w:rFonts w:ascii="Times New Roman" w:hAnsi="Times New Roman" w:cs="Times New Roman"/>
                <w:sz w:val="24"/>
                <w:szCs w:val="24"/>
              </w:rPr>
              <w:t>s Nr. 09.4.2-ESFA-K-714 „</w:t>
            </w:r>
            <w:r w:rsidR="00562CE1" w:rsidRPr="00562CE1">
              <w:rPr>
                <w:rFonts w:ascii="Times New Roman" w:hAnsi="Times New Roman" w:cs="Times New Roman"/>
                <w:sz w:val="24"/>
                <w:szCs w:val="24"/>
              </w:rPr>
              <w:t>Formaliojo ir neforma</w:t>
            </w:r>
            <w:r w:rsidR="00562CE1">
              <w:rPr>
                <w:rFonts w:ascii="Times New Roman" w:hAnsi="Times New Roman" w:cs="Times New Roman"/>
                <w:sz w:val="24"/>
                <w:szCs w:val="24"/>
              </w:rPr>
              <w:t>liojo mokymosi galimybių plėtra“</w:t>
            </w:r>
            <w:r w:rsidR="00562CE1" w:rsidRPr="00562CE1">
              <w:rPr>
                <w:rFonts w:ascii="Times New Roman" w:hAnsi="Times New Roman" w:cs="Times New Roman"/>
                <w:sz w:val="24"/>
                <w:szCs w:val="24"/>
              </w:rPr>
              <w:t xml:space="preserve"> (toliau – Priemonė) Trečiojo amžiaus universitetas yra pažymėtas kaip pareiškėjas, tačiau Priemonės finansavimo sąlygų aprašo projekte jis jau nėra įvardintas kaip pareiškėjas.</w:t>
            </w:r>
          </w:p>
          <w:p w:rsidR="00FC4965" w:rsidRPr="00562CE1" w:rsidRDefault="00562CE1" w:rsidP="00562CE1">
            <w:pPr>
              <w:jc w:val="both"/>
              <w:rPr>
                <w:rFonts w:ascii="Times New Roman" w:hAnsi="Times New Roman" w:cs="Times New Roman"/>
                <w:sz w:val="24"/>
                <w:szCs w:val="24"/>
              </w:rPr>
            </w:pPr>
            <w:r w:rsidRPr="00562CE1">
              <w:rPr>
                <w:rFonts w:ascii="Times New Roman" w:hAnsi="Times New Roman" w:cs="Times New Roman"/>
                <w:sz w:val="24"/>
                <w:szCs w:val="24"/>
              </w:rPr>
              <w:t xml:space="preserve">Klausimas – ar pagal priemonės finansavimo sąlygų aprašą, pareiškėjas gali būti </w:t>
            </w:r>
            <w:r>
              <w:rPr>
                <w:rFonts w:ascii="Times New Roman" w:hAnsi="Times New Roman" w:cs="Times New Roman"/>
                <w:sz w:val="24"/>
                <w:szCs w:val="24"/>
              </w:rPr>
              <w:t>Trečiojo amžiaus universitetas?</w:t>
            </w:r>
          </w:p>
        </w:tc>
        <w:tc>
          <w:tcPr>
            <w:tcW w:w="1559" w:type="dxa"/>
          </w:tcPr>
          <w:p w:rsidR="00FC4965" w:rsidRPr="00FC4965" w:rsidRDefault="00562CE1" w:rsidP="00A47D63">
            <w:pPr>
              <w:jc w:val="center"/>
              <w:rPr>
                <w:rFonts w:ascii="Times New Roman" w:hAnsi="Times New Roman" w:cs="Times New Roman"/>
                <w:b/>
                <w:sz w:val="24"/>
                <w:szCs w:val="24"/>
              </w:rPr>
            </w:pPr>
            <w:r>
              <w:rPr>
                <w:rFonts w:ascii="Times New Roman" w:hAnsi="Times New Roman" w:cs="Times New Roman"/>
                <w:sz w:val="24"/>
                <w:szCs w:val="24"/>
              </w:rPr>
              <w:t>P</w:t>
            </w:r>
            <w:r w:rsidR="00F968CD">
              <w:rPr>
                <w:rFonts w:ascii="Times New Roman" w:hAnsi="Times New Roman" w:cs="Times New Roman"/>
                <w:sz w:val="24"/>
                <w:szCs w:val="24"/>
              </w:rPr>
              <w:t>FSA korekcijos nereikalingos</w:t>
            </w:r>
          </w:p>
        </w:tc>
        <w:tc>
          <w:tcPr>
            <w:tcW w:w="3792" w:type="dxa"/>
          </w:tcPr>
          <w:p w:rsidR="00FC4965" w:rsidRPr="00350834" w:rsidRDefault="00350834" w:rsidP="00562CE1">
            <w:pPr>
              <w:pStyle w:val="Default"/>
              <w:jc w:val="both"/>
            </w:pPr>
            <w:r>
              <w:t xml:space="preserve">Koreguoti </w:t>
            </w:r>
            <w:r w:rsidR="00AE17B3">
              <w:t xml:space="preserve">pagal pastabą </w:t>
            </w:r>
            <w:r>
              <w:t>PFSA nereikia, nes p</w:t>
            </w:r>
            <w:r w:rsidRPr="00350834">
              <w:t>agal šį PFSA</w:t>
            </w:r>
            <w:r>
              <w:t xml:space="preserve"> Trečiojo amžiaus universitetai negalės būti pareiškėjais. Trečiojo amžiaus universitetai galės būti pareiškėjais pagal kitą dar tik planuojamą rengti šios priemonės PFSA, kuriame tarp remiamų veiklų bus įvardinta veikla „Senjorų mokymosi galimybių plėtra“.</w:t>
            </w:r>
            <w:r w:rsidRPr="00350834">
              <w:t xml:space="preserve"> </w:t>
            </w:r>
          </w:p>
        </w:tc>
      </w:tr>
      <w:tr w:rsidR="00FC4965" w:rsidTr="00AE17B3">
        <w:tc>
          <w:tcPr>
            <w:tcW w:w="1430" w:type="dxa"/>
          </w:tcPr>
          <w:p w:rsidR="00FC4965" w:rsidRPr="0003518B" w:rsidRDefault="00562CE1" w:rsidP="00A47D63">
            <w:pPr>
              <w:jc w:val="center"/>
              <w:rPr>
                <w:rFonts w:ascii="Times New Roman" w:eastAsia="Calibri" w:hAnsi="Times New Roman" w:cs="Times New Roman"/>
                <w:sz w:val="24"/>
                <w:szCs w:val="24"/>
              </w:rPr>
            </w:pPr>
            <w:r>
              <w:rPr>
                <w:rFonts w:ascii="Times New Roman" w:eastAsia="Calibri" w:hAnsi="Times New Roman" w:cs="Times New Roman"/>
                <w:sz w:val="24"/>
                <w:szCs w:val="24"/>
              </w:rPr>
              <w:t>Kauno kolegija</w:t>
            </w:r>
          </w:p>
        </w:tc>
        <w:tc>
          <w:tcPr>
            <w:tcW w:w="570" w:type="dxa"/>
          </w:tcPr>
          <w:p w:rsidR="00FC4965" w:rsidRDefault="00FC4965"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2248" w:type="dxa"/>
          </w:tcPr>
          <w:p w:rsidR="00FC4965" w:rsidRDefault="00562CE1" w:rsidP="00FC4965">
            <w:pPr>
              <w:jc w:val="both"/>
              <w:rPr>
                <w:rFonts w:ascii="Times New Roman" w:hAnsi="Times New Roman" w:cs="Times New Roman"/>
                <w:sz w:val="24"/>
                <w:szCs w:val="24"/>
              </w:rPr>
            </w:pPr>
            <w:r w:rsidRPr="00562CE1">
              <w:rPr>
                <w:rFonts w:ascii="Times New Roman" w:hAnsi="Times New Roman" w:cs="Times New Roman"/>
                <w:sz w:val="24"/>
                <w:szCs w:val="24"/>
              </w:rPr>
              <w:t xml:space="preserve">13. Pagal Aprašą remiama ši veikla: profesijos mokytojų technologinių kompetencijų tobulinimas (įskaitant profesijos mokytojų technologinių kompetencijų tobulinimo programų </w:t>
            </w:r>
            <w:r w:rsidRPr="00562CE1">
              <w:rPr>
                <w:rFonts w:ascii="Times New Roman" w:hAnsi="Times New Roman" w:cs="Times New Roman"/>
                <w:sz w:val="24"/>
                <w:szCs w:val="24"/>
              </w:rPr>
              <w:lastRenderedPageBreak/>
              <w:t>ir mokymo medžiagos rengimą, atnaujinimą, profesijos mokytojų mokymą pagal akredituotas technologinių kompetencijų tobulinimo programas).</w:t>
            </w:r>
          </w:p>
          <w:p w:rsidR="00562CE1" w:rsidRDefault="00562CE1" w:rsidP="00FC4965">
            <w:pPr>
              <w:jc w:val="both"/>
              <w:rPr>
                <w:rFonts w:ascii="Times New Roman" w:hAnsi="Times New Roman" w:cs="Times New Roman"/>
                <w:sz w:val="24"/>
                <w:szCs w:val="24"/>
              </w:rPr>
            </w:pPr>
            <w:r w:rsidRPr="00562CE1">
              <w:rPr>
                <w:rFonts w:ascii="Times New Roman" w:hAnsi="Times New Roman" w:cs="Times New Roman"/>
                <w:sz w:val="24"/>
                <w:szCs w:val="24"/>
              </w:rPr>
              <w:t>17. Pagal Aprašą galimi pareiškėjai yra profesinio mokymo įstaigos, darbdavių asociacijos, profesinio mokymo įstaigų asociacijos, galimi partneriai yra viešieji juridiniai asmenys, veikiantys švietimo srityje ir (arba) atstovaujantys darbdavius.</w:t>
            </w:r>
          </w:p>
          <w:p w:rsidR="00562CE1" w:rsidRPr="00A47D63" w:rsidRDefault="00562CE1" w:rsidP="00FC4965">
            <w:pPr>
              <w:jc w:val="both"/>
              <w:rPr>
                <w:rFonts w:ascii="Times New Roman" w:hAnsi="Times New Roman" w:cs="Times New Roman"/>
                <w:sz w:val="24"/>
                <w:szCs w:val="24"/>
              </w:rPr>
            </w:pPr>
            <w:r w:rsidRPr="00562CE1">
              <w:rPr>
                <w:rFonts w:ascii="Times New Roman" w:hAnsi="Times New Roman" w:cs="Times New Roman"/>
                <w:sz w:val="24"/>
                <w:szCs w:val="24"/>
              </w:rPr>
              <w:t>10. Viena paraiška gali būti teikiama vienai profesinio mokymo švietimo sričiai.</w:t>
            </w:r>
          </w:p>
        </w:tc>
        <w:tc>
          <w:tcPr>
            <w:tcW w:w="4394" w:type="dxa"/>
          </w:tcPr>
          <w:p w:rsidR="00562CE1" w:rsidRDefault="00AE17B3" w:rsidP="00562CE1">
            <w:pPr>
              <w:pStyle w:val="Default"/>
              <w:jc w:val="both"/>
            </w:pPr>
            <w:r>
              <w:lastRenderedPageBreak/>
              <w:t xml:space="preserve">1. </w:t>
            </w:r>
            <w:r w:rsidR="00562CE1">
              <w:t xml:space="preserve">Paskelbtame projekte yra minima tik viena remiama veikla, </w:t>
            </w:r>
            <w:proofErr w:type="spellStart"/>
            <w:r w:rsidR="00562CE1">
              <w:t>t.y</w:t>
            </w:r>
            <w:proofErr w:type="spellEnd"/>
            <w:r w:rsidR="00562CE1">
              <w:t xml:space="preserve">. profesijos mokytojų technologinių kompetencijų tobulinimas, ar pagal šią priemonę nebus remiamos kitos veiklos minėtos priemonių įgyvendinimo plane (pvz. senjorų mokymosi galimybių plėtra)? </w:t>
            </w:r>
          </w:p>
          <w:p w:rsidR="00562CE1" w:rsidRDefault="00AE17B3" w:rsidP="00562CE1">
            <w:pPr>
              <w:pStyle w:val="Default"/>
              <w:jc w:val="both"/>
            </w:pPr>
            <w:r>
              <w:t xml:space="preserve">2. </w:t>
            </w:r>
            <w:r w:rsidR="00562CE1">
              <w:t xml:space="preserve">Ar šios priemonės pareiškėjais negalės būti Lietuvos aukštosios mokyklos? </w:t>
            </w:r>
          </w:p>
          <w:p w:rsidR="00562CE1" w:rsidRDefault="00AE17B3" w:rsidP="00562CE1">
            <w:pPr>
              <w:pStyle w:val="Default"/>
              <w:jc w:val="both"/>
            </w:pPr>
            <w:r>
              <w:t xml:space="preserve">3. </w:t>
            </w:r>
            <w:r w:rsidR="00562CE1">
              <w:t xml:space="preserve">Ar institucija gali pateikti daugiau nei vieną paraišką? </w:t>
            </w:r>
          </w:p>
          <w:p w:rsidR="00FC4965" w:rsidRPr="00A47D63" w:rsidRDefault="00AE17B3" w:rsidP="00562CE1">
            <w:pPr>
              <w:pStyle w:val="Default"/>
              <w:jc w:val="both"/>
            </w:pPr>
            <w:r>
              <w:lastRenderedPageBreak/>
              <w:t xml:space="preserve">4. </w:t>
            </w:r>
            <w:r w:rsidR="00562CE1">
              <w:t>Ar bus finansuojama profesijos mokytojų technologinių kompetencijų tobulinimo programų ir mokymo medžiagos rengimas, atnaujinimas?</w:t>
            </w:r>
          </w:p>
        </w:tc>
        <w:tc>
          <w:tcPr>
            <w:tcW w:w="1559" w:type="dxa"/>
          </w:tcPr>
          <w:p w:rsidR="00FC4965" w:rsidRPr="00FC4965" w:rsidRDefault="00F968CD" w:rsidP="00A47D63">
            <w:pPr>
              <w:jc w:val="center"/>
              <w:rPr>
                <w:rFonts w:ascii="Times New Roman" w:hAnsi="Times New Roman" w:cs="Times New Roman"/>
                <w:sz w:val="24"/>
                <w:szCs w:val="24"/>
              </w:rPr>
            </w:pPr>
            <w:r>
              <w:rPr>
                <w:rFonts w:ascii="Times New Roman" w:hAnsi="Times New Roman" w:cs="Times New Roman"/>
                <w:sz w:val="24"/>
                <w:szCs w:val="24"/>
              </w:rPr>
              <w:lastRenderedPageBreak/>
              <w:t>PFSA korekcijos nereikalingos</w:t>
            </w:r>
          </w:p>
        </w:tc>
        <w:tc>
          <w:tcPr>
            <w:tcW w:w="3792" w:type="dxa"/>
          </w:tcPr>
          <w:p w:rsidR="00AE17B3" w:rsidRDefault="00AE17B3" w:rsidP="00AE17B3">
            <w:pPr>
              <w:pStyle w:val="Default"/>
              <w:jc w:val="both"/>
            </w:pPr>
            <w:r>
              <w:t xml:space="preserve">Koreguoti pagal pastabas PFSA nereikia, nes: </w:t>
            </w:r>
          </w:p>
          <w:p w:rsidR="00FC4965" w:rsidRDefault="00AE17B3" w:rsidP="00AE17B3">
            <w:pPr>
              <w:pStyle w:val="Default"/>
              <w:numPr>
                <w:ilvl w:val="0"/>
                <w:numId w:val="10"/>
              </w:numPr>
              <w:ind w:left="0" w:firstLine="360"/>
              <w:jc w:val="both"/>
            </w:pPr>
            <w:r>
              <w:t xml:space="preserve">Šis PFSA yra pirmasis </w:t>
            </w:r>
            <w:r>
              <w:t>priemonėje. Atsižvelgiant į tai, kad priemonėje yra dar trys veiklos, pl</w:t>
            </w:r>
            <w:r>
              <w:t xml:space="preserve">anuojama parengti dar du PFSA. PFSA Nr. 2 </w:t>
            </w:r>
            <w:r>
              <w:t xml:space="preserve">bus skirtas priemonės veiklai „Suaugusiųjų, nebaigusių bendrojo ugdymo programos ir norinčių ją baigti (atskirai arba kartu su profesine kvalifikacija), įtraukimas į mokymo programas“. </w:t>
            </w:r>
            <w:r>
              <w:lastRenderedPageBreak/>
              <w:t>Atsižvelgiant į tai, kad šios veiklos jau patvirtinti specialieji ir prioritetiniai projektų atrankos kriterijai ir norint nestabdyti jos įgyvendinimo, likusioms pagal Aprašą finansuojamoms veikloms („Mokytojų, siekiančių įgyti aukštojo mokslo kvalifikaciją arba jos dalį, įtraukimas į mokymo programas“ ir „Senjorų mokymosi galimybių plėtra“), kurių projektų atrankos kriterijai dar nepatvirtint</w:t>
            </w:r>
            <w:r>
              <w:t>i, bus rengiamas Aprašas Nr. 3.</w:t>
            </w:r>
          </w:p>
          <w:p w:rsidR="00AE17B3" w:rsidRDefault="00AE17B3" w:rsidP="00AE17B3">
            <w:pPr>
              <w:pStyle w:val="Default"/>
              <w:numPr>
                <w:ilvl w:val="0"/>
                <w:numId w:val="10"/>
              </w:numPr>
              <w:ind w:left="0" w:firstLine="360"/>
              <w:jc w:val="both"/>
            </w:pPr>
            <w:r>
              <w:t>P</w:t>
            </w:r>
            <w:r w:rsidRPr="00350834">
              <w:t>agal šį PFSA</w:t>
            </w:r>
            <w:r>
              <w:t xml:space="preserve"> Lietuvos aukštosios mokyklos</w:t>
            </w:r>
            <w:r>
              <w:t xml:space="preserve"> negalės būti pareiškėjais. </w:t>
            </w:r>
            <w:r>
              <w:t xml:space="preserve">Lietuvos aukštosios mokyklos </w:t>
            </w:r>
            <w:r>
              <w:t>gal</w:t>
            </w:r>
            <w:r>
              <w:t xml:space="preserve">ės būti pareiškėjais pagal </w:t>
            </w:r>
            <w:r>
              <w:t>dar tik planuojamą rengti šios priemonės PFSA</w:t>
            </w:r>
            <w:r>
              <w:t xml:space="preserve"> Nr. 3</w:t>
            </w:r>
            <w:r>
              <w:t>, kuriame t</w:t>
            </w:r>
            <w:r>
              <w:t xml:space="preserve">arp remiamų veiklų bus įvardintos veiklos: </w:t>
            </w:r>
            <w:r>
              <w:t>„Mokytojų, siekiančių įgyti aukštojo mokslo kvalifikaciją arba jos dalį, įtraukimas į mokymo programas“ ir „Senj</w:t>
            </w:r>
            <w:r>
              <w:t xml:space="preserve">orų mokymosi galimybių plėtra“. </w:t>
            </w:r>
          </w:p>
          <w:p w:rsidR="00AE17B3" w:rsidRDefault="005330FC" w:rsidP="00AE17B3">
            <w:pPr>
              <w:pStyle w:val="Default"/>
              <w:numPr>
                <w:ilvl w:val="0"/>
                <w:numId w:val="10"/>
              </w:numPr>
              <w:ind w:left="0" w:firstLine="360"/>
              <w:jc w:val="both"/>
            </w:pPr>
            <w:r>
              <w:t xml:space="preserve">Paraiškų skaičius pagal PFSA 10 punktą yra ribojamas tik švietimo sritims. Institucijoms paraiškų skaičiaus PFSA neriboja. </w:t>
            </w:r>
          </w:p>
          <w:p w:rsidR="005D0367" w:rsidRDefault="005D0367" w:rsidP="00AE17B3">
            <w:pPr>
              <w:pStyle w:val="Default"/>
              <w:numPr>
                <w:ilvl w:val="0"/>
                <w:numId w:val="10"/>
              </w:numPr>
              <w:ind w:left="0" w:firstLine="360"/>
              <w:jc w:val="both"/>
            </w:pPr>
            <w:r>
              <w:t xml:space="preserve">Taip, numatoma finansuoti ir </w:t>
            </w:r>
            <w:r>
              <w:t>profesijos mokytojų technologinių kompetencijų tobulinimo progr</w:t>
            </w:r>
            <w:r>
              <w:t>amų ir mokymo medžiagos rengimą, atnaujinimą, išskyrus PFSA 15 punkte įvardintų</w:t>
            </w:r>
            <w:r w:rsidRPr="006C0C66">
              <w:t xml:space="preserve"> technologinių kompetencijų </w:t>
            </w:r>
            <w:r w:rsidRPr="006C0C66">
              <w:lastRenderedPageBreak/>
              <w:t>tobulinimo program</w:t>
            </w:r>
            <w:r w:rsidR="00233EE3">
              <w:t>ų ir mokymo medžiagos parengimą.</w:t>
            </w:r>
          </w:p>
        </w:tc>
      </w:tr>
    </w:tbl>
    <w:p w:rsidR="001737A5" w:rsidRDefault="001737A5">
      <w:pPr>
        <w:rPr>
          <w:rFonts w:ascii="Times New Roman" w:hAnsi="Times New Roman" w:cs="Times New Roman"/>
          <w:sz w:val="24"/>
          <w:szCs w:val="24"/>
        </w:rPr>
      </w:pPr>
    </w:p>
    <w:p w:rsidR="00FD32AD" w:rsidRPr="001737A5" w:rsidRDefault="001737A5" w:rsidP="001737A5">
      <w:pPr>
        <w:tabs>
          <w:tab w:val="left" w:pos="6465"/>
        </w:tabs>
        <w:rPr>
          <w:rFonts w:ascii="Times New Roman" w:hAnsi="Times New Roman" w:cs="Times New Roman"/>
          <w:sz w:val="24"/>
          <w:szCs w:val="24"/>
        </w:rPr>
      </w:pPr>
      <w:r>
        <w:rPr>
          <w:rFonts w:ascii="Times New Roman" w:hAnsi="Times New Roman" w:cs="Times New Roman"/>
          <w:sz w:val="24"/>
          <w:szCs w:val="24"/>
        </w:rPr>
        <w:tab/>
        <w:t>______________________</w:t>
      </w:r>
      <w:bookmarkStart w:id="0" w:name="_GoBack"/>
      <w:bookmarkEnd w:id="0"/>
    </w:p>
    <w:sectPr w:rsidR="00FD32AD" w:rsidRPr="001737A5" w:rsidSect="001F44A3">
      <w:pgSz w:w="16838" w:h="11906" w:orient="landscape"/>
      <w:pgMar w:top="567" w:right="113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FB16B2"/>
    <w:multiLevelType w:val="hybridMultilevel"/>
    <w:tmpl w:val="4A38D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6822E2"/>
    <w:multiLevelType w:val="hybridMultilevel"/>
    <w:tmpl w:val="CCAC8BA0"/>
    <w:lvl w:ilvl="0" w:tplc="DACC4EB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2"/>
  </w:num>
  <w:num w:numId="5">
    <w:abstractNumId w:val="1"/>
  </w:num>
  <w:num w:numId="6">
    <w:abstractNumId w:val="0"/>
  </w:num>
  <w:num w:numId="7">
    <w:abstractNumId w:val="3"/>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7679"/>
    <w:rsid w:val="0002776D"/>
    <w:rsid w:val="0003518B"/>
    <w:rsid w:val="00045CFA"/>
    <w:rsid w:val="000B4D22"/>
    <w:rsid w:val="000E5235"/>
    <w:rsid w:val="00125841"/>
    <w:rsid w:val="00142318"/>
    <w:rsid w:val="001737A5"/>
    <w:rsid w:val="001F44A3"/>
    <w:rsid w:val="00200C98"/>
    <w:rsid w:val="00233EE3"/>
    <w:rsid w:val="002535C1"/>
    <w:rsid w:val="00283CB2"/>
    <w:rsid w:val="002A4A1F"/>
    <w:rsid w:val="00324059"/>
    <w:rsid w:val="00350834"/>
    <w:rsid w:val="00350C00"/>
    <w:rsid w:val="00371782"/>
    <w:rsid w:val="003802F2"/>
    <w:rsid w:val="003D1571"/>
    <w:rsid w:val="00406FB3"/>
    <w:rsid w:val="00452243"/>
    <w:rsid w:val="004712CF"/>
    <w:rsid w:val="00472E2A"/>
    <w:rsid w:val="00495AB0"/>
    <w:rsid w:val="004E69EB"/>
    <w:rsid w:val="005330FC"/>
    <w:rsid w:val="00562CE1"/>
    <w:rsid w:val="00584778"/>
    <w:rsid w:val="005D0367"/>
    <w:rsid w:val="00605001"/>
    <w:rsid w:val="006063EC"/>
    <w:rsid w:val="00667CAB"/>
    <w:rsid w:val="006F13FD"/>
    <w:rsid w:val="00711BF5"/>
    <w:rsid w:val="007140C5"/>
    <w:rsid w:val="0072005F"/>
    <w:rsid w:val="007360BB"/>
    <w:rsid w:val="007540B7"/>
    <w:rsid w:val="0075612A"/>
    <w:rsid w:val="008A4FCA"/>
    <w:rsid w:val="008B077E"/>
    <w:rsid w:val="00957A2F"/>
    <w:rsid w:val="009712B4"/>
    <w:rsid w:val="00A473F4"/>
    <w:rsid w:val="00A47D63"/>
    <w:rsid w:val="00A527A2"/>
    <w:rsid w:val="00A6149B"/>
    <w:rsid w:val="00A75E77"/>
    <w:rsid w:val="00A76E30"/>
    <w:rsid w:val="00A9126D"/>
    <w:rsid w:val="00AA506B"/>
    <w:rsid w:val="00AD14AB"/>
    <w:rsid w:val="00AE17B3"/>
    <w:rsid w:val="00B678EB"/>
    <w:rsid w:val="00BB4DEF"/>
    <w:rsid w:val="00BC170B"/>
    <w:rsid w:val="00BC5ADE"/>
    <w:rsid w:val="00BD1EA9"/>
    <w:rsid w:val="00C36ED9"/>
    <w:rsid w:val="00C539E4"/>
    <w:rsid w:val="00CA415B"/>
    <w:rsid w:val="00CB04C6"/>
    <w:rsid w:val="00CD3E00"/>
    <w:rsid w:val="00D24CF5"/>
    <w:rsid w:val="00D40B49"/>
    <w:rsid w:val="00D740B6"/>
    <w:rsid w:val="00D84755"/>
    <w:rsid w:val="00D857DB"/>
    <w:rsid w:val="00E13329"/>
    <w:rsid w:val="00E265CE"/>
    <w:rsid w:val="00E5574C"/>
    <w:rsid w:val="00EC75C7"/>
    <w:rsid w:val="00ED4AF1"/>
    <w:rsid w:val="00EE6CDE"/>
    <w:rsid w:val="00EF366D"/>
    <w:rsid w:val="00F27488"/>
    <w:rsid w:val="00F83EEE"/>
    <w:rsid w:val="00F968CD"/>
    <w:rsid w:val="00FC4965"/>
    <w:rsid w:val="00FD3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7050">
      <w:bodyDiv w:val="1"/>
      <w:marLeft w:val="0"/>
      <w:marRight w:val="0"/>
      <w:marTop w:val="0"/>
      <w:marBottom w:val="0"/>
      <w:divBdr>
        <w:top w:val="none" w:sz="0" w:space="0" w:color="auto"/>
        <w:left w:val="none" w:sz="0" w:space="0" w:color="auto"/>
        <w:bottom w:val="none" w:sz="0" w:space="0" w:color="auto"/>
        <w:right w:val="none" w:sz="0" w:space="0" w:color="auto"/>
      </w:divBdr>
    </w:div>
    <w:div w:id="408119211">
      <w:bodyDiv w:val="1"/>
      <w:marLeft w:val="0"/>
      <w:marRight w:val="0"/>
      <w:marTop w:val="0"/>
      <w:marBottom w:val="0"/>
      <w:divBdr>
        <w:top w:val="none" w:sz="0" w:space="0" w:color="auto"/>
        <w:left w:val="none" w:sz="0" w:space="0" w:color="auto"/>
        <w:bottom w:val="none" w:sz="0" w:space="0" w:color="auto"/>
        <w:right w:val="none" w:sz="0" w:space="0" w:color="auto"/>
      </w:divBdr>
    </w:div>
    <w:div w:id="1561862458">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2716</Words>
  <Characters>1549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Banuškevičiūtė Giedrė</cp:lastModifiedBy>
  <cp:revision>12</cp:revision>
  <cp:lastPrinted>2016-03-30T06:30:00Z</cp:lastPrinted>
  <dcterms:created xsi:type="dcterms:W3CDTF">2016-07-20T10:38:00Z</dcterms:created>
  <dcterms:modified xsi:type="dcterms:W3CDTF">2016-07-20T11:08:00Z</dcterms:modified>
</cp:coreProperties>
</file>