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FA0A6" w14:textId="77777777" w:rsidR="00DB648A" w:rsidRPr="00FB41EA" w:rsidRDefault="005F0F73" w:rsidP="00DB648A">
      <w:pPr>
        <w:pStyle w:val="001-lineSectionheading"/>
        <w:spacing w:after="360"/>
        <w:outlineLvl w:val="0"/>
        <w:rPr>
          <w:noProof w:val="0"/>
          <w:lang w:val="en-GB"/>
        </w:rPr>
      </w:pPr>
      <w:r w:rsidRPr="00FB41EA">
        <w:rPr>
          <w:noProof w:val="0"/>
          <w:lang w:val="en-GB"/>
        </w:rPr>
        <w:t xml:space="preserve">Summary </w:t>
      </w:r>
    </w:p>
    <w:p w14:paraId="6D52D592" w14:textId="07A2628C" w:rsidR="007B613D" w:rsidRPr="00FB41EA" w:rsidRDefault="008336DF" w:rsidP="007B613D">
      <w:pPr>
        <w:spacing w:before="120" w:after="0" w:line="240" w:lineRule="auto"/>
        <w:jc w:val="both"/>
        <w:rPr>
          <w:rFonts w:eastAsia="Times New Roman"/>
          <w:sz w:val="20"/>
          <w:szCs w:val="20"/>
          <w:lang w:val="en-GB"/>
        </w:rPr>
      </w:pPr>
      <w:r w:rsidRPr="00FB41EA">
        <w:rPr>
          <w:rFonts w:cs="Arial"/>
          <w:sz w:val="20"/>
          <w:lang w:val="en-GB"/>
        </w:rPr>
        <w:t>Deloitte Lietuva</w:t>
      </w:r>
      <w:r w:rsidR="00C45FCA" w:rsidRPr="00FB41EA">
        <w:rPr>
          <w:rFonts w:cs="Arial"/>
          <w:sz w:val="20"/>
          <w:lang w:val="en-GB"/>
        </w:rPr>
        <w:t xml:space="preserve"> </w:t>
      </w:r>
      <w:r w:rsidR="00C30BF3" w:rsidRPr="00FB41EA">
        <w:rPr>
          <w:rFonts w:cs="Arial"/>
          <w:sz w:val="20"/>
          <w:lang w:val="en-GB"/>
        </w:rPr>
        <w:t>UAB</w:t>
      </w:r>
      <w:r w:rsidR="00E40BEF" w:rsidRPr="00FB41EA">
        <w:rPr>
          <w:rFonts w:cs="Arial"/>
          <w:sz w:val="20"/>
          <w:lang w:val="en-GB"/>
        </w:rPr>
        <w:t>,</w:t>
      </w:r>
      <w:r w:rsidR="00C30BF3" w:rsidRPr="00FB41EA">
        <w:rPr>
          <w:rFonts w:cs="Arial"/>
          <w:sz w:val="20"/>
          <w:lang w:val="en-GB"/>
        </w:rPr>
        <w:t xml:space="preserve"> in collab</w:t>
      </w:r>
      <w:r w:rsidR="00E729B6" w:rsidRPr="00FB41EA">
        <w:rPr>
          <w:rFonts w:cs="Arial"/>
          <w:sz w:val="20"/>
          <w:lang w:val="en-GB"/>
        </w:rPr>
        <w:t>o</w:t>
      </w:r>
      <w:r w:rsidR="00C30BF3" w:rsidRPr="00FB41EA">
        <w:rPr>
          <w:rFonts w:cs="Arial"/>
          <w:sz w:val="20"/>
          <w:lang w:val="en-GB"/>
        </w:rPr>
        <w:t>ration with Integra Consulting</w:t>
      </w:r>
      <w:r w:rsidRPr="00FB41EA">
        <w:rPr>
          <w:rFonts w:cs="Arial"/>
          <w:sz w:val="20"/>
          <w:lang w:val="en-GB"/>
        </w:rPr>
        <w:t xml:space="preserve"> Ltd.</w:t>
      </w:r>
      <w:r w:rsidR="00E40BEF" w:rsidRPr="00FB41EA">
        <w:rPr>
          <w:rFonts w:cs="Arial"/>
          <w:sz w:val="20"/>
          <w:lang w:val="en-GB"/>
        </w:rPr>
        <w:t>,</w:t>
      </w:r>
      <w:r w:rsidRPr="00FB41EA">
        <w:rPr>
          <w:rFonts w:cs="Arial"/>
          <w:sz w:val="20"/>
          <w:lang w:val="en-GB"/>
        </w:rPr>
        <w:t xml:space="preserve"> </w:t>
      </w:r>
      <w:r w:rsidR="00C30BF3" w:rsidRPr="00FB41EA">
        <w:rPr>
          <w:rFonts w:cs="Arial"/>
          <w:sz w:val="20"/>
          <w:lang w:val="en-GB"/>
        </w:rPr>
        <w:t>performed a</w:t>
      </w:r>
      <w:r w:rsidR="00E729B6" w:rsidRPr="00FB41EA">
        <w:rPr>
          <w:rFonts w:cs="Arial"/>
          <w:sz w:val="20"/>
          <w:lang w:val="en-GB"/>
        </w:rPr>
        <w:t>n</w:t>
      </w:r>
      <w:r w:rsidR="00C30BF3" w:rsidRPr="00FB41EA">
        <w:rPr>
          <w:rFonts w:cs="Arial"/>
          <w:sz w:val="20"/>
          <w:lang w:val="en-GB"/>
        </w:rPr>
        <w:t xml:space="preserve"> </w:t>
      </w:r>
      <w:r w:rsidR="00E729B6" w:rsidRPr="00FB41EA">
        <w:rPr>
          <w:rFonts w:cs="Arial"/>
          <w:sz w:val="20"/>
          <w:lang w:val="en-GB"/>
        </w:rPr>
        <w:t>evaluation of the impact of 2007–2013 European Union (hereinafter – EU) structural assistance on sustainable development in Lithuania for the Ministry of Finance of the Republic of Lithuania</w:t>
      </w:r>
      <w:r w:rsidR="00E04A16" w:rsidRPr="00FB41EA">
        <w:rPr>
          <w:rFonts w:cs="Arial"/>
          <w:sz w:val="20"/>
          <w:lang w:val="en-GB"/>
        </w:rPr>
        <w:t>.</w:t>
      </w:r>
      <w:r w:rsidR="00D94908" w:rsidRPr="00FB41EA">
        <w:rPr>
          <w:rFonts w:cs="Arial"/>
          <w:sz w:val="20"/>
          <w:lang w:val="en-GB"/>
        </w:rPr>
        <w:t xml:space="preserve"> </w:t>
      </w:r>
      <w:r w:rsidR="00E729B6" w:rsidRPr="00FB41EA">
        <w:rPr>
          <w:rFonts w:eastAsia="Times New Roman"/>
          <w:b/>
          <w:color w:val="6D9F00"/>
          <w:sz w:val="20"/>
          <w:szCs w:val="20"/>
          <w:lang w:val="en-GB"/>
        </w:rPr>
        <w:t>The purpose of the evaluation</w:t>
      </w:r>
      <w:r w:rsidR="007B613D" w:rsidRPr="00FB41EA">
        <w:rPr>
          <w:rFonts w:eastAsia="Times New Roman"/>
          <w:color w:val="6D9F00"/>
          <w:sz w:val="20"/>
          <w:szCs w:val="20"/>
          <w:lang w:val="en-GB"/>
        </w:rPr>
        <w:t xml:space="preserve"> </w:t>
      </w:r>
      <w:r w:rsidR="007B613D" w:rsidRPr="00FB41EA">
        <w:rPr>
          <w:rFonts w:eastAsia="Times New Roman"/>
          <w:sz w:val="20"/>
          <w:szCs w:val="20"/>
          <w:lang w:val="en-GB"/>
        </w:rPr>
        <w:t xml:space="preserve">– </w:t>
      </w:r>
      <w:r w:rsidR="00F463CE" w:rsidRPr="00FB41EA">
        <w:rPr>
          <w:rFonts w:eastAsia="Times New Roman"/>
          <w:sz w:val="20"/>
          <w:szCs w:val="20"/>
          <w:lang w:val="en-GB"/>
        </w:rPr>
        <w:t>determining the impact of 2007–2013 EU structural assistance on sustainable development</w:t>
      </w:r>
      <w:r w:rsidR="007B613D" w:rsidRPr="00FB41EA">
        <w:rPr>
          <w:rFonts w:eastAsia="Times New Roman"/>
          <w:sz w:val="20"/>
          <w:szCs w:val="20"/>
          <w:lang w:val="en-GB"/>
        </w:rPr>
        <w:t xml:space="preserve">, </w:t>
      </w:r>
      <w:r w:rsidR="00F463CE" w:rsidRPr="00FB41EA">
        <w:rPr>
          <w:rFonts w:eastAsia="Times New Roman"/>
          <w:sz w:val="20"/>
          <w:szCs w:val="20"/>
          <w:lang w:val="en-GB"/>
        </w:rPr>
        <w:t>with the objective to appropriately account for the implementation of funds during the period of 2007–2013 and to improve the implementation of funds during</w:t>
      </w:r>
      <w:r w:rsidR="007B613D" w:rsidRPr="00FB41EA">
        <w:rPr>
          <w:rFonts w:eastAsia="Times New Roman"/>
          <w:sz w:val="20"/>
          <w:szCs w:val="20"/>
          <w:lang w:val="en-GB"/>
        </w:rPr>
        <w:t xml:space="preserve"> 2014–2020. </w:t>
      </w:r>
    </w:p>
    <w:p w14:paraId="1DD83701" w14:textId="77777777" w:rsidR="007B613D" w:rsidRPr="00FB41EA" w:rsidRDefault="005F0F73" w:rsidP="007B613D">
      <w:pPr>
        <w:spacing w:before="120" w:after="0" w:line="240" w:lineRule="auto"/>
        <w:jc w:val="both"/>
        <w:rPr>
          <w:rFonts w:eastAsia="Times New Roman"/>
          <w:sz w:val="20"/>
          <w:szCs w:val="20"/>
          <w:lang w:val="en-GB"/>
        </w:rPr>
      </w:pPr>
      <w:r w:rsidRPr="00FB41EA">
        <w:rPr>
          <w:rFonts w:eastAsia="Times New Roman"/>
          <w:sz w:val="20"/>
          <w:szCs w:val="20"/>
          <w:lang w:val="en-GB"/>
        </w:rPr>
        <w:t xml:space="preserve">Furthermore, the purpose of the evaluation </w:t>
      </w:r>
      <w:proofErr w:type="gramStart"/>
      <w:r w:rsidRPr="00FB41EA">
        <w:rPr>
          <w:rFonts w:eastAsia="Times New Roman"/>
          <w:sz w:val="20"/>
          <w:szCs w:val="20"/>
          <w:lang w:val="en-GB"/>
        </w:rPr>
        <w:t>is divided</w:t>
      </w:r>
      <w:proofErr w:type="gramEnd"/>
      <w:r w:rsidRPr="00FB41EA">
        <w:rPr>
          <w:rFonts w:eastAsia="Times New Roman"/>
          <w:sz w:val="20"/>
          <w:szCs w:val="20"/>
          <w:lang w:val="en-GB"/>
        </w:rPr>
        <w:t xml:space="preserve"> into </w:t>
      </w:r>
      <w:r w:rsidRPr="00FB41EA">
        <w:rPr>
          <w:rFonts w:eastAsia="Times New Roman"/>
          <w:b/>
          <w:color w:val="6D9F00"/>
          <w:sz w:val="20"/>
          <w:szCs w:val="20"/>
          <w:lang w:val="en-GB"/>
        </w:rPr>
        <w:t>two subtasks</w:t>
      </w:r>
      <w:r w:rsidRPr="00FB41EA">
        <w:rPr>
          <w:rFonts w:eastAsia="Times New Roman"/>
          <w:sz w:val="20"/>
          <w:szCs w:val="20"/>
          <w:lang w:val="en-GB"/>
        </w:rPr>
        <w:t xml:space="preserve">: </w:t>
      </w:r>
    </w:p>
    <w:p w14:paraId="0AC2E9AC" w14:textId="77777777" w:rsidR="007B613D" w:rsidRPr="00FB41EA" w:rsidRDefault="00343866" w:rsidP="00277672">
      <w:pPr>
        <w:numPr>
          <w:ilvl w:val="0"/>
          <w:numId w:val="1"/>
        </w:numPr>
        <w:spacing w:before="120" w:after="0" w:line="240" w:lineRule="auto"/>
        <w:contextualSpacing/>
        <w:jc w:val="both"/>
        <w:rPr>
          <w:rFonts w:eastAsia="Times New Roman"/>
          <w:sz w:val="20"/>
          <w:szCs w:val="20"/>
          <w:lang w:val="en-GB"/>
        </w:rPr>
      </w:pPr>
      <w:r w:rsidRPr="00FB41EA">
        <w:rPr>
          <w:rFonts w:eastAsia="Times New Roman"/>
          <w:sz w:val="20"/>
          <w:szCs w:val="20"/>
          <w:lang w:val="en-GB"/>
        </w:rPr>
        <w:t xml:space="preserve">Evaluating the integration of the principles </w:t>
      </w:r>
      <w:r w:rsidR="00277672" w:rsidRPr="00FB41EA">
        <w:rPr>
          <w:rFonts w:eastAsia="Times New Roman"/>
          <w:sz w:val="20"/>
          <w:szCs w:val="20"/>
          <w:lang w:val="en-GB"/>
        </w:rPr>
        <w:t xml:space="preserve">(suitability, adequacy, consistency) </w:t>
      </w:r>
      <w:r w:rsidRPr="00FB41EA">
        <w:rPr>
          <w:rFonts w:eastAsia="Times New Roman"/>
          <w:sz w:val="20"/>
          <w:szCs w:val="20"/>
          <w:lang w:val="en-GB"/>
        </w:rPr>
        <w:t xml:space="preserve">of sustainable development priority into the 2007–2013 operational programme implementation </w:t>
      </w:r>
    </w:p>
    <w:p w14:paraId="728B29D2" w14:textId="57DF4BF7" w:rsidR="007B613D" w:rsidRPr="00FB41EA" w:rsidRDefault="00277672" w:rsidP="00E8649A">
      <w:pPr>
        <w:numPr>
          <w:ilvl w:val="0"/>
          <w:numId w:val="1"/>
        </w:numPr>
        <w:spacing w:after="0" w:line="240" w:lineRule="auto"/>
        <w:contextualSpacing/>
        <w:jc w:val="both"/>
        <w:rPr>
          <w:rFonts w:eastAsia="Times New Roman"/>
          <w:sz w:val="20"/>
          <w:szCs w:val="20"/>
          <w:lang w:val="en-GB"/>
        </w:rPr>
      </w:pPr>
      <w:r w:rsidRPr="00FB41EA">
        <w:rPr>
          <w:rFonts w:eastAsia="Times New Roman"/>
          <w:sz w:val="20"/>
          <w:szCs w:val="20"/>
          <w:lang w:val="en-GB"/>
        </w:rPr>
        <w:t xml:space="preserve">Evaluating the implementation (effectiveness, impact) of the </w:t>
      </w:r>
      <w:r w:rsidR="0044413A" w:rsidRPr="00FB41EA">
        <w:rPr>
          <w:rFonts w:eastAsia="Times New Roman"/>
          <w:sz w:val="20"/>
          <w:szCs w:val="20"/>
          <w:lang w:val="en-GB"/>
        </w:rPr>
        <w:t xml:space="preserve">horizontal priority objectives </w:t>
      </w:r>
      <w:r w:rsidR="0044413A">
        <w:rPr>
          <w:rFonts w:eastAsia="Times New Roman"/>
          <w:sz w:val="20"/>
          <w:szCs w:val="20"/>
          <w:lang w:val="en-GB"/>
        </w:rPr>
        <w:t xml:space="preserve">of </w:t>
      </w:r>
      <w:r w:rsidR="000033DF" w:rsidRPr="00FB41EA">
        <w:rPr>
          <w:rFonts w:eastAsia="Times New Roman"/>
          <w:sz w:val="20"/>
          <w:szCs w:val="20"/>
          <w:lang w:val="en-GB"/>
        </w:rPr>
        <w:t>sustainable development</w:t>
      </w:r>
      <w:r w:rsidR="000D607A" w:rsidRPr="00FB41EA">
        <w:rPr>
          <w:rFonts w:eastAsia="Times New Roman"/>
          <w:sz w:val="20"/>
          <w:szCs w:val="20"/>
          <w:lang w:val="en-GB"/>
        </w:rPr>
        <w:t xml:space="preserve">, as provided </w:t>
      </w:r>
      <w:r w:rsidR="00227089" w:rsidRPr="00FB41EA">
        <w:rPr>
          <w:rFonts w:eastAsia="Times New Roman"/>
          <w:sz w:val="20"/>
          <w:szCs w:val="20"/>
          <w:lang w:val="en-GB"/>
        </w:rPr>
        <w:t>in the Lithuania</w:t>
      </w:r>
      <w:r w:rsidR="00DD06BE" w:rsidRPr="00FB41EA">
        <w:rPr>
          <w:rFonts w:eastAsia="Times New Roman"/>
          <w:sz w:val="20"/>
          <w:szCs w:val="20"/>
          <w:lang w:val="en-GB"/>
        </w:rPr>
        <w:t>n</w:t>
      </w:r>
      <w:r w:rsidR="00227089" w:rsidRPr="00FB41EA">
        <w:rPr>
          <w:rFonts w:eastAsia="Times New Roman"/>
          <w:sz w:val="20"/>
          <w:szCs w:val="20"/>
          <w:lang w:val="en-GB"/>
        </w:rPr>
        <w:t xml:space="preserve"> strategy </w:t>
      </w:r>
      <w:r w:rsidR="003047BA" w:rsidRPr="00FB41EA">
        <w:rPr>
          <w:rFonts w:eastAsia="Times New Roman"/>
          <w:sz w:val="20"/>
          <w:szCs w:val="20"/>
          <w:lang w:val="en-GB"/>
        </w:rPr>
        <w:t>of adopting</w:t>
      </w:r>
      <w:r w:rsidR="0044413A">
        <w:rPr>
          <w:rFonts w:eastAsia="Times New Roman"/>
          <w:sz w:val="20"/>
          <w:szCs w:val="20"/>
          <w:lang w:val="en-GB"/>
        </w:rPr>
        <w:t xml:space="preserve"> the</w:t>
      </w:r>
      <w:r w:rsidR="003047BA" w:rsidRPr="00FB41EA">
        <w:rPr>
          <w:rFonts w:eastAsia="Times New Roman"/>
          <w:sz w:val="20"/>
          <w:szCs w:val="20"/>
          <w:lang w:val="en-GB"/>
        </w:rPr>
        <w:t xml:space="preserve"> 2007–2013 EU structural assistance </w:t>
      </w:r>
      <w:r w:rsidR="00DD06BE" w:rsidRPr="00FB41EA">
        <w:rPr>
          <w:rFonts w:eastAsia="Times New Roman"/>
          <w:sz w:val="20"/>
          <w:szCs w:val="20"/>
          <w:lang w:val="en-GB"/>
        </w:rPr>
        <w:t xml:space="preserve">(hereinafter – Strategy) </w:t>
      </w:r>
      <w:r w:rsidR="009924DC" w:rsidRPr="00FB41EA">
        <w:rPr>
          <w:rFonts w:eastAsia="Times New Roman"/>
          <w:sz w:val="20"/>
          <w:szCs w:val="20"/>
          <w:lang w:val="en-GB"/>
        </w:rPr>
        <w:t>and the operational programmes of its implementation</w:t>
      </w:r>
      <w:r w:rsidR="00E12D57" w:rsidRPr="00FB41EA">
        <w:rPr>
          <w:rFonts w:eastAsia="Times New Roman"/>
          <w:sz w:val="20"/>
          <w:szCs w:val="20"/>
          <w:lang w:val="en-GB"/>
        </w:rPr>
        <w:t xml:space="preserve"> (with the exception of </w:t>
      </w:r>
      <w:r w:rsidR="00E8649A" w:rsidRPr="00FB41EA">
        <w:rPr>
          <w:rFonts w:eastAsia="Times New Roman"/>
          <w:sz w:val="20"/>
          <w:szCs w:val="20"/>
          <w:lang w:val="en-GB"/>
        </w:rPr>
        <w:t>Technical Assistance Operational Programme</w:t>
      </w:r>
      <w:r w:rsidR="00E12D57" w:rsidRPr="00FB41EA">
        <w:rPr>
          <w:rFonts w:eastAsia="Times New Roman"/>
          <w:sz w:val="20"/>
          <w:szCs w:val="20"/>
          <w:lang w:val="en-GB"/>
        </w:rPr>
        <w:t>)</w:t>
      </w:r>
      <w:r w:rsidR="009924DC" w:rsidRPr="00FB41EA">
        <w:rPr>
          <w:rFonts w:eastAsia="Times New Roman"/>
          <w:sz w:val="20"/>
          <w:szCs w:val="20"/>
          <w:lang w:val="en-GB"/>
        </w:rPr>
        <w:t xml:space="preserve"> </w:t>
      </w:r>
    </w:p>
    <w:p w14:paraId="5FD06249" w14:textId="77777777" w:rsidR="00BC6473" w:rsidRPr="00FB41EA" w:rsidRDefault="003047BA" w:rsidP="00BC6473">
      <w:pPr>
        <w:spacing w:before="120"/>
        <w:jc w:val="both"/>
        <w:rPr>
          <w:rFonts w:cs="Arial"/>
          <w:sz w:val="20"/>
          <w:lang w:val="en-GB"/>
        </w:rPr>
      </w:pPr>
      <w:proofErr w:type="gramStart"/>
      <w:r w:rsidRPr="00FB41EA">
        <w:rPr>
          <w:rFonts w:cs="Arial"/>
          <w:sz w:val="20"/>
          <w:lang w:val="en-GB"/>
        </w:rPr>
        <w:t xml:space="preserve">The object of the evaluation is </w:t>
      </w:r>
      <w:r w:rsidR="003F6168" w:rsidRPr="00FB41EA">
        <w:rPr>
          <w:rFonts w:cs="Arial"/>
          <w:sz w:val="20"/>
          <w:lang w:val="en-GB"/>
        </w:rPr>
        <w:t>the Lithuanian strategy of adopting 2007–2013 EU structural assistance (hereinafter – Strategy) and the operational programmes of its implementation</w:t>
      </w:r>
      <w:r w:rsidR="00AC6BA6" w:rsidRPr="00FB41EA">
        <w:rPr>
          <w:rFonts w:cs="Arial"/>
          <w:sz w:val="20"/>
          <w:lang w:val="en-GB"/>
        </w:rPr>
        <w:t xml:space="preserve">: </w:t>
      </w:r>
      <w:r w:rsidR="00CF0D85" w:rsidRPr="00FB41EA">
        <w:rPr>
          <w:rFonts w:cs="Arial"/>
          <w:sz w:val="20"/>
          <w:lang w:val="en-GB"/>
        </w:rPr>
        <w:t xml:space="preserve">Operational Programme for the Development of Human Resources </w:t>
      </w:r>
      <w:r w:rsidR="00AC6BA6" w:rsidRPr="00FB41EA">
        <w:rPr>
          <w:rFonts w:cs="Arial"/>
          <w:sz w:val="20"/>
          <w:lang w:val="en-GB"/>
        </w:rPr>
        <w:t>(</w:t>
      </w:r>
      <w:r w:rsidR="008E31FA" w:rsidRPr="00FB41EA">
        <w:rPr>
          <w:rFonts w:cs="Arial"/>
          <w:sz w:val="20"/>
          <w:lang w:val="en-GB"/>
        </w:rPr>
        <w:t>OPDHR</w:t>
      </w:r>
      <w:r w:rsidR="00AC6BA6" w:rsidRPr="00FB41EA">
        <w:rPr>
          <w:rFonts w:cs="Arial"/>
          <w:sz w:val="20"/>
          <w:lang w:val="en-GB"/>
        </w:rPr>
        <w:t xml:space="preserve">), </w:t>
      </w:r>
      <w:r w:rsidR="00E8649A" w:rsidRPr="00FB41EA">
        <w:rPr>
          <w:rFonts w:cs="Arial"/>
          <w:sz w:val="20"/>
          <w:lang w:val="en-GB"/>
        </w:rPr>
        <w:t xml:space="preserve">Operational Programme for the </w:t>
      </w:r>
      <w:r w:rsidR="00D23F3B" w:rsidRPr="00FB41EA">
        <w:rPr>
          <w:rFonts w:cs="Arial"/>
          <w:sz w:val="20"/>
          <w:lang w:val="en-GB"/>
        </w:rPr>
        <w:t xml:space="preserve">Economic Growth </w:t>
      </w:r>
      <w:r w:rsidR="00AC6BA6" w:rsidRPr="00FB41EA">
        <w:rPr>
          <w:rFonts w:cs="Arial"/>
          <w:sz w:val="20"/>
          <w:lang w:val="en-GB"/>
        </w:rPr>
        <w:t>(</w:t>
      </w:r>
      <w:r w:rsidR="00CF0D85" w:rsidRPr="00FB41EA">
        <w:rPr>
          <w:rFonts w:cs="Arial"/>
          <w:sz w:val="20"/>
          <w:lang w:val="en-GB"/>
        </w:rPr>
        <w:t>OPEG</w:t>
      </w:r>
      <w:r w:rsidR="00AC6BA6" w:rsidRPr="00FB41EA">
        <w:rPr>
          <w:rFonts w:cs="Arial"/>
          <w:sz w:val="20"/>
          <w:lang w:val="en-GB"/>
        </w:rPr>
        <w:t>)</w:t>
      </w:r>
      <w:r w:rsidR="00AC5374" w:rsidRPr="00FB41EA">
        <w:rPr>
          <w:rFonts w:cs="Arial"/>
          <w:sz w:val="20"/>
          <w:lang w:val="en-GB"/>
        </w:rPr>
        <w:t xml:space="preserve"> </w:t>
      </w:r>
      <w:r w:rsidR="00CF0D85" w:rsidRPr="00FB41EA">
        <w:rPr>
          <w:rFonts w:cs="Arial"/>
          <w:sz w:val="20"/>
          <w:lang w:val="en-GB"/>
        </w:rPr>
        <w:t>and</w:t>
      </w:r>
      <w:r w:rsidR="00AC6BA6" w:rsidRPr="00FB41EA">
        <w:rPr>
          <w:rFonts w:cs="Arial"/>
          <w:sz w:val="20"/>
          <w:lang w:val="en-GB"/>
        </w:rPr>
        <w:t xml:space="preserve"> </w:t>
      </w:r>
      <w:r w:rsidR="00E8649A" w:rsidRPr="00FB41EA">
        <w:rPr>
          <w:rFonts w:cs="Arial"/>
          <w:sz w:val="20"/>
          <w:lang w:val="en-GB"/>
        </w:rPr>
        <w:t xml:space="preserve">Operational Programme for the Promotion of Cohesion </w:t>
      </w:r>
      <w:r w:rsidR="00AC6BA6" w:rsidRPr="00FB41EA">
        <w:rPr>
          <w:rFonts w:cs="Arial"/>
          <w:sz w:val="20"/>
          <w:lang w:val="en-GB"/>
        </w:rPr>
        <w:t>(</w:t>
      </w:r>
      <w:r w:rsidR="00E8649A" w:rsidRPr="00FB41EA">
        <w:rPr>
          <w:rFonts w:cs="Arial"/>
          <w:sz w:val="20"/>
          <w:lang w:val="en-GB"/>
        </w:rPr>
        <w:t>OPPC</w:t>
      </w:r>
      <w:r w:rsidR="00AC6BA6" w:rsidRPr="00FB41EA">
        <w:rPr>
          <w:rFonts w:cs="Arial"/>
          <w:sz w:val="20"/>
          <w:lang w:val="en-GB"/>
        </w:rPr>
        <w:t>)</w:t>
      </w:r>
      <w:r w:rsidR="00BC6473" w:rsidRPr="00FB41EA">
        <w:rPr>
          <w:rFonts w:cs="Arial"/>
          <w:sz w:val="20"/>
          <w:lang w:val="en-GB"/>
        </w:rPr>
        <w:t xml:space="preserve"> (</w:t>
      </w:r>
      <w:proofErr w:type="spellStart"/>
      <w:r w:rsidR="00E8649A" w:rsidRPr="00FB41EA">
        <w:rPr>
          <w:rFonts w:cs="Arial"/>
          <w:sz w:val="20"/>
          <w:lang w:val="en-GB"/>
        </w:rPr>
        <w:t>i</w:t>
      </w:r>
      <w:proofErr w:type="spellEnd"/>
      <w:r w:rsidR="00E8649A" w:rsidRPr="00FB41EA">
        <w:rPr>
          <w:rFonts w:cs="Arial"/>
          <w:sz w:val="20"/>
          <w:lang w:val="en-GB"/>
        </w:rPr>
        <w:t>.</w:t>
      </w:r>
      <w:r w:rsidR="00100BB6" w:rsidRPr="00FB41EA">
        <w:rPr>
          <w:rFonts w:cs="Arial"/>
          <w:sz w:val="20"/>
          <w:lang w:val="en-GB"/>
        </w:rPr>
        <w:t xml:space="preserve"> </w:t>
      </w:r>
      <w:r w:rsidR="00E8649A" w:rsidRPr="00FB41EA">
        <w:rPr>
          <w:rFonts w:cs="Arial"/>
          <w:sz w:val="20"/>
          <w:lang w:val="en-GB"/>
        </w:rPr>
        <w:t>e. all programmes with the exception of</w:t>
      </w:r>
      <w:r w:rsidR="00AC6BA6" w:rsidRPr="00FB41EA">
        <w:rPr>
          <w:rFonts w:cs="Arial"/>
          <w:sz w:val="20"/>
          <w:lang w:val="en-GB"/>
        </w:rPr>
        <w:t xml:space="preserve"> </w:t>
      </w:r>
      <w:r w:rsidR="00100BB6" w:rsidRPr="00FB41EA">
        <w:rPr>
          <w:rFonts w:cs="Arial"/>
          <w:sz w:val="20"/>
          <w:lang w:val="en-GB"/>
        </w:rPr>
        <w:t>Technical Assistance Operational Programme</w:t>
      </w:r>
      <w:r w:rsidR="00BC6473" w:rsidRPr="00FB41EA">
        <w:rPr>
          <w:rFonts w:cs="Arial"/>
          <w:sz w:val="20"/>
          <w:lang w:val="en-GB"/>
        </w:rPr>
        <w:t>).</w:t>
      </w:r>
      <w:proofErr w:type="gramEnd"/>
    </w:p>
    <w:p w14:paraId="5857743E" w14:textId="339BDDBC" w:rsidR="003A5E4F" w:rsidRPr="00FB41EA" w:rsidRDefault="00B6192A" w:rsidP="003A5E4F">
      <w:pPr>
        <w:jc w:val="both"/>
        <w:rPr>
          <w:sz w:val="20"/>
          <w:lang w:val="en-GB"/>
        </w:rPr>
      </w:pPr>
      <w:proofErr w:type="gramStart"/>
      <w:r w:rsidRPr="00FB41EA">
        <w:rPr>
          <w:sz w:val="20"/>
          <w:lang w:val="en-GB"/>
        </w:rPr>
        <w:t xml:space="preserve">The scope of the evaluation covers the analysis of the </w:t>
      </w:r>
      <w:r w:rsidR="00B65F5A" w:rsidRPr="00FB41EA">
        <w:rPr>
          <w:sz w:val="20"/>
          <w:lang w:val="en-GB"/>
        </w:rPr>
        <w:t xml:space="preserve">EU structural support measures (a total of 95) </w:t>
      </w:r>
      <w:r w:rsidR="00941DF4" w:rsidRPr="00FB41EA">
        <w:rPr>
          <w:sz w:val="20"/>
          <w:lang w:val="en-GB"/>
        </w:rPr>
        <w:t>as well as</w:t>
      </w:r>
      <w:r w:rsidR="00B65F5A" w:rsidRPr="00FB41EA">
        <w:rPr>
          <w:sz w:val="20"/>
          <w:lang w:val="en-GB"/>
        </w:rPr>
        <w:t xml:space="preserve"> strategic context </w:t>
      </w:r>
      <w:r w:rsidR="00941DF4" w:rsidRPr="00FB41EA">
        <w:rPr>
          <w:sz w:val="20"/>
          <w:lang w:val="en-GB"/>
        </w:rPr>
        <w:t>and</w:t>
      </w:r>
      <w:r w:rsidR="00B65F5A" w:rsidRPr="00FB41EA">
        <w:rPr>
          <w:sz w:val="20"/>
          <w:lang w:val="en-GB"/>
        </w:rPr>
        <w:t xml:space="preserve"> sustainable development indicators</w:t>
      </w:r>
      <w:r w:rsidR="00941DF4" w:rsidRPr="00FB41EA">
        <w:rPr>
          <w:sz w:val="20"/>
          <w:lang w:val="en-GB"/>
        </w:rPr>
        <w:t xml:space="preserve"> reflecting their investments,</w:t>
      </w:r>
      <w:r w:rsidR="00B65F5A" w:rsidRPr="00FB41EA">
        <w:rPr>
          <w:sz w:val="20"/>
          <w:lang w:val="en-GB"/>
        </w:rPr>
        <w:t xml:space="preserve"> </w:t>
      </w:r>
      <w:r w:rsidR="0044413A">
        <w:rPr>
          <w:sz w:val="20"/>
          <w:lang w:val="en-GB"/>
        </w:rPr>
        <w:t>which were identified</w:t>
      </w:r>
      <w:r w:rsidR="00783E58" w:rsidRPr="00FB41EA">
        <w:rPr>
          <w:sz w:val="20"/>
          <w:lang w:val="en-GB"/>
        </w:rPr>
        <w:t xml:space="preserve"> having evaluated their compliance with the sustainable development objectives of the horizontal priority</w:t>
      </w:r>
      <w:r w:rsidR="003A5E4F" w:rsidRPr="00FB41EA">
        <w:rPr>
          <w:sz w:val="20"/>
          <w:lang w:val="en-GB"/>
        </w:rPr>
        <w:t xml:space="preserve"> (</w:t>
      </w:r>
      <w:r w:rsidR="00CF43E5" w:rsidRPr="00FB41EA">
        <w:rPr>
          <w:sz w:val="20"/>
          <w:lang w:val="en-GB"/>
        </w:rPr>
        <w:t xml:space="preserve">mitigating </w:t>
      </w:r>
      <w:r w:rsidR="00783E58" w:rsidRPr="00FB41EA">
        <w:rPr>
          <w:sz w:val="20"/>
          <w:lang w:val="en-GB"/>
        </w:rPr>
        <w:t>climate change and adapt</w:t>
      </w:r>
      <w:r w:rsidR="00CF43E5" w:rsidRPr="00FB41EA">
        <w:rPr>
          <w:sz w:val="20"/>
          <w:lang w:val="en-GB"/>
        </w:rPr>
        <w:t>ing</w:t>
      </w:r>
      <w:r w:rsidR="00783E58" w:rsidRPr="00FB41EA">
        <w:rPr>
          <w:sz w:val="20"/>
          <w:lang w:val="en-GB"/>
        </w:rPr>
        <w:t xml:space="preserve"> to it</w:t>
      </w:r>
      <w:r w:rsidR="00AC5374" w:rsidRPr="00FB41EA">
        <w:rPr>
          <w:sz w:val="20"/>
          <w:lang w:val="en-GB"/>
        </w:rPr>
        <w:t xml:space="preserve">; </w:t>
      </w:r>
      <w:r w:rsidR="00783E58" w:rsidRPr="00FB41EA">
        <w:rPr>
          <w:sz w:val="20"/>
          <w:lang w:val="en-GB"/>
        </w:rPr>
        <w:t>transport development and reducing negative environmental impact</w:t>
      </w:r>
      <w:r w:rsidR="00AC5374" w:rsidRPr="00FB41EA">
        <w:rPr>
          <w:sz w:val="20"/>
          <w:lang w:val="en-GB"/>
        </w:rPr>
        <w:t xml:space="preserve">; </w:t>
      </w:r>
      <w:r w:rsidR="00390287" w:rsidRPr="00FB41EA">
        <w:rPr>
          <w:sz w:val="20"/>
          <w:lang w:val="en-GB"/>
        </w:rPr>
        <w:t xml:space="preserve">promotion of sustainable production and consumption in order to improve </w:t>
      </w:r>
      <w:r w:rsidR="00F32765" w:rsidRPr="00FB41EA">
        <w:rPr>
          <w:sz w:val="20"/>
          <w:lang w:val="en-GB"/>
        </w:rPr>
        <w:t>environmental</w:t>
      </w:r>
      <w:r w:rsidR="00390287" w:rsidRPr="00FB41EA">
        <w:rPr>
          <w:sz w:val="20"/>
          <w:lang w:val="en-GB"/>
        </w:rPr>
        <w:t xml:space="preserve"> resource management</w:t>
      </w:r>
      <w:r w:rsidR="00AC5374" w:rsidRPr="00FB41EA">
        <w:rPr>
          <w:sz w:val="20"/>
          <w:lang w:val="en-GB"/>
        </w:rPr>
        <w:t xml:space="preserve">; </w:t>
      </w:r>
      <w:r w:rsidR="00390287" w:rsidRPr="00FB41EA">
        <w:rPr>
          <w:sz w:val="20"/>
          <w:lang w:val="en-GB"/>
        </w:rPr>
        <w:t>mitigating poverty and social exclusion</w:t>
      </w:r>
      <w:r w:rsidR="00AC5374" w:rsidRPr="00FB41EA">
        <w:rPr>
          <w:sz w:val="20"/>
          <w:lang w:val="en-GB"/>
        </w:rPr>
        <w:t xml:space="preserve">; </w:t>
      </w:r>
      <w:r w:rsidR="009F7D38" w:rsidRPr="00FB41EA">
        <w:rPr>
          <w:sz w:val="20"/>
          <w:lang w:val="en-GB"/>
        </w:rPr>
        <w:t>reducing</w:t>
      </w:r>
      <w:r w:rsidR="00390287" w:rsidRPr="00FB41EA">
        <w:rPr>
          <w:sz w:val="20"/>
          <w:lang w:val="en-GB"/>
        </w:rPr>
        <w:t xml:space="preserve"> </w:t>
      </w:r>
      <w:r w:rsidR="00CF43E5" w:rsidRPr="00FB41EA">
        <w:rPr>
          <w:sz w:val="20"/>
          <w:lang w:val="en-GB"/>
        </w:rPr>
        <w:t>public health threats</w:t>
      </w:r>
      <w:r w:rsidR="00AC5374" w:rsidRPr="00FB41EA">
        <w:rPr>
          <w:sz w:val="20"/>
          <w:lang w:val="en-GB"/>
        </w:rPr>
        <w:t xml:space="preserve">; </w:t>
      </w:r>
      <w:r w:rsidR="00CF43E5" w:rsidRPr="00FB41EA">
        <w:rPr>
          <w:sz w:val="20"/>
          <w:lang w:val="en-GB"/>
        </w:rPr>
        <w:t>tackling demographic and emigration problems</w:t>
      </w:r>
      <w:r w:rsidR="003A5E4F" w:rsidRPr="00FB41EA">
        <w:rPr>
          <w:sz w:val="20"/>
          <w:lang w:val="en-GB"/>
        </w:rPr>
        <w:t>).</w:t>
      </w:r>
      <w:proofErr w:type="gramEnd"/>
    </w:p>
    <w:p w14:paraId="2E1353AE" w14:textId="7D963F9F" w:rsidR="003A5E4F" w:rsidRPr="00FB41EA" w:rsidRDefault="00CF43E5" w:rsidP="003A5E4F">
      <w:pPr>
        <w:spacing w:before="120"/>
        <w:jc w:val="both"/>
        <w:rPr>
          <w:rFonts w:cs="Arial"/>
          <w:sz w:val="20"/>
          <w:lang w:val="en-GB"/>
        </w:rPr>
      </w:pPr>
      <w:r w:rsidRPr="00FB41EA">
        <w:rPr>
          <w:rFonts w:eastAsia="Times New Roman"/>
          <w:b/>
          <w:color w:val="6D9F00"/>
          <w:sz w:val="20"/>
          <w:szCs w:val="20"/>
          <w:lang w:val="en-GB"/>
        </w:rPr>
        <w:t>Overall</w:t>
      </w:r>
      <w:r w:rsidR="0044413A">
        <w:rPr>
          <w:rFonts w:eastAsia="Times New Roman"/>
          <w:b/>
          <w:color w:val="6D9F00"/>
          <w:sz w:val="20"/>
          <w:szCs w:val="20"/>
          <w:lang w:val="en-GB"/>
        </w:rPr>
        <w:t>,</w:t>
      </w:r>
      <w:r w:rsidRPr="00FB41EA">
        <w:rPr>
          <w:rFonts w:eastAsia="Times New Roman"/>
          <w:b/>
          <w:color w:val="6D9F00"/>
          <w:sz w:val="20"/>
          <w:szCs w:val="20"/>
          <w:lang w:val="en-GB"/>
        </w:rPr>
        <w:t xml:space="preserve"> 130 indicators have been selected for the analysis </w:t>
      </w:r>
      <w:r w:rsidR="003A5E4F" w:rsidRPr="00FB41EA">
        <w:rPr>
          <w:sz w:val="20"/>
          <w:lang w:val="en-GB"/>
        </w:rPr>
        <w:t>(</w:t>
      </w:r>
      <w:r w:rsidR="00664799" w:rsidRPr="00FB41EA">
        <w:rPr>
          <w:sz w:val="20"/>
          <w:lang w:val="en-GB"/>
        </w:rPr>
        <w:t xml:space="preserve">excluding division by sectors, regions or types of pollutants), </w:t>
      </w:r>
      <w:r w:rsidR="003A5E4F" w:rsidRPr="00FB41EA">
        <w:rPr>
          <w:rFonts w:eastAsia="Times New Roman"/>
          <w:b/>
          <w:color w:val="6D9F00"/>
          <w:sz w:val="20"/>
          <w:szCs w:val="20"/>
          <w:lang w:val="en-GB"/>
        </w:rPr>
        <w:t xml:space="preserve">48 </w:t>
      </w:r>
      <w:r w:rsidR="00664799" w:rsidRPr="00FB41EA">
        <w:rPr>
          <w:rFonts w:eastAsia="Times New Roman"/>
          <w:b/>
          <w:color w:val="6D9F00"/>
          <w:sz w:val="20"/>
          <w:szCs w:val="20"/>
          <w:lang w:val="en-GB"/>
        </w:rPr>
        <w:t>of which are strategic context indicators</w:t>
      </w:r>
      <w:r w:rsidR="003A5E4F" w:rsidRPr="00FB41EA">
        <w:rPr>
          <w:sz w:val="20"/>
          <w:lang w:val="en-GB"/>
        </w:rPr>
        <w:t xml:space="preserve">, </w:t>
      </w:r>
      <w:r w:rsidR="003A5E4F" w:rsidRPr="00FB41EA">
        <w:rPr>
          <w:rFonts w:eastAsia="Times New Roman"/>
          <w:b/>
          <w:color w:val="6D9F00"/>
          <w:sz w:val="20"/>
          <w:szCs w:val="20"/>
          <w:lang w:val="en-GB"/>
        </w:rPr>
        <w:t xml:space="preserve">82 – </w:t>
      </w:r>
      <w:r w:rsidR="00664799" w:rsidRPr="00FB41EA">
        <w:rPr>
          <w:rFonts w:eastAsia="Times New Roman"/>
          <w:b/>
          <w:color w:val="6D9F00"/>
          <w:sz w:val="20"/>
          <w:szCs w:val="20"/>
          <w:lang w:val="en-GB"/>
        </w:rPr>
        <w:t xml:space="preserve">indicators reflecting </w:t>
      </w:r>
      <w:r w:rsidR="009546A7" w:rsidRPr="00FB41EA">
        <w:rPr>
          <w:rFonts w:eastAsia="Times New Roman"/>
          <w:b/>
          <w:color w:val="6D9F00"/>
          <w:sz w:val="20"/>
          <w:szCs w:val="20"/>
          <w:lang w:val="en-GB"/>
        </w:rPr>
        <w:t xml:space="preserve">the implementation of sustainable development objectives of the National </w:t>
      </w:r>
      <w:r w:rsidR="00435989" w:rsidRPr="00FB41EA">
        <w:rPr>
          <w:rFonts w:eastAsia="Times New Roman"/>
          <w:b/>
          <w:color w:val="6D9F00"/>
          <w:sz w:val="20"/>
          <w:szCs w:val="20"/>
          <w:lang w:val="en-GB"/>
        </w:rPr>
        <w:t>S</w:t>
      </w:r>
      <w:r w:rsidR="009546A7" w:rsidRPr="00FB41EA">
        <w:rPr>
          <w:rFonts w:eastAsia="Times New Roman"/>
          <w:b/>
          <w:color w:val="6D9F00"/>
          <w:sz w:val="20"/>
          <w:szCs w:val="20"/>
          <w:lang w:val="en-GB"/>
        </w:rPr>
        <w:t xml:space="preserve">ustainable </w:t>
      </w:r>
      <w:r w:rsidR="00435989" w:rsidRPr="00FB41EA">
        <w:rPr>
          <w:rFonts w:eastAsia="Times New Roman"/>
          <w:b/>
          <w:color w:val="6D9F00"/>
          <w:sz w:val="20"/>
          <w:szCs w:val="20"/>
          <w:lang w:val="en-GB"/>
        </w:rPr>
        <w:t>D</w:t>
      </w:r>
      <w:r w:rsidR="009546A7" w:rsidRPr="00FB41EA">
        <w:rPr>
          <w:rFonts w:eastAsia="Times New Roman"/>
          <w:b/>
          <w:color w:val="6D9F00"/>
          <w:sz w:val="20"/>
          <w:szCs w:val="20"/>
          <w:lang w:val="en-GB"/>
        </w:rPr>
        <w:t xml:space="preserve">evelopment </w:t>
      </w:r>
      <w:r w:rsidR="00435989" w:rsidRPr="00FB41EA">
        <w:rPr>
          <w:rFonts w:eastAsia="Times New Roman"/>
          <w:b/>
          <w:color w:val="6D9F00"/>
          <w:sz w:val="20"/>
          <w:szCs w:val="20"/>
          <w:lang w:val="en-GB"/>
        </w:rPr>
        <w:t>S</w:t>
      </w:r>
      <w:r w:rsidR="009546A7" w:rsidRPr="00FB41EA">
        <w:rPr>
          <w:rFonts w:eastAsia="Times New Roman"/>
          <w:b/>
          <w:color w:val="6D9F00"/>
          <w:sz w:val="20"/>
          <w:szCs w:val="20"/>
          <w:lang w:val="en-GB"/>
        </w:rPr>
        <w:t>trategy</w:t>
      </w:r>
      <w:r w:rsidR="00435989" w:rsidRPr="00FB41EA">
        <w:rPr>
          <w:rFonts w:eastAsia="Times New Roman"/>
          <w:b/>
          <w:color w:val="6D9F00"/>
          <w:sz w:val="20"/>
          <w:szCs w:val="20"/>
          <w:lang w:val="en-GB"/>
        </w:rPr>
        <w:t xml:space="preserve"> </w:t>
      </w:r>
      <w:r w:rsidR="003A5E4F" w:rsidRPr="00FB41EA">
        <w:rPr>
          <w:rFonts w:eastAsia="Times New Roman"/>
          <w:b/>
          <w:color w:val="6D9F00"/>
          <w:sz w:val="20"/>
          <w:szCs w:val="20"/>
          <w:lang w:val="en-GB"/>
        </w:rPr>
        <w:t xml:space="preserve">(19 </w:t>
      </w:r>
      <w:r w:rsidR="00435989" w:rsidRPr="00FB41EA">
        <w:rPr>
          <w:rFonts w:eastAsia="Times New Roman"/>
          <w:b/>
          <w:color w:val="6D9F00"/>
          <w:sz w:val="20"/>
          <w:szCs w:val="20"/>
          <w:lang w:val="en-GB"/>
        </w:rPr>
        <w:t>of them are eco-efficiency indicators</w:t>
      </w:r>
      <w:r w:rsidR="003A5E4F" w:rsidRPr="00FB41EA">
        <w:rPr>
          <w:rFonts w:eastAsia="Times New Roman"/>
          <w:b/>
          <w:color w:val="6D9F00"/>
          <w:sz w:val="20"/>
          <w:szCs w:val="20"/>
          <w:lang w:val="en-GB"/>
        </w:rPr>
        <w:t>)</w:t>
      </w:r>
      <w:r w:rsidR="00CF43A5" w:rsidRPr="00FB41EA">
        <w:rPr>
          <w:sz w:val="20"/>
          <w:lang w:val="en-GB"/>
        </w:rPr>
        <w:t>.</w:t>
      </w:r>
      <w:r w:rsidR="003A5E4F" w:rsidRPr="00FB41EA">
        <w:rPr>
          <w:sz w:val="20"/>
          <w:lang w:val="en-GB"/>
        </w:rPr>
        <w:t xml:space="preserve"> </w:t>
      </w:r>
      <w:r w:rsidR="00CF43A5" w:rsidRPr="00FB41EA">
        <w:rPr>
          <w:sz w:val="20"/>
          <w:lang w:val="en-GB"/>
        </w:rPr>
        <w:t xml:space="preserve">During the indicator selection process, </w:t>
      </w:r>
      <w:r w:rsidR="00ED5715" w:rsidRPr="00FB41EA">
        <w:rPr>
          <w:sz w:val="20"/>
          <w:lang w:val="en-GB"/>
        </w:rPr>
        <w:t xml:space="preserve">the guidelines of horizontal priority implementation </w:t>
      </w:r>
      <w:proofErr w:type="gramStart"/>
      <w:r w:rsidR="003D2759" w:rsidRPr="00FB41EA">
        <w:rPr>
          <w:sz w:val="20"/>
          <w:lang w:val="en-GB"/>
        </w:rPr>
        <w:t>were followed</w:t>
      </w:r>
      <w:proofErr w:type="gramEnd"/>
      <w:r w:rsidR="003D2759" w:rsidRPr="00FB41EA">
        <w:rPr>
          <w:sz w:val="20"/>
          <w:lang w:val="en-GB"/>
        </w:rPr>
        <w:t xml:space="preserve"> as well as </w:t>
      </w:r>
      <w:r w:rsidR="005E44AB" w:rsidRPr="00FB41EA">
        <w:rPr>
          <w:sz w:val="20"/>
          <w:lang w:val="en-GB"/>
        </w:rPr>
        <w:t>the</w:t>
      </w:r>
      <w:r w:rsidR="003A5E4F" w:rsidRPr="00FB41EA">
        <w:rPr>
          <w:sz w:val="20"/>
          <w:lang w:val="en-GB"/>
        </w:rPr>
        <w:t xml:space="preserve"> 2008 </w:t>
      </w:r>
      <w:r w:rsidR="005E44AB" w:rsidRPr="00FB41EA">
        <w:rPr>
          <w:sz w:val="20"/>
          <w:lang w:val="en-GB"/>
        </w:rPr>
        <w:t xml:space="preserve">evaluation of </w:t>
      </w:r>
      <w:r w:rsidR="00657DFE" w:rsidRPr="00FB41EA">
        <w:rPr>
          <w:sz w:val="20"/>
          <w:lang w:val="en-GB"/>
        </w:rPr>
        <w:t xml:space="preserve">horizontal priority implementation while </w:t>
      </w:r>
      <w:r w:rsidR="00FE4FFA" w:rsidRPr="00FB41EA">
        <w:rPr>
          <w:sz w:val="20"/>
          <w:lang w:val="en-GB"/>
        </w:rPr>
        <w:t>absorbing</w:t>
      </w:r>
      <w:r w:rsidR="00657DFE" w:rsidRPr="00FB41EA">
        <w:rPr>
          <w:sz w:val="20"/>
          <w:lang w:val="en-GB"/>
        </w:rPr>
        <w:t xml:space="preserve"> the EU </w:t>
      </w:r>
      <w:r w:rsidR="00C732AC" w:rsidRPr="00FB41EA">
        <w:rPr>
          <w:sz w:val="20"/>
          <w:lang w:val="en-GB"/>
        </w:rPr>
        <w:t>structural assistance</w:t>
      </w:r>
      <w:r w:rsidR="003A5E4F" w:rsidRPr="00FB41EA">
        <w:rPr>
          <w:sz w:val="20"/>
          <w:lang w:val="en-GB"/>
        </w:rPr>
        <w:t>.</w:t>
      </w:r>
    </w:p>
    <w:p w14:paraId="367DF5EE" w14:textId="77777777" w:rsidR="007B613D" w:rsidRPr="00FB41EA" w:rsidRDefault="005B5DF4" w:rsidP="007B613D">
      <w:pPr>
        <w:spacing w:before="120" w:after="0" w:line="240" w:lineRule="auto"/>
        <w:jc w:val="both"/>
        <w:rPr>
          <w:rFonts w:eastAsia="Times New Roman"/>
          <w:color w:val="000000"/>
          <w:sz w:val="20"/>
          <w:szCs w:val="48"/>
          <w:lang w:val="en-GB"/>
        </w:rPr>
      </w:pPr>
      <w:r w:rsidRPr="00FB41EA">
        <w:rPr>
          <w:rFonts w:eastAsia="Times New Roman"/>
          <w:color w:val="000000"/>
          <w:sz w:val="20"/>
          <w:szCs w:val="48"/>
          <w:lang w:val="en-GB"/>
        </w:rPr>
        <w:t xml:space="preserve">The following </w:t>
      </w:r>
      <w:r w:rsidRPr="00FB41EA">
        <w:rPr>
          <w:rFonts w:eastAsia="Times New Roman"/>
          <w:b/>
          <w:color w:val="6D9F00"/>
          <w:sz w:val="20"/>
          <w:szCs w:val="20"/>
          <w:lang w:val="en-GB"/>
        </w:rPr>
        <w:t xml:space="preserve">challenges (risks) </w:t>
      </w:r>
      <w:proofErr w:type="gramStart"/>
      <w:r w:rsidRPr="00FB41EA">
        <w:rPr>
          <w:rFonts w:eastAsia="Times New Roman"/>
          <w:color w:val="000000"/>
          <w:sz w:val="20"/>
          <w:szCs w:val="48"/>
          <w:lang w:val="en-GB"/>
        </w:rPr>
        <w:t>are related</w:t>
      </w:r>
      <w:proofErr w:type="gramEnd"/>
      <w:r w:rsidRPr="00FB41EA">
        <w:rPr>
          <w:rFonts w:eastAsia="Times New Roman"/>
          <w:color w:val="000000"/>
          <w:sz w:val="20"/>
          <w:szCs w:val="48"/>
          <w:lang w:val="en-GB"/>
        </w:rPr>
        <w:t xml:space="preserve"> to the implementation of evaluat</w:t>
      </w:r>
      <w:r w:rsidR="00285EC2" w:rsidRPr="00FB41EA">
        <w:rPr>
          <w:rFonts w:eastAsia="Times New Roman"/>
          <w:color w:val="000000"/>
          <w:sz w:val="20"/>
          <w:szCs w:val="48"/>
          <w:lang w:val="en-GB"/>
        </w:rPr>
        <w:t>ion</w:t>
      </w:r>
      <w:r w:rsidRPr="00FB41EA">
        <w:rPr>
          <w:rFonts w:eastAsia="Times New Roman"/>
          <w:color w:val="000000"/>
          <w:sz w:val="20"/>
          <w:szCs w:val="48"/>
          <w:lang w:val="en-GB"/>
        </w:rPr>
        <w:t xml:space="preserve"> </w:t>
      </w:r>
      <w:r w:rsidR="00FF08A7" w:rsidRPr="00FB41EA">
        <w:rPr>
          <w:rFonts w:eastAsia="Times New Roman"/>
          <w:color w:val="000000"/>
          <w:sz w:val="20"/>
          <w:szCs w:val="48"/>
          <w:lang w:val="en-GB"/>
        </w:rPr>
        <w:t>steps</w:t>
      </w:r>
      <w:r w:rsidRPr="00FB41EA">
        <w:rPr>
          <w:rFonts w:eastAsia="Times New Roman"/>
          <w:color w:val="000000"/>
          <w:sz w:val="20"/>
          <w:szCs w:val="48"/>
          <w:lang w:val="en-GB"/>
        </w:rPr>
        <w:t xml:space="preserve"> and the application of </w:t>
      </w:r>
      <w:r w:rsidR="00FF08A7" w:rsidRPr="00FB41EA">
        <w:rPr>
          <w:rFonts w:eastAsia="Times New Roman"/>
          <w:color w:val="000000"/>
          <w:sz w:val="20"/>
          <w:szCs w:val="48"/>
          <w:lang w:val="en-GB"/>
        </w:rPr>
        <w:t xml:space="preserve">evaluation </w:t>
      </w:r>
      <w:r w:rsidRPr="00FB41EA">
        <w:rPr>
          <w:rFonts w:eastAsia="Times New Roman"/>
          <w:color w:val="000000"/>
          <w:sz w:val="20"/>
          <w:szCs w:val="48"/>
          <w:lang w:val="en-GB"/>
        </w:rPr>
        <w:t>methods</w:t>
      </w:r>
      <w:r w:rsidR="007B613D" w:rsidRPr="00FB41EA">
        <w:rPr>
          <w:rFonts w:eastAsia="Times New Roman"/>
          <w:color w:val="000000"/>
          <w:sz w:val="20"/>
          <w:szCs w:val="48"/>
          <w:lang w:val="en-GB"/>
        </w:rPr>
        <w:t>:</w:t>
      </w:r>
    </w:p>
    <w:p w14:paraId="19507C63" w14:textId="77777777" w:rsidR="007B613D" w:rsidRPr="00FB41EA" w:rsidRDefault="00FF08A7" w:rsidP="007B613D">
      <w:pPr>
        <w:numPr>
          <w:ilvl w:val="0"/>
          <w:numId w:val="2"/>
        </w:numPr>
        <w:spacing w:after="0" w:line="240" w:lineRule="auto"/>
        <w:jc w:val="both"/>
        <w:rPr>
          <w:rFonts w:eastAsia="Times New Roman"/>
          <w:color w:val="000000"/>
          <w:sz w:val="20"/>
          <w:szCs w:val="48"/>
          <w:lang w:val="en-GB"/>
        </w:rPr>
      </w:pPr>
      <w:r w:rsidRPr="00FB41EA">
        <w:rPr>
          <w:rFonts w:eastAsia="Times New Roman"/>
          <w:color w:val="000000"/>
          <w:sz w:val="20"/>
          <w:szCs w:val="48"/>
          <w:lang w:val="en-GB"/>
        </w:rPr>
        <w:t>H</w:t>
      </w:r>
      <w:r w:rsidR="007B613D" w:rsidRPr="00FB41EA">
        <w:rPr>
          <w:rFonts w:eastAsia="Times New Roman"/>
          <w:color w:val="000000"/>
          <w:sz w:val="20"/>
          <w:szCs w:val="48"/>
          <w:lang w:val="en-GB"/>
        </w:rPr>
        <w:t>orizontal</w:t>
      </w:r>
      <w:r w:rsidRPr="00FB41EA">
        <w:rPr>
          <w:rFonts w:eastAsia="Times New Roman"/>
          <w:color w:val="000000"/>
          <w:sz w:val="20"/>
          <w:szCs w:val="48"/>
          <w:lang w:val="en-GB"/>
        </w:rPr>
        <w:t xml:space="preserve"> nature of the evaluated object </w:t>
      </w:r>
    </w:p>
    <w:p w14:paraId="3FC09C09" w14:textId="77777777" w:rsidR="007B613D" w:rsidRPr="00FB41EA" w:rsidRDefault="00FF08A7" w:rsidP="00BB2398">
      <w:pPr>
        <w:numPr>
          <w:ilvl w:val="0"/>
          <w:numId w:val="2"/>
        </w:numPr>
        <w:spacing w:after="0" w:line="240" w:lineRule="auto"/>
        <w:jc w:val="both"/>
        <w:rPr>
          <w:rFonts w:eastAsia="Times New Roman"/>
          <w:color w:val="000000"/>
          <w:sz w:val="20"/>
          <w:szCs w:val="48"/>
          <w:lang w:val="en-GB"/>
        </w:rPr>
      </w:pPr>
      <w:r w:rsidRPr="00FB41EA">
        <w:rPr>
          <w:rFonts w:eastAsia="Times New Roman"/>
          <w:color w:val="000000"/>
          <w:sz w:val="20"/>
          <w:szCs w:val="48"/>
          <w:lang w:val="en-GB"/>
        </w:rPr>
        <w:t xml:space="preserve">Complex and </w:t>
      </w:r>
      <w:r w:rsidR="00BB2398" w:rsidRPr="00FB41EA">
        <w:rPr>
          <w:rFonts w:eastAsia="Times New Roman"/>
          <w:color w:val="000000"/>
          <w:sz w:val="20"/>
          <w:szCs w:val="48"/>
          <w:lang w:val="en-GB"/>
        </w:rPr>
        <w:t xml:space="preserve">mixed policy funded by structural funds (SF), the European Social Fund (ESF), the European Regional Development Fund (ERDF) and the Cohesion Fund (CF) </w:t>
      </w:r>
    </w:p>
    <w:p w14:paraId="5B2ED657" w14:textId="77777777" w:rsidR="007B613D" w:rsidRPr="00FB41EA" w:rsidRDefault="0056744D" w:rsidP="0056744D">
      <w:pPr>
        <w:numPr>
          <w:ilvl w:val="0"/>
          <w:numId w:val="2"/>
        </w:numPr>
        <w:spacing w:after="0" w:line="240" w:lineRule="auto"/>
        <w:jc w:val="both"/>
        <w:rPr>
          <w:rFonts w:eastAsia="Times New Roman"/>
          <w:color w:val="000000"/>
          <w:sz w:val="20"/>
          <w:szCs w:val="48"/>
          <w:lang w:val="en-GB"/>
        </w:rPr>
      </w:pPr>
      <w:r w:rsidRPr="00FB41EA">
        <w:rPr>
          <w:rFonts w:eastAsia="Times New Roman"/>
          <w:color w:val="000000"/>
          <w:sz w:val="20"/>
          <w:szCs w:val="48"/>
          <w:lang w:val="en-GB"/>
        </w:rPr>
        <w:t xml:space="preserve">Significant influence of contextual factors </w:t>
      </w:r>
      <w:r w:rsidR="007B613D" w:rsidRPr="00FB41EA">
        <w:rPr>
          <w:rFonts w:eastAsia="Times New Roman"/>
          <w:color w:val="000000"/>
          <w:sz w:val="20"/>
          <w:szCs w:val="48"/>
          <w:lang w:val="en-GB"/>
        </w:rPr>
        <w:t>(</w:t>
      </w:r>
      <w:r w:rsidRPr="00FB41EA">
        <w:rPr>
          <w:rFonts w:eastAsia="Times New Roman"/>
          <w:color w:val="000000"/>
          <w:sz w:val="20"/>
          <w:szCs w:val="48"/>
          <w:lang w:val="en-GB"/>
        </w:rPr>
        <w:t>economic situation, industry trends etc.</w:t>
      </w:r>
      <w:r w:rsidR="007B613D" w:rsidRPr="00FB41EA">
        <w:rPr>
          <w:rFonts w:eastAsia="Times New Roman"/>
          <w:color w:val="000000"/>
          <w:sz w:val="20"/>
          <w:szCs w:val="48"/>
          <w:lang w:val="en-GB"/>
        </w:rPr>
        <w:t>)</w:t>
      </w:r>
    </w:p>
    <w:p w14:paraId="2EE1B5FA" w14:textId="77777777" w:rsidR="007B613D" w:rsidRPr="00FB41EA" w:rsidRDefault="00B415AD" w:rsidP="007B613D">
      <w:pPr>
        <w:numPr>
          <w:ilvl w:val="0"/>
          <w:numId w:val="2"/>
        </w:numPr>
        <w:spacing w:after="0" w:line="240" w:lineRule="auto"/>
        <w:jc w:val="both"/>
        <w:rPr>
          <w:rFonts w:eastAsia="Times New Roman"/>
          <w:color w:val="000000"/>
          <w:sz w:val="20"/>
          <w:szCs w:val="48"/>
          <w:lang w:val="en-GB"/>
        </w:rPr>
      </w:pPr>
      <w:r w:rsidRPr="00FB41EA">
        <w:rPr>
          <w:rFonts w:eastAsia="Times New Roman"/>
          <w:color w:val="000000"/>
          <w:sz w:val="20"/>
          <w:szCs w:val="48"/>
          <w:lang w:val="en-GB"/>
        </w:rPr>
        <w:t xml:space="preserve">Considerable influence of </w:t>
      </w:r>
      <w:r w:rsidR="00142005" w:rsidRPr="00FB41EA">
        <w:rPr>
          <w:rFonts w:eastAsia="Times New Roman"/>
          <w:color w:val="000000"/>
          <w:sz w:val="20"/>
          <w:szCs w:val="48"/>
          <w:lang w:val="en-GB"/>
        </w:rPr>
        <w:t xml:space="preserve">political factors, determining </w:t>
      </w:r>
      <w:r w:rsidR="00FC62CC" w:rsidRPr="00FB41EA">
        <w:rPr>
          <w:rFonts w:eastAsia="Times New Roman"/>
          <w:color w:val="000000"/>
          <w:sz w:val="20"/>
          <w:szCs w:val="48"/>
          <w:lang w:val="en-GB"/>
        </w:rPr>
        <w:t xml:space="preserve">complex tracing of political decision-making </w:t>
      </w:r>
      <w:r w:rsidR="00EC52AD" w:rsidRPr="00FB41EA">
        <w:rPr>
          <w:rFonts w:eastAsia="Times New Roman"/>
          <w:color w:val="000000"/>
          <w:sz w:val="20"/>
          <w:szCs w:val="48"/>
          <w:lang w:val="en-GB"/>
        </w:rPr>
        <w:t xml:space="preserve">process </w:t>
      </w:r>
    </w:p>
    <w:p w14:paraId="240F00A7" w14:textId="42AA80BB" w:rsidR="007B613D" w:rsidRPr="00FB41EA" w:rsidRDefault="006F77D8" w:rsidP="007B613D">
      <w:pPr>
        <w:spacing w:before="120" w:after="0" w:line="240" w:lineRule="auto"/>
        <w:jc w:val="both"/>
        <w:rPr>
          <w:rFonts w:eastAsia="Times New Roman"/>
          <w:color w:val="000000"/>
          <w:sz w:val="20"/>
          <w:szCs w:val="48"/>
          <w:lang w:val="en-GB"/>
        </w:rPr>
      </w:pPr>
      <w:r w:rsidRPr="00FB41EA">
        <w:rPr>
          <w:rFonts w:eastAsia="Times New Roman"/>
          <w:color w:val="000000"/>
          <w:sz w:val="20"/>
          <w:szCs w:val="48"/>
          <w:lang w:val="en-GB"/>
        </w:rPr>
        <w:t>With the purpose of managing the above risks, the model of the theory of change evaluation</w:t>
      </w:r>
      <w:r w:rsidR="00B7499C" w:rsidRPr="00FB41EA">
        <w:rPr>
          <w:rFonts w:eastAsia="Times New Roman"/>
          <w:color w:val="000000"/>
          <w:sz w:val="20"/>
          <w:szCs w:val="48"/>
          <w:lang w:val="en-GB"/>
        </w:rPr>
        <w:t xml:space="preserve"> </w:t>
      </w:r>
      <w:proofErr w:type="gramStart"/>
      <w:r w:rsidR="00B7499C" w:rsidRPr="00FB41EA">
        <w:rPr>
          <w:rFonts w:eastAsia="Times New Roman"/>
          <w:color w:val="000000"/>
          <w:sz w:val="20"/>
          <w:szCs w:val="48"/>
          <w:lang w:val="en-GB"/>
        </w:rPr>
        <w:t>was applied</w:t>
      </w:r>
      <w:proofErr w:type="gramEnd"/>
      <w:r w:rsidR="00B7499C" w:rsidRPr="00FB41EA">
        <w:rPr>
          <w:rFonts w:eastAsia="Times New Roman"/>
          <w:color w:val="000000"/>
          <w:sz w:val="20"/>
          <w:szCs w:val="48"/>
          <w:lang w:val="en-GB"/>
        </w:rPr>
        <w:t xml:space="preserve">, based on the principles of </w:t>
      </w:r>
      <w:r w:rsidRPr="00FB41EA">
        <w:rPr>
          <w:rFonts w:eastAsia="Times New Roman"/>
          <w:color w:val="000000"/>
          <w:sz w:val="20"/>
          <w:szCs w:val="48"/>
          <w:lang w:val="en-GB"/>
        </w:rPr>
        <w:t>realism paradigm</w:t>
      </w:r>
      <w:r w:rsidR="00B7499C" w:rsidRPr="00FB41EA">
        <w:rPr>
          <w:rFonts w:eastAsia="Times New Roman"/>
          <w:color w:val="000000"/>
          <w:sz w:val="20"/>
          <w:szCs w:val="48"/>
          <w:lang w:val="en-GB"/>
        </w:rPr>
        <w:t xml:space="preserve">. </w:t>
      </w:r>
      <w:r w:rsidR="00A854DE" w:rsidRPr="00FB41EA">
        <w:rPr>
          <w:rFonts w:eastAsia="Times New Roman"/>
          <w:color w:val="000000"/>
          <w:sz w:val="20"/>
          <w:szCs w:val="48"/>
          <w:lang w:val="en-GB"/>
        </w:rPr>
        <w:t xml:space="preserve">Evaluation based on realism paradigm assumptions differs from </w:t>
      </w:r>
      <w:r w:rsidR="00560DFA" w:rsidRPr="00FB41EA">
        <w:rPr>
          <w:rFonts w:eastAsia="Times New Roman"/>
          <w:color w:val="000000"/>
          <w:sz w:val="20"/>
          <w:szCs w:val="48"/>
          <w:lang w:val="en-GB"/>
        </w:rPr>
        <w:t xml:space="preserve">contribution analysis usually applied in Lithuanian evaluations of </w:t>
      </w:r>
      <w:r w:rsidR="007D181D">
        <w:rPr>
          <w:rFonts w:eastAsia="Times New Roman"/>
          <w:color w:val="000000"/>
          <w:sz w:val="20"/>
          <w:szCs w:val="48"/>
          <w:lang w:val="en-GB"/>
        </w:rPr>
        <w:t xml:space="preserve">the </w:t>
      </w:r>
      <w:r w:rsidR="00E35FAB" w:rsidRPr="00FB41EA">
        <w:rPr>
          <w:rFonts w:eastAsia="Times New Roman"/>
          <w:color w:val="000000"/>
          <w:sz w:val="20"/>
          <w:szCs w:val="48"/>
          <w:lang w:val="en-GB"/>
        </w:rPr>
        <w:t xml:space="preserve">EU structural assistance absorption and </w:t>
      </w:r>
      <w:r w:rsidR="00560DFA" w:rsidRPr="00FB41EA">
        <w:rPr>
          <w:rFonts w:eastAsia="Times New Roman"/>
          <w:color w:val="000000"/>
          <w:sz w:val="20"/>
          <w:szCs w:val="48"/>
          <w:lang w:val="en-GB"/>
        </w:rPr>
        <w:t xml:space="preserve">impact </w:t>
      </w:r>
      <w:r w:rsidR="00E35FAB" w:rsidRPr="00FB41EA">
        <w:rPr>
          <w:rFonts w:eastAsia="Times New Roman"/>
          <w:color w:val="000000"/>
          <w:sz w:val="20"/>
          <w:szCs w:val="48"/>
          <w:lang w:val="en-GB"/>
        </w:rPr>
        <w:t>evaluations</w:t>
      </w:r>
      <w:r w:rsidR="007D181D">
        <w:rPr>
          <w:rFonts w:eastAsia="Times New Roman"/>
          <w:color w:val="000000"/>
          <w:sz w:val="20"/>
          <w:szCs w:val="48"/>
          <w:lang w:val="en-GB"/>
        </w:rPr>
        <w:t>,</w:t>
      </w:r>
      <w:r w:rsidR="00E35FAB" w:rsidRPr="00FB41EA">
        <w:rPr>
          <w:rFonts w:eastAsia="Times New Roman"/>
          <w:color w:val="000000"/>
          <w:sz w:val="20"/>
          <w:szCs w:val="48"/>
          <w:lang w:val="en-GB"/>
        </w:rPr>
        <w:t xml:space="preserve"> by emphasising </w:t>
      </w:r>
      <w:r w:rsidR="00496169" w:rsidRPr="00FB41EA">
        <w:rPr>
          <w:rFonts w:eastAsia="Times New Roman"/>
          <w:color w:val="000000"/>
          <w:sz w:val="20"/>
          <w:szCs w:val="48"/>
          <w:lang w:val="en-GB"/>
        </w:rPr>
        <w:t xml:space="preserve">target groups of interventions and their decisions as well as the influence of context. </w:t>
      </w:r>
      <w:r w:rsidR="00297B30" w:rsidRPr="00FB41EA">
        <w:rPr>
          <w:rFonts w:eastAsia="Times New Roman"/>
          <w:b/>
          <w:color w:val="6D9F00"/>
          <w:sz w:val="20"/>
          <w:szCs w:val="20"/>
          <w:lang w:val="en-GB"/>
        </w:rPr>
        <w:t xml:space="preserve">The main assumption of this theoretical approach </w:t>
      </w:r>
      <w:r w:rsidR="00297B30" w:rsidRPr="00FB41EA">
        <w:rPr>
          <w:rFonts w:eastAsia="Times New Roman"/>
          <w:color w:val="000000"/>
          <w:sz w:val="20"/>
          <w:szCs w:val="48"/>
          <w:lang w:val="en-GB"/>
        </w:rPr>
        <w:t xml:space="preserve">states that the reaction of target group members </w:t>
      </w:r>
      <w:r w:rsidR="004F7EFB" w:rsidRPr="00FB41EA">
        <w:rPr>
          <w:rFonts w:eastAsia="Times New Roman"/>
          <w:color w:val="000000"/>
          <w:sz w:val="20"/>
          <w:szCs w:val="48"/>
          <w:lang w:val="en-GB"/>
        </w:rPr>
        <w:t>(or absence thereof) to the opportunities opened by the intervention predetermines the effect of the intervention (positive/neutral/negative</w:t>
      </w:r>
      <w:r w:rsidR="004F5C83" w:rsidRPr="00FB41EA">
        <w:rPr>
          <w:rFonts w:eastAsia="Times New Roman"/>
          <w:color w:val="000000"/>
          <w:sz w:val="20"/>
          <w:szCs w:val="48"/>
          <w:lang w:val="en-GB"/>
        </w:rPr>
        <w:t>)</w:t>
      </w:r>
      <w:r w:rsidR="00FE40BA" w:rsidRPr="00FB41EA">
        <w:rPr>
          <w:rFonts w:eastAsia="Times New Roman"/>
          <w:color w:val="000000"/>
          <w:sz w:val="20"/>
          <w:szCs w:val="48"/>
          <w:lang w:val="en-GB"/>
        </w:rPr>
        <w:t xml:space="preserve">. </w:t>
      </w:r>
    </w:p>
    <w:p w14:paraId="6E98CF6C" w14:textId="5D9570F6" w:rsidR="00FE40BA" w:rsidRPr="00FB41EA" w:rsidRDefault="004F5C83" w:rsidP="007B613D">
      <w:pPr>
        <w:spacing w:before="120" w:after="0" w:line="240" w:lineRule="auto"/>
        <w:jc w:val="both"/>
        <w:rPr>
          <w:rFonts w:eastAsia="Times New Roman"/>
          <w:color w:val="000000"/>
          <w:sz w:val="20"/>
          <w:szCs w:val="48"/>
          <w:lang w:val="en-GB"/>
        </w:rPr>
      </w:pPr>
      <w:r w:rsidRPr="00FB41EA">
        <w:rPr>
          <w:rFonts w:eastAsia="Times New Roman"/>
          <w:color w:val="000000"/>
          <w:sz w:val="20"/>
          <w:szCs w:val="48"/>
          <w:lang w:val="en-GB"/>
        </w:rPr>
        <w:lastRenderedPageBreak/>
        <w:t xml:space="preserve">The evaluation </w:t>
      </w:r>
      <w:proofErr w:type="gramStart"/>
      <w:r w:rsidRPr="00FB41EA">
        <w:rPr>
          <w:rFonts w:eastAsia="Times New Roman"/>
          <w:color w:val="000000"/>
          <w:sz w:val="20"/>
          <w:szCs w:val="48"/>
          <w:lang w:val="en-GB"/>
        </w:rPr>
        <w:t>was performed</w:t>
      </w:r>
      <w:proofErr w:type="gramEnd"/>
      <w:r w:rsidRPr="00FB41EA">
        <w:rPr>
          <w:rFonts w:eastAsia="Times New Roman"/>
          <w:color w:val="000000"/>
          <w:sz w:val="20"/>
          <w:szCs w:val="48"/>
          <w:lang w:val="en-GB"/>
        </w:rPr>
        <w:t xml:space="preserve"> applying both data collection and data analysis methods</w:t>
      </w:r>
      <w:r w:rsidR="00052848" w:rsidRPr="00FB41EA">
        <w:rPr>
          <w:rFonts w:eastAsia="Times New Roman"/>
          <w:color w:val="000000"/>
          <w:sz w:val="20"/>
          <w:szCs w:val="48"/>
          <w:lang w:val="en-GB"/>
        </w:rPr>
        <w:t xml:space="preserve">. </w:t>
      </w:r>
      <w:r w:rsidR="00781AC2" w:rsidRPr="00FB41EA">
        <w:rPr>
          <w:rFonts w:eastAsia="Times New Roman"/>
          <w:color w:val="000000"/>
          <w:sz w:val="20"/>
          <w:szCs w:val="48"/>
          <w:lang w:val="en-GB"/>
        </w:rPr>
        <w:t xml:space="preserve">While analysing the available information, not only primary and secondary sources </w:t>
      </w:r>
      <w:proofErr w:type="gramStart"/>
      <w:r w:rsidR="00781AC2" w:rsidRPr="00FB41EA">
        <w:rPr>
          <w:rFonts w:eastAsia="Times New Roman"/>
          <w:color w:val="000000"/>
          <w:sz w:val="20"/>
          <w:szCs w:val="48"/>
          <w:lang w:val="en-GB"/>
        </w:rPr>
        <w:t>were considered</w:t>
      </w:r>
      <w:proofErr w:type="gramEnd"/>
      <w:r w:rsidR="00781AC2" w:rsidRPr="00FB41EA">
        <w:rPr>
          <w:rFonts w:eastAsia="Times New Roman"/>
          <w:color w:val="000000"/>
          <w:sz w:val="20"/>
          <w:szCs w:val="48"/>
          <w:lang w:val="en-GB"/>
        </w:rPr>
        <w:t xml:space="preserve">, but also </w:t>
      </w:r>
      <w:r w:rsidR="0015247C" w:rsidRPr="00FB41EA">
        <w:rPr>
          <w:rFonts w:eastAsia="Times New Roman"/>
          <w:color w:val="000000"/>
          <w:sz w:val="20"/>
          <w:szCs w:val="48"/>
          <w:lang w:val="en-GB"/>
        </w:rPr>
        <w:t xml:space="preserve">SFMIS2007 </w:t>
      </w:r>
      <w:r w:rsidR="0028185D" w:rsidRPr="00FB41EA">
        <w:rPr>
          <w:rFonts w:eastAsia="Times New Roman"/>
          <w:color w:val="000000"/>
          <w:sz w:val="20"/>
          <w:szCs w:val="48"/>
          <w:lang w:val="en-GB"/>
        </w:rPr>
        <w:t>project monitoring data and statistical data were analysed, which were later used in the regression analysis</w:t>
      </w:r>
      <w:r w:rsidR="00384E53" w:rsidRPr="00FB41EA">
        <w:rPr>
          <w:rFonts w:eastAsia="Times New Roman"/>
          <w:color w:val="000000"/>
          <w:sz w:val="20"/>
          <w:szCs w:val="48"/>
          <w:lang w:val="en-GB"/>
        </w:rPr>
        <w:t xml:space="preserve">. </w:t>
      </w:r>
      <w:r w:rsidR="006332B3" w:rsidRPr="00FB41EA">
        <w:rPr>
          <w:rFonts w:eastAsia="Times New Roman"/>
          <w:color w:val="000000"/>
          <w:sz w:val="20"/>
          <w:szCs w:val="48"/>
          <w:lang w:val="en-GB"/>
        </w:rPr>
        <w:t>During t</w:t>
      </w:r>
      <w:r w:rsidR="003132DF" w:rsidRPr="00FB41EA">
        <w:rPr>
          <w:rFonts w:eastAsia="Times New Roman"/>
          <w:color w:val="000000"/>
          <w:sz w:val="20"/>
          <w:szCs w:val="48"/>
          <w:lang w:val="en-GB"/>
        </w:rPr>
        <w:t>he evaluation</w:t>
      </w:r>
      <w:r w:rsidR="006332B3" w:rsidRPr="00FB41EA">
        <w:rPr>
          <w:rFonts w:eastAsia="Times New Roman"/>
          <w:color w:val="000000"/>
          <w:sz w:val="20"/>
          <w:szCs w:val="48"/>
          <w:lang w:val="en-GB"/>
        </w:rPr>
        <w:t>,</w:t>
      </w:r>
      <w:r w:rsidR="003132DF" w:rsidRPr="00FB41EA">
        <w:rPr>
          <w:rFonts w:eastAsia="Times New Roman"/>
          <w:color w:val="000000"/>
          <w:sz w:val="20"/>
          <w:szCs w:val="48"/>
          <w:lang w:val="en-GB"/>
        </w:rPr>
        <w:t xml:space="preserve"> </w:t>
      </w:r>
      <w:r w:rsidR="006332B3" w:rsidRPr="00FB41EA">
        <w:rPr>
          <w:rFonts w:eastAsia="Times New Roman"/>
          <w:color w:val="000000"/>
          <w:sz w:val="20"/>
          <w:szCs w:val="48"/>
          <w:lang w:val="en-GB"/>
        </w:rPr>
        <w:t xml:space="preserve">a survey of the institutions administering the EU structural funds </w:t>
      </w:r>
      <w:r w:rsidR="003132DF" w:rsidRPr="00FB41EA">
        <w:rPr>
          <w:rFonts w:eastAsia="Times New Roman"/>
          <w:color w:val="000000"/>
          <w:sz w:val="20"/>
          <w:szCs w:val="48"/>
          <w:lang w:val="en-GB"/>
        </w:rPr>
        <w:t xml:space="preserve">and 50 interviews with both </w:t>
      </w:r>
      <w:r w:rsidR="006332B3" w:rsidRPr="00FB41EA">
        <w:rPr>
          <w:rFonts w:eastAsia="Times New Roman"/>
          <w:color w:val="000000"/>
          <w:sz w:val="20"/>
          <w:szCs w:val="48"/>
          <w:lang w:val="en-GB"/>
        </w:rPr>
        <w:t xml:space="preserve">representatives of </w:t>
      </w:r>
      <w:r w:rsidR="003132DF" w:rsidRPr="00FB41EA">
        <w:rPr>
          <w:rFonts w:eastAsia="Times New Roman"/>
          <w:color w:val="000000"/>
          <w:sz w:val="20"/>
          <w:szCs w:val="48"/>
          <w:lang w:val="en-GB"/>
        </w:rPr>
        <w:t xml:space="preserve">responsible authorities and institutions and </w:t>
      </w:r>
      <w:r w:rsidR="00B51DB4" w:rsidRPr="00FB41EA">
        <w:rPr>
          <w:rFonts w:eastAsia="Times New Roman"/>
          <w:color w:val="000000"/>
          <w:sz w:val="20"/>
          <w:szCs w:val="48"/>
          <w:lang w:val="en-GB"/>
        </w:rPr>
        <w:t xml:space="preserve">with </w:t>
      </w:r>
      <w:r w:rsidR="003132DF" w:rsidRPr="00FB41EA">
        <w:rPr>
          <w:rFonts w:eastAsia="Times New Roman"/>
          <w:color w:val="000000"/>
          <w:sz w:val="20"/>
          <w:szCs w:val="48"/>
          <w:lang w:val="en-GB"/>
        </w:rPr>
        <w:t xml:space="preserve">the social </w:t>
      </w:r>
      <w:r w:rsidR="00B51DB4" w:rsidRPr="00FB41EA">
        <w:rPr>
          <w:rFonts w:eastAsia="Times New Roman"/>
          <w:color w:val="000000"/>
          <w:sz w:val="20"/>
          <w:szCs w:val="48"/>
          <w:lang w:val="en-GB"/>
        </w:rPr>
        <w:t>–</w:t>
      </w:r>
      <w:r w:rsidR="003132DF" w:rsidRPr="00FB41EA">
        <w:rPr>
          <w:rFonts w:eastAsia="Times New Roman"/>
          <w:color w:val="000000"/>
          <w:sz w:val="20"/>
          <w:szCs w:val="48"/>
          <w:lang w:val="en-GB"/>
        </w:rPr>
        <w:t xml:space="preserve"> economic partners</w:t>
      </w:r>
      <w:r w:rsidR="002A216B" w:rsidRPr="00FB41EA">
        <w:rPr>
          <w:rFonts w:eastAsia="Times New Roman"/>
          <w:color w:val="000000"/>
          <w:sz w:val="20"/>
          <w:szCs w:val="48"/>
          <w:lang w:val="en-GB"/>
        </w:rPr>
        <w:t xml:space="preserve"> </w:t>
      </w:r>
      <w:proofErr w:type="gramStart"/>
      <w:r w:rsidR="00B51DB4" w:rsidRPr="00FB41EA">
        <w:rPr>
          <w:rFonts w:eastAsia="Times New Roman"/>
          <w:color w:val="000000"/>
          <w:sz w:val="20"/>
          <w:szCs w:val="48"/>
          <w:lang w:val="en-GB"/>
        </w:rPr>
        <w:t>were carried out</w:t>
      </w:r>
      <w:proofErr w:type="gramEnd"/>
      <w:r w:rsidR="00B51DB4" w:rsidRPr="00FB41EA">
        <w:rPr>
          <w:rFonts w:eastAsia="Times New Roman"/>
          <w:color w:val="000000"/>
          <w:sz w:val="20"/>
          <w:szCs w:val="48"/>
          <w:lang w:val="en-GB"/>
        </w:rPr>
        <w:t xml:space="preserve">. </w:t>
      </w:r>
      <w:r w:rsidR="00624111" w:rsidRPr="00FB41EA">
        <w:rPr>
          <w:rFonts w:eastAsia="Times New Roman"/>
          <w:color w:val="000000"/>
          <w:sz w:val="20"/>
          <w:szCs w:val="48"/>
          <w:lang w:val="en-GB"/>
        </w:rPr>
        <w:t xml:space="preserve">The horizontal nature </w:t>
      </w:r>
      <w:r w:rsidR="00A40D2E" w:rsidRPr="00FB41EA">
        <w:rPr>
          <w:rFonts w:eastAsia="Times New Roman"/>
          <w:color w:val="000000"/>
          <w:sz w:val="20"/>
          <w:szCs w:val="48"/>
          <w:lang w:val="en-GB"/>
        </w:rPr>
        <w:t xml:space="preserve">of the </w:t>
      </w:r>
      <w:r w:rsidR="00624111" w:rsidRPr="00FB41EA">
        <w:rPr>
          <w:rFonts w:eastAsia="Times New Roman"/>
          <w:color w:val="000000"/>
          <w:sz w:val="20"/>
          <w:szCs w:val="48"/>
          <w:lang w:val="en-GB"/>
        </w:rPr>
        <w:t>evaluated object required an especially</w:t>
      </w:r>
      <w:r w:rsidR="00A40D2E" w:rsidRPr="00FB41EA">
        <w:rPr>
          <w:rFonts w:eastAsia="Times New Roman"/>
          <w:color w:val="000000"/>
          <w:sz w:val="20"/>
          <w:szCs w:val="48"/>
          <w:lang w:val="en-GB"/>
        </w:rPr>
        <w:t xml:space="preserve"> close pa</w:t>
      </w:r>
      <w:r w:rsidR="00624111" w:rsidRPr="00FB41EA">
        <w:rPr>
          <w:rFonts w:eastAsia="Times New Roman"/>
          <w:color w:val="000000"/>
          <w:sz w:val="20"/>
          <w:szCs w:val="48"/>
          <w:lang w:val="en-GB"/>
        </w:rPr>
        <w:t>rticipation of all stakeholders; therefore,</w:t>
      </w:r>
      <w:r w:rsidR="00A40D2E" w:rsidRPr="00FB41EA">
        <w:rPr>
          <w:rFonts w:eastAsia="Times New Roman"/>
          <w:color w:val="000000"/>
          <w:sz w:val="20"/>
          <w:szCs w:val="48"/>
          <w:lang w:val="en-GB"/>
        </w:rPr>
        <w:t xml:space="preserve"> </w:t>
      </w:r>
      <w:r w:rsidR="00291FA5" w:rsidRPr="00FB41EA">
        <w:rPr>
          <w:rFonts w:eastAsia="Times New Roman"/>
          <w:color w:val="000000"/>
          <w:sz w:val="20"/>
          <w:szCs w:val="48"/>
          <w:lang w:val="en-GB"/>
        </w:rPr>
        <w:t>focus group discussions and</w:t>
      </w:r>
      <w:r w:rsidR="00A40D2E" w:rsidRPr="00FB41EA">
        <w:rPr>
          <w:rFonts w:eastAsia="Times New Roman"/>
          <w:color w:val="000000"/>
          <w:sz w:val="20"/>
          <w:szCs w:val="48"/>
          <w:lang w:val="en-GB"/>
        </w:rPr>
        <w:t xml:space="preserve"> international expert panel</w:t>
      </w:r>
      <w:r w:rsidR="00291FA5" w:rsidRPr="00FB41EA">
        <w:rPr>
          <w:rFonts w:eastAsia="Times New Roman"/>
          <w:color w:val="000000"/>
          <w:sz w:val="20"/>
          <w:szCs w:val="48"/>
          <w:lang w:val="en-GB"/>
        </w:rPr>
        <w:t>s</w:t>
      </w:r>
      <w:r w:rsidR="00624111" w:rsidRPr="00FB41EA">
        <w:rPr>
          <w:rFonts w:eastAsia="Times New Roman"/>
          <w:color w:val="000000"/>
          <w:sz w:val="20"/>
          <w:szCs w:val="48"/>
          <w:lang w:val="en-GB"/>
        </w:rPr>
        <w:t xml:space="preserve"> </w:t>
      </w:r>
      <w:r w:rsidR="00291FA5" w:rsidRPr="00FB41EA">
        <w:rPr>
          <w:rFonts w:eastAsia="Times New Roman"/>
          <w:color w:val="000000"/>
          <w:sz w:val="20"/>
          <w:szCs w:val="48"/>
          <w:lang w:val="en-GB"/>
        </w:rPr>
        <w:t>were</w:t>
      </w:r>
      <w:r w:rsidR="00624111" w:rsidRPr="00FB41EA">
        <w:rPr>
          <w:rFonts w:eastAsia="Times New Roman"/>
          <w:color w:val="000000"/>
          <w:sz w:val="20"/>
          <w:szCs w:val="48"/>
          <w:lang w:val="en-GB"/>
        </w:rPr>
        <w:t xml:space="preserve"> organi</w:t>
      </w:r>
      <w:r w:rsidR="00291FA5" w:rsidRPr="00FB41EA">
        <w:rPr>
          <w:rFonts w:eastAsia="Times New Roman"/>
          <w:color w:val="000000"/>
          <w:sz w:val="20"/>
          <w:szCs w:val="48"/>
          <w:lang w:val="en-GB"/>
        </w:rPr>
        <w:t>s</w:t>
      </w:r>
      <w:r w:rsidR="00624111" w:rsidRPr="00FB41EA">
        <w:rPr>
          <w:rFonts w:eastAsia="Times New Roman"/>
          <w:color w:val="000000"/>
          <w:sz w:val="20"/>
          <w:szCs w:val="48"/>
          <w:lang w:val="en-GB"/>
        </w:rPr>
        <w:t>ed</w:t>
      </w:r>
      <w:r w:rsidR="00291FA5" w:rsidRPr="00FB41EA">
        <w:rPr>
          <w:rFonts w:eastAsia="Times New Roman"/>
          <w:color w:val="000000"/>
          <w:sz w:val="20"/>
          <w:szCs w:val="48"/>
          <w:lang w:val="en-GB"/>
        </w:rPr>
        <w:t xml:space="preserve"> to serve the purpose</w:t>
      </w:r>
      <w:r w:rsidR="00A40D2E" w:rsidRPr="00FB41EA">
        <w:rPr>
          <w:rFonts w:eastAsia="Times New Roman"/>
          <w:color w:val="000000"/>
          <w:sz w:val="20"/>
          <w:szCs w:val="48"/>
          <w:lang w:val="en-GB"/>
        </w:rPr>
        <w:t>.</w:t>
      </w:r>
      <w:r w:rsidR="00291FA5" w:rsidRPr="00FB41EA">
        <w:rPr>
          <w:rFonts w:eastAsia="Times New Roman"/>
          <w:color w:val="000000"/>
          <w:sz w:val="20"/>
          <w:szCs w:val="48"/>
          <w:lang w:val="en-GB"/>
        </w:rPr>
        <w:t xml:space="preserve"> </w:t>
      </w:r>
      <w:r w:rsidR="004B6127" w:rsidRPr="00FB41EA">
        <w:rPr>
          <w:rFonts w:eastAsia="Times New Roman"/>
          <w:color w:val="000000"/>
          <w:sz w:val="20"/>
          <w:szCs w:val="48"/>
          <w:lang w:val="en-GB"/>
        </w:rPr>
        <w:t>To survey the regional dimension, 1</w:t>
      </w:r>
      <w:r w:rsidR="00A53DFB" w:rsidRPr="00FB41EA">
        <w:rPr>
          <w:rFonts w:eastAsia="Times New Roman"/>
          <w:color w:val="000000"/>
          <w:sz w:val="20"/>
          <w:szCs w:val="48"/>
          <w:lang w:val="en-GB"/>
        </w:rPr>
        <w:t xml:space="preserve">4 case studies of problem </w:t>
      </w:r>
      <w:r w:rsidR="006116C3">
        <w:rPr>
          <w:rFonts w:eastAsia="Times New Roman"/>
          <w:color w:val="000000"/>
          <w:sz w:val="20"/>
          <w:szCs w:val="48"/>
          <w:lang w:val="en-GB"/>
        </w:rPr>
        <w:t>territories</w:t>
      </w:r>
      <w:r w:rsidR="004B6127" w:rsidRPr="00FB41EA">
        <w:rPr>
          <w:rFonts w:eastAsia="Times New Roman"/>
          <w:color w:val="000000"/>
          <w:sz w:val="20"/>
          <w:szCs w:val="48"/>
          <w:lang w:val="en-GB"/>
        </w:rPr>
        <w:t xml:space="preserve"> as well as three </w:t>
      </w:r>
      <w:r w:rsidR="00A53DFB" w:rsidRPr="00FB41EA">
        <w:rPr>
          <w:rFonts w:eastAsia="Times New Roman"/>
          <w:color w:val="000000"/>
          <w:sz w:val="20"/>
          <w:szCs w:val="48"/>
          <w:lang w:val="en-GB"/>
        </w:rPr>
        <w:t xml:space="preserve">case studies of </w:t>
      </w:r>
      <w:r w:rsidR="004B6127" w:rsidRPr="00FB41EA">
        <w:rPr>
          <w:rFonts w:eastAsia="Times New Roman"/>
          <w:color w:val="000000"/>
          <w:sz w:val="20"/>
          <w:szCs w:val="48"/>
          <w:lang w:val="en-GB"/>
        </w:rPr>
        <w:t xml:space="preserve">foreign countries (the Czech Republic, Slovenia and Austria) </w:t>
      </w:r>
      <w:proofErr w:type="gramStart"/>
      <w:r w:rsidR="004B6127" w:rsidRPr="00FB41EA">
        <w:rPr>
          <w:rFonts w:eastAsia="Times New Roman"/>
          <w:color w:val="000000"/>
          <w:sz w:val="20"/>
          <w:szCs w:val="48"/>
          <w:lang w:val="en-GB"/>
        </w:rPr>
        <w:t>were carried out</w:t>
      </w:r>
      <w:proofErr w:type="gramEnd"/>
      <w:r w:rsidR="003A5E4F" w:rsidRPr="00FB41EA">
        <w:rPr>
          <w:rFonts w:eastAsia="Times New Roman"/>
          <w:color w:val="000000"/>
          <w:sz w:val="20"/>
          <w:szCs w:val="48"/>
          <w:lang w:val="en-GB"/>
        </w:rPr>
        <w:t xml:space="preserve">. </w:t>
      </w:r>
      <w:r w:rsidR="00A53DFB" w:rsidRPr="00FB41EA">
        <w:rPr>
          <w:rFonts w:eastAsia="Times New Roman"/>
          <w:color w:val="000000"/>
          <w:sz w:val="20"/>
          <w:szCs w:val="48"/>
          <w:lang w:val="en-GB"/>
        </w:rPr>
        <w:t xml:space="preserve">The conclusions </w:t>
      </w:r>
      <w:proofErr w:type="gramStart"/>
      <w:r w:rsidR="00A53DFB" w:rsidRPr="00FB41EA">
        <w:rPr>
          <w:rFonts w:eastAsia="Times New Roman"/>
          <w:color w:val="000000"/>
          <w:sz w:val="20"/>
          <w:szCs w:val="48"/>
          <w:lang w:val="en-GB"/>
        </w:rPr>
        <w:t>were drawn</w:t>
      </w:r>
      <w:proofErr w:type="gramEnd"/>
      <w:r w:rsidR="002900C2" w:rsidRPr="00FB41EA">
        <w:rPr>
          <w:rFonts w:eastAsia="Times New Roman"/>
          <w:color w:val="000000"/>
          <w:sz w:val="20"/>
          <w:szCs w:val="48"/>
          <w:lang w:val="en-GB"/>
        </w:rPr>
        <w:t xml:space="preserve"> through expert evaluation and</w:t>
      </w:r>
      <w:r w:rsidR="00A53DFB" w:rsidRPr="00FB41EA">
        <w:rPr>
          <w:rFonts w:eastAsia="Times New Roman"/>
          <w:color w:val="000000"/>
          <w:sz w:val="20"/>
          <w:szCs w:val="48"/>
          <w:lang w:val="en-GB"/>
        </w:rPr>
        <w:t xml:space="preserve"> statistical </w:t>
      </w:r>
      <w:r w:rsidR="006116C3">
        <w:rPr>
          <w:rFonts w:eastAsia="Times New Roman"/>
          <w:color w:val="000000"/>
          <w:sz w:val="20"/>
          <w:szCs w:val="48"/>
          <w:lang w:val="en-GB"/>
        </w:rPr>
        <w:t>as well as</w:t>
      </w:r>
      <w:r w:rsidR="00A53DFB" w:rsidRPr="00FB41EA">
        <w:rPr>
          <w:rFonts w:eastAsia="Times New Roman"/>
          <w:color w:val="000000"/>
          <w:sz w:val="20"/>
          <w:szCs w:val="48"/>
          <w:lang w:val="en-GB"/>
        </w:rPr>
        <w:t xml:space="preserve"> comparative analysis.</w:t>
      </w:r>
      <w:r w:rsidR="002900C2" w:rsidRPr="00FB41EA">
        <w:rPr>
          <w:rFonts w:eastAsia="Times New Roman"/>
          <w:color w:val="000000"/>
          <w:sz w:val="20"/>
          <w:szCs w:val="48"/>
          <w:lang w:val="en-GB"/>
        </w:rPr>
        <w:t xml:space="preserve"> </w:t>
      </w:r>
    </w:p>
    <w:p w14:paraId="775A4A62" w14:textId="77777777" w:rsidR="003A5E4F" w:rsidRPr="00FB41EA" w:rsidRDefault="002900C2" w:rsidP="003A5E4F">
      <w:pPr>
        <w:pStyle w:val="Heading3"/>
        <w:spacing w:before="240"/>
        <w:rPr>
          <w:lang w:val="en-GB"/>
        </w:rPr>
      </w:pPr>
      <w:r w:rsidRPr="00FB41EA">
        <w:rPr>
          <w:lang w:val="en-GB"/>
        </w:rPr>
        <w:t>Evaluation Findings and Strategic Recommendations</w:t>
      </w:r>
    </w:p>
    <w:p w14:paraId="5DE47E05" w14:textId="7227295D" w:rsidR="003A5E4F" w:rsidRPr="00FB41EA" w:rsidRDefault="003A5E4F" w:rsidP="003A5E4F">
      <w:pPr>
        <w:autoSpaceDE w:val="0"/>
        <w:autoSpaceDN w:val="0"/>
        <w:adjustRightInd w:val="0"/>
        <w:spacing w:before="120" w:after="0" w:line="240" w:lineRule="auto"/>
        <w:jc w:val="both"/>
        <w:rPr>
          <w:b/>
          <w:color w:val="81BC00"/>
          <w:sz w:val="20"/>
          <w:lang w:val="en-GB"/>
        </w:rPr>
      </w:pPr>
      <w:r w:rsidRPr="00FB41EA">
        <w:rPr>
          <w:b/>
          <w:color w:val="81BC00"/>
          <w:sz w:val="20"/>
          <w:lang w:val="en-GB"/>
        </w:rPr>
        <w:t xml:space="preserve">9.1.1. </w:t>
      </w:r>
      <w:r w:rsidR="005B0098" w:rsidRPr="00FB41EA">
        <w:rPr>
          <w:b/>
          <w:color w:val="81BC00"/>
          <w:sz w:val="20"/>
          <w:lang w:val="en-GB"/>
        </w:rPr>
        <w:t xml:space="preserve">How and why the changing </w:t>
      </w:r>
      <w:r w:rsidR="00423533" w:rsidRPr="00FB41EA">
        <w:rPr>
          <w:b/>
          <w:color w:val="81BC00"/>
          <w:sz w:val="20"/>
          <w:lang w:val="en-GB"/>
        </w:rPr>
        <w:t xml:space="preserve">the </w:t>
      </w:r>
      <w:r w:rsidR="005B0098" w:rsidRPr="00FB41EA">
        <w:rPr>
          <w:b/>
          <w:color w:val="81BC00"/>
          <w:sz w:val="20"/>
          <w:lang w:val="en-GB"/>
        </w:rPr>
        <w:t xml:space="preserve">Lithuanian social – economic situation </w:t>
      </w:r>
      <w:proofErr w:type="gramStart"/>
      <w:r w:rsidR="005B0098" w:rsidRPr="00FB41EA">
        <w:rPr>
          <w:b/>
          <w:color w:val="81BC00"/>
          <w:sz w:val="20"/>
          <w:lang w:val="en-GB"/>
        </w:rPr>
        <w:t>impact</w:t>
      </w:r>
      <w:r w:rsidR="006116C3">
        <w:rPr>
          <w:b/>
          <w:color w:val="81BC00"/>
          <w:sz w:val="20"/>
          <w:lang w:val="en-GB"/>
        </w:rPr>
        <w:t>ed</w:t>
      </w:r>
      <w:proofErr w:type="gramEnd"/>
      <w:r w:rsidR="005B0098" w:rsidRPr="00FB41EA">
        <w:rPr>
          <w:b/>
          <w:color w:val="81BC00"/>
          <w:sz w:val="20"/>
          <w:lang w:val="en-GB"/>
        </w:rPr>
        <w:t xml:space="preserve"> </w:t>
      </w:r>
      <w:r w:rsidR="009C167E" w:rsidRPr="009C167E">
        <w:rPr>
          <w:b/>
          <w:color w:val="81BC00"/>
          <w:sz w:val="20"/>
          <w:lang w:val="en-GB"/>
        </w:rPr>
        <w:t xml:space="preserve">the </w:t>
      </w:r>
      <w:r w:rsidR="005B0098" w:rsidRPr="00FB41EA">
        <w:rPr>
          <w:b/>
          <w:color w:val="81BC00"/>
          <w:sz w:val="20"/>
          <w:lang w:val="en-GB"/>
        </w:rPr>
        <w:t xml:space="preserve">key </w:t>
      </w:r>
      <w:r w:rsidR="009C167E" w:rsidRPr="00FB41EA">
        <w:rPr>
          <w:b/>
          <w:color w:val="81BC00"/>
          <w:sz w:val="20"/>
          <w:lang w:val="en-GB"/>
        </w:rPr>
        <w:t xml:space="preserve">horizontal priority objectives </w:t>
      </w:r>
      <w:r w:rsidR="009C167E">
        <w:rPr>
          <w:b/>
          <w:color w:val="81BC00"/>
          <w:sz w:val="20"/>
          <w:lang w:val="en-GB"/>
        </w:rPr>
        <w:t xml:space="preserve">of </w:t>
      </w:r>
      <w:r w:rsidR="005B0098" w:rsidRPr="00FB41EA">
        <w:rPr>
          <w:b/>
          <w:color w:val="81BC00"/>
          <w:sz w:val="20"/>
          <w:lang w:val="en-GB"/>
        </w:rPr>
        <w:t xml:space="preserve">sustainable development and environmental performance indicators? </w:t>
      </w:r>
      <w:r w:rsidR="00ED0B68" w:rsidRPr="00FB41EA">
        <w:rPr>
          <w:b/>
          <w:color w:val="81BC00"/>
          <w:sz w:val="20"/>
          <w:lang w:val="en-GB"/>
        </w:rPr>
        <w:t xml:space="preserve">Compare the dynamics of those indicators </w:t>
      </w:r>
      <w:r w:rsidR="005A36B0" w:rsidRPr="00FB41EA">
        <w:rPr>
          <w:b/>
          <w:color w:val="81BC00"/>
          <w:sz w:val="20"/>
          <w:lang w:val="en-GB"/>
        </w:rPr>
        <w:t xml:space="preserve">in Lithuania and the EU </w:t>
      </w:r>
      <w:r w:rsidR="009C167E">
        <w:rPr>
          <w:b/>
          <w:color w:val="81BC00"/>
          <w:sz w:val="20"/>
          <w:lang w:val="en-GB"/>
        </w:rPr>
        <w:t>member states</w:t>
      </w:r>
      <w:r w:rsidR="005A36B0" w:rsidRPr="00FB41EA">
        <w:rPr>
          <w:b/>
          <w:color w:val="81BC00"/>
          <w:sz w:val="20"/>
          <w:lang w:val="en-GB"/>
        </w:rPr>
        <w:t xml:space="preserve"> during 2007–2013</w:t>
      </w:r>
      <w:r w:rsidRPr="00FB41EA">
        <w:rPr>
          <w:b/>
          <w:color w:val="81BC00"/>
          <w:sz w:val="20"/>
          <w:lang w:val="en-GB"/>
        </w:rPr>
        <w:t>.</w:t>
      </w:r>
    </w:p>
    <w:p w14:paraId="21C37FBA" w14:textId="4853E985" w:rsidR="00AE1F66" w:rsidRPr="00FB41EA" w:rsidRDefault="005A36B0" w:rsidP="003A5E4F">
      <w:pPr>
        <w:autoSpaceDE w:val="0"/>
        <w:autoSpaceDN w:val="0"/>
        <w:adjustRightInd w:val="0"/>
        <w:spacing w:before="120" w:after="0" w:line="240" w:lineRule="auto"/>
        <w:jc w:val="both"/>
        <w:rPr>
          <w:sz w:val="20"/>
          <w:szCs w:val="20"/>
          <w:lang w:val="en-GB"/>
        </w:rPr>
      </w:pPr>
      <w:r w:rsidRPr="00FB41EA">
        <w:rPr>
          <w:sz w:val="20"/>
          <w:szCs w:val="20"/>
          <w:lang w:val="en-GB"/>
        </w:rPr>
        <w:t xml:space="preserve">According to the </w:t>
      </w:r>
      <w:r w:rsidR="003E6FB9" w:rsidRPr="00FB41EA">
        <w:rPr>
          <w:sz w:val="20"/>
          <w:szCs w:val="20"/>
          <w:lang w:val="en-GB"/>
        </w:rPr>
        <w:t xml:space="preserve">Statistics Lithuania, the main social – economic indicators of Lithuania include </w:t>
      </w:r>
      <w:r w:rsidR="003E6FB9" w:rsidRPr="00FB41EA">
        <w:rPr>
          <w:rFonts w:eastAsia="Times New Roman"/>
          <w:b/>
          <w:color w:val="6D9F00"/>
          <w:sz w:val="20"/>
          <w:szCs w:val="20"/>
          <w:lang w:val="en-GB"/>
        </w:rPr>
        <w:t>citizens’ employment/unemployment, the level of inflation and</w:t>
      </w:r>
      <w:r w:rsidR="00AE1F66" w:rsidRPr="00FB41EA">
        <w:rPr>
          <w:rFonts w:eastAsia="Times New Roman"/>
          <w:b/>
          <w:color w:val="6D9F00"/>
          <w:sz w:val="20"/>
          <w:szCs w:val="20"/>
          <w:lang w:val="en-GB"/>
        </w:rPr>
        <w:t xml:space="preserve"> </w:t>
      </w:r>
      <w:r w:rsidR="003E6FB9" w:rsidRPr="00FB41EA">
        <w:rPr>
          <w:rFonts w:eastAsia="Times New Roman"/>
          <w:b/>
          <w:color w:val="6D9F00"/>
          <w:sz w:val="20"/>
          <w:szCs w:val="20"/>
          <w:lang w:val="en-GB"/>
        </w:rPr>
        <w:t>GDP changes</w:t>
      </w:r>
      <w:r w:rsidR="00AE1F66" w:rsidRPr="00FB41EA">
        <w:rPr>
          <w:sz w:val="20"/>
          <w:szCs w:val="20"/>
          <w:lang w:val="en-GB"/>
        </w:rPr>
        <w:t xml:space="preserve">. </w:t>
      </w:r>
      <w:r w:rsidR="003E6FB9" w:rsidRPr="00FB41EA">
        <w:rPr>
          <w:sz w:val="20"/>
          <w:szCs w:val="20"/>
          <w:lang w:val="en-GB"/>
        </w:rPr>
        <w:t xml:space="preserve">In addition, to strengthen </w:t>
      </w:r>
      <w:r w:rsidR="00F42744" w:rsidRPr="00FB41EA">
        <w:rPr>
          <w:sz w:val="20"/>
          <w:szCs w:val="20"/>
          <w:lang w:val="en-GB"/>
        </w:rPr>
        <w:t xml:space="preserve">the </w:t>
      </w:r>
      <w:r w:rsidR="003E6FB9" w:rsidRPr="00FB41EA">
        <w:rPr>
          <w:sz w:val="20"/>
          <w:szCs w:val="20"/>
          <w:lang w:val="en-GB"/>
        </w:rPr>
        <w:t>soc</w:t>
      </w:r>
      <w:r w:rsidR="00F42744" w:rsidRPr="00FB41EA">
        <w:rPr>
          <w:sz w:val="20"/>
          <w:szCs w:val="20"/>
          <w:lang w:val="en-GB"/>
        </w:rPr>
        <w:t xml:space="preserve">ial (social cohesion) </w:t>
      </w:r>
      <w:proofErr w:type="gramStart"/>
      <w:r w:rsidR="00F42744" w:rsidRPr="00FB41EA">
        <w:rPr>
          <w:sz w:val="20"/>
          <w:szCs w:val="20"/>
          <w:lang w:val="en-GB"/>
        </w:rPr>
        <w:t>dimension</w:t>
      </w:r>
      <w:r w:rsidR="003E6FB9" w:rsidRPr="00FB41EA">
        <w:rPr>
          <w:sz w:val="20"/>
          <w:szCs w:val="20"/>
          <w:lang w:val="en-GB"/>
        </w:rPr>
        <w:t xml:space="preserve"> which</w:t>
      </w:r>
      <w:proofErr w:type="gramEnd"/>
      <w:r w:rsidR="003E6FB9" w:rsidRPr="00FB41EA">
        <w:rPr>
          <w:sz w:val="20"/>
          <w:szCs w:val="20"/>
          <w:lang w:val="en-GB"/>
        </w:rPr>
        <w:t xml:space="preserve"> </w:t>
      </w:r>
      <w:r w:rsidR="00F42744" w:rsidRPr="00FB41EA">
        <w:rPr>
          <w:sz w:val="20"/>
          <w:szCs w:val="20"/>
          <w:lang w:val="en-GB"/>
        </w:rPr>
        <w:t>is</w:t>
      </w:r>
      <w:r w:rsidR="003E6FB9" w:rsidRPr="00FB41EA">
        <w:rPr>
          <w:sz w:val="20"/>
          <w:szCs w:val="20"/>
          <w:lang w:val="en-GB"/>
        </w:rPr>
        <w:t xml:space="preserve"> directly related to social capital resources and the sustainable development concept, </w:t>
      </w:r>
      <w:r w:rsidR="00F42744" w:rsidRPr="00FB41EA">
        <w:rPr>
          <w:rFonts w:eastAsia="Times New Roman"/>
          <w:b/>
          <w:color w:val="6D9F00"/>
          <w:sz w:val="20"/>
          <w:szCs w:val="20"/>
          <w:lang w:val="en-GB"/>
        </w:rPr>
        <w:t>poverty rate</w:t>
      </w:r>
      <w:r w:rsidR="00F42744" w:rsidRPr="00FB41EA">
        <w:rPr>
          <w:sz w:val="20"/>
          <w:szCs w:val="20"/>
          <w:lang w:val="en-GB"/>
        </w:rPr>
        <w:t xml:space="preserve"> has been included in </w:t>
      </w:r>
      <w:r w:rsidR="003E6FB9" w:rsidRPr="00FB41EA">
        <w:rPr>
          <w:sz w:val="20"/>
          <w:szCs w:val="20"/>
          <w:lang w:val="en-GB"/>
        </w:rPr>
        <w:t xml:space="preserve">the list of </w:t>
      </w:r>
      <w:r w:rsidR="00F42744" w:rsidRPr="00FB41EA">
        <w:rPr>
          <w:sz w:val="20"/>
          <w:szCs w:val="20"/>
          <w:lang w:val="en-GB"/>
        </w:rPr>
        <w:t>indicators</w:t>
      </w:r>
      <w:r w:rsidR="00AE3A21" w:rsidRPr="00FB41EA">
        <w:rPr>
          <w:sz w:val="20"/>
          <w:szCs w:val="20"/>
          <w:lang w:val="en-GB"/>
        </w:rPr>
        <w:t xml:space="preserve">. </w:t>
      </w:r>
      <w:r w:rsidR="00F42744" w:rsidRPr="00FB41EA">
        <w:rPr>
          <w:sz w:val="20"/>
          <w:szCs w:val="20"/>
          <w:lang w:val="en-GB"/>
        </w:rPr>
        <w:t xml:space="preserve">The evaluation examines the </w:t>
      </w:r>
      <w:r w:rsidR="002F799D" w:rsidRPr="00FB41EA">
        <w:rPr>
          <w:sz w:val="20"/>
          <w:szCs w:val="20"/>
          <w:lang w:val="en-GB"/>
        </w:rPr>
        <w:t xml:space="preserve">dynamics of the </w:t>
      </w:r>
      <w:r w:rsidR="00F42744" w:rsidRPr="00FB41EA">
        <w:rPr>
          <w:sz w:val="20"/>
          <w:szCs w:val="20"/>
          <w:lang w:val="en-GB"/>
        </w:rPr>
        <w:t>main indicators of Lithuania for 2007</w:t>
      </w:r>
      <w:r w:rsidR="002F799D" w:rsidRPr="00FB41EA">
        <w:rPr>
          <w:sz w:val="20"/>
          <w:szCs w:val="20"/>
          <w:lang w:val="en-GB"/>
        </w:rPr>
        <w:t>–2013</w:t>
      </w:r>
      <w:r w:rsidR="00F42744" w:rsidRPr="00FB41EA">
        <w:rPr>
          <w:sz w:val="20"/>
          <w:szCs w:val="20"/>
          <w:lang w:val="en-GB"/>
        </w:rPr>
        <w:t xml:space="preserve"> and </w:t>
      </w:r>
      <w:r w:rsidR="002F799D" w:rsidRPr="00FB41EA">
        <w:rPr>
          <w:sz w:val="20"/>
          <w:szCs w:val="20"/>
          <w:lang w:val="en-GB"/>
        </w:rPr>
        <w:t xml:space="preserve">provides </w:t>
      </w:r>
      <w:r w:rsidR="00F42744" w:rsidRPr="00FB41EA">
        <w:rPr>
          <w:sz w:val="20"/>
          <w:szCs w:val="20"/>
          <w:lang w:val="en-GB"/>
        </w:rPr>
        <w:t xml:space="preserve">a comparison with other EU-28 </w:t>
      </w:r>
      <w:r w:rsidR="009C167E">
        <w:rPr>
          <w:sz w:val="20"/>
          <w:szCs w:val="20"/>
          <w:lang w:val="en-GB"/>
        </w:rPr>
        <w:t>member states</w:t>
      </w:r>
      <w:r w:rsidR="00F42744" w:rsidRPr="00FB41EA">
        <w:rPr>
          <w:sz w:val="20"/>
          <w:szCs w:val="20"/>
          <w:lang w:val="en-GB"/>
        </w:rPr>
        <w:t>.</w:t>
      </w:r>
      <w:r w:rsidR="00AE3A21" w:rsidRPr="00FB41EA">
        <w:rPr>
          <w:sz w:val="20"/>
          <w:szCs w:val="20"/>
          <w:lang w:val="en-GB"/>
        </w:rPr>
        <w:t xml:space="preserve"> </w:t>
      </w:r>
      <w:r w:rsidR="00771145" w:rsidRPr="00FB41EA">
        <w:rPr>
          <w:sz w:val="20"/>
          <w:szCs w:val="20"/>
          <w:lang w:val="en-GB"/>
        </w:rPr>
        <w:t>Moreover</w:t>
      </w:r>
      <w:r w:rsidR="002F799D" w:rsidRPr="00FB41EA">
        <w:rPr>
          <w:sz w:val="20"/>
          <w:szCs w:val="20"/>
          <w:lang w:val="en-GB"/>
        </w:rPr>
        <w:t xml:space="preserve">, in order to answer the question, the </w:t>
      </w:r>
      <w:r w:rsidR="00771145" w:rsidRPr="00FB41EA">
        <w:rPr>
          <w:sz w:val="20"/>
          <w:szCs w:val="20"/>
          <w:lang w:val="en-GB"/>
        </w:rPr>
        <w:t>impact of the changes in</w:t>
      </w:r>
      <w:r w:rsidR="002F799D" w:rsidRPr="00FB41EA">
        <w:rPr>
          <w:sz w:val="20"/>
          <w:szCs w:val="20"/>
          <w:lang w:val="en-GB"/>
        </w:rPr>
        <w:t xml:space="preserve"> </w:t>
      </w:r>
      <w:r w:rsidR="00423533" w:rsidRPr="00FB41EA">
        <w:rPr>
          <w:sz w:val="20"/>
          <w:szCs w:val="20"/>
          <w:lang w:val="en-GB"/>
        </w:rPr>
        <w:t xml:space="preserve">the </w:t>
      </w:r>
      <w:r w:rsidR="002F799D" w:rsidRPr="00FB41EA">
        <w:rPr>
          <w:sz w:val="20"/>
          <w:szCs w:val="20"/>
          <w:lang w:val="en-GB"/>
        </w:rPr>
        <w:t xml:space="preserve">social </w:t>
      </w:r>
      <w:r w:rsidR="00771145" w:rsidRPr="00FB41EA">
        <w:rPr>
          <w:sz w:val="20"/>
          <w:szCs w:val="20"/>
          <w:lang w:val="en-GB"/>
        </w:rPr>
        <w:t>–</w:t>
      </w:r>
      <w:r w:rsidR="002F799D" w:rsidRPr="00FB41EA">
        <w:rPr>
          <w:sz w:val="20"/>
          <w:szCs w:val="20"/>
          <w:lang w:val="en-GB"/>
        </w:rPr>
        <w:t xml:space="preserve"> economic situation</w:t>
      </w:r>
      <w:r w:rsidR="002F0180" w:rsidRPr="00FB41EA">
        <w:rPr>
          <w:sz w:val="20"/>
          <w:szCs w:val="20"/>
          <w:lang w:val="en-GB"/>
        </w:rPr>
        <w:t xml:space="preserve"> on</w:t>
      </w:r>
      <w:r w:rsidR="002F799D" w:rsidRPr="00FB41EA">
        <w:rPr>
          <w:sz w:val="20"/>
          <w:szCs w:val="20"/>
          <w:lang w:val="en-GB"/>
        </w:rPr>
        <w:t xml:space="preserve"> </w:t>
      </w:r>
      <w:r w:rsidR="009C167E">
        <w:rPr>
          <w:sz w:val="20"/>
          <w:szCs w:val="20"/>
          <w:lang w:val="en-GB"/>
        </w:rPr>
        <w:t xml:space="preserve">the </w:t>
      </w:r>
      <w:r w:rsidR="009C167E" w:rsidRPr="00FB41EA">
        <w:rPr>
          <w:sz w:val="20"/>
          <w:szCs w:val="20"/>
          <w:lang w:val="en-GB"/>
        </w:rPr>
        <w:t>horizontal priority objectives</w:t>
      </w:r>
      <w:r w:rsidR="009C167E">
        <w:rPr>
          <w:sz w:val="20"/>
          <w:szCs w:val="20"/>
          <w:lang w:val="en-GB"/>
        </w:rPr>
        <w:t xml:space="preserve"> of</w:t>
      </w:r>
      <w:r w:rsidR="009C167E" w:rsidRPr="00FB41EA">
        <w:rPr>
          <w:sz w:val="20"/>
          <w:szCs w:val="20"/>
          <w:lang w:val="en-GB"/>
        </w:rPr>
        <w:t xml:space="preserve"> </w:t>
      </w:r>
      <w:r w:rsidR="002F799D" w:rsidRPr="00FB41EA">
        <w:rPr>
          <w:sz w:val="20"/>
          <w:szCs w:val="20"/>
          <w:lang w:val="en-GB"/>
        </w:rPr>
        <w:t xml:space="preserve">sustainable development </w:t>
      </w:r>
      <w:r w:rsidR="00701F22" w:rsidRPr="00FB41EA">
        <w:rPr>
          <w:sz w:val="20"/>
          <w:szCs w:val="20"/>
          <w:lang w:val="en-GB"/>
        </w:rPr>
        <w:t>are analysed</w:t>
      </w:r>
      <w:r w:rsidR="00AE3A21" w:rsidRPr="00FB41EA">
        <w:rPr>
          <w:sz w:val="20"/>
          <w:szCs w:val="20"/>
          <w:lang w:val="en-GB"/>
        </w:rPr>
        <w:t>:</w:t>
      </w:r>
    </w:p>
    <w:p w14:paraId="6407CA5A" w14:textId="77777777" w:rsidR="00514366" w:rsidRPr="00FB41EA" w:rsidRDefault="009F7D38" w:rsidP="00701F22">
      <w:pPr>
        <w:pStyle w:val="ListParagraph"/>
        <w:numPr>
          <w:ilvl w:val="0"/>
          <w:numId w:val="5"/>
        </w:numPr>
        <w:autoSpaceDE w:val="0"/>
        <w:autoSpaceDN w:val="0"/>
        <w:adjustRightInd w:val="0"/>
        <w:spacing w:before="120" w:after="0" w:line="240" w:lineRule="auto"/>
        <w:jc w:val="both"/>
        <w:rPr>
          <w:rFonts w:cs="Arial"/>
          <w:sz w:val="20"/>
          <w:szCs w:val="20"/>
          <w:lang w:val="en-GB"/>
        </w:rPr>
      </w:pPr>
      <w:r w:rsidRPr="00FB41EA">
        <w:rPr>
          <w:rFonts w:cs="Arial"/>
          <w:sz w:val="20"/>
          <w:szCs w:val="20"/>
          <w:lang w:val="en-GB"/>
        </w:rPr>
        <w:t>M</w:t>
      </w:r>
      <w:r w:rsidR="00701F22" w:rsidRPr="00FB41EA">
        <w:rPr>
          <w:rFonts w:cs="Arial"/>
          <w:sz w:val="20"/>
          <w:szCs w:val="20"/>
          <w:lang w:val="en-GB"/>
        </w:rPr>
        <w:t>itigating climate change and adapting to it</w:t>
      </w:r>
    </w:p>
    <w:p w14:paraId="19EAB8FD" w14:textId="77777777" w:rsidR="00514366" w:rsidRPr="00FB41EA" w:rsidRDefault="009F7D38" w:rsidP="00701F22">
      <w:pPr>
        <w:pStyle w:val="ListParagraph"/>
        <w:numPr>
          <w:ilvl w:val="0"/>
          <w:numId w:val="5"/>
        </w:numPr>
        <w:autoSpaceDE w:val="0"/>
        <w:autoSpaceDN w:val="0"/>
        <w:adjustRightInd w:val="0"/>
        <w:spacing w:before="120" w:after="0" w:line="240" w:lineRule="auto"/>
        <w:jc w:val="both"/>
        <w:rPr>
          <w:rFonts w:cs="Arial"/>
          <w:sz w:val="20"/>
          <w:szCs w:val="20"/>
          <w:lang w:val="en-GB"/>
        </w:rPr>
      </w:pPr>
      <w:r w:rsidRPr="00FB41EA">
        <w:rPr>
          <w:rFonts w:cs="Arial"/>
          <w:sz w:val="20"/>
          <w:szCs w:val="20"/>
          <w:lang w:val="en-GB"/>
        </w:rPr>
        <w:t>T</w:t>
      </w:r>
      <w:r w:rsidR="00701F22" w:rsidRPr="00FB41EA">
        <w:rPr>
          <w:rFonts w:cs="Arial"/>
          <w:sz w:val="20"/>
          <w:szCs w:val="20"/>
          <w:lang w:val="en-GB"/>
        </w:rPr>
        <w:t>ransport development and reducing negative environmental impact</w:t>
      </w:r>
    </w:p>
    <w:p w14:paraId="5CC770AA" w14:textId="77777777" w:rsidR="00514366" w:rsidRPr="00FB41EA" w:rsidRDefault="009F7D38" w:rsidP="00701F22">
      <w:pPr>
        <w:pStyle w:val="ListParagraph"/>
        <w:numPr>
          <w:ilvl w:val="0"/>
          <w:numId w:val="5"/>
        </w:numPr>
        <w:autoSpaceDE w:val="0"/>
        <w:autoSpaceDN w:val="0"/>
        <w:adjustRightInd w:val="0"/>
        <w:spacing w:before="120" w:after="0" w:line="240" w:lineRule="auto"/>
        <w:jc w:val="both"/>
        <w:rPr>
          <w:rFonts w:cs="Arial"/>
          <w:sz w:val="20"/>
          <w:szCs w:val="20"/>
          <w:lang w:val="en-GB"/>
        </w:rPr>
      </w:pPr>
      <w:r w:rsidRPr="00FB41EA">
        <w:rPr>
          <w:rFonts w:cs="Arial"/>
          <w:sz w:val="20"/>
          <w:szCs w:val="20"/>
          <w:lang w:val="en-GB"/>
        </w:rPr>
        <w:t>P</w:t>
      </w:r>
      <w:r w:rsidR="00701F22" w:rsidRPr="00FB41EA">
        <w:rPr>
          <w:rFonts w:cs="Arial"/>
          <w:sz w:val="20"/>
          <w:szCs w:val="20"/>
          <w:lang w:val="en-GB"/>
        </w:rPr>
        <w:t>romotion of sustainable production and consumption</w:t>
      </w:r>
    </w:p>
    <w:p w14:paraId="6A3A10C8" w14:textId="77777777" w:rsidR="00514366" w:rsidRPr="00FB41EA" w:rsidRDefault="009F7D38" w:rsidP="00514366">
      <w:pPr>
        <w:pStyle w:val="ListParagraph"/>
        <w:numPr>
          <w:ilvl w:val="0"/>
          <w:numId w:val="5"/>
        </w:numPr>
        <w:autoSpaceDE w:val="0"/>
        <w:autoSpaceDN w:val="0"/>
        <w:adjustRightInd w:val="0"/>
        <w:spacing w:before="120" w:after="0" w:line="240" w:lineRule="auto"/>
        <w:jc w:val="both"/>
        <w:rPr>
          <w:rFonts w:cs="Arial"/>
          <w:sz w:val="20"/>
          <w:szCs w:val="20"/>
          <w:lang w:val="en-GB"/>
        </w:rPr>
      </w:pPr>
      <w:r w:rsidRPr="00FB41EA">
        <w:rPr>
          <w:rFonts w:cs="Arial"/>
          <w:sz w:val="20"/>
          <w:szCs w:val="20"/>
          <w:lang w:val="en-GB"/>
        </w:rPr>
        <w:t>I</w:t>
      </w:r>
      <w:r w:rsidR="00701F22" w:rsidRPr="00FB41EA">
        <w:rPr>
          <w:rFonts w:cs="Arial"/>
          <w:sz w:val="20"/>
          <w:szCs w:val="20"/>
          <w:lang w:val="en-GB"/>
        </w:rPr>
        <w:t xml:space="preserve">mproved management of </w:t>
      </w:r>
      <w:r w:rsidR="00F32765" w:rsidRPr="00FB41EA">
        <w:rPr>
          <w:rFonts w:cs="Arial"/>
          <w:sz w:val="20"/>
          <w:szCs w:val="20"/>
          <w:lang w:val="en-GB"/>
        </w:rPr>
        <w:t>environmental</w:t>
      </w:r>
      <w:r w:rsidR="00701F22" w:rsidRPr="00FB41EA">
        <w:rPr>
          <w:rFonts w:cs="Arial"/>
          <w:sz w:val="20"/>
          <w:szCs w:val="20"/>
          <w:lang w:val="en-GB"/>
        </w:rPr>
        <w:t xml:space="preserve"> resources</w:t>
      </w:r>
    </w:p>
    <w:p w14:paraId="50A2BF7E" w14:textId="77777777" w:rsidR="00514366" w:rsidRPr="00FB41EA" w:rsidRDefault="009F7D38" w:rsidP="00701F22">
      <w:pPr>
        <w:pStyle w:val="ListParagraph"/>
        <w:numPr>
          <w:ilvl w:val="0"/>
          <w:numId w:val="5"/>
        </w:numPr>
        <w:autoSpaceDE w:val="0"/>
        <w:autoSpaceDN w:val="0"/>
        <w:adjustRightInd w:val="0"/>
        <w:spacing w:before="120" w:after="0" w:line="240" w:lineRule="auto"/>
        <w:jc w:val="both"/>
        <w:rPr>
          <w:rFonts w:cs="Arial"/>
          <w:sz w:val="20"/>
          <w:szCs w:val="20"/>
          <w:lang w:val="en-GB"/>
        </w:rPr>
      </w:pPr>
      <w:r w:rsidRPr="00FB41EA">
        <w:rPr>
          <w:rFonts w:cs="Arial"/>
          <w:sz w:val="20"/>
          <w:szCs w:val="20"/>
          <w:lang w:val="en-GB"/>
        </w:rPr>
        <w:t>M</w:t>
      </w:r>
      <w:r w:rsidR="00701F22" w:rsidRPr="00FB41EA">
        <w:rPr>
          <w:rFonts w:cs="Arial"/>
          <w:sz w:val="20"/>
          <w:szCs w:val="20"/>
          <w:lang w:val="en-GB"/>
        </w:rPr>
        <w:t>itigating poverty and social exclusion</w:t>
      </w:r>
    </w:p>
    <w:p w14:paraId="0E9921C3" w14:textId="77777777" w:rsidR="00514366" w:rsidRPr="00FB41EA" w:rsidRDefault="009F7D38" w:rsidP="009F7D38">
      <w:pPr>
        <w:pStyle w:val="ListParagraph"/>
        <w:numPr>
          <w:ilvl w:val="0"/>
          <w:numId w:val="5"/>
        </w:numPr>
        <w:autoSpaceDE w:val="0"/>
        <w:autoSpaceDN w:val="0"/>
        <w:adjustRightInd w:val="0"/>
        <w:spacing w:before="120" w:after="0" w:line="240" w:lineRule="auto"/>
        <w:jc w:val="both"/>
        <w:rPr>
          <w:rFonts w:cs="Arial"/>
          <w:sz w:val="20"/>
          <w:szCs w:val="20"/>
          <w:lang w:val="en-GB"/>
        </w:rPr>
      </w:pPr>
      <w:r w:rsidRPr="00FB41EA">
        <w:rPr>
          <w:rFonts w:cs="Arial"/>
          <w:sz w:val="20"/>
          <w:szCs w:val="20"/>
          <w:lang w:val="en-GB"/>
        </w:rPr>
        <w:t>Reducing public health threats</w:t>
      </w:r>
    </w:p>
    <w:p w14:paraId="23B0F947" w14:textId="77777777" w:rsidR="00AE3A21" w:rsidRPr="00FB41EA" w:rsidRDefault="009F7D38" w:rsidP="009F7D38">
      <w:pPr>
        <w:pStyle w:val="ListParagraph"/>
        <w:numPr>
          <w:ilvl w:val="0"/>
          <w:numId w:val="5"/>
        </w:numPr>
        <w:autoSpaceDE w:val="0"/>
        <w:autoSpaceDN w:val="0"/>
        <w:adjustRightInd w:val="0"/>
        <w:spacing w:before="120" w:after="0" w:line="240" w:lineRule="auto"/>
        <w:jc w:val="both"/>
        <w:rPr>
          <w:sz w:val="20"/>
          <w:szCs w:val="20"/>
          <w:lang w:val="en-GB"/>
        </w:rPr>
      </w:pPr>
      <w:r w:rsidRPr="00FB41EA">
        <w:rPr>
          <w:rFonts w:cs="Arial"/>
          <w:sz w:val="20"/>
          <w:szCs w:val="20"/>
          <w:lang w:val="en-GB"/>
        </w:rPr>
        <w:t>Tackling demographic and emigration problems</w:t>
      </w:r>
    </w:p>
    <w:p w14:paraId="5757DE8D" w14:textId="7784518E" w:rsidR="009A530C" w:rsidRPr="00FB41EA" w:rsidRDefault="009C167E" w:rsidP="003A5E4F">
      <w:pPr>
        <w:autoSpaceDE w:val="0"/>
        <w:autoSpaceDN w:val="0"/>
        <w:adjustRightInd w:val="0"/>
        <w:spacing w:before="120" w:after="0" w:line="240" w:lineRule="auto"/>
        <w:jc w:val="both"/>
        <w:rPr>
          <w:sz w:val="20"/>
          <w:szCs w:val="20"/>
          <w:lang w:val="en-GB"/>
        </w:rPr>
      </w:pPr>
      <w:r>
        <w:rPr>
          <w:sz w:val="20"/>
          <w:szCs w:val="20"/>
          <w:lang w:val="en-GB"/>
        </w:rPr>
        <w:t>In b</w:t>
      </w:r>
      <w:r w:rsidR="009F7D38" w:rsidRPr="00FB41EA">
        <w:rPr>
          <w:sz w:val="20"/>
          <w:szCs w:val="20"/>
          <w:lang w:val="en-GB"/>
        </w:rPr>
        <w:t>oth Lithuania and the EU (on average)</w:t>
      </w:r>
      <w:r w:rsidR="00423533" w:rsidRPr="00FB41EA">
        <w:rPr>
          <w:sz w:val="20"/>
          <w:szCs w:val="20"/>
          <w:lang w:val="en-GB"/>
        </w:rPr>
        <w:t>,</w:t>
      </w:r>
      <w:r w:rsidR="009F7D38" w:rsidRPr="00FB41EA">
        <w:rPr>
          <w:sz w:val="20"/>
          <w:szCs w:val="20"/>
          <w:lang w:val="en-GB"/>
        </w:rPr>
        <w:t xml:space="preserve"> all the </w:t>
      </w:r>
      <w:r w:rsidR="00423533" w:rsidRPr="00FB41EA">
        <w:rPr>
          <w:sz w:val="20"/>
          <w:szCs w:val="20"/>
          <w:lang w:val="en-GB"/>
        </w:rPr>
        <w:t xml:space="preserve">analysed indicators reflecting </w:t>
      </w:r>
      <w:r w:rsidR="009F7D38" w:rsidRPr="00FB41EA">
        <w:rPr>
          <w:sz w:val="20"/>
          <w:szCs w:val="20"/>
          <w:lang w:val="en-GB"/>
        </w:rPr>
        <w:t xml:space="preserve">social </w:t>
      </w:r>
      <w:r w:rsidR="00423533" w:rsidRPr="00FB41EA">
        <w:rPr>
          <w:sz w:val="20"/>
          <w:szCs w:val="20"/>
          <w:lang w:val="en-GB"/>
        </w:rPr>
        <w:t>–</w:t>
      </w:r>
      <w:r w:rsidR="009F7D38" w:rsidRPr="00FB41EA">
        <w:rPr>
          <w:sz w:val="20"/>
          <w:szCs w:val="20"/>
          <w:lang w:val="en-GB"/>
        </w:rPr>
        <w:t xml:space="preserve"> economic situation </w:t>
      </w:r>
      <w:r w:rsidR="00423533" w:rsidRPr="00FB41EA">
        <w:rPr>
          <w:sz w:val="20"/>
          <w:szCs w:val="20"/>
          <w:lang w:val="en-GB"/>
        </w:rPr>
        <w:t xml:space="preserve">changed in </w:t>
      </w:r>
      <w:r w:rsidR="009F7D38" w:rsidRPr="00FB41EA">
        <w:rPr>
          <w:sz w:val="20"/>
          <w:szCs w:val="20"/>
          <w:lang w:val="en-GB"/>
        </w:rPr>
        <w:t xml:space="preserve">a </w:t>
      </w:r>
      <w:r w:rsidR="00423533" w:rsidRPr="00FB41EA">
        <w:rPr>
          <w:sz w:val="20"/>
          <w:szCs w:val="20"/>
          <w:lang w:val="en-GB"/>
        </w:rPr>
        <w:t xml:space="preserve">similar </w:t>
      </w:r>
      <w:r w:rsidR="009F7D38" w:rsidRPr="00FB41EA">
        <w:rPr>
          <w:sz w:val="20"/>
          <w:szCs w:val="20"/>
          <w:lang w:val="en-GB"/>
        </w:rPr>
        <w:t>trend</w:t>
      </w:r>
      <w:r w:rsidR="003A5E4F" w:rsidRPr="00FB41EA">
        <w:rPr>
          <w:sz w:val="20"/>
          <w:szCs w:val="20"/>
          <w:lang w:val="en-GB"/>
        </w:rPr>
        <w:t xml:space="preserve">: </w:t>
      </w:r>
      <w:r w:rsidR="00423533" w:rsidRPr="00FB41EA">
        <w:rPr>
          <w:sz w:val="20"/>
          <w:szCs w:val="20"/>
          <w:lang w:val="en-GB"/>
        </w:rPr>
        <w:t xml:space="preserve">the financial crisis </w:t>
      </w:r>
      <w:r w:rsidR="009A530C" w:rsidRPr="00FB41EA">
        <w:rPr>
          <w:sz w:val="20"/>
          <w:szCs w:val="20"/>
          <w:lang w:val="en-GB"/>
        </w:rPr>
        <w:t>had the greatest impact on the indicators</w:t>
      </w:r>
      <w:r w:rsidR="00AE3A21" w:rsidRPr="00FB41EA">
        <w:rPr>
          <w:sz w:val="20"/>
          <w:szCs w:val="20"/>
          <w:lang w:val="en-GB"/>
        </w:rPr>
        <w:t>;</w:t>
      </w:r>
      <w:r w:rsidR="003A5E4F" w:rsidRPr="00FB41EA">
        <w:rPr>
          <w:sz w:val="20"/>
          <w:szCs w:val="20"/>
          <w:lang w:val="en-GB"/>
        </w:rPr>
        <w:t xml:space="preserve"> </w:t>
      </w:r>
      <w:r w:rsidR="009A530C" w:rsidRPr="00FB41EA">
        <w:rPr>
          <w:sz w:val="20"/>
          <w:szCs w:val="20"/>
          <w:lang w:val="en-GB"/>
        </w:rPr>
        <w:t xml:space="preserve">2010 </w:t>
      </w:r>
      <w:proofErr w:type="gramStart"/>
      <w:r w:rsidR="009A530C" w:rsidRPr="00FB41EA">
        <w:rPr>
          <w:sz w:val="20"/>
          <w:szCs w:val="20"/>
          <w:lang w:val="en-GB"/>
        </w:rPr>
        <w:t>can be considered</w:t>
      </w:r>
      <w:proofErr w:type="gramEnd"/>
      <w:r w:rsidR="009A530C" w:rsidRPr="00FB41EA">
        <w:rPr>
          <w:sz w:val="20"/>
          <w:szCs w:val="20"/>
          <w:lang w:val="en-GB"/>
        </w:rPr>
        <w:t xml:space="preserve"> the breaking point, when the majority of the indicators began to reflect positive trends.</w:t>
      </w:r>
      <w:r w:rsidR="001840DB" w:rsidRPr="00FB41EA">
        <w:rPr>
          <w:sz w:val="20"/>
          <w:szCs w:val="20"/>
          <w:lang w:val="en-GB"/>
        </w:rPr>
        <w:t xml:space="preserve"> </w:t>
      </w:r>
    </w:p>
    <w:p w14:paraId="6101A52E" w14:textId="000C17AD" w:rsidR="003A5E4F" w:rsidRPr="00FB41EA" w:rsidRDefault="009A530C" w:rsidP="003A5E4F">
      <w:pPr>
        <w:autoSpaceDE w:val="0"/>
        <w:autoSpaceDN w:val="0"/>
        <w:adjustRightInd w:val="0"/>
        <w:spacing w:before="120" w:after="0" w:line="240" w:lineRule="auto"/>
        <w:jc w:val="both"/>
        <w:rPr>
          <w:sz w:val="20"/>
          <w:szCs w:val="20"/>
          <w:lang w:val="en-GB"/>
        </w:rPr>
      </w:pPr>
      <w:r w:rsidRPr="00FB41EA">
        <w:rPr>
          <w:sz w:val="20"/>
          <w:szCs w:val="20"/>
          <w:lang w:val="en-GB"/>
        </w:rPr>
        <w:t xml:space="preserve">The EU structural assistance was one of the main measures of mitigating the </w:t>
      </w:r>
      <w:r w:rsidR="00D94C49" w:rsidRPr="00FB41EA">
        <w:rPr>
          <w:sz w:val="20"/>
          <w:szCs w:val="20"/>
          <w:lang w:val="en-GB"/>
        </w:rPr>
        <w:t xml:space="preserve">outcomes of the financial crisis. The situation in </w:t>
      </w:r>
      <w:r w:rsidR="003A5E4F" w:rsidRPr="00FB41EA">
        <w:rPr>
          <w:sz w:val="20"/>
          <w:szCs w:val="20"/>
          <w:lang w:val="en-GB"/>
        </w:rPr>
        <w:t xml:space="preserve">2008–2010 </w:t>
      </w:r>
      <w:r w:rsidR="00D94C49" w:rsidRPr="00FB41EA">
        <w:rPr>
          <w:sz w:val="20"/>
          <w:szCs w:val="20"/>
          <w:lang w:val="en-GB"/>
        </w:rPr>
        <w:t xml:space="preserve">required fast </w:t>
      </w:r>
      <w:proofErr w:type="gramStart"/>
      <w:r w:rsidR="00D94C49" w:rsidRPr="00FB41EA">
        <w:rPr>
          <w:sz w:val="20"/>
          <w:szCs w:val="20"/>
          <w:lang w:val="en-GB"/>
        </w:rPr>
        <w:t>solutions which</w:t>
      </w:r>
      <w:proofErr w:type="gramEnd"/>
      <w:r w:rsidR="00D94C49" w:rsidRPr="00FB41EA">
        <w:rPr>
          <w:sz w:val="20"/>
          <w:szCs w:val="20"/>
          <w:lang w:val="en-GB"/>
        </w:rPr>
        <w:t xml:space="preserve"> were not always interoperable. </w:t>
      </w:r>
      <w:r w:rsidR="00502B26" w:rsidRPr="00FB41EA">
        <w:rPr>
          <w:sz w:val="20"/>
          <w:szCs w:val="20"/>
          <w:lang w:val="en-GB"/>
        </w:rPr>
        <w:t xml:space="preserve">The solutions resulting from the financial crisis and reallocation of funds </w:t>
      </w:r>
      <w:proofErr w:type="gramStart"/>
      <w:r w:rsidR="00502B26" w:rsidRPr="00FB41EA">
        <w:rPr>
          <w:sz w:val="20"/>
          <w:szCs w:val="20"/>
          <w:lang w:val="en-GB"/>
        </w:rPr>
        <w:t>were often directed</w:t>
      </w:r>
      <w:proofErr w:type="gramEnd"/>
      <w:r w:rsidR="00502B26" w:rsidRPr="00FB41EA">
        <w:rPr>
          <w:sz w:val="20"/>
          <w:szCs w:val="20"/>
          <w:lang w:val="en-GB"/>
        </w:rPr>
        <w:t xml:space="preserve"> towards managing the outcomes of the crisis, and not towards the long-term outlook (sustainable development). </w:t>
      </w:r>
      <w:r w:rsidR="00942A83" w:rsidRPr="00FB41EA">
        <w:rPr>
          <w:sz w:val="20"/>
          <w:szCs w:val="20"/>
          <w:lang w:val="en-GB"/>
        </w:rPr>
        <w:t xml:space="preserve">In conclusion, the financial crisis had a negative impact on the areas of human, social and </w:t>
      </w:r>
      <w:r w:rsidR="000201E5">
        <w:rPr>
          <w:sz w:val="20"/>
          <w:szCs w:val="20"/>
          <w:lang w:val="en-GB"/>
        </w:rPr>
        <w:t>manufactured</w:t>
      </w:r>
      <w:r w:rsidR="00942A83" w:rsidRPr="00FB41EA">
        <w:rPr>
          <w:sz w:val="20"/>
          <w:szCs w:val="20"/>
          <w:lang w:val="en-GB"/>
        </w:rPr>
        <w:t xml:space="preserve"> capital</w:t>
      </w:r>
      <w:r w:rsidR="003A5E4F" w:rsidRPr="00FB41EA">
        <w:rPr>
          <w:sz w:val="20"/>
          <w:szCs w:val="20"/>
          <w:lang w:val="en-GB"/>
        </w:rPr>
        <w:t xml:space="preserve">, </w:t>
      </w:r>
      <w:r w:rsidR="00942A83" w:rsidRPr="00FB41EA">
        <w:rPr>
          <w:sz w:val="20"/>
          <w:szCs w:val="20"/>
          <w:lang w:val="en-GB"/>
        </w:rPr>
        <w:t xml:space="preserve">while in case of </w:t>
      </w:r>
      <w:r w:rsidR="000201E5">
        <w:rPr>
          <w:sz w:val="20"/>
          <w:szCs w:val="20"/>
          <w:lang w:val="en-GB"/>
        </w:rPr>
        <w:t>natural</w:t>
      </w:r>
      <w:r w:rsidR="00942A83" w:rsidRPr="00FB41EA">
        <w:rPr>
          <w:sz w:val="20"/>
          <w:szCs w:val="20"/>
          <w:lang w:val="en-GB"/>
        </w:rPr>
        <w:t xml:space="preserve"> capital a positive impact was </w:t>
      </w:r>
      <w:r w:rsidR="00753F25" w:rsidRPr="00FB41EA">
        <w:rPr>
          <w:sz w:val="20"/>
          <w:szCs w:val="20"/>
          <w:lang w:val="en-GB"/>
        </w:rPr>
        <w:t xml:space="preserve">identified </w:t>
      </w:r>
      <w:r w:rsidR="003A5E4F" w:rsidRPr="00FB41EA">
        <w:rPr>
          <w:sz w:val="20"/>
          <w:szCs w:val="20"/>
          <w:lang w:val="en-GB"/>
        </w:rPr>
        <w:t>(</w:t>
      </w:r>
      <w:proofErr w:type="spellStart"/>
      <w:r w:rsidR="00753F25" w:rsidRPr="00FB41EA">
        <w:rPr>
          <w:sz w:val="20"/>
          <w:szCs w:val="20"/>
          <w:lang w:val="en-GB"/>
        </w:rPr>
        <w:t>eg</w:t>
      </w:r>
      <w:proofErr w:type="spellEnd"/>
      <w:r w:rsidR="00753F25" w:rsidRPr="00FB41EA">
        <w:rPr>
          <w:sz w:val="20"/>
          <w:szCs w:val="20"/>
          <w:lang w:val="en-GB"/>
        </w:rPr>
        <w:t>. lower exhaust gas and amount of waste due to the production slowdown</w:t>
      </w:r>
      <w:r w:rsidR="003A5E4F" w:rsidRPr="00FB41EA">
        <w:rPr>
          <w:sz w:val="20"/>
          <w:szCs w:val="20"/>
          <w:lang w:val="en-GB"/>
        </w:rPr>
        <w:t>).</w:t>
      </w:r>
    </w:p>
    <w:p w14:paraId="172ACD60" w14:textId="7273824C" w:rsidR="00AE3A21" w:rsidRPr="00FB41EA" w:rsidRDefault="00753F25" w:rsidP="00AE3A21">
      <w:pPr>
        <w:pStyle w:val="Caption"/>
        <w:spacing w:before="120"/>
        <w:jc w:val="both"/>
        <w:rPr>
          <w:b/>
          <w:i w:val="0"/>
          <w:color w:val="auto"/>
          <w:sz w:val="20"/>
          <w:szCs w:val="20"/>
          <w:lang w:val="en-GB"/>
        </w:rPr>
      </w:pPr>
      <w:r w:rsidRPr="00FB41EA">
        <w:rPr>
          <w:b/>
          <w:i w:val="0"/>
          <w:color w:val="auto"/>
          <w:sz w:val="20"/>
          <w:szCs w:val="20"/>
          <w:lang w:val="en-GB"/>
        </w:rPr>
        <w:t xml:space="preserve">Table </w:t>
      </w:r>
      <w:r w:rsidR="00AE3A21" w:rsidRPr="00FB41EA">
        <w:rPr>
          <w:b/>
          <w:i w:val="0"/>
          <w:color w:val="auto"/>
          <w:sz w:val="20"/>
          <w:szCs w:val="20"/>
          <w:lang w:val="en-GB"/>
        </w:rPr>
        <w:fldChar w:fldCharType="begin"/>
      </w:r>
      <w:r w:rsidR="00AE3A21" w:rsidRPr="00FB41EA">
        <w:rPr>
          <w:b/>
          <w:i w:val="0"/>
          <w:color w:val="auto"/>
          <w:sz w:val="20"/>
          <w:szCs w:val="20"/>
          <w:lang w:val="en-GB"/>
        </w:rPr>
        <w:instrText xml:space="preserve"> SEQ lentelė \* ARABIC </w:instrText>
      </w:r>
      <w:r w:rsidR="00AE3A21" w:rsidRPr="00FB41EA">
        <w:rPr>
          <w:b/>
          <w:i w:val="0"/>
          <w:color w:val="auto"/>
          <w:sz w:val="20"/>
          <w:szCs w:val="20"/>
          <w:lang w:val="en-GB"/>
        </w:rPr>
        <w:fldChar w:fldCharType="separate"/>
      </w:r>
      <w:r w:rsidR="00AE3A21" w:rsidRPr="00FB41EA">
        <w:rPr>
          <w:b/>
          <w:i w:val="0"/>
          <w:noProof/>
          <w:color w:val="auto"/>
          <w:sz w:val="20"/>
          <w:szCs w:val="20"/>
          <w:lang w:val="en-GB"/>
        </w:rPr>
        <w:t>1</w:t>
      </w:r>
      <w:r w:rsidR="00AE3A21" w:rsidRPr="00FB41EA">
        <w:rPr>
          <w:b/>
          <w:i w:val="0"/>
          <w:color w:val="auto"/>
          <w:sz w:val="20"/>
          <w:szCs w:val="20"/>
          <w:lang w:val="en-GB"/>
        </w:rPr>
        <w:fldChar w:fldCharType="end"/>
      </w:r>
      <w:r w:rsidR="00AE3A21" w:rsidRPr="00FB41EA">
        <w:rPr>
          <w:b/>
          <w:i w:val="0"/>
          <w:color w:val="auto"/>
          <w:sz w:val="20"/>
          <w:szCs w:val="20"/>
          <w:lang w:val="en-GB"/>
        </w:rPr>
        <w:t xml:space="preserve">. </w:t>
      </w:r>
      <w:r w:rsidR="00594637" w:rsidRPr="00FB41EA">
        <w:rPr>
          <w:b/>
          <w:i w:val="0"/>
          <w:color w:val="auto"/>
          <w:sz w:val="20"/>
          <w:szCs w:val="20"/>
          <w:lang w:val="en-GB"/>
        </w:rPr>
        <w:t xml:space="preserve">Impact of social – economic situation on different horizontal priority </w:t>
      </w:r>
      <w:r w:rsidR="00F36E0F" w:rsidRPr="00FB41EA">
        <w:rPr>
          <w:b/>
          <w:i w:val="0"/>
          <w:color w:val="auto"/>
          <w:sz w:val="20"/>
          <w:szCs w:val="20"/>
          <w:lang w:val="en-GB"/>
        </w:rPr>
        <w:t>objectives</w:t>
      </w:r>
      <w:r w:rsidR="00F36E0F" w:rsidRPr="00FB41EA" w:rsidDel="00E37543">
        <w:rPr>
          <w:b/>
          <w:color w:val="auto"/>
          <w:sz w:val="20"/>
          <w:szCs w:val="20"/>
          <w:lang w:val="en-GB"/>
        </w:rPr>
        <w:t xml:space="preserve"> </w:t>
      </w:r>
      <w:r w:rsidR="00594637" w:rsidRPr="00FB41EA">
        <w:rPr>
          <w:b/>
          <w:i w:val="0"/>
          <w:color w:val="auto"/>
          <w:sz w:val="20"/>
          <w:szCs w:val="20"/>
          <w:lang w:val="en-GB"/>
        </w:rPr>
        <w:t>of sustainable development</w:t>
      </w:r>
    </w:p>
    <w:tbl>
      <w:tblPr>
        <w:tblStyle w:val="CV11"/>
        <w:tblW w:w="9243" w:type="dxa"/>
        <w:tblInd w:w="108" w:type="dxa"/>
        <w:tblLook w:val="0420" w:firstRow="1" w:lastRow="0" w:firstColumn="0" w:lastColumn="0" w:noHBand="0" w:noVBand="1"/>
      </w:tblPr>
      <w:tblGrid>
        <w:gridCol w:w="2297"/>
        <w:gridCol w:w="2155"/>
        <w:gridCol w:w="4791"/>
      </w:tblGrid>
      <w:tr w:rsidR="001840DB" w:rsidRPr="00FB41EA" w14:paraId="74FE30AB" w14:textId="77777777" w:rsidTr="00441F77">
        <w:trPr>
          <w:trHeight w:val="665"/>
          <w:tblHeader/>
        </w:trPr>
        <w:tc>
          <w:tcPr>
            <w:tcW w:w="2297" w:type="dxa"/>
            <w:shd w:val="clear" w:color="auto" w:fill="002776"/>
            <w:vAlign w:val="center"/>
            <w:hideMark/>
          </w:tcPr>
          <w:p w14:paraId="6015926C" w14:textId="0406B272" w:rsidR="001840DB" w:rsidRPr="00FB41EA" w:rsidRDefault="00EC12FB" w:rsidP="00F36E0F">
            <w:pPr>
              <w:autoSpaceDE w:val="0"/>
              <w:autoSpaceDN w:val="0"/>
              <w:adjustRightInd w:val="0"/>
              <w:spacing w:after="0" w:line="240" w:lineRule="auto"/>
              <w:jc w:val="center"/>
              <w:rPr>
                <w:sz w:val="18"/>
                <w:szCs w:val="20"/>
                <w:lang w:val="en-GB"/>
              </w:rPr>
            </w:pPr>
            <w:r w:rsidRPr="00FB41EA">
              <w:rPr>
                <w:b/>
                <w:bCs/>
                <w:sz w:val="18"/>
                <w:szCs w:val="20"/>
                <w:lang w:val="en-GB"/>
              </w:rPr>
              <w:t xml:space="preserve">Sustainable </w:t>
            </w:r>
            <w:r w:rsidR="00F36E0F">
              <w:rPr>
                <w:b/>
                <w:bCs/>
                <w:sz w:val="18"/>
                <w:szCs w:val="20"/>
                <w:lang w:val="en-GB"/>
              </w:rPr>
              <w:t>D</w:t>
            </w:r>
            <w:r w:rsidRPr="00FB41EA">
              <w:rPr>
                <w:b/>
                <w:bCs/>
                <w:sz w:val="18"/>
                <w:szCs w:val="20"/>
                <w:lang w:val="en-GB"/>
              </w:rPr>
              <w:t xml:space="preserve">evelopment </w:t>
            </w:r>
            <w:r w:rsidR="00F36E0F">
              <w:rPr>
                <w:b/>
                <w:bCs/>
                <w:sz w:val="18"/>
                <w:szCs w:val="20"/>
                <w:lang w:val="en-GB"/>
              </w:rPr>
              <w:t>O</w:t>
            </w:r>
            <w:r w:rsidRPr="00FB41EA">
              <w:rPr>
                <w:b/>
                <w:bCs/>
                <w:sz w:val="18"/>
                <w:szCs w:val="20"/>
                <w:lang w:val="en-GB"/>
              </w:rPr>
              <w:t>bjective</w:t>
            </w:r>
          </w:p>
        </w:tc>
        <w:tc>
          <w:tcPr>
            <w:tcW w:w="2155" w:type="dxa"/>
            <w:shd w:val="clear" w:color="auto" w:fill="002776"/>
            <w:vAlign w:val="center"/>
            <w:hideMark/>
          </w:tcPr>
          <w:p w14:paraId="369F1C11" w14:textId="1E05D606" w:rsidR="001840DB" w:rsidRPr="00FB41EA" w:rsidRDefault="00EC12FB" w:rsidP="00F36E0F">
            <w:pPr>
              <w:autoSpaceDE w:val="0"/>
              <w:autoSpaceDN w:val="0"/>
              <w:adjustRightInd w:val="0"/>
              <w:spacing w:after="0" w:line="240" w:lineRule="auto"/>
              <w:jc w:val="center"/>
              <w:rPr>
                <w:sz w:val="18"/>
                <w:szCs w:val="20"/>
                <w:lang w:val="en-GB"/>
              </w:rPr>
            </w:pPr>
            <w:r w:rsidRPr="00FB41EA">
              <w:rPr>
                <w:b/>
                <w:bCs/>
                <w:sz w:val="18"/>
                <w:szCs w:val="20"/>
                <w:lang w:val="en-GB"/>
              </w:rPr>
              <w:t xml:space="preserve">Impact of </w:t>
            </w:r>
            <w:r w:rsidR="00F36E0F">
              <w:rPr>
                <w:b/>
                <w:bCs/>
                <w:sz w:val="18"/>
                <w:szCs w:val="20"/>
                <w:lang w:val="en-GB"/>
              </w:rPr>
              <w:t>S</w:t>
            </w:r>
            <w:r w:rsidRPr="00FB41EA">
              <w:rPr>
                <w:b/>
                <w:bCs/>
                <w:sz w:val="18"/>
                <w:szCs w:val="20"/>
                <w:lang w:val="en-GB"/>
              </w:rPr>
              <w:t xml:space="preserve">ocial – </w:t>
            </w:r>
            <w:r w:rsidR="00F36E0F">
              <w:rPr>
                <w:b/>
                <w:bCs/>
                <w:sz w:val="18"/>
                <w:szCs w:val="20"/>
                <w:lang w:val="en-GB"/>
              </w:rPr>
              <w:t>E</w:t>
            </w:r>
            <w:r w:rsidRPr="00FB41EA">
              <w:rPr>
                <w:b/>
                <w:bCs/>
                <w:sz w:val="18"/>
                <w:szCs w:val="20"/>
                <w:lang w:val="en-GB"/>
              </w:rPr>
              <w:t xml:space="preserve">conomic </w:t>
            </w:r>
            <w:r w:rsidR="00F36E0F">
              <w:rPr>
                <w:b/>
                <w:bCs/>
                <w:sz w:val="18"/>
                <w:szCs w:val="20"/>
                <w:lang w:val="en-GB"/>
              </w:rPr>
              <w:t>S</w:t>
            </w:r>
            <w:r w:rsidRPr="00FB41EA">
              <w:rPr>
                <w:b/>
                <w:bCs/>
                <w:sz w:val="18"/>
                <w:szCs w:val="20"/>
                <w:lang w:val="en-GB"/>
              </w:rPr>
              <w:t>ituation</w:t>
            </w:r>
          </w:p>
        </w:tc>
        <w:tc>
          <w:tcPr>
            <w:tcW w:w="4791" w:type="dxa"/>
            <w:shd w:val="clear" w:color="auto" w:fill="002776"/>
            <w:vAlign w:val="center"/>
            <w:hideMark/>
          </w:tcPr>
          <w:p w14:paraId="1104820F" w14:textId="77777777" w:rsidR="001840DB" w:rsidRPr="00FB41EA" w:rsidRDefault="00EC12FB" w:rsidP="00E37543">
            <w:pPr>
              <w:autoSpaceDE w:val="0"/>
              <w:autoSpaceDN w:val="0"/>
              <w:adjustRightInd w:val="0"/>
              <w:spacing w:after="0" w:line="240" w:lineRule="auto"/>
              <w:jc w:val="center"/>
              <w:rPr>
                <w:sz w:val="18"/>
                <w:szCs w:val="20"/>
                <w:lang w:val="en-GB"/>
              </w:rPr>
            </w:pPr>
            <w:r w:rsidRPr="00FB41EA">
              <w:rPr>
                <w:b/>
                <w:bCs/>
                <w:sz w:val="18"/>
                <w:szCs w:val="20"/>
                <w:lang w:val="en-GB"/>
              </w:rPr>
              <w:t xml:space="preserve">Comment </w:t>
            </w:r>
          </w:p>
        </w:tc>
      </w:tr>
      <w:tr w:rsidR="001840DB" w:rsidRPr="00FB41EA" w14:paraId="7F7467A2" w14:textId="77777777" w:rsidTr="00441F77">
        <w:trPr>
          <w:trHeight w:val="800"/>
        </w:trPr>
        <w:tc>
          <w:tcPr>
            <w:tcW w:w="2297" w:type="dxa"/>
            <w:hideMark/>
          </w:tcPr>
          <w:p w14:paraId="569E0B4D" w14:textId="77777777" w:rsidR="001840DB" w:rsidRPr="00FB41EA" w:rsidRDefault="001840DB" w:rsidP="00EC12FB">
            <w:pPr>
              <w:autoSpaceDE w:val="0"/>
              <w:autoSpaceDN w:val="0"/>
              <w:adjustRightInd w:val="0"/>
              <w:spacing w:before="120" w:after="0" w:line="240" w:lineRule="auto"/>
              <w:rPr>
                <w:sz w:val="18"/>
                <w:szCs w:val="20"/>
                <w:lang w:val="en-GB"/>
              </w:rPr>
            </w:pPr>
            <w:r w:rsidRPr="00FB41EA">
              <w:rPr>
                <w:b/>
                <w:bCs/>
                <w:sz w:val="18"/>
                <w:szCs w:val="20"/>
                <w:lang w:val="en-GB"/>
              </w:rPr>
              <w:t xml:space="preserve">1. </w:t>
            </w:r>
            <w:r w:rsidR="00EC12FB" w:rsidRPr="00FB41EA">
              <w:rPr>
                <w:b/>
                <w:bCs/>
                <w:sz w:val="18"/>
                <w:szCs w:val="20"/>
                <w:lang w:val="en-GB"/>
              </w:rPr>
              <w:t>Mitigating climate change and adapting to it</w:t>
            </w:r>
          </w:p>
        </w:tc>
        <w:tc>
          <w:tcPr>
            <w:tcW w:w="2155" w:type="dxa"/>
            <w:vAlign w:val="center"/>
            <w:hideMark/>
          </w:tcPr>
          <w:p w14:paraId="08247A7E" w14:textId="77777777" w:rsidR="001840DB" w:rsidRPr="00FB41EA" w:rsidRDefault="004E391E"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 xml:space="preserve">Negative </w:t>
            </w:r>
          </w:p>
        </w:tc>
        <w:tc>
          <w:tcPr>
            <w:tcW w:w="4791" w:type="dxa"/>
            <w:vAlign w:val="center"/>
            <w:hideMark/>
          </w:tcPr>
          <w:p w14:paraId="7A7BEE5D" w14:textId="77777777" w:rsidR="001840DB" w:rsidRPr="00FB41EA" w:rsidRDefault="004E391E" w:rsidP="001E225A">
            <w:pPr>
              <w:autoSpaceDE w:val="0"/>
              <w:autoSpaceDN w:val="0"/>
              <w:adjustRightInd w:val="0"/>
              <w:spacing w:before="120" w:after="0" w:line="240" w:lineRule="auto"/>
              <w:jc w:val="both"/>
              <w:rPr>
                <w:sz w:val="18"/>
                <w:szCs w:val="20"/>
                <w:lang w:val="en-GB"/>
              </w:rPr>
            </w:pPr>
            <w:r w:rsidRPr="00FB41EA">
              <w:rPr>
                <w:sz w:val="18"/>
                <w:szCs w:val="20"/>
                <w:lang w:val="en-GB"/>
              </w:rPr>
              <w:t xml:space="preserve">In </w:t>
            </w:r>
            <w:r w:rsidR="001840DB" w:rsidRPr="00FB41EA">
              <w:rPr>
                <w:sz w:val="18"/>
                <w:szCs w:val="20"/>
                <w:lang w:val="en-GB"/>
              </w:rPr>
              <w:t>2011–2012</w:t>
            </w:r>
            <w:r w:rsidRPr="00FB41EA">
              <w:rPr>
                <w:sz w:val="18"/>
                <w:szCs w:val="20"/>
                <w:lang w:val="en-GB"/>
              </w:rPr>
              <w:t xml:space="preserve">, </w:t>
            </w:r>
            <w:r w:rsidR="001E225A" w:rsidRPr="00FB41EA">
              <w:rPr>
                <w:sz w:val="18"/>
                <w:szCs w:val="20"/>
                <w:lang w:val="en-GB"/>
              </w:rPr>
              <w:t xml:space="preserve">GHG emission growth trends </w:t>
            </w:r>
            <w:proofErr w:type="gramStart"/>
            <w:r w:rsidR="001E225A" w:rsidRPr="00FB41EA">
              <w:rPr>
                <w:sz w:val="18"/>
                <w:szCs w:val="20"/>
                <w:lang w:val="en-GB"/>
              </w:rPr>
              <w:t>were identified</w:t>
            </w:r>
            <w:proofErr w:type="gramEnd"/>
            <w:r w:rsidR="001E225A" w:rsidRPr="00FB41EA">
              <w:rPr>
                <w:sz w:val="18"/>
                <w:szCs w:val="20"/>
                <w:lang w:val="en-GB"/>
              </w:rPr>
              <w:t xml:space="preserve"> in industry, energy, transport and other sectors</w:t>
            </w:r>
            <w:r w:rsidR="001840DB" w:rsidRPr="00FB41EA">
              <w:rPr>
                <w:sz w:val="18"/>
                <w:szCs w:val="20"/>
                <w:lang w:val="en-GB"/>
              </w:rPr>
              <w:t xml:space="preserve">. </w:t>
            </w:r>
            <w:r w:rsidR="001E225A" w:rsidRPr="00FB41EA">
              <w:rPr>
                <w:sz w:val="18"/>
                <w:szCs w:val="20"/>
                <w:lang w:val="en-GB"/>
              </w:rPr>
              <w:t>However, emission levels grew in industry and energy sectors, and somewhat declined in transport sector</w:t>
            </w:r>
            <w:r w:rsidR="001840DB" w:rsidRPr="00FB41EA">
              <w:rPr>
                <w:sz w:val="18"/>
                <w:szCs w:val="20"/>
                <w:lang w:val="en-GB"/>
              </w:rPr>
              <w:t xml:space="preserve">. </w:t>
            </w:r>
          </w:p>
        </w:tc>
      </w:tr>
      <w:tr w:rsidR="001840DB" w:rsidRPr="00FB41EA" w14:paraId="7CE99975" w14:textId="77777777" w:rsidTr="00441F77">
        <w:trPr>
          <w:trHeight w:val="1007"/>
        </w:trPr>
        <w:tc>
          <w:tcPr>
            <w:tcW w:w="2297" w:type="dxa"/>
            <w:hideMark/>
          </w:tcPr>
          <w:p w14:paraId="2FB8A9D0" w14:textId="77777777" w:rsidR="001840DB" w:rsidRPr="00FB41EA" w:rsidRDefault="001840DB" w:rsidP="00EC12FB">
            <w:pPr>
              <w:autoSpaceDE w:val="0"/>
              <w:autoSpaceDN w:val="0"/>
              <w:adjustRightInd w:val="0"/>
              <w:spacing w:before="120" w:after="0" w:line="240" w:lineRule="auto"/>
              <w:rPr>
                <w:sz w:val="18"/>
                <w:szCs w:val="20"/>
                <w:lang w:val="en-GB"/>
              </w:rPr>
            </w:pPr>
            <w:r w:rsidRPr="00FB41EA">
              <w:rPr>
                <w:b/>
                <w:bCs/>
                <w:sz w:val="18"/>
                <w:szCs w:val="20"/>
                <w:lang w:val="en-GB"/>
              </w:rPr>
              <w:lastRenderedPageBreak/>
              <w:t xml:space="preserve">2. </w:t>
            </w:r>
            <w:r w:rsidR="00EC12FB" w:rsidRPr="00FB41EA">
              <w:rPr>
                <w:b/>
                <w:bCs/>
                <w:sz w:val="18"/>
                <w:szCs w:val="20"/>
                <w:lang w:val="en-GB"/>
              </w:rPr>
              <w:t>Transport development and reducing negative environmental impact</w:t>
            </w:r>
          </w:p>
        </w:tc>
        <w:tc>
          <w:tcPr>
            <w:tcW w:w="2155" w:type="dxa"/>
            <w:vAlign w:val="center"/>
            <w:hideMark/>
          </w:tcPr>
          <w:p w14:paraId="5A57630F" w14:textId="77777777" w:rsidR="001840DB" w:rsidRPr="00FB41EA" w:rsidRDefault="001840DB"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N</w:t>
            </w:r>
            <w:r w:rsidR="004E391E" w:rsidRPr="00FB41EA">
              <w:rPr>
                <w:b/>
                <w:bCs/>
                <w:sz w:val="18"/>
                <w:szCs w:val="20"/>
                <w:lang w:val="en-GB"/>
              </w:rPr>
              <w:t>eutral</w:t>
            </w:r>
          </w:p>
        </w:tc>
        <w:tc>
          <w:tcPr>
            <w:tcW w:w="4791" w:type="dxa"/>
            <w:vAlign w:val="center"/>
            <w:hideMark/>
          </w:tcPr>
          <w:p w14:paraId="65800FC3" w14:textId="77777777" w:rsidR="001840DB" w:rsidRPr="00FB41EA" w:rsidRDefault="00A51130" w:rsidP="00E37543">
            <w:pPr>
              <w:autoSpaceDE w:val="0"/>
              <w:autoSpaceDN w:val="0"/>
              <w:adjustRightInd w:val="0"/>
              <w:spacing w:before="120" w:after="0" w:line="240" w:lineRule="auto"/>
              <w:jc w:val="both"/>
              <w:rPr>
                <w:sz w:val="18"/>
                <w:szCs w:val="20"/>
                <w:lang w:val="en-GB"/>
              </w:rPr>
            </w:pPr>
            <w:r w:rsidRPr="00FB41EA">
              <w:rPr>
                <w:sz w:val="18"/>
                <w:szCs w:val="20"/>
                <w:lang w:val="en-GB"/>
              </w:rPr>
              <w:t>No significant impact identified</w:t>
            </w:r>
            <w:r w:rsidR="001840DB" w:rsidRPr="00FB41EA">
              <w:rPr>
                <w:sz w:val="18"/>
                <w:szCs w:val="20"/>
                <w:lang w:val="en-GB"/>
              </w:rPr>
              <w:t>.</w:t>
            </w:r>
          </w:p>
        </w:tc>
      </w:tr>
      <w:tr w:rsidR="001840DB" w:rsidRPr="00FB41EA" w14:paraId="1EEE60F3" w14:textId="77777777" w:rsidTr="00441F77">
        <w:trPr>
          <w:trHeight w:val="980"/>
        </w:trPr>
        <w:tc>
          <w:tcPr>
            <w:tcW w:w="2297" w:type="dxa"/>
            <w:hideMark/>
          </w:tcPr>
          <w:p w14:paraId="28B113BE" w14:textId="77777777" w:rsidR="001840DB" w:rsidRPr="00FB41EA" w:rsidRDefault="001840DB" w:rsidP="00DA31AE">
            <w:pPr>
              <w:autoSpaceDE w:val="0"/>
              <w:autoSpaceDN w:val="0"/>
              <w:adjustRightInd w:val="0"/>
              <w:spacing w:before="120" w:after="0" w:line="240" w:lineRule="auto"/>
              <w:rPr>
                <w:sz w:val="18"/>
                <w:szCs w:val="20"/>
                <w:lang w:val="en-GB"/>
              </w:rPr>
            </w:pPr>
            <w:r w:rsidRPr="00FB41EA">
              <w:rPr>
                <w:b/>
                <w:bCs/>
                <w:sz w:val="18"/>
                <w:szCs w:val="20"/>
                <w:lang w:val="en-GB"/>
              </w:rPr>
              <w:t xml:space="preserve">3. </w:t>
            </w:r>
            <w:r w:rsidR="00DA31AE" w:rsidRPr="00FB41EA">
              <w:rPr>
                <w:b/>
                <w:bCs/>
                <w:sz w:val="18"/>
                <w:szCs w:val="20"/>
                <w:lang w:val="en-GB"/>
              </w:rPr>
              <w:t>Promotion of sustainable production and consumption</w:t>
            </w:r>
          </w:p>
        </w:tc>
        <w:tc>
          <w:tcPr>
            <w:tcW w:w="2155" w:type="dxa"/>
            <w:vAlign w:val="center"/>
            <w:hideMark/>
          </w:tcPr>
          <w:p w14:paraId="2C4F2BC7" w14:textId="77777777" w:rsidR="001840DB" w:rsidRPr="00FB41EA" w:rsidRDefault="004E391E"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Negative</w:t>
            </w:r>
          </w:p>
        </w:tc>
        <w:tc>
          <w:tcPr>
            <w:tcW w:w="4791" w:type="dxa"/>
            <w:vAlign w:val="center"/>
            <w:hideMark/>
          </w:tcPr>
          <w:p w14:paraId="744F3D44" w14:textId="020487C4" w:rsidR="001840DB" w:rsidRPr="00FB41EA" w:rsidRDefault="00F70ACA" w:rsidP="006D504A">
            <w:pPr>
              <w:autoSpaceDE w:val="0"/>
              <w:autoSpaceDN w:val="0"/>
              <w:adjustRightInd w:val="0"/>
              <w:spacing w:before="120" w:after="0" w:line="240" w:lineRule="auto"/>
              <w:jc w:val="both"/>
              <w:rPr>
                <w:sz w:val="18"/>
                <w:szCs w:val="20"/>
                <w:lang w:val="en-GB"/>
              </w:rPr>
            </w:pPr>
            <w:r>
              <w:rPr>
                <w:sz w:val="18"/>
                <w:szCs w:val="20"/>
                <w:lang w:val="en-GB"/>
              </w:rPr>
              <w:t>S</w:t>
            </w:r>
            <w:r w:rsidR="00A51130" w:rsidRPr="00FB41EA">
              <w:rPr>
                <w:sz w:val="18"/>
                <w:szCs w:val="20"/>
                <w:lang w:val="en-GB"/>
              </w:rPr>
              <w:t xml:space="preserve">ocial – economic situation brought imbalance to industry sector, shifting the focus away from sustainable and advanced technology-based manufacturing </w:t>
            </w:r>
            <w:r w:rsidR="00D678E2" w:rsidRPr="00FB41EA">
              <w:rPr>
                <w:sz w:val="18"/>
                <w:szCs w:val="20"/>
                <w:lang w:val="en-GB"/>
              </w:rPr>
              <w:t>to</w:t>
            </w:r>
            <w:r w:rsidR="00A51130" w:rsidRPr="00FB41EA">
              <w:rPr>
                <w:sz w:val="18"/>
                <w:szCs w:val="20"/>
                <w:lang w:val="en-GB"/>
              </w:rPr>
              <w:t xml:space="preserve"> </w:t>
            </w:r>
            <w:r w:rsidR="00D678E2" w:rsidRPr="00FB41EA">
              <w:rPr>
                <w:sz w:val="18"/>
                <w:szCs w:val="20"/>
                <w:lang w:val="en-GB"/>
              </w:rPr>
              <w:t>tackling short-term challenges (</w:t>
            </w:r>
            <w:proofErr w:type="spellStart"/>
            <w:r w:rsidR="00D678E2" w:rsidRPr="00FB41EA">
              <w:rPr>
                <w:sz w:val="18"/>
                <w:szCs w:val="20"/>
                <w:lang w:val="en-GB"/>
              </w:rPr>
              <w:t>eg</w:t>
            </w:r>
            <w:proofErr w:type="spellEnd"/>
            <w:r w:rsidR="00D678E2" w:rsidRPr="00FB41EA">
              <w:rPr>
                <w:sz w:val="18"/>
                <w:szCs w:val="20"/>
                <w:lang w:val="en-GB"/>
              </w:rPr>
              <w:t>.</w:t>
            </w:r>
            <w:r w:rsidR="00A51130" w:rsidRPr="00FB41EA">
              <w:rPr>
                <w:sz w:val="18"/>
                <w:szCs w:val="20"/>
                <w:lang w:val="en-GB"/>
              </w:rPr>
              <w:t xml:space="preserve"> </w:t>
            </w:r>
            <w:r w:rsidR="00D678E2" w:rsidRPr="00FB41EA">
              <w:rPr>
                <w:sz w:val="18"/>
                <w:szCs w:val="20"/>
                <w:lang w:val="en-GB"/>
              </w:rPr>
              <w:t>d</w:t>
            </w:r>
            <w:r w:rsidR="00A51130" w:rsidRPr="00FB41EA">
              <w:rPr>
                <w:sz w:val="18"/>
                <w:szCs w:val="20"/>
                <w:lang w:val="en-GB"/>
              </w:rPr>
              <w:t>eclining production volumes)</w:t>
            </w:r>
            <w:r w:rsidR="001840DB" w:rsidRPr="00FB41EA">
              <w:rPr>
                <w:sz w:val="18"/>
                <w:szCs w:val="20"/>
                <w:lang w:val="en-GB"/>
              </w:rPr>
              <w:t xml:space="preserve">. </w:t>
            </w:r>
          </w:p>
        </w:tc>
      </w:tr>
      <w:tr w:rsidR="001840DB" w:rsidRPr="00FB41EA" w14:paraId="2A7371FE" w14:textId="77777777" w:rsidTr="00441F77">
        <w:trPr>
          <w:trHeight w:val="1528"/>
        </w:trPr>
        <w:tc>
          <w:tcPr>
            <w:tcW w:w="2297" w:type="dxa"/>
            <w:hideMark/>
          </w:tcPr>
          <w:p w14:paraId="3A0A1EDF" w14:textId="77777777" w:rsidR="001840DB" w:rsidRPr="00FB41EA" w:rsidRDefault="001840DB" w:rsidP="00F32765">
            <w:pPr>
              <w:autoSpaceDE w:val="0"/>
              <w:autoSpaceDN w:val="0"/>
              <w:adjustRightInd w:val="0"/>
              <w:spacing w:before="120" w:after="0" w:line="240" w:lineRule="auto"/>
              <w:rPr>
                <w:sz w:val="18"/>
                <w:szCs w:val="20"/>
                <w:lang w:val="en-GB"/>
              </w:rPr>
            </w:pPr>
            <w:r w:rsidRPr="00FB41EA">
              <w:rPr>
                <w:b/>
                <w:bCs/>
                <w:sz w:val="18"/>
                <w:szCs w:val="20"/>
                <w:lang w:val="en-GB"/>
              </w:rPr>
              <w:t xml:space="preserve">4. </w:t>
            </w:r>
            <w:r w:rsidR="004E391E" w:rsidRPr="00FB41EA">
              <w:rPr>
                <w:b/>
                <w:bCs/>
                <w:sz w:val="18"/>
                <w:szCs w:val="20"/>
                <w:lang w:val="en-GB"/>
              </w:rPr>
              <w:t xml:space="preserve">Improved management of </w:t>
            </w:r>
            <w:r w:rsidR="00F32765" w:rsidRPr="00FB41EA">
              <w:rPr>
                <w:b/>
                <w:bCs/>
                <w:sz w:val="18"/>
                <w:szCs w:val="20"/>
                <w:lang w:val="en-GB"/>
              </w:rPr>
              <w:t>environmental</w:t>
            </w:r>
            <w:r w:rsidR="004E391E" w:rsidRPr="00FB41EA">
              <w:rPr>
                <w:b/>
                <w:bCs/>
                <w:sz w:val="18"/>
                <w:szCs w:val="20"/>
                <w:lang w:val="en-GB"/>
              </w:rPr>
              <w:t xml:space="preserve"> resources</w:t>
            </w:r>
          </w:p>
        </w:tc>
        <w:tc>
          <w:tcPr>
            <w:tcW w:w="2155" w:type="dxa"/>
            <w:vAlign w:val="center"/>
            <w:hideMark/>
          </w:tcPr>
          <w:p w14:paraId="314F2DA0" w14:textId="77777777" w:rsidR="001840DB" w:rsidRPr="00FB41EA" w:rsidRDefault="004E391E"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Neutral</w:t>
            </w:r>
          </w:p>
        </w:tc>
        <w:tc>
          <w:tcPr>
            <w:tcW w:w="4791" w:type="dxa"/>
            <w:vAlign w:val="center"/>
            <w:hideMark/>
          </w:tcPr>
          <w:p w14:paraId="45961A15" w14:textId="60A7731D" w:rsidR="001840DB" w:rsidRPr="00FB41EA" w:rsidRDefault="006D504A" w:rsidP="00F70ACA">
            <w:pPr>
              <w:autoSpaceDE w:val="0"/>
              <w:autoSpaceDN w:val="0"/>
              <w:adjustRightInd w:val="0"/>
              <w:spacing w:before="120" w:after="0" w:line="240" w:lineRule="auto"/>
              <w:jc w:val="both"/>
              <w:rPr>
                <w:sz w:val="18"/>
                <w:szCs w:val="20"/>
                <w:lang w:val="en-GB"/>
              </w:rPr>
            </w:pPr>
            <w:r w:rsidRPr="00FB41EA">
              <w:rPr>
                <w:sz w:val="18"/>
                <w:szCs w:val="20"/>
                <w:lang w:val="en-GB"/>
              </w:rPr>
              <w:t xml:space="preserve">The impact of social – economic situation was not </w:t>
            </w:r>
            <w:r w:rsidR="00E86D80" w:rsidRPr="00FB41EA">
              <w:rPr>
                <w:sz w:val="18"/>
                <w:szCs w:val="20"/>
                <w:lang w:val="en-GB"/>
              </w:rPr>
              <w:t>negative due to relatively large investments in wastewater management systems</w:t>
            </w:r>
            <w:r w:rsidR="001840DB" w:rsidRPr="00FB41EA">
              <w:rPr>
                <w:sz w:val="18"/>
                <w:szCs w:val="20"/>
                <w:lang w:val="en-GB"/>
              </w:rPr>
              <w:t xml:space="preserve">. </w:t>
            </w:r>
            <w:r w:rsidR="00C80525" w:rsidRPr="00FB41EA">
              <w:rPr>
                <w:sz w:val="18"/>
                <w:szCs w:val="20"/>
                <w:lang w:val="en-GB"/>
              </w:rPr>
              <w:t xml:space="preserve">In addition, with the economic slowdown and decreasing volumes </w:t>
            </w:r>
            <w:r w:rsidR="000D0649" w:rsidRPr="00FB41EA">
              <w:rPr>
                <w:sz w:val="18"/>
                <w:szCs w:val="20"/>
                <w:lang w:val="en-GB"/>
              </w:rPr>
              <w:t>in production and consumption</w:t>
            </w:r>
            <w:r w:rsidR="00F70ACA">
              <w:rPr>
                <w:sz w:val="18"/>
                <w:szCs w:val="20"/>
                <w:lang w:val="en-GB"/>
              </w:rPr>
              <w:t>,</w:t>
            </w:r>
            <w:r w:rsidR="000D0649" w:rsidRPr="00FB41EA">
              <w:rPr>
                <w:sz w:val="18"/>
                <w:szCs w:val="20"/>
                <w:lang w:val="en-GB"/>
              </w:rPr>
              <w:t xml:space="preserve"> emissions of waste decreased as well, which altogether </w:t>
            </w:r>
            <w:r w:rsidR="00C67806" w:rsidRPr="00FB41EA">
              <w:rPr>
                <w:sz w:val="18"/>
                <w:szCs w:val="20"/>
                <w:lang w:val="en-GB"/>
              </w:rPr>
              <w:t xml:space="preserve">positively contributed to the preservation of </w:t>
            </w:r>
            <w:r w:rsidR="00F32765" w:rsidRPr="00FB41EA">
              <w:rPr>
                <w:sz w:val="18"/>
                <w:szCs w:val="20"/>
                <w:lang w:val="en-GB"/>
              </w:rPr>
              <w:t xml:space="preserve">environmental </w:t>
            </w:r>
            <w:r w:rsidR="00C67806" w:rsidRPr="00FB41EA">
              <w:rPr>
                <w:sz w:val="18"/>
                <w:szCs w:val="20"/>
                <w:lang w:val="en-GB"/>
              </w:rPr>
              <w:t>resources.</w:t>
            </w:r>
          </w:p>
        </w:tc>
      </w:tr>
      <w:tr w:rsidR="001840DB" w:rsidRPr="00FB41EA" w14:paraId="14A11D41" w14:textId="77777777" w:rsidTr="00441F77">
        <w:trPr>
          <w:trHeight w:val="1134"/>
        </w:trPr>
        <w:tc>
          <w:tcPr>
            <w:tcW w:w="2297" w:type="dxa"/>
            <w:hideMark/>
          </w:tcPr>
          <w:p w14:paraId="29E8F95D" w14:textId="77777777" w:rsidR="001840DB" w:rsidRPr="00FB41EA" w:rsidRDefault="001840DB" w:rsidP="004E391E">
            <w:pPr>
              <w:autoSpaceDE w:val="0"/>
              <w:autoSpaceDN w:val="0"/>
              <w:adjustRightInd w:val="0"/>
              <w:spacing w:before="120" w:after="0" w:line="240" w:lineRule="auto"/>
              <w:rPr>
                <w:sz w:val="18"/>
                <w:szCs w:val="20"/>
                <w:lang w:val="en-GB"/>
              </w:rPr>
            </w:pPr>
            <w:r w:rsidRPr="00FB41EA">
              <w:rPr>
                <w:b/>
                <w:bCs/>
                <w:sz w:val="18"/>
                <w:szCs w:val="20"/>
                <w:lang w:val="en-GB"/>
              </w:rPr>
              <w:t xml:space="preserve">5. </w:t>
            </w:r>
            <w:r w:rsidR="004E391E" w:rsidRPr="00FB41EA">
              <w:rPr>
                <w:b/>
                <w:bCs/>
                <w:sz w:val="18"/>
                <w:szCs w:val="20"/>
                <w:lang w:val="en-GB"/>
              </w:rPr>
              <w:t>Mitigating poverty and social exclusion</w:t>
            </w:r>
          </w:p>
        </w:tc>
        <w:tc>
          <w:tcPr>
            <w:tcW w:w="2155" w:type="dxa"/>
            <w:vAlign w:val="center"/>
            <w:hideMark/>
          </w:tcPr>
          <w:p w14:paraId="69B32153" w14:textId="77777777" w:rsidR="001840DB" w:rsidRPr="00FB41EA" w:rsidRDefault="004E391E"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Negative</w:t>
            </w:r>
          </w:p>
        </w:tc>
        <w:tc>
          <w:tcPr>
            <w:tcW w:w="4791" w:type="dxa"/>
            <w:vAlign w:val="center"/>
            <w:hideMark/>
          </w:tcPr>
          <w:p w14:paraId="1812645E" w14:textId="6972D179" w:rsidR="001840DB" w:rsidRPr="00FB41EA" w:rsidRDefault="00E04EBD" w:rsidP="00FD0B00">
            <w:pPr>
              <w:autoSpaceDE w:val="0"/>
              <w:autoSpaceDN w:val="0"/>
              <w:adjustRightInd w:val="0"/>
              <w:spacing w:before="120" w:after="0" w:line="240" w:lineRule="auto"/>
              <w:jc w:val="both"/>
              <w:rPr>
                <w:sz w:val="18"/>
                <w:szCs w:val="20"/>
                <w:lang w:val="en-GB"/>
              </w:rPr>
            </w:pPr>
            <w:r>
              <w:rPr>
                <w:sz w:val="18"/>
                <w:szCs w:val="20"/>
                <w:lang w:val="en-GB"/>
              </w:rPr>
              <w:t>D</w:t>
            </w:r>
            <w:r w:rsidR="00C67806" w:rsidRPr="00FB41EA">
              <w:rPr>
                <w:sz w:val="18"/>
                <w:szCs w:val="20"/>
                <w:lang w:val="en-GB"/>
              </w:rPr>
              <w:t xml:space="preserve">eteriorating social – economic situation in both the EU and Lithuania negatively </w:t>
            </w:r>
            <w:proofErr w:type="gramStart"/>
            <w:r w:rsidR="00C67806" w:rsidRPr="00FB41EA">
              <w:rPr>
                <w:sz w:val="18"/>
                <w:szCs w:val="20"/>
                <w:lang w:val="en-GB"/>
              </w:rPr>
              <w:t>impacted</w:t>
            </w:r>
            <w:proofErr w:type="gramEnd"/>
            <w:r w:rsidR="00C67806" w:rsidRPr="00FB41EA">
              <w:rPr>
                <w:sz w:val="18"/>
                <w:szCs w:val="20"/>
                <w:lang w:val="en-GB"/>
              </w:rPr>
              <w:t xml:space="preserve"> </w:t>
            </w:r>
            <w:r w:rsidR="00FD0B00" w:rsidRPr="00FB41EA">
              <w:rPr>
                <w:sz w:val="18"/>
                <w:szCs w:val="20"/>
                <w:lang w:val="en-GB"/>
              </w:rPr>
              <w:t>the member states’ indicators of social cohesion.</w:t>
            </w:r>
            <w:r w:rsidR="001840DB" w:rsidRPr="00FB41EA">
              <w:rPr>
                <w:sz w:val="18"/>
                <w:szCs w:val="20"/>
                <w:lang w:val="en-GB"/>
              </w:rPr>
              <w:t xml:space="preserve"> </w:t>
            </w:r>
            <w:r w:rsidR="00FD0B00" w:rsidRPr="00FB41EA">
              <w:rPr>
                <w:sz w:val="18"/>
                <w:szCs w:val="20"/>
                <w:lang w:val="en-GB"/>
              </w:rPr>
              <w:t>Many countries aimed to mitigate the effects of the financial crisis by applying austerity measures; this led to the reduction of expenditure on social policy</w:t>
            </w:r>
            <w:r w:rsidR="001840DB" w:rsidRPr="00FB41EA">
              <w:rPr>
                <w:sz w:val="18"/>
                <w:szCs w:val="20"/>
                <w:lang w:val="en-GB"/>
              </w:rPr>
              <w:t>.</w:t>
            </w:r>
          </w:p>
        </w:tc>
      </w:tr>
      <w:tr w:rsidR="001840DB" w:rsidRPr="00FB41EA" w14:paraId="2DA4A97B" w14:textId="77777777" w:rsidTr="00441F77">
        <w:trPr>
          <w:trHeight w:val="1160"/>
        </w:trPr>
        <w:tc>
          <w:tcPr>
            <w:tcW w:w="2297" w:type="dxa"/>
            <w:hideMark/>
          </w:tcPr>
          <w:p w14:paraId="03EBF573" w14:textId="77777777" w:rsidR="001840DB" w:rsidRPr="00FB41EA" w:rsidRDefault="001840DB" w:rsidP="004E391E">
            <w:pPr>
              <w:autoSpaceDE w:val="0"/>
              <w:autoSpaceDN w:val="0"/>
              <w:adjustRightInd w:val="0"/>
              <w:spacing w:before="120" w:after="0" w:line="240" w:lineRule="auto"/>
              <w:rPr>
                <w:sz w:val="18"/>
                <w:szCs w:val="20"/>
                <w:lang w:val="en-GB"/>
              </w:rPr>
            </w:pPr>
            <w:r w:rsidRPr="00FB41EA">
              <w:rPr>
                <w:b/>
                <w:bCs/>
                <w:sz w:val="18"/>
                <w:szCs w:val="20"/>
                <w:lang w:val="en-GB"/>
              </w:rPr>
              <w:t xml:space="preserve">6. </w:t>
            </w:r>
            <w:r w:rsidR="004E391E" w:rsidRPr="00FB41EA">
              <w:rPr>
                <w:b/>
                <w:bCs/>
                <w:sz w:val="18"/>
                <w:szCs w:val="20"/>
                <w:lang w:val="en-GB"/>
              </w:rPr>
              <w:t>Reducing public health threats</w:t>
            </w:r>
          </w:p>
        </w:tc>
        <w:tc>
          <w:tcPr>
            <w:tcW w:w="2155" w:type="dxa"/>
            <w:vAlign w:val="center"/>
            <w:hideMark/>
          </w:tcPr>
          <w:p w14:paraId="0E33DE0D" w14:textId="77777777" w:rsidR="001840DB" w:rsidRPr="00FB41EA" w:rsidRDefault="004E391E"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Neutral</w:t>
            </w:r>
          </w:p>
        </w:tc>
        <w:tc>
          <w:tcPr>
            <w:tcW w:w="4791" w:type="dxa"/>
            <w:vAlign w:val="center"/>
            <w:hideMark/>
          </w:tcPr>
          <w:p w14:paraId="76DA3EB5" w14:textId="117CF99B" w:rsidR="001840DB" w:rsidRPr="00FB41EA" w:rsidRDefault="00E04EBD" w:rsidP="00435BCC">
            <w:pPr>
              <w:autoSpaceDE w:val="0"/>
              <w:autoSpaceDN w:val="0"/>
              <w:adjustRightInd w:val="0"/>
              <w:spacing w:before="120" w:after="0" w:line="240" w:lineRule="auto"/>
              <w:jc w:val="both"/>
              <w:rPr>
                <w:sz w:val="18"/>
                <w:szCs w:val="20"/>
                <w:lang w:val="en-GB"/>
              </w:rPr>
            </w:pPr>
            <w:r>
              <w:rPr>
                <w:sz w:val="18"/>
                <w:szCs w:val="20"/>
                <w:lang w:val="en-GB"/>
              </w:rPr>
              <w:t>S</w:t>
            </w:r>
            <w:r w:rsidR="00FD0B00" w:rsidRPr="00FB41EA">
              <w:rPr>
                <w:sz w:val="18"/>
                <w:szCs w:val="20"/>
                <w:lang w:val="en-GB"/>
              </w:rPr>
              <w:t xml:space="preserve">ocial – economic situation did not have a significant impact on </w:t>
            </w:r>
            <w:r w:rsidR="00483001" w:rsidRPr="00FB41EA">
              <w:rPr>
                <w:sz w:val="18"/>
                <w:szCs w:val="20"/>
                <w:lang w:val="en-GB"/>
              </w:rPr>
              <w:t>the objective of the horizontal priority of sustainable development</w:t>
            </w:r>
            <w:r w:rsidR="001840DB" w:rsidRPr="00FB41EA">
              <w:rPr>
                <w:sz w:val="18"/>
                <w:szCs w:val="20"/>
                <w:lang w:val="en-GB"/>
              </w:rPr>
              <w:t xml:space="preserve">. </w:t>
            </w:r>
            <w:r w:rsidR="00483001" w:rsidRPr="00FB41EA">
              <w:rPr>
                <w:sz w:val="18"/>
                <w:szCs w:val="20"/>
                <w:lang w:val="en-GB"/>
              </w:rPr>
              <w:t>The EU structural assistance for health sector infrastructure as well as the prevention of a variety of disease and addiction problems saved from the impairment of public health indicators</w:t>
            </w:r>
            <w:r w:rsidR="001840DB" w:rsidRPr="00FB41EA">
              <w:rPr>
                <w:sz w:val="18"/>
                <w:szCs w:val="20"/>
                <w:lang w:val="en-GB"/>
              </w:rPr>
              <w:t>.</w:t>
            </w:r>
          </w:p>
        </w:tc>
      </w:tr>
      <w:tr w:rsidR="001840DB" w:rsidRPr="00FB41EA" w14:paraId="11C58978" w14:textId="77777777" w:rsidTr="00441F77">
        <w:trPr>
          <w:trHeight w:val="692"/>
        </w:trPr>
        <w:tc>
          <w:tcPr>
            <w:tcW w:w="2297" w:type="dxa"/>
            <w:hideMark/>
          </w:tcPr>
          <w:p w14:paraId="210693C0" w14:textId="77777777" w:rsidR="001840DB" w:rsidRPr="00FB41EA" w:rsidRDefault="001840DB" w:rsidP="004E391E">
            <w:pPr>
              <w:autoSpaceDE w:val="0"/>
              <w:autoSpaceDN w:val="0"/>
              <w:adjustRightInd w:val="0"/>
              <w:spacing w:before="120" w:after="0" w:line="240" w:lineRule="auto"/>
              <w:rPr>
                <w:sz w:val="18"/>
                <w:szCs w:val="20"/>
                <w:lang w:val="en-GB"/>
              </w:rPr>
            </w:pPr>
            <w:r w:rsidRPr="00FB41EA">
              <w:rPr>
                <w:b/>
                <w:bCs/>
                <w:sz w:val="18"/>
                <w:szCs w:val="20"/>
                <w:lang w:val="en-GB"/>
              </w:rPr>
              <w:t xml:space="preserve">7. </w:t>
            </w:r>
            <w:r w:rsidR="004E391E" w:rsidRPr="00FB41EA">
              <w:rPr>
                <w:b/>
                <w:bCs/>
                <w:sz w:val="18"/>
                <w:szCs w:val="20"/>
                <w:lang w:val="en-GB"/>
              </w:rPr>
              <w:t>Tackling demographic and emigration problems</w:t>
            </w:r>
          </w:p>
        </w:tc>
        <w:tc>
          <w:tcPr>
            <w:tcW w:w="2155" w:type="dxa"/>
            <w:vAlign w:val="center"/>
            <w:hideMark/>
          </w:tcPr>
          <w:p w14:paraId="145EEBD8" w14:textId="77777777" w:rsidR="001840DB" w:rsidRPr="00FB41EA" w:rsidRDefault="004E391E" w:rsidP="00E37543">
            <w:pPr>
              <w:autoSpaceDE w:val="0"/>
              <w:autoSpaceDN w:val="0"/>
              <w:adjustRightInd w:val="0"/>
              <w:spacing w:before="120" w:after="0" w:line="240" w:lineRule="auto"/>
              <w:jc w:val="center"/>
              <w:rPr>
                <w:sz w:val="18"/>
                <w:szCs w:val="20"/>
                <w:lang w:val="en-GB"/>
              </w:rPr>
            </w:pPr>
            <w:r w:rsidRPr="00FB41EA">
              <w:rPr>
                <w:b/>
                <w:bCs/>
                <w:sz w:val="18"/>
                <w:szCs w:val="20"/>
                <w:lang w:val="en-GB"/>
              </w:rPr>
              <w:t>Negative</w:t>
            </w:r>
          </w:p>
        </w:tc>
        <w:tc>
          <w:tcPr>
            <w:tcW w:w="4791" w:type="dxa"/>
            <w:vAlign w:val="center"/>
            <w:hideMark/>
          </w:tcPr>
          <w:p w14:paraId="188A6EB3" w14:textId="14267601" w:rsidR="001840DB" w:rsidRPr="00FB41EA" w:rsidRDefault="00E04EBD" w:rsidP="00435BCC">
            <w:pPr>
              <w:autoSpaceDE w:val="0"/>
              <w:autoSpaceDN w:val="0"/>
              <w:adjustRightInd w:val="0"/>
              <w:spacing w:before="120" w:after="0" w:line="240" w:lineRule="auto"/>
              <w:jc w:val="both"/>
              <w:rPr>
                <w:sz w:val="18"/>
                <w:szCs w:val="20"/>
                <w:lang w:val="en-GB"/>
              </w:rPr>
            </w:pPr>
            <w:r>
              <w:rPr>
                <w:sz w:val="18"/>
                <w:szCs w:val="20"/>
                <w:lang w:val="en-GB"/>
              </w:rPr>
              <w:t>S</w:t>
            </w:r>
            <w:r w:rsidR="00435BCC" w:rsidRPr="00FB41EA">
              <w:rPr>
                <w:sz w:val="18"/>
                <w:szCs w:val="20"/>
                <w:lang w:val="en-GB"/>
              </w:rPr>
              <w:t>ocial – economic situation had a significant negative impact on demographic and emigration problems</w:t>
            </w:r>
            <w:r w:rsidR="001840DB" w:rsidRPr="00FB41EA">
              <w:rPr>
                <w:sz w:val="18"/>
                <w:szCs w:val="20"/>
                <w:lang w:val="en-GB"/>
              </w:rPr>
              <w:t>.</w:t>
            </w:r>
          </w:p>
        </w:tc>
      </w:tr>
    </w:tbl>
    <w:p w14:paraId="62377C29" w14:textId="77777777" w:rsidR="00AE3A21" w:rsidRPr="00FB41EA" w:rsidRDefault="00435BCC" w:rsidP="00441F77">
      <w:pPr>
        <w:autoSpaceDE w:val="0"/>
        <w:autoSpaceDN w:val="0"/>
        <w:adjustRightInd w:val="0"/>
        <w:spacing w:before="120" w:after="0"/>
        <w:jc w:val="both"/>
        <w:rPr>
          <w:sz w:val="18"/>
          <w:szCs w:val="20"/>
          <w:lang w:val="en-GB"/>
        </w:rPr>
      </w:pPr>
      <w:r w:rsidRPr="00FB41EA">
        <w:rPr>
          <w:sz w:val="18"/>
          <w:szCs w:val="20"/>
          <w:lang w:val="en-GB"/>
        </w:rPr>
        <w:t>Source</w:t>
      </w:r>
      <w:r w:rsidR="00553921" w:rsidRPr="00FB41EA">
        <w:rPr>
          <w:sz w:val="18"/>
          <w:szCs w:val="20"/>
          <w:lang w:val="en-GB"/>
        </w:rPr>
        <w:t xml:space="preserve">: </w:t>
      </w:r>
      <w:r w:rsidRPr="00FB41EA">
        <w:rPr>
          <w:sz w:val="18"/>
          <w:szCs w:val="20"/>
          <w:lang w:val="en-GB"/>
        </w:rPr>
        <w:t>concluded by Evaluators</w:t>
      </w:r>
    </w:p>
    <w:p w14:paraId="05A31A3F" w14:textId="77777777" w:rsidR="00E37543" w:rsidRPr="00FB41EA" w:rsidRDefault="00E37543" w:rsidP="00E37543">
      <w:pPr>
        <w:autoSpaceDE w:val="0"/>
        <w:autoSpaceDN w:val="0"/>
        <w:adjustRightInd w:val="0"/>
        <w:spacing w:before="120" w:after="0"/>
        <w:jc w:val="both"/>
        <w:rPr>
          <w:b/>
          <w:color w:val="81BC00"/>
          <w:sz w:val="20"/>
          <w:lang w:val="en-GB"/>
        </w:rPr>
      </w:pPr>
      <w:r w:rsidRPr="00FB41EA">
        <w:rPr>
          <w:b/>
          <w:color w:val="81BC00"/>
          <w:sz w:val="20"/>
          <w:lang w:val="en-GB"/>
        </w:rPr>
        <w:t xml:space="preserve">9.1.2. </w:t>
      </w:r>
      <w:r w:rsidR="007A4D99" w:rsidRPr="00FB41EA">
        <w:rPr>
          <w:b/>
          <w:color w:val="81BC00"/>
          <w:sz w:val="20"/>
          <w:lang w:val="en-GB"/>
        </w:rPr>
        <w:t xml:space="preserve">Which operational programme priorities (measures) and in what ways contributed to the implementation of the horizontal priority of sustainable development, as provided in the Strategy? </w:t>
      </w:r>
    </w:p>
    <w:p w14:paraId="5D32A532" w14:textId="107CE723" w:rsidR="00E37543" w:rsidRPr="00FB41EA" w:rsidRDefault="00E37543" w:rsidP="00E37543">
      <w:pPr>
        <w:autoSpaceDE w:val="0"/>
        <w:autoSpaceDN w:val="0"/>
        <w:adjustRightInd w:val="0"/>
        <w:spacing w:before="120" w:after="0"/>
        <w:jc w:val="both"/>
        <w:rPr>
          <w:b/>
          <w:color w:val="81BC00"/>
          <w:sz w:val="20"/>
          <w:lang w:val="en-GB"/>
        </w:rPr>
      </w:pPr>
      <w:r w:rsidRPr="00FB41EA">
        <w:rPr>
          <w:b/>
          <w:color w:val="81BC00"/>
          <w:sz w:val="20"/>
          <w:lang w:val="en-GB"/>
        </w:rPr>
        <w:t xml:space="preserve">9.2.4. </w:t>
      </w:r>
      <w:r w:rsidR="008C53F5" w:rsidRPr="00FB41EA">
        <w:rPr>
          <w:b/>
          <w:color w:val="81BC00"/>
          <w:sz w:val="20"/>
          <w:lang w:val="en-GB"/>
        </w:rPr>
        <w:t>Which mea</w:t>
      </w:r>
      <w:r w:rsidR="00E04EBD">
        <w:rPr>
          <w:b/>
          <w:color w:val="81BC00"/>
          <w:sz w:val="20"/>
          <w:lang w:val="en-GB"/>
        </w:rPr>
        <w:t>sures and in what ways directly</w:t>
      </w:r>
      <w:r w:rsidR="008C53F5" w:rsidRPr="00FB41EA">
        <w:rPr>
          <w:b/>
          <w:color w:val="81BC00"/>
          <w:sz w:val="20"/>
          <w:lang w:val="en-GB"/>
        </w:rPr>
        <w:t>/indirectly contributed to the implementation of sustainable development priority? Which interventions contributed most to the promotion of su</w:t>
      </w:r>
      <w:r w:rsidR="004C0603" w:rsidRPr="00FB41EA">
        <w:rPr>
          <w:b/>
          <w:color w:val="81BC00"/>
          <w:sz w:val="20"/>
          <w:lang w:val="en-GB"/>
        </w:rPr>
        <w:t>stainable development, and why? Examples of best practice</w:t>
      </w:r>
      <w:r w:rsidRPr="00FB41EA">
        <w:rPr>
          <w:b/>
          <w:color w:val="81BC00"/>
          <w:sz w:val="20"/>
          <w:lang w:val="en-GB"/>
        </w:rPr>
        <w:t>.</w:t>
      </w:r>
    </w:p>
    <w:p w14:paraId="7AF865D9" w14:textId="27D21195" w:rsidR="00553921" w:rsidRPr="00FB41EA" w:rsidRDefault="00721EFF" w:rsidP="00553921">
      <w:pPr>
        <w:autoSpaceDE w:val="0"/>
        <w:autoSpaceDN w:val="0"/>
        <w:adjustRightInd w:val="0"/>
        <w:spacing w:before="120" w:after="0" w:line="240" w:lineRule="auto"/>
        <w:jc w:val="both"/>
        <w:rPr>
          <w:sz w:val="20"/>
          <w:szCs w:val="20"/>
          <w:lang w:val="en-GB"/>
        </w:rPr>
      </w:pPr>
      <w:r w:rsidRPr="00FB41EA">
        <w:rPr>
          <w:sz w:val="20"/>
          <w:szCs w:val="20"/>
          <w:lang w:val="en-GB"/>
        </w:rPr>
        <w:t xml:space="preserve">The </w:t>
      </w:r>
      <w:r w:rsidR="00CF62B7" w:rsidRPr="00FB41EA">
        <w:rPr>
          <w:sz w:val="20"/>
          <w:szCs w:val="20"/>
          <w:lang w:val="en-GB"/>
        </w:rPr>
        <w:t xml:space="preserve">contribution of the </w:t>
      </w:r>
      <w:r w:rsidRPr="00FB41EA">
        <w:rPr>
          <w:sz w:val="20"/>
          <w:szCs w:val="20"/>
          <w:lang w:val="en-GB"/>
        </w:rPr>
        <w:t xml:space="preserve">EU structural assistance </w:t>
      </w:r>
      <w:r w:rsidR="00CF62B7" w:rsidRPr="00FB41EA">
        <w:rPr>
          <w:sz w:val="20"/>
          <w:szCs w:val="20"/>
          <w:lang w:val="en-GB"/>
        </w:rPr>
        <w:t xml:space="preserve">directed towards sustainable development throughout </w:t>
      </w:r>
      <w:r w:rsidR="00553921" w:rsidRPr="00FB41EA">
        <w:rPr>
          <w:sz w:val="20"/>
          <w:szCs w:val="20"/>
          <w:lang w:val="en-GB"/>
        </w:rPr>
        <w:t xml:space="preserve">2007–2013 </w:t>
      </w:r>
      <w:r w:rsidR="00E04EBD">
        <w:rPr>
          <w:sz w:val="20"/>
          <w:szCs w:val="20"/>
          <w:lang w:val="en-GB"/>
        </w:rPr>
        <w:t>was</w:t>
      </w:r>
      <w:r w:rsidR="00CF62B7" w:rsidRPr="00FB41EA">
        <w:rPr>
          <w:sz w:val="20"/>
          <w:szCs w:val="20"/>
          <w:lang w:val="en-GB"/>
        </w:rPr>
        <w:t xml:space="preserve"> evaluated </w:t>
      </w:r>
      <w:proofErr w:type="gramStart"/>
      <w:r w:rsidR="00CF62B7" w:rsidRPr="00FB41EA">
        <w:rPr>
          <w:sz w:val="20"/>
          <w:szCs w:val="20"/>
          <w:lang w:val="en-GB"/>
        </w:rPr>
        <w:t>on the basis of</w:t>
      </w:r>
      <w:proofErr w:type="gramEnd"/>
      <w:r w:rsidR="00CF62B7" w:rsidRPr="00FB41EA">
        <w:rPr>
          <w:sz w:val="20"/>
          <w:szCs w:val="20"/>
          <w:lang w:val="en-GB"/>
        </w:rPr>
        <w:t xml:space="preserve"> the</w:t>
      </w:r>
      <w:r w:rsidR="00553921" w:rsidRPr="00FB41EA">
        <w:rPr>
          <w:sz w:val="20"/>
          <w:szCs w:val="20"/>
          <w:lang w:val="en-GB"/>
        </w:rPr>
        <w:t xml:space="preserve"> </w:t>
      </w:r>
      <w:r w:rsidR="00BF48FD" w:rsidRPr="00FB41EA">
        <w:rPr>
          <w:sz w:val="20"/>
          <w:szCs w:val="20"/>
          <w:lang w:val="en-GB"/>
        </w:rPr>
        <w:t xml:space="preserve">Four Capital Model </w:t>
      </w:r>
      <w:r w:rsidR="00553921" w:rsidRPr="00FB41EA">
        <w:rPr>
          <w:sz w:val="20"/>
          <w:szCs w:val="20"/>
          <w:lang w:val="en-GB"/>
        </w:rPr>
        <w:t>(</w:t>
      </w:r>
      <w:r w:rsidR="00BF48FD" w:rsidRPr="00FB41EA">
        <w:rPr>
          <w:sz w:val="20"/>
          <w:szCs w:val="20"/>
          <w:lang w:val="en-GB"/>
        </w:rPr>
        <w:t xml:space="preserve">capital resources are divided into four types: </w:t>
      </w:r>
      <w:r w:rsidR="000201E5">
        <w:rPr>
          <w:sz w:val="20"/>
          <w:szCs w:val="20"/>
          <w:lang w:val="en-GB"/>
        </w:rPr>
        <w:t>natural</w:t>
      </w:r>
      <w:r w:rsidR="00BF48FD" w:rsidRPr="00FB41EA">
        <w:rPr>
          <w:sz w:val="20"/>
          <w:szCs w:val="20"/>
          <w:lang w:val="en-GB"/>
        </w:rPr>
        <w:t xml:space="preserve">, </w:t>
      </w:r>
      <w:r w:rsidR="000201E5">
        <w:rPr>
          <w:sz w:val="20"/>
          <w:szCs w:val="20"/>
          <w:lang w:val="en-GB"/>
        </w:rPr>
        <w:t>manufactured</w:t>
      </w:r>
      <w:r w:rsidR="00BF48FD" w:rsidRPr="00FB41EA">
        <w:rPr>
          <w:sz w:val="20"/>
          <w:szCs w:val="20"/>
          <w:lang w:val="en-GB"/>
        </w:rPr>
        <w:t>, social and human).</w:t>
      </w:r>
      <w:r w:rsidR="00553921" w:rsidRPr="00FB41EA">
        <w:rPr>
          <w:sz w:val="20"/>
          <w:szCs w:val="20"/>
          <w:lang w:val="en-GB"/>
        </w:rPr>
        <w:t xml:space="preserve"> </w:t>
      </w:r>
      <w:r w:rsidR="009E18BA" w:rsidRPr="00FB41EA">
        <w:rPr>
          <w:sz w:val="20"/>
          <w:szCs w:val="20"/>
          <w:lang w:val="en-GB"/>
        </w:rPr>
        <w:t xml:space="preserve">For the evaluation, separate measures </w:t>
      </w:r>
      <w:r w:rsidR="00A41F7B">
        <w:rPr>
          <w:sz w:val="20"/>
          <w:szCs w:val="20"/>
          <w:lang w:val="en-GB"/>
        </w:rPr>
        <w:t>were</w:t>
      </w:r>
      <w:r w:rsidR="009E18BA" w:rsidRPr="00FB41EA">
        <w:rPr>
          <w:sz w:val="20"/>
          <w:szCs w:val="20"/>
          <w:lang w:val="en-GB"/>
        </w:rPr>
        <w:t xml:space="preserve"> analysed in accordance with the type of capital the interventions of measures belong </w:t>
      </w:r>
      <w:proofErr w:type="gramStart"/>
      <w:r w:rsidR="009E18BA" w:rsidRPr="00FB41EA">
        <w:rPr>
          <w:sz w:val="20"/>
          <w:szCs w:val="20"/>
          <w:lang w:val="en-GB"/>
        </w:rPr>
        <w:t>to</w:t>
      </w:r>
      <w:proofErr w:type="gramEnd"/>
      <w:r w:rsidR="009E18BA" w:rsidRPr="00FB41EA">
        <w:rPr>
          <w:sz w:val="20"/>
          <w:szCs w:val="20"/>
          <w:lang w:val="en-GB"/>
        </w:rPr>
        <w:t xml:space="preserve">. </w:t>
      </w:r>
    </w:p>
    <w:p w14:paraId="26682B3F" w14:textId="44E3E7C5" w:rsidR="00133B31" w:rsidRPr="00FB41EA" w:rsidRDefault="002F071F" w:rsidP="00133B31">
      <w:pPr>
        <w:autoSpaceDE w:val="0"/>
        <w:autoSpaceDN w:val="0"/>
        <w:adjustRightInd w:val="0"/>
        <w:spacing w:before="120" w:after="0" w:line="240" w:lineRule="auto"/>
        <w:jc w:val="both"/>
        <w:rPr>
          <w:sz w:val="20"/>
          <w:szCs w:val="20"/>
          <w:lang w:val="en-GB"/>
        </w:rPr>
      </w:pPr>
      <w:r w:rsidRPr="00FB41EA">
        <w:rPr>
          <w:sz w:val="20"/>
          <w:szCs w:val="20"/>
          <w:lang w:val="en-GB"/>
        </w:rPr>
        <w:t>During the EU structural funds’ programming period of 2007–2013, Lithuania invested most</w:t>
      </w:r>
      <w:r w:rsidR="00F32765" w:rsidRPr="00FB41EA">
        <w:rPr>
          <w:sz w:val="20"/>
          <w:szCs w:val="20"/>
          <w:lang w:val="en-GB"/>
        </w:rPr>
        <w:t>ly</w:t>
      </w:r>
      <w:r w:rsidRPr="00FB41EA">
        <w:rPr>
          <w:sz w:val="20"/>
          <w:szCs w:val="20"/>
          <w:lang w:val="en-GB"/>
        </w:rPr>
        <w:t xml:space="preserve"> in </w:t>
      </w:r>
      <w:r w:rsidR="00F32765" w:rsidRPr="00FB41EA">
        <w:rPr>
          <w:sz w:val="20"/>
          <w:szCs w:val="20"/>
          <w:lang w:val="en-GB"/>
        </w:rPr>
        <w:t xml:space="preserve">the </w:t>
      </w:r>
      <w:r w:rsidR="000201E5">
        <w:rPr>
          <w:sz w:val="20"/>
          <w:szCs w:val="20"/>
          <w:lang w:val="en-GB"/>
        </w:rPr>
        <w:t>manufactured</w:t>
      </w:r>
      <w:r w:rsidR="00F32765" w:rsidRPr="00FB41EA">
        <w:rPr>
          <w:sz w:val="20"/>
          <w:szCs w:val="20"/>
          <w:lang w:val="en-GB"/>
        </w:rPr>
        <w:t xml:space="preserve"> capital</w:t>
      </w:r>
      <w:r w:rsidRPr="00FB41EA">
        <w:rPr>
          <w:sz w:val="20"/>
          <w:szCs w:val="20"/>
          <w:lang w:val="en-GB"/>
        </w:rPr>
        <w:t xml:space="preserve"> </w:t>
      </w:r>
      <w:r w:rsidR="00133B31" w:rsidRPr="00FB41EA">
        <w:rPr>
          <w:sz w:val="20"/>
          <w:szCs w:val="20"/>
          <w:lang w:val="en-GB"/>
        </w:rPr>
        <w:t>(</w:t>
      </w:r>
      <w:r w:rsidR="00F32765" w:rsidRPr="00FB41EA">
        <w:rPr>
          <w:sz w:val="20"/>
          <w:szCs w:val="20"/>
          <w:lang w:val="en-GB"/>
        </w:rPr>
        <w:t xml:space="preserve">funds in Euros, including both the EU funding and the </w:t>
      </w:r>
      <w:r w:rsidR="00024848" w:rsidRPr="00FB41EA">
        <w:rPr>
          <w:sz w:val="20"/>
          <w:szCs w:val="20"/>
          <w:lang w:val="en-GB"/>
        </w:rPr>
        <w:t>Lithuanian budget allocations)</w:t>
      </w:r>
      <w:r w:rsidR="00133B31" w:rsidRPr="00FB41EA">
        <w:rPr>
          <w:sz w:val="20"/>
          <w:szCs w:val="20"/>
          <w:lang w:val="en-GB"/>
        </w:rPr>
        <w:t xml:space="preserve">, </w:t>
      </w:r>
      <w:r w:rsidR="00C462D9" w:rsidRPr="00FB41EA">
        <w:rPr>
          <w:sz w:val="20"/>
          <w:szCs w:val="20"/>
          <w:lang w:val="en-GB"/>
        </w:rPr>
        <w:t>while investments in other three capital areas distributed quite evenly</w:t>
      </w:r>
      <w:r w:rsidR="00133B31" w:rsidRPr="00FB41EA">
        <w:rPr>
          <w:sz w:val="20"/>
          <w:szCs w:val="20"/>
          <w:lang w:val="en-GB"/>
        </w:rPr>
        <w:t>.</w:t>
      </w:r>
    </w:p>
    <w:p w14:paraId="054FDBA5" w14:textId="0B2E2724" w:rsidR="00B27960" w:rsidRDefault="009D4532" w:rsidP="00553921">
      <w:pPr>
        <w:autoSpaceDE w:val="0"/>
        <w:autoSpaceDN w:val="0"/>
        <w:adjustRightInd w:val="0"/>
        <w:spacing w:before="120" w:after="0" w:line="240" w:lineRule="auto"/>
        <w:jc w:val="both"/>
        <w:rPr>
          <w:sz w:val="20"/>
          <w:szCs w:val="20"/>
          <w:lang w:val="en-GB"/>
        </w:rPr>
      </w:pPr>
      <w:r w:rsidRPr="00FB41EA">
        <w:rPr>
          <w:sz w:val="20"/>
          <w:szCs w:val="20"/>
          <w:lang w:val="en-GB"/>
        </w:rPr>
        <w:t xml:space="preserve">From the vertical point of view, investments in different types of capital </w:t>
      </w:r>
      <w:r w:rsidR="00A41F7B">
        <w:rPr>
          <w:sz w:val="20"/>
          <w:szCs w:val="20"/>
          <w:lang w:val="en-GB"/>
        </w:rPr>
        <w:t>were</w:t>
      </w:r>
      <w:r w:rsidRPr="00FB41EA">
        <w:rPr>
          <w:sz w:val="20"/>
          <w:szCs w:val="20"/>
          <w:lang w:val="en-GB"/>
        </w:rPr>
        <w:t xml:space="preserve"> uneven; however, </w:t>
      </w:r>
      <w:r w:rsidR="00FF073A" w:rsidRPr="00FB41EA">
        <w:rPr>
          <w:sz w:val="20"/>
          <w:szCs w:val="20"/>
          <w:lang w:val="en-GB"/>
        </w:rPr>
        <w:t xml:space="preserve">assessing horizontally the distribution of investments </w:t>
      </w:r>
      <w:r w:rsidR="00A41F7B">
        <w:rPr>
          <w:sz w:val="20"/>
          <w:szCs w:val="20"/>
          <w:lang w:val="en-GB"/>
        </w:rPr>
        <w:t>was</w:t>
      </w:r>
      <w:r w:rsidR="00FF073A" w:rsidRPr="00FB41EA">
        <w:rPr>
          <w:sz w:val="20"/>
          <w:szCs w:val="20"/>
          <w:lang w:val="en-GB"/>
        </w:rPr>
        <w:t xml:space="preserve"> relatively even </w:t>
      </w:r>
      <w:r w:rsidR="008534F2" w:rsidRPr="00FB41EA">
        <w:rPr>
          <w:sz w:val="20"/>
          <w:szCs w:val="20"/>
          <w:lang w:val="en-GB"/>
        </w:rPr>
        <w:t>as, for instance,</w:t>
      </w:r>
      <w:r w:rsidR="00FF073A" w:rsidRPr="00FB41EA">
        <w:rPr>
          <w:sz w:val="20"/>
          <w:szCs w:val="20"/>
          <w:lang w:val="en-GB"/>
        </w:rPr>
        <w:t xml:space="preserve"> the dimension of </w:t>
      </w:r>
      <w:r w:rsidR="000201E5">
        <w:rPr>
          <w:sz w:val="20"/>
          <w:szCs w:val="20"/>
          <w:lang w:val="en-GB"/>
        </w:rPr>
        <w:t>natur</w:t>
      </w:r>
      <w:r w:rsidR="00FF073A" w:rsidRPr="00FB41EA">
        <w:rPr>
          <w:sz w:val="20"/>
          <w:szCs w:val="20"/>
          <w:lang w:val="en-GB"/>
        </w:rPr>
        <w:t xml:space="preserve">al capital </w:t>
      </w:r>
      <w:proofErr w:type="gramStart"/>
      <w:r w:rsidR="00A41F7B">
        <w:rPr>
          <w:sz w:val="20"/>
          <w:szCs w:val="20"/>
          <w:lang w:val="en-GB"/>
        </w:rPr>
        <w:t>was</w:t>
      </w:r>
      <w:r w:rsidR="008534F2" w:rsidRPr="00FB41EA">
        <w:rPr>
          <w:sz w:val="20"/>
          <w:szCs w:val="20"/>
          <w:lang w:val="en-GB"/>
        </w:rPr>
        <w:t xml:space="preserve"> identified</w:t>
      </w:r>
      <w:proofErr w:type="gramEnd"/>
      <w:r w:rsidR="008534F2" w:rsidRPr="00FB41EA">
        <w:rPr>
          <w:sz w:val="20"/>
          <w:szCs w:val="20"/>
          <w:lang w:val="en-GB"/>
        </w:rPr>
        <w:t xml:space="preserve"> in </w:t>
      </w:r>
      <w:r w:rsidR="000201E5">
        <w:rPr>
          <w:sz w:val="20"/>
          <w:szCs w:val="20"/>
          <w:lang w:val="en-GB"/>
        </w:rPr>
        <w:t>manufactured</w:t>
      </w:r>
      <w:r w:rsidR="008534F2" w:rsidRPr="00FB41EA">
        <w:rPr>
          <w:sz w:val="20"/>
          <w:szCs w:val="20"/>
          <w:lang w:val="en-GB"/>
        </w:rPr>
        <w:t xml:space="preserve"> capital as well</w:t>
      </w:r>
      <w:r w:rsidR="00FF073A" w:rsidRPr="00FB41EA">
        <w:rPr>
          <w:sz w:val="20"/>
          <w:szCs w:val="20"/>
          <w:lang w:val="en-GB"/>
        </w:rPr>
        <w:t xml:space="preserve">. </w:t>
      </w:r>
    </w:p>
    <w:p w14:paraId="21A2E0C3" w14:textId="77777777" w:rsidR="00200597" w:rsidRDefault="00200597" w:rsidP="00553921">
      <w:pPr>
        <w:autoSpaceDE w:val="0"/>
        <w:autoSpaceDN w:val="0"/>
        <w:adjustRightInd w:val="0"/>
        <w:spacing w:before="120" w:after="0" w:line="240" w:lineRule="auto"/>
        <w:jc w:val="both"/>
        <w:rPr>
          <w:sz w:val="20"/>
          <w:szCs w:val="20"/>
          <w:lang w:val="en-GB"/>
        </w:rPr>
      </w:pPr>
    </w:p>
    <w:p w14:paraId="0095638C" w14:textId="77777777" w:rsidR="00200597" w:rsidRPr="00FB41EA" w:rsidRDefault="00200597" w:rsidP="00553921">
      <w:pPr>
        <w:autoSpaceDE w:val="0"/>
        <w:autoSpaceDN w:val="0"/>
        <w:adjustRightInd w:val="0"/>
        <w:spacing w:before="120" w:after="0" w:line="240" w:lineRule="auto"/>
        <w:jc w:val="both"/>
        <w:rPr>
          <w:sz w:val="20"/>
          <w:szCs w:val="20"/>
          <w:lang w:val="en-GB"/>
        </w:rPr>
      </w:pPr>
    </w:p>
    <w:p w14:paraId="63A9EE8E" w14:textId="2FF0278E" w:rsidR="00B27960" w:rsidRPr="00FB41EA" w:rsidRDefault="008534F2" w:rsidP="00B27960">
      <w:pPr>
        <w:pStyle w:val="Caption"/>
        <w:spacing w:before="120"/>
        <w:jc w:val="both"/>
        <w:rPr>
          <w:lang w:val="en-GB"/>
        </w:rPr>
      </w:pPr>
      <w:bookmarkStart w:id="0" w:name="_Toc440235458"/>
      <w:bookmarkStart w:id="1" w:name="_Toc448002616"/>
      <w:r w:rsidRPr="00FB41EA">
        <w:rPr>
          <w:b/>
          <w:i w:val="0"/>
          <w:noProof/>
          <w:color w:val="auto"/>
          <w:sz w:val="20"/>
          <w:szCs w:val="20"/>
          <w:lang w:val="en-GB"/>
        </w:rPr>
        <w:lastRenderedPageBreak/>
        <w:t xml:space="preserve">Picture </w:t>
      </w:r>
      <w:r w:rsidR="00B27960" w:rsidRPr="00FB41EA">
        <w:rPr>
          <w:b/>
          <w:i w:val="0"/>
          <w:noProof/>
          <w:color w:val="auto"/>
          <w:sz w:val="20"/>
          <w:szCs w:val="20"/>
          <w:lang w:val="en-GB"/>
        </w:rPr>
        <w:fldChar w:fldCharType="begin"/>
      </w:r>
      <w:r w:rsidR="00B27960" w:rsidRPr="00FB41EA">
        <w:rPr>
          <w:b/>
          <w:i w:val="0"/>
          <w:noProof/>
          <w:color w:val="auto"/>
          <w:sz w:val="20"/>
          <w:szCs w:val="20"/>
          <w:lang w:val="en-GB"/>
        </w:rPr>
        <w:instrText xml:space="preserve"> SEQ paveikslas \* ARABIC </w:instrText>
      </w:r>
      <w:r w:rsidR="00B27960" w:rsidRPr="00FB41EA">
        <w:rPr>
          <w:b/>
          <w:i w:val="0"/>
          <w:noProof/>
          <w:color w:val="auto"/>
          <w:sz w:val="20"/>
          <w:szCs w:val="20"/>
          <w:lang w:val="en-GB"/>
        </w:rPr>
        <w:fldChar w:fldCharType="separate"/>
      </w:r>
      <w:r w:rsidR="00B27960" w:rsidRPr="00FB41EA">
        <w:rPr>
          <w:b/>
          <w:i w:val="0"/>
          <w:noProof/>
          <w:color w:val="auto"/>
          <w:sz w:val="20"/>
          <w:szCs w:val="20"/>
          <w:lang w:val="en-GB"/>
        </w:rPr>
        <w:t>1</w:t>
      </w:r>
      <w:r w:rsidR="00B27960" w:rsidRPr="00FB41EA">
        <w:rPr>
          <w:b/>
          <w:i w:val="0"/>
          <w:noProof/>
          <w:color w:val="auto"/>
          <w:sz w:val="20"/>
          <w:szCs w:val="20"/>
          <w:lang w:val="en-GB"/>
        </w:rPr>
        <w:fldChar w:fldCharType="end"/>
      </w:r>
      <w:r w:rsidR="00B27960" w:rsidRPr="00FB41EA">
        <w:rPr>
          <w:b/>
          <w:i w:val="0"/>
          <w:noProof/>
          <w:color w:val="auto"/>
          <w:sz w:val="20"/>
          <w:szCs w:val="20"/>
          <w:lang w:val="en-GB"/>
        </w:rPr>
        <w:t xml:space="preserve">. </w:t>
      </w:r>
      <w:r w:rsidRPr="00FB41EA">
        <w:rPr>
          <w:b/>
          <w:i w:val="0"/>
          <w:noProof/>
          <w:color w:val="auto"/>
          <w:sz w:val="20"/>
          <w:szCs w:val="20"/>
          <w:lang w:val="en-GB"/>
        </w:rPr>
        <w:t xml:space="preserve">The EU structural assistance distribution according to investments in different capitals </w:t>
      </w:r>
      <w:bookmarkEnd w:id="0"/>
      <w:bookmarkEnd w:id="1"/>
    </w:p>
    <w:p w14:paraId="7A1BC21E" w14:textId="7E18A901" w:rsidR="00DB648A" w:rsidRPr="00FB41EA" w:rsidRDefault="00200597" w:rsidP="001A035B">
      <w:pPr>
        <w:rPr>
          <w:sz w:val="18"/>
          <w:lang w:val="en-GB"/>
        </w:rPr>
      </w:pPr>
      <w:r>
        <w:rPr>
          <w:b/>
          <w:i/>
          <w:noProof/>
          <w:sz w:val="20"/>
          <w:szCs w:val="20"/>
          <w:lang w:val="en-US"/>
        </w:rPr>
        <w:drawing>
          <wp:anchor distT="0" distB="0" distL="114300" distR="114300" simplePos="0" relativeHeight="251659264" behindDoc="0" locked="0" layoutInCell="1" allowOverlap="1" wp14:anchorId="037453B8" wp14:editId="7B92BFB3">
            <wp:simplePos x="0" y="0"/>
            <wp:positionH relativeFrom="column">
              <wp:posOffset>47625</wp:posOffset>
            </wp:positionH>
            <wp:positionV relativeFrom="paragraph">
              <wp:posOffset>8890</wp:posOffset>
            </wp:positionV>
            <wp:extent cx="5181600" cy="2657475"/>
            <wp:effectExtent l="0" t="0" r="0"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5F2F069" w14:textId="77777777" w:rsidR="00DB648A" w:rsidRPr="00FB41EA" w:rsidRDefault="00DB648A" w:rsidP="001A035B">
      <w:pPr>
        <w:rPr>
          <w:sz w:val="18"/>
          <w:lang w:val="en-GB"/>
        </w:rPr>
      </w:pPr>
    </w:p>
    <w:p w14:paraId="23FDBB32" w14:textId="77777777" w:rsidR="00DB648A" w:rsidRPr="00FB41EA" w:rsidRDefault="00DB648A" w:rsidP="001A035B">
      <w:pPr>
        <w:rPr>
          <w:sz w:val="18"/>
          <w:lang w:val="en-GB"/>
        </w:rPr>
      </w:pPr>
    </w:p>
    <w:p w14:paraId="580338D7" w14:textId="77777777" w:rsidR="00DB648A" w:rsidRPr="00FB41EA" w:rsidRDefault="00DB648A" w:rsidP="001A035B">
      <w:pPr>
        <w:rPr>
          <w:sz w:val="18"/>
          <w:lang w:val="en-GB"/>
        </w:rPr>
      </w:pPr>
    </w:p>
    <w:p w14:paraId="0EA87B7B" w14:textId="77777777" w:rsidR="00DB648A" w:rsidRPr="00FB41EA" w:rsidRDefault="00DB648A" w:rsidP="001A035B">
      <w:pPr>
        <w:rPr>
          <w:sz w:val="18"/>
          <w:lang w:val="en-GB"/>
        </w:rPr>
      </w:pPr>
    </w:p>
    <w:p w14:paraId="6BDA1A86" w14:textId="77777777" w:rsidR="00200597" w:rsidRDefault="00200597" w:rsidP="00441F77">
      <w:pPr>
        <w:spacing w:before="120"/>
        <w:rPr>
          <w:sz w:val="18"/>
          <w:lang w:val="en-GB"/>
        </w:rPr>
      </w:pPr>
    </w:p>
    <w:p w14:paraId="293877F9" w14:textId="77777777" w:rsidR="00200597" w:rsidRDefault="00200597" w:rsidP="00441F77">
      <w:pPr>
        <w:spacing w:before="120"/>
        <w:rPr>
          <w:sz w:val="18"/>
          <w:lang w:val="en-GB"/>
        </w:rPr>
      </w:pPr>
    </w:p>
    <w:p w14:paraId="765F5782" w14:textId="77777777" w:rsidR="00200597" w:rsidRDefault="00200597" w:rsidP="00441F77">
      <w:pPr>
        <w:spacing w:before="120"/>
        <w:rPr>
          <w:sz w:val="18"/>
          <w:lang w:val="en-GB"/>
        </w:rPr>
      </w:pPr>
    </w:p>
    <w:p w14:paraId="42ACFE14" w14:textId="77777777" w:rsidR="00200597" w:rsidRDefault="00200597" w:rsidP="00441F77">
      <w:pPr>
        <w:spacing w:before="120"/>
        <w:rPr>
          <w:sz w:val="18"/>
          <w:lang w:val="en-GB"/>
        </w:rPr>
      </w:pPr>
    </w:p>
    <w:p w14:paraId="019C15D1" w14:textId="77777777" w:rsidR="00200597" w:rsidRDefault="00200597" w:rsidP="00441F77">
      <w:pPr>
        <w:spacing w:before="120"/>
        <w:rPr>
          <w:sz w:val="18"/>
          <w:lang w:val="en-GB"/>
        </w:rPr>
      </w:pPr>
    </w:p>
    <w:p w14:paraId="5BFDB084" w14:textId="77777777" w:rsidR="00200597" w:rsidRDefault="00200597" w:rsidP="00441F77">
      <w:pPr>
        <w:spacing w:before="120"/>
        <w:rPr>
          <w:sz w:val="18"/>
          <w:lang w:val="en-GB"/>
        </w:rPr>
      </w:pPr>
    </w:p>
    <w:p w14:paraId="2E699DA2" w14:textId="77777777" w:rsidR="00200597" w:rsidRDefault="00200597" w:rsidP="00441F77">
      <w:pPr>
        <w:spacing w:before="120"/>
        <w:rPr>
          <w:sz w:val="18"/>
          <w:lang w:val="en-GB"/>
        </w:rPr>
      </w:pPr>
    </w:p>
    <w:p w14:paraId="7095DC52" w14:textId="2C3F9127" w:rsidR="00B27960" w:rsidRPr="00FB41EA" w:rsidRDefault="000C7076" w:rsidP="00441F77">
      <w:pPr>
        <w:spacing w:before="120"/>
        <w:rPr>
          <w:sz w:val="18"/>
          <w:lang w:val="en-GB"/>
        </w:rPr>
      </w:pPr>
      <w:r w:rsidRPr="00FB41EA">
        <w:rPr>
          <w:sz w:val="18"/>
          <w:lang w:val="en-GB"/>
        </w:rPr>
        <w:t>Source</w:t>
      </w:r>
      <w:r w:rsidR="00B27960" w:rsidRPr="00FB41EA">
        <w:rPr>
          <w:sz w:val="18"/>
          <w:lang w:val="en-GB"/>
        </w:rPr>
        <w:t xml:space="preserve">: </w:t>
      </w:r>
      <w:r w:rsidR="00A41F7B">
        <w:rPr>
          <w:sz w:val="18"/>
          <w:lang w:val="en-GB"/>
        </w:rPr>
        <w:t>d</w:t>
      </w:r>
      <w:r w:rsidRPr="00FB41EA">
        <w:rPr>
          <w:sz w:val="18"/>
          <w:lang w:val="en-GB"/>
        </w:rPr>
        <w:t xml:space="preserve">ata from </w:t>
      </w:r>
      <w:hyperlink r:id="rId9" w:history="1">
        <w:r w:rsidR="00B27960" w:rsidRPr="00FB41EA">
          <w:rPr>
            <w:rStyle w:val="Hyperlink"/>
            <w:sz w:val="18"/>
            <w:lang w:val="en-GB"/>
          </w:rPr>
          <w:t>www.esparama.lt</w:t>
        </w:r>
      </w:hyperlink>
      <w:r w:rsidR="00B27960" w:rsidRPr="00FB41EA">
        <w:rPr>
          <w:sz w:val="18"/>
          <w:lang w:val="en-GB"/>
        </w:rPr>
        <w:t xml:space="preserve"> </w:t>
      </w:r>
      <w:r w:rsidRPr="00FB41EA">
        <w:rPr>
          <w:sz w:val="18"/>
          <w:lang w:val="en-GB"/>
        </w:rPr>
        <w:t>as on 31-12-2015</w:t>
      </w:r>
    </w:p>
    <w:p w14:paraId="4032304C" w14:textId="00997339" w:rsidR="00B27960" w:rsidRPr="00FB41EA" w:rsidRDefault="00F63BC6" w:rsidP="00B27960">
      <w:pPr>
        <w:spacing w:before="120"/>
        <w:jc w:val="both"/>
        <w:rPr>
          <w:sz w:val="20"/>
          <w:lang w:val="en-GB"/>
        </w:rPr>
      </w:pPr>
      <w:r w:rsidRPr="00FB41EA">
        <w:rPr>
          <w:sz w:val="20"/>
          <w:lang w:val="en-GB"/>
        </w:rPr>
        <w:t xml:space="preserve">Assessing </w:t>
      </w:r>
      <w:r w:rsidR="005B6FD8" w:rsidRPr="00FB41EA">
        <w:rPr>
          <w:sz w:val="20"/>
          <w:lang w:val="en-GB"/>
        </w:rPr>
        <w:t xml:space="preserve">in terms of </w:t>
      </w:r>
      <w:r w:rsidR="002F01C5" w:rsidRPr="00FB41EA">
        <w:rPr>
          <w:sz w:val="20"/>
          <w:lang w:val="en-GB"/>
        </w:rPr>
        <w:t xml:space="preserve">different </w:t>
      </w:r>
      <w:r w:rsidR="00B27960" w:rsidRPr="00FB41EA">
        <w:rPr>
          <w:sz w:val="20"/>
          <w:lang w:val="en-GB"/>
        </w:rPr>
        <w:t xml:space="preserve">2007–2013 </w:t>
      </w:r>
      <w:r w:rsidR="002F01C5" w:rsidRPr="00FB41EA">
        <w:rPr>
          <w:sz w:val="20"/>
          <w:lang w:val="en-GB"/>
        </w:rPr>
        <w:t xml:space="preserve">operational programmes, </w:t>
      </w:r>
      <w:r w:rsidRPr="00FB41EA">
        <w:rPr>
          <w:sz w:val="20"/>
          <w:lang w:val="en-GB"/>
        </w:rPr>
        <w:t xml:space="preserve">the majority of investments in human capital </w:t>
      </w:r>
      <w:proofErr w:type="gramStart"/>
      <w:r w:rsidR="005B6FD8" w:rsidRPr="00FB41EA">
        <w:rPr>
          <w:sz w:val="20"/>
          <w:lang w:val="en-GB"/>
        </w:rPr>
        <w:t>w</w:t>
      </w:r>
      <w:r w:rsidR="00A41F7B">
        <w:rPr>
          <w:sz w:val="20"/>
          <w:lang w:val="en-GB"/>
        </w:rPr>
        <w:t>ere</w:t>
      </w:r>
      <w:r w:rsidRPr="00FB41EA">
        <w:rPr>
          <w:sz w:val="20"/>
          <w:lang w:val="en-GB"/>
        </w:rPr>
        <w:t xml:space="preserve"> made</w:t>
      </w:r>
      <w:proofErr w:type="gramEnd"/>
      <w:r w:rsidRPr="00FB41EA">
        <w:rPr>
          <w:sz w:val="20"/>
          <w:lang w:val="en-GB"/>
        </w:rPr>
        <w:t xml:space="preserve"> under the scope of OPDHR</w:t>
      </w:r>
      <w:r w:rsidR="00B27960" w:rsidRPr="00FB41EA">
        <w:rPr>
          <w:sz w:val="20"/>
          <w:lang w:val="en-GB"/>
        </w:rPr>
        <w:t>,</w:t>
      </w:r>
      <w:r w:rsidRPr="00FB41EA">
        <w:rPr>
          <w:sz w:val="20"/>
          <w:lang w:val="en-GB"/>
        </w:rPr>
        <w:t xml:space="preserve"> while </w:t>
      </w:r>
      <w:r w:rsidR="00B51300" w:rsidRPr="00FB41EA">
        <w:rPr>
          <w:sz w:val="20"/>
          <w:lang w:val="en-GB"/>
        </w:rPr>
        <w:t xml:space="preserve">in </w:t>
      </w:r>
      <w:r w:rsidR="00A41F7B">
        <w:rPr>
          <w:sz w:val="20"/>
          <w:lang w:val="en-GB"/>
        </w:rPr>
        <w:t xml:space="preserve">the </w:t>
      </w:r>
      <w:r w:rsidR="00B51300" w:rsidRPr="00FB41EA">
        <w:rPr>
          <w:sz w:val="20"/>
          <w:lang w:val="en-GB"/>
        </w:rPr>
        <w:t xml:space="preserve">cases of OPEG and OPPC </w:t>
      </w:r>
      <w:r w:rsidR="000201E5">
        <w:rPr>
          <w:sz w:val="20"/>
          <w:lang w:val="en-GB"/>
        </w:rPr>
        <w:t>manufactured</w:t>
      </w:r>
      <w:r w:rsidR="005B6FD8" w:rsidRPr="00FB41EA">
        <w:rPr>
          <w:sz w:val="20"/>
          <w:lang w:val="en-GB"/>
        </w:rPr>
        <w:t xml:space="preserve"> capital received the most attention</w:t>
      </w:r>
      <w:r w:rsidR="00B27960" w:rsidRPr="00FB41EA">
        <w:rPr>
          <w:sz w:val="20"/>
          <w:lang w:val="en-GB"/>
        </w:rPr>
        <w:t xml:space="preserve">. </w:t>
      </w:r>
      <w:r w:rsidR="005B6FD8" w:rsidRPr="00FB41EA">
        <w:rPr>
          <w:sz w:val="20"/>
          <w:lang w:val="en-GB"/>
        </w:rPr>
        <w:t xml:space="preserve">Those trends reflect the financing tendencies and </w:t>
      </w:r>
      <w:r w:rsidR="007A18C4" w:rsidRPr="00FB41EA">
        <w:rPr>
          <w:sz w:val="20"/>
          <w:lang w:val="en-GB"/>
        </w:rPr>
        <w:t xml:space="preserve">goals of operational programmes. </w:t>
      </w:r>
      <w:r w:rsidR="00706B39" w:rsidRPr="00FB41EA">
        <w:rPr>
          <w:sz w:val="20"/>
          <w:lang w:val="en-GB"/>
        </w:rPr>
        <w:t xml:space="preserve">Accordingly, while selecting the measures included the Evaluation object, the purpose was evenly covering all three operational programmes, three EU structural funds, the objectives </w:t>
      </w:r>
      <w:r w:rsidR="00F31769" w:rsidRPr="00FB41EA">
        <w:rPr>
          <w:sz w:val="20"/>
          <w:lang w:val="en-GB"/>
        </w:rPr>
        <w:t>of sustainable development prior</w:t>
      </w:r>
      <w:r w:rsidR="00706B39" w:rsidRPr="00FB41EA">
        <w:rPr>
          <w:sz w:val="20"/>
          <w:lang w:val="en-GB"/>
        </w:rPr>
        <w:t xml:space="preserve">ity and the four types of capital. </w:t>
      </w:r>
    </w:p>
    <w:p w14:paraId="6073ACD9" w14:textId="089AE95D" w:rsidR="0088266E" w:rsidRPr="00FB41EA" w:rsidRDefault="008C0B22" w:rsidP="0088266E">
      <w:pPr>
        <w:spacing w:before="120"/>
        <w:jc w:val="both"/>
        <w:rPr>
          <w:sz w:val="20"/>
          <w:lang w:val="en-GB"/>
        </w:rPr>
      </w:pPr>
      <w:r w:rsidRPr="00FB41EA">
        <w:rPr>
          <w:sz w:val="20"/>
          <w:lang w:val="en-GB"/>
        </w:rPr>
        <w:t xml:space="preserve">In order to assess which priorities and measures of the operational programmes contributed the most to the implementation of the principle of sustainable development, the analysis of </w:t>
      </w:r>
      <w:r w:rsidR="008A62EE" w:rsidRPr="00FB41EA">
        <w:rPr>
          <w:sz w:val="20"/>
          <w:lang w:val="en-GB"/>
        </w:rPr>
        <w:t xml:space="preserve">draft project </w:t>
      </w:r>
      <w:r w:rsidRPr="00FB41EA">
        <w:rPr>
          <w:sz w:val="20"/>
          <w:lang w:val="en-GB"/>
        </w:rPr>
        <w:t xml:space="preserve">financing </w:t>
      </w:r>
      <w:r w:rsidR="008A62EE" w:rsidRPr="00FB41EA">
        <w:rPr>
          <w:sz w:val="20"/>
          <w:lang w:val="en-GB"/>
        </w:rPr>
        <w:t>terms</w:t>
      </w:r>
      <w:r w:rsidRPr="00FB41EA">
        <w:rPr>
          <w:sz w:val="20"/>
          <w:lang w:val="en-GB"/>
        </w:rPr>
        <w:t xml:space="preserve"> </w:t>
      </w:r>
      <w:r w:rsidR="008A62EE" w:rsidRPr="00FB41EA">
        <w:rPr>
          <w:sz w:val="20"/>
          <w:lang w:val="en-GB"/>
        </w:rPr>
        <w:t xml:space="preserve">of the measures </w:t>
      </w:r>
      <w:r w:rsidRPr="00FB41EA">
        <w:rPr>
          <w:sz w:val="20"/>
          <w:lang w:val="en-GB"/>
        </w:rPr>
        <w:t>(PF</w:t>
      </w:r>
      <w:r w:rsidR="00BD7ECD" w:rsidRPr="00FB41EA">
        <w:rPr>
          <w:sz w:val="20"/>
          <w:lang w:val="en-GB"/>
        </w:rPr>
        <w:t>TM</w:t>
      </w:r>
      <w:r w:rsidRPr="00FB41EA">
        <w:rPr>
          <w:sz w:val="20"/>
          <w:lang w:val="en-GB"/>
        </w:rPr>
        <w:t>)</w:t>
      </w:r>
      <w:r w:rsidR="008A62EE" w:rsidRPr="00FB41EA">
        <w:rPr>
          <w:sz w:val="20"/>
          <w:lang w:val="en-GB"/>
        </w:rPr>
        <w:t xml:space="preserve"> </w:t>
      </w:r>
      <w:r w:rsidR="004C7EB1">
        <w:rPr>
          <w:sz w:val="20"/>
          <w:lang w:val="en-GB"/>
        </w:rPr>
        <w:t>was</w:t>
      </w:r>
      <w:r w:rsidR="008A62EE" w:rsidRPr="00FB41EA">
        <w:rPr>
          <w:sz w:val="20"/>
          <w:lang w:val="en-GB"/>
        </w:rPr>
        <w:t xml:space="preserve"> performed</w:t>
      </w:r>
      <w:r w:rsidRPr="00FB41EA">
        <w:rPr>
          <w:sz w:val="20"/>
          <w:lang w:val="en-GB"/>
        </w:rPr>
        <w:t xml:space="preserve">, </w:t>
      </w:r>
      <w:r w:rsidR="004C7EB1">
        <w:rPr>
          <w:sz w:val="20"/>
          <w:lang w:val="en-GB"/>
        </w:rPr>
        <w:t>and</w:t>
      </w:r>
      <w:r w:rsidRPr="00FB41EA">
        <w:rPr>
          <w:sz w:val="20"/>
          <w:lang w:val="en-GB"/>
        </w:rPr>
        <w:t xml:space="preserve"> the assessment of the </w:t>
      </w:r>
      <w:r w:rsidR="00561CF0" w:rsidRPr="00FB41EA">
        <w:rPr>
          <w:sz w:val="20"/>
          <w:lang w:val="en-GB"/>
        </w:rPr>
        <w:t>main</w:t>
      </w:r>
      <w:r w:rsidRPr="00FB41EA">
        <w:rPr>
          <w:sz w:val="20"/>
          <w:lang w:val="en-GB"/>
        </w:rPr>
        <w:t xml:space="preserve"> </w:t>
      </w:r>
      <w:r w:rsidR="006516EA" w:rsidRPr="00FB41EA">
        <w:rPr>
          <w:sz w:val="20"/>
          <w:lang w:val="en-GB"/>
        </w:rPr>
        <w:t xml:space="preserve">horizontal priority objectives of </w:t>
      </w:r>
      <w:r w:rsidRPr="00FB41EA">
        <w:rPr>
          <w:sz w:val="20"/>
          <w:lang w:val="en-GB"/>
        </w:rPr>
        <w:t xml:space="preserve">sustainable development </w:t>
      </w:r>
      <w:r w:rsidR="004C7EB1">
        <w:rPr>
          <w:sz w:val="20"/>
          <w:lang w:val="en-GB"/>
        </w:rPr>
        <w:t>were</w:t>
      </w:r>
      <w:r w:rsidR="00561CF0" w:rsidRPr="00FB41EA">
        <w:rPr>
          <w:sz w:val="20"/>
          <w:lang w:val="en-GB"/>
        </w:rPr>
        <w:t xml:space="preserve"> carried out</w:t>
      </w:r>
      <w:r w:rsidRPr="00FB41EA">
        <w:rPr>
          <w:sz w:val="20"/>
          <w:lang w:val="en-GB"/>
        </w:rPr>
        <w:t>.</w:t>
      </w:r>
      <w:r w:rsidR="006516EA" w:rsidRPr="00FB41EA">
        <w:rPr>
          <w:sz w:val="20"/>
          <w:lang w:val="en-GB"/>
        </w:rPr>
        <w:t xml:space="preserve"> During the expert evaluation, the operational programme measures </w:t>
      </w:r>
      <w:proofErr w:type="gramStart"/>
      <w:r w:rsidR="004C7EB1">
        <w:rPr>
          <w:sz w:val="20"/>
          <w:lang w:val="en-GB"/>
        </w:rPr>
        <w:t>were</w:t>
      </w:r>
      <w:r w:rsidR="006516EA" w:rsidRPr="00FB41EA">
        <w:rPr>
          <w:sz w:val="20"/>
          <w:lang w:val="en-GB"/>
        </w:rPr>
        <w:t xml:space="preserve"> linked</w:t>
      </w:r>
      <w:proofErr w:type="gramEnd"/>
      <w:r w:rsidR="006516EA" w:rsidRPr="00FB41EA">
        <w:rPr>
          <w:sz w:val="20"/>
          <w:lang w:val="en-GB"/>
        </w:rPr>
        <w:t xml:space="preserve"> to sustainable development goals and </w:t>
      </w:r>
      <w:r w:rsidR="00190FC9" w:rsidRPr="00FB41EA">
        <w:rPr>
          <w:sz w:val="20"/>
          <w:lang w:val="en-GB"/>
        </w:rPr>
        <w:t xml:space="preserve">strategic context indicators </w:t>
      </w:r>
      <w:r w:rsidR="000B39B6" w:rsidRPr="00FB41EA">
        <w:rPr>
          <w:sz w:val="20"/>
          <w:lang w:val="en-GB"/>
        </w:rPr>
        <w:t xml:space="preserve">of </w:t>
      </w:r>
      <w:r w:rsidR="006516EA" w:rsidRPr="00FB41EA">
        <w:rPr>
          <w:sz w:val="20"/>
          <w:lang w:val="en-GB"/>
        </w:rPr>
        <w:t xml:space="preserve">sustainable development (including eco-efficiency) </w:t>
      </w:r>
      <w:r w:rsidR="00190FC9" w:rsidRPr="00FB41EA">
        <w:rPr>
          <w:sz w:val="20"/>
          <w:lang w:val="en-GB"/>
        </w:rPr>
        <w:t>as well as</w:t>
      </w:r>
      <w:r w:rsidR="006516EA" w:rsidRPr="00FB41EA">
        <w:rPr>
          <w:sz w:val="20"/>
          <w:lang w:val="en-GB"/>
        </w:rPr>
        <w:t xml:space="preserve"> </w:t>
      </w:r>
      <w:r w:rsidR="00190FC9" w:rsidRPr="00FB41EA">
        <w:rPr>
          <w:sz w:val="20"/>
          <w:lang w:val="en-GB"/>
        </w:rPr>
        <w:t>operational</w:t>
      </w:r>
      <w:r w:rsidR="006516EA" w:rsidRPr="00FB41EA">
        <w:rPr>
          <w:sz w:val="20"/>
          <w:lang w:val="en-GB"/>
        </w:rPr>
        <w:t xml:space="preserve"> programme</w:t>
      </w:r>
      <w:r w:rsidR="000B39B6" w:rsidRPr="00FB41EA">
        <w:rPr>
          <w:sz w:val="20"/>
          <w:lang w:val="en-GB"/>
        </w:rPr>
        <w:t xml:space="preserve">s, designated for assessing them. </w:t>
      </w:r>
      <w:r w:rsidR="009C6963" w:rsidRPr="00FB41EA">
        <w:rPr>
          <w:b/>
          <w:color w:val="81BC00"/>
          <w:sz w:val="20"/>
          <w:szCs w:val="20"/>
          <w:lang w:val="en-GB"/>
        </w:rPr>
        <w:t xml:space="preserve">The allocation of the </w:t>
      </w:r>
      <w:r w:rsidR="0088266E" w:rsidRPr="00FB41EA">
        <w:rPr>
          <w:b/>
          <w:color w:val="81BC00"/>
          <w:sz w:val="20"/>
          <w:szCs w:val="20"/>
          <w:lang w:val="en-GB"/>
        </w:rPr>
        <w:t xml:space="preserve">2007–2013 </w:t>
      </w:r>
      <w:r w:rsidR="009C6963" w:rsidRPr="00FB41EA">
        <w:rPr>
          <w:b/>
          <w:color w:val="81BC00"/>
          <w:sz w:val="20"/>
          <w:szCs w:val="20"/>
          <w:lang w:val="en-GB"/>
        </w:rPr>
        <w:t xml:space="preserve">EU structural assistance measures to different types of capital </w:t>
      </w:r>
      <w:proofErr w:type="gramStart"/>
      <w:r w:rsidR="009C6963" w:rsidRPr="00FB41EA">
        <w:rPr>
          <w:b/>
          <w:color w:val="81BC00"/>
          <w:sz w:val="20"/>
          <w:szCs w:val="20"/>
          <w:lang w:val="en-GB"/>
        </w:rPr>
        <w:t>is provided</w:t>
      </w:r>
      <w:proofErr w:type="gramEnd"/>
      <w:r w:rsidR="009C6963" w:rsidRPr="00FB41EA">
        <w:rPr>
          <w:b/>
          <w:color w:val="81BC00"/>
          <w:sz w:val="20"/>
          <w:szCs w:val="20"/>
          <w:lang w:val="en-GB"/>
        </w:rPr>
        <w:t xml:space="preserve"> in Annex 6 to this Report</w:t>
      </w:r>
      <w:r w:rsidR="009C6963" w:rsidRPr="00FB41EA">
        <w:rPr>
          <w:sz w:val="20"/>
          <w:szCs w:val="20"/>
          <w:lang w:val="en-GB"/>
        </w:rPr>
        <w:t xml:space="preserve">. The same Annex provides </w:t>
      </w:r>
      <w:r w:rsidR="00A12CEC" w:rsidRPr="00FB41EA">
        <w:rPr>
          <w:sz w:val="20"/>
          <w:szCs w:val="20"/>
          <w:lang w:val="en-GB"/>
        </w:rPr>
        <w:t xml:space="preserve">the links between the measures and separate sustainable development and </w:t>
      </w:r>
      <w:r w:rsidR="003D76BE" w:rsidRPr="00FB41EA">
        <w:rPr>
          <w:sz w:val="20"/>
          <w:szCs w:val="20"/>
          <w:lang w:val="en-GB"/>
        </w:rPr>
        <w:t>strategic context indicators</w:t>
      </w:r>
      <w:r w:rsidR="0088266E" w:rsidRPr="00FB41EA">
        <w:rPr>
          <w:sz w:val="20"/>
          <w:szCs w:val="20"/>
          <w:lang w:val="en-GB"/>
        </w:rPr>
        <w:t>.</w:t>
      </w:r>
    </w:p>
    <w:p w14:paraId="50BAE77C" w14:textId="7DA59BE2" w:rsidR="0088266E" w:rsidRPr="00FB41EA" w:rsidRDefault="002F13E3" w:rsidP="0088266E">
      <w:pPr>
        <w:spacing w:line="240" w:lineRule="auto"/>
        <w:jc w:val="both"/>
        <w:rPr>
          <w:sz w:val="20"/>
          <w:szCs w:val="20"/>
          <w:lang w:val="en-GB"/>
        </w:rPr>
      </w:pPr>
      <w:r w:rsidRPr="00FB41EA">
        <w:rPr>
          <w:sz w:val="20"/>
          <w:szCs w:val="20"/>
          <w:lang w:val="en-GB"/>
        </w:rPr>
        <w:t>T</w:t>
      </w:r>
      <w:r w:rsidR="009842D6" w:rsidRPr="00FB41EA">
        <w:rPr>
          <w:sz w:val="20"/>
          <w:szCs w:val="20"/>
          <w:lang w:val="en-GB"/>
        </w:rPr>
        <w:t xml:space="preserve">he impact of all 2007–2013 projects on sustainable development </w:t>
      </w:r>
      <w:proofErr w:type="gramStart"/>
      <w:r w:rsidR="009842D6" w:rsidRPr="00FB41EA">
        <w:rPr>
          <w:sz w:val="20"/>
          <w:szCs w:val="20"/>
          <w:lang w:val="en-GB"/>
        </w:rPr>
        <w:t>was evaluated</w:t>
      </w:r>
      <w:proofErr w:type="gramEnd"/>
      <w:r w:rsidR="009842D6" w:rsidRPr="00FB41EA">
        <w:rPr>
          <w:sz w:val="20"/>
          <w:szCs w:val="20"/>
          <w:lang w:val="en-GB"/>
        </w:rPr>
        <w:t xml:space="preserve"> as early as in the stage of performing the </w:t>
      </w:r>
      <w:r w:rsidR="00047C07" w:rsidRPr="00FB41EA">
        <w:rPr>
          <w:sz w:val="20"/>
          <w:szCs w:val="20"/>
          <w:lang w:val="en-GB"/>
        </w:rPr>
        <w:t xml:space="preserve">financing </w:t>
      </w:r>
      <w:r w:rsidR="009842D6" w:rsidRPr="00FB41EA">
        <w:rPr>
          <w:sz w:val="20"/>
          <w:szCs w:val="20"/>
          <w:lang w:val="en-GB"/>
        </w:rPr>
        <w:t>eligibility assessment of project applications</w:t>
      </w:r>
      <w:r w:rsidR="0088266E" w:rsidRPr="00FB41EA">
        <w:rPr>
          <w:sz w:val="20"/>
          <w:szCs w:val="20"/>
          <w:lang w:val="en-GB"/>
        </w:rPr>
        <w:t xml:space="preserve">, </w:t>
      </w:r>
      <w:r w:rsidR="00211C6B" w:rsidRPr="00FB41EA">
        <w:rPr>
          <w:sz w:val="20"/>
          <w:szCs w:val="20"/>
          <w:lang w:val="en-GB"/>
        </w:rPr>
        <w:t xml:space="preserve">and projects with potential negative </w:t>
      </w:r>
      <w:r w:rsidRPr="00FB41EA">
        <w:rPr>
          <w:sz w:val="20"/>
          <w:szCs w:val="20"/>
          <w:lang w:val="en-GB"/>
        </w:rPr>
        <w:t>impact were not considered. Therefore, i</w:t>
      </w:r>
      <w:r w:rsidR="002B2C59" w:rsidRPr="00FB41EA">
        <w:rPr>
          <w:sz w:val="20"/>
          <w:szCs w:val="20"/>
          <w:lang w:val="en-GB"/>
        </w:rPr>
        <w:t xml:space="preserve">t </w:t>
      </w:r>
      <w:proofErr w:type="gramStart"/>
      <w:r w:rsidR="002B2C59" w:rsidRPr="00FB41EA">
        <w:rPr>
          <w:sz w:val="20"/>
          <w:szCs w:val="20"/>
          <w:lang w:val="en-GB"/>
        </w:rPr>
        <w:t>can be assumed</w:t>
      </w:r>
      <w:proofErr w:type="gramEnd"/>
      <w:r w:rsidR="002B2C59" w:rsidRPr="00FB41EA">
        <w:rPr>
          <w:sz w:val="20"/>
          <w:szCs w:val="20"/>
          <w:lang w:val="en-GB"/>
        </w:rPr>
        <w:t xml:space="preserve"> that all 2007–2013 investments had a neutral or positive impact on sustainable development in Lithuania </w:t>
      </w:r>
      <w:r w:rsidRPr="00FB41EA">
        <w:rPr>
          <w:sz w:val="20"/>
          <w:szCs w:val="20"/>
          <w:lang w:val="en-GB"/>
        </w:rPr>
        <w:t>on the operational (project/programme) level.</w:t>
      </w:r>
      <w:r w:rsidR="0088266E" w:rsidRPr="00FB41EA">
        <w:rPr>
          <w:sz w:val="20"/>
          <w:szCs w:val="20"/>
          <w:lang w:val="en-GB"/>
        </w:rPr>
        <w:t xml:space="preserve"> </w:t>
      </w:r>
    </w:p>
    <w:p w14:paraId="2D4F540B" w14:textId="7A25CF1A" w:rsidR="0088266E" w:rsidRPr="00FB41EA" w:rsidRDefault="000A2542" w:rsidP="0088266E">
      <w:pPr>
        <w:spacing w:line="240" w:lineRule="auto"/>
        <w:jc w:val="both"/>
        <w:rPr>
          <w:sz w:val="20"/>
          <w:szCs w:val="20"/>
          <w:lang w:val="en-GB"/>
        </w:rPr>
      </w:pPr>
      <w:r w:rsidRPr="00FB41EA">
        <w:rPr>
          <w:sz w:val="20"/>
          <w:szCs w:val="20"/>
          <w:lang w:val="en-GB"/>
        </w:rPr>
        <w:t xml:space="preserve">Having performed the PFTM analysis (the results </w:t>
      </w:r>
      <w:proofErr w:type="gramStart"/>
      <w:r w:rsidRPr="00FB41EA">
        <w:rPr>
          <w:sz w:val="20"/>
          <w:szCs w:val="20"/>
          <w:lang w:val="en-GB"/>
        </w:rPr>
        <w:t>are provided</w:t>
      </w:r>
      <w:proofErr w:type="gramEnd"/>
      <w:r w:rsidRPr="00FB41EA">
        <w:rPr>
          <w:sz w:val="20"/>
          <w:szCs w:val="20"/>
          <w:lang w:val="en-GB"/>
        </w:rPr>
        <w:t xml:space="preserve"> in Annex 7 of the Report),</w:t>
      </w:r>
      <w:r w:rsidR="0088266E" w:rsidRPr="00FB41EA">
        <w:rPr>
          <w:sz w:val="20"/>
          <w:szCs w:val="20"/>
          <w:lang w:val="en-GB"/>
        </w:rPr>
        <w:t xml:space="preserve"> </w:t>
      </w:r>
      <w:r w:rsidRPr="00FB41EA">
        <w:rPr>
          <w:b/>
          <w:color w:val="81BC00"/>
          <w:sz w:val="20"/>
          <w:lang w:val="en-GB"/>
        </w:rPr>
        <w:t xml:space="preserve">measures having direct and indirect impact on sustainable development </w:t>
      </w:r>
      <w:r w:rsidRPr="00FB41EA">
        <w:rPr>
          <w:sz w:val="20"/>
          <w:szCs w:val="20"/>
          <w:lang w:val="en-GB"/>
        </w:rPr>
        <w:t>were identified</w:t>
      </w:r>
      <w:r w:rsidR="0088266E" w:rsidRPr="00FB41EA">
        <w:rPr>
          <w:sz w:val="20"/>
          <w:szCs w:val="20"/>
          <w:lang w:val="en-GB"/>
        </w:rPr>
        <w:t xml:space="preserve">. </w:t>
      </w:r>
      <w:r w:rsidR="00994749" w:rsidRPr="00FB41EA">
        <w:rPr>
          <w:sz w:val="20"/>
          <w:szCs w:val="20"/>
          <w:lang w:val="en-GB"/>
        </w:rPr>
        <w:t xml:space="preserve">The measures of the EU structural funds, which </w:t>
      </w:r>
      <w:r w:rsidR="006867E9" w:rsidRPr="00FB41EA">
        <w:rPr>
          <w:sz w:val="20"/>
          <w:szCs w:val="20"/>
          <w:lang w:val="en-GB"/>
        </w:rPr>
        <w:t xml:space="preserve">integrate the horizontal priority of sustainable development vertically, </w:t>
      </w:r>
      <w:proofErr w:type="gramStart"/>
      <w:r w:rsidR="004C7EB1">
        <w:rPr>
          <w:sz w:val="20"/>
          <w:szCs w:val="20"/>
          <w:lang w:val="en-GB"/>
        </w:rPr>
        <w:t>were</w:t>
      </w:r>
      <w:r w:rsidR="006867E9" w:rsidRPr="00FB41EA">
        <w:rPr>
          <w:sz w:val="20"/>
          <w:szCs w:val="20"/>
          <w:lang w:val="en-GB"/>
        </w:rPr>
        <w:t xml:space="preserve"> considered</w:t>
      </w:r>
      <w:proofErr w:type="gramEnd"/>
      <w:r w:rsidR="006867E9" w:rsidRPr="00FB41EA">
        <w:rPr>
          <w:sz w:val="20"/>
          <w:szCs w:val="20"/>
          <w:lang w:val="en-GB"/>
        </w:rPr>
        <w:t xml:space="preserve"> to have direct impact on </w:t>
      </w:r>
      <w:r w:rsidR="00E00217" w:rsidRPr="00FB41EA">
        <w:rPr>
          <w:sz w:val="20"/>
          <w:szCs w:val="20"/>
          <w:lang w:val="en-GB"/>
        </w:rPr>
        <w:t>sustainable development</w:t>
      </w:r>
      <w:r w:rsidR="0088266E" w:rsidRPr="00FB41EA">
        <w:rPr>
          <w:sz w:val="20"/>
          <w:szCs w:val="20"/>
          <w:lang w:val="en-GB"/>
        </w:rPr>
        <w:t>.</w:t>
      </w:r>
      <w:r w:rsidR="00E00217" w:rsidRPr="00FB41EA">
        <w:rPr>
          <w:sz w:val="20"/>
          <w:szCs w:val="20"/>
          <w:lang w:val="en-GB"/>
        </w:rPr>
        <w:t xml:space="preserve"> The measures of the EU structural funds, which integrate the horizontal priority of sustainable development horizontally or </w:t>
      </w:r>
      <w:r w:rsidR="00026BBB" w:rsidRPr="00FB41EA">
        <w:rPr>
          <w:sz w:val="20"/>
          <w:szCs w:val="20"/>
          <w:lang w:val="en-GB"/>
        </w:rPr>
        <w:t xml:space="preserve">horizontally </w:t>
      </w:r>
      <w:r w:rsidR="00900028" w:rsidRPr="00FB41EA">
        <w:rPr>
          <w:sz w:val="20"/>
          <w:szCs w:val="20"/>
          <w:lang w:val="en-GB"/>
        </w:rPr>
        <w:t>while</w:t>
      </w:r>
      <w:r w:rsidR="00026BBB" w:rsidRPr="00FB41EA">
        <w:rPr>
          <w:sz w:val="20"/>
          <w:szCs w:val="20"/>
          <w:lang w:val="en-GB"/>
        </w:rPr>
        <w:t xml:space="preserve"> also incorporating additional proactive measures in a specific area,</w:t>
      </w:r>
      <w:r w:rsidR="0088266E" w:rsidRPr="00FB41EA">
        <w:rPr>
          <w:sz w:val="20"/>
          <w:szCs w:val="20"/>
          <w:lang w:val="en-GB"/>
        </w:rPr>
        <w:t xml:space="preserve"> </w:t>
      </w:r>
      <w:proofErr w:type="gramStart"/>
      <w:r w:rsidR="004C7EB1">
        <w:rPr>
          <w:sz w:val="20"/>
          <w:szCs w:val="20"/>
          <w:lang w:val="en-GB"/>
        </w:rPr>
        <w:t>were</w:t>
      </w:r>
      <w:r w:rsidR="00026BBB" w:rsidRPr="00FB41EA">
        <w:rPr>
          <w:sz w:val="20"/>
          <w:szCs w:val="20"/>
          <w:lang w:val="en-GB"/>
        </w:rPr>
        <w:t xml:space="preserve"> considered</w:t>
      </w:r>
      <w:proofErr w:type="gramEnd"/>
      <w:r w:rsidR="00026BBB" w:rsidRPr="00FB41EA">
        <w:rPr>
          <w:sz w:val="20"/>
          <w:szCs w:val="20"/>
          <w:lang w:val="en-GB"/>
        </w:rPr>
        <w:t xml:space="preserve"> to have </w:t>
      </w:r>
      <w:r w:rsidR="00900028" w:rsidRPr="00FB41EA">
        <w:rPr>
          <w:sz w:val="20"/>
          <w:szCs w:val="20"/>
          <w:lang w:val="en-GB"/>
        </w:rPr>
        <w:t>in</w:t>
      </w:r>
      <w:r w:rsidR="00026BBB" w:rsidRPr="00FB41EA">
        <w:rPr>
          <w:sz w:val="20"/>
          <w:szCs w:val="20"/>
          <w:lang w:val="en-GB"/>
        </w:rPr>
        <w:t>direct impact on sustainable development</w:t>
      </w:r>
      <w:r w:rsidR="0088266E" w:rsidRPr="00FB41EA">
        <w:rPr>
          <w:sz w:val="20"/>
          <w:szCs w:val="20"/>
          <w:lang w:val="en-GB"/>
        </w:rPr>
        <w:t xml:space="preserve">. </w:t>
      </w:r>
    </w:p>
    <w:p w14:paraId="5757F539" w14:textId="2C6BEDE2" w:rsidR="00B27960" w:rsidRPr="00FB41EA" w:rsidRDefault="00E54C72" w:rsidP="00B27960">
      <w:pPr>
        <w:pStyle w:val="CommentText"/>
        <w:jc w:val="both"/>
        <w:rPr>
          <w:lang w:val="en-GB"/>
        </w:rPr>
      </w:pPr>
      <w:r w:rsidRPr="00FB41EA">
        <w:rPr>
          <w:lang w:val="en-GB"/>
        </w:rPr>
        <w:t>The evaluation identifie</w:t>
      </w:r>
      <w:r w:rsidR="004C7EB1">
        <w:rPr>
          <w:lang w:val="en-GB"/>
        </w:rPr>
        <w:t>d</w:t>
      </w:r>
      <w:r w:rsidRPr="00FB41EA">
        <w:rPr>
          <w:lang w:val="en-GB"/>
        </w:rPr>
        <w:t xml:space="preserve"> that all </w:t>
      </w:r>
      <w:r w:rsidR="00D71109" w:rsidRPr="00FB41EA">
        <w:rPr>
          <w:lang w:val="en-GB"/>
        </w:rPr>
        <w:t xml:space="preserve">the following OPEG measures contributed directly to the horizontal priority of sustainable development: </w:t>
      </w:r>
      <w:r w:rsidR="0088266E" w:rsidRPr="00FB41EA">
        <w:rPr>
          <w:lang w:val="en-GB"/>
        </w:rPr>
        <w:t xml:space="preserve">2.4. </w:t>
      </w:r>
      <w:proofErr w:type="gramStart"/>
      <w:r w:rsidR="00D71109" w:rsidRPr="00FB41EA">
        <w:rPr>
          <w:lang w:val="en-GB"/>
        </w:rPr>
        <w:t>priority</w:t>
      </w:r>
      <w:proofErr w:type="gramEnd"/>
      <w:r w:rsidR="00797AB7" w:rsidRPr="00FB41EA">
        <w:rPr>
          <w:lang w:val="en-GB"/>
        </w:rPr>
        <w:t>,</w:t>
      </w:r>
      <w:r w:rsidR="0088266E" w:rsidRPr="00FB41EA">
        <w:rPr>
          <w:lang w:val="en-GB"/>
        </w:rPr>
        <w:t xml:space="preserve"> </w:t>
      </w:r>
      <w:r w:rsidR="00F00FFB" w:rsidRPr="00FB41EA">
        <w:rPr>
          <w:lang w:val="en-GB"/>
        </w:rPr>
        <w:t>“Basic Economic Infrastructure”</w:t>
      </w:r>
      <w:r w:rsidR="009469DA" w:rsidRPr="00FB41EA">
        <w:rPr>
          <w:lang w:val="en-GB"/>
        </w:rPr>
        <w:t>;</w:t>
      </w:r>
      <w:r w:rsidR="0088266E" w:rsidRPr="00FB41EA">
        <w:rPr>
          <w:lang w:val="en-GB"/>
        </w:rPr>
        <w:t xml:space="preserve"> </w:t>
      </w:r>
      <w:r w:rsidR="00C33F0F" w:rsidRPr="00FB41EA">
        <w:rPr>
          <w:lang w:val="en-GB"/>
        </w:rPr>
        <w:t xml:space="preserve">measures of the </w:t>
      </w:r>
      <w:r w:rsidR="0088266E" w:rsidRPr="00FB41EA">
        <w:rPr>
          <w:lang w:val="en-GB"/>
        </w:rPr>
        <w:t xml:space="preserve">2.5. </w:t>
      </w:r>
      <w:proofErr w:type="gramStart"/>
      <w:r w:rsidR="009469DA" w:rsidRPr="00FB41EA">
        <w:rPr>
          <w:lang w:val="en-GB"/>
        </w:rPr>
        <w:t>priority</w:t>
      </w:r>
      <w:proofErr w:type="gramEnd"/>
      <w:r w:rsidR="00797AB7" w:rsidRPr="00FB41EA">
        <w:rPr>
          <w:lang w:val="en-GB"/>
        </w:rPr>
        <w:t>,</w:t>
      </w:r>
      <w:r w:rsidR="009469DA" w:rsidRPr="00FB41EA">
        <w:rPr>
          <w:lang w:val="en-GB"/>
        </w:rPr>
        <w:t xml:space="preserve"> </w:t>
      </w:r>
      <w:r w:rsidR="004D64A1" w:rsidRPr="00FB41EA">
        <w:rPr>
          <w:lang w:val="en-GB"/>
        </w:rPr>
        <w:t xml:space="preserve">“Trans-European Transport Network Development” </w:t>
      </w:r>
      <w:r w:rsidR="009469DA" w:rsidRPr="00FB41EA">
        <w:rPr>
          <w:lang w:val="en-GB"/>
        </w:rPr>
        <w:t xml:space="preserve">and part of the </w:t>
      </w:r>
      <w:r w:rsidR="00C33F0F" w:rsidRPr="00FB41EA">
        <w:rPr>
          <w:lang w:val="en-GB"/>
        </w:rPr>
        <w:t xml:space="preserve">OPPC measures </w:t>
      </w:r>
      <w:r w:rsidR="004D64A1" w:rsidRPr="00FB41EA">
        <w:rPr>
          <w:lang w:val="en-GB"/>
        </w:rPr>
        <w:t xml:space="preserve">of the </w:t>
      </w:r>
      <w:r w:rsidR="0088266E" w:rsidRPr="00FB41EA">
        <w:rPr>
          <w:lang w:val="en-GB"/>
        </w:rPr>
        <w:t xml:space="preserve">3.1. </w:t>
      </w:r>
      <w:proofErr w:type="gramStart"/>
      <w:r w:rsidR="009469DA" w:rsidRPr="00FB41EA">
        <w:rPr>
          <w:lang w:val="en-GB"/>
        </w:rPr>
        <w:t>priority</w:t>
      </w:r>
      <w:proofErr w:type="gramEnd"/>
      <w:r w:rsidR="00797AB7" w:rsidRPr="00FB41EA">
        <w:rPr>
          <w:lang w:val="en-GB"/>
        </w:rPr>
        <w:t>,</w:t>
      </w:r>
      <w:r w:rsidR="009469DA" w:rsidRPr="00FB41EA">
        <w:rPr>
          <w:lang w:val="en-GB"/>
        </w:rPr>
        <w:t xml:space="preserve"> </w:t>
      </w:r>
      <w:r w:rsidR="00B41B3E" w:rsidRPr="00FB41EA">
        <w:rPr>
          <w:lang w:val="en-GB"/>
        </w:rPr>
        <w:t xml:space="preserve">“Local and Urban Development; Preservation of Cultural Heritage and Environment as well as Adaptation </w:t>
      </w:r>
      <w:r w:rsidR="00B41B3E" w:rsidRPr="00FB41EA">
        <w:rPr>
          <w:lang w:val="en-GB"/>
        </w:rPr>
        <w:lastRenderedPageBreak/>
        <w:t>for Tourism Development”</w:t>
      </w:r>
      <w:r w:rsidR="00740620">
        <w:rPr>
          <w:lang w:val="en-GB"/>
        </w:rPr>
        <w:t>;</w:t>
      </w:r>
      <w:r w:rsidR="00B41B3E" w:rsidRPr="00FB41EA">
        <w:rPr>
          <w:lang w:val="en-GB"/>
        </w:rPr>
        <w:t xml:space="preserve"> </w:t>
      </w:r>
      <w:r w:rsidR="00C33F0F" w:rsidRPr="00FB41EA">
        <w:rPr>
          <w:lang w:val="en-GB"/>
        </w:rPr>
        <w:t>and</w:t>
      </w:r>
      <w:r w:rsidR="0088266E" w:rsidRPr="00FB41EA">
        <w:rPr>
          <w:lang w:val="en-GB"/>
        </w:rPr>
        <w:t xml:space="preserve"> </w:t>
      </w:r>
      <w:r w:rsidR="004D64A1" w:rsidRPr="00FB41EA">
        <w:rPr>
          <w:lang w:val="en-GB"/>
        </w:rPr>
        <w:t xml:space="preserve">the </w:t>
      </w:r>
      <w:r w:rsidR="0088266E" w:rsidRPr="00FB41EA">
        <w:rPr>
          <w:lang w:val="en-GB"/>
        </w:rPr>
        <w:t xml:space="preserve">3.3. </w:t>
      </w:r>
      <w:proofErr w:type="gramStart"/>
      <w:r w:rsidR="00B41B3E" w:rsidRPr="00FB41EA">
        <w:rPr>
          <w:lang w:val="en-GB"/>
        </w:rPr>
        <w:t>priority</w:t>
      </w:r>
      <w:proofErr w:type="gramEnd"/>
      <w:r w:rsidR="00797AB7" w:rsidRPr="00FB41EA">
        <w:rPr>
          <w:lang w:val="en-GB"/>
        </w:rPr>
        <w:t>,</w:t>
      </w:r>
      <w:r w:rsidR="00B41B3E" w:rsidRPr="00FB41EA">
        <w:rPr>
          <w:lang w:val="en-GB"/>
        </w:rPr>
        <w:t xml:space="preserve"> “Environment and Sustainable Development”</w:t>
      </w:r>
      <w:r w:rsidR="0088266E" w:rsidRPr="00FB41EA">
        <w:rPr>
          <w:lang w:val="en-GB"/>
        </w:rPr>
        <w:t>. Deta</w:t>
      </w:r>
      <w:r w:rsidR="00797AB7" w:rsidRPr="00FB41EA">
        <w:rPr>
          <w:lang w:val="en-GB"/>
        </w:rPr>
        <w:t xml:space="preserve">iled analysis of these priorities and measures </w:t>
      </w:r>
      <w:proofErr w:type="gramStart"/>
      <w:r w:rsidR="00797AB7" w:rsidRPr="00FB41EA">
        <w:rPr>
          <w:lang w:val="en-GB"/>
        </w:rPr>
        <w:t>is provided</w:t>
      </w:r>
      <w:proofErr w:type="gramEnd"/>
      <w:r w:rsidR="00797AB7" w:rsidRPr="00FB41EA">
        <w:rPr>
          <w:lang w:val="en-GB"/>
        </w:rPr>
        <w:t xml:space="preserve"> below. </w:t>
      </w:r>
    </w:p>
    <w:p w14:paraId="646773A1" w14:textId="6ADA82E3" w:rsidR="00DF3A09" w:rsidRPr="00FB41EA" w:rsidRDefault="00DD5519" w:rsidP="00DF3A09">
      <w:pPr>
        <w:spacing w:before="120"/>
        <w:jc w:val="both"/>
        <w:rPr>
          <w:sz w:val="20"/>
          <w:lang w:val="en-GB"/>
        </w:rPr>
      </w:pPr>
      <w:r w:rsidRPr="00FB41EA">
        <w:rPr>
          <w:sz w:val="20"/>
          <w:lang w:val="en-GB"/>
        </w:rPr>
        <w:t>C</w:t>
      </w:r>
      <w:r w:rsidR="008C5EE0" w:rsidRPr="00FB41EA">
        <w:rPr>
          <w:sz w:val="20"/>
          <w:lang w:val="en-GB"/>
        </w:rPr>
        <w:t xml:space="preserve">ase studies of </w:t>
      </w:r>
      <w:r w:rsidR="00DF3A09" w:rsidRPr="00FB41EA">
        <w:rPr>
          <w:sz w:val="20"/>
          <w:lang w:val="en-GB"/>
        </w:rPr>
        <w:t xml:space="preserve">2007–2013 </w:t>
      </w:r>
      <w:r w:rsidR="008C5EE0" w:rsidRPr="00FB41EA">
        <w:rPr>
          <w:sz w:val="20"/>
          <w:lang w:val="en-GB"/>
        </w:rPr>
        <w:t xml:space="preserve">target investments of the EU structural funds in 14 problem </w:t>
      </w:r>
      <w:r w:rsidR="00740620">
        <w:rPr>
          <w:sz w:val="20"/>
          <w:lang w:val="en-GB"/>
        </w:rPr>
        <w:t>territories</w:t>
      </w:r>
      <w:r w:rsidR="008C5EE0" w:rsidRPr="00FB41EA">
        <w:rPr>
          <w:sz w:val="20"/>
          <w:lang w:val="en-GB"/>
        </w:rPr>
        <w:t xml:space="preserve"> as well as regression analysis</w:t>
      </w:r>
      <w:r w:rsidRPr="00FB41EA">
        <w:rPr>
          <w:sz w:val="20"/>
          <w:lang w:val="en-GB"/>
        </w:rPr>
        <w:t xml:space="preserve"> ha</w:t>
      </w:r>
      <w:r w:rsidR="00740620">
        <w:rPr>
          <w:sz w:val="20"/>
          <w:lang w:val="en-GB"/>
        </w:rPr>
        <w:t>ve</w:t>
      </w:r>
      <w:r w:rsidR="00015658" w:rsidRPr="00FB41EA">
        <w:rPr>
          <w:sz w:val="20"/>
          <w:lang w:val="en-GB"/>
        </w:rPr>
        <w:t xml:space="preserve"> identified that</w:t>
      </w:r>
      <w:r w:rsidR="00DF3A09" w:rsidRPr="00FB41EA">
        <w:rPr>
          <w:sz w:val="20"/>
          <w:lang w:val="en-GB"/>
        </w:rPr>
        <w:t xml:space="preserve"> </w:t>
      </w:r>
      <w:r w:rsidR="00015658" w:rsidRPr="00FB41EA">
        <w:rPr>
          <w:b/>
          <w:color w:val="81BC00"/>
          <w:sz w:val="20"/>
          <w:lang w:val="en-GB"/>
        </w:rPr>
        <w:t xml:space="preserve">the </w:t>
      </w:r>
      <w:r w:rsidR="003B47EF" w:rsidRPr="00FB41EA">
        <w:rPr>
          <w:b/>
          <w:color w:val="81BC00"/>
          <w:sz w:val="20"/>
          <w:lang w:val="en-GB"/>
        </w:rPr>
        <w:t xml:space="preserve">EU structural assistance measures had the greatest impact on </w:t>
      </w:r>
      <w:r w:rsidR="00FE30EF" w:rsidRPr="00FB41EA">
        <w:rPr>
          <w:b/>
          <w:color w:val="81BC00"/>
          <w:sz w:val="20"/>
          <w:lang w:val="en-GB"/>
        </w:rPr>
        <w:t xml:space="preserve">the resources of </w:t>
      </w:r>
      <w:r w:rsidR="000201E5">
        <w:rPr>
          <w:b/>
          <w:color w:val="81BC00"/>
          <w:sz w:val="20"/>
          <w:lang w:val="en-GB"/>
        </w:rPr>
        <w:t>manufactured</w:t>
      </w:r>
      <w:r w:rsidR="00FE30EF" w:rsidRPr="00FB41EA">
        <w:rPr>
          <w:b/>
          <w:color w:val="81BC00"/>
          <w:sz w:val="20"/>
          <w:lang w:val="en-GB"/>
        </w:rPr>
        <w:t xml:space="preserve"> and </w:t>
      </w:r>
      <w:r w:rsidR="000201E5">
        <w:rPr>
          <w:b/>
          <w:color w:val="81BC00"/>
          <w:sz w:val="20"/>
          <w:lang w:val="en-GB"/>
        </w:rPr>
        <w:t>natural</w:t>
      </w:r>
      <w:r w:rsidR="00FE30EF" w:rsidRPr="00FB41EA">
        <w:rPr>
          <w:b/>
          <w:color w:val="81BC00"/>
          <w:sz w:val="20"/>
          <w:lang w:val="en-GB"/>
        </w:rPr>
        <w:t xml:space="preserve"> capital</w:t>
      </w:r>
      <w:r w:rsidR="00FE30EF" w:rsidRPr="00FB41EA">
        <w:rPr>
          <w:sz w:val="20"/>
          <w:lang w:val="en-GB"/>
        </w:rPr>
        <w:t xml:space="preserve">. </w:t>
      </w:r>
      <w:r w:rsidR="00552915" w:rsidRPr="00FB41EA">
        <w:rPr>
          <w:sz w:val="20"/>
          <w:lang w:val="en-GB"/>
        </w:rPr>
        <w:t xml:space="preserve">This </w:t>
      </w:r>
      <w:r w:rsidR="00740620">
        <w:rPr>
          <w:sz w:val="20"/>
          <w:lang w:val="en-GB"/>
        </w:rPr>
        <w:t xml:space="preserve">conclusion </w:t>
      </w:r>
      <w:r w:rsidR="00552915" w:rsidRPr="00FB41EA">
        <w:rPr>
          <w:sz w:val="20"/>
          <w:lang w:val="en-GB"/>
        </w:rPr>
        <w:t xml:space="preserve">is also consistent with the scope of investments in </w:t>
      </w:r>
      <w:r w:rsidR="000201E5">
        <w:rPr>
          <w:sz w:val="20"/>
          <w:lang w:val="en-GB"/>
        </w:rPr>
        <w:t>manufactured</w:t>
      </w:r>
      <w:r w:rsidR="00424F21" w:rsidRPr="00FB41EA">
        <w:rPr>
          <w:sz w:val="20"/>
          <w:lang w:val="en-GB"/>
        </w:rPr>
        <w:t xml:space="preserve"> and </w:t>
      </w:r>
      <w:r w:rsidR="000201E5">
        <w:rPr>
          <w:sz w:val="20"/>
          <w:lang w:val="en-GB"/>
        </w:rPr>
        <w:t>natural</w:t>
      </w:r>
      <w:r w:rsidR="00424F21" w:rsidRPr="00FB41EA">
        <w:rPr>
          <w:sz w:val="20"/>
          <w:lang w:val="en-GB"/>
        </w:rPr>
        <w:t xml:space="preserve"> capital during the period of </w:t>
      </w:r>
      <w:r w:rsidR="00DF3A09" w:rsidRPr="00FB41EA">
        <w:rPr>
          <w:sz w:val="20"/>
          <w:lang w:val="en-GB"/>
        </w:rPr>
        <w:t>2007–2013.</w:t>
      </w:r>
    </w:p>
    <w:p w14:paraId="6FCBE537" w14:textId="43881593" w:rsidR="00757C1C" w:rsidRPr="00FB41EA" w:rsidRDefault="00757C1C" w:rsidP="00757C1C">
      <w:pPr>
        <w:autoSpaceDE w:val="0"/>
        <w:autoSpaceDN w:val="0"/>
        <w:adjustRightInd w:val="0"/>
        <w:spacing w:before="120" w:after="120" w:line="240" w:lineRule="auto"/>
        <w:jc w:val="both"/>
        <w:rPr>
          <w:b/>
          <w:color w:val="81BC00"/>
          <w:sz w:val="20"/>
          <w:lang w:val="en-GB"/>
        </w:rPr>
      </w:pPr>
      <w:proofErr w:type="gramStart"/>
      <w:r w:rsidRPr="00FB41EA">
        <w:rPr>
          <w:b/>
          <w:color w:val="81BC00"/>
          <w:sz w:val="20"/>
          <w:lang w:val="en-GB"/>
        </w:rPr>
        <w:t xml:space="preserve">9.1.3. </w:t>
      </w:r>
      <w:r w:rsidR="0033436B" w:rsidRPr="00FB41EA">
        <w:rPr>
          <w:b/>
          <w:color w:val="81BC00"/>
          <w:sz w:val="20"/>
          <w:lang w:val="en-GB"/>
        </w:rPr>
        <w:t xml:space="preserve">Have proper measures and methods of implementing the horizontal priority of sustainable development been </w:t>
      </w:r>
      <w:r w:rsidR="00A92EAC" w:rsidRPr="00FB41EA">
        <w:rPr>
          <w:b/>
          <w:color w:val="81BC00"/>
          <w:sz w:val="20"/>
          <w:lang w:val="en-GB"/>
        </w:rPr>
        <w:t>selected</w:t>
      </w:r>
      <w:proofErr w:type="gramEnd"/>
      <w:r w:rsidR="00A92EAC" w:rsidRPr="00FB41EA">
        <w:rPr>
          <w:b/>
          <w:color w:val="81BC00"/>
          <w:sz w:val="20"/>
          <w:lang w:val="en-GB"/>
        </w:rPr>
        <w:t xml:space="preserve">? Why? </w:t>
      </w:r>
    </w:p>
    <w:p w14:paraId="7C25673D" w14:textId="7122C601" w:rsidR="00757C1C" w:rsidRPr="00FB41EA" w:rsidRDefault="00757C1C" w:rsidP="00757C1C">
      <w:pPr>
        <w:autoSpaceDE w:val="0"/>
        <w:autoSpaceDN w:val="0"/>
        <w:adjustRightInd w:val="0"/>
        <w:spacing w:before="120" w:after="0" w:line="240" w:lineRule="auto"/>
        <w:jc w:val="both"/>
        <w:rPr>
          <w:b/>
          <w:color w:val="81BC00"/>
          <w:sz w:val="20"/>
          <w:lang w:val="en-GB"/>
        </w:rPr>
      </w:pPr>
      <w:r w:rsidRPr="00FB41EA">
        <w:rPr>
          <w:b/>
          <w:color w:val="81BC00"/>
          <w:sz w:val="20"/>
          <w:lang w:val="en-GB"/>
        </w:rPr>
        <w:t xml:space="preserve">9.2.5. </w:t>
      </w:r>
      <w:r w:rsidR="00A92EAC" w:rsidRPr="00FB41EA">
        <w:rPr>
          <w:b/>
          <w:color w:val="81BC00"/>
          <w:sz w:val="20"/>
          <w:lang w:val="en-GB"/>
        </w:rPr>
        <w:t xml:space="preserve">What measures would be more suitable/effective with the purpose of implementing </w:t>
      </w:r>
      <w:r w:rsidR="00885FE6" w:rsidRPr="00FB41EA">
        <w:rPr>
          <w:b/>
          <w:color w:val="81BC00"/>
          <w:sz w:val="20"/>
          <w:lang w:val="en-GB"/>
        </w:rPr>
        <w:t xml:space="preserve">the </w:t>
      </w:r>
      <w:r w:rsidR="00A92EAC" w:rsidRPr="00FB41EA">
        <w:rPr>
          <w:b/>
          <w:color w:val="81BC00"/>
          <w:sz w:val="20"/>
          <w:lang w:val="en-GB"/>
        </w:rPr>
        <w:t>horizontal priority of sustainable development</w:t>
      </w:r>
      <w:r w:rsidRPr="00FB41EA">
        <w:rPr>
          <w:b/>
          <w:color w:val="81BC00"/>
          <w:sz w:val="20"/>
          <w:lang w:val="en-GB"/>
        </w:rPr>
        <w:t xml:space="preserve">? </w:t>
      </w:r>
      <w:r w:rsidR="00302BBA" w:rsidRPr="00FB41EA">
        <w:rPr>
          <w:b/>
          <w:color w:val="81BC00"/>
          <w:sz w:val="20"/>
          <w:lang w:val="en-GB"/>
        </w:rPr>
        <w:t>Why</w:t>
      </w:r>
      <w:r w:rsidRPr="00FB41EA">
        <w:rPr>
          <w:b/>
          <w:color w:val="81BC00"/>
          <w:sz w:val="20"/>
          <w:lang w:val="en-GB"/>
        </w:rPr>
        <w:t>?</w:t>
      </w:r>
    </w:p>
    <w:p w14:paraId="41F67D88" w14:textId="08148B6F" w:rsidR="00B27960" w:rsidRPr="00FB41EA" w:rsidRDefault="005C6165" w:rsidP="00A013B6">
      <w:pPr>
        <w:spacing w:before="120" w:line="240" w:lineRule="auto"/>
        <w:jc w:val="both"/>
        <w:rPr>
          <w:rFonts w:cs="Arial"/>
          <w:sz w:val="20"/>
          <w:szCs w:val="20"/>
          <w:lang w:val="en-GB"/>
        </w:rPr>
      </w:pPr>
      <w:proofErr w:type="gramStart"/>
      <w:r w:rsidRPr="00FB41EA">
        <w:rPr>
          <w:rFonts w:cs="Arial"/>
          <w:sz w:val="20"/>
          <w:szCs w:val="20"/>
          <w:lang w:val="en-GB"/>
        </w:rPr>
        <w:t>To efficiently implement</w:t>
      </w:r>
      <w:proofErr w:type="gramEnd"/>
      <w:r w:rsidRPr="00FB41EA">
        <w:rPr>
          <w:rFonts w:cs="Arial"/>
          <w:sz w:val="20"/>
          <w:szCs w:val="20"/>
          <w:lang w:val="en-GB"/>
        </w:rPr>
        <w:t xml:space="preserve"> sustainable development goals in the context of structural funds, </w:t>
      </w:r>
      <w:r w:rsidR="00BD40C5" w:rsidRPr="00FB41EA">
        <w:rPr>
          <w:rFonts w:cs="Arial"/>
          <w:sz w:val="20"/>
          <w:szCs w:val="20"/>
          <w:lang w:val="en-GB"/>
        </w:rPr>
        <w:t xml:space="preserve">three types of integration </w:t>
      </w:r>
      <w:r w:rsidR="005078C6" w:rsidRPr="00FB41EA">
        <w:rPr>
          <w:rFonts w:cs="Arial"/>
          <w:sz w:val="20"/>
          <w:szCs w:val="20"/>
          <w:lang w:val="en-GB"/>
        </w:rPr>
        <w:t>instruments</w:t>
      </w:r>
      <w:r w:rsidR="00BD40C5" w:rsidRPr="00FB41EA">
        <w:rPr>
          <w:rFonts w:cs="Arial"/>
          <w:sz w:val="20"/>
          <w:szCs w:val="20"/>
          <w:lang w:val="en-GB"/>
        </w:rPr>
        <w:t xml:space="preserve"> were applied throughout the whole programming and </w:t>
      </w:r>
      <w:r w:rsidR="00502388" w:rsidRPr="00FB41EA">
        <w:rPr>
          <w:rFonts w:cs="Arial"/>
          <w:sz w:val="20"/>
          <w:szCs w:val="20"/>
          <w:lang w:val="en-GB"/>
        </w:rPr>
        <w:t xml:space="preserve">project </w:t>
      </w:r>
      <w:r w:rsidR="00BD40C5" w:rsidRPr="00FB41EA">
        <w:rPr>
          <w:rFonts w:cs="Arial"/>
          <w:sz w:val="20"/>
          <w:szCs w:val="20"/>
          <w:lang w:val="en-GB"/>
        </w:rPr>
        <w:t xml:space="preserve">implementation </w:t>
      </w:r>
      <w:r w:rsidR="00502388" w:rsidRPr="00FB41EA">
        <w:rPr>
          <w:rFonts w:cs="Arial"/>
          <w:sz w:val="20"/>
          <w:szCs w:val="20"/>
          <w:lang w:val="en-GB"/>
        </w:rPr>
        <w:t xml:space="preserve">period: </w:t>
      </w:r>
      <w:r w:rsidR="00757C1C" w:rsidRPr="00FB41EA">
        <w:rPr>
          <w:b/>
          <w:color w:val="81BC00"/>
          <w:sz w:val="20"/>
          <w:szCs w:val="20"/>
          <w:lang w:val="en-GB"/>
        </w:rPr>
        <w:t>strategi</w:t>
      </w:r>
      <w:r w:rsidR="00502388" w:rsidRPr="00FB41EA">
        <w:rPr>
          <w:b/>
          <w:color w:val="81BC00"/>
          <w:sz w:val="20"/>
          <w:szCs w:val="20"/>
          <w:lang w:val="en-GB"/>
        </w:rPr>
        <w:t>c</w:t>
      </w:r>
      <w:r w:rsidR="00757C1C" w:rsidRPr="00FB41EA">
        <w:rPr>
          <w:b/>
          <w:color w:val="81BC00"/>
          <w:sz w:val="20"/>
          <w:szCs w:val="20"/>
          <w:lang w:val="en-GB"/>
        </w:rPr>
        <w:t xml:space="preserve">, </w:t>
      </w:r>
      <w:r w:rsidR="00502388" w:rsidRPr="00FB41EA">
        <w:rPr>
          <w:b/>
          <w:color w:val="81BC00"/>
          <w:sz w:val="20"/>
          <w:szCs w:val="20"/>
          <w:lang w:val="en-GB"/>
        </w:rPr>
        <w:t>procedural and organisational instruments</w:t>
      </w:r>
      <w:r w:rsidR="00757C1C" w:rsidRPr="00FB41EA">
        <w:rPr>
          <w:rFonts w:cs="Arial"/>
          <w:sz w:val="20"/>
          <w:szCs w:val="20"/>
          <w:lang w:val="en-GB"/>
        </w:rPr>
        <w:t>.</w:t>
      </w:r>
    </w:p>
    <w:p w14:paraId="283A9350" w14:textId="00A291D4" w:rsidR="00B27960" w:rsidRPr="00FB41EA" w:rsidRDefault="00B27960" w:rsidP="00B27960">
      <w:pPr>
        <w:spacing w:line="240" w:lineRule="auto"/>
        <w:jc w:val="both"/>
        <w:rPr>
          <w:rFonts w:cs="Arial"/>
          <w:sz w:val="20"/>
          <w:szCs w:val="20"/>
          <w:lang w:val="en-GB"/>
        </w:rPr>
      </w:pPr>
      <w:r w:rsidRPr="00FB41EA">
        <w:rPr>
          <w:b/>
          <w:color w:val="81BC00"/>
          <w:sz w:val="20"/>
          <w:szCs w:val="20"/>
          <w:lang w:val="en-GB"/>
        </w:rPr>
        <w:t>Strategi</w:t>
      </w:r>
      <w:r w:rsidR="00502388" w:rsidRPr="00FB41EA">
        <w:rPr>
          <w:b/>
          <w:color w:val="81BC00"/>
          <w:sz w:val="20"/>
          <w:szCs w:val="20"/>
          <w:lang w:val="en-GB"/>
        </w:rPr>
        <w:t xml:space="preserve">c instruments </w:t>
      </w:r>
      <w:r w:rsidR="00502388" w:rsidRPr="00FB41EA">
        <w:rPr>
          <w:rFonts w:cs="Arial"/>
          <w:sz w:val="20"/>
          <w:szCs w:val="20"/>
          <w:lang w:val="en-GB"/>
        </w:rPr>
        <w:t xml:space="preserve">assure accurate compliance and </w:t>
      </w:r>
      <w:r w:rsidR="005078C6" w:rsidRPr="00FB41EA">
        <w:rPr>
          <w:rFonts w:cs="Arial"/>
          <w:sz w:val="20"/>
          <w:szCs w:val="20"/>
          <w:lang w:val="en-GB"/>
        </w:rPr>
        <w:t>sustainability with the Cohesion policy programmes and determines adequate financing.</w:t>
      </w:r>
      <w:r w:rsidRPr="00FB41EA">
        <w:rPr>
          <w:rFonts w:cs="Arial"/>
          <w:sz w:val="20"/>
          <w:szCs w:val="20"/>
          <w:lang w:val="en-GB"/>
        </w:rPr>
        <w:t xml:space="preserve"> </w:t>
      </w:r>
      <w:r w:rsidR="005078C6" w:rsidRPr="00FB41EA">
        <w:rPr>
          <w:rFonts w:cs="Arial"/>
          <w:sz w:val="20"/>
          <w:szCs w:val="20"/>
          <w:lang w:val="en-GB"/>
        </w:rPr>
        <w:t xml:space="preserve">Those instruments help </w:t>
      </w:r>
      <w:r w:rsidR="00BE3909" w:rsidRPr="00FB41EA">
        <w:rPr>
          <w:rFonts w:cs="Arial"/>
          <w:sz w:val="20"/>
          <w:szCs w:val="20"/>
          <w:lang w:val="en-GB"/>
        </w:rPr>
        <w:t xml:space="preserve">to conceptualise a vision, objectives and strategies, the implementation of which </w:t>
      </w:r>
      <w:proofErr w:type="gramStart"/>
      <w:r w:rsidR="00BE3909" w:rsidRPr="00FB41EA">
        <w:rPr>
          <w:rFonts w:cs="Arial"/>
          <w:sz w:val="20"/>
          <w:szCs w:val="20"/>
          <w:lang w:val="en-GB"/>
        </w:rPr>
        <w:t>i</w:t>
      </w:r>
      <w:r w:rsidR="00740620">
        <w:rPr>
          <w:rFonts w:cs="Arial"/>
          <w:sz w:val="20"/>
          <w:szCs w:val="20"/>
          <w:lang w:val="en-GB"/>
        </w:rPr>
        <w:t>s</w:t>
      </w:r>
      <w:r w:rsidR="00BE3909" w:rsidRPr="00FB41EA">
        <w:rPr>
          <w:rFonts w:cs="Arial"/>
          <w:sz w:val="20"/>
          <w:szCs w:val="20"/>
          <w:lang w:val="en-GB"/>
        </w:rPr>
        <w:t xml:space="preserve"> left</w:t>
      </w:r>
      <w:proofErr w:type="gramEnd"/>
      <w:r w:rsidR="00BE3909" w:rsidRPr="00FB41EA">
        <w:rPr>
          <w:rFonts w:cs="Arial"/>
          <w:sz w:val="20"/>
          <w:szCs w:val="20"/>
          <w:lang w:val="en-GB"/>
        </w:rPr>
        <w:t xml:space="preserve"> to the responsibility of member states</w:t>
      </w:r>
      <w:r w:rsidRPr="00FB41EA">
        <w:rPr>
          <w:rFonts w:cs="Arial"/>
          <w:sz w:val="20"/>
          <w:szCs w:val="20"/>
          <w:lang w:val="en-GB"/>
        </w:rPr>
        <w:t>.</w:t>
      </w:r>
    </w:p>
    <w:p w14:paraId="6A3233C9" w14:textId="4149CB5C" w:rsidR="00757C1C" w:rsidRPr="00FB41EA" w:rsidRDefault="00757C1C" w:rsidP="00757C1C">
      <w:pPr>
        <w:spacing w:line="240" w:lineRule="auto"/>
        <w:jc w:val="both"/>
        <w:rPr>
          <w:rFonts w:cs="Arial"/>
          <w:sz w:val="20"/>
          <w:szCs w:val="20"/>
          <w:lang w:val="en-GB"/>
        </w:rPr>
      </w:pPr>
      <w:r w:rsidRPr="00FB41EA">
        <w:rPr>
          <w:b/>
          <w:color w:val="81BC00"/>
          <w:sz w:val="20"/>
          <w:szCs w:val="20"/>
          <w:lang w:val="en-GB"/>
        </w:rPr>
        <w:t>Proced</w:t>
      </w:r>
      <w:r w:rsidR="00E40BEF" w:rsidRPr="00FB41EA">
        <w:rPr>
          <w:b/>
          <w:color w:val="81BC00"/>
          <w:sz w:val="20"/>
          <w:szCs w:val="20"/>
          <w:lang w:val="en-GB"/>
        </w:rPr>
        <w:t xml:space="preserve">ural instruments </w:t>
      </w:r>
      <w:r w:rsidR="00E40BEF" w:rsidRPr="00FB41EA">
        <w:rPr>
          <w:rFonts w:cs="Arial"/>
          <w:sz w:val="20"/>
          <w:szCs w:val="20"/>
          <w:lang w:val="en-GB"/>
        </w:rPr>
        <w:t>cover evaluation, monitoring procedures and reporting. The purpose of those instruments is the improvement of policy-making procedures and operations.</w:t>
      </w:r>
      <w:r w:rsidR="009546C1" w:rsidRPr="00FB41EA">
        <w:rPr>
          <w:rFonts w:cs="Arial"/>
          <w:sz w:val="20"/>
          <w:szCs w:val="20"/>
          <w:lang w:val="en-GB"/>
        </w:rPr>
        <w:t xml:space="preserve"> However, the said instruments often face political </w:t>
      </w:r>
      <w:r w:rsidR="001905B0">
        <w:rPr>
          <w:rFonts w:cs="Arial"/>
          <w:sz w:val="20"/>
          <w:szCs w:val="20"/>
          <w:lang w:val="en-GB"/>
        </w:rPr>
        <w:t>resistance</w:t>
      </w:r>
      <w:r w:rsidR="009546C1" w:rsidRPr="00FB41EA">
        <w:rPr>
          <w:rFonts w:cs="Arial"/>
          <w:sz w:val="20"/>
          <w:szCs w:val="20"/>
          <w:lang w:val="en-GB"/>
        </w:rPr>
        <w:t xml:space="preserve"> and increase administrative burden. </w:t>
      </w:r>
    </w:p>
    <w:p w14:paraId="22F98A0D" w14:textId="56A74F22" w:rsidR="00757C1C" w:rsidRPr="00FB41EA" w:rsidRDefault="009546C1" w:rsidP="00757C1C">
      <w:pPr>
        <w:spacing w:after="0" w:line="240" w:lineRule="auto"/>
        <w:jc w:val="both"/>
        <w:rPr>
          <w:rFonts w:cs="Arial"/>
          <w:sz w:val="20"/>
          <w:szCs w:val="20"/>
          <w:lang w:val="en-GB"/>
        </w:rPr>
      </w:pPr>
      <w:r w:rsidRPr="00FB41EA">
        <w:rPr>
          <w:b/>
          <w:color w:val="81BC00"/>
          <w:sz w:val="20"/>
          <w:szCs w:val="20"/>
          <w:lang w:val="en-GB"/>
        </w:rPr>
        <w:t xml:space="preserve">Organisational instruments </w:t>
      </w:r>
      <w:r w:rsidRPr="00FB41EA">
        <w:rPr>
          <w:rFonts w:cs="Arial"/>
          <w:sz w:val="20"/>
          <w:szCs w:val="20"/>
          <w:lang w:val="en-GB"/>
        </w:rPr>
        <w:t>deal with the</w:t>
      </w:r>
      <w:r w:rsidR="00E7575A" w:rsidRPr="00FB41EA">
        <w:rPr>
          <w:rFonts w:cs="Arial"/>
          <w:sz w:val="20"/>
          <w:szCs w:val="20"/>
          <w:lang w:val="en-GB"/>
        </w:rPr>
        <w:t xml:space="preserve"> chan</w:t>
      </w:r>
      <w:r w:rsidR="00E174A3" w:rsidRPr="00FB41EA">
        <w:rPr>
          <w:rFonts w:cs="Arial"/>
          <w:sz w:val="20"/>
          <w:szCs w:val="20"/>
          <w:lang w:val="en-GB"/>
        </w:rPr>
        <w:t>ges in institutional structure, promotion of cooperation</w:t>
      </w:r>
      <w:r w:rsidR="00E7575A" w:rsidRPr="00FB41EA">
        <w:rPr>
          <w:rFonts w:cs="Arial"/>
          <w:sz w:val="20"/>
          <w:szCs w:val="20"/>
          <w:lang w:val="en-GB"/>
        </w:rPr>
        <w:t xml:space="preserve"> </w:t>
      </w:r>
      <w:r w:rsidR="00E174A3" w:rsidRPr="00FB41EA">
        <w:rPr>
          <w:rFonts w:cs="Arial"/>
          <w:sz w:val="20"/>
          <w:szCs w:val="20"/>
          <w:lang w:val="en-GB"/>
        </w:rPr>
        <w:t>and consulting</w:t>
      </w:r>
      <w:r w:rsidR="00757C1C" w:rsidRPr="00FB41EA">
        <w:rPr>
          <w:rFonts w:cs="Arial"/>
          <w:sz w:val="20"/>
          <w:szCs w:val="20"/>
          <w:lang w:val="en-GB"/>
        </w:rPr>
        <w:t xml:space="preserve">. </w:t>
      </w:r>
      <w:r w:rsidR="006660E2" w:rsidRPr="00FB41EA">
        <w:rPr>
          <w:rFonts w:cs="Arial"/>
          <w:sz w:val="20"/>
          <w:szCs w:val="20"/>
          <w:lang w:val="en-GB"/>
        </w:rPr>
        <w:t xml:space="preserve">The potential of those instruments involves reinforcing the positions of institutions and attracting new stakeholders. </w:t>
      </w:r>
    </w:p>
    <w:p w14:paraId="5A31DB01" w14:textId="441415C5" w:rsidR="00757C1C" w:rsidRPr="00FB41EA" w:rsidRDefault="006660E2" w:rsidP="00757C1C">
      <w:pPr>
        <w:spacing w:before="120"/>
        <w:jc w:val="both"/>
        <w:rPr>
          <w:rFonts w:cs="Arial"/>
          <w:sz w:val="20"/>
          <w:szCs w:val="20"/>
          <w:lang w:val="en-GB"/>
        </w:rPr>
      </w:pPr>
      <w:r w:rsidRPr="00FB41EA">
        <w:rPr>
          <w:rFonts w:cs="Arial"/>
          <w:sz w:val="20"/>
          <w:szCs w:val="20"/>
          <w:lang w:val="en-GB"/>
        </w:rPr>
        <w:t xml:space="preserve">All three groups of instruments </w:t>
      </w:r>
      <w:r w:rsidR="00000BF5" w:rsidRPr="00FB41EA">
        <w:rPr>
          <w:rFonts w:cs="Arial"/>
          <w:sz w:val="20"/>
          <w:szCs w:val="20"/>
          <w:lang w:val="en-GB"/>
        </w:rPr>
        <w:t xml:space="preserve">correlate and complement each other. </w:t>
      </w:r>
    </w:p>
    <w:p w14:paraId="45AB9DBD" w14:textId="7F6115FF" w:rsidR="00CD6385" w:rsidRPr="00FB41EA" w:rsidRDefault="00000BF5" w:rsidP="00CD6385">
      <w:pPr>
        <w:spacing w:line="240" w:lineRule="auto"/>
        <w:jc w:val="both"/>
        <w:rPr>
          <w:rFonts w:cs="Arial"/>
          <w:sz w:val="20"/>
          <w:szCs w:val="20"/>
          <w:lang w:val="en-GB"/>
        </w:rPr>
      </w:pPr>
      <w:r w:rsidRPr="00FB41EA">
        <w:rPr>
          <w:b/>
          <w:color w:val="81BC00"/>
          <w:sz w:val="20"/>
          <w:szCs w:val="20"/>
          <w:lang w:val="en-GB"/>
        </w:rPr>
        <w:t xml:space="preserve">In Lithuania, strategic instruments involve the </w:t>
      </w:r>
      <w:r w:rsidR="00757C1C" w:rsidRPr="00FB41EA">
        <w:rPr>
          <w:b/>
          <w:color w:val="81BC00"/>
          <w:sz w:val="20"/>
          <w:szCs w:val="20"/>
          <w:lang w:val="en-GB"/>
        </w:rPr>
        <w:t>Na</w:t>
      </w:r>
      <w:r w:rsidR="007928B8" w:rsidRPr="00FB41EA">
        <w:rPr>
          <w:b/>
          <w:color w:val="81BC00"/>
          <w:sz w:val="20"/>
          <w:szCs w:val="20"/>
          <w:lang w:val="en-GB"/>
        </w:rPr>
        <w:t xml:space="preserve">tional Sustainable Development Strategy and </w:t>
      </w:r>
      <w:proofErr w:type="spellStart"/>
      <w:r w:rsidR="007928B8" w:rsidRPr="00FB41EA">
        <w:rPr>
          <w:b/>
          <w:color w:val="81BC00"/>
          <w:sz w:val="20"/>
          <w:szCs w:val="20"/>
          <w:lang w:val="en-GB"/>
        </w:rPr>
        <w:t>sectoral</w:t>
      </w:r>
      <w:proofErr w:type="spellEnd"/>
      <w:r w:rsidR="007928B8" w:rsidRPr="00FB41EA">
        <w:rPr>
          <w:b/>
          <w:color w:val="81BC00"/>
          <w:sz w:val="20"/>
          <w:szCs w:val="20"/>
          <w:lang w:val="en-GB"/>
        </w:rPr>
        <w:t xml:space="preserve"> programmes related to it</w:t>
      </w:r>
      <w:r w:rsidR="00757C1C" w:rsidRPr="00FB41EA">
        <w:rPr>
          <w:b/>
          <w:color w:val="81BC00"/>
          <w:sz w:val="20"/>
          <w:szCs w:val="20"/>
          <w:lang w:val="en-GB"/>
        </w:rPr>
        <w:t>.</w:t>
      </w:r>
      <w:r w:rsidR="00757C1C" w:rsidRPr="00FB41EA">
        <w:rPr>
          <w:rFonts w:cs="Arial"/>
          <w:sz w:val="20"/>
          <w:szCs w:val="20"/>
          <w:lang w:val="en-GB"/>
        </w:rPr>
        <w:t xml:space="preserve"> </w:t>
      </w:r>
      <w:r w:rsidR="00FB4D7A" w:rsidRPr="00FB41EA">
        <w:rPr>
          <w:rFonts w:cs="Arial"/>
          <w:sz w:val="20"/>
          <w:szCs w:val="20"/>
          <w:lang w:val="en-GB"/>
        </w:rPr>
        <w:t xml:space="preserve">On the other hand, </w:t>
      </w:r>
      <w:r w:rsidR="001C49F4" w:rsidRPr="00FB41EA">
        <w:rPr>
          <w:rFonts w:cs="Arial"/>
          <w:sz w:val="20"/>
          <w:szCs w:val="20"/>
          <w:lang w:val="en-GB"/>
        </w:rPr>
        <w:t xml:space="preserve">the position and relevance of the National Sustainable Development Strategy in the system of other Lithuanian strategic planning documents remains one of the </w:t>
      </w:r>
      <w:r w:rsidR="00F02B29" w:rsidRPr="00FB41EA">
        <w:rPr>
          <w:rFonts w:cs="Arial"/>
          <w:sz w:val="20"/>
          <w:szCs w:val="20"/>
          <w:lang w:val="en-GB"/>
        </w:rPr>
        <w:t xml:space="preserve">biggest weaknesses. </w:t>
      </w:r>
      <w:r w:rsidR="00251CCD" w:rsidRPr="00FB41EA">
        <w:rPr>
          <w:rFonts w:cs="Arial"/>
          <w:sz w:val="20"/>
          <w:szCs w:val="20"/>
          <w:lang w:val="en-GB"/>
        </w:rPr>
        <w:t>Considering</w:t>
      </w:r>
      <w:r w:rsidR="00F02B29" w:rsidRPr="00FB41EA">
        <w:rPr>
          <w:rFonts w:cs="Arial"/>
          <w:sz w:val="20"/>
          <w:szCs w:val="20"/>
          <w:lang w:val="en-GB"/>
        </w:rPr>
        <w:t xml:space="preserve"> the content of the sustainable development principle </w:t>
      </w:r>
      <w:r w:rsidR="00251CCD" w:rsidRPr="00FB41EA">
        <w:rPr>
          <w:rFonts w:cs="Arial"/>
          <w:sz w:val="20"/>
          <w:szCs w:val="20"/>
          <w:lang w:val="en-GB"/>
        </w:rPr>
        <w:t xml:space="preserve">and the fact that the National Sustainable Development Strategy </w:t>
      </w:r>
      <w:proofErr w:type="gramStart"/>
      <w:r w:rsidR="00251CCD" w:rsidRPr="00FB41EA">
        <w:rPr>
          <w:rFonts w:cs="Arial"/>
          <w:sz w:val="20"/>
          <w:szCs w:val="20"/>
          <w:lang w:val="en-GB"/>
        </w:rPr>
        <w:t xml:space="preserve">is </w:t>
      </w:r>
      <w:r w:rsidR="009B6E2E" w:rsidRPr="00FB41EA">
        <w:rPr>
          <w:rFonts w:cs="Arial"/>
          <w:sz w:val="20"/>
          <w:szCs w:val="20"/>
          <w:lang w:val="en-GB"/>
        </w:rPr>
        <w:t>aimed</w:t>
      </w:r>
      <w:proofErr w:type="gramEnd"/>
      <w:r w:rsidR="009B6E2E" w:rsidRPr="00FB41EA">
        <w:rPr>
          <w:rFonts w:cs="Arial"/>
          <w:sz w:val="20"/>
          <w:szCs w:val="20"/>
          <w:lang w:val="en-GB"/>
        </w:rPr>
        <w:t xml:space="preserve"> towards a long-term social, economic and environmental development of the country</w:t>
      </w:r>
      <w:r w:rsidR="00757C1C" w:rsidRPr="00FB41EA">
        <w:rPr>
          <w:rFonts w:cs="Arial"/>
          <w:sz w:val="20"/>
          <w:szCs w:val="20"/>
          <w:lang w:val="en-GB"/>
        </w:rPr>
        <w:t xml:space="preserve">, </w:t>
      </w:r>
      <w:r w:rsidR="009B6E2E" w:rsidRPr="00FB41EA">
        <w:rPr>
          <w:rFonts w:cs="Arial"/>
          <w:sz w:val="20"/>
          <w:szCs w:val="20"/>
          <w:lang w:val="en-GB"/>
        </w:rPr>
        <w:t xml:space="preserve">it is crucial to identify its links with </w:t>
      </w:r>
      <w:r w:rsidR="009077ED" w:rsidRPr="00FB41EA">
        <w:rPr>
          <w:rFonts w:cs="Arial"/>
          <w:sz w:val="20"/>
          <w:szCs w:val="20"/>
          <w:lang w:val="en-GB"/>
        </w:rPr>
        <w:t xml:space="preserve">the National Progress Programme </w:t>
      </w:r>
      <w:r w:rsidR="00B04001" w:rsidRPr="00FB41EA">
        <w:rPr>
          <w:rFonts w:cs="Arial"/>
          <w:sz w:val="20"/>
          <w:szCs w:val="20"/>
          <w:lang w:val="en-GB"/>
        </w:rPr>
        <w:t>“</w:t>
      </w:r>
      <w:r w:rsidR="00757C1C" w:rsidRPr="00FB41EA">
        <w:rPr>
          <w:rFonts w:cs="Arial"/>
          <w:sz w:val="20"/>
          <w:szCs w:val="20"/>
          <w:lang w:val="en-GB"/>
        </w:rPr>
        <w:t>Li</w:t>
      </w:r>
      <w:r w:rsidR="00B04001" w:rsidRPr="00FB41EA">
        <w:rPr>
          <w:rFonts w:cs="Arial"/>
          <w:sz w:val="20"/>
          <w:szCs w:val="20"/>
          <w:lang w:val="en-GB"/>
        </w:rPr>
        <w:t>thuania</w:t>
      </w:r>
      <w:r w:rsidR="00757C1C" w:rsidRPr="00FB41EA">
        <w:rPr>
          <w:rFonts w:cs="Arial"/>
          <w:sz w:val="20"/>
          <w:szCs w:val="20"/>
          <w:lang w:val="en-GB"/>
        </w:rPr>
        <w:t xml:space="preserve"> 2030</w:t>
      </w:r>
      <w:r w:rsidR="00B04001" w:rsidRPr="00FB41EA">
        <w:rPr>
          <w:rFonts w:cs="Arial"/>
          <w:sz w:val="20"/>
          <w:szCs w:val="20"/>
          <w:lang w:val="en-GB"/>
        </w:rPr>
        <w:t>”</w:t>
      </w:r>
      <w:r w:rsidR="00757C1C" w:rsidRPr="00FB41EA">
        <w:rPr>
          <w:rFonts w:cs="Arial"/>
          <w:sz w:val="20"/>
          <w:szCs w:val="20"/>
          <w:lang w:val="en-GB"/>
        </w:rPr>
        <w:t>.</w:t>
      </w:r>
    </w:p>
    <w:p w14:paraId="63CF3679" w14:textId="23BCB14B" w:rsidR="00757C1C" w:rsidRPr="00FB41EA" w:rsidRDefault="00B04001" w:rsidP="00757C1C">
      <w:pPr>
        <w:spacing w:line="240" w:lineRule="auto"/>
        <w:jc w:val="both"/>
        <w:rPr>
          <w:rFonts w:cs="Arial"/>
          <w:sz w:val="20"/>
          <w:szCs w:val="20"/>
          <w:lang w:val="en-GB"/>
        </w:rPr>
      </w:pPr>
      <w:r w:rsidRPr="00FB41EA">
        <w:rPr>
          <w:rFonts w:cs="Arial"/>
          <w:sz w:val="20"/>
          <w:szCs w:val="20"/>
          <w:lang w:val="en-GB"/>
        </w:rPr>
        <w:t xml:space="preserve">The principle of sustainable development incorporates consistent </w:t>
      </w:r>
      <w:r w:rsidR="00B13CDB" w:rsidRPr="00FB41EA">
        <w:rPr>
          <w:rFonts w:cs="Arial"/>
          <w:sz w:val="20"/>
          <w:szCs w:val="20"/>
          <w:lang w:val="en-GB"/>
        </w:rPr>
        <w:t xml:space="preserve">development of a specific territory, based on social – economic development without negative environmental </w:t>
      </w:r>
      <w:r w:rsidR="00B4734B" w:rsidRPr="00FB41EA">
        <w:rPr>
          <w:rFonts w:cs="Arial"/>
          <w:sz w:val="20"/>
          <w:szCs w:val="20"/>
          <w:lang w:val="en-GB"/>
        </w:rPr>
        <w:t>impact</w:t>
      </w:r>
      <w:r w:rsidR="00757C1C" w:rsidRPr="00FB41EA">
        <w:rPr>
          <w:rFonts w:cs="Arial"/>
          <w:sz w:val="20"/>
          <w:szCs w:val="20"/>
          <w:lang w:val="en-GB"/>
        </w:rPr>
        <w:t xml:space="preserve">. </w:t>
      </w:r>
      <w:r w:rsidR="00EE3AFA" w:rsidRPr="00FB41EA">
        <w:rPr>
          <w:rFonts w:cs="Arial"/>
          <w:sz w:val="20"/>
          <w:szCs w:val="20"/>
          <w:lang w:val="en-GB"/>
        </w:rPr>
        <w:t xml:space="preserve">Based on this definition, all national/regional/local municipal documents are measures or </w:t>
      </w:r>
      <w:r w:rsidR="00685C46">
        <w:rPr>
          <w:rFonts w:cs="Arial"/>
          <w:sz w:val="20"/>
          <w:szCs w:val="20"/>
          <w:lang w:val="en-GB"/>
        </w:rPr>
        <w:t>instruments</w:t>
      </w:r>
      <w:r w:rsidR="00EE3AFA" w:rsidRPr="00FB41EA">
        <w:rPr>
          <w:rFonts w:cs="Arial"/>
          <w:sz w:val="20"/>
          <w:szCs w:val="20"/>
          <w:lang w:val="en-GB"/>
        </w:rPr>
        <w:t xml:space="preserve"> </w:t>
      </w:r>
      <w:r w:rsidR="00B73C2E" w:rsidRPr="00FB41EA">
        <w:rPr>
          <w:rFonts w:cs="Arial"/>
          <w:sz w:val="20"/>
          <w:szCs w:val="20"/>
          <w:lang w:val="en-GB"/>
        </w:rPr>
        <w:t>of the implementation of the sustainable development principle</w:t>
      </w:r>
      <w:r w:rsidR="00757C1C" w:rsidRPr="00FB41EA">
        <w:rPr>
          <w:rFonts w:cs="Arial"/>
          <w:sz w:val="20"/>
          <w:szCs w:val="20"/>
          <w:lang w:val="en-GB"/>
        </w:rPr>
        <w:t xml:space="preserve">. </w:t>
      </w:r>
      <w:r w:rsidR="00043634" w:rsidRPr="00FB41EA">
        <w:rPr>
          <w:rFonts w:cs="Arial"/>
          <w:sz w:val="20"/>
          <w:szCs w:val="20"/>
          <w:lang w:val="en-GB"/>
        </w:rPr>
        <w:t>The Ministry of Environment of the Republic of Lithuania is currently responsible for the implementation of the National Sustainable Development Strategy</w:t>
      </w:r>
      <w:r w:rsidR="00757C1C" w:rsidRPr="00FB41EA">
        <w:rPr>
          <w:rFonts w:cs="Arial"/>
          <w:sz w:val="20"/>
          <w:szCs w:val="20"/>
          <w:lang w:val="en-GB"/>
        </w:rPr>
        <w:t xml:space="preserve">. </w:t>
      </w:r>
      <w:r w:rsidR="00F2575C" w:rsidRPr="00FB41EA">
        <w:rPr>
          <w:rFonts w:cs="Arial"/>
          <w:sz w:val="20"/>
          <w:szCs w:val="20"/>
          <w:lang w:val="en-GB"/>
        </w:rPr>
        <w:t xml:space="preserve">The National Commission for Sustainable Development is monitoring the </w:t>
      </w:r>
      <w:r w:rsidR="005E2864" w:rsidRPr="00FB41EA">
        <w:rPr>
          <w:rFonts w:cs="Arial"/>
          <w:sz w:val="20"/>
          <w:szCs w:val="20"/>
          <w:lang w:val="en-GB"/>
        </w:rPr>
        <w:t>National Sustainable Development Strategy</w:t>
      </w:r>
      <w:r w:rsidR="00757C1C" w:rsidRPr="00FB41EA">
        <w:rPr>
          <w:rFonts w:cs="Arial"/>
          <w:sz w:val="20"/>
          <w:szCs w:val="20"/>
          <w:lang w:val="en-GB"/>
        </w:rPr>
        <w:t xml:space="preserve">. </w:t>
      </w:r>
      <w:r w:rsidR="005E2864" w:rsidRPr="00FB41EA">
        <w:rPr>
          <w:rFonts w:cs="Arial"/>
          <w:sz w:val="20"/>
          <w:szCs w:val="20"/>
          <w:lang w:val="en-GB"/>
        </w:rPr>
        <w:t xml:space="preserve">The evaluation identified that assigning such horizontal area to a </w:t>
      </w:r>
      <w:proofErr w:type="spellStart"/>
      <w:r w:rsidR="005E2864" w:rsidRPr="00FB41EA">
        <w:rPr>
          <w:rFonts w:cs="Arial"/>
          <w:sz w:val="20"/>
          <w:szCs w:val="20"/>
          <w:lang w:val="en-GB"/>
        </w:rPr>
        <w:t>sectoral</w:t>
      </w:r>
      <w:proofErr w:type="spellEnd"/>
      <w:r w:rsidR="005E2864" w:rsidRPr="00FB41EA">
        <w:rPr>
          <w:rFonts w:cs="Arial"/>
          <w:sz w:val="20"/>
          <w:szCs w:val="20"/>
          <w:lang w:val="en-GB"/>
        </w:rPr>
        <w:t xml:space="preserve"> ministry in the context of Lithuanian </w:t>
      </w:r>
      <w:proofErr w:type="spellStart"/>
      <w:r w:rsidR="005E2864" w:rsidRPr="00FB41EA">
        <w:rPr>
          <w:rFonts w:cs="Arial"/>
          <w:sz w:val="20"/>
          <w:szCs w:val="20"/>
          <w:lang w:val="en-GB"/>
        </w:rPr>
        <w:t>interinstitutional</w:t>
      </w:r>
      <w:proofErr w:type="spellEnd"/>
      <w:r w:rsidR="005E2864" w:rsidRPr="00FB41EA">
        <w:rPr>
          <w:rFonts w:cs="Arial"/>
          <w:sz w:val="20"/>
          <w:szCs w:val="20"/>
          <w:lang w:val="en-GB"/>
        </w:rPr>
        <w:t xml:space="preserve"> cooperation challenges </w:t>
      </w:r>
      <w:r w:rsidR="004455C1" w:rsidRPr="00FB41EA">
        <w:rPr>
          <w:rFonts w:cs="Arial"/>
          <w:sz w:val="20"/>
          <w:szCs w:val="20"/>
          <w:lang w:val="en-GB"/>
        </w:rPr>
        <w:t xml:space="preserve">predefines a lack of attention to </w:t>
      </w:r>
      <w:r w:rsidR="002C6F6B" w:rsidRPr="00FB41EA">
        <w:rPr>
          <w:rFonts w:cs="Arial"/>
          <w:sz w:val="20"/>
          <w:szCs w:val="20"/>
          <w:lang w:val="en-GB"/>
        </w:rPr>
        <w:t xml:space="preserve">the issues of sustainable development and limited compatibility with other </w:t>
      </w:r>
      <w:proofErr w:type="spellStart"/>
      <w:r w:rsidR="002C6F6B" w:rsidRPr="00FB41EA">
        <w:rPr>
          <w:rFonts w:cs="Arial"/>
          <w:sz w:val="20"/>
          <w:szCs w:val="20"/>
          <w:lang w:val="en-GB"/>
        </w:rPr>
        <w:t>sectoral</w:t>
      </w:r>
      <w:proofErr w:type="spellEnd"/>
      <w:r w:rsidR="002C6F6B" w:rsidRPr="00FB41EA">
        <w:rPr>
          <w:rFonts w:cs="Arial"/>
          <w:sz w:val="20"/>
          <w:szCs w:val="20"/>
          <w:lang w:val="en-GB"/>
        </w:rPr>
        <w:t xml:space="preserve"> strategies</w:t>
      </w:r>
      <w:r w:rsidR="00757C1C" w:rsidRPr="00FB41EA">
        <w:rPr>
          <w:rFonts w:cs="Arial"/>
          <w:sz w:val="20"/>
          <w:szCs w:val="20"/>
          <w:lang w:val="en-GB"/>
        </w:rPr>
        <w:t xml:space="preserve">. </w:t>
      </w:r>
      <w:r w:rsidR="00E10941" w:rsidRPr="00FB41EA">
        <w:rPr>
          <w:rFonts w:cs="Arial"/>
          <w:sz w:val="20"/>
          <w:szCs w:val="20"/>
          <w:lang w:val="en-GB"/>
        </w:rPr>
        <w:t xml:space="preserve">In addition, rare and irregular meetings of the National Commission for Sustainable Development </w:t>
      </w:r>
      <w:r w:rsidR="00B97261" w:rsidRPr="00FB41EA">
        <w:rPr>
          <w:rFonts w:cs="Arial"/>
          <w:sz w:val="20"/>
          <w:szCs w:val="20"/>
          <w:lang w:val="en-GB"/>
        </w:rPr>
        <w:t xml:space="preserve">do not assure adequate attention to the implementation of the strategy and to linking it to the </w:t>
      </w:r>
      <w:proofErr w:type="spellStart"/>
      <w:r w:rsidR="00B97261" w:rsidRPr="00FB41EA">
        <w:rPr>
          <w:rFonts w:cs="Arial"/>
          <w:sz w:val="20"/>
          <w:szCs w:val="20"/>
          <w:lang w:val="en-GB"/>
        </w:rPr>
        <w:t>sectoral</w:t>
      </w:r>
      <w:proofErr w:type="spellEnd"/>
      <w:r w:rsidR="00B97261" w:rsidRPr="00FB41EA">
        <w:rPr>
          <w:rFonts w:cs="Arial"/>
          <w:sz w:val="20"/>
          <w:szCs w:val="20"/>
          <w:lang w:val="en-GB"/>
        </w:rPr>
        <w:t xml:space="preserve"> development strategies</w:t>
      </w:r>
      <w:r w:rsidR="00757C1C" w:rsidRPr="00FB41EA">
        <w:rPr>
          <w:rFonts w:cs="Arial"/>
          <w:sz w:val="20"/>
          <w:szCs w:val="20"/>
          <w:lang w:val="en-GB"/>
        </w:rPr>
        <w:t>.</w:t>
      </w:r>
    </w:p>
    <w:p w14:paraId="1F699F7E" w14:textId="28413653" w:rsidR="00CD6385" w:rsidRPr="00FB41EA" w:rsidRDefault="00B97261" w:rsidP="00CD6385">
      <w:pPr>
        <w:spacing w:line="240" w:lineRule="auto"/>
        <w:jc w:val="both"/>
        <w:rPr>
          <w:rFonts w:cs="Arial"/>
          <w:sz w:val="20"/>
          <w:szCs w:val="20"/>
          <w:lang w:val="en-GB"/>
        </w:rPr>
      </w:pPr>
      <w:r w:rsidRPr="00FB41EA">
        <w:rPr>
          <w:rFonts w:cs="Arial"/>
          <w:sz w:val="20"/>
          <w:szCs w:val="20"/>
          <w:lang w:val="en-GB"/>
        </w:rPr>
        <w:t xml:space="preserve">An additional strategic instrument associated with </w:t>
      </w:r>
      <w:r w:rsidR="00951914" w:rsidRPr="00FB41EA">
        <w:rPr>
          <w:rFonts w:cs="Arial"/>
          <w:sz w:val="20"/>
          <w:szCs w:val="20"/>
          <w:lang w:val="en-GB"/>
        </w:rPr>
        <w:t xml:space="preserve">the current </w:t>
      </w:r>
      <w:proofErr w:type="spellStart"/>
      <w:r w:rsidR="00951914" w:rsidRPr="00FB41EA">
        <w:rPr>
          <w:rFonts w:cs="Arial"/>
          <w:sz w:val="20"/>
          <w:szCs w:val="20"/>
          <w:lang w:val="en-GB"/>
        </w:rPr>
        <w:t>sectoral</w:t>
      </w:r>
      <w:proofErr w:type="spellEnd"/>
      <w:r w:rsidR="00951914" w:rsidRPr="00FB41EA">
        <w:rPr>
          <w:rFonts w:cs="Arial"/>
          <w:sz w:val="20"/>
          <w:szCs w:val="20"/>
          <w:lang w:val="en-GB"/>
        </w:rPr>
        <w:t xml:space="preserve"> nature is the appointment of one </w:t>
      </w:r>
      <w:r w:rsidRPr="00FB41EA">
        <w:rPr>
          <w:rFonts w:cs="Arial"/>
          <w:sz w:val="20"/>
          <w:szCs w:val="20"/>
          <w:lang w:val="en-GB"/>
        </w:rPr>
        <w:t xml:space="preserve">national coordinator for the </w:t>
      </w:r>
      <w:r w:rsidR="00951914" w:rsidRPr="00FB41EA">
        <w:rPr>
          <w:rFonts w:cs="Arial"/>
          <w:sz w:val="20"/>
          <w:szCs w:val="20"/>
          <w:lang w:val="en-GB"/>
        </w:rPr>
        <w:t>implementation of the</w:t>
      </w:r>
      <w:r w:rsidRPr="00FB41EA">
        <w:rPr>
          <w:rFonts w:cs="Arial"/>
          <w:sz w:val="20"/>
          <w:szCs w:val="20"/>
          <w:lang w:val="en-GB"/>
        </w:rPr>
        <w:t xml:space="preserve"> sustainable development </w:t>
      </w:r>
      <w:r w:rsidR="00951914" w:rsidRPr="00FB41EA">
        <w:rPr>
          <w:rFonts w:cs="Arial"/>
          <w:sz w:val="20"/>
          <w:szCs w:val="20"/>
          <w:lang w:val="en-GB"/>
        </w:rPr>
        <w:t>principle</w:t>
      </w:r>
      <w:r w:rsidR="00757C1C" w:rsidRPr="00FB41EA">
        <w:rPr>
          <w:rFonts w:cs="Arial"/>
          <w:sz w:val="20"/>
          <w:szCs w:val="20"/>
          <w:lang w:val="en-GB"/>
        </w:rPr>
        <w:t xml:space="preserve">. </w:t>
      </w:r>
      <w:r w:rsidR="001B6C7B" w:rsidRPr="00FB41EA">
        <w:rPr>
          <w:rFonts w:cs="Arial"/>
          <w:sz w:val="20"/>
          <w:szCs w:val="20"/>
          <w:lang w:val="en-GB"/>
        </w:rPr>
        <w:t>As foreign practice shows, decision-making on the Governmental level assure</w:t>
      </w:r>
      <w:r w:rsidR="00685C46">
        <w:rPr>
          <w:rFonts w:cs="Arial"/>
          <w:sz w:val="20"/>
          <w:szCs w:val="20"/>
          <w:lang w:val="en-GB"/>
        </w:rPr>
        <w:t xml:space="preserve">s wider political attention and, as a result, </w:t>
      </w:r>
      <w:r w:rsidR="001B6C7B" w:rsidRPr="00FB41EA">
        <w:rPr>
          <w:rFonts w:cs="Arial"/>
          <w:sz w:val="20"/>
          <w:szCs w:val="20"/>
          <w:lang w:val="en-GB"/>
        </w:rPr>
        <w:t>more streamlined strategic management decisions</w:t>
      </w:r>
      <w:r w:rsidR="00CD6385" w:rsidRPr="00FB41EA">
        <w:rPr>
          <w:rFonts w:cs="Arial"/>
          <w:sz w:val="20"/>
          <w:szCs w:val="20"/>
          <w:lang w:val="en-GB"/>
        </w:rPr>
        <w:t>.</w:t>
      </w:r>
    </w:p>
    <w:p w14:paraId="32186EF4" w14:textId="0842C34C" w:rsidR="00CD6385" w:rsidRPr="00FB41EA" w:rsidRDefault="00CD6385" w:rsidP="00CD6385">
      <w:pPr>
        <w:spacing w:line="240" w:lineRule="auto"/>
        <w:jc w:val="both"/>
        <w:rPr>
          <w:rFonts w:cs="Arial"/>
          <w:sz w:val="20"/>
          <w:szCs w:val="20"/>
          <w:lang w:val="en-GB"/>
        </w:rPr>
      </w:pPr>
      <w:r w:rsidRPr="00FB41EA">
        <w:rPr>
          <w:b/>
          <w:color w:val="81BC00"/>
          <w:sz w:val="20"/>
          <w:szCs w:val="20"/>
          <w:lang w:val="en-GB"/>
        </w:rPr>
        <w:t>Proced</w:t>
      </w:r>
      <w:r w:rsidR="00B95143" w:rsidRPr="00FB41EA">
        <w:rPr>
          <w:b/>
          <w:color w:val="81BC00"/>
          <w:sz w:val="20"/>
          <w:szCs w:val="20"/>
          <w:lang w:val="en-GB"/>
        </w:rPr>
        <w:t xml:space="preserve">ural instruments, similarly to the strategic ones, </w:t>
      </w:r>
      <w:proofErr w:type="gramStart"/>
      <w:r w:rsidR="00B95143" w:rsidRPr="00FB41EA">
        <w:rPr>
          <w:b/>
          <w:color w:val="81BC00"/>
          <w:sz w:val="20"/>
          <w:szCs w:val="20"/>
          <w:lang w:val="en-GB"/>
        </w:rPr>
        <w:t>are usually designed</w:t>
      </w:r>
      <w:proofErr w:type="gramEnd"/>
      <w:r w:rsidR="00B95143" w:rsidRPr="00FB41EA">
        <w:rPr>
          <w:b/>
          <w:color w:val="81BC00"/>
          <w:sz w:val="20"/>
          <w:szCs w:val="20"/>
          <w:lang w:val="en-GB"/>
        </w:rPr>
        <w:t xml:space="preserve"> to solve environmental issues</w:t>
      </w:r>
      <w:r w:rsidR="00B95143" w:rsidRPr="00FB41EA">
        <w:rPr>
          <w:rFonts w:cs="Arial"/>
          <w:sz w:val="20"/>
          <w:szCs w:val="20"/>
          <w:lang w:val="en-GB"/>
        </w:rPr>
        <w:t xml:space="preserve">. </w:t>
      </w:r>
      <w:r w:rsidR="00C27189" w:rsidRPr="00FB41EA">
        <w:rPr>
          <w:rFonts w:cs="Arial"/>
          <w:sz w:val="20"/>
          <w:szCs w:val="20"/>
          <w:lang w:val="en-GB"/>
        </w:rPr>
        <w:t xml:space="preserve">Strategic </w:t>
      </w:r>
      <w:r w:rsidR="00B95143" w:rsidRPr="00FB41EA">
        <w:rPr>
          <w:rFonts w:cs="Arial"/>
          <w:sz w:val="20"/>
          <w:szCs w:val="20"/>
          <w:lang w:val="en-GB"/>
        </w:rPr>
        <w:t xml:space="preserve">environmental </w:t>
      </w:r>
      <w:r w:rsidR="00C27189" w:rsidRPr="00FB41EA">
        <w:rPr>
          <w:rFonts w:cs="Arial"/>
          <w:sz w:val="20"/>
          <w:szCs w:val="20"/>
          <w:lang w:val="en-GB"/>
        </w:rPr>
        <w:t xml:space="preserve">impact </w:t>
      </w:r>
      <w:r w:rsidR="00B95143" w:rsidRPr="00FB41EA">
        <w:rPr>
          <w:rFonts w:cs="Arial"/>
          <w:sz w:val="20"/>
          <w:szCs w:val="20"/>
          <w:lang w:val="en-GB"/>
        </w:rPr>
        <w:t xml:space="preserve">assessment </w:t>
      </w:r>
      <w:r w:rsidRPr="00FB41EA">
        <w:rPr>
          <w:rFonts w:cs="Arial"/>
          <w:sz w:val="20"/>
          <w:szCs w:val="20"/>
          <w:lang w:val="en-GB"/>
        </w:rPr>
        <w:t>(</w:t>
      </w:r>
      <w:r w:rsidR="00C27189" w:rsidRPr="00FB41EA">
        <w:rPr>
          <w:rFonts w:cs="Arial"/>
          <w:sz w:val="20"/>
          <w:szCs w:val="20"/>
          <w:lang w:val="en-GB"/>
        </w:rPr>
        <w:t>hereinafter</w:t>
      </w:r>
      <w:r w:rsidRPr="00FB41EA">
        <w:rPr>
          <w:rFonts w:cs="Arial"/>
          <w:sz w:val="20"/>
          <w:szCs w:val="20"/>
          <w:lang w:val="en-GB"/>
        </w:rPr>
        <w:t xml:space="preserve"> – </w:t>
      </w:r>
      <w:r w:rsidR="00C27189" w:rsidRPr="00FB41EA">
        <w:rPr>
          <w:rFonts w:cs="Arial"/>
          <w:sz w:val="20"/>
          <w:szCs w:val="20"/>
          <w:lang w:val="en-GB"/>
        </w:rPr>
        <w:t>SEIA</w:t>
      </w:r>
      <w:r w:rsidRPr="00FB41EA">
        <w:rPr>
          <w:rFonts w:cs="Arial"/>
          <w:sz w:val="20"/>
          <w:szCs w:val="20"/>
          <w:lang w:val="en-GB"/>
        </w:rPr>
        <w:t xml:space="preserve">) </w:t>
      </w:r>
      <w:r w:rsidR="00C27189" w:rsidRPr="00FB41EA">
        <w:rPr>
          <w:rFonts w:cs="Arial"/>
          <w:sz w:val="20"/>
          <w:szCs w:val="20"/>
          <w:lang w:val="en-GB"/>
        </w:rPr>
        <w:t>is a process of determining, defining and evaluating potential impact</w:t>
      </w:r>
      <w:r w:rsidR="00B21BB3" w:rsidRPr="00FB41EA">
        <w:rPr>
          <w:rFonts w:cs="Arial"/>
          <w:sz w:val="20"/>
          <w:szCs w:val="20"/>
          <w:lang w:val="en-GB"/>
        </w:rPr>
        <w:t>.</w:t>
      </w:r>
      <w:r w:rsidRPr="00FB41EA">
        <w:rPr>
          <w:rFonts w:cs="Arial"/>
          <w:sz w:val="20"/>
          <w:szCs w:val="20"/>
          <w:lang w:val="en-GB"/>
        </w:rPr>
        <w:t xml:space="preserve"> </w:t>
      </w:r>
      <w:r w:rsidR="00D15523" w:rsidRPr="00FB41EA">
        <w:rPr>
          <w:rFonts w:cs="Arial"/>
          <w:sz w:val="20"/>
          <w:szCs w:val="20"/>
          <w:lang w:val="en-GB"/>
        </w:rPr>
        <w:t xml:space="preserve">During the assessment, SEIA documents are drawn; consulting takes place; </w:t>
      </w:r>
      <w:r w:rsidR="009625BD" w:rsidRPr="00FB41EA">
        <w:rPr>
          <w:rFonts w:cs="Arial"/>
          <w:sz w:val="20"/>
          <w:szCs w:val="20"/>
          <w:lang w:val="en-GB"/>
        </w:rPr>
        <w:t xml:space="preserve">before adopting and/or approving a plan or a programme, evaluation and consulting results are considered; </w:t>
      </w:r>
      <w:r w:rsidR="006D5AB7" w:rsidRPr="00FB41EA">
        <w:rPr>
          <w:rFonts w:cs="Arial"/>
          <w:sz w:val="20"/>
          <w:szCs w:val="20"/>
          <w:lang w:val="en-GB"/>
        </w:rPr>
        <w:t xml:space="preserve">information related to </w:t>
      </w:r>
      <w:r w:rsidR="00B818E5" w:rsidRPr="00FB41EA">
        <w:rPr>
          <w:rFonts w:cs="Arial"/>
          <w:sz w:val="20"/>
          <w:szCs w:val="20"/>
          <w:lang w:val="en-GB"/>
        </w:rPr>
        <w:t>adopting</w:t>
      </w:r>
      <w:r w:rsidR="006D5AB7" w:rsidRPr="00FB41EA">
        <w:rPr>
          <w:rFonts w:cs="Arial"/>
          <w:sz w:val="20"/>
          <w:szCs w:val="20"/>
          <w:lang w:val="en-GB"/>
        </w:rPr>
        <w:t xml:space="preserve">/approving </w:t>
      </w:r>
      <w:r w:rsidR="00B818E5" w:rsidRPr="00FB41EA">
        <w:rPr>
          <w:rFonts w:cs="Arial"/>
          <w:sz w:val="20"/>
          <w:szCs w:val="20"/>
          <w:lang w:val="en-GB"/>
        </w:rPr>
        <w:t>a plan or a programme</w:t>
      </w:r>
      <w:r w:rsidRPr="00FB41EA">
        <w:rPr>
          <w:rFonts w:cs="Arial"/>
          <w:sz w:val="20"/>
          <w:szCs w:val="20"/>
          <w:lang w:val="en-GB"/>
        </w:rPr>
        <w:t xml:space="preserve"> </w:t>
      </w:r>
      <w:r w:rsidR="00B818E5" w:rsidRPr="00FB41EA">
        <w:rPr>
          <w:rFonts w:cs="Arial"/>
          <w:sz w:val="20"/>
          <w:szCs w:val="20"/>
          <w:lang w:val="en-GB"/>
        </w:rPr>
        <w:t>is provided</w:t>
      </w:r>
      <w:r w:rsidRPr="00FB41EA">
        <w:rPr>
          <w:rFonts w:cs="Arial"/>
          <w:sz w:val="20"/>
          <w:szCs w:val="20"/>
          <w:lang w:val="en-GB"/>
        </w:rPr>
        <w:t xml:space="preserve">. </w:t>
      </w:r>
    </w:p>
    <w:p w14:paraId="6E6559BC" w14:textId="4725EEB0" w:rsidR="00F878C6" w:rsidRPr="00FB41EA" w:rsidRDefault="004A1F8F" w:rsidP="00F878C6">
      <w:pPr>
        <w:spacing w:line="240" w:lineRule="auto"/>
        <w:jc w:val="both"/>
        <w:rPr>
          <w:rFonts w:cs="Arial"/>
          <w:sz w:val="20"/>
          <w:szCs w:val="20"/>
          <w:lang w:val="en-GB"/>
        </w:rPr>
      </w:pPr>
      <w:r w:rsidRPr="00FB41EA">
        <w:rPr>
          <w:rFonts w:cs="Arial"/>
          <w:sz w:val="20"/>
          <w:szCs w:val="20"/>
          <w:lang w:val="en-GB"/>
        </w:rPr>
        <w:lastRenderedPageBreak/>
        <w:t>Generally, SEIA is a compulsory document</w:t>
      </w:r>
      <w:r w:rsidR="00E4695F" w:rsidRPr="00FB41EA">
        <w:rPr>
          <w:rFonts w:cs="Arial"/>
          <w:sz w:val="20"/>
          <w:szCs w:val="20"/>
          <w:lang w:val="en-GB"/>
        </w:rPr>
        <w:t>,</w:t>
      </w:r>
      <w:r w:rsidRPr="00FB41EA">
        <w:rPr>
          <w:rFonts w:cs="Arial"/>
          <w:sz w:val="20"/>
          <w:szCs w:val="20"/>
          <w:lang w:val="en-GB"/>
        </w:rPr>
        <w:t xml:space="preserve"> rather strictly </w:t>
      </w:r>
      <w:r w:rsidR="00E4695F" w:rsidRPr="00FB41EA">
        <w:rPr>
          <w:rFonts w:cs="Arial"/>
          <w:sz w:val="20"/>
          <w:szCs w:val="20"/>
          <w:lang w:val="en-GB"/>
        </w:rPr>
        <w:t>defined by the EC; therefore, all member states, including Lithuania, apply it to a certain extent.</w:t>
      </w:r>
      <w:r w:rsidRPr="00FB41EA">
        <w:rPr>
          <w:rFonts w:cs="Arial"/>
          <w:sz w:val="20"/>
          <w:szCs w:val="20"/>
          <w:lang w:val="en-GB"/>
        </w:rPr>
        <w:t xml:space="preserve"> </w:t>
      </w:r>
      <w:r w:rsidR="00E4608B" w:rsidRPr="00FB41EA">
        <w:rPr>
          <w:rFonts w:cs="Arial"/>
          <w:sz w:val="20"/>
          <w:szCs w:val="20"/>
          <w:lang w:val="en-GB"/>
        </w:rPr>
        <w:t xml:space="preserve">There are more issues related to the actions of </w:t>
      </w:r>
      <w:r w:rsidR="00E32F4C">
        <w:rPr>
          <w:rFonts w:cs="Arial"/>
          <w:sz w:val="20"/>
          <w:szCs w:val="20"/>
          <w:lang w:val="en-GB"/>
        </w:rPr>
        <w:t>regular</w:t>
      </w:r>
      <w:r w:rsidR="002963D8" w:rsidRPr="00FB41EA">
        <w:rPr>
          <w:rFonts w:cs="Arial"/>
          <w:sz w:val="20"/>
          <w:szCs w:val="20"/>
          <w:lang w:val="en-GB"/>
        </w:rPr>
        <w:t xml:space="preserve"> review of its conclusions and not the application of the instrument itself. The usual practice (including Lithuania) is </w:t>
      </w:r>
      <w:r w:rsidR="001E0385" w:rsidRPr="00FB41EA">
        <w:rPr>
          <w:rFonts w:cs="Arial"/>
          <w:sz w:val="20"/>
          <w:szCs w:val="20"/>
          <w:lang w:val="en-GB"/>
        </w:rPr>
        <w:t xml:space="preserve">seriously regarding </w:t>
      </w:r>
      <w:r w:rsidR="002963D8" w:rsidRPr="00FB41EA">
        <w:rPr>
          <w:rFonts w:cs="Arial"/>
          <w:sz w:val="20"/>
          <w:szCs w:val="20"/>
          <w:lang w:val="en-GB"/>
        </w:rPr>
        <w:t xml:space="preserve">SEIA </w:t>
      </w:r>
      <w:r w:rsidR="001E0385" w:rsidRPr="00FB41EA">
        <w:rPr>
          <w:rFonts w:cs="Arial"/>
          <w:sz w:val="20"/>
          <w:szCs w:val="20"/>
          <w:lang w:val="en-GB"/>
        </w:rPr>
        <w:t xml:space="preserve">during the programming period, but once an operational programme </w:t>
      </w:r>
      <w:proofErr w:type="gramStart"/>
      <w:r w:rsidR="001E0385" w:rsidRPr="00FB41EA">
        <w:rPr>
          <w:rFonts w:cs="Arial"/>
          <w:sz w:val="20"/>
          <w:szCs w:val="20"/>
          <w:lang w:val="en-GB"/>
        </w:rPr>
        <w:t>is completed and approved</w:t>
      </w:r>
      <w:r w:rsidR="00B10ACC" w:rsidRPr="00FB41EA">
        <w:rPr>
          <w:rFonts w:cs="Arial"/>
          <w:sz w:val="20"/>
          <w:szCs w:val="20"/>
          <w:lang w:val="en-GB"/>
        </w:rPr>
        <w:t xml:space="preserve"> by the EC</w:t>
      </w:r>
      <w:r w:rsidR="001E0385" w:rsidRPr="00FB41EA">
        <w:rPr>
          <w:rFonts w:cs="Arial"/>
          <w:sz w:val="20"/>
          <w:szCs w:val="20"/>
          <w:lang w:val="en-GB"/>
        </w:rPr>
        <w:t>,</w:t>
      </w:r>
      <w:proofErr w:type="gramEnd"/>
      <w:r w:rsidR="001E0385" w:rsidRPr="00FB41EA">
        <w:rPr>
          <w:rFonts w:cs="Arial"/>
          <w:sz w:val="20"/>
          <w:szCs w:val="20"/>
          <w:lang w:val="en-GB"/>
        </w:rPr>
        <w:t xml:space="preserve"> </w:t>
      </w:r>
      <w:r w:rsidR="00B10ACC" w:rsidRPr="00FB41EA">
        <w:rPr>
          <w:rFonts w:cs="Arial"/>
          <w:sz w:val="20"/>
          <w:szCs w:val="20"/>
          <w:lang w:val="en-GB"/>
        </w:rPr>
        <w:t>SEIA is no</w:t>
      </w:r>
      <w:r w:rsidR="00E32F4C">
        <w:rPr>
          <w:rFonts w:cs="Arial"/>
          <w:sz w:val="20"/>
          <w:szCs w:val="20"/>
          <w:lang w:val="en-GB"/>
        </w:rPr>
        <w:t>t</w:t>
      </w:r>
      <w:r w:rsidR="00B10ACC" w:rsidRPr="00FB41EA">
        <w:rPr>
          <w:rFonts w:cs="Arial"/>
          <w:sz w:val="20"/>
          <w:szCs w:val="20"/>
          <w:lang w:val="en-GB"/>
        </w:rPr>
        <w:t xml:space="preserve"> reviewed regularly in accordance with the amendments of the operational programme and measures financed by it. </w:t>
      </w:r>
    </w:p>
    <w:p w14:paraId="41306BFF" w14:textId="203942AF" w:rsidR="005830C8" w:rsidRPr="00FB41EA" w:rsidRDefault="00080131" w:rsidP="005830C8">
      <w:pPr>
        <w:spacing w:line="240" w:lineRule="auto"/>
        <w:jc w:val="both"/>
        <w:rPr>
          <w:rFonts w:cs="Arial"/>
          <w:sz w:val="20"/>
          <w:szCs w:val="20"/>
          <w:lang w:val="en-GB"/>
        </w:rPr>
      </w:pPr>
      <w:r w:rsidRPr="00FB41EA">
        <w:rPr>
          <w:rFonts w:cs="Arial"/>
          <w:sz w:val="20"/>
          <w:szCs w:val="20"/>
          <w:lang w:val="en-GB"/>
        </w:rPr>
        <w:t>The purpose of another instrument, environmental impact assessment</w:t>
      </w:r>
      <w:r w:rsidR="006525DB" w:rsidRPr="00FB41EA">
        <w:rPr>
          <w:rFonts w:cs="Arial"/>
          <w:sz w:val="20"/>
          <w:szCs w:val="20"/>
          <w:lang w:val="en-GB"/>
        </w:rPr>
        <w:t xml:space="preserve"> (hereinafter – EIA), is assuring that the responsible institution adopting a decision regarding the legitimacy of operations in a chosen area would have sufficient information about the potential environmental </w:t>
      </w:r>
      <w:r w:rsidR="00BB5613" w:rsidRPr="00FB41EA">
        <w:rPr>
          <w:rFonts w:cs="Arial"/>
          <w:sz w:val="20"/>
          <w:szCs w:val="20"/>
          <w:lang w:val="en-GB"/>
        </w:rPr>
        <w:t>impact of those</w:t>
      </w:r>
      <w:r w:rsidR="006525DB" w:rsidRPr="00FB41EA">
        <w:rPr>
          <w:rFonts w:cs="Arial"/>
          <w:sz w:val="20"/>
          <w:szCs w:val="20"/>
          <w:lang w:val="en-GB"/>
        </w:rPr>
        <w:t xml:space="preserve"> operations</w:t>
      </w:r>
      <w:r w:rsidR="00D4778E" w:rsidRPr="00FB41EA">
        <w:rPr>
          <w:rFonts w:cs="Arial"/>
          <w:sz w:val="20"/>
          <w:szCs w:val="20"/>
          <w:lang w:val="en-GB"/>
        </w:rPr>
        <w:t xml:space="preserve"> as well as</w:t>
      </w:r>
      <w:r w:rsidR="006525DB" w:rsidRPr="00FB41EA">
        <w:rPr>
          <w:rFonts w:cs="Arial"/>
          <w:sz w:val="20"/>
          <w:szCs w:val="20"/>
          <w:lang w:val="en-GB"/>
        </w:rPr>
        <w:t xml:space="preserve"> </w:t>
      </w:r>
      <w:r w:rsidR="00BB5613" w:rsidRPr="00FB41EA">
        <w:rPr>
          <w:rFonts w:cs="Arial"/>
          <w:sz w:val="20"/>
          <w:szCs w:val="20"/>
          <w:lang w:val="en-GB"/>
        </w:rPr>
        <w:t>the possibilities to mitigate their impact</w:t>
      </w:r>
      <w:r w:rsidR="00D4778E" w:rsidRPr="00FB41EA">
        <w:rPr>
          <w:rFonts w:cs="Arial"/>
          <w:sz w:val="20"/>
          <w:szCs w:val="20"/>
          <w:lang w:val="en-GB"/>
        </w:rPr>
        <w:t>,</w:t>
      </w:r>
      <w:r w:rsidR="00BB5613" w:rsidRPr="00FB41EA">
        <w:rPr>
          <w:rFonts w:cs="Arial"/>
          <w:sz w:val="20"/>
          <w:szCs w:val="20"/>
          <w:lang w:val="en-GB"/>
        </w:rPr>
        <w:t xml:space="preserve"> and </w:t>
      </w:r>
      <w:r w:rsidR="00D4778E" w:rsidRPr="00FB41EA">
        <w:rPr>
          <w:rFonts w:cs="Arial"/>
          <w:sz w:val="20"/>
          <w:szCs w:val="20"/>
          <w:lang w:val="en-GB"/>
        </w:rPr>
        <w:t xml:space="preserve">would </w:t>
      </w:r>
      <w:r w:rsidR="00BB5613" w:rsidRPr="00FB41EA">
        <w:rPr>
          <w:rFonts w:cs="Arial"/>
          <w:sz w:val="20"/>
          <w:szCs w:val="20"/>
          <w:lang w:val="en-GB"/>
        </w:rPr>
        <w:t>be aware of the public opinion</w:t>
      </w:r>
      <w:r w:rsidR="005830C8" w:rsidRPr="00FB41EA">
        <w:rPr>
          <w:rFonts w:cs="Arial"/>
          <w:sz w:val="20"/>
          <w:szCs w:val="20"/>
          <w:lang w:val="en-GB"/>
        </w:rPr>
        <w:t xml:space="preserve">. </w:t>
      </w:r>
      <w:r w:rsidR="00D4778E" w:rsidRPr="00FB41EA">
        <w:rPr>
          <w:rFonts w:cs="Arial"/>
          <w:sz w:val="20"/>
          <w:szCs w:val="20"/>
          <w:lang w:val="en-GB"/>
        </w:rPr>
        <w:t xml:space="preserve">In Lithuania, EIAs </w:t>
      </w:r>
      <w:proofErr w:type="gramStart"/>
      <w:r w:rsidR="00D4778E" w:rsidRPr="00FB41EA">
        <w:rPr>
          <w:rFonts w:cs="Arial"/>
          <w:sz w:val="20"/>
          <w:szCs w:val="20"/>
          <w:lang w:val="en-GB"/>
        </w:rPr>
        <w:t>were performed</w:t>
      </w:r>
      <w:proofErr w:type="gramEnd"/>
      <w:r w:rsidR="00D4778E" w:rsidRPr="00FB41EA">
        <w:rPr>
          <w:rFonts w:cs="Arial"/>
          <w:sz w:val="20"/>
          <w:szCs w:val="20"/>
          <w:lang w:val="en-GB"/>
        </w:rPr>
        <w:t xml:space="preserve"> only for </w:t>
      </w:r>
      <w:r w:rsidR="00282842" w:rsidRPr="00FB41EA">
        <w:rPr>
          <w:rFonts w:cs="Arial"/>
          <w:sz w:val="20"/>
          <w:szCs w:val="20"/>
          <w:lang w:val="en-GB"/>
        </w:rPr>
        <w:t xml:space="preserve">several of the four </w:t>
      </w:r>
      <w:r w:rsidR="00B85F35" w:rsidRPr="00FB41EA">
        <w:rPr>
          <w:rFonts w:cs="Arial"/>
          <w:sz w:val="20"/>
          <w:szCs w:val="20"/>
          <w:lang w:val="en-GB"/>
        </w:rPr>
        <w:t>OPEG and OPPC priority measures</w:t>
      </w:r>
      <w:r w:rsidR="005830C8" w:rsidRPr="00FB41EA">
        <w:rPr>
          <w:rFonts w:cs="Arial"/>
          <w:sz w:val="20"/>
          <w:szCs w:val="20"/>
          <w:lang w:val="en-GB"/>
        </w:rPr>
        <w:t xml:space="preserve">. </w:t>
      </w:r>
      <w:r w:rsidR="00330A77" w:rsidRPr="00FB41EA">
        <w:rPr>
          <w:rFonts w:cs="Arial"/>
          <w:sz w:val="20"/>
          <w:szCs w:val="20"/>
          <w:lang w:val="en-GB"/>
        </w:rPr>
        <w:t xml:space="preserve">EIA </w:t>
      </w:r>
      <w:r w:rsidR="00B657A0" w:rsidRPr="00FB41EA">
        <w:rPr>
          <w:rFonts w:cs="Arial"/>
          <w:sz w:val="20"/>
          <w:szCs w:val="20"/>
          <w:lang w:val="en-GB"/>
        </w:rPr>
        <w:t>is applicable to infrastructure and</w:t>
      </w:r>
      <w:r w:rsidR="00330A77" w:rsidRPr="00FB41EA">
        <w:rPr>
          <w:rFonts w:cs="Arial"/>
          <w:sz w:val="20"/>
          <w:szCs w:val="20"/>
          <w:lang w:val="en-GB"/>
        </w:rPr>
        <w:t xml:space="preserve"> environmental projects</w:t>
      </w:r>
      <w:r w:rsidR="005830C8" w:rsidRPr="00FB41EA">
        <w:rPr>
          <w:rFonts w:cs="Arial"/>
          <w:sz w:val="20"/>
          <w:szCs w:val="20"/>
          <w:lang w:val="en-GB"/>
        </w:rPr>
        <w:t xml:space="preserve">, </w:t>
      </w:r>
      <w:r w:rsidR="00330A77" w:rsidRPr="00FB41EA">
        <w:rPr>
          <w:rFonts w:cs="Arial"/>
          <w:sz w:val="20"/>
          <w:szCs w:val="20"/>
          <w:lang w:val="en-GB"/>
        </w:rPr>
        <w:t xml:space="preserve">and the main challenge is the </w:t>
      </w:r>
      <w:r w:rsidR="00B657A0" w:rsidRPr="00FB41EA">
        <w:rPr>
          <w:rFonts w:cs="Arial"/>
          <w:sz w:val="20"/>
          <w:szCs w:val="20"/>
          <w:lang w:val="en-GB"/>
        </w:rPr>
        <w:t>capabilities of the implementing institutions to evaluate the quality of such assessments</w:t>
      </w:r>
      <w:r w:rsidR="005830C8" w:rsidRPr="00FB41EA">
        <w:rPr>
          <w:rFonts w:cs="Arial"/>
          <w:sz w:val="20"/>
          <w:szCs w:val="20"/>
          <w:lang w:val="en-GB"/>
        </w:rPr>
        <w:t xml:space="preserve">. </w:t>
      </w:r>
      <w:r w:rsidR="00B657A0" w:rsidRPr="00FB41EA">
        <w:rPr>
          <w:rFonts w:cs="Arial"/>
          <w:sz w:val="20"/>
          <w:szCs w:val="20"/>
          <w:lang w:val="en-GB"/>
        </w:rPr>
        <w:t xml:space="preserve">Therefore, to assure EIAs are truly useful, it </w:t>
      </w:r>
      <w:proofErr w:type="gramStart"/>
      <w:r w:rsidR="00B657A0" w:rsidRPr="00FB41EA">
        <w:rPr>
          <w:rFonts w:cs="Arial"/>
          <w:sz w:val="20"/>
          <w:szCs w:val="20"/>
          <w:lang w:val="en-GB"/>
        </w:rPr>
        <w:t>is recommended</w:t>
      </w:r>
      <w:proofErr w:type="gramEnd"/>
      <w:r w:rsidR="00B657A0" w:rsidRPr="00FB41EA">
        <w:rPr>
          <w:rFonts w:cs="Arial"/>
          <w:sz w:val="20"/>
          <w:szCs w:val="20"/>
          <w:lang w:val="en-GB"/>
        </w:rPr>
        <w:t xml:space="preserve"> to </w:t>
      </w:r>
      <w:r w:rsidR="004B0C0B" w:rsidRPr="00FB41EA">
        <w:rPr>
          <w:rFonts w:cs="Arial"/>
          <w:sz w:val="20"/>
          <w:szCs w:val="20"/>
          <w:lang w:val="en-GB"/>
        </w:rPr>
        <w:t>perform them as early as in the project p</w:t>
      </w:r>
      <w:r w:rsidR="00F30607" w:rsidRPr="00FB41EA">
        <w:rPr>
          <w:rFonts w:cs="Arial"/>
          <w:sz w:val="20"/>
          <w:szCs w:val="20"/>
          <w:lang w:val="en-GB"/>
        </w:rPr>
        <w:t>lanning stage before including the</w:t>
      </w:r>
      <w:r w:rsidR="004B0C0B" w:rsidRPr="00FB41EA">
        <w:rPr>
          <w:rFonts w:cs="Arial"/>
          <w:sz w:val="20"/>
          <w:szCs w:val="20"/>
          <w:lang w:val="en-GB"/>
        </w:rPr>
        <w:t xml:space="preserve"> project </w:t>
      </w:r>
      <w:r w:rsidR="00F30607" w:rsidRPr="00FB41EA">
        <w:rPr>
          <w:rFonts w:cs="Arial"/>
          <w:sz w:val="20"/>
          <w:szCs w:val="20"/>
          <w:lang w:val="en-GB"/>
        </w:rPr>
        <w:t xml:space="preserve">in the list of national/regional project plans. </w:t>
      </w:r>
    </w:p>
    <w:p w14:paraId="79ABE249" w14:textId="17EB62A5" w:rsidR="00F878C6" w:rsidRPr="00FB41EA" w:rsidRDefault="0009715F" w:rsidP="00F878C6">
      <w:pPr>
        <w:spacing w:line="240" w:lineRule="auto"/>
        <w:jc w:val="both"/>
        <w:rPr>
          <w:rFonts w:cs="Arial"/>
          <w:color w:val="000000"/>
          <w:sz w:val="20"/>
          <w:szCs w:val="20"/>
          <w:lang w:val="en-GB"/>
        </w:rPr>
      </w:pPr>
      <w:r w:rsidRPr="00FB41EA">
        <w:rPr>
          <w:rFonts w:cs="Arial"/>
          <w:color w:val="000000"/>
          <w:sz w:val="20"/>
          <w:szCs w:val="20"/>
          <w:lang w:val="en-GB"/>
        </w:rPr>
        <w:t>Territorial impact assessment</w:t>
      </w:r>
      <w:r w:rsidR="005830C8" w:rsidRPr="00FB41EA">
        <w:rPr>
          <w:rFonts w:cs="Arial"/>
          <w:color w:val="000000"/>
          <w:sz w:val="20"/>
          <w:szCs w:val="20"/>
          <w:lang w:val="en-GB"/>
        </w:rPr>
        <w:t xml:space="preserve"> (</w:t>
      </w:r>
      <w:r w:rsidRPr="00FB41EA">
        <w:rPr>
          <w:rFonts w:cs="Arial"/>
          <w:color w:val="000000"/>
          <w:sz w:val="20"/>
          <w:szCs w:val="20"/>
          <w:lang w:val="en-GB"/>
        </w:rPr>
        <w:t>hereinafter – TIA</w:t>
      </w:r>
      <w:r w:rsidR="005830C8" w:rsidRPr="00FB41EA">
        <w:rPr>
          <w:rFonts w:cs="Arial"/>
          <w:color w:val="000000"/>
          <w:sz w:val="20"/>
          <w:szCs w:val="20"/>
          <w:lang w:val="en-GB"/>
        </w:rPr>
        <w:t xml:space="preserve">) </w:t>
      </w:r>
      <w:r w:rsidR="001A5BB1" w:rsidRPr="00FB41EA">
        <w:rPr>
          <w:rFonts w:cs="Arial"/>
          <w:color w:val="000000"/>
          <w:sz w:val="20"/>
          <w:szCs w:val="20"/>
          <w:lang w:val="en-GB"/>
        </w:rPr>
        <w:t xml:space="preserve">is </w:t>
      </w:r>
      <w:r w:rsidR="00E32F4C">
        <w:rPr>
          <w:rFonts w:cs="Arial"/>
          <w:color w:val="000000"/>
          <w:sz w:val="20"/>
          <w:szCs w:val="20"/>
          <w:lang w:val="en-GB"/>
        </w:rPr>
        <w:t>designed</w:t>
      </w:r>
      <w:r w:rsidR="001A5BB1" w:rsidRPr="00FB41EA">
        <w:rPr>
          <w:rFonts w:cs="Arial"/>
          <w:color w:val="000000"/>
          <w:sz w:val="20"/>
          <w:szCs w:val="20"/>
          <w:lang w:val="en-GB"/>
        </w:rPr>
        <w:t xml:space="preserve"> for assessing the impact of various EU political instruments in a specific territory. </w:t>
      </w:r>
      <w:r w:rsidR="008B50D4" w:rsidRPr="00FB41EA">
        <w:rPr>
          <w:rFonts w:cs="Arial"/>
          <w:color w:val="000000"/>
          <w:sz w:val="20"/>
          <w:szCs w:val="20"/>
          <w:lang w:val="en-GB"/>
        </w:rPr>
        <w:t xml:space="preserve">TIA may seem unusual due to its complex nature, large-scale analyses and various impact assessments. </w:t>
      </w:r>
      <w:r w:rsidR="0070320C" w:rsidRPr="00FB41EA">
        <w:rPr>
          <w:rFonts w:cs="Arial"/>
          <w:color w:val="000000"/>
          <w:sz w:val="20"/>
          <w:szCs w:val="20"/>
          <w:lang w:val="en-GB"/>
        </w:rPr>
        <w:t>The essence of this tool is identifying an anticipated as well as unexpected impact of various instruments</w:t>
      </w:r>
      <w:r w:rsidR="005830C8" w:rsidRPr="00FB41EA">
        <w:rPr>
          <w:rFonts w:cs="Arial"/>
          <w:color w:val="000000"/>
          <w:sz w:val="20"/>
          <w:szCs w:val="20"/>
          <w:lang w:val="en-GB"/>
        </w:rPr>
        <w:t xml:space="preserve">. </w:t>
      </w:r>
      <w:r w:rsidR="0070320C" w:rsidRPr="00FB41EA">
        <w:rPr>
          <w:rFonts w:cs="Arial"/>
          <w:color w:val="000000"/>
          <w:sz w:val="20"/>
          <w:szCs w:val="20"/>
          <w:lang w:val="en-GB"/>
        </w:rPr>
        <w:t>It is important to emphasise that different EU structural funds invest in separate territories in Lithuania</w:t>
      </w:r>
      <w:r w:rsidR="005830C8" w:rsidRPr="00FB41EA">
        <w:rPr>
          <w:rFonts w:cs="Arial"/>
          <w:color w:val="000000"/>
          <w:sz w:val="20"/>
          <w:szCs w:val="20"/>
          <w:lang w:val="en-GB"/>
        </w:rPr>
        <w:t xml:space="preserve">, </w:t>
      </w:r>
      <w:r w:rsidR="00B92489" w:rsidRPr="00FB41EA">
        <w:rPr>
          <w:rFonts w:cs="Arial"/>
          <w:color w:val="000000"/>
          <w:sz w:val="20"/>
          <w:szCs w:val="20"/>
          <w:lang w:val="en-GB"/>
        </w:rPr>
        <w:t xml:space="preserve">and other financial assistance </w:t>
      </w:r>
      <w:proofErr w:type="gramStart"/>
      <w:r w:rsidR="00B92489" w:rsidRPr="00FB41EA">
        <w:rPr>
          <w:rFonts w:cs="Arial"/>
          <w:color w:val="000000"/>
          <w:sz w:val="20"/>
          <w:szCs w:val="20"/>
          <w:lang w:val="en-GB"/>
        </w:rPr>
        <w:t>is used</w:t>
      </w:r>
      <w:proofErr w:type="gramEnd"/>
      <w:r w:rsidR="00B92489" w:rsidRPr="00FB41EA">
        <w:rPr>
          <w:rFonts w:cs="Arial"/>
          <w:color w:val="000000"/>
          <w:sz w:val="20"/>
          <w:szCs w:val="20"/>
          <w:lang w:val="en-GB"/>
        </w:rPr>
        <w:t xml:space="preserve"> as well </w:t>
      </w:r>
      <w:r w:rsidR="005830C8" w:rsidRPr="00FB41EA">
        <w:rPr>
          <w:rFonts w:cs="Arial"/>
          <w:color w:val="000000"/>
          <w:sz w:val="20"/>
          <w:szCs w:val="20"/>
          <w:lang w:val="en-GB"/>
        </w:rPr>
        <w:t>(</w:t>
      </w:r>
      <w:proofErr w:type="spellStart"/>
      <w:r w:rsidR="00B92489" w:rsidRPr="00FB41EA">
        <w:rPr>
          <w:rFonts w:cs="Arial"/>
          <w:color w:val="000000"/>
          <w:sz w:val="20"/>
          <w:szCs w:val="20"/>
          <w:lang w:val="en-GB"/>
        </w:rPr>
        <w:t>eg</w:t>
      </w:r>
      <w:proofErr w:type="spellEnd"/>
      <w:r w:rsidR="00B92489" w:rsidRPr="00FB41EA">
        <w:rPr>
          <w:rFonts w:cs="Arial"/>
          <w:color w:val="000000"/>
          <w:sz w:val="20"/>
          <w:szCs w:val="20"/>
          <w:lang w:val="en-GB"/>
        </w:rPr>
        <w:t>.</w:t>
      </w:r>
      <w:r w:rsidR="005830C8" w:rsidRPr="00FB41EA">
        <w:rPr>
          <w:rFonts w:cs="Arial"/>
          <w:color w:val="000000"/>
          <w:sz w:val="20"/>
          <w:szCs w:val="20"/>
          <w:lang w:val="en-GB"/>
        </w:rPr>
        <w:t xml:space="preserve"> EE</w:t>
      </w:r>
      <w:r w:rsidR="00B92489" w:rsidRPr="00FB41EA">
        <w:rPr>
          <w:rFonts w:cs="Arial"/>
          <w:color w:val="000000"/>
          <w:sz w:val="20"/>
          <w:szCs w:val="20"/>
          <w:lang w:val="en-GB"/>
        </w:rPr>
        <w:t xml:space="preserve">A, </w:t>
      </w:r>
      <w:r w:rsidR="005830C8" w:rsidRPr="00FB41EA">
        <w:rPr>
          <w:rFonts w:cs="Arial"/>
          <w:color w:val="000000"/>
          <w:sz w:val="20"/>
          <w:szCs w:val="20"/>
          <w:lang w:val="en-GB"/>
        </w:rPr>
        <w:t>Nor</w:t>
      </w:r>
      <w:r w:rsidR="00B92489" w:rsidRPr="00FB41EA">
        <w:rPr>
          <w:rFonts w:cs="Arial"/>
          <w:color w:val="000000"/>
          <w:sz w:val="20"/>
          <w:szCs w:val="20"/>
          <w:lang w:val="en-GB"/>
        </w:rPr>
        <w:t>wegian, Swiss financial assistance funds</w:t>
      </w:r>
      <w:r w:rsidR="005830C8" w:rsidRPr="00FB41EA">
        <w:rPr>
          <w:rFonts w:cs="Arial"/>
          <w:color w:val="000000"/>
          <w:sz w:val="20"/>
          <w:szCs w:val="20"/>
          <w:lang w:val="en-GB"/>
        </w:rPr>
        <w:t xml:space="preserve">). </w:t>
      </w:r>
      <w:r w:rsidR="00C15C0A" w:rsidRPr="00FB41EA">
        <w:rPr>
          <w:rFonts w:cs="Arial"/>
          <w:color w:val="000000"/>
          <w:sz w:val="20"/>
          <w:szCs w:val="20"/>
          <w:lang w:val="en-GB"/>
        </w:rPr>
        <w:t xml:space="preserve">No assessments were performed during </w:t>
      </w:r>
      <w:r w:rsidR="005830C8" w:rsidRPr="00FB41EA">
        <w:rPr>
          <w:rFonts w:cs="Arial"/>
          <w:color w:val="000000"/>
          <w:sz w:val="20"/>
          <w:szCs w:val="20"/>
          <w:lang w:val="en-GB"/>
        </w:rPr>
        <w:t>2007–2013</w:t>
      </w:r>
      <w:r w:rsidR="00C15C0A" w:rsidRPr="00FB41EA">
        <w:rPr>
          <w:rFonts w:cs="Arial"/>
          <w:color w:val="000000"/>
          <w:sz w:val="20"/>
          <w:szCs w:val="20"/>
          <w:lang w:val="en-GB"/>
        </w:rPr>
        <w:t xml:space="preserve">, which would evaluate complex </w:t>
      </w:r>
      <w:r w:rsidR="00CC31D7" w:rsidRPr="00FB41EA">
        <w:rPr>
          <w:rFonts w:cs="Arial"/>
          <w:color w:val="000000"/>
          <w:sz w:val="20"/>
          <w:szCs w:val="20"/>
          <w:lang w:val="en-GB"/>
        </w:rPr>
        <w:t xml:space="preserve">financial </w:t>
      </w:r>
      <w:proofErr w:type="gramStart"/>
      <w:r w:rsidR="00CC31D7" w:rsidRPr="00FB41EA">
        <w:rPr>
          <w:rFonts w:cs="Arial"/>
          <w:color w:val="000000"/>
          <w:sz w:val="20"/>
          <w:szCs w:val="20"/>
          <w:lang w:val="en-GB"/>
        </w:rPr>
        <w:t>investments and</w:t>
      </w:r>
      <w:r w:rsidR="00C15C0A" w:rsidRPr="00FB41EA">
        <w:rPr>
          <w:rFonts w:cs="Arial"/>
          <w:color w:val="000000"/>
          <w:sz w:val="20"/>
          <w:szCs w:val="20"/>
          <w:lang w:val="en-GB"/>
        </w:rPr>
        <w:t xml:space="preserve"> their interoperability, divides</w:t>
      </w:r>
      <w:proofErr w:type="gramEnd"/>
      <w:r w:rsidR="00C15C0A" w:rsidRPr="00FB41EA">
        <w:rPr>
          <w:rFonts w:cs="Arial"/>
          <w:color w:val="000000"/>
          <w:sz w:val="20"/>
          <w:szCs w:val="20"/>
          <w:lang w:val="en-GB"/>
        </w:rPr>
        <w:t xml:space="preserve"> and potential overlaps</w:t>
      </w:r>
      <w:r w:rsidR="005830C8" w:rsidRPr="00FB41EA">
        <w:rPr>
          <w:rFonts w:cs="Arial"/>
          <w:color w:val="000000"/>
          <w:sz w:val="20"/>
          <w:szCs w:val="20"/>
          <w:lang w:val="en-GB"/>
        </w:rPr>
        <w:t xml:space="preserve">. </w:t>
      </w:r>
      <w:r w:rsidR="00CC31D7" w:rsidRPr="00FB41EA">
        <w:rPr>
          <w:rFonts w:cs="Arial"/>
          <w:color w:val="000000"/>
          <w:sz w:val="20"/>
          <w:szCs w:val="20"/>
          <w:lang w:val="en-GB"/>
        </w:rPr>
        <w:t>TIA performed, for instance, by the Office of the Government or separate local municipalities would ensure a</w:t>
      </w:r>
      <w:r w:rsidR="009716E9" w:rsidRPr="00FB41EA">
        <w:rPr>
          <w:rFonts w:cs="Arial"/>
          <w:color w:val="000000"/>
          <w:sz w:val="20"/>
          <w:szCs w:val="20"/>
          <w:lang w:val="en-GB"/>
        </w:rPr>
        <w:t xml:space="preserve"> more targeted use of funds.</w:t>
      </w:r>
    </w:p>
    <w:p w14:paraId="521503C1" w14:textId="29FDB633" w:rsidR="005830C8" w:rsidRPr="00FB41EA" w:rsidRDefault="003B21CA" w:rsidP="005830C8">
      <w:pPr>
        <w:spacing w:line="240" w:lineRule="auto"/>
        <w:jc w:val="both"/>
        <w:rPr>
          <w:rFonts w:cs="Arial"/>
          <w:sz w:val="20"/>
          <w:szCs w:val="20"/>
          <w:lang w:val="en-GB"/>
        </w:rPr>
      </w:pPr>
      <w:r w:rsidRPr="00FB41EA">
        <w:rPr>
          <w:rFonts w:cs="Arial"/>
          <w:sz w:val="20"/>
          <w:szCs w:val="20"/>
          <w:lang w:val="en-GB"/>
        </w:rPr>
        <w:t>The evaluation also identifie</w:t>
      </w:r>
      <w:r w:rsidR="004510EC">
        <w:rPr>
          <w:rFonts w:cs="Arial"/>
          <w:sz w:val="20"/>
          <w:szCs w:val="20"/>
          <w:lang w:val="en-GB"/>
        </w:rPr>
        <w:t>d</w:t>
      </w:r>
      <w:r w:rsidRPr="00FB41EA">
        <w:rPr>
          <w:rFonts w:cs="Arial"/>
          <w:sz w:val="20"/>
          <w:szCs w:val="20"/>
          <w:lang w:val="en-GB"/>
        </w:rPr>
        <w:t xml:space="preserve"> that the major attention to the horizontal principle of the sustainable development </w:t>
      </w:r>
      <w:proofErr w:type="gramStart"/>
      <w:r w:rsidRPr="00FB41EA">
        <w:rPr>
          <w:rFonts w:cs="Arial"/>
          <w:sz w:val="20"/>
          <w:szCs w:val="20"/>
          <w:lang w:val="en-GB"/>
        </w:rPr>
        <w:t>is given</w:t>
      </w:r>
      <w:proofErr w:type="gramEnd"/>
      <w:r w:rsidRPr="00FB41EA">
        <w:rPr>
          <w:rFonts w:cs="Arial"/>
          <w:sz w:val="20"/>
          <w:szCs w:val="20"/>
          <w:lang w:val="en-GB"/>
        </w:rPr>
        <w:t xml:space="preserve"> in the environmental sector. </w:t>
      </w:r>
      <w:proofErr w:type="gramStart"/>
      <w:r w:rsidR="005D0192" w:rsidRPr="00FB41EA">
        <w:rPr>
          <w:rFonts w:cs="Arial"/>
          <w:sz w:val="20"/>
          <w:szCs w:val="20"/>
          <w:lang w:val="en-GB"/>
        </w:rPr>
        <w:t xml:space="preserve">The horizontal principle of the sustainable development is also relevant for urban development, diversification of economic activity, </w:t>
      </w:r>
      <w:r w:rsidR="004E5405" w:rsidRPr="00FB41EA">
        <w:rPr>
          <w:rFonts w:cs="Arial"/>
          <w:sz w:val="20"/>
          <w:szCs w:val="20"/>
          <w:lang w:val="en-GB"/>
        </w:rPr>
        <w:t xml:space="preserve">issues of environmental regulation implementation; however, </w:t>
      </w:r>
      <w:r w:rsidR="002B2DE3" w:rsidRPr="00FB41EA">
        <w:rPr>
          <w:rFonts w:cs="Arial"/>
          <w:sz w:val="20"/>
          <w:szCs w:val="20"/>
          <w:lang w:val="en-GB"/>
        </w:rPr>
        <w:t>evaluating investments in the public sector or the impact of the EU structural assis</w:t>
      </w:r>
      <w:r w:rsidR="005C6201" w:rsidRPr="00FB41EA">
        <w:rPr>
          <w:rFonts w:cs="Arial"/>
          <w:sz w:val="20"/>
          <w:szCs w:val="20"/>
          <w:lang w:val="en-GB"/>
        </w:rPr>
        <w:t>tance on the quality of life,</w:t>
      </w:r>
      <w:r w:rsidR="002B2DE3" w:rsidRPr="00FB41EA">
        <w:rPr>
          <w:rFonts w:cs="Arial"/>
          <w:sz w:val="20"/>
          <w:szCs w:val="20"/>
          <w:lang w:val="en-GB"/>
        </w:rPr>
        <w:t xml:space="preserve"> social exclusion and poverty mitigation in Lithuania, </w:t>
      </w:r>
      <w:r w:rsidR="004E5405" w:rsidRPr="00FB41EA">
        <w:rPr>
          <w:rFonts w:cs="Arial"/>
          <w:sz w:val="20"/>
          <w:szCs w:val="20"/>
          <w:lang w:val="en-GB"/>
        </w:rPr>
        <w:t>not enough attention is paid to the horizontal priorities (</w:t>
      </w:r>
      <w:proofErr w:type="spellStart"/>
      <w:r w:rsidR="004E5405" w:rsidRPr="00FB41EA">
        <w:rPr>
          <w:rFonts w:cs="Arial"/>
          <w:sz w:val="20"/>
          <w:szCs w:val="20"/>
          <w:lang w:val="en-GB"/>
        </w:rPr>
        <w:t>i</w:t>
      </w:r>
      <w:proofErr w:type="spellEnd"/>
      <w:r w:rsidR="004E5405" w:rsidRPr="00FB41EA">
        <w:rPr>
          <w:rFonts w:cs="Arial"/>
          <w:sz w:val="20"/>
          <w:szCs w:val="20"/>
          <w:lang w:val="en-GB"/>
        </w:rPr>
        <w:t>. e. sustainable development)</w:t>
      </w:r>
      <w:r w:rsidR="005830C8" w:rsidRPr="00FB41EA">
        <w:rPr>
          <w:rFonts w:cs="Arial"/>
          <w:sz w:val="20"/>
          <w:szCs w:val="20"/>
          <w:lang w:val="en-GB"/>
        </w:rPr>
        <w:t>.</w:t>
      </w:r>
      <w:proofErr w:type="gramEnd"/>
      <w:r w:rsidR="005830C8" w:rsidRPr="00FB41EA">
        <w:rPr>
          <w:rFonts w:cs="Arial"/>
          <w:sz w:val="20"/>
          <w:szCs w:val="20"/>
          <w:lang w:val="en-GB"/>
        </w:rPr>
        <w:t xml:space="preserve"> </w:t>
      </w:r>
    </w:p>
    <w:p w14:paraId="0B3DD90F" w14:textId="0E28CFF2" w:rsidR="005830C8" w:rsidRPr="00FB41EA" w:rsidRDefault="00543782" w:rsidP="005830C8">
      <w:pPr>
        <w:spacing w:line="240" w:lineRule="auto"/>
        <w:jc w:val="both"/>
        <w:rPr>
          <w:b/>
          <w:color w:val="81BC00"/>
          <w:sz w:val="20"/>
          <w:szCs w:val="20"/>
          <w:lang w:val="en-GB"/>
        </w:rPr>
      </w:pPr>
      <w:r w:rsidRPr="00FB41EA">
        <w:rPr>
          <w:b/>
          <w:color w:val="81BC00"/>
          <w:sz w:val="20"/>
          <w:szCs w:val="20"/>
          <w:lang w:val="en-GB"/>
        </w:rPr>
        <w:t xml:space="preserve">Having performed the PFTM analysis of the </w:t>
      </w:r>
      <w:r w:rsidR="005830C8" w:rsidRPr="00FB41EA">
        <w:rPr>
          <w:b/>
          <w:color w:val="81BC00"/>
          <w:sz w:val="20"/>
          <w:szCs w:val="20"/>
          <w:lang w:val="en-GB"/>
        </w:rPr>
        <w:t xml:space="preserve">2007–2013 </w:t>
      </w:r>
      <w:r w:rsidRPr="00FB41EA">
        <w:rPr>
          <w:b/>
          <w:color w:val="81BC00"/>
          <w:sz w:val="20"/>
          <w:szCs w:val="20"/>
          <w:lang w:val="en-GB"/>
        </w:rPr>
        <w:t>programming period</w:t>
      </w:r>
      <w:r w:rsidR="005830C8" w:rsidRPr="00FB41EA">
        <w:rPr>
          <w:b/>
          <w:color w:val="81BC00"/>
          <w:sz w:val="20"/>
          <w:szCs w:val="20"/>
          <w:lang w:val="en-GB"/>
        </w:rPr>
        <w:t xml:space="preserve">, </w:t>
      </w:r>
      <w:r w:rsidRPr="00FB41EA">
        <w:rPr>
          <w:b/>
          <w:color w:val="81BC00"/>
          <w:sz w:val="20"/>
          <w:szCs w:val="20"/>
          <w:lang w:val="en-GB"/>
        </w:rPr>
        <w:t>the evaluation identifie</w:t>
      </w:r>
      <w:r w:rsidR="004510EC">
        <w:rPr>
          <w:b/>
          <w:color w:val="81BC00"/>
          <w:sz w:val="20"/>
          <w:szCs w:val="20"/>
          <w:lang w:val="en-GB"/>
        </w:rPr>
        <w:t>d</w:t>
      </w:r>
      <w:r w:rsidRPr="00FB41EA">
        <w:rPr>
          <w:b/>
          <w:color w:val="81BC00"/>
          <w:sz w:val="20"/>
          <w:szCs w:val="20"/>
          <w:lang w:val="en-GB"/>
        </w:rPr>
        <w:t xml:space="preserve"> that in most cases (</w:t>
      </w:r>
      <w:proofErr w:type="spellStart"/>
      <w:r w:rsidRPr="00FB41EA">
        <w:rPr>
          <w:b/>
          <w:color w:val="81BC00"/>
          <w:sz w:val="20"/>
          <w:szCs w:val="20"/>
          <w:lang w:val="en-GB"/>
        </w:rPr>
        <w:t>appr</w:t>
      </w:r>
      <w:proofErr w:type="spellEnd"/>
      <w:r w:rsidRPr="00FB41EA">
        <w:rPr>
          <w:b/>
          <w:color w:val="81BC00"/>
          <w:sz w:val="20"/>
          <w:szCs w:val="20"/>
          <w:lang w:val="en-GB"/>
        </w:rPr>
        <w:t>.</w:t>
      </w:r>
      <w:r w:rsidR="005830C8" w:rsidRPr="00FB41EA">
        <w:rPr>
          <w:b/>
          <w:color w:val="81BC00"/>
          <w:sz w:val="20"/>
          <w:szCs w:val="20"/>
          <w:lang w:val="en-GB"/>
        </w:rPr>
        <w:t xml:space="preserve"> 80</w:t>
      </w:r>
      <w:r w:rsidRPr="00FB41EA">
        <w:rPr>
          <w:b/>
          <w:color w:val="81BC00"/>
          <w:sz w:val="20"/>
          <w:szCs w:val="20"/>
          <w:lang w:val="en-GB"/>
        </w:rPr>
        <w:t>%</w:t>
      </w:r>
      <w:r w:rsidR="005830C8" w:rsidRPr="00FB41EA">
        <w:rPr>
          <w:b/>
          <w:color w:val="81BC00"/>
          <w:sz w:val="20"/>
          <w:szCs w:val="20"/>
          <w:lang w:val="en-GB"/>
        </w:rPr>
        <w:t xml:space="preserve">) </w:t>
      </w:r>
      <w:r w:rsidRPr="00FB41EA">
        <w:rPr>
          <w:b/>
          <w:color w:val="81BC00"/>
          <w:sz w:val="20"/>
          <w:szCs w:val="20"/>
          <w:lang w:val="en-GB"/>
        </w:rPr>
        <w:t xml:space="preserve">the horizontal priority of sustainable development </w:t>
      </w:r>
      <w:proofErr w:type="gramStart"/>
      <w:r w:rsidRPr="00FB41EA">
        <w:rPr>
          <w:b/>
          <w:color w:val="81BC00"/>
          <w:sz w:val="20"/>
          <w:szCs w:val="20"/>
          <w:lang w:val="en-GB"/>
        </w:rPr>
        <w:t xml:space="preserve">is </w:t>
      </w:r>
      <w:r w:rsidR="00AB64B6" w:rsidRPr="00FB41EA">
        <w:rPr>
          <w:b/>
          <w:color w:val="81BC00"/>
          <w:sz w:val="20"/>
          <w:szCs w:val="20"/>
          <w:lang w:val="en-GB"/>
        </w:rPr>
        <w:t>implemented</w:t>
      </w:r>
      <w:proofErr w:type="gramEnd"/>
      <w:r w:rsidR="00AB64B6" w:rsidRPr="00FB41EA">
        <w:rPr>
          <w:b/>
          <w:color w:val="81BC00"/>
          <w:sz w:val="20"/>
          <w:szCs w:val="20"/>
          <w:lang w:val="en-GB"/>
        </w:rPr>
        <w:t xml:space="preserve"> using the integrated (horizontal) method</w:t>
      </w:r>
      <w:r w:rsidR="005830C8" w:rsidRPr="00FB41EA">
        <w:rPr>
          <w:rFonts w:cs="Arial"/>
          <w:sz w:val="20"/>
          <w:szCs w:val="20"/>
          <w:lang w:val="en-GB"/>
        </w:rPr>
        <w:t xml:space="preserve">. </w:t>
      </w:r>
      <w:r w:rsidR="00AB64B6" w:rsidRPr="00FB41EA">
        <w:rPr>
          <w:rFonts w:cs="Arial"/>
          <w:sz w:val="20"/>
          <w:szCs w:val="20"/>
          <w:lang w:val="en-GB"/>
        </w:rPr>
        <w:t xml:space="preserve">Only for </w:t>
      </w:r>
      <w:r w:rsidR="005830C8" w:rsidRPr="00FB41EA">
        <w:rPr>
          <w:rFonts w:cs="Arial"/>
          <w:sz w:val="20"/>
          <w:szCs w:val="20"/>
          <w:lang w:val="en-GB"/>
        </w:rPr>
        <w:t>20</w:t>
      </w:r>
      <w:r w:rsidR="00AB64B6" w:rsidRPr="00FB41EA">
        <w:rPr>
          <w:rFonts w:cs="Arial"/>
          <w:sz w:val="20"/>
          <w:szCs w:val="20"/>
          <w:lang w:val="en-GB"/>
        </w:rPr>
        <w:t>% of all analysed measures</w:t>
      </w:r>
      <w:r w:rsidR="00916C17" w:rsidRPr="00FB41EA">
        <w:rPr>
          <w:rFonts w:cs="Arial"/>
          <w:sz w:val="20"/>
          <w:szCs w:val="20"/>
          <w:lang w:val="en-GB"/>
        </w:rPr>
        <w:t>,</w:t>
      </w:r>
      <w:r w:rsidR="00AB64B6" w:rsidRPr="00FB41EA">
        <w:rPr>
          <w:rFonts w:cs="Arial"/>
          <w:sz w:val="20"/>
          <w:szCs w:val="20"/>
          <w:lang w:val="en-GB"/>
        </w:rPr>
        <w:t xml:space="preserve"> the horizontal priority </w:t>
      </w:r>
      <w:r w:rsidR="007D3F14" w:rsidRPr="00FB41EA">
        <w:rPr>
          <w:rFonts w:cs="Arial"/>
          <w:sz w:val="20"/>
          <w:szCs w:val="20"/>
          <w:lang w:val="en-GB"/>
        </w:rPr>
        <w:t>was</w:t>
      </w:r>
      <w:r w:rsidR="00AB64B6" w:rsidRPr="00FB41EA">
        <w:rPr>
          <w:rFonts w:cs="Arial"/>
          <w:sz w:val="20"/>
          <w:szCs w:val="20"/>
          <w:lang w:val="en-GB"/>
        </w:rPr>
        <w:t xml:space="preserve"> implemented using </w:t>
      </w:r>
      <w:r w:rsidR="005830C8" w:rsidRPr="00FB41EA">
        <w:rPr>
          <w:rFonts w:cs="Arial"/>
          <w:sz w:val="20"/>
          <w:szCs w:val="20"/>
          <w:lang w:val="en-GB"/>
        </w:rPr>
        <w:t>di</w:t>
      </w:r>
      <w:r w:rsidR="001237AD" w:rsidRPr="00FB41EA">
        <w:rPr>
          <w:rFonts w:cs="Arial"/>
          <w:sz w:val="20"/>
          <w:szCs w:val="20"/>
          <w:lang w:val="en-GB"/>
        </w:rPr>
        <w:t>f</w:t>
      </w:r>
      <w:r w:rsidR="005830C8" w:rsidRPr="00FB41EA">
        <w:rPr>
          <w:rFonts w:cs="Arial"/>
          <w:sz w:val="20"/>
          <w:szCs w:val="20"/>
          <w:lang w:val="en-GB"/>
        </w:rPr>
        <w:t>feren</w:t>
      </w:r>
      <w:r w:rsidR="001237AD" w:rsidRPr="00FB41EA">
        <w:rPr>
          <w:rFonts w:cs="Arial"/>
          <w:sz w:val="20"/>
          <w:szCs w:val="20"/>
          <w:lang w:val="en-GB"/>
        </w:rPr>
        <w:t xml:space="preserve">tiated (vertical) method. </w:t>
      </w:r>
      <w:r w:rsidR="00F25D38" w:rsidRPr="00FB41EA">
        <w:rPr>
          <w:b/>
          <w:color w:val="81BC00"/>
          <w:sz w:val="20"/>
          <w:szCs w:val="20"/>
          <w:lang w:val="en-GB"/>
        </w:rPr>
        <w:t xml:space="preserve">Integrated implementation methods in Lithuania </w:t>
      </w:r>
      <w:r w:rsidR="00EA3AE8" w:rsidRPr="00FB41EA">
        <w:rPr>
          <w:b/>
          <w:color w:val="81BC00"/>
          <w:sz w:val="20"/>
          <w:szCs w:val="20"/>
          <w:lang w:val="en-GB"/>
        </w:rPr>
        <w:t>include</w:t>
      </w:r>
      <w:r w:rsidR="00F25D38" w:rsidRPr="00FB41EA">
        <w:rPr>
          <w:b/>
          <w:color w:val="81BC00"/>
          <w:sz w:val="20"/>
          <w:szCs w:val="20"/>
          <w:lang w:val="en-GB"/>
        </w:rPr>
        <w:t xml:space="preserve"> </w:t>
      </w:r>
      <w:r w:rsidR="00EA3AE8" w:rsidRPr="00FB41EA">
        <w:rPr>
          <w:b/>
          <w:color w:val="81BC00"/>
          <w:sz w:val="20"/>
          <w:szCs w:val="20"/>
          <w:lang w:val="en-GB"/>
        </w:rPr>
        <w:t>an application provided by a project developer, covering the description of the neutral impact on sustainable development or non-violation thereof</w:t>
      </w:r>
      <w:r w:rsidR="00EA3AE8" w:rsidRPr="00FB41EA">
        <w:rPr>
          <w:rFonts w:cs="Arial"/>
          <w:sz w:val="20"/>
          <w:szCs w:val="20"/>
          <w:lang w:val="en-GB"/>
        </w:rPr>
        <w:t xml:space="preserve">. Thus, integrated implementation methods </w:t>
      </w:r>
      <w:r w:rsidR="00916C17" w:rsidRPr="00FB41EA">
        <w:rPr>
          <w:rFonts w:cs="Arial"/>
          <w:sz w:val="20"/>
          <w:szCs w:val="20"/>
          <w:lang w:val="en-GB"/>
        </w:rPr>
        <w:t xml:space="preserve">involve passive measures. </w:t>
      </w:r>
    </w:p>
    <w:p w14:paraId="5EBCD509" w14:textId="1C31F212" w:rsidR="00F878C6" w:rsidRPr="00FB41EA" w:rsidRDefault="005830C8" w:rsidP="00F878C6">
      <w:pPr>
        <w:spacing w:line="240" w:lineRule="auto"/>
        <w:jc w:val="both"/>
        <w:rPr>
          <w:rFonts w:cs="Arial"/>
          <w:sz w:val="20"/>
          <w:szCs w:val="20"/>
          <w:lang w:val="en-GB"/>
        </w:rPr>
      </w:pPr>
      <w:r w:rsidRPr="00FB41EA">
        <w:rPr>
          <w:rFonts w:cs="Arial"/>
          <w:sz w:val="20"/>
          <w:szCs w:val="20"/>
          <w:lang w:val="en-GB"/>
        </w:rPr>
        <w:t>Dif</w:t>
      </w:r>
      <w:r w:rsidR="007D3F14" w:rsidRPr="00FB41EA">
        <w:rPr>
          <w:rFonts w:cs="Arial"/>
          <w:sz w:val="20"/>
          <w:szCs w:val="20"/>
          <w:lang w:val="en-GB"/>
        </w:rPr>
        <w:t xml:space="preserve">ferentiated implementation method in Lithuania during </w:t>
      </w:r>
      <w:r w:rsidRPr="00FB41EA">
        <w:rPr>
          <w:rFonts w:cs="Arial"/>
          <w:sz w:val="20"/>
          <w:szCs w:val="20"/>
          <w:lang w:val="en-GB"/>
        </w:rPr>
        <w:t xml:space="preserve">2007–2013 </w:t>
      </w:r>
      <w:r w:rsidR="00593D68" w:rsidRPr="00FB41EA">
        <w:rPr>
          <w:rFonts w:cs="Arial"/>
          <w:sz w:val="20"/>
          <w:szCs w:val="20"/>
          <w:lang w:val="en-GB"/>
        </w:rPr>
        <w:t xml:space="preserve">involved measures like SEIA, EIA, special selection criteria and special EU structural fund financing measures </w:t>
      </w:r>
      <w:r w:rsidR="0096081D" w:rsidRPr="00FB41EA">
        <w:rPr>
          <w:rFonts w:cs="Arial"/>
          <w:sz w:val="20"/>
          <w:szCs w:val="20"/>
          <w:lang w:val="en-GB"/>
        </w:rPr>
        <w:t>for sustainable development</w:t>
      </w:r>
      <w:r w:rsidRPr="00FB41EA">
        <w:rPr>
          <w:rFonts w:cs="Arial"/>
          <w:sz w:val="20"/>
          <w:szCs w:val="20"/>
          <w:lang w:val="en-GB"/>
        </w:rPr>
        <w:t xml:space="preserve">. </w:t>
      </w:r>
      <w:r w:rsidR="000E39FD" w:rsidRPr="00FB41EA">
        <w:rPr>
          <w:rFonts w:cs="Arial"/>
          <w:sz w:val="20"/>
          <w:szCs w:val="20"/>
          <w:lang w:val="en-GB"/>
        </w:rPr>
        <w:t>Al</w:t>
      </w:r>
      <w:r w:rsidR="0096081D" w:rsidRPr="00FB41EA">
        <w:rPr>
          <w:rFonts w:cs="Arial"/>
          <w:sz w:val="20"/>
          <w:szCs w:val="20"/>
          <w:lang w:val="en-GB"/>
        </w:rPr>
        <w:t xml:space="preserve">though the impact of vertically integrated sustainable development principle </w:t>
      </w:r>
      <w:r w:rsidRPr="00FB41EA">
        <w:rPr>
          <w:rFonts w:cs="Arial"/>
          <w:sz w:val="20"/>
          <w:szCs w:val="20"/>
          <w:lang w:val="en-GB"/>
        </w:rPr>
        <w:t>(</w:t>
      </w:r>
      <w:r w:rsidR="0096081D" w:rsidRPr="00FB41EA">
        <w:rPr>
          <w:rFonts w:cs="Arial"/>
          <w:sz w:val="20"/>
          <w:szCs w:val="20"/>
          <w:lang w:val="en-GB"/>
        </w:rPr>
        <w:t>through special</w:t>
      </w:r>
      <w:r w:rsidRPr="00FB41EA">
        <w:rPr>
          <w:rFonts w:cs="Arial"/>
          <w:sz w:val="20"/>
          <w:szCs w:val="20"/>
          <w:lang w:val="en-GB"/>
        </w:rPr>
        <w:t xml:space="preserve"> </w:t>
      </w:r>
      <w:r w:rsidR="0096081D" w:rsidRPr="00FB41EA">
        <w:rPr>
          <w:rFonts w:cs="Arial"/>
          <w:sz w:val="20"/>
          <w:szCs w:val="20"/>
          <w:lang w:val="en-GB"/>
        </w:rPr>
        <w:t>EU structural fund financing measures</w:t>
      </w:r>
      <w:r w:rsidRPr="00FB41EA">
        <w:rPr>
          <w:rFonts w:cs="Arial"/>
          <w:sz w:val="20"/>
          <w:szCs w:val="20"/>
          <w:lang w:val="en-GB"/>
        </w:rPr>
        <w:t xml:space="preserve">) </w:t>
      </w:r>
      <w:r w:rsidR="0096081D" w:rsidRPr="00FB41EA">
        <w:rPr>
          <w:rFonts w:cs="Arial"/>
          <w:sz w:val="20"/>
          <w:szCs w:val="20"/>
          <w:lang w:val="en-GB"/>
        </w:rPr>
        <w:t xml:space="preserve">on </w:t>
      </w:r>
      <w:r w:rsidR="007C3BD8" w:rsidRPr="00FB41EA">
        <w:rPr>
          <w:rFonts w:cs="Arial"/>
          <w:sz w:val="20"/>
          <w:szCs w:val="20"/>
          <w:lang w:val="en-GB"/>
        </w:rPr>
        <w:t>sustainable development is the most o</w:t>
      </w:r>
      <w:r w:rsidR="000E39FD" w:rsidRPr="00FB41EA">
        <w:rPr>
          <w:rFonts w:cs="Arial"/>
          <w:sz w:val="20"/>
          <w:szCs w:val="20"/>
          <w:lang w:val="en-GB"/>
        </w:rPr>
        <w:t>bvious and signif</w:t>
      </w:r>
      <w:r w:rsidR="007C3BD8" w:rsidRPr="00FB41EA">
        <w:rPr>
          <w:rFonts w:cs="Arial"/>
          <w:sz w:val="20"/>
          <w:szCs w:val="20"/>
          <w:lang w:val="en-GB"/>
        </w:rPr>
        <w:t>icant</w:t>
      </w:r>
      <w:r w:rsidRPr="00FB41EA">
        <w:rPr>
          <w:rFonts w:cs="Arial"/>
          <w:sz w:val="20"/>
          <w:szCs w:val="20"/>
          <w:lang w:val="en-GB"/>
        </w:rPr>
        <w:t xml:space="preserve">, </w:t>
      </w:r>
      <w:r w:rsidR="007C3BD8" w:rsidRPr="00FB41EA">
        <w:rPr>
          <w:rFonts w:cs="Arial"/>
          <w:sz w:val="20"/>
          <w:szCs w:val="20"/>
          <w:lang w:val="en-GB"/>
        </w:rPr>
        <w:t>according to some of the respondents havi</w:t>
      </w:r>
      <w:r w:rsidR="000E39FD" w:rsidRPr="00FB41EA">
        <w:rPr>
          <w:rFonts w:cs="Arial"/>
          <w:sz w:val="20"/>
          <w:szCs w:val="20"/>
          <w:lang w:val="en-GB"/>
        </w:rPr>
        <w:t>ng participated in the Evaluation</w:t>
      </w:r>
      <w:r w:rsidR="00791EFF" w:rsidRPr="00FB41EA">
        <w:rPr>
          <w:rFonts w:cs="Arial"/>
          <w:sz w:val="20"/>
          <w:szCs w:val="20"/>
          <w:lang w:val="en-GB"/>
        </w:rPr>
        <w:t>,</w:t>
      </w:r>
      <w:r w:rsidR="000E39FD" w:rsidRPr="00FB41EA">
        <w:rPr>
          <w:rFonts w:cs="Arial"/>
          <w:sz w:val="20"/>
          <w:szCs w:val="20"/>
          <w:lang w:val="en-GB"/>
        </w:rPr>
        <w:t xml:space="preserve"> such attitude narrows down the concept of </w:t>
      </w:r>
      <w:r w:rsidRPr="00FB41EA">
        <w:rPr>
          <w:rFonts w:cs="Arial"/>
          <w:sz w:val="20"/>
          <w:szCs w:val="20"/>
          <w:lang w:val="en-GB"/>
        </w:rPr>
        <w:t xml:space="preserve"> </w:t>
      </w:r>
      <w:r w:rsidR="00791EFF" w:rsidRPr="00FB41EA">
        <w:rPr>
          <w:rFonts w:cs="Arial"/>
          <w:sz w:val="20"/>
          <w:szCs w:val="20"/>
          <w:lang w:val="en-GB"/>
        </w:rPr>
        <w:t xml:space="preserve">the horizontal priority and </w:t>
      </w:r>
      <w:r w:rsidR="00C44FC9" w:rsidRPr="00FB41EA">
        <w:rPr>
          <w:rFonts w:cs="Arial"/>
          <w:sz w:val="20"/>
          <w:szCs w:val="20"/>
          <w:lang w:val="en-GB"/>
        </w:rPr>
        <w:t>debases its horizontal aspect.</w:t>
      </w:r>
      <w:r w:rsidR="00791EFF" w:rsidRPr="00FB41EA">
        <w:rPr>
          <w:rFonts w:cs="Arial"/>
          <w:sz w:val="20"/>
          <w:szCs w:val="20"/>
          <w:lang w:val="en-GB"/>
        </w:rPr>
        <w:t xml:space="preserve"> </w:t>
      </w:r>
      <w:r w:rsidR="00C44FC9" w:rsidRPr="00FB41EA">
        <w:rPr>
          <w:rFonts w:cs="Arial"/>
          <w:sz w:val="20"/>
          <w:szCs w:val="20"/>
          <w:lang w:val="en-GB"/>
        </w:rPr>
        <w:t>Foreign country analysis reveal</w:t>
      </w:r>
      <w:r w:rsidR="00124933">
        <w:rPr>
          <w:rFonts w:cs="Arial"/>
          <w:sz w:val="20"/>
          <w:szCs w:val="20"/>
          <w:lang w:val="en-GB"/>
        </w:rPr>
        <w:t>ed</w:t>
      </w:r>
      <w:r w:rsidR="00C44FC9" w:rsidRPr="00FB41EA">
        <w:rPr>
          <w:rFonts w:cs="Arial"/>
          <w:sz w:val="20"/>
          <w:szCs w:val="20"/>
          <w:lang w:val="en-GB"/>
        </w:rPr>
        <w:t xml:space="preserve"> that having supplemented separate investment directions with one vertical </w:t>
      </w:r>
      <w:r w:rsidR="00336027" w:rsidRPr="00FB41EA">
        <w:rPr>
          <w:rFonts w:cs="Arial"/>
          <w:sz w:val="20"/>
          <w:szCs w:val="20"/>
          <w:lang w:val="en-GB"/>
        </w:rPr>
        <w:t>sustainable development</w:t>
      </w:r>
      <w:r w:rsidR="00336027" w:rsidRPr="00FB41EA" w:rsidDel="00C44FC9">
        <w:rPr>
          <w:rFonts w:cs="Arial"/>
          <w:sz w:val="20"/>
          <w:szCs w:val="20"/>
          <w:lang w:val="en-GB"/>
        </w:rPr>
        <w:t xml:space="preserve"> </w:t>
      </w:r>
      <w:r w:rsidR="00336027" w:rsidRPr="00FB41EA">
        <w:rPr>
          <w:rFonts w:cs="Arial"/>
          <w:sz w:val="20"/>
          <w:szCs w:val="20"/>
          <w:lang w:val="en-GB"/>
        </w:rPr>
        <w:t>priority</w:t>
      </w:r>
      <w:r w:rsidR="00124933">
        <w:rPr>
          <w:rFonts w:cs="Arial"/>
          <w:sz w:val="20"/>
          <w:szCs w:val="20"/>
          <w:lang w:val="en-GB"/>
        </w:rPr>
        <w:t>,</w:t>
      </w:r>
      <w:r w:rsidR="00336027" w:rsidRPr="00FB41EA">
        <w:rPr>
          <w:rFonts w:cs="Arial"/>
          <w:sz w:val="20"/>
          <w:szCs w:val="20"/>
          <w:lang w:val="en-GB"/>
        </w:rPr>
        <w:t xml:space="preserve"> aimed at increasing interoperability with other </w:t>
      </w:r>
      <w:r w:rsidR="00C32AED" w:rsidRPr="00FB41EA">
        <w:rPr>
          <w:rFonts w:cs="Arial"/>
          <w:sz w:val="20"/>
          <w:szCs w:val="20"/>
          <w:lang w:val="en-GB"/>
        </w:rPr>
        <w:t>specific investment priorities</w:t>
      </w:r>
      <w:r w:rsidRPr="00FB41EA">
        <w:rPr>
          <w:rFonts w:cs="Arial"/>
          <w:sz w:val="20"/>
          <w:szCs w:val="20"/>
          <w:lang w:val="en-GB"/>
        </w:rPr>
        <w:t>,</w:t>
      </w:r>
      <w:r w:rsidR="00C32AED" w:rsidRPr="00FB41EA">
        <w:rPr>
          <w:rFonts w:cs="Arial"/>
          <w:sz w:val="20"/>
          <w:szCs w:val="20"/>
          <w:lang w:val="en-GB"/>
        </w:rPr>
        <w:t xml:space="preserve"> </w:t>
      </w:r>
      <w:proofErr w:type="gramStart"/>
      <w:r w:rsidR="00C32AED" w:rsidRPr="00FB41EA">
        <w:rPr>
          <w:rFonts w:cs="Arial"/>
          <w:sz w:val="20"/>
          <w:szCs w:val="20"/>
          <w:lang w:val="en-GB"/>
        </w:rPr>
        <w:t>can</w:t>
      </w:r>
      <w:proofErr w:type="gramEnd"/>
      <w:r w:rsidR="00C32AED" w:rsidRPr="00FB41EA">
        <w:rPr>
          <w:rFonts w:cs="Arial"/>
          <w:sz w:val="20"/>
          <w:szCs w:val="20"/>
          <w:lang w:val="en-GB"/>
        </w:rPr>
        <w:t xml:space="preserve"> successfully serve the implementation of sustainable development principle on a national and regional level</w:t>
      </w:r>
      <w:r w:rsidRPr="00FB41EA">
        <w:rPr>
          <w:rFonts w:cs="Arial"/>
          <w:sz w:val="20"/>
          <w:szCs w:val="20"/>
          <w:lang w:val="en-GB"/>
        </w:rPr>
        <w:t>.</w:t>
      </w:r>
    </w:p>
    <w:p w14:paraId="0D45AA24" w14:textId="7EA0FB63" w:rsidR="00CD6385" w:rsidRPr="00FB41EA" w:rsidRDefault="00F74FB5" w:rsidP="00F878C6">
      <w:pPr>
        <w:spacing w:before="120" w:after="0" w:line="240" w:lineRule="auto"/>
        <w:jc w:val="both"/>
        <w:rPr>
          <w:sz w:val="20"/>
          <w:szCs w:val="20"/>
          <w:lang w:val="en-GB"/>
        </w:rPr>
      </w:pPr>
      <w:r w:rsidRPr="00FB41EA">
        <w:rPr>
          <w:b/>
          <w:color w:val="81BC00"/>
          <w:sz w:val="20"/>
          <w:szCs w:val="20"/>
          <w:lang w:val="en-GB"/>
        </w:rPr>
        <w:t>The third type –</w:t>
      </w:r>
      <w:r w:rsidR="00DB61DC" w:rsidRPr="00FB41EA">
        <w:rPr>
          <w:b/>
          <w:color w:val="81BC00"/>
          <w:sz w:val="20"/>
          <w:szCs w:val="20"/>
          <w:lang w:val="en-GB"/>
        </w:rPr>
        <w:t xml:space="preserve"> organisational instruments</w:t>
      </w:r>
      <w:r w:rsidRPr="00FB41EA">
        <w:rPr>
          <w:b/>
          <w:color w:val="81BC00"/>
          <w:sz w:val="20"/>
          <w:szCs w:val="20"/>
          <w:lang w:val="en-GB"/>
        </w:rPr>
        <w:t xml:space="preserve"> – include institutional capabilities, cooperation, operations of </w:t>
      </w:r>
      <w:r w:rsidR="00533EF0" w:rsidRPr="00FB41EA">
        <w:rPr>
          <w:b/>
          <w:color w:val="81BC00"/>
          <w:sz w:val="20"/>
          <w:szCs w:val="20"/>
          <w:lang w:val="en-GB"/>
        </w:rPr>
        <w:t xml:space="preserve">the monitoring committee and </w:t>
      </w:r>
      <w:r w:rsidR="00124933">
        <w:rPr>
          <w:b/>
          <w:color w:val="81BC00"/>
          <w:sz w:val="20"/>
          <w:szCs w:val="20"/>
          <w:lang w:val="en-GB"/>
        </w:rPr>
        <w:t xml:space="preserve">the </w:t>
      </w:r>
      <w:r w:rsidR="00533EF0" w:rsidRPr="00FB41EA">
        <w:rPr>
          <w:b/>
          <w:color w:val="81BC00"/>
          <w:sz w:val="20"/>
          <w:szCs w:val="20"/>
          <w:lang w:val="en-GB"/>
        </w:rPr>
        <w:t>establishment of various institutional networks</w:t>
      </w:r>
      <w:r w:rsidR="00F878C6" w:rsidRPr="00FB41EA">
        <w:rPr>
          <w:rFonts w:cs="Arial"/>
          <w:sz w:val="20"/>
          <w:szCs w:val="20"/>
          <w:lang w:val="en-GB"/>
        </w:rPr>
        <w:t xml:space="preserve">. </w:t>
      </w:r>
      <w:r w:rsidR="00420632" w:rsidRPr="00FB41EA">
        <w:rPr>
          <w:rFonts w:cs="Arial"/>
          <w:sz w:val="20"/>
          <w:szCs w:val="20"/>
          <w:lang w:val="en-GB"/>
        </w:rPr>
        <w:t xml:space="preserve">The EU fund programmes made an indirect positive impact on the management systems of </w:t>
      </w:r>
      <w:r w:rsidR="00124933">
        <w:rPr>
          <w:rFonts w:cs="Arial"/>
          <w:sz w:val="20"/>
          <w:szCs w:val="20"/>
          <w:lang w:val="en-GB"/>
        </w:rPr>
        <w:t xml:space="preserve">the </w:t>
      </w:r>
      <w:r w:rsidR="00420632" w:rsidRPr="00FB41EA">
        <w:rPr>
          <w:rFonts w:cs="Arial"/>
          <w:sz w:val="20"/>
          <w:szCs w:val="20"/>
          <w:lang w:val="en-GB"/>
        </w:rPr>
        <w:t xml:space="preserve">member states. </w:t>
      </w:r>
      <w:r w:rsidR="00AD431C" w:rsidRPr="00FB41EA">
        <w:rPr>
          <w:rFonts w:cs="Arial"/>
          <w:sz w:val="20"/>
          <w:szCs w:val="20"/>
          <w:lang w:val="en-GB"/>
        </w:rPr>
        <w:t xml:space="preserve">During the Evaluation (applying the methods of interview and </w:t>
      </w:r>
      <w:proofErr w:type="gramStart"/>
      <w:r w:rsidR="00AD431C" w:rsidRPr="00FB41EA">
        <w:rPr>
          <w:rFonts w:cs="Arial"/>
          <w:sz w:val="20"/>
          <w:szCs w:val="20"/>
          <w:lang w:val="en-GB"/>
        </w:rPr>
        <w:t>survey)</w:t>
      </w:r>
      <w:proofErr w:type="gramEnd"/>
      <w:r w:rsidR="00AD431C" w:rsidRPr="00FB41EA">
        <w:rPr>
          <w:rFonts w:cs="Arial"/>
          <w:sz w:val="20"/>
          <w:szCs w:val="20"/>
          <w:lang w:val="en-GB"/>
        </w:rPr>
        <w:t xml:space="preserve"> it was identified that </w:t>
      </w:r>
      <w:r w:rsidR="00AD431C" w:rsidRPr="00FB41EA">
        <w:rPr>
          <w:rFonts w:cs="Arial"/>
          <w:bCs/>
          <w:sz w:val="20"/>
          <w:szCs w:val="20"/>
          <w:lang w:val="en-GB"/>
        </w:rPr>
        <w:t xml:space="preserve">a considerable amount of theoretical knowledge </w:t>
      </w:r>
      <w:r w:rsidR="00074F19" w:rsidRPr="00FB41EA">
        <w:rPr>
          <w:rFonts w:cs="Arial"/>
          <w:bCs/>
          <w:sz w:val="20"/>
          <w:szCs w:val="20"/>
          <w:lang w:val="en-GB"/>
        </w:rPr>
        <w:t>about sustainable development is accumulated in the Lithuanian administrative system</w:t>
      </w:r>
      <w:r w:rsidR="00F878C6" w:rsidRPr="00FB41EA">
        <w:rPr>
          <w:sz w:val="20"/>
          <w:szCs w:val="20"/>
          <w:lang w:val="en-GB"/>
        </w:rPr>
        <w:t xml:space="preserve">. </w:t>
      </w:r>
      <w:r w:rsidR="009E459B" w:rsidRPr="00FB41EA">
        <w:rPr>
          <w:sz w:val="20"/>
          <w:szCs w:val="20"/>
          <w:lang w:val="en-GB"/>
        </w:rPr>
        <w:t xml:space="preserve">Nonetheless, the main challenges lie in the ability </w:t>
      </w:r>
      <w:proofErr w:type="gramStart"/>
      <w:r w:rsidR="009E459B" w:rsidRPr="00FB41EA">
        <w:rPr>
          <w:sz w:val="20"/>
          <w:szCs w:val="20"/>
          <w:lang w:val="en-GB"/>
        </w:rPr>
        <w:t>to practically apply</w:t>
      </w:r>
      <w:proofErr w:type="gramEnd"/>
      <w:r w:rsidR="009E459B" w:rsidRPr="00FB41EA">
        <w:rPr>
          <w:sz w:val="20"/>
          <w:szCs w:val="20"/>
          <w:lang w:val="en-GB"/>
        </w:rPr>
        <w:t xml:space="preserve"> the theoretical definition. </w:t>
      </w:r>
      <w:r w:rsidR="00C77FAD" w:rsidRPr="00FB41EA">
        <w:rPr>
          <w:sz w:val="20"/>
          <w:szCs w:val="20"/>
          <w:lang w:val="en-GB"/>
        </w:rPr>
        <w:t xml:space="preserve">The activity of the monitoring committee and working group </w:t>
      </w:r>
      <w:proofErr w:type="gramStart"/>
      <w:r w:rsidR="00124933">
        <w:rPr>
          <w:sz w:val="20"/>
          <w:szCs w:val="20"/>
          <w:lang w:val="en-GB"/>
        </w:rPr>
        <w:t>was</w:t>
      </w:r>
      <w:r w:rsidR="00C77FAD" w:rsidRPr="00FB41EA">
        <w:rPr>
          <w:sz w:val="20"/>
          <w:szCs w:val="20"/>
          <w:lang w:val="en-GB"/>
        </w:rPr>
        <w:t xml:space="preserve"> evaluated</w:t>
      </w:r>
      <w:proofErr w:type="gramEnd"/>
      <w:r w:rsidR="00C77FAD" w:rsidRPr="00FB41EA">
        <w:rPr>
          <w:sz w:val="20"/>
          <w:szCs w:val="20"/>
          <w:lang w:val="en-GB"/>
        </w:rPr>
        <w:t xml:space="preserve"> rather </w:t>
      </w:r>
      <w:r w:rsidR="00C77FAD" w:rsidRPr="00FB41EA">
        <w:rPr>
          <w:sz w:val="20"/>
          <w:szCs w:val="20"/>
          <w:lang w:val="en-GB"/>
        </w:rPr>
        <w:lastRenderedPageBreak/>
        <w:t xml:space="preserve">sceptically, more attention giving to specific examples of the integration of </w:t>
      </w:r>
      <w:r w:rsidR="001457AE" w:rsidRPr="00FB41EA">
        <w:rPr>
          <w:sz w:val="20"/>
          <w:szCs w:val="20"/>
          <w:lang w:val="en-GB"/>
        </w:rPr>
        <w:t xml:space="preserve">the </w:t>
      </w:r>
      <w:r w:rsidR="00C77FAD" w:rsidRPr="00FB41EA">
        <w:rPr>
          <w:sz w:val="20"/>
          <w:szCs w:val="20"/>
          <w:lang w:val="en-GB"/>
        </w:rPr>
        <w:t>horizontal priority</w:t>
      </w:r>
      <w:r w:rsidR="001457AE" w:rsidRPr="00FB41EA">
        <w:rPr>
          <w:sz w:val="20"/>
          <w:szCs w:val="20"/>
          <w:lang w:val="en-GB"/>
        </w:rPr>
        <w:t xml:space="preserve"> of sustainable development as well as foreign practice.</w:t>
      </w:r>
      <w:r w:rsidR="00C77FAD" w:rsidRPr="00FB41EA">
        <w:rPr>
          <w:sz w:val="20"/>
          <w:szCs w:val="20"/>
          <w:lang w:val="en-GB"/>
        </w:rPr>
        <w:t xml:space="preserve"> </w:t>
      </w:r>
      <w:r w:rsidR="0095227D" w:rsidRPr="00FB41EA">
        <w:rPr>
          <w:sz w:val="20"/>
          <w:szCs w:val="20"/>
          <w:lang w:val="en-GB"/>
        </w:rPr>
        <w:t>I</w:t>
      </w:r>
      <w:r w:rsidR="00CC627A" w:rsidRPr="00FB41EA">
        <w:rPr>
          <w:sz w:val="20"/>
          <w:szCs w:val="20"/>
          <w:lang w:val="en-GB"/>
        </w:rPr>
        <w:t>t is important that</w:t>
      </w:r>
      <w:r w:rsidR="001457AE" w:rsidRPr="00FB41EA">
        <w:rPr>
          <w:sz w:val="20"/>
          <w:szCs w:val="20"/>
          <w:lang w:val="en-GB"/>
        </w:rPr>
        <w:t xml:space="preserve"> </w:t>
      </w:r>
      <w:r w:rsidR="005C5C59" w:rsidRPr="00FB41EA">
        <w:rPr>
          <w:sz w:val="20"/>
          <w:szCs w:val="20"/>
          <w:lang w:val="en-GB"/>
        </w:rPr>
        <w:t xml:space="preserve">the greater extent of the knowledge </w:t>
      </w:r>
      <w:proofErr w:type="gramStart"/>
      <w:r w:rsidR="005C5C59" w:rsidRPr="00FB41EA">
        <w:rPr>
          <w:sz w:val="20"/>
          <w:szCs w:val="20"/>
          <w:lang w:val="en-GB"/>
        </w:rPr>
        <w:t>is</w:t>
      </w:r>
      <w:proofErr w:type="gramEnd"/>
      <w:r w:rsidR="005C5C59" w:rsidRPr="00FB41EA">
        <w:rPr>
          <w:sz w:val="20"/>
          <w:szCs w:val="20"/>
          <w:lang w:val="en-GB"/>
        </w:rPr>
        <w:t xml:space="preserve"> accumulated on the ministry level, which most administration members of the EU structural funds regard as the main subjects responsible for the horizontal priorities and their implementation.</w:t>
      </w:r>
      <w:r w:rsidR="002F274F" w:rsidRPr="00FB41EA">
        <w:rPr>
          <w:sz w:val="20"/>
          <w:szCs w:val="20"/>
          <w:lang w:val="en-GB"/>
        </w:rPr>
        <w:t xml:space="preserve"> </w:t>
      </w:r>
      <w:proofErr w:type="gramStart"/>
      <w:r w:rsidR="002F274F" w:rsidRPr="00FB41EA">
        <w:rPr>
          <w:sz w:val="20"/>
          <w:szCs w:val="20"/>
          <w:lang w:val="en-GB"/>
        </w:rPr>
        <w:t>The evaluation identifie</w:t>
      </w:r>
      <w:r w:rsidR="00823B77">
        <w:rPr>
          <w:sz w:val="20"/>
          <w:szCs w:val="20"/>
          <w:lang w:val="en-GB"/>
        </w:rPr>
        <w:t>d</w:t>
      </w:r>
      <w:r w:rsidR="002F274F" w:rsidRPr="00FB41EA">
        <w:rPr>
          <w:sz w:val="20"/>
          <w:szCs w:val="20"/>
          <w:lang w:val="en-GB"/>
        </w:rPr>
        <w:t xml:space="preserve"> that the education of the employees of </w:t>
      </w:r>
      <w:r w:rsidR="00CC627A" w:rsidRPr="00FB41EA">
        <w:rPr>
          <w:sz w:val="20"/>
          <w:szCs w:val="20"/>
          <w:lang w:val="en-GB"/>
        </w:rPr>
        <w:t>implementation institutions of the EU structural funds’ administrative system remain</w:t>
      </w:r>
      <w:r w:rsidR="00823B77">
        <w:rPr>
          <w:sz w:val="20"/>
          <w:szCs w:val="20"/>
          <w:lang w:val="en-GB"/>
        </w:rPr>
        <w:t>s</w:t>
      </w:r>
      <w:r w:rsidR="00CC627A" w:rsidRPr="00FB41EA">
        <w:rPr>
          <w:sz w:val="20"/>
          <w:szCs w:val="20"/>
          <w:lang w:val="en-GB"/>
        </w:rPr>
        <w:t xml:space="preserve"> one of the greater shortcomings</w:t>
      </w:r>
      <w:r w:rsidR="009C2FEF" w:rsidRPr="00FB41EA">
        <w:rPr>
          <w:sz w:val="20"/>
          <w:szCs w:val="20"/>
          <w:lang w:val="en-GB"/>
        </w:rPr>
        <w:t xml:space="preserve">: </w:t>
      </w:r>
      <w:r w:rsidR="00E27C27" w:rsidRPr="00FB41EA">
        <w:rPr>
          <w:sz w:val="20"/>
          <w:szCs w:val="20"/>
          <w:lang w:val="en-GB"/>
        </w:rPr>
        <w:t>on this institutional level, less attention is given to the horizontal priority of sustainable development than to other, more technical issues, and the knowledge of the employees, who consult on practical matters of sustainable development, is limited</w:t>
      </w:r>
      <w:r w:rsidR="009C2FEF" w:rsidRPr="00FB41EA">
        <w:rPr>
          <w:sz w:val="20"/>
          <w:szCs w:val="20"/>
          <w:lang w:val="en-GB"/>
        </w:rPr>
        <w:t>.</w:t>
      </w:r>
      <w:proofErr w:type="gramEnd"/>
    </w:p>
    <w:p w14:paraId="449CE1D2" w14:textId="360BD2BF" w:rsidR="00F878C6" w:rsidRPr="00FB41EA" w:rsidRDefault="00E77DA6" w:rsidP="00F878C6">
      <w:pPr>
        <w:spacing w:before="120" w:after="0" w:line="240" w:lineRule="auto"/>
        <w:jc w:val="both"/>
        <w:rPr>
          <w:sz w:val="20"/>
          <w:szCs w:val="20"/>
          <w:lang w:val="en-GB"/>
        </w:rPr>
      </w:pPr>
      <w:r w:rsidRPr="00FB41EA">
        <w:rPr>
          <w:b/>
          <w:color w:val="81BC00"/>
          <w:sz w:val="20"/>
          <w:szCs w:val="20"/>
          <w:lang w:val="en-GB"/>
        </w:rPr>
        <w:t xml:space="preserve">The evaluation determines that strategic, procedural and operational measures </w:t>
      </w:r>
      <w:proofErr w:type="gramStart"/>
      <w:r w:rsidRPr="00FB41EA">
        <w:rPr>
          <w:b/>
          <w:color w:val="81BC00"/>
          <w:sz w:val="20"/>
          <w:szCs w:val="20"/>
          <w:lang w:val="en-GB"/>
        </w:rPr>
        <w:t>are applied</w:t>
      </w:r>
      <w:proofErr w:type="gramEnd"/>
      <w:r w:rsidRPr="00FB41EA">
        <w:rPr>
          <w:b/>
          <w:color w:val="81BC00"/>
          <w:sz w:val="20"/>
          <w:szCs w:val="20"/>
          <w:lang w:val="en-GB"/>
        </w:rPr>
        <w:t xml:space="preserve"> in Lithuania. </w:t>
      </w:r>
      <w:proofErr w:type="gramStart"/>
      <w:r w:rsidR="00241725" w:rsidRPr="00FB41EA">
        <w:rPr>
          <w:b/>
          <w:color w:val="81BC00"/>
          <w:sz w:val="20"/>
          <w:szCs w:val="20"/>
          <w:lang w:val="en-GB"/>
        </w:rPr>
        <w:t>But in order to successfully integrate and implement the principle of sustainable development</w:t>
      </w:r>
      <w:r w:rsidR="00F878C6" w:rsidRPr="00FB41EA">
        <w:rPr>
          <w:b/>
          <w:color w:val="81BC00"/>
          <w:sz w:val="20"/>
          <w:szCs w:val="20"/>
          <w:lang w:val="en-GB"/>
        </w:rPr>
        <w:t xml:space="preserve">, </w:t>
      </w:r>
      <w:r w:rsidR="00241725" w:rsidRPr="00FB41EA">
        <w:rPr>
          <w:b/>
          <w:color w:val="81BC00"/>
          <w:sz w:val="20"/>
          <w:szCs w:val="20"/>
          <w:lang w:val="en-GB"/>
        </w:rPr>
        <w:t xml:space="preserve">it is crucial to </w:t>
      </w:r>
      <w:r w:rsidR="003D54FE" w:rsidRPr="00FB41EA">
        <w:rPr>
          <w:b/>
          <w:color w:val="81BC00"/>
          <w:sz w:val="20"/>
          <w:szCs w:val="20"/>
          <w:lang w:val="en-GB"/>
        </w:rPr>
        <w:t>fortify</w:t>
      </w:r>
      <w:r w:rsidR="00241725" w:rsidRPr="00FB41EA">
        <w:rPr>
          <w:b/>
          <w:color w:val="81BC00"/>
          <w:sz w:val="20"/>
          <w:szCs w:val="20"/>
          <w:lang w:val="en-GB"/>
        </w:rPr>
        <w:t xml:space="preserve"> strategic management</w:t>
      </w:r>
      <w:r w:rsidR="00F878C6" w:rsidRPr="00FB41EA">
        <w:rPr>
          <w:sz w:val="20"/>
          <w:szCs w:val="20"/>
          <w:lang w:val="en-GB"/>
        </w:rPr>
        <w:t xml:space="preserve"> (</w:t>
      </w:r>
      <w:r w:rsidR="003D54FE" w:rsidRPr="00FB41EA">
        <w:rPr>
          <w:sz w:val="20"/>
          <w:szCs w:val="20"/>
          <w:lang w:val="en-GB"/>
        </w:rPr>
        <w:t xml:space="preserve">ensuring the links between the National Sustainable Development Strategy and the main national and </w:t>
      </w:r>
      <w:proofErr w:type="spellStart"/>
      <w:r w:rsidR="003D54FE" w:rsidRPr="00FB41EA">
        <w:rPr>
          <w:sz w:val="20"/>
          <w:szCs w:val="20"/>
          <w:lang w:val="en-GB"/>
        </w:rPr>
        <w:t>sectoral</w:t>
      </w:r>
      <w:proofErr w:type="spellEnd"/>
      <w:r w:rsidR="003D54FE" w:rsidRPr="00FB41EA">
        <w:rPr>
          <w:sz w:val="20"/>
          <w:szCs w:val="20"/>
          <w:lang w:val="en-GB"/>
        </w:rPr>
        <w:t xml:space="preserve"> strategic documents</w:t>
      </w:r>
      <w:r w:rsidR="00333279" w:rsidRPr="00FB41EA">
        <w:rPr>
          <w:sz w:val="20"/>
          <w:szCs w:val="20"/>
          <w:lang w:val="en-GB"/>
        </w:rPr>
        <w:t xml:space="preserve">, </w:t>
      </w:r>
      <w:r w:rsidR="000968D4" w:rsidRPr="00FB41EA">
        <w:rPr>
          <w:sz w:val="20"/>
          <w:szCs w:val="20"/>
          <w:lang w:val="en-GB"/>
        </w:rPr>
        <w:t>sustaining consistent monitoring of strategy indicators); also</w:t>
      </w:r>
      <w:r w:rsidR="00F878C6" w:rsidRPr="00FB41EA">
        <w:rPr>
          <w:sz w:val="20"/>
          <w:szCs w:val="20"/>
          <w:lang w:val="en-GB"/>
        </w:rPr>
        <w:t xml:space="preserve"> </w:t>
      </w:r>
      <w:r w:rsidR="000968D4" w:rsidRPr="00FB41EA">
        <w:rPr>
          <w:b/>
          <w:color w:val="81BC00"/>
          <w:sz w:val="20"/>
          <w:szCs w:val="20"/>
          <w:lang w:val="en-GB"/>
        </w:rPr>
        <w:t xml:space="preserve">to use a wider range of procedural instruments </w:t>
      </w:r>
      <w:r w:rsidR="00775CD5" w:rsidRPr="00FB41EA">
        <w:rPr>
          <w:sz w:val="20"/>
          <w:szCs w:val="20"/>
          <w:lang w:val="en-GB"/>
        </w:rPr>
        <w:t>(</w:t>
      </w:r>
      <w:proofErr w:type="spellStart"/>
      <w:r w:rsidR="000968D4" w:rsidRPr="00FB41EA">
        <w:rPr>
          <w:sz w:val="20"/>
          <w:szCs w:val="20"/>
          <w:lang w:val="en-GB"/>
        </w:rPr>
        <w:t>eg</w:t>
      </w:r>
      <w:proofErr w:type="spellEnd"/>
      <w:r w:rsidR="000968D4" w:rsidRPr="00FB41EA">
        <w:rPr>
          <w:sz w:val="20"/>
          <w:szCs w:val="20"/>
          <w:lang w:val="en-GB"/>
        </w:rPr>
        <w:t>.</w:t>
      </w:r>
      <w:r w:rsidR="00775CD5" w:rsidRPr="00FB41EA">
        <w:rPr>
          <w:sz w:val="20"/>
          <w:szCs w:val="20"/>
          <w:lang w:val="en-GB"/>
        </w:rPr>
        <w:t xml:space="preserve"> </w:t>
      </w:r>
      <w:r w:rsidR="0009658B" w:rsidRPr="00FB41EA">
        <w:rPr>
          <w:sz w:val="20"/>
          <w:szCs w:val="20"/>
          <w:lang w:val="en-GB"/>
        </w:rPr>
        <w:t>expanding the application of EIA, TIA and cost – benefit analysis</w:t>
      </w:r>
      <w:r w:rsidR="00775CD5" w:rsidRPr="00FB41EA">
        <w:rPr>
          <w:sz w:val="20"/>
          <w:szCs w:val="20"/>
          <w:lang w:val="en-GB"/>
        </w:rPr>
        <w:t>).</w:t>
      </w:r>
      <w:proofErr w:type="gramEnd"/>
      <w:r w:rsidR="00775CD5" w:rsidRPr="00FB41EA">
        <w:rPr>
          <w:sz w:val="20"/>
          <w:szCs w:val="20"/>
          <w:lang w:val="en-GB"/>
        </w:rPr>
        <w:t xml:space="preserve"> </w:t>
      </w:r>
      <w:r w:rsidR="00741549" w:rsidRPr="00FB41EA">
        <w:rPr>
          <w:sz w:val="20"/>
          <w:szCs w:val="20"/>
          <w:lang w:val="en-GB"/>
        </w:rPr>
        <w:t xml:space="preserve">Additionally, it is important </w:t>
      </w:r>
      <w:r w:rsidR="00741549" w:rsidRPr="00FB41EA">
        <w:rPr>
          <w:b/>
          <w:color w:val="81BC00"/>
          <w:sz w:val="20"/>
          <w:szCs w:val="20"/>
          <w:lang w:val="en-GB"/>
        </w:rPr>
        <w:t>to</w:t>
      </w:r>
      <w:r w:rsidR="00775CD5" w:rsidRPr="00FB41EA">
        <w:rPr>
          <w:b/>
          <w:color w:val="81BC00"/>
          <w:sz w:val="20"/>
          <w:szCs w:val="20"/>
          <w:lang w:val="en-GB"/>
        </w:rPr>
        <w:t xml:space="preserve"> </w:t>
      </w:r>
      <w:r w:rsidR="008C0110" w:rsidRPr="00FB41EA">
        <w:rPr>
          <w:b/>
          <w:color w:val="81BC00"/>
          <w:sz w:val="20"/>
          <w:szCs w:val="20"/>
          <w:lang w:val="en-GB"/>
        </w:rPr>
        <w:t>proceed from the established strong methodical and theoretical grounds in sustainable development to the formation of practical skills</w:t>
      </w:r>
      <w:r w:rsidR="00775CD5" w:rsidRPr="00FB41EA">
        <w:rPr>
          <w:sz w:val="20"/>
          <w:szCs w:val="20"/>
          <w:lang w:val="en-GB"/>
        </w:rPr>
        <w:t>.</w:t>
      </w:r>
    </w:p>
    <w:p w14:paraId="51901EB6" w14:textId="786E8E3C" w:rsidR="001B14DD" w:rsidRPr="00FB41EA" w:rsidRDefault="005605D7" w:rsidP="001B14DD">
      <w:pPr>
        <w:spacing w:before="120" w:after="0" w:line="240" w:lineRule="auto"/>
        <w:jc w:val="both"/>
        <w:rPr>
          <w:sz w:val="20"/>
          <w:szCs w:val="20"/>
          <w:lang w:val="en-GB"/>
        </w:rPr>
      </w:pPr>
      <w:r w:rsidRPr="00FB41EA">
        <w:rPr>
          <w:b/>
          <w:color w:val="81BC00"/>
          <w:sz w:val="20"/>
          <w:szCs w:val="20"/>
          <w:lang w:val="en-GB"/>
        </w:rPr>
        <w:t>The integration between applied instruments</w:t>
      </w:r>
      <w:r w:rsidRPr="00FB41EA">
        <w:rPr>
          <w:sz w:val="20"/>
          <w:szCs w:val="20"/>
          <w:lang w:val="en-GB"/>
        </w:rPr>
        <w:t xml:space="preserve"> is also important to emphasise</w:t>
      </w:r>
      <w:r w:rsidR="001B14DD" w:rsidRPr="00FB41EA">
        <w:rPr>
          <w:sz w:val="20"/>
          <w:szCs w:val="20"/>
          <w:lang w:val="en-GB"/>
        </w:rPr>
        <w:t xml:space="preserve">, </w:t>
      </w:r>
      <w:r w:rsidRPr="00FB41EA">
        <w:rPr>
          <w:sz w:val="20"/>
          <w:szCs w:val="20"/>
          <w:lang w:val="en-GB"/>
        </w:rPr>
        <w:t xml:space="preserve">clearly defining and assuring the implementation of sustainable development objectives as well as </w:t>
      </w:r>
      <w:r w:rsidR="00FC4B59" w:rsidRPr="00FB41EA">
        <w:rPr>
          <w:sz w:val="20"/>
          <w:szCs w:val="20"/>
          <w:lang w:val="en-GB"/>
        </w:rPr>
        <w:t xml:space="preserve">more actively applying managerial instruments </w:t>
      </w:r>
      <w:r w:rsidR="001B14DD" w:rsidRPr="00FB41EA">
        <w:rPr>
          <w:sz w:val="20"/>
          <w:szCs w:val="20"/>
          <w:lang w:val="en-GB"/>
        </w:rPr>
        <w:t>(</w:t>
      </w:r>
      <w:r w:rsidR="00FC4B59" w:rsidRPr="00FB41EA">
        <w:rPr>
          <w:sz w:val="20"/>
          <w:szCs w:val="20"/>
          <w:lang w:val="en-GB"/>
        </w:rPr>
        <w:t xml:space="preserve">measured indicators, responsibility and accountability, the improvement of the horizontal priority </w:t>
      </w:r>
      <w:r w:rsidR="001B14DD" w:rsidRPr="00FB41EA">
        <w:rPr>
          <w:sz w:val="20"/>
          <w:szCs w:val="20"/>
          <w:lang w:val="en-GB"/>
        </w:rPr>
        <w:t>(</w:t>
      </w:r>
      <w:proofErr w:type="spellStart"/>
      <w:r w:rsidR="00FC4B59" w:rsidRPr="00FB41EA">
        <w:rPr>
          <w:sz w:val="20"/>
          <w:szCs w:val="20"/>
          <w:lang w:val="en-GB"/>
        </w:rPr>
        <w:t>interinstitutional</w:t>
      </w:r>
      <w:proofErr w:type="spellEnd"/>
      <w:r w:rsidR="00FC4B59" w:rsidRPr="00FB41EA">
        <w:rPr>
          <w:sz w:val="20"/>
          <w:szCs w:val="20"/>
          <w:lang w:val="en-GB"/>
        </w:rPr>
        <w:t xml:space="preserve"> cooperation, integration of different impact areas in measures</w:t>
      </w:r>
      <w:r w:rsidR="001B14DD" w:rsidRPr="00FB41EA">
        <w:rPr>
          <w:sz w:val="20"/>
          <w:szCs w:val="20"/>
          <w:lang w:val="en-GB"/>
        </w:rPr>
        <w:t>)).</w:t>
      </w:r>
    </w:p>
    <w:p w14:paraId="20F71BC3" w14:textId="6A38E3EB" w:rsidR="001B14DD" w:rsidRPr="00FB41EA" w:rsidRDefault="001B14DD" w:rsidP="001B14DD">
      <w:pPr>
        <w:autoSpaceDE w:val="0"/>
        <w:autoSpaceDN w:val="0"/>
        <w:adjustRightInd w:val="0"/>
        <w:spacing w:before="120" w:after="0" w:line="240" w:lineRule="auto"/>
        <w:jc w:val="both"/>
        <w:rPr>
          <w:b/>
          <w:color w:val="81BC00"/>
          <w:sz w:val="20"/>
          <w:lang w:val="en-GB"/>
        </w:rPr>
      </w:pPr>
      <w:proofErr w:type="gramStart"/>
      <w:r w:rsidRPr="00FB41EA">
        <w:rPr>
          <w:b/>
          <w:color w:val="81BC00"/>
          <w:sz w:val="20"/>
          <w:lang w:val="en-GB"/>
        </w:rPr>
        <w:t>9.1.4. Ar</w:t>
      </w:r>
      <w:r w:rsidR="002F7E25" w:rsidRPr="00FB41EA">
        <w:rPr>
          <w:b/>
          <w:color w:val="81BC00"/>
          <w:sz w:val="20"/>
          <w:lang w:val="en-GB"/>
        </w:rPr>
        <w:t xml:space="preserve">e the </w:t>
      </w:r>
      <w:r w:rsidR="00D15D5B" w:rsidRPr="00FB41EA">
        <w:rPr>
          <w:b/>
          <w:color w:val="81BC00"/>
          <w:sz w:val="20"/>
          <w:lang w:val="en-GB"/>
        </w:rPr>
        <w:t>opportunities</w:t>
      </w:r>
      <w:r w:rsidR="002F7E25" w:rsidRPr="00FB41EA">
        <w:rPr>
          <w:b/>
          <w:color w:val="81BC00"/>
          <w:sz w:val="20"/>
          <w:lang w:val="en-GB"/>
        </w:rPr>
        <w:t xml:space="preserve"> </w:t>
      </w:r>
      <w:r w:rsidR="00D15D5B" w:rsidRPr="00FB41EA">
        <w:rPr>
          <w:b/>
          <w:color w:val="81BC00"/>
          <w:sz w:val="20"/>
          <w:lang w:val="en-GB"/>
        </w:rPr>
        <w:t>provided</w:t>
      </w:r>
      <w:proofErr w:type="gramEnd"/>
      <w:r w:rsidR="002F7E25" w:rsidRPr="00FB41EA">
        <w:rPr>
          <w:b/>
          <w:color w:val="81BC00"/>
          <w:sz w:val="20"/>
          <w:lang w:val="en-GB"/>
        </w:rPr>
        <w:t xml:space="preserve"> by the EU structural assistance</w:t>
      </w:r>
      <w:r w:rsidRPr="00FB41EA">
        <w:rPr>
          <w:b/>
          <w:color w:val="81BC00"/>
          <w:sz w:val="20"/>
          <w:lang w:val="en-GB"/>
        </w:rPr>
        <w:t xml:space="preserve"> </w:t>
      </w:r>
      <w:r w:rsidR="00812783" w:rsidRPr="00FB41EA">
        <w:rPr>
          <w:b/>
          <w:color w:val="81BC00"/>
          <w:sz w:val="20"/>
          <w:lang w:val="en-GB"/>
        </w:rPr>
        <w:t>effectively used in Lithuania to solve the issues of sustainable development</w:t>
      </w:r>
      <w:r w:rsidRPr="00FB41EA">
        <w:rPr>
          <w:b/>
          <w:color w:val="81BC00"/>
          <w:sz w:val="20"/>
          <w:lang w:val="en-GB"/>
        </w:rPr>
        <w:t xml:space="preserve">? </w:t>
      </w:r>
      <w:r w:rsidR="00812783" w:rsidRPr="00FB41EA">
        <w:rPr>
          <w:b/>
          <w:color w:val="81BC00"/>
          <w:sz w:val="20"/>
          <w:lang w:val="en-GB"/>
        </w:rPr>
        <w:t>Why</w:t>
      </w:r>
      <w:r w:rsidRPr="00FB41EA">
        <w:rPr>
          <w:b/>
          <w:color w:val="81BC00"/>
          <w:sz w:val="20"/>
          <w:lang w:val="en-GB"/>
        </w:rPr>
        <w:t xml:space="preserve">? </w:t>
      </w:r>
      <w:r w:rsidR="008E039A" w:rsidRPr="00FB41EA">
        <w:rPr>
          <w:b/>
          <w:color w:val="81BC00"/>
          <w:sz w:val="20"/>
          <w:lang w:val="en-GB"/>
        </w:rPr>
        <w:t>What is the practice of other EU member states</w:t>
      </w:r>
      <w:r w:rsidRPr="00FB41EA">
        <w:rPr>
          <w:b/>
          <w:color w:val="81BC00"/>
          <w:sz w:val="20"/>
          <w:lang w:val="en-GB"/>
        </w:rPr>
        <w:t xml:space="preserve">? </w:t>
      </w:r>
      <w:r w:rsidR="009D7827" w:rsidRPr="00FB41EA">
        <w:rPr>
          <w:b/>
          <w:color w:val="81BC00"/>
          <w:sz w:val="20"/>
          <w:lang w:val="en-GB"/>
        </w:rPr>
        <w:t>Analyse the best practice of other EU member states (at least 3)</w:t>
      </w:r>
      <w:r w:rsidR="006A1A5C" w:rsidRPr="00FB41EA">
        <w:rPr>
          <w:b/>
          <w:color w:val="81BC00"/>
          <w:sz w:val="20"/>
          <w:lang w:val="en-GB"/>
        </w:rPr>
        <w:t xml:space="preserve"> and the ways of assuring the implementation of horizontal priority</w:t>
      </w:r>
      <w:r w:rsidRPr="00FB41EA">
        <w:rPr>
          <w:b/>
          <w:color w:val="81BC00"/>
          <w:sz w:val="20"/>
          <w:lang w:val="en-GB"/>
        </w:rPr>
        <w:t>.</w:t>
      </w:r>
    </w:p>
    <w:p w14:paraId="42F0D40B" w14:textId="2E70E180" w:rsidR="001B14DD" w:rsidRPr="00FB41EA" w:rsidRDefault="00D15D5B" w:rsidP="001B14DD">
      <w:pPr>
        <w:spacing w:before="120" w:after="120" w:line="240" w:lineRule="auto"/>
        <w:jc w:val="both"/>
        <w:rPr>
          <w:b/>
          <w:color w:val="81BC00"/>
          <w:sz w:val="20"/>
          <w:szCs w:val="20"/>
          <w:lang w:val="en-GB"/>
        </w:rPr>
      </w:pPr>
      <w:r w:rsidRPr="00FB41EA">
        <w:rPr>
          <w:sz w:val="20"/>
          <w:szCs w:val="20"/>
          <w:lang w:val="en-GB"/>
        </w:rPr>
        <w:t xml:space="preserve">After performing foreign member states’ case </w:t>
      </w:r>
      <w:proofErr w:type="gramStart"/>
      <w:r w:rsidRPr="00FB41EA">
        <w:rPr>
          <w:sz w:val="20"/>
          <w:szCs w:val="20"/>
          <w:lang w:val="en-GB"/>
        </w:rPr>
        <w:t>studies</w:t>
      </w:r>
      <w:proofErr w:type="gramEnd"/>
      <w:r w:rsidRPr="00FB41EA">
        <w:rPr>
          <w:sz w:val="20"/>
          <w:szCs w:val="20"/>
          <w:lang w:val="en-GB"/>
        </w:rPr>
        <w:t xml:space="preserve"> it is possible to state that Lithuania does not effectively use the opportunities provided by the EU structural assistance to solve the issues of sustainable development</w:t>
      </w:r>
      <w:r w:rsidR="001B14DD" w:rsidRPr="00FB41EA">
        <w:rPr>
          <w:sz w:val="20"/>
          <w:szCs w:val="20"/>
          <w:lang w:val="en-GB"/>
        </w:rPr>
        <w:t>.</w:t>
      </w:r>
      <w:r w:rsidR="007979A0" w:rsidRPr="00FB41EA">
        <w:rPr>
          <w:sz w:val="20"/>
          <w:szCs w:val="20"/>
          <w:lang w:val="en-GB"/>
        </w:rPr>
        <w:t xml:space="preserve"> </w:t>
      </w:r>
      <w:r w:rsidR="00F34319" w:rsidRPr="00FB41EA">
        <w:rPr>
          <w:b/>
          <w:color w:val="81BC00"/>
          <w:sz w:val="20"/>
          <w:szCs w:val="20"/>
          <w:lang w:val="en-GB"/>
        </w:rPr>
        <w:t xml:space="preserve">Apart </w:t>
      </w:r>
      <w:r w:rsidR="00122860">
        <w:rPr>
          <w:b/>
          <w:color w:val="81BC00"/>
          <w:sz w:val="20"/>
          <w:szCs w:val="20"/>
          <w:lang w:val="en-GB"/>
        </w:rPr>
        <w:t xml:space="preserve">from </w:t>
      </w:r>
      <w:r w:rsidR="00F34319" w:rsidRPr="00FB41EA">
        <w:rPr>
          <w:b/>
          <w:color w:val="81BC00"/>
          <w:sz w:val="20"/>
          <w:szCs w:val="20"/>
          <w:lang w:val="en-GB"/>
        </w:rPr>
        <w:t xml:space="preserve">the essential shortcomings in strategic planning </w:t>
      </w:r>
      <w:r w:rsidR="00B25BDD" w:rsidRPr="00FB41EA">
        <w:rPr>
          <w:b/>
          <w:color w:val="81BC00"/>
          <w:sz w:val="20"/>
          <w:szCs w:val="20"/>
          <w:lang w:val="en-GB"/>
        </w:rPr>
        <w:t>and the lack of political attention to the issues of sustainable development, another important area of improvement is the implementation of horizontal priority at the stage of project execution</w:t>
      </w:r>
      <w:r w:rsidR="001B14DD" w:rsidRPr="00FB41EA">
        <w:rPr>
          <w:b/>
          <w:color w:val="81BC00"/>
          <w:sz w:val="20"/>
          <w:szCs w:val="20"/>
          <w:lang w:val="en-GB"/>
        </w:rPr>
        <w:t xml:space="preserve">. </w:t>
      </w:r>
    </w:p>
    <w:p w14:paraId="2C03796C" w14:textId="5ECD98C4" w:rsidR="001B14DD" w:rsidRPr="00FB41EA" w:rsidRDefault="00E92B6F" w:rsidP="001B14DD">
      <w:pPr>
        <w:spacing w:before="120" w:after="120" w:line="240" w:lineRule="auto"/>
        <w:jc w:val="both"/>
        <w:rPr>
          <w:rFonts w:cs="Arial"/>
          <w:sz w:val="20"/>
          <w:szCs w:val="20"/>
          <w:lang w:val="en-GB"/>
        </w:rPr>
      </w:pPr>
      <w:r w:rsidRPr="00FB41EA">
        <w:rPr>
          <w:sz w:val="20"/>
          <w:szCs w:val="20"/>
          <w:lang w:val="en-GB"/>
        </w:rPr>
        <w:t>The main aspects</w:t>
      </w:r>
      <w:r w:rsidR="00122860">
        <w:rPr>
          <w:sz w:val="20"/>
          <w:szCs w:val="20"/>
          <w:lang w:val="en-GB"/>
        </w:rPr>
        <w:t>,</w:t>
      </w:r>
      <w:r w:rsidRPr="00FB41EA">
        <w:rPr>
          <w:sz w:val="20"/>
          <w:szCs w:val="20"/>
          <w:lang w:val="en-GB"/>
        </w:rPr>
        <w:t xml:space="preserve"> which Lithuania could adopt from foreign member states</w:t>
      </w:r>
      <w:r w:rsidR="00122860">
        <w:rPr>
          <w:sz w:val="20"/>
          <w:szCs w:val="20"/>
          <w:lang w:val="en-GB"/>
        </w:rPr>
        <w:t>,</w:t>
      </w:r>
      <w:r w:rsidRPr="00FB41EA">
        <w:rPr>
          <w:sz w:val="20"/>
          <w:szCs w:val="20"/>
          <w:lang w:val="en-GB"/>
        </w:rPr>
        <w:t xml:space="preserve"> are the following</w:t>
      </w:r>
      <w:r w:rsidR="001B14DD" w:rsidRPr="00FB41EA">
        <w:rPr>
          <w:rFonts w:cs="Arial"/>
          <w:sz w:val="20"/>
          <w:szCs w:val="20"/>
          <w:lang w:val="en-GB"/>
        </w:rPr>
        <w:t>:</w:t>
      </w:r>
    </w:p>
    <w:p w14:paraId="1C55EC65" w14:textId="0D9C530F" w:rsidR="001B14DD" w:rsidRPr="00FB41EA" w:rsidRDefault="00E92B6F" w:rsidP="00E92B6F">
      <w:pPr>
        <w:pStyle w:val="ListParagraph"/>
        <w:numPr>
          <w:ilvl w:val="0"/>
          <w:numId w:val="9"/>
        </w:numPr>
        <w:spacing w:before="120" w:after="120" w:line="240" w:lineRule="auto"/>
        <w:jc w:val="both"/>
        <w:rPr>
          <w:rFonts w:cs="Arial"/>
          <w:sz w:val="20"/>
          <w:szCs w:val="20"/>
          <w:lang w:val="en-GB"/>
        </w:rPr>
      </w:pPr>
      <w:r w:rsidRPr="00FB41EA">
        <w:rPr>
          <w:rFonts w:cs="Arial"/>
          <w:sz w:val="20"/>
          <w:szCs w:val="20"/>
          <w:lang w:val="en-GB"/>
        </w:rPr>
        <w:t>The links of measures and projects with specific objectives and indicators of sustainable development as well as the supervision of their implementation at the stages of financing and executing administration agreement</w:t>
      </w:r>
      <w:r w:rsidR="005B24EA" w:rsidRPr="00FB41EA">
        <w:rPr>
          <w:rFonts w:cs="Arial"/>
          <w:sz w:val="20"/>
          <w:szCs w:val="20"/>
          <w:lang w:val="en-GB"/>
        </w:rPr>
        <w:t>s</w:t>
      </w:r>
    </w:p>
    <w:p w14:paraId="275A8F19" w14:textId="412B0ED7" w:rsidR="001B14DD" w:rsidRPr="00FB41EA" w:rsidRDefault="005B24EA" w:rsidP="005B24EA">
      <w:pPr>
        <w:pStyle w:val="ListParagraph"/>
        <w:numPr>
          <w:ilvl w:val="0"/>
          <w:numId w:val="9"/>
        </w:numPr>
        <w:spacing w:before="120" w:after="120" w:line="240" w:lineRule="auto"/>
        <w:jc w:val="both"/>
        <w:rPr>
          <w:rFonts w:cs="Arial"/>
          <w:sz w:val="20"/>
          <w:szCs w:val="20"/>
          <w:lang w:val="en-GB"/>
        </w:rPr>
      </w:pPr>
      <w:r w:rsidRPr="00FB41EA">
        <w:rPr>
          <w:rFonts w:cs="Arial"/>
          <w:sz w:val="20"/>
          <w:szCs w:val="20"/>
          <w:lang w:val="en-GB"/>
        </w:rPr>
        <w:t xml:space="preserve">Filling out the questionnaires of horizontal priority implementation and accountability for their implementation during project execution </w:t>
      </w:r>
    </w:p>
    <w:p w14:paraId="58307298" w14:textId="106A6ECC" w:rsidR="00E86BAC" w:rsidRPr="00FB41EA" w:rsidRDefault="005B24EA" w:rsidP="00DC7F5E">
      <w:pPr>
        <w:pStyle w:val="ListParagraph"/>
        <w:numPr>
          <w:ilvl w:val="0"/>
          <w:numId w:val="9"/>
        </w:numPr>
        <w:spacing w:before="120" w:after="120" w:line="240" w:lineRule="auto"/>
        <w:jc w:val="both"/>
        <w:rPr>
          <w:sz w:val="20"/>
          <w:szCs w:val="20"/>
          <w:lang w:val="en-GB"/>
        </w:rPr>
      </w:pPr>
      <w:r w:rsidRPr="00FB41EA">
        <w:rPr>
          <w:rFonts w:cs="Arial"/>
          <w:sz w:val="20"/>
          <w:szCs w:val="20"/>
          <w:lang w:val="en-GB"/>
        </w:rPr>
        <w:t>Fortification of regional dimension, inviting local municipality representatives for discussion</w:t>
      </w:r>
      <w:r w:rsidR="001B14DD" w:rsidRPr="00FB41EA">
        <w:rPr>
          <w:rFonts w:cs="Arial"/>
          <w:sz w:val="20"/>
          <w:szCs w:val="20"/>
          <w:lang w:val="en-GB"/>
        </w:rPr>
        <w:t xml:space="preserve">. </w:t>
      </w:r>
      <w:r w:rsidR="00CF6DC4" w:rsidRPr="00FB41EA">
        <w:rPr>
          <w:rFonts w:cs="Arial"/>
          <w:sz w:val="20"/>
          <w:szCs w:val="20"/>
          <w:lang w:val="en-GB"/>
        </w:rPr>
        <w:t xml:space="preserve">It could be carried out by setting up a cooperation platform, </w:t>
      </w:r>
      <w:r w:rsidR="00951470" w:rsidRPr="00FB41EA">
        <w:rPr>
          <w:rFonts w:cs="Arial"/>
          <w:sz w:val="20"/>
          <w:szCs w:val="20"/>
          <w:lang w:val="en-GB"/>
        </w:rPr>
        <w:t xml:space="preserve">setting sustainable development objectives for municipalities and actively realising </w:t>
      </w:r>
      <w:r w:rsidR="0088732F" w:rsidRPr="00FB41EA">
        <w:rPr>
          <w:rFonts w:cs="Arial"/>
          <w:sz w:val="20"/>
          <w:szCs w:val="20"/>
          <w:lang w:val="en-GB"/>
        </w:rPr>
        <w:t>“Local Agenda 21”</w:t>
      </w:r>
    </w:p>
    <w:p w14:paraId="55A91A1E" w14:textId="278BA52A" w:rsidR="003C61FA" w:rsidRPr="00FB41EA" w:rsidRDefault="003C61FA" w:rsidP="003C61FA">
      <w:pPr>
        <w:autoSpaceDE w:val="0"/>
        <w:autoSpaceDN w:val="0"/>
        <w:adjustRightInd w:val="0"/>
        <w:spacing w:before="120" w:after="0" w:line="240" w:lineRule="auto"/>
        <w:jc w:val="both"/>
        <w:rPr>
          <w:rFonts w:cs="Arial"/>
          <w:b/>
          <w:color w:val="81BC00"/>
          <w:sz w:val="20"/>
          <w:lang w:val="en-GB"/>
        </w:rPr>
      </w:pPr>
      <w:r w:rsidRPr="00FB41EA">
        <w:rPr>
          <w:b/>
          <w:color w:val="81BC00"/>
          <w:sz w:val="20"/>
          <w:lang w:val="en-GB"/>
        </w:rPr>
        <w:t xml:space="preserve">9.2.1. </w:t>
      </w:r>
      <w:r w:rsidR="008212CD" w:rsidRPr="00FB41EA">
        <w:rPr>
          <w:b/>
          <w:color w:val="81BC00"/>
          <w:sz w:val="20"/>
          <w:lang w:val="en-GB"/>
        </w:rPr>
        <w:t xml:space="preserve">To what extent </w:t>
      </w:r>
      <w:r w:rsidR="00C12232" w:rsidRPr="00FB41EA">
        <w:rPr>
          <w:b/>
          <w:color w:val="81BC00"/>
          <w:sz w:val="20"/>
          <w:lang w:val="en-GB"/>
        </w:rPr>
        <w:t>have the objectives and tasks of the horizontal priority of sustainable development been achieved/completed</w:t>
      </w:r>
      <w:r w:rsidRPr="00FB41EA">
        <w:rPr>
          <w:rFonts w:cs="Arial"/>
          <w:b/>
          <w:color w:val="81BC00"/>
          <w:sz w:val="20"/>
          <w:lang w:val="en-GB"/>
        </w:rPr>
        <w:t xml:space="preserve">? </w:t>
      </w:r>
      <w:r w:rsidR="00C12232" w:rsidRPr="00FB41EA">
        <w:rPr>
          <w:rFonts w:cs="Arial"/>
          <w:b/>
          <w:color w:val="81BC00"/>
          <w:sz w:val="20"/>
          <w:lang w:val="en-GB"/>
        </w:rPr>
        <w:t xml:space="preserve">What is the impact of </w:t>
      </w:r>
      <w:r w:rsidRPr="00FB41EA">
        <w:rPr>
          <w:rFonts w:cs="Arial"/>
          <w:b/>
          <w:color w:val="81BC00"/>
          <w:sz w:val="20"/>
          <w:lang w:val="en-GB"/>
        </w:rPr>
        <w:t xml:space="preserve">2007–2013 </w:t>
      </w:r>
      <w:r w:rsidR="00C12232" w:rsidRPr="00FB41EA">
        <w:rPr>
          <w:rFonts w:cs="Arial"/>
          <w:b/>
          <w:color w:val="81BC00"/>
          <w:sz w:val="20"/>
          <w:lang w:val="en-GB"/>
        </w:rPr>
        <w:t>operational programmes on the implementation of sustainable development priority</w:t>
      </w:r>
      <w:r w:rsidR="00F67CAF" w:rsidRPr="00FB41EA">
        <w:rPr>
          <w:rFonts w:cs="Arial"/>
          <w:b/>
          <w:color w:val="81BC00"/>
          <w:sz w:val="20"/>
          <w:lang w:val="en-GB"/>
        </w:rPr>
        <w:t xml:space="preserve"> in the following </w:t>
      </w:r>
      <w:proofErr w:type="gramStart"/>
      <w:r w:rsidR="00F67CAF" w:rsidRPr="00FB41EA">
        <w:rPr>
          <w:rFonts w:cs="Arial"/>
          <w:b/>
          <w:color w:val="81BC00"/>
          <w:sz w:val="20"/>
          <w:lang w:val="en-GB"/>
        </w:rPr>
        <w:t>areas</w:t>
      </w:r>
      <w:r w:rsidRPr="00FB41EA">
        <w:rPr>
          <w:rFonts w:cs="Arial"/>
          <w:b/>
          <w:color w:val="81BC00"/>
          <w:sz w:val="20"/>
          <w:lang w:val="en-GB"/>
        </w:rPr>
        <w:t>:</w:t>
      </w:r>
      <w:proofErr w:type="gramEnd"/>
    </w:p>
    <w:p w14:paraId="5AE252A1" w14:textId="77777777" w:rsidR="00F67CAF" w:rsidRPr="000201E5" w:rsidRDefault="00F67CAF" w:rsidP="00DC7F5E">
      <w:pPr>
        <w:pStyle w:val="ListParagraph"/>
        <w:numPr>
          <w:ilvl w:val="0"/>
          <w:numId w:val="11"/>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Mitigating climate change and adapting to it</w:t>
      </w:r>
    </w:p>
    <w:p w14:paraId="3788CAEC" w14:textId="77777777" w:rsidR="00F67CAF" w:rsidRPr="000201E5" w:rsidRDefault="00F67CAF" w:rsidP="00DC7F5E">
      <w:pPr>
        <w:pStyle w:val="ListParagraph"/>
        <w:numPr>
          <w:ilvl w:val="0"/>
          <w:numId w:val="11"/>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Transport development and reducing negative environmental impact</w:t>
      </w:r>
    </w:p>
    <w:p w14:paraId="15DD90CF" w14:textId="77777777" w:rsidR="00F67CAF" w:rsidRPr="000201E5" w:rsidRDefault="00F67CAF" w:rsidP="00DC7F5E">
      <w:pPr>
        <w:pStyle w:val="ListParagraph"/>
        <w:numPr>
          <w:ilvl w:val="0"/>
          <w:numId w:val="11"/>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Promotion of sustainable production and consumption</w:t>
      </w:r>
    </w:p>
    <w:p w14:paraId="70091D34" w14:textId="77777777" w:rsidR="00F67CAF" w:rsidRPr="000201E5" w:rsidRDefault="00F67CAF" w:rsidP="00DC7F5E">
      <w:pPr>
        <w:pStyle w:val="ListParagraph"/>
        <w:numPr>
          <w:ilvl w:val="0"/>
          <w:numId w:val="11"/>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Improved management of environmental resources</w:t>
      </w:r>
    </w:p>
    <w:p w14:paraId="28B24316" w14:textId="77777777" w:rsidR="00F67CAF" w:rsidRPr="000201E5" w:rsidRDefault="00F67CAF" w:rsidP="00DC7F5E">
      <w:pPr>
        <w:pStyle w:val="ListParagraph"/>
        <w:numPr>
          <w:ilvl w:val="0"/>
          <w:numId w:val="11"/>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Mitigating poverty and social exclusion</w:t>
      </w:r>
    </w:p>
    <w:p w14:paraId="59C46BBF" w14:textId="77777777" w:rsidR="00F67CAF" w:rsidRPr="000201E5" w:rsidRDefault="00F67CAF" w:rsidP="00DC7F5E">
      <w:pPr>
        <w:pStyle w:val="ListParagraph"/>
        <w:numPr>
          <w:ilvl w:val="0"/>
          <w:numId w:val="11"/>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Reducing public health threats</w:t>
      </w:r>
    </w:p>
    <w:p w14:paraId="69067C54" w14:textId="5625F50F" w:rsidR="003C61FA" w:rsidRPr="000201E5" w:rsidRDefault="00F67CAF" w:rsidP="00DC7F5E">
      <w:pPr>
        <w:pStyle w:val="ListParagraph"/>
        <w:numPr>
          <w:ilvl w:val="0"/>
          <w:numId w:val="10"/>
        </w:numPr>
        <w:autoSpaceDE w:val="0"/>
        <w:autoSpaceDN w:val="0"/>
        <w:adjustRightInd w:val="0"/>
        <w:spacing w:after="0" w:line="240" w:lineRule="auto"/>
        <w:ind w:left="714" w:hanging="357"/>
        <w:jc w:val="both"/>
        <w:rPr>
          <w:rFonts w:cs="Arial"/>
          <w:b/>
          <w:color w:val="81BC00"/>
          <w:sz w:val="20"/>
          <w:szCs w:val="22"/>
          <w:lang w:val="en-GB"/>
        </w:rPr>
      </w:pPr>
      <w:r w:rsidRPr="000201E5">
        <w:rPr>
          <w:rFonts w:cs="Arial"/>
          <w:b/>
          <w:color w:val="81BC00"/>
          <w:sz w:val="20"/>
          <w:szCs w:val="22"/>
          <w:lang w:val="en-GB"/>
        </w:rPr>
        <w:t>Tackling demographic and emigration problems</w:t>
      </w:r>
    </w:p>
    <w:p w14:paraId="38DC8DF7" w14:textId="093725C2" w:rsidR="003C61FA" w:rsidRPr="00FB41EA" w:rsidRDefault="001E5F1B" w:rsidP="003C61FA">
      <w:pPr>
        <w:autoSpaceDE w:val="0"/>
        <w:autoSpaceDN w:val="0"/>
        <w:adjustRightInd w:val="0"/>
        <w:spacing w:before="120" w:after="0" w:line="240" w:lineRule="auto"/>
        <w:jc w:val="both"/>
        <w:rPr>
          <w:rFonts w:cs="Arial"/>
          <w:b/>
          <w:color w:val="81BC00"/>
          <w:sz w:val="20"/>
          <w:lang w:val="en-GB"/>
        </w:rPr>
      </w:pPr>
      <w:r w:rsidRPr="00FB41EA">
        <w:rPr>
          <w:rFonts w:cs="Arial"/>
          <w:b/>
          <w:color w:val="81BC00"/>
          <w:sz w:val="20"/>
          <w:lang w:val="en-GB"/>
        </w:rPr>
        <w:t>Did the measures contributing to sustainable development cause adverse effects</w:t>
      </w:r>
      <w:r w:rsidR="003C61FA" w:rsidRPr="00FB41EA">
        <w:rPr>
          <w:rFonts w:cs="Arial"/>
          <w:b/>
          <w:color w:val="81BC00"/>
          <w:sz w:val="20"/>
          <w:lang w:val="en-GB"/>
        </w:rPr>
        <w:t>?</w:t>
      </w:r>
    </w:p>
    <w:p w14:paraId="003F0258" w14:textId="7B462B78" w:rsidR="003C61FA" w:rsidRPr="00FB41EA" w:rsidRDefault="00E90AD1" w:rsidP="003C61FA">
      <w:pPr>
        <w:spacing w:before="120" w:after="0" w:line="240" w:lineRule="auto"/>
        <w:jc w:val="both"/>
        <w:rPr>
          <w:sz w:val="20"/>
          <w:szCs w:val="20"/>
          <w:lang w:val="en-GB"/>
        </w:rPr>
      </w:pPr>
      <w:r w:rsidRPr="00FB41EA">
        <w:rPr>
          <w:sz w:val="20"/>
          <w:szCs w:val="20"/>
          <w:lang w:val="en-GB"/>
        </w:rPr>
        <w:t>The a</w:t>
      </w:r>
      <w:r w:rsidR="00291140" w:rsidRPr="00FB41EA">
        <w:rPr>
          <w:sz w:val="20"/>
          <w:szCs w:val="20"/>
          <w:lang w:val="en-GB"/>
        </w:rPr>
        <w:t xml:space="preserve">chievement of sustainable development </w:t>
      </w:r>
      <w:r w:rsidRPr="00FB41EA">
        <w:rPr>
          <w:sz w:val="20"/>
          <w:szCs w:val="20"/>
          <w:lang w:val="en-GB"/>
        </w:rPr>
        <w:t xml:space="preserve">objectives </w:t>
      </w:r>
      <w:proofErr w:type="gramStart"/>
      <w:r w:rsidR="00291140" w:rsidRPr="00FB41EA">
        <w:rPr>
          <w:sz w:val="20"/>
          <w:szCs w:val="20"/>
          <w:lang w:val="en-GB"/>
        </w:rPr>
        <w:t xml:space="preserve">was </w:t>
      </w:r>
      <w:r w:rsidRPr="00FB41EA">
        <w:rPr>
          <w:sz w:val="20"/>
          <w:szCs w:val="20"/>
          <w:lang w:val="en-GB"/>
        </w:rPr>
        <w:t>evaluated</w:t>
      </w:r>
      <w:proofErr w:type="gramEnd"/>
      <w:r w:rsidR="00291140" w:rsidRPr="00FB41EA">
        <w:rPr>
          <w:sz w:val="20"/>
          <w:szCs w:val="20"/>
          <w:lang w:val="en-GB"/>
        </w:rPr>
        <w:t xml:space="preserve"> </w:t>
      </w:r>
      <w:r w:rsidR="00B142BC">
        <w:rPr>
          <w:sz w:val="20"/>
          <w:szCs w:val="20"/>
          <w:lang w:val="en-GB"/>
        </w:rPr>
        <w:t>assessing not only the</w:t>
      </w:r>
      <w:r w:rsidR="00291140" w:rsidRPr="00FB41EA">
        <w:rPr>
          <w:sz w:val="20"/>
          <w:szCs w:val="20"/>
          <w:lang w:val="en-GB"/>
        </w:rPr>
        <w:t xml:space="preserve"> </w:t>
      </w:r>
      <w:r w:rsidRPr="00FB41EA">
        <w:rPr>
          <w:sz w:val="20"/>
          <w:szCs w:val="20"/>
          <w:lang w:val="en-GB"/>
        </w:rPr>
        <w:t xml:space="preserve">achievement of </w:t>
      </w:r>
      <w:r w:rsidR="00291140" w:rsidRPr="00FB41EA">
        <w:rPr>
          <w:sz w:val="20"/>
          <w:szCs w:val="20"/>
          <w:lang w:val="en-GB"/>
        </w:rPr>
        <w:t>sustainable development and eco-efficiency indicators, but also the EU structural funds</w:t>
      </w:r>
      <w:r w:rsidR="00346543" w:rsidRPr="00FB41EA">
        <w:rPr>
          <w:sz w:val="20"/>
          <w:szCs w:val="20"/>
          <w:lang w:val="en-GB"/>
        </w:rPr>
        <w:t>’</w:t>
      </w:r>
      <w:r w:rsidR="00291140" w:rsidRPr="00FB41EA">
        <w:rPr>
          <w:sz w:val="20"/>
          <w:szCs w:val="20"/>
          <w:lang w:val="en-GB"/>
        </w:rPr>
        <w:t xml:space="preserve"> </w:t>
      </w:r>
      <w:r w:rsidR="00291140" w:rsidRPr="00FB41EA">
        <w:rPr>
          <w:sz w:val="20"/>
          <w:szCs w:val="20"/>
          <w:lang w:val="en-GB"/>
        </w:rPr>
        <w:lastRenderedPageBreak/>
        <w:t xml:space="preserve">impact on sustainable development in problem </w:t>
      </w:r>
      <w:r w:rsidR="00B142BC">
        <w:rPr>
          <w:sz w:val="20"/>
          <w:szCs w:val="20"/>
          <w:lang w:val="en-GB"/>
        </w:rPr>
        <w:t>territories</w:t>
      </w:r>
      <w:r w:rsidR="00291140" w:rsidRPr="00FB41EA">
        <w:rPr>
          <w:sz w:val="20"/>
          <w:szCs w:val="20"/>
          <w:lang w:val="en-GB"/>
        </w:rPr>
        <w:t xml:space="preserve"> </w:t>
      </w:r>
      <w:r w:rsidR="00346543" w:rsidRPr="00FB41EA">
        <w:rPr>
          <w:sz w:val="20"/>
          <w:szCs w:val="20"/>
          <w:lang w:val="en-GB"/>
        </w:rPr>
        <w:t xml:space="preserve">in Lithuania </w:t>
      </w:r>
      <w:r w:rsidR="00291140" w:rsidRPr="00FB41EA">
        <w:rPr>
          <w:sz w:val="20"/>
          <w:szCs w:val="20"/>
          <w:lang w:val="en-GB"/>
        </w:rPr>
        <w:t xml:space="preserve">(more details </w:t>
      </w:r>
      <w:r w:rsidR="00346543" w:rsidRPr="00FB41EA">
        <w:rPr>
          <w:sz w:val="20"/>
          <w:szCs w:val="20"/>
          <w:lang w:val="en-GB"/>
        </w:rPr>
        <w:t>– in</w:t>
      </w:r>
      <w:r w:rsidR="00291140" w:rsidRPr="00FB41EA">
        <w:rPr>
          <w:sz w:val="20"/>
          <w:szCs w:val="20"/>
          <w:lang w:val="en-GB"/>
        </w:rPr>
        <w:t xml:space="preserve"> Annex 5</w:t>
      </w:r>
      <w:r w:rsidR="00346543" w:rsidRPr="00FB41EA">
        <w:rPr>
          <w:sz w:val="20"/>
          <w:szCs w:val="20"/>
          <w:lang w:val="en-GB"/>
        </w:rPr>
        <w:t xml:space="preserve"> of the Report</w:t>
      </w:r>
      <w:r w:rsidR="00291140" w:rsidRPr="00FB41EA">
        <w:rPr>
          <w:sz w:val="20"/>
          <w:szCs w:val="20"/>
          <w:lang w:val="en-GB"/>
        </w:rPr>
        <w:t>)</w:t>
      </w:r>
      <w:r w:rsidR="003C61FA" w:rsidRPr="00FB41EA">
        <w:rPr>
          <w:sz w:val="20"/>
          <w:szCs w:val="20"/>
          <w:lang w:val="en-GB"/>
        </w:rPr>
        <w:t xml:space="preserve">. </w:t>
      </w:r>
      <w:r w:rsidR="00DF230E" w:rsidRPr="00FB41EA">
        <w:rPr>
          <w:sz w:val="20"/>
          <w:szCs w:val="20"/>
          <w:lang w:val="en-GB"/>
        </w:rPr>
        <w:t xml:space="preserve">In the analysis, indicators </w:t>
      </w:r>
      <w:proofErr w:type="gramStart"/>
      <w:r w:rsidR="00DF230E" w:rsidRPr="00FB41EA">
        <w:rPr>
          <w:sz w:val="20"/>
          <w:szCs w:val="20"/>
          <w:lang w:val="en-GB"/>
        </w:rPr>
        <w:t>were compared</w:t>
      </w:r>
      <w:proofErr w:type="gramEnd"/>
      <w:r w:rsidR="00DF230E" w:rsidRPr="00FB41EA">
        <w:rPr>
          <w:sz w:val="20"/>
          <w:szCs w:val="20"/>
          <w:lang w:val="en-GB"/>
        </w:rPr>
        <w:t xml:space="preserve"> on the national and regional level</w:t>
      </w:r>
      <w:r w:rsidR="003C61FA" w:rsidRPr="00FB41EA">
        <w:rPr>
          <w:sz w:val="20"/>
          <w:szCs w:val="20"/>
          <w:lang w:val="en-GB"/>
        </w:rPr>
        <w:t xml:space="preserve">. </w:t>
      </w:r>
      <w:r w:rsidR="007C7C9A" w:rsidRPr="00FB41EA">
        <w:rPr>
          <w:sz w:val="20"/>
          <w:szCs w:val="20"/>
          <w:lang w:val="en-GB"/>
        </w:rPr>
        <w:t xml:space="preserve">It allowed to verify the effectiveness of interventions </w:t>
      </w:r>
      <w:r w:rsidR="00390BEE" w:rsidRPr="00FB41EA">
        <w:rPr>
          <w:sz w:val="20"/>
          <w:szCs w:val="20"/>
          <w:lang w:val="en-GB"/>
        </w:rPr>
        <w:t>on the operational level and in specific context</w:t>
      </w:r>
      <w:r w:rsidR="00B142BC">
        <w:rPr>
          <w:sz w:val="20"/>
          <w:szCs w:val="20"/>
          <w:lang w:val="en-GB"/>
        </w:rPr>
        <w:t>,</w:t>
      </w:r>
      <w:r w:rsidR="00390BEE" w:rsidRPr="00FB41EA">
        <w:rPr>
          <w:sz w:val="20"/>
          <w:szCs w:val="20"/>
          <w:lang w:val="en-GB"/>
        </w:rPr>
        <w:t xml:space="preserve"> and to consider regional dimension. </w:t>
      </w:r>
    </w:p>
    <w:p w14:paraId="0C4993A2" w14:textId="011EAB58" w:rsidR="003C61FA" w:rsidRPr="00FB41EA" w:rsidRDefault="00893F9A" w:rsidP="003C61FA">
      <w:pPr>
        <w:spacing w:before="120" w:after="0" w:line="240" w:lineRule="auto"/>
        <w:jc w:val="both"/>
        <w:rPr>
          <w:b/>
          <w:color w:val="81BC00"/>
          <w:sz w:val="20"/>
          <w:szCs w:val="20"/>
          <w:lang w:val="en-GB"/>
        </w:rPr>
      </w:pPr>
      <w:r w:rsidRPr="00FB41EA">
        <w:rPr>
          <w:sz w:val="20"/>
          <w:szCs w:val="20"/>
          <w:lang w:val="en-GB"/>
        </w:rPr>
        <w:t xml:space="preserve">Sustainable development has always been one of the </w:t>
      </w:r>
      <w:r w:rsidR="0067133D" w:rsidRPr="00FB41EA">
        <w:rPr>
          <w:sz w:val="20"/>
          <w:szCs w:val="20"/>
          <w:lang w:val="en-GB"/>
        </w:rPr>
        <w:t>means</w:t>
      </w:r>
      <w:r w:rsidRPr="00FB41EA">
        <w:rPr>
          <w:sz w:val="20"/>
          <w:szCs w:val="20"/>
          <w:lang w:val="en-GB"/>
        </w:rPr>
        <w:t xml:space="preserve"> to solve regional issues</w:t>
      </w:r>
      <w:r w:rsidR="003C61FA" w:rsidRPr="00FB41EA">
        <w:rPr>
          <w:sz w:val="20"/>
          <w:szCs w:val="20"/>
          <w:lang w:val="en-GB"/>
        </w:rPr>
        <w:t xml:space="preserve">. </w:t>
      </w:r>
      <w:r w:rsidR="0044307F" w:rsidRPr="00FB41EA">
        <w:rPr>
          <w:b/>
          <w:color w:val="81BC00"/>
          <w:sz w:val="20"/>
          <w:szCs w:val="20"/>
          <w:lang w:val="en-GB"/>
        </w:rPr>
        <w:t xml:space="preserve">Aid for </w:t>
      </w:r>
      <w:r w:rsidR="004B580F">
        <w:rPr>
          <w:b/>
          <w:color w:val="81BC00"/>
          <w:sz w:val="20"/>
          <w:szCs w:val="20"/>
          <w:lang w:val="en-GB"/>
        </w:rPr>
        <w:t>the</w:t>
      </w:r>
      <w:r w:rsidR="0044307F" w:rsidRPr="00FB41EA">
        <w:rPr>
          <w:b/>
          <w:color w:val="81BC00"/>
          <w:sz w:val="20"/>
          <w:szCs w:val="20"/>
          <w:lang w:val="en-GB"/>
        </w:rPr>
        <w:t xml:space="preserve"> region</w:t>
      </w:r>
      <w:r w:rsidR="0067133D" w:rsidRPr="00FB41EA">
        <w:rPr>
          <w:b/>
          <w:color w:val="81BC00"/>
          <w:sz w:val="20"/>
          <w:szCs w:val="20"/>
          <w:lang w:val="en-GB"/>
        </w:rPr>
        <w:t>’s economic development,</w:t>
      </w:r>
      <w:r w:rsidR="0044307F" w:rsidRPr="00FB41EA">
        <w:rPr>
          <w:b/>
          <w:color w:val="81BC00"/>
          <w:sz w:val="20"/>
          <w:szCs w:val="20"/>
          <w:lang w:val="en-GB"/>
        </w:rPr>
        <w:t xml:space="preserve"> renewable energy </w:t>
      </w:r>
      <w:r w:rsidR="0067133D" w:rsidRPr="00FB41EA">
        <w:rPr>
          <w:b/>
          <w:color w:val="81BC00"/>
          <w:sz w:val="20"/>
          <w:szCs w:val="20"/>
          <w:lang w:val="en-GB"/>
        </w:rPr>
        <w:t xml:space="preserve">facility </w:t>
      </w:r>
      <w:r w:rsidR="0044307F" w:rsidRPr="00FB41EA">
        <w:rPr>
          <w:b/>
          <w:color w:val="81BC00"/>
          <w:sz w:val="20"/>
          <w:szCs w:val="20"/>
          <w:lang w:val="en-GB"/>
        </w:rPr>
        <w:t xml:space="preserve">deployment and sustainable urban and regional planning are among the measures used to </w:t>
      </w:r>
      <w:r w:rsidR="0067133D" w:rsidRPr="00FB41EA">
        <w:rPr>
          <w:b/>
          <w:color w:val="81BC00"/>
          <w:sz w:val="20"/>
          <w:szCs w:val="20"/>
          <w:lang w:val="en-GB"/>
        </w:rPr>
        <w:t>manage</w:t>
      </w:r>
      <w:r w:rsidR="0044307F" w:rsidRPr="00FB41EA">
        <w:rPr>
          <w:b/>
          <w:color w:val="81BC00"/>
          <w:sz w:val="20"/>
          <w:szCs w:val="20"/>
          <w:lang w:val="en-GB"/>
        </w:rPr>
        <w:t xml:space="preserve"> migration from rural areas and to prevent regional economic downturn</w:t>
      </w:r>
      <w:r w:rsidR="0067133D" w:rsidRPr="00FB41EA">
        <w:rPr>
          <w:sz w:val="20"/>
          <w:szCs w:val="20"/>
          <w:lang w:val="en-GB"/>
        </w:rPr>
        <w:t xml:space="preserve">. </w:t>
      </w:r>
    </w:p>
    <w:p w14:paraId="7DB16107" w14:textId="3DBEC1AE" w:rsidR="00AC6BA6" w:rsidRPr="00FB41EA" w:rsidRDefault="00271005" w:rsidP="00AC6BA6">
      <w:pPr>
        <w:autoSpaceDE w:val="0"/>
        <w:autoSpaceDN w:val="0"/>
        <w:adjustRightInd w:val="0"/>
        <w:spacing w:before="120" w:after="0" w:line="240" w:lineRule="auto"/>
        <w:jc w:val="both"/>
        <w:rPr>
          <w:sz w:val="20"/>
          <w:szCs w:val="20"/>
          <w:lang w:val="en-GB"/>
        </w:rPr>
      </w:pPr>
      <w:r w:rsidRPr="00FB41EA">
        <w:rPr>
          <w:sz w:val="20"/>
          <w:szCs w:val="20"/>
          <w:lang w:val="en-GB"/>
        </w:rPr>
        <w:t>Ongoing cohesion projects contributed to improving citizens’ living conditions and economic opportunities</w:t>
      </w:r>
      <w:r w:rsidR="003C61FA" w:rsidRPr="00FB41EA">
        <w:rPr>
          <w:sz w:val="20"/>
          <w:szCs w:val="20"/>
          <w:lang w:val="en-GB"/>
        </w:rPr>
        <w:t xml:space="preserve">. </w:t>
      </w:r>
      <w:r w:rsidR="00CE2936" w:rsidRPr="00FB41EA">
        <w:rPr>
          <w:sz w:val="20"/>
          <w:szCs w:val="20"/>
          <w:lang w:val="en-GB"/>
        </w:rPr>
        <w:t xml:space="preserve">It </w:t>
      </w:r>
      <w:proofErr w:type="gramStart"/>
      <w:r w:rsidR="00CE2936" w:rsidRPr="00FB41EA">
        <w:rPr>
          <w:sz w:val="20"/>
          <w:szCs w:val="20"/>
          <w:lang w:val="en-GB"/>
        </w:rPr>
        <w:t>was</w:t>
      </w:r>
      <w:r w:rsidRPr="00FB41EA">
        <w:rPr>
          <w:sz w:val="20"/>
          <w:szCs w:val="20"/>
          <w:lang w:val="en-GB"/>
        </w:rPr>
        <w:t xml:space="preserve"> achieved</w:t>
      </w:r>
      <w:proofErr w:type="gramEnd"/>
      <w:r w:rsidRPr="00FB41EA">
        <w:rPr>
          <w:sz w:val="20"/>
          <w:szCs w:val="20"/>
          <w:lang w:val="en-GB"/>
        </w:rPr>
        <w:t xml:space="preserve"> </w:t>
      </w:r>
      <w:r w:rsidR="00CE2936" w:rsidRPr="00FB41EA">
        <w:rPr>
          <w:sz w:val="20"/>
          <w:szCs w:val="20"/>
          <w:lang w:val="en-GB"/>
        </w:rPr>
        <w:t>by</w:t>
      </w:r>
      <w:r w:rsidRPr="00FB41EA">
        <w:rPr>
          <w:sz w:val="20"/>
          <w:szCs w:val="20"/>
          <w:lang w:val="en-GB"/>
        </w:rPr>
        <w:t xml:space="preserve"> shaping </w:t>
      </w:r>
      <w:r w:rsidR="00CE2936" w:rsidRPr="00FB41EA">
        <w:rPr>
          <w:sz w:val="20"/>
          <w:szCs w:val="20"/>
          <w:lang w:val="en-GB"/>
        </w:rPr>
        <w:t>skills necessary for</w:t>
      </w:r>
      <w:r w:rsidRPr="00FB41EA">
        <w:rPr>
          <w:sz w:val="20"/>
          <w:szCs w:val="20"/>
          <w:lang w:val="en-GB"/>
        </w:rPr>
        <w:t xml:space="preserve"> working conditions, reducing the unemployment rate, </w:t>
      </w:r>
      <w:r w:rsidR="00CE2936" w:rsidRPr="00FB41EA">
        <w:rPr>
          <w:sz w:val="20"/>
          <w:szCs w:val="20"/>
          <w:lang w:val="en-GB"/>
        </w:rPr>
        <w:t xml:space="preserve">making </w:t>
      </w:r>
      <w:r w:rsidRPr="00FB41EA">
        <w:rPr>
          <w:sz w:val="20"/>
          <w:szCs w:val="20"/>
          <w:lang w:val="en-GB"/>
        </w:rPr>
        <w:t xml:space="preserve">office space renovations and improving </w:t>
      </w:r>
      <w:r w:rsidR="00CE2936" w:rsidRPr="00FB41EA">
        <w:rPr>
          <w:sz w:val="20"/>
          <w:szCs w:val="20"/>
          <w:lang w:val="en-GB"/>
        </w:rPr>
        <w:t>commuting</w:t>
      </w:r>
      <w:r w:rsidRPr="00FB41EA">
        <w:rPr>
          <w:sz w:val="20"/>
          <w:szCs w:val="20"/>
          <w:lang w:val="en-GB"/>
        </w:rPr>
        <w:t xml:space="preserve"> </w:t>
      </w:r>
      <w:r w:rsidR="004B580F">
        <w:rPr>
          <w:sz w:val="20"/>
          <w:szCs w:val="20"/>
          <w:lang w:val="en-GB"/>
        </w:rPr>
        <w:t>to/from</w:t>
      </w:r>
      <w:r w:rsidRPr="00FB41EA">
        <w:rPr>
          <w:sz w:val="20"/>
          <w:szCs w:val="20"/>
          <w:lang w:val="en-GB"/>
        </w:rPr>
        <w:t xml:space="preserve"> rural areas</w:t>
      </w:r>
      <w:r w:rsidR="003C61FA" w:rsidRPr="00FB41EA">
        <w:rPr>
          <w:sz w:val="20"/>
          <w:szCs w:val="20"/>
          <w:lang w:val="en-GB"/>
        </w:rPr>
        <w:t xml:space="preserve">. </w:t>
      </w:r>
      <w:r w:rsidR="00CE2936" w:rsidRPr="00FB41EA">
        <w:rPr>
          <w:sz w:val="20"/>
          <w:szCs w:val="20"/>
          <w:lang w:val="en-GB"/>
        </w:rPr>
        <w:t xml:space="preserve">Those projects helped to establish </w:t>
      </w:r>
      <w:r w:rsidR="00B13C89" w:rsidRPr="00FB41EA">
        <w:rPr>
          <w:sz w:val="20"/>
          <w:szCs w:val="20"/>
          <w:lang w:val="en-GB"/>
        </w:rPr>
        <w:t>connections</w:t>
      </w:r>
      <w:r w:rsidR="00CE2936" w:rsidRPr="00FB41EA">
        <w:rPr>
          <w:sz w:val="20"/>
          <w:szCs w:val="20"/>
          <w:lang w:val="en-GB"/>
        </w:rPr>
        <w:t xml:space="preserve"> between </w:t>
      </w:r>
      <w:r w:rsidR="00B13C89" w:rsidRPr="00FB41EA">
        <w:rPr>
          <w:sz w:val="20"/>
          <w:szCs w:val="20"/>
          <w:lang w:val="en-GB"/>
        </w:rPr>
        <w:t xml:space="preserve">scientific </w:t>
      </w:r>
      <w:r w:rsidR="00CE2936" w:rsidRPr="00FB41EA">
        <w:rPr>
          <w:sz w:val="20"/>
          <w:szCs w:val="20"/>
          <w:lang w:val="en-GB"/>
        </w:rPr>
        <w:t>research institutions, universities and business community</w:t>
      </w:r>
      <w:r w:rsidR="00B13C89" w:rsidRPr="00FB41EA">
        <w:rPr>
          <w:sz w:val="20"/>
          <w:szCs w:val="20"/>
          <w:lang w:val="en-GB"/>
        </w:rPr>
        <w:t>,</w:t>
      </w:r>
      <w:r w:rsidR="00CE2936" w:rsidRPr="00FB41EA">
        <w:rPr>
          <w:sz w:val="20"/>
          <w:szCs w:val="20"/>
          <w:lang w:val="en-GB"/>
        </w:rPr>
        <w:t xml:space="preserve"> creati</w:t>
      </w:r>
      <w:r w:rsidR="00B13C89" w:rsidRPr="00FB41EA">
        <w:rPr>
          <w:sz w:val="20"/>
          <w:szCs w:val="20"/>
          <w:lang w:val="en-GB"/>
        </w:rPr>
        <w:t>ng</w:t>
      </w:r>
      <w:r w:rsidR="00CE2936" w:rsidRPr="00FB41EA">
        <w:rPr>
          <w:sz w:val="20"/>
          <w:szCs w:val="20"/>
          <w:lang w:val="en-GB"/>
        </w:rPr>
        <w:t xml:space="preserve"> </w:t>
      </w:r>
      <w:proofErr w:type="gramStart"/>
      <w:r w:rsidR="00CE2936" w:rsidRPr="00FB41EA">
        <w:rPr>
          <w:sz w:val="20"/>
          <w:szCs w:val="20"/>
          <w:lang w:val="en-GB"/>
        </w:rPr>
        <w:t>added value</w:t>
      </w:r>
      <w:proofErr w:type="gramEnd"/>
      <w:r w:rsidR="00CE2936" w:rsidRPr="00FB41EA">
        <w:rPr>
          <w:sz w:val="20"/>
          <w:szCs w:val="20"/>
          <w:lang w:val="en-GB"/>
        </w:rPr>
        <w:t xml:space="preserve"> not only</w:t>
      </w:r>
      <w:r w:rsidR="00B13C89" w:rsidRPr="00FB41EA">
        <w:rPr>
          <w:sz w:val="20"/>
          <w:szCs w:val="20"/>
          <w:lang w:val="en-GB"/>
        </w:rPr>
        <w:t xml:space="preserve"> on the</w:t>
      </w:r>
      <w:r w:rsidR="00CE2936" w:rsidRPr="00FB41EA">
        <w:rPr>
          <w:sz w:val="20"/>
          <w:szCs w:val="20"/>
          <w:lang w:val="en-GB"/>
        </w:rPr>
        <w:t xml:space="preserve"> regional, but also </w:t>
      </w:r>
      <w:r w:rsidR="00B13C89" w:rsidRPr="00FB41EA">
        <w:rPr>
          <w:sz w:val="20"/>
          <w:szCs w:val="20"/>
          <w:lang w:val="en-GB"/>
        </w:rPr>
        <w:t xml:space="preserve">on </w:t>
      </w:r>
      <w:r w:rsidR="00CE2936" w:rsidRPr="00FB41EA">
        <w:rPr>
          <w:sz w:val="20"/>
          <w:szCs w:val="20"/>
          <w:lang w:val="en-GB"/>
        </w:rPr>
        <w:t xml:space="preserve">the </w:t>
      </w:r>
      <w:r w:rsidR="00B13C89" w:rsidRPr="00FB41EA">
        <w:rPr>
          <w:sz w:val="20"/>
          <w:szCs w:val="20"/>
          <w:lang w:val="en-GB"/>
        </w:rPr>
        <w:t xml:space="preserve">national </w:t>
      </w:r>
      <w:r w:rsidR="00CE2936" w:rsidRPr="00FB41EA">
        <w:rPr>
          <w:sz w:val="20"/>
          <w:szCs w:val="20"/>
          <w:lang w:val="en-GB"/>
        </w:rPr>
        <w:t xml:space="preserve">level </w:t>
      </w:r>
      <w:r w:rsidR="00B13C89" w:rsidRPr="00FB41EA">
        <w:rPr>
          <w:sz w:val="20"/>
          <w:szCs w:val="20"/>
          <w:lang w:val="en-GB"/>
        </w:rPr>
        <w:t>throughout</w:t>
      </w:r>
      <w:r w:rsidR="00CE2936" w:rsidRPr="00FB41EA">
        <w:rPr>
          <w:sz w:val="20"/>
          <w:szCs w:val="20"/>
          <w:lang w:val="en-GB"/>
        </w:rPr>
        <w:t xml:space="preserve"> Lithuania</w:t>
      </w:r>
      <w:r w:rsidR="00AC6BA6" w:rsidRPr="00FB41EA">
        <w:rPr>
          <w:sz w:val="20"/>
          <w:szCs w:val="20"/>
          <w:lang w:val="en-GB"/>
        </w:rPr>
        <w:t>.</w:t>
      </w:r>
    </w:p>
    <w:p w14:paraId="18E43416" w14:textId="204CA428" w:rsidR="003C61FA" w:rsidRPr="00FB41EA" w:rsidRDefault="001E3800" w:rsidP="003C61FA">
      <w:pPr>
        <w:autoSpaceDE w:val="0"/>
        <w:autoSpaceDN w:val="0"/>
        <w:adjustRightInd w:val="0"/>
        <w:spacing w:before="120" w:after="0" w:line="240" w:lineRule="auto"/>
        <w:jc w:val="both"/>
        <w:rPr>
          <w:rFonts w:cs="Arial"/>
          <w:sz w:val="20"/>
          <w:szCs w:val="20"/>
          <w:lang w:val="en-GB" w:eastAsia="en-GB"/>
        </w:rPr>
      </w:pPr>
      <w:r w:rsidRPr="00FB41EA">
        <w:rPr>
          <w:rFonts w:cs="Arial"/>
          <w:sz w:val="20"/>
          <w:szCs w:val="20"/>
          <w:lang w:val="en-GB" w:eastAsia="en-GB"/>
        </w:rPr>
        <w:t>D</w:t>
      </w:r>
      <w:r w:rsidR="00B13C89" w:rsidRPr="00FB41EA">
        <w:rPr>
          <w:rFonts w:cs="Arial"/>
          <w:sz w:val="20"/>
          <w:szCs w:val="20"/>
          <w:lang w:val="en-GB" w:eastAsia="en-GB"/>
        </w:rPr>
        <w:t xml:space="preserve">ecision-makers are increasingly </w:t>
      </w:r>
      <w:r w:rsidRPr="00FB41EA">
        <w:rPr>
          <w:rFonts w:cs="Arial"/>
          <w:sz w:val="20"/>
          <w:szCs w:val="20"/>
          <w:lang w:val="en-GB" w:eastAsia="en-GB"/>
        </w:rPr>
        <w:t>considering</w:t>
      </w:r>
      <w:r w:rsidR="00B13C89" w:rsidRPr="00FB41EA">
        <w:rPr>
          <w:rFonts w:cs="Arial"/>
          <w:sz w:val="20"/>
          <w:szCs w:val="20"/>
          <w:lang w:val="en-GB" w:eastAsia="en-GB"/>
        </w:rPr>
        <w:t xml:space="preserve"> the integral </w:t>
      </w:r>
      <w:r w:rsidRPr="00FB41EA">
        <w:rPr>
          <w:rFonts w:cs="Arial"/>
          <w:sz w:val="20"/>
          <w:szCs w:val="20"/>
          <w:lang w:val="en-GB" w:eastAsia="en-GB"/>
        </w:rPr>
        <w:t xml:space="preserve">nature of </w:t>
      </w:r>
      <w:r w:rsidR="00B13C89" w:rsidRPr="00FB41EA">
        <w:rPr>
          <w:rFonts w:cs="Arial"/>
          <w:sz w:val="20"/>
          <w:szCs w:val="20"/>
          <w:lang w:val="en-GB" w:eastAsia="en-GB"/>
        </w:rPr>
        <w:t>regional and sustainable development</w:t>
      </w:r>
      <w:r w:rsidRPr="00FB41EA">
        <w:rPr>
          <w:rFonts w:cs="Arial"/>
          <w:sz w:val="20"/>
          <w:szCs w:val="20"/>
          <w:lang w:val="en-GB" w:eastAsia="en-GB"/>
        </w:rPr>
        <w:t>;</w:t>
      </w:r>
      <w:r w:rsidR="00B13C89" w:rsidRPr="00FB41EA">
        <w:rPr>
          <w:rFonts w:cs="Arial"/>
          <w:sz w:val="20"/>
          <w:szCs w:val="20"/>
          <w:lang w:val="en-GB" w:eastAsia="en-GB"/>
        </w:rPr>
        <w:t xml:space="preserve"> </w:t>
      </w:r>
      <w:proofErr w:type="gramStart"/>
      <w:r w:rsidR="004B580F">
        <w:rPr>
          <w:rFonts w:cs="Arial"/>
          <w:sz w:val="20"/>
          <w:szCs w:val="20"/>
          <w:lang w:val="en-GB" w:eastAsia="en-GB"/>
        </w:rPr>
        <w:t>thus</w:t>
      </w:r>
      <w:proofErr w:type="gramEnd"/>
      <w:r w:rsidRPr="00FB41EA">
        <w:rPr>
          <w:rFonts w:cs="Arial"/>
          <w:sz w:val="20"/>
          <w:szCs w:val="20"/>
          <w:lang w:val="en-GB" w:eastAsia="en-GB"/>
        </w:rPr>
        <w:t xml:space="preserve"> the impact of structural fund investments </w:t>
      </w:r>
      <w:r w:rsidR="00B13C89" w:rsidRPr="00FB41EA">
        <w:rPr>
          <w:rFonts w:cs="Arial"/>
          <w:sz w:val="20"/>
          <w:szCs w:val="20"/>
          <w:lang w:val="en-GB" w:eastAsia="en-GB"/>
        </w:rPr>
        <w:t>significantly strengthened sustainable development o</w:t>
      </w:r>
      <w:r w:rsidR="009B4826" w:rsidRPr="00FB41EA">
        <w:rPr>
          <w:rFonts w:cs="Arial"/>
          <w:sz w:val="20"/>
          <w:szCs w:val="20"/>
          <w:lang w:val="en-GB" w:eastAsia="en-GB"/>
        </w:rPr>
        <w:t>n</w:t>
      </w:r>
      <w:r w:rsidR="00B13C89" w:rsidRPr="00FB41EA">
        <w:rPr>
          <w:rFonts w:cs="Arial"/>
          <w:sz w:val="20"/>
          <w:szCs w:val="20"/>
          <w:lang w:val="en-GB" w:eastAsia="en-GB"/>
        </w:rPr>
        <w:t xml:space="preserve"> the EU</w:t>
      </w:r>
      <w:r w:rsidR="009B4826" w:rsidRPr="00FB41EA">
        <w:rPr>
          <w:rFonts w:cs="Arial"/>
          <w:sz w:val="20"/>
          <w:szCs w:val="20"/>
          <w:lang w:val="en-GB" w:eastAsia="en-GB"/>
        </w:rPr>
        <w:t xml:space="preserve"> level. Therefore, the need to coordinate investment programmes </w:t>
      </w:r>
      <w:proofErr w:type="gramStart"/>
      <w:r w:rsidR="009B4826" w:rsidRPr="00FB41EA">
        <w:rPr>
          <w:rFonts w:cs="Arial"/>
          <w:sz w:val="20"/>
          <w:szCs w:val="20"/>
          <w:lang w:val="en-GB" w:eastAsia="en-GB"/>
        </w:rPr>
        <w:t>is recognised</w:t>
      </w:r>
      <w:proofErr w:type="gramEnd"/>
      <w:r w:rsidR="009B4826" w:rsidRPr="00FB41EA">
        <w:rPr>
          <w:rFonts w:cs="Arial"/>
          <w:sz w:val="20"/>
          <w:szCs w:val="20"/>
          <w:lang w:val="en-GB" w:eastAsia="en-GB"/>
        </w:rPr>
        <w:t xml:space="preserve"> </w:t>
      </w:r>
      <w:r w:rsidR="004B580F">
        <w:rPr>
          <w:rFonts w:cs="Arial"/>
          <w:sz w:val="20"/>
          <w:szCs w:val="20"/>
          <w:lang w:val="en-GB" w:eastAsia="en-GB"/>
        </w:rPr>
        <w:t xml:space="preserve">while </w:t>
      </w:r>
      <w:r w:rsidR="009B4826" w:rsidRPr="00FB41EA">
        <w:rPr>
          <w:rFonts w:cs="Arial"/>
          <w:sz w:val="20"/>
          <w:szCs w:val="20"/>
          <w:lang w:val="en-GB" w:eastAsia="en-GB"/>
        </w:rPr>
        <w:t xml:space="preserve">reaching </w:t>
      </w:r>
      <w:r w:rsidR="00B62045" w:rsidRPr="00FB41EA">
        <w:rPr>
          <w:rFonts w:cs="Arial"/>
          <w:sz w:val="20"/>
          <w:szCs w:val="20"/>
          <w:lang w:val="en-GB" w:eastAsia="en-GB"/>
        </w:rPr>
        <w:t xml:space="preserve">not only </w:t>
      </w:r>
      <w:r w:rsidR="009B4826" w:rsidRPr="00FB41EA">
        <w:rPr>
          <w:rFonts w:cs="Arial"/>
          <w:sz w:val="20"/>
          <w:szCs w:val="20"/>
          <w:lang w:val="en-GB" w:eastAsia="en-GB"/>
        </w:rPr>
        <w:t>economic and employment objectives, but also social and environmental goals</w:t>
      </w:r>
      <w:r w:rsidR="003C61FA" w:rsidRPr="00FB41EA">
        <w:rPr>
          <w:rFonts w:cs="Arial"/>
          <w:sz w:val="20"/>
          <w:szCs w:val="20"/>
          <w:lang w:val="en-GB" w:eastAsia="en-GB"/>
        </w:rPr>
        <w:t xml:space="preserve">. </w:t>
      </w:r>
      <w:r w:rsidR="00B62045" w:rsidRPr="00FB41EA">
        <w:rPr>
          <w:rFonts w:cs="Arial"/>
          <w:sz w:val="20"/>
          <w:szCs w:val="20"/>
          <w:lang w:val="en-GB" w:eastAsia="en-GB"/>
        </w:rPr>
        <w:t xml:space="preserve">The idea of the three pillars (economic, environmental and social development) and increasing awareness among decision-makers in the region, as well as </w:t>
      </w:r>
      <w:r w:rsidR="009B3EA2" w:rsidRPr="00FB41EA">
        <w:rPr>
          <w:rFonts w:cs="Arial"/>
          <w:sz w:val="20"/>
          <w:szCs w:val="20"/>
          <w:lang w:val="en-GB" w:eastAsia="en-GB"/>
        </w:rPr>
        <w:t xml:space="preserve">the promotion of </w:t>
      </w:r>
      <w:r w:rsidR="00B62045" w:rsidRPr="00FB41EA">
        <w:rPr>
          <w:rFonts w:cs="Arial"/>
          <w:sz w:val="20"/>
          <w:szCs w:val="20"/>
          <w:lang w:val="en-GB" w:eastAsia="en-GB"/>
        </w:rPr>
        <w:t xml:space="preserve">greater integration </w:t>
      </w:r>
      <w:r w:rsidR="009B3EA2" w:rsidRPr="00FB41EA">
        <w:rPr>
          <w:rFonts w:cs="Arial"/>
          <w:sz w:val="20"/>
          <w:szCs w:val="20"/>
          <w:lang w:val="en-GB" w:eastAsia="en-GB"/>
        </w:rPr>
        <w:t>among</w:t>
      </w:r>
      <w:r w:rsidR="00B62045" w:rsidRPr="00FB41EA">
        <w:rPr>
          <w:rFonts w:cs="Arial"/>
          <w:sz w:val="20"/>
          <w:szCs w:val="20"/>
          <w:lang w:val="en-GB" w:eastAsia="en-GB"/>
        </w:rPr>
        <w:t xml:space="preserve"> the development program</w:t>
      </w:r>
      <w:r w:rsidR="009B3EA2" w:rsidRPr="00FB41EA">
        <w:rPr>
          <w:rFonts w:cs="Arial"/>
          <w:sz w:val="20"/>
          <w:szCs w:val="20"/>
          <w:lang w:val="en-GB" w:eastAsia="en-GB"/>
        </w:rPr>
        <w:t>me</w:t>
      </w:r>
      <w:r w:rsidR="00B62045" w:rsidRPr="00FB41EA">
        <w:rPr>
          <w:rFonts w:cs="Arial"/>
          <w:sz w:val="20"/>
          <w:szCs w:val="20"/>
          <w:lang w:val="en-GB" w:eastAsia="en-GB"/>
        </w:rPr>
        <w:t>s</w:t>
      </w:r>
      <w:r w:rsidR="00092AA1">
        <w:rPr>
          <w:rFonts w:cs="Arial"/>
          <w:sz w:val="20"/>
          <w:szCs w:val="20"/>
          <w:lang w:val="en-GB" w:eastAsia="en-GB"/>
        </w:rPr>
        <w:t>,</w:t>
      </w:r>
      <w:r w:rsidR="00B62045" w:rsidRPr="00FB41EA">
        <w:rPr>
          <w:rFonts w:cs="Arial"/>
          <w:sz w:val="20"/>
          <w:szCs w:val="20"/>
          <w:lang w:val="en-GB" w:eastAsia="en-GB"/>
        </w:rPr>
        <w:t xml:space="preserve"> facilitate </w:t>
      </w:r>
      <w:r w:rsidR="009B3EA2" w:rsidRPr="00FB41EA">
        <w:rPr>
          <w:rFonts w:cs="Arial"/>
          <w:sz w:val="20"/>
          <w:szCs w:val="20"/>
          <w:lang w:val="en-GB" w:eastAsia="en-GB"/>
        </w:rPr>
        <w:t xml:space="preserve">positive conditions for the </w:t>
      </w:r>
      <w:r w:rsidR="00B62045" w:rsidRPr="00FB41EA">
        <w:rPr>
          <w:rFonts w:cs="Arial"/>
          <w:sz w:val="20"/>
          <w:szCs w:val="20"/>
          <w:lang w:val="en-GB" w:eastAsia="en-GB"/>
        </w:rPr>
        <w:t xml:space="preserve">structural </w:t>
      </w:r>
      <w:r w:rsidR="009B3EA2" w:rsidRPr="00FB41EA">
        <w:rPr>
          <w:rFonts w:cs="Arial"/>
          <w:sz w:val="20"/>
          <w:szCs w:val="20"/>
          <w:lang w:val="en-GB" w:eastAsia="en-GB"/>
        </w:rPr>
        <w:t>assistance</w:t>
      </w:r>
      <w:r w:rsidR="00B62045" w:rsidRPr="00FB41EA">
        <w:rPr>
          <w:rFonts w:cs="Arial"/>
          <w:sz w:val="20"/>
          <w:szCs w:val="20"/>
          <w:lang w:val="en-GB" w:eastAsia="en-GB"/>
        </w:rPr>
        <w:t xml:space="preserve"> effects </w:t>
      </w:r>
      <w:r w:rsidR="009B3EA2" w:rsidRPr="00FB41EA">
        <w:rPr>
          <w:rFonts w:cs="Arial"/>
          <w:sz w:val="20"/>
          <w:szCs w:val="20"/>
          <w:lang w:val="en-GB" w:eastAsia="en-GB"/>
        </w:rPr>
        <w:t xml:space="preserve">to </w:t>
      </w:r>
      <w:r w:rsidR="00B62045" w:rsidRPr="00FB41EA">
        <w:rPr>
          <w:rFonts w:cs="Arial"/>
          <w:sz w:val="20"/>
          <w:szCs w:val="20"/>
          <w:lang w:val="en-GB" w:eastAsia="en-GB"/>
        </w:rPr>
        <w:t>occur</w:t>
      </w:r>
      <w:r w:rsidR="003C61FA" w:rsidRPr="00FB41EA">
        <w:rPr>
          <w:rFonts w:cs="Arial"/>
          <w:sz w:val="20"/>
          <w:szCs w:val="20"/>
          <w:lang w:val="en-GB" w:eastAsia="en-GB"/>
        </w:rPr>
        <w:t xml:space="preserve">. </w:t>
      </w:r>
    </w:p>
    <w:p w14:paraId="05AEDF93" w14:textId="2FF5D680" w:rsidR="003C61FA" w:rsidRPr="00FB41EA" w:rsidRDefault="00F02315" w:rsidP="003C61FA">
      <w:pPr>
        <w:autoSpaceDE w:val="0"/>
        <w:autoSpaceDN w:val="0"/>
        <w:adjustRightInd w:val="0"/>
        <w:spacing w:before="120" w:after="0" w:line="240" w:lineRule="auto"/>
        <w:jc w:val="both"/>
        <w:rPr>
          <w:sz w:val="20"/>
          <w:szCs w:val="20"/>
          <w:lang w:val="en-GB"/>
        </w:rPr>
      </w:pPr>
      <w:r w:rsidRPr="00FB41EA">
        <w:rPr>
          <w:sz w:val="20"/>
          <w:szCs w:val="20"/>
          <w:lang w:val="en-GB"/>
        </w:rPr>
        <w:t>The evaluation identifie</w:t>
      </w:r>
      <w:r w:rsidR="00D4599D">
        <w:rPr>
          <w:sz w:val="20"/>
          <w:szCs w:val="20"/>
          <w:lang w:val="en-GB"/>
        </w:rPr>
        <w:t>d</w:t>
      </w:r>
      <w:r w:rsidRPr="00FB41EA">
        <w:rPr>
          <w:sz w:val="20"/>
          <w:szCs w:val="20"/>
          <w:lang w:val="en-GB"/>
        </w:rPr>
        <w:t xml:space="preserve"> that </w:t>
      </w:r>
      <w:r w:rsidR="00D4599D">
        <w:rPr>
          <w:sz w:val="20"/>
          <w:szCs w:val="20"/>
          <w:lang w:val="en-GB"/>
        </w:rPr>
        <w:t xml:space="preserve">the </w:t>
      </w:r>
      <w:r w:rsidRPr="00FB41EA">
        <w:rPr>
          <w:sz w:val="20"/>
          <w:szCs w:val="20"/>
          <w:lang w:val="en-GB"/>
        </w:rPr>
        <w:t>funds allocated to regional development contribute to a stronger and more effective regional growth</w:t>
      </w:r>
      <w:r w:rsidR="003C61FA" w:rsidRPr="00FB41EA">
        <w:rPr>
          <w:sz w:val="20"/>
          <w:szCs w:val="20"/>
          <w:lang w:val="en-GB"/>
        </w:rPr>
        <w:t xml:space="preserve">. </w:t>
      </w:r>
      <w:r w:rsidR="00804E5C" w:rsidRPr="00FB41EA">
        <w:rPr>
          <w:sz w:val="20"/>
          <w:szCs w:val="20"/>
          <w:lang w:val="en-GB"/>
        </w:rPr>
        <w:t>It also establishes that this relationship is particularly obvious in relatively strong regions with a predominantly favourable social and economic environment</w:t>
      </w:r>
      <w:r w:rsidR="003C61FA" w:rsidRPr="00FB41EA">
        <w:rPr>
          <w:sz w:val="20"/>
          <w:szCs w:val="20"/>
          <w:lang w:val="en-GB"/>
        </w:rPr>
        <w:t xml:space="preserve">. </w:t>
      </w:r>
      <w:r w:rsidR="00E75C00" w:rsidRPr="00FB41EA">
        <w:rPr>
          <w:sz w:val="20"/>
          <w:szCs w:val="20"/>
          <w:lang w:val="en-GB"/>
        </w:rPr>
        <w:t xml:space="preserve">Paradoxically, the EU cohesion policy is more effective and brings more benefit to relatively stronger regions (weaker regions </w:t>
      </w:r>
      <w:r w:rsidR="00646D5B" w:rsidRPr="00FB41EA">
        <w:rPr>
          <w:sz w:val="20"/>
          <w:szCs w:val="20"/>
          <w:lang w:val="en-GB"/>
        </w:rPr>
        <w:t>register</w:t>
      </w:r>
      <w:r w:rsidR="00E75C00" w:rsidRPr="00FB41EA">
        <w:rPr>
          <w:sz w:val="20"/>
          <w:szCs w:val="20"/>
          <w:lang w:val="en-GB"/>
        </w:rPr>
        <w:t xml:space="preserve"> </w:t>
      </w:r>
      <w:r w:rsidR="00F8017C" w:rsidRPr="00FB41EA">
        <w:rPr>
          <w:sz w:val="20"/>
          <w:szCs w:val="20"/>
          <w:lang w:val="en-GB"/>
        </w:rPr>
        <w:t>positive</w:t>
      </w:r>
      <w:r w:rsidR="00646D5B" w:rsidRPr="00FB41EA">
        <w:rPr>
          <w:sz w:val="20"/>
          <w:szCs w:val="20"/>
          <w:lang w:val="en-GB"/>
        </w:rPr>
        <w:t xml:space="preserve"> benefit</w:t>
      </w:r>
      <w:r w:rsidR="00E75C00" w:rsidRPr="00FB41EA">
        <w:rPr>
          <w:sz w:val="20"/>
          <w:szCs w:val="20"/>
          <w:lang w:val="en-GB"/>
        </w:rPr>
        <w:t>)</w:t>
      </w:r>
      <w:r w:rsidR="003C61FA" w:rsidRPr="00FB41EA">
        <w:rPr>
          <w:sz w:val="20"/>
          <w:szCs w:val="20"/>
          <w:lang w:val="en-GB"/>
        </w:rPr>
        <w:t xml:space="preserve">. </w:t>
      </w:r>
      <w:r w:rsidR="00D37F85" w:rsidRPr="00FB41EA">
        <w:rPr>
          <w:sz w:val="20"/>
          <w:szCs w:val="20"/>
          <w:lang w:val="en-GB"/>
        </w:rPr>
        <w:t xml:space="preserve">Such a </w:t>
      </w:r>
      <w:r w:rsidR="008A4F28" w:rsidRPr="00FB41EA">
        <w:rPr>
          <w:sz w:val="20"/>
          <w:szCs w:val="20"/>
          <w:lang w:val="en-GB"/>
        </w:rPr>
        <w:t xml:space="preserve">difference in </w:t>
      </w:r>
      <w:r w:rsidR="00D37F85" w:rsidRPr="00FB41EA">
        <w:rPr>
          <w:sz w:val="20"/>
          <w:szCs w:val="20"/>
          <w:lang w:val="en-GB"/>
        </w:rPr>
        <w:t xml:space="preserve">benefit </w:t>
      </w:r>
      <w:r w:rsidR="008A4F28" w:rsidRPr="00FB41EA">
        <w:rPr>
          <w:sz w:val="20"/>
          <w:szCs w:val="20"/>
          <w:lang w:val="en-GB"/>
        </w:rPr>
        <w:t>effectiveness</w:t>
      </w:r>
      <w:r w:rsidR="00D37F85" w:rsidRPr="00FB41EA">
        <w:rPr>
          <w:sz w:val="20"/>
          <w:szCs w:val="20"/>
          <w:lang w:val="en-GB"/>
        </w:rPr>
        <w:t xml:space="preserve"> over the long term could potentially increase the </w:t>
      </w:r>
      <w:r w:rsidR="008A4F28" w:rsidRPr="00FB41EA">
        <w:rPr>
          <w:sz w:val="20"/>
          <w:szCs w:val="20"/>
          <w:lang w:val="en-GB"/>
        </w:rPr>
        <w:t>gap between larger</w:t>
      </w:r>
      <w:r w:rsidR="00D37F85" w:rsidRPr="00FB41EA">
        <w:rPr>
          <w:sz w:val="20"/>
          <w:szCs w:val="20"/>
          <w:lang w:val="en-GB"/>
        </w:rPr>
        <w:t xml:space="preserve"> </w:t>
      </w:r>
      <w:r w:rsidR="008A4F28" w:rsidRPr="00FB41EA">
        <w:rPr>
          <w:sz w:val="20"/>
          <w:szCs w:val="20"/>
          <w:lang w:val="en-GB"/>
        </w:rPr>
        <w:t>and</w:t>
      </w:r>
      <w:r w:rsidR="00D37F85" w:rsidRPr="00FB41EA">
        <w:rPr>
          <w:sz w:val="20"/>
          <w:szCs w:val="20"/>
          <w:lang w:val="en-GB"/>
        </w:rPr>
        <w:t xml:space="preserve"> smaller </w:t>
      </w:r>
      <w:r w:rsidR="008A4F28" w:rsidRPr="00FB41EA">
        <w:rPr>
          <w:sz w:val="20"/>
          <w:szCs w:val="20"/>
          <w:lang w:val="en-GB"/>
        </w:rPr>
        <w:t>regions</w:t>
      </w:r>
      <w:r w:rsidR="003C61FA" w:rsidRPr="00FB41EA">
        <w:rPr>
          <w:sz w:val="20"/>
          <w:szCs w:val="20"/>
          <w:lang w:val="en-GB"/>
        </w:rPr>
        <w:t xml:space="preserve">. </w:t>
      </w:r>
      <w:r w:rsidR="00F8017C" w:rsidRPr="00FB41EA">
        <w:rPr>
          <w:sz w:val="20"/>
          <w:szCs w:val="20"/>
          <w:lang w:val="en-GB"/>
        </w:rPr>
        <w:t xml:space="preserve">NGOs also often speak of the negative impact of cohesion policy on the environment. The main statements provide that </w:t>
      </w:r>
      <w:r w:rsidR="00AD218D" w:rsidRPr="00FB41EA">
        <w:rPr>
          <w:sz w:val="20"/>
          <w:szCs w:val="20"/>
          <w:lang w:val="en-GB"/>
        </w:rPr>
        <w:t xml:space="preserve">the levels of </w:t>
      </w:r>
      <w:r w:rsidR="00F8017C" w:rsidRPr="00FB41EA">
        <w:rPr>
          <w:sz w:val="20"/>
          <w:szCs w:val="20"/>
          <w:lang w:val="en-GB"/>
        </w:rPr>
        <w:t xml:space="preserve">greenhouse gases </w:t>
      </w:r>
      <w:r w:rsidR="00AD218D" w:rsidRPr="00FB41EA">
        <w:rPr>
          <w:sz w:val="20"/>
          <w:szCs w:val="20"/>
          <w:lang w:val="en-GB"/>
        </w:rPr>
        <w:t>rise</w:t>
      </w:r>
      <w:r w:rsidR="00A662A1" w:rsidRPr="00FB41EA">
        <w:rPr>
          <w:sz w:val="20"/>
          <w:szCs w:val="20"/>
          <w:lang w:val="en-GB"/>
        </w:rPr>
        <w:t xml:space="preserve"> due to </w:t>
      </w:r>
      <w:r w:rsidR="00AD218D" w:rsidRPr="00FB41EA">
        <w:rPr>
          <w:sz w:val="20"/>
          <w:szCs w:val="20"/>
          <w:lang w:val="en-GB"/>
        </w:rPr>
        <w:t xml:space="preserve">the increased intensity </w:t>
      </w:r>
      <w:r w:rsidR="00F8017C" w:rsidRPr="00FB41EA">
        <w:rPr>
          <w:sz w:val="20"/>
          <w:szCs w:val="20"/>
          <w:lang w:val="en-GB"/>
        </w:rPr>
        <w:t xml:space="preserve">of transport </w:t>
      </w:r>
      <w:r w:rsidR="00AD218D" w:rsidRPr="00FB41EA">
        <w:rPr>
          <w:sz w:val="20"/>
          <w:szCs w:val="20"/>
          <w:lang w:val="en-GB"/>
        </w:rPr>
        <w:t>as well as</w:t>
      </w:r>
      <w:r w:rsidR="00F8017C" w:rsidRPr="00FB41EA">
        <w:rPr>
          <w:sz w:val="20"/>
          <w:szCs w:val="20"/>
          <w:lang w:val="en-GB"/>
        </w:rPr>
        <w:t xml:space="preserve"> </w:t>
      </w:r>
      <w:r w:rsidR="00D4599D">
        <w:rPr>
          <w:sz w:val="20"/>
          <w:szCs w:val="20"/>
          <w:lang w:val="en-GB"/>
        </w:rPr>
        <w:t xml:space="preserve">rising </w:t>
      </w:r>
      <w:r w:rsidR="00AD218D" w:rsidRPr="00FB41EA">
        <w:rPr>
          <w:sz w:val="20"/>
          <w:szCs w:val="20"/>
          <w:lang w:val="en-GB"/>
        </w:rPr>
        <w:t xml:space="preserve">damage </w:t>
      </w:r>
      <w:r w:rsidR="00C07FEB" w:rsidRPr="00FB41EA">
        <w:rPr>
          <w:sz w:val="20"/>
          <w:szCs w:val="20"/>
          <w:lang w:val="en-GB"/>
        </w:rPr>
        <w:t xml:space="preserve">to biodiversity, </w:t>
      </w:r>
      <w:r w:rsidR="00AD218D" w:rsidRPr="00FB41EA">
        <w:rPr>
          <w:sz w:val="20"/>
          <w:szCs w:val="20"/>
          <w:lang w:val="en-GB"/>
        </w:rPr>
        <w:t xml:space="preserve">caused by </w:t>
      </w:r>
      <w:r w:rsidR="00F8017C" w:rsidRPr="00FB41EA">
        <w:rPr>
          <w:sz w:val="20"/>
          <w:szCs w:val="20"/>
          <w:lang w:val="en-GB"/>
        </w:rPr>
        <w:t xml:space="preserve">transport-related </w:t>
      </w:r>
      <w:r w:rsidR="00C07FEB" w:rsidRPr="00FB41EA">
        <w:rPr>
          <w:sz w:val="20"/>
          <w:szCs w:val="20"/>
          <w:lang w:val="en-GB"/>
        </w:rPr>
        <w:t xml:space="preserve">or similar </w:t>
      </w:r>
      <w:r w:rsidR="00F8017C" w:rsidRPr="00FB41EA">
        <w:rPr>
          <w:sz w:val="20"/>
          <w:szCs w:val="20"/>
          <w:lang w:val="en-GB"/>
        </w:rPr>
        <w:t>projects</w:t>
      </w:r>
      <w:r w:rsidR="003C61FA" w:rsidRPr="00FB41EA">
        <w:rPr>
          <w:sz w:val="20"/>
          <w:szCs w:val="20"/>
          <w:lang w:val="en-GB"/>
        </w:rPr>
        <w:t>.</w:t>
      </w:r>
    </w:p>
    <w:p w14:paraId="20C3CAFE" w14:textId="2E24B9FC" w:rsidR="003C61FA" w:rsidRPr="00FB41EA" w:rsidRDefault="005460BE" w:rsidP="003C61FA">
      <w:pPr>
        <w:autoSpaceDE w:val="0"/>
        <w:autoSpaceDN w:val="0"/>
        <w:adjustRightInd w:val="0"/>
        <w:spacing w:before="120" w:after="0" w:line="240" w:lineRule="auto"/>
        <w:jc w:val="both"/>
        <w:rPr>
          <w:b/>
          <w:color w:val="81BC00"/>
          <w:sz w:val="20"/>
          <w:szCs w:val="20"/>
          <w:lang w:val="en-GB"/>
        </w:rPr>
      </w:pPr>
      <w:r w:rsidRPr="00FB41EA">
        <w:rPr>
          <w:sz w:val="20"/>
          <w:szCs w:val="20"/>
          <w:lang w:val="en-GB"/>
        </w:rPr>
        <w:t xml:space="preserve">Analysing problem </w:t>
      </w:r>
      <w:r w:rsidR="006964F9" w:rsidRPr="00FB41EA">
        <w:rPr>
          <w:sz w:val="20"/>
          <w:szCs w:val="20"/>
          <w:lang w:val="en-GB"/>
        </w:rPr>
        <w:t>territories</w:t>
      </w:r>
      <w:r w:rsidRPr="00FB41EA">
        <w:rPr>
          <w:sz w:val="20"/>
          <w:szCs w:val="20"/>
          <w:lang w:val="en-GB"/>
        </w:rPr>
        <w:t>, it was</w:t>
      </w:r>
      <w:r w:rsidR="00342841" w:rsidRPr="00FB41EA">
        <w:rPr>
          <w:sz w:val="20"/>
          <w:szCs w:val="20"/>
          <w:lang w:val="en-GB"/>
        </w:rPr>
        <w:t xml:space="preserve"> observed that </w:t>
      </w:r>
      <w:proofErr w:type="gramStart"/>
      <w:r w:rsidR="006964F9" w:rsidRPr="00FB41EA">
        <w:rPr>
          <w:sz w:val="20"/>
          <w:szCs w:val="20"/>
          <w:lang w:val="en-GB"/>
        </w:rPr>
        <w:t>projects which</w:t>
      </w:r>
      <w:proofErr w:type="gramEnd"/>
      <w:r w:rsidR="006964F9" w:rsidRPr="00FB41EA">
        <w:rPr>
          <w:sz w:val="20"/>
          <w:szCs w:val="20"/>
          <w:lang w:val="en-GB"/>
        </w:rPr>
        <w:t xml:space="preserve"> had greater economic benefits, environmental issues treating as secondary, </w:t>
      </w:r>
      <w:r w:rsidR="00342841" w:rsidRPr="00FB41EA">
        <w:rPr>
          <w:sz w:val="20"/>
          <w:szCs w:val="20"/>
          <w:lang w:val="en-GB"/>
        </w:rPr>
        <w:t>received funding</w:t>
      </w:r>
      <w:r w:rsidR="00AE2FC2" w:rsidRPr="00FB41EA">
        <w:rPr>
          <w:sz w:val="20"/>
          <w:szCs w:val="20"/>
          <w:lang w:val="en-GB"/>
        </w:rPr>
        <w:t xml:space="preserve">. </w:t>
      </w:r>
      <w:r w:rsidR="006A618E" w:rsidRPr="00FB41EA">
        <w:rPr>
          <w:b/>
          <w:color w:val="81BC00"/>
          <w:sz w:val="20"/>
          <w:szCs w:val="20"/>
          <w:lang w:val="en-GB"/>
        </w:rPr>
        <w:t>One of the observations revea</w:t>
      </w:r>
      <w:r w:rsidR="00A70A67" w:rsidRPr="00FB41EA">
        <w:rPr>
          <w:b/>
          <w:color w:val="81BC00"/>
          <w:sz w:val="20"/>
          <w:szCs w:val="20"/>
          <w:lang w:val="en-GB"/>
        </w:rPr>
        <w:t>led in the study</w:t>
      </w:r>
      <w:r w:rsidR="006A618E" w:rsidRPr="00FB41EA">
        <w:rPr>
          <w:b/>
          <w:color w:val="81BC00"/>
          <w:sz w:val="20"/>
          <w:szCs w:val="20"/>
          <w:lang w:val="en-GB"/>
        </w:rPr>
        <w:t xml:space="preserve"> </w:t>
      </w:r>
      <w:r w:rsidR="00A70A67" w:rsidRPr="00FB41EA">
        <w:rPr>
          <w:b/>
          <w:color w:val="81BC00"/>
          <w:sz w:val="20"/>
          <w:szCs w:val="20"/>
          <w:lang w:val="en-GB"/>
        </w:rPr>
        <w:t>on</w:t>
      </w:r>
      <w:r w:rsidR="006A618E" w:rsidRPr="00FB41EA">
        <w:rPr>
          <w:b/>
          <w:color w:val="81BC00"/>
          <w:sz w:val="20"/>
          <w:szCs w:val="20"/>
          <w:lang w:val="en-GB"/>
        </w:rPr>
        <w:t xml:space="preserve"> regional development show</w:t>
      </w:r>
      <w:r w:rsidR="00D4599D">
        <w:rPr>
          <w:b/>
          <w:color w:val="81BC00"/>
          <w:sz w:val="20"/>
          <w:szCs w:val="20"/>
          <w:lang w:val="en-GB"/>
        </w:rPr>
        <w:t>ed</w:t>
      </w:r>
      <w:r w:rsidR="006A618E" w:rsidRPr="00FB41EA">
        <w:rPr>
          <w:b/>
          <w:color w:val="81BC00"/>
          <w:sz w:val="20"/>
          <w:szCs w:val="20"/>
          <w:lang w:val="en-GB"/>
        </w:rPr>
        <w:t xml:space="preserve"> that there is a negative </w:t>
      </w:r>
      <w:r w:rsidR="00A70A67" w:rsidRPr="00FB41EA">
        <w:rPr>
          <w:b/>
          <w:color w:val="81BC00"/>
          <w:sz w:val="20"/>
          <w:szCs w:val="20"/>
          <w:lang w:val="en-GB"/>
        </w:rPr>
        <w:t>connection</w:t>
      </w:r>
      <w:r w:rsidR="006A618E" w:rsidRPr="00FB41EA">
        <w:rPr>
          <w:b/>
          <w:color w:val="81BC00"/>
          <w:sz w:val="20"/>
          <w:szCs w:val="20"/>
          <w:lang w:val="en-GB"/>
        </w:rPr>
        <w:t xml:space="preserve"> between the pace of economic growth and natural resources (increased growth </w:t>
      </w:r>
      <w:r w:rsidR="00A70A67" w:rsidRPr="00FB41EA">
        <w:rPr>
          <w:b/>
          <w:color w:val="81BC00"/>
          <w:sz w:val="20"/>
          <w:szCs w:val="20"/>
          <w:lang w:val="en-GB"/>
        </w:rPr>
        <w:t>predetermines the decrease of</w:t>
      </w:r>
      <w:r w:rsidR="006A618E" w:rsidRPr="00FB41EA">
        <w:rPr>
          <w:b/>
          <w:color w:val="81BC00"/>
          <w:sz w:val="20"/>
          <w:szCs w:val="20"/>
          <w:lang w:val="en-GB"/>
        </w:rPr>
        <w:t xml:space="preserve"> natural resources)</w:t>
      </w:r>
      <w:r w:rsidR="003C61FA" w:rsidRPr="00FB41EA">
        <w:rPr>
          <w:b/>
          <w:color w:val="81BC00"/>
          <w:sz w:val="20"/>
          <w:szCs w:val="20"/>
          <w:lang w:val="en-GB"/>
        </w:rPr>
        <w:t xml:space="preserve">. </w:t>
      </w:r>
      <w:r w:rsidR="005759FD" w:rsidRPr="00FB41EA">
        <w:rPr>
          <w:b/>
          <w:color w:val="81BC00"/>
          <w:sz w:val="20"/>
          <w:szCs w:val="20"/>
          <w:lang w:val="en-GB"/>
        </w:rPr>
        <w:t>Potential synergies tend to occur between economic growth and en</w:t>
      </w:r>
      <w:r w:rsidR="00402713" w:rsidRPr="00FB41EA">
        <w:rPr>
          <w:b/>
          <w:color w:val="81BC00"/>
          <w:sz w:val="20"/>
          <w:szCs w:val="20"/>
          <w:lang w:val="en-GB"/>
        </w:rPr>
        <w:t xml:space="preserve">vironmental sustainability, </w:t>
      </w:r>
      <w:proofErr w:type="spellStart"/>
      <w:r w:rsidR="00402713" w:rsidRPr="00FB41EA">
        <w:rPr>
          <w:b/>
          <w:color w:val="81BC00"/>
          <w:sz w:val="20"/>
          <w:szCs w:val="20"/>
          <w:lang w:val="en-GB"/>
        </w:rPr>
        <w:t>eg</w:t>
      </w:r>
      <w:proofErr w:type="spellEnd"/>
      <w:r w:rsidR="00402713" w:rsidRPr="00FB41EA">
        <w:rPr>
          <w:b/>
          <w:color w:val="81BC00"/>
          <w:sz w:val="20"/>
          <w:szCs w:val="20"/>
          <w:lang w:val="en-GB"/>
        </w:rPr>
        <w:t>.</w:t>
      </w:r>
      <w:r w:rsidR="005759FD" w:rsidRPr="00FB41EA">
        <w:rPr>
          <w:b/>
          <w:color w:val="81BC00"/>
          <w:sz w:val="20"/>
          <w:szCs w:val="20"/>
          <w:lang w:val="en-GB"/>
        </w:rPr>
        <w:t xml:space="preserve"> </w:t>
      </w:r>
      <w:proofErr w:type="gramStart"/>
      <w:r w:rsidR="005759FD" w:rsidRPr="00FB41EA">
        <w:rPr>
          <w:b/>
          <w:color w:val="81BC00"/>
          <w:sz w:val="20"/>
          <w:szCs w:val="20"/>
          <w:lang w:val="en-GB"/>
        </w:rPr>
        <w:t>efficient</w:t>
      </w:r>
      <w:proofErr w:type="gramEnd"/>
      <w:r w:rsidR="005759FD" w:rsidRPr="00FB41EA">
        <w:rPr>
          <w:b/>
          <w:color w:val="81BC00"/>
          <w:sz w:val="20"/>
          <w:szCs w:val="20"/>
          <w:lang w:val="en-GB"/>
        </w:rPr>
        <w:t xml:space="preserve"> use of resources and environmental protection technology development</w:t>
      </w:r>
      <w:r w:rsidR="003C61FA" w:rsidRPr="00FB41EA">
        <w:rPr>
          <w:b/>
          <w:color w:val="81BC00"/>
          <w:sz w:val="20"/>
          <w:szCs w:val="20"/>
          <w:lang w:val="en-GB"/>
        </w:rPr>
        <w:t>.</w:t>
      </w:r>
    </w:p>
    <w:p w14:paraId="124F3BC8" w14:textId="20EFE947" w:rsidR="00AC6BA6" w:rsidRPr="00FB41EA" w:rsidRDefault="008F7A1D" w:rsidP="00AC6BA6">
      <w:pPr>
        <w:spacing w:before="120"/>
        <w:jc w:val="both"/>
        <w:rPr>
          <w:rFonts w:cs="Arial"/>
          <w:sz w:val="20"/>
          <w:lang w:val="en-GB"/>
        </w:rPr>
      </w:pPr>
      <w:r w:rsidRPr="00FB41EA">
        <w:rPr>
          <w:rFonts w:cs="Arial"/>
          <w:sz w:val="20"/>
          <w:lang w:val="en-GB"/>
        </w:rPr>
        <w:t>Case studies of problem territories evaluated several aspects</w:t>
      </w:r>
      <w:r w:rsidR="003C61FA" w:rsidRPr="00FB41EA">
        <w:rPr>
          <w:rFonts w:cs="Arial"/>
          <w:sz w:val="20"/>
          <w:lang w:val="en-GB"/>
        </w:rPr>
        <w:t xml:space="preserve">: a) </w:t>
      </w:r>
      <w:r w:rsidRPr="00FB41EA">
        <w:rPr>
          <w:rFonts w:cs="Arial"/>
          <w:sz w:val="20"/>
          <w:lang w:val="en-GB"/>
        </w:rPr>
        <w:t>allocated EU</w:t>
      </w:r>
      <w:r w:rsidR="00D51686">
        <w:rPr>
          <w:rFonts w:cs="Arial"/>
          <w:sz w:val="20"/>
          <w:lang w:val="en-GB"/>
        </w:rPr>
        <w:t xml:space="preserve"> structural fund financing for </w:t>
      </w:r>
      <w:r w:rsidR="003C61FA" w:rsidRPr="00FB41EA">
        <w:rPr>
          <w:rFonts w:cs="Arial"/>
          <w:sz w:val="20"/>
          <w:lang w:val="en-GB"/>
        </w:rPr>
        <w:t>2007–2013</w:t>
      </w:r>
      <w:proofErr w:type="gramStart"/>
      <w:r w:rsidRPr="00FB41EA">
        <w:rPr>
          <w:rFonts w:cs="Arial"/>
          <w:sz w:val="20"/>
          <w:lang w:val="en-GB"/>
        </w:rPr>
        <w:t>;</w:t>
      </w:r>
      <w:proofErr w:type="gramEnd"/>
      <w:r w:rsidR="003C61FA" w:rsidRPr="00FB41EA">
        <w:rPr>
          <w:rFonts w:cs="Arial"/>
          <w:sz w:val="20"/>
          <w:lang w:val="en-GB"/>
        </w:rPr>
        <w:t xml:space="preserve"> b) </w:t>
      </w:r>
      <w:r w:rsidR="00C16284" w:rsidRPr="00FB41EA">
        <w:rPr>
          <w:rFonts w:cs="Arial"/>
          <w:sz w:val="20"/>
          <w:lang w:val="en-GB"/>
        </w:rPr>
        <w:t xml:space="preserve">the main statistical indicators reflecting </w:t>
      </w:r>
      <w:r w:rsidRPr="00FB41EA">
        <w:rPr>
          <w:rFonts w:cs="Arial"/>
          <w:sz w:val="20"/>
          <w:lang w:val="en-GB"/>
        </w:rPr>
        <w:t xml:space="preserve">social </w:t>
      </w:r>
      <w:r w:rsidR="00C16284" w:rsidRPr="00FB41EA">
        <w:rPr>
          <w:rFonts w:cs="Arial"/>
          <w:sz w:val="20"/>
          <w:lang w:val="en-GB"/>
        </w:rPr>
        <w:t>–</w:t>
      </w:r>
      <w:r w:rsidRPr="00FB41EA">
        <w:rPr>
          <w:rFonts w:cs="Arial"/>
          <w:sz w:val="20"/>
          <w:lang w:val="en-GB"/>
        </w:rPr>
        <w:t xml:space="preserve"> economic and physical environmental situation</w:t>
      </w:r>
      <w:r w:rsidR="003C61FA" w:rsidRPr="00FB41EA">
        <w:rPr>
          <w:rFonts w:cs="Arial"/>
          <w:sz w:val="20"/>
          <w:lang w:val="en-GB"/>
        </w:rPr>
        <w:t xml:space="preserve">. </w:t>
      </w:r>
      <w:r w:rsidR="001406E6" w:rsidRPr="00FB41EA">
        <w:rPr>
          <w:rFonts w:cs="Arial"/>
          <w:sz w:val="20"/>
          <w:lang w:val="en-GB"/>
        </w:rPr>
        <w:t xml:space="preserve">In addition, benchmarking </w:t>
      </w:r>
      <w:proofErr w:type="gramStart"/>
      <w:r w:rsidR="001406E6" w:rsidRPr="00FB41EA">
        <w:rPr>
          <w:rFonts w:cs="Arial"/>
          <w:sz w:val="20"/>
          <w:lang w:val="en-GB"/>
        </w:rPr>
        <w:t>was performed</w:t>
      </w:r>
      <w:proofErr w:type="gramEnd"/>
      <w:r w:rsidR="001406E6" w:rsidRPr="00FB41EA">
        <w:rPr>
          <w:rFonts w:cs="Arial"/>
          <w:sz w:val="20"/>
          <w:lang w:val="en-GB"/>
        </w:rPr>
        <w:t xml:space="preserve"> for </w:t>
      </w:r>
      <w:r w:rsidR="009A1438" w:rsidRPr="00FB41EA">
        <w:rPr>
          <w:rFonts w:cs="Arial"/>
          <w:sz w:val="20"/>
          <w:lang w:val="en-GB"/>
        </w:rPr>
        <w:t>problem</w:t>
      </w:r>
      <w:r w:rsidR="001406E6" w:rsidRPr="00FB41EA">
        <w:rPr>
          <w:rFonts w:cs="Arial"/>
          <w:sz w:val="20"/>
          <w:lang w:val="en-GB"/>
        </w:rPr>
        <w:t xml:space="preserve"> </w:t>
      </w:r>
      <w:r w:rsidR="009A1438" w:rsidRPr="00FB41EA">
        <w:rPr>
          <w:rFonts w:cs="Arial"/>
          <w:sz w:val="20"/>
          <w:lang w:val="en-GB"/>
        </w:rPr>
        <w:t>territories, comparing them</w:t>
      </w:r>
      <w:r w:rsidR="001406E6" w:rsidRPr="00FB41EA">
        <w:rPr>
          <w:rFonts w:cs="Arial"/>
          <w:sz w:val="20"/>
          <w:lang w:val="en-GB"/>
        </w:rPr>
        <w:t xml:space="preserve"> in terms of </w:t>
      </w:r>
      <w:r w:rsidR="009A1438" w:rsidRPr="00FB41EA">
        <w:rPr>
          <w:rFonts w:cs="Arial"/>
          <w:sz w:val="20"/>
          <w:lang w:val="en-GB"/>
        </w:rPr>
        <w:t xml:space="preserve">the EU structural funds </w:t>
      </w:r>
      <w:r w:rsidR="001406E6" w:rsidRPr="00FB41EA">
        <w:rPr>
          <w:rFonts w:cs="Arial"/>
          <w:sz w:val="20"/>
          <w:lang w:val="en-GB"/>
        </w:rPr>
        <w:t>invested and the results achieved</w:t>
      </w:r>
      <w:r w:rsidR="003C61FA" w:rsidRPr="00FB41EA">
        <w:rPr>
          <w:rFonts w:cs="Arial"/>
          <w:sz w:val="20"/>
          <w:lang w:val="en-GB"/>
        </w:rPr>
        <w:t>.</w:t>
      </w:r>
    </w:p>
    <w:p w14:paraId="04B52267" w14:textId="11727AA9" w:rsidR="00AC6BA6" w:rsidRPr="00FB41EA" w:rsidRDefault="009A1438" w:rsidP="00AC6BA6">
      <w:pPr>
        <w:jc w:val="both"/>
        <w:rPr>
          <w:b/>
          <w:color w:val="81BC00"/>
          <w:sz w:val="20"/>
          <w:szCs w:val="20"/>
          <w:lang w:val="en-GB"/>
        </w:rPr>
      </w:pPr>
      <w:proofErr w:type="gramStart"/>
      <w:r w:rsidRPr="00FB41EA">
        <w:rPr>
          <w:rFonts w:cs="Arial"/>
          <w:sz w:val="20"/>
          <w:lang w:val="en-GB"/>
        </w:rPr>
        <w:t>14</w:t>
      </w:r>
      <w:proofErr w:type="gramEnd"/>
      <w:r w:rsidRPr="00FB41EA">
        <w:rPr>
          <w:rFonts w:cs="Arial"/>
          <w:sz w:val="20"/>
          <w:lang w:val="en-GB"/>
        </w:rPr>
        <w:t xml:space="preserve"> case studies of problem territories (Annex 5 of the Report) revealed that </w:t>
      </w:r>
      <w:r w:rsidRPr="00FB41EA">
        <w:rPr>
          <w:b/>
          <w:color w:val="81BC00"/>
          <w:sz w:val="20"/>
          <w:szCs w:val="20"/>
          <w:lang w:val="en-GB"/>
        </w:rPr>
        <w:t>most of the investment</w:t>
      </w:r>
      <w:r w:rsidR="004A0313" w:rsidRPr="00FB41EA">
        <w:rPr>
          <w:b/>
          <w:color w:val="81BC00"/>
          <w:sz w:val="20"/>
          <w:szCs w:val="20"/>
          <w:lang w:val="en-GB"/>
        </w:rPr>
        <w:t>s</w:t>
      </w:r>
      <w:r w:rsidRPr="00FB41EA">
        <w:rPr>
          <w:b/>
          <w:color w:val="81BC00"/>
          <w:sz w:val="20"/>
          <w:szCs w:val="20"/>
          <w:lang w:val="en-GB"/>
        </w:rPr>
        <w:t xml:space="preserve"> </w:t>
      </w:r>
      <w:r w:rsidR="004A0313" w:rsidRPr="00FB41EA">
        <w:rPr>
          <w:b/>
          <w:color w:val="81BC00"/>
          <w:sz w:val="20"/>
          <w:szCs w:val="20"/>
          <w:lang w:val="en-GB"/>
        </w:rPr>
        <w:t>were made in</w:t>
      </w:r>
      <w:r w:rsidRPr="00FB41EA">
        <w:rPr>
          <w:b/>
          <w:color w:val="81BC00"/>
          <w:sz w:val="20"/>
          <w:szCs w:val="20"/>
          <w:lang w:val="en-GB"/>
        </w:rPr>
        <w:t xml:space="preserve"> the </w:t>
      </w:r>
      <w:r w:rsidR="000201E5">
        <w:rPr>
          <w:b/>
          <w:color w:val="81BC00"/>
          <w:sz w:val="20"/>
          <w:szCs w:val="20"/>
          <w:lang w:val="en-GB"/>
        </w:rPr>
        <w:t xml:space="preserve">manufactured </w:t>
      </w:r>
      <w:r w:rsidRPr="00FB41EA">
        <w:rPr>
          <w:b/>
          <w:color w:val="81BC00"/>
          <w:sz w:val="20"/>
          <w:szCs w:val="20"/>
          <w:lang w:val="en-GB"/>
        </w:rPr>
        <w:t xml:space="preserve">and </w:t>
      </w:r>
      <w:r w:rsidR="000201E5">
        <w:rPr>
          <w:b/>
          <w:color w:val="81BC00"/>
          <w:sz w:val="20"/>
          <w:szCs w:val="20"/>
          <w:lang w:val="en-GB"/>
        </w:rPr>
        <w:t>natur</w:t>
      </w:r>
      <w:r w:rsidR="004A0313" w:rsidRPr="00FB41EA">
        <w:rPr>
          <w:b/>
          <w:color w:val="81BC00"/>
          <w:sz w:val="20"/>
          <w:szCs w:val="20"/>
          <w:lang w:val="en-GB"/>
        </w:rPr>
        <w:t>al</w:t>
      </w:r>
      <w:r w:rsidRPr="00FB41EA">
        <w:rPr>
          <w:b/>
          <w:color w:val="81BC00"/>
          <w:sz w:val="20"/>
          <w:szCs w:val="20"/>
          <w:lang w:val="en-GB"/>
        </w:rPr>
        <w:t xml:space="preserve"> </w:t>
      </w:r>
      <w:r w:rsidR="004A0313" w:rsidRPr="00FB41EA">
        <w:rPr>
          <w:b/>
          <w:color w:val="81BC00"/>
          <w:sz w:val="20"/>
          <w:szCs w:val="20"/>
          <w:lang w:val="en-GB"/>
        </w:rPr>
        <w:t>capital resources.</w:t>
      </w:r>
      <w:r w:rsidR="004A0313" w:rsidRPr="00FB41EA">
        <w:rPr>
          <w:rFonts w:cs="Arial"/>
          <w:sz w:val="20"/>
          <w:lang w:val="en-GB"/>
        </w:rPr>
        <w:t xml:space="preserve"> </w:t>
      </w:r>
      <w:r w:rsidR="004A0313" w:rsidRPr="00FB41EA">
        <w:rPr>
          <w:b/>
          <w:color w:val="81BC00"/>
          <w:sz w:val="20"/>
          <w:szCs w:val="20"/>
          <w:lang w:val="en-GB"/>
        </w:rPr>
        <w:t>Meanwhile, human a</w:t>
      </w:r>
      <w:r w:rsidR="00D51686">
        <w:rPr>
          <w:b/>
          <w:color w:val="81BC00"/>
          <w:sz w:val="20"/>
          <w:szCs w:val="20"/>
          <w:lang w:val="en-GB"/>
        </w:rPr>
        <w:t>nd social capital in problem</w:t>
      </w:r>
      <w:r w:rsidR="004A0313" w:rsidRPr="00FB41EA">
        <w:rPr>
          <w:b/>
          <w:color w:val="81BC00"/>
          <w:sz w:val="20"/>
          <w:szCs w:val="20"/>
          <w:lang w:val="en-GB"/>
        </w:rPr>
        <w:t xml:space="preserve"> </w:t>
      </w:r>
      <w:r w:rsidR="00BA590C" w:rsidRPr="00FB41EA">
        <w:rPr>
          <w:b/>
          <w:color w:val="81BC00"/>
          <w:sz w:val="20"/>
          <w:szCs w:val="20"/>
          <w:lang w:val="en-GB"/>
        </w:rPr>
        <w:t>territories received</w:t>
      </w:r>
      <w:r w:rsidR="004A0313" w:rsidRPr="00FB41EA">
        <w:rPr>
          <w:b/>
          <w:color w:val="81BC00"/>
          <w:sz w:val="20"/>
          <w:szCs w:val="20"/>
          <w:lang w:val="en-GB"/>
        </w:rPr>
        <w:t xml:space="preserve"> limited</w:t>
      </w:r>
      <w:r w:rsidR="00BA590C" w:rsidRPr="00FB41EA">
        <w:rPr>
          <w:b/>
          <w:color w:val="81BC00"/>
          <w:sz w:val="20"/>
          <w:szCs w:val="20"/>
          <w:lang w:val="en-GB"/>
        </w:rPr>
        <w:t xml:space="preserve"> investments</w:t>
      </w:r>
      <w:r w:rsidR="004A0313" w:rsidRPr="00FB41EA">
        <w:rPr>
          <w:b/>
          <w:color w:val="81BC00"/>
          <w:sz w:val="20"/>
          <w:szCs w:val="20"/>
          <w:lang w:val="en-GB"/>
        </w:rPr>
        <w:t xml:space="preserve">. It </w:t>
      </w:r>
      <w:r w:rsidR="00BA590C" w:rsidRPr="00FB41EA">
        <w:rPr>
          <w:b/>
          <w:color w:val="81BC00"/>
          <w:sz w:val="20"/>
          <w:szCs w:val="20"/>
          <w:lang w:val="en-GB"/>
        </w:rPr>
        <w:t>echoes</w:t>
      </w:r>
      <w:r w:rsidR="004A0313" w:rsidRPr="00FB41EA">
        <w:rPr>
          <w:b/>
          <w:color w:val="81BC00"/>
          <w:sz w:val="20"/>
          <w:szCs w:val="20"/>
          <w:lang w:val="en-GB"/>
        </w:rPr>
        <w:t xml:space="preserve"> general national trends</w:t>
      </w:r>
      <w:r w:rsidR="00AC6BA6" w:rsidRPr="00FB41EA">
        <w:rPr>
          <w:b/>
          <w:color w:val="81BC00"/>
          <w:sz w:val="20"/>
          <w:szCs w:val="20"/>
          <w:lang w:val="en-GB"/>
        </w:rPr>
        <w:t>.</w:t>
      </w:r>
    </w:p>
    <w:p w14:paraId="33F58C7B" w14:textId="22495EEC" w:rsidR="00AC6BA6" w:rsidRPr="00FB41EA" w:rsidRDefault="00521CD4" w:rsidP="00AC6BA6">
      <w:pPr>
        <w:jc w:val="both"/>
        <w:rPr>
          <w:rFonts w:cs="Arial"/>
          <w:sz w:val="20"/>
          <w:lang w:val="en-GB"/>
        </w:rPr>
      </w:pPr>
      <w:proofErr w:type="gramStart"/>
      <w:r w:rsidRPr="00FB41EA">
        <w:rPr>
          <w:rFonts w:cs="Arial"/>
          <w:sz w:val="20"/>
          <w:lang w:val="en-GB"/>
        </w:rPr>
        <w:t xml:space="preserve">Analysing individual OPEG and OPPC priorities, smallest investments were </w:t>
      </w:r>
      <w:r w:rsidR="0047079F" w:rsidRPr="00FB41EA">
        <w:rPr>
          <w:rFonts w:cs="Arial"/>
          <w:sz w:val="20"/>
          <w:lang w:val="en-GB"/>
        </w:rPr>
        <w:t>made</w:t>
      </w:r>
      <w:r w:rsidRPr="00FB41EA">
        <w:rPr>
          <w:rFonts w:cs="Arial"/>
          <w:sz w:val="20"/>
          <w:lang w:val="en-GB"/>
        </w:rPr>
        <w:t xml:space="preserve"> under OPEG 1</w:t>
      </w:r>
      <w:r w:rsidR="0047079F" w:rsidRPr="00FB41EA">
        <w:rPr>
          <w:rFonts w:cs="Arial"/>
          <w:sz w:val="20"/>
          <w:lang w:val="en-GB"/>
        </w:rPr>
        <w:t xml:space="preserve"> priority,</w:t>
      </w:r>
      <w:r w:rsidRPr="00FB41EA">
        <w:rPr>
          <w:rFonts w:cs="Arial"/>
          <w:sz w:val="20"/>
          <w:lang w:val="en-GB"/>
        </w:rPr>
        <w:t xml:space="preserve"> </w:t>
      </w:r>
      <w:r w:rsidR="0047079F" w:rsidRPr="00FB41EA">
        <w:rPr>
          <w:rFonts w:cs="Arial"/>
          <w:sz w:val="20"/>
          <w:lang w:val="en-GB"/>
        </w:rPr>
        <w:t>“</w:t>
      </w:r>
      <w:r w:rsidR="00E302C1" w:rsidRPr="00E302C1">
        <w:rPr>
          <w:rFonts w:cs="Arial"/>
          <w:sz w:val="20"/>
          <w:lang w:val="en-GB"/>
        </w:rPr>
        <w:t xml:space="preserve">Scientific and Technological </w:t>
      </w:r>
      <w:r w:rsidR="0047079F" w:rsidRPr="00FB41EA">
        <w:rPr>
          <w:rFonts w:cs="Arial"/>
          <w:sz w:val="20"/>
          <w:lang w:val="en-GB"/>
        </w:rPr>
        <w:t>R&amp;D f</w:t>
      </w:r>
      <w:r w:rsidRPr="00FB41EA">
        <w:rPr>
          <w:rFonts w:cs="Arial"/>
          <w:sz w:val="20"/>
          <w:lang w:val="en-GB"/>
        </w:rPr>
        <w:t xml:space="preserve">or </w:t>
      </w:r>
      <w:r w:rsidR="00A22EBB" w:rsidRPr="00FB41EA">
        <w:rPr>
          <w:rFonts w:cs="Arial"/>
          <w:sz w:val="20"/>
          <w:lang w:val="en-GB"/>
        </w:rPr>
        <w:t>E</w:t>
      </w:r>
      <w:r w:rsidR="007D4D0F" w:rsidRPr="00FB41EA">
        <w:rPr>
          <w:rFonts w:cs="Arial"/>
          <w:sz w:val="20"/>
          <w:lang w:val="en-GB"/>
        </w:rPr>
        <w:t xml:space="preserve">conomic </w:t>
      </w:r>
      <w:r w:rsidR="00A22EBB" w:rsidRPr="00FB41EA">
        <w:rPr>
          <w:rFonts w:cs="Arial"/>
          <w:sz w:val="20"/>
          <w:lang w:val="en-GB"/>
        </w:rPr>
        <w:t>C</w:t>
      </w:r>
      <w:r w:rsidRPr="00FB41EA">
        <w:rPr>
          <w:rFonts w:cs="Arial"/>
          <w:sz w:val="20"/>
          <w:lang w:val="en-GB"/>
        </w:rPr>
        <w:t xml:space="preserve">ompetitiveness and </w:t>
      </w:r>
      <w:r w:rsidR="00A22EBB" w:rsidRPr="00FB41EA">
        <w:rPr>
          <w:rFonts w:cs="Arial"/>
          <w:sz w:val="20"/>
          <w:lang w:val="en-GB"/>
        </w:rPr>
        <w:t>G</w:t>
      </w:r>
      <w:r w:rsidRPr="00FB41EA">
        <w:rPr>
          <w:rFonts w:cs="Arial"/>
          <w:sz w:val="20"/>
          <w:lang w:val="en-GB"/>
        </w:rPr>
        <w:t>rowth</w:t>
      </w:r>
      <w:r w:rsidR="0047079F" w:rsidRPr="00FB41EA">
        <w:rPr>
          <w:rFonts w:cs="Arial"/>
          <w:sz w:val="20"/>
          <w:lang w:val="en-GB"/>
        </w:rPr>
        <w:t>”</w:t>
      </w:r>
      <w:r w:rsidRPr="00FB41EA">
        <w:rPr>
          <w:rFonts w:cs="Arial"/>
          <w:sz w:val="20"/>
          <w:lang w:val="en-GB"/>
        </w:rPr>
        <w:t xml:space="preserve"> and 3 </w:t>
      </w:r>
      <w:r w:rsidR="0047079F" w:rsidRPr="00FB41EA">
        <w:rPr>
          <w:rFonts w:cs="Arial"/>
          <w:sz w:val="20"/>
          <w:lang w:val="en-GB"/>
        </w:rPr>
        <w:t>priority, “</w:t>
      </w:r>
      <w:r w:rsidRPr="00FB41EA">
        <w:rPr>
          <w:rFonts w:cs="Arial"/>
          <w:sz w:val="20"/>
          <w:lang w:val="en-GB"/>
        </w:rPr>
        <w:t xml:space="preserve">Information </w:t>
      </w:r>
      <w:r w:rsidR="00A22EBB" w:rsidRPr="00FB41EA">
        <w:rPr>
          <w:rFonts w:cs="Arial"/>
          <w:sz w:val="20"/>
          <w:lang w:val="en-GB"/>
        </w:rPr>
        <w:t>S</w:t>
      </w:r>
      <w:r w:rsidRPr="00FB41EA">
        <w:rPr>
          <w:rFonts w:cs="Arial"/>
          <w:sz w:val="20"/>
          <w:lang w:val="en-GB"/>
        </w:rPr>
        <w:t xml:space="preserve">ociety for </w:t>
      </w:r>
      <w:r w:rsidR="00A22EBB" w:rsidRPr="00FB41EA">
        <w:rPr>
          <w:rFonts w:cs="Arial"/>
          <w:sz w:val="20"/>
          <w:lang w:val="en-GB"/>
        </w:rPr>
        <w:t>A</w:t>
      </w:r>
      <w:r w:rsidRPr="00FB41EA">
        <w:rPr>
          <w:rFonts w:cs="Arial"/>
          <w:sz w:val="20"/>
          <w:lang w:val="en-GB"/>
        </w:rPr>
        <w:t>ll</w:t>
      </w:r>
      <w:r w:rsidR="0047079F" w:rsidRPr="00FB41EA">
        <w:rPr>
          <w:rFonts w:cs="Arial"/>
          <w:sz w:val="20"/>
          <w:lang w:val="en-GB"/>
        </w:rPr>
        <w:t xml:space="preserve">”; </w:t>
      </w:r>
      <w:r w:rsidR="007D4D0F" w:rsidRPr="00FB41EA">
        <w:rPr>
          <w:rFonts w:cs="Arial"/>
          <w:sz w:val="20"/>
          <w:lang w:val="en-GB"/>
        </w:rPr>
        <w:t xml:space="preserve">OPEG </w:t>
      </w:r>
      <w:r w:rsidR="003C61FA" w:rsidRPr="00FB41EA">
        <w:rPr>
          <w:rFonts w:cs="Arial"/>
          <w:sz w:val="20"/>
          <w:lang w:val="en-GB"/>
        </w:rPr>
        <w:t xml:space="preserve">2 </w:t>
      </w:r>
      <w:r w:rsidR="00527346" w:rsidRPr="00FB41EA">
        <w:rPr>
          <w:rFonts w:cs="Arial"/>
          <w:sz w:val="20"/>
          <w:lang w:val="en-GB"/>
        </w:rPr>
        <w:t xml:space="preserve">priority, “Increasing </w:t>
      </w:r>
      <w:r w:rsidR="00A22EBB" w:rsidRPr="00FB41EA">
        <w:rPr>
          <w:rFonts w:cs="Arial"/>
          <w:sz w:val="20"/>
          <w:lang w:val="en-GB"/>
        </w:rPr>
        <w:t>B</w:t>
      </w:r>
      <w:r w:rsidR="00527346" w:rsidRPr="00FB41EA">
        <w:rPr>
          <w:rFonts w:cs="Arial"/>
          <w:sz w:val="20"/>
          <w:lang w:val="en-GB"/>
        </w:rPr>
        <w:t xml:space="preserve">usiness </w:t>
      </w:r>
      <w:r w:rsidR="00A22EBB" w:rsidRPr="00FB41EA">
        <w:rPr>
          <w:rFonts w:cs="Arial"/>
          <w:sz w:val="20"/>
          <w:lang w:val="en-GB"/>
        </w:rPr>
        <w:t>E</w:t>
      </w:r>
      <w:r w:rsidR="00527346" w:rsidRPr="00FB41EA">
        <w:rPr>
          <w:rFonts w:cs="Arial"/>
          <w:sz w:val="20"/>
          <w:lang w:val="en-GB"/>
        </w:rPr>
        <w:t xml:space="preserve">fficiency and </w:t>
      </w:r>
      <w:r w:rsidR="00A22EBB" w:rsidRPr="00FB41EA">
        <w:rPr>
          <w:rFonts w:cs="Arial"/>
          <w:sz w:val="20"/>
          <w:lang w:val="en-GB"/>
        </w:rPr>
        <w:t>I</w:t>
      </w:r>
      <w:r w:rsidR="00527346" w:rsidRPr="00FB41EA">
        <w:rPr>
          <w:rFonts w:cs="Arial"/>
          <w:sz w:val="20"/>
          <w:lang w:val="en-GB"/>
        </w:rPr>
        <w:t xml:space="preserve">mproving </w:t>
      </w:r>
      <w:r w:rsidR="00A22EBB" w:rsidRPr="00FB41EA">
        <w:rPr>
          <w:rFonts w:cs="Arial"/>
          <w:sz w:val="20"/>
          <w:lang w:val="en-GB"/>
        </w:rPr>
        <w:t>B</w:t>
      </w:r>
      <w:r w:rsidR="00527346" w:rsidRPr="00FB41EA">
        <w:rPr>
          <w:rFonts w:cs="Arial"/>
          <w:sz w:val="20"/>
          <w:lang w:val="en-GB"/>
        </w:rPr>
        <w:t>usiness</w:t>
      </w:r>
      <w:r w:rsidR="00527346" w:rsidRPr="00FB41EA" w:rsidDel="00527346">
        <w:rPr>
          <w:rFonts w:cs="Arial"/>
          <w:sz w:val="20"/>
          <w:lang w:val="en-GB"/>
        </w:rPr>
        <w:t xml:space="preserve"> </w:t>
      </w:r>
      <w:r w:rsidR="00A22EBB" w:rsidRPr="00FB41EA">
        <w:rPr>
          <w:rFonts w:cs="Arial"/>
          <w:sz w:val="20"/>
          <w:lang w:val="en-GB"/>
        </w:rPr>
        <w:t>E</w:t>
      </w:r>
      <w:r w:rsidR="00527346" w:rsidRPr="00FB41EA">
        <w:rPr>
          <w:rFonts w:cs="Arial"/>
          <w:sz w:val="20"/>
          <w:lang w:val="en-GB"/>
        </w:rPr>
        <w:t>nvironment”</w:t>
      </w:r>
      <w:r w:rsidR="00A22EBB" w:rsidRPr="00FB41EA">
        <w:rPr>
          <w:rFonts w:cs="Arial"/>
          <w:sz w:val="20"/>
          <w:lang w:val="en-GB"/>
        </w:rPr>
        <w:t>,</w:t>
      </w:r>
      <w:r w:rsidR="00527346" w:rsidRPr="00FB41EA">
        <w:rPr>
          <w:rFonts w:cs="Arial"/>
          <w:sz w:val="20"/>
          <w:lang w:val="en-GB"/>
        </w:rPr>
        <w:t xml:space="preserve"> and</w:t>
      </w:r>
      <w:r w:rsidR="003C61FA" w:rsidRPr="00FB41EA">
        <w:rPr>
          <w:rFonts w:cs="Arial"/>
          <w:sz w:val="20"/>
          <w:lang w:val="en-GB"/>
        </w:rPr>
        <w:t xml:space="preserve"> 5 </w:t>
      </w:r>
      <w:r w:rsidR="00527346" w:rsidRPr="00FB41EA">
        <w:rPr>
          <w:rFonts w:cs="Arial"/>
          <w:sz w:val="20"/>
          <w:lang w:val="en-GB"/>
        </w:rPr>
        <w:t>priority, “Trans-European Transport Network Development”</w:t>
      </w:r>
      <w:r w:rsidR="00A22EBB" w:rsidRPr="00FB41EA">
        <w:rPr>
          <w:rFonts w:cs="Arial"/>
          <w:sz w:val="20"/>
          <w:lang w:val="en-GB"/>
        </w:rPr>
        <w:t>,</w:t>
      </w:r>
      <w:r w:rsidR="003C61FA" w:rsidRPr="00FB41EA">
        <w:rPr>
          <w:rFonts w:cs="Arial"/>
          <w:sz w:val="20"/>
          <w:lang w:val="en-GB"/>
        </w:rPr>
        <w:t xml:space="preserve"> </w:t>
      </w:r>
      <w:r w:rsidR="00A22EBB" w:rsidRPr="00FB41EA">
        <w:rPr>
          <w:rFonts w:cs="Arial"/>
          <w:sz w:val="20"/>
          <w:lang w:val="en-GB"/>
        </w:rPr>
        <w:t>are among those having received medium funding;</w:t>
      </w:r>
      <w:r w:rsidR="003C61FA" w:rsidRPr="00FB41EA">
        <w:rPr>
          <w:rFonts w:cs="Arial"/>
          <w:sz w:val="20"/>
          <w:lang w:val="en-GB"/>
        </w:rPr>
        <w:t xml:space="preserve"> </w:t>
      </w:r>
      <w:r w:rsidR="00A22EBB" w:rsidRPr="00FB41EA">
        <w:rPr>
          <w:rFonts w:cs="Arial"/>
          <w:sz w:val="20"/>
          <w:lang w:val="en-GB"/>
        </w:rPr>
        <w:t>while the majority of investments were made under</w:t>
      </w:r>
      <w:r w:rsidR="003C61FA" w:rsidRPr="00FB41EA">
        <w:rPr>
          <w:rFonts w:cs="Arial"/>
          <w:sz w:val="20"/>
          <w:lang w:val="en-GB"/>
        </w:rPr>
        <w:t xml:space="preserve"> </w:t>
      </w:r>
      <w:r w:rsidR="007D4D0F" w:rsidRPr="00FB41EA">
        <w:rPr>
          <w:rFonts w:cs="Arial"/>
          <w:sz w:val="20"/>
          <w:lang w:val="en-GB"/>
        </w:rPr>
        <w:t xml:space="preserve">OPEG </w:t>
      </w:r>
      <w:r w:rsidR="003C61FA" w:rsidRPr="00FB41EA">
        <w:rPr>
          <w:rFonts w:cs="Arial"/>
          <w:sz w:val="20"/>
          <w:lang w:val="en-GB"/>
        </w:rPr>
        <w:t xml:space="preserve">4 </w:t>
      </w:r>
      <w:r w:rsidR="00A22EBB" w:rsidRPr="00FB41EA">
        <w:rPr>
          <w:rFonts w:cs="Arial"/>
          <w:sz w:val="20"/>
          <w:lang w:val="en-GB"/>
        </w:rPr>
        <w:t>priority, “</w:t>
      </w:r>
      <w:r w:rsidR="00353F6C" w:rsidRPr="00FB41EA">
        <w:rPr>
          <w:rFonts w:cs="Arial"/>
          <w:sz w:val="20"/>
          <w:lang w:val="en-GB"/>
        </w:rPr>
        <w:t>Basic Economic Infrastructure”</w:t>
      </w:r>
      <w:r w:rsidR="003C61FA" w:rsidRPr="00FB41EA">
        <w:rPr>
          <w:rFonts w:cs="Arial"/>
          <w:sz w:val="20"/>
          <w:lang w:val="en-GB"/>
        </w:rPr>
        <w:t>.</w:t>
      </w:r>
      <w:proofErr w:type="gramEnd"/>
      <w:r w:rsidR="003C61FA" w:rsidRPr="00FB41EA">
        <w:rPr>
          <w:rFonts w:cs="Arial"/>
          <w:sz w:val="20"/>
          <w:lang w:val="en-GB"/>
        </w:rPr>
        <w:t xml:space="preserve"> </w:t>
      </w:r>
      <w:r w:rsidR="00A420F2" w:rsidRPr="00FB41EA">
        <w:rPr>
          <w:rFonts w:cs="Arial"/>
          <w:sz w:val="20"/>
          <w:lang w:val="en-GB"/>
        </w:rPr>
        <w:t>The majority of those priority meas</w:t>
      </w:r>
      <w:r w:rsidR="000201E5">
        <w:rPr>
          <w:rFonts w:cs="Arial"/>
          <w:sz w:val="20"/>
          <w:lang w:val="en-GB"/>
        </w:rPr>
        <w:t>ures target the development of manufactured</w:t>
      </w:r>
      <w:r w:rsidR="00A420F2" w:rsidRPr="00FB41EA">
        <w:rPr>
          <w:rFonts w:cs="Arial"/>
          <w:sz w:val="20"/>
          <w:lang w:val="en-GB"/>
        </w:rPr>
        <w:t xml:space="preserve"> capital resources. In the case of </w:t>
      </w:r>
      <w:r w:rsidR="007D4D0F" w:rsidRPr="00FB41EA">
        <w:rPr>
          <w:rFonts w:cs="Arial"/>
          <w:sz w:val="20"/>
          <w:lang w:val="en-GB"/>
        </w:rPr>
        <w:t>OPPC</w:t>
      </w:r>
      <w:r w:rsidR="00A420F2" w:rsidRPr="00FB41EA">
        <w:rPr>
          <w:rFonts w:cs="Arial"/>
          <w:sz w:val="20"/>
          <w:lang w:val="en-GB"/>
        </w:rPr>
        <w:t>,</w:t>
      </w:r>
      <w:r w:rsidR="007D4D0F" w:rsidRPr="00FB41EA">
        <w:rPr>
          <w:rFonts w:cs="Arial"/>
          <w:sz w:val="20"/>
          <w:lang w:val="en-GB"/>
        </w:rPr>
        <w:t xml:space="preserve"> </w:t>
      </w:r>
      <w:r w:rsidR="003F1664" w:rsidRPr="00FB41EA">
        <w:rPr>
          <w:rFonts w:cs="Arial"/>
          <w:sz w:val="20"/>
          <w:lang w:val="en-GB"/>
        </w:rPr>
        <w:t xml:space="preserve">investments in the three priorities of the operational programme were divided evenly: </w:t>
      </w:r>
      <w:proofErr w:type="gramStart"/>
      <w:r w:rsidR="003C61FA" w:rsidRPr="00FB41EA">
        <w:rPr>
          <w:rFonts w:cs="Arial"/>
          <w:sz w:val="20"/>
          <w:lang w:val="en-GB"/>
        </w:rPr>
        <w:t>1</w:t>
      </w:r>
      <w:proofErr w:type="gramEnd"/>
      <w:r w:rsidR="003C61FA" w:rsidRPr="00FB41EA">
        <w:rPr>
          <w:rFonts w:cs="Arial"/>
          <w:sz w:val="20"/>
          <w:lang w:val="en-GB"/>
        </w:rPr>
        <w:t xml:space="preserve"> </w:t>
      </w:r>
      <w:r w:rsidR="00564550" w:rsidRPr="00FB41EA">
        <w:rPr>
          <w:rFonts w:cs="Arial"/>
          <w:sz w:val="20"/>
          <w:lang w:val="en-GB"/>
        </w:rPr>
        <w:t>priority, “Local and Urban Development; Preservation of Cultural Heritage and Environment as well as Adaptation for Tourism Development”</w:t>
      </w:r>
      <w:r w:rsidR="003C61FA" w:rsidRPr="00FB41EA">
        <w:rPr>
          <w:rFonts w:cs="Arial"/>
          <w:sz w:val="20"/>
          <w:lang w:val="en-GB"/>
        </w:rPr>
        <w:t xml:space="preserve"> </w:t>
      </w:r>
      <w:r w:rsidR="00564550" w:rsidRPr="00FB41EA">
        <w:rPr>
          <w:rFonts w:cs="Arial"/>
          <w:sz w:val="20"/>
          <w:lang w:val="en-GB"/>
        </w:rPr>
        <w:t xml:space="preserve">and </w:t>
      </w:r>
      <w:r w:rsidR="003C61FA" w:rsidRPr="00FB41EA">
        <w:rPr>
          <w:rFonts w:cs="Arial"/>
          <w:sz w:val="20"/>
          <w:lang w:val="en-GB"/>
        </w:rPr>
        <w:t xml:space="preserve">3 </w:t>
      </w:r>
      <w:r w:rsidR="00564550" w:rsidRPr="00FB41EA">
        <w:rPr>
          <w:rFonts w:cs="Arial"/>
          <w:sz w:val="20"/>
          <w:lang w:val="en-GB"/>
        </w:rPr>
        <w:t xml:space="preserve">priority, “Environment and Sustainable </w:t>
      </w:r>
      <w:r w:rsidR="00564550" w:rsidRPr="00FB41EA">
        <w:rPr>
          <w:rFonts w:cs="Arial"/>
          <w:sz w:val="20"/>
          <w:lang w:val="en-GB"/>
        </w:rPr>
        <w:lastRenderedPageBreak/>
        <w:t>Development”</w:t>
      </w:r>
      <w:r w:rsidR="003C61FA" w:rsidRPr="00FB41EA">
        <w:rPr>
          <w:rFonts w:cs="Arial"/>
          <w:sz w:val="20"/>
          <w:lang w:val="en-GB"/>
        </w:rPr>
        <w:t xml:space="preserve">. </w:t>
      </w:r>
      <w:proofErr w:type="gramStart"/>
      <w:r w:rsidR="003C61FA" w:rsidRPr="00FB41EA">
        <w:rPr>
          <w:rFonts w:cs="Arial"/>
          <w:sz w:val="20"/>
          <w:lang w:val="en-GB"/>
        </w:rPr>
        <w:t>2</w:t>
      </w:r>
      <w:proofErr w:type="gramEnd"/>
      <w:r w:rsidR="003C61FA" w:rsidRPr="00FB41EA">
        <w:rPr>
          <w:rFonts w:cs="Arial"/>
          <w:sz w:val="20"/>
          <w:lang w:val="en-GB"/>
        </w:rPr>
        <w:t xml:space="preserve"> </w:t>
      </w:r>
      <w:r w:rsidR="00CD0CAA" w:rsidRPr="00FB41EA">
        <w:rPr>
          <w:rFonts w:cs="Arial"/>
          <w:sz w:val="20"/>
          <w:lang w:val="en-GB"/>
        </w:rPr>
        <w:t>priority, “</w:t>
      </w:r>
      <w:r w:rsidR="00DC7F5E" w:rsidRPr="00FB41EA">
        <w:rPr>
          <w:rFonts w:cs="Arial"/>
          <w:sz w:val="20"/>
          <w:lang w:val="en-GB"/>
        </w:rPr>
        <w:t xml:space="preserve">Quality and Accessibility of Public Services: Health, Education and Social Infrastructure.” </w:t>
      </w:r>
      <w:r w:rsidR="00821723" w:rsidRPr="00FB41EA">
        <w:rPr>
          <w:rFonts w:cs="Arial"/>
          <w:sz w:val="20"/>
          <w:lang w:val="en-GB"/>
        </w:rPr>
        <w:t xml:space="preserve">In the scope of OPPC, the majority of investments </w:t>
      </w:r>
      <w:proofErr w:type="gramStart"/>
      <w:r w:rsidR="00821723" w:rsidRPr="00FB41EA">
        <w:rPr>
          <w:rFonts w:cs="Arial"/>
          <w:sz w:val="20"/>
          <w:lang w:val="en-GB"/>
        </w:rPr>
        <w:t>were made</w:t>
      </w:r>
      <w:proofErr w:type="gramEnd"/>
      <w:r w:rsidR="00821723" w:rsidRPr="00FB41EA">
        <w:rPr>
          <w:rFonts w:cs="Arial"/>
          <w:sz w:val="20"/>
          <w:lang w:val="en-GB"/>
        </w:rPr>
        <w:t xml:space="preserve"> in </w:t>
      </w:r>
      <w:r w:rsidR="000201E5">
        <w:rPr>
          <w:rFonts w:cs="Arial"/>
          <w:sz w:val="20"/>
          <w:lang w:val="en-GB"/>
        </w:rPr>
        <w:t>manufactured</w:t>
      </w:r>
      <w:r w:rsidR="00821723" w:rsidRPr="00FB41EA">
        <w:rPr>
          <w:rFonts w:cs="Arial"/>
          <w:sz w:val="20"/>
          <w:lang w:val="en-GB"/>
        </w:rPr>
        <w:t xml:space="preserve"> capital. </w:t>
      </w:r>
    </w:p>
    <w:p w14:paraId="6E1B13F6" w14:textId="5FD8A46A" w:rsidR="00AC6BA6" w:rsidRPr="00FB41EA" w:rsidRDefault="003F5C91" w:rsidP="00AC6BA6">
      <w:pPr>
        <w:jc w:val="both"/>
        <w:rPr>
          <w:rFonts w:cs="Arial"/>
          <w:sz w:val="20"/>
          <w:lang w:val="en-GB"/>
        </w:rPr>
      </w:pPr>
      <w:r w:rsidRPr="00FB41EA">
        <w:rPr>
          <w:rFonts w:cs="Arial"/>
          <w:sz w:val="20"/>
          <w:lang w:val="en-GB"/>
        </w:rPr>
        <w:t xml:space="preserve">Assessing the achieved results </w:t>
      </w:r>
      <w:r w:rsidR="00AC6BA6" w:rsidRPr="00FB41EA">
        <w:rPr>
          <w:rFonts w:cs="Arial"/>
          <w:sz w:val="20"/>
          <w:lang w:val="en-GB"/>
        </w:rPr>
        <w:t>(</w:t>
      </w:r>
      <w:r w:rsidRPr="00FB41EA">
        <w:rPr>
          <w:rFonts w:cs="Arial"/>
          <w:sz w:val="20"/>
          <w:lang w:val="en-GB"/>
        </w:rPr>
        <w:t xml:space="preserve">environmental pollution, demographic </w:t>
      </w:r>
      <w:r w:rsidR="00CB407A">
        <w:rPr>
          <w:rFonts w:cs="Arial"/>
          <w:sz w:val="20"/>
          <w:lang w:val="en-GB"/>
        </w:rPr>
        <w:t xml:space="preserve">situation </w:t>
      </w:r>
      <w:r w:rsidRPr="00FB41EA">
        <w:rPr>
          <w:rFonts w:cs="Arial"/>
          <w:sz w:val="20"/>
          <w:lang w:val="en-GB"/>
        </w:rPr>
        <w:t xml:space="preserve">and economic performance), a number of trends </w:t>
      </w:r>
      <w:r w:rsidR="00CB407A">
        <w:rPr>
          <w:rFonts w:cs="Arial"/>
          <w:sz w:val="20"/>
          <w:lang w:val="en-GB"/>
        </w:rPr>
        <w:t>were</w:t>
      </w:r>
      <w:r w:rsidRPr="00FB41EA">
        <w:rPr>
          <w:rFonts w:cs="Arial"/>
          <w:sz w:val="20"/>
          <w:lang w:val="en-GB"/>
        </w:rPr>
        <w:t xml:space="preserve"> observed. Despite </w:t>
      </w:r>
      <w:r w:rsidR="00850CCF" w:rsidRPr="00FB41EA">
        <w:rPr>
          <w:rFonts w:cs="Arial"/>
          <w:sz w:val="20"/>
          <w:lang w:val="en-GB"/>
        </w:rPr>
        <w:t>active</w:t>
      </w:r>
      <w:r w:rsidRPr="00FB41EA">
        <w:rPr>
          <w:rFonts w:cs="Arial"/>
          <w:sz w:val="20"/>
          <w:lang w:val="en-GB"/>
        </w:rPr>
        <w:t xml:space="preserve"> invest</w:t>
      </w:r>
      <w:r w:rsidR="00850CCF" w:rsidRPr="00FB41EA">
        <w:rPr>
          <w:rFonts w:cs="Arial"/>
          <w:sz w:val="20"/>
          <w:lang w:val="en-GB"/>
        </w:rPr>
        <w:t xml:space="preserve">ments </w:t>
      </w:r>
      <w:r w:rsidRPr="00FB41EA">
        <w:rPr>
          <w:rFonts w:cs="Arial"/>
          <w:sz w:val="20"/>
          <w:lang w:val="en-GB"/>
        </w:rPr>
        <w:t xml:space="preserve">in </w:t>
      </w:r>
      <w:r w:rsidR="000201E5">
        <w:rPr>
          <w:rFonts w:cs="Arial"/>
          <w:sz w:val="20"/>
          <w:lang w:val="en-GB"/>
        </w:rPr>
        <w:t>natura</w:t>
      </w:r>
      <w:r w:rsidRPr="00FB41EA">
        <w:rPr>
          <w:rFonts w:cs="Arial"/>
          <w:sz w:val="20"/>
          <w:lang w:val="en-GB"/>
        </w:rPr>
        <w:t xml:space="preserve">l and </w:t>
      </w:r>
      <w:r w:rsidR="000201E5">
        <w:rPr>
          <w:rFonts w:cs="Arial"/>
          <w:sz w:val="20"/>
          <w:lang w:val="en-GB"/>
        </w:rPr>
        <w:t>manufactured</w:t>
      </w:r>
      <w:r w:rsidR="00850CCF" w:rsidRPr="00FB41EA">
        <w:rPr>
          <w:rFonts w:cs="Arial"/>
          <w:sz w:val="20"/>
          <w:lang w:val="en-GB"/>
        </w:rPr>
        <w:t xml:space="preserve"> capital, they led to an adverse effect: in</w:t>
      </w:r>
      <w:r w:rsidRPr="00FB41EA">
        <w:rPr>
          <w:rFonts w:cs="Arial"/>
          <w:sz w:val="20"/>
          <w:lang w:val="en-GB"/>
        </w:rPr>
        <w:t xml:space="preserve"> municipalities where environmental </w:t>
      </w:r>
      <w:r w:rsidR="00850CCF" w:rsidRPr="00FB41EA">
        <w:rPr>
          <w:rFonts w:cs="Arial"/>
          <w:sz w:val="20"/>
          <w:lang w:val="en-GB"/>
        </w:rPr>
        <w:t>pollution indicators show improvement</w:t>
      </w:r>
      <w:r w:rsidRPr="00FB41EA">
        <w:rPr>
          <w:rFonts w:cs="Arial"/>
          <w:sz w:val="20"/>
          <w:lang w:val="en-GB"/>
        </w:rPr>
        <w:t>, economic activity indicators are down (and vice versa).</w:t>
      </w:r>
      <w:r w:rsidR="00850CCF" w:rsidRPr="00FB41EA">
        <w:rPr>
          <w:rFonts w:cs="Arial"/>
          <w:sz w:val="20"/>
          <w:lang w:val="en-GB"/>
        </w:rPr>
        <w:t xml:space="preserve"> </w:t>
      </w:r>
      <w:r w:rsidR="00467319" w:rsidRPr="00FB41EA">
        <w:rPr>
          <w:rFonts w:cs="Arial"/>
          <w:sz w:val="20"/>
          <w:lang w:val="en-GB"/>
        </w:rPr>
        <w:t>Demographic indicators show the same trends in all surveyed municipalities – the damage caused by the financial crisis and the decline of the indicators have been brought</w:t>
      </w:r>
      <w:r w:rsidR="000867C9" w:rsidRPr="00FB41EA">
        <w:rPr>
          <w:rFonts w:cs="Arial"/>
          <w:sz w:val="20"/>
          <w:lang w:val="en-GB"/>
        </w:rPr>
        <w:t xml:space="preserve"> under control</w:t>
      </w:r>
      <w:r w:rsidR="00E10ABA">
        <w:rPr>
          <w:rFonts w:cs="Arial"/>
          <w:sz w:val="20"/>
          <w:lang w:val="en-GB"/>
        </w:rPr>
        <w:t>,</w:t>
      </w:r>
      <w:r w:rsidR="000867C9" w:rsidRPr="00FB41EA">
        <w:rPr>
          <w:rFonts w:cs="Arial"/>
          <w:sz w:val="20"/>
          <w:lang w:val="en-GB"/>
        </w:rPr>
        <w:t xml:space="preserve"> and since </w:t>
      </w:r>
      <w:proofErr w:type="gramStart"/>
      <w:r w:rsidR="000867C9" w:rsidRPr="00FB41EA">
        <w:rPr>
          <w:rFonts w:cs="Arial"/>
          <w:sz w:val="20"/>
          <w:lang w:val="en-GB"/>
        </w:rPr>
        <w:t>2010</w:t>
      </w:r>
      <w:proofErr w:type="gramEnd"/>
      <w:r w:rsidR="000867C9" w:rsidRPr="00FB41EA">
        <w:rPr>
          <w:rFonts w:cs="Arial"/>
          <w:sz w:val="20"/>
          <w:lang w:val="en-GB"/>
        </w:rPr>
        <w:t xml:space="preserve"> the</w:t>
      </w:r>
      <w:r w:rsidR="00467319" w:rsidRPr="00FB41EA">
        <w:rPr>
          <w:rFonts w:cs="Arial"/>
          <w:sz w:val="20"/>
          <w:lang w:val="en-GB"/>
        </w:rPr>
        <w:t xml:space="preserve"> indicators improved. </w:t>
      </w:r>
      <w:r w:rsidR="000867C9" w:rsidRPr="00FB41EA">
        <w:rPr>
          <w:rFonts w:cs="Arial"/>
          <w:sz w:val="20"/>
          <w:lang w:val="en-GB"/>
        </w:rPr>
        <w:t xml:space="preserve">Nonetheless, it is important to highlight the </w:t>
      </w:r>
      <w:r w:rsidR="00FD2644" w:rsidRPr="00FB41EA">
        <w:rPr>
          <w:rFonts w:cs="Arial"/>
          <w:sz w:val="20"/>
          <w:lang w:val="en-GB"/>
        </w:rPr>
        <w:t xml:space="preserve">influence of </w:t>
      </w:r>
      <w:r w:rsidR="000867C9" w:rsidRPr="00FB41EA">
        <w:rPr>
          <w:rFonts w:cs="Arial"/>
          <w:sz w:val="20"/>
          <w:lang w:val="en-GB"/>
        </w:rPr>
        <w:t>external factors</w:t>
      </w:r>
      <w:r w:rsidR="00FD2644" w:rsidRPr="00FB41EA">
        <w:rPr>
          <w:rFonts w:cs="Arial"/>
          <w:sz w:val="20"/>
          <w:lang w:val="en-GB"/>
        </w:rPr>
        <w:t>, such as net migration</w:t>
      </w:r>
      <w:r w:rsidR="000867C9" w:rsidRPr="00FB41EA">
        <w:rPr>
          <w:rFonts w:cs="Arial"/>
          <w:sz w:val="20"/>
          <w:lang w:val="en-GB"/>
        </w:rPr>
        <w:t xml:space="preserve">: the ratio </w:t>
      </w:r>
      <w:r w:rsidR="00FD2644" w:rsidRPr="00FB41EA">
        <w:rPr>
          <w:rFonts w:cs="Arial"/>
          <w:sz w:val="20"/>
          <w:lang w:val="en-GB"/>
        </w:rPr>
        <w:t>between the</w:t>
      </w:r>
      <w:r w:rsidR="000867C9" w:rsidRPr="00FB41EA">
        <w:rPr>
          <w:rFonts w:cs="Arial"/>
          <w:sz w:val="20"/>
          <w:lang w:val="en-GB"/>
        </w:rPr>
        <w:t xml:space="preserve"> unemployed </w:t>
      </w:r>
      <w:r w:rsidR="00FD2644" w:rsidRPr="00FB41EA">
        <w:rPr>
          <w:rFonts w:cs="Arial"/>
          <w:sz w:val="20"/>
          <w:lang w:val="en-GB"/>
        </w:rPr>
        <w:t>and</w:t>
      </w:r>
      <w:r w:rsidR="000867C9" w:rsidRPr="00FB41EA">
        <w:rPr>
          <w:rFonts w:cs="Arial"/>
          <w:sz w:val="20"/>
          <w:lang w:val="en-GB"/>
        </w:rPr>
        <w:t xml:space="preserve"> the </w:t>
      </w:r>
      <w:r w:rsidR="00FD2644" w:rsidRPr="00FB41EA">
        <w:rPr>
          <w:rFonts w:cs="Arial"/>
          <w:sz w:val="20"/>
          <w:lang w:val="en-GB"/>
        </w:rPr>
        <w:t>general</w:t>
      </w:r>
      <w:r w:rsidR="000867C9" w:rsidRPr="00FB41EA">
        <w:rPr>
          <w:rFonts w:cs="Arial"/>
          <w:sz w:val="20"/>
          <w:lang w:val="en-GB"/>
        </w:rPr>
        <w:t xml:space="preserve"> population</w:t>
      </w:r>
      <w:r w:rsidR="00FD2644" w:rsidRPr="00FB41EA">
        <w:rPr>
          <w:rFonts w:cs="Arial"/>
          <w:sz w:val="20"/>
          <w:lang w:val="en-GB"/>
        </w:rPr>
        <w:t xml:space="preserve"> improved</w:t>
      </w:r>
      <w:r w:rsidR="00E52243" w:rsidRPr="00FB41EA">
        <w:rPr>
          <w:rFonts w:cs="Arial"/>
          <w:sz w:val="20"/>
          <w:lang w:val="en-GB"/>
        </w:rPr>
        <w:t xml:space="preserve"> also</w:t>
      </w:r>
      <w:r w:rsidR="00FD2644" w:rsidRPr="00FB41EA">
        <w:rPr>
          <w:rFonts w:cs="Arial"/>
          <w:sz w:val="20"/>
          <w:lang w:val="en-GB"/>
        </w:rPr>
        <w:t xml:space="preserve"> due to </w:t>
      </w:r>
      <w:r w:rsidR="00E52243" w:rsidRPr="00FB41EA">
        <w:rPr>
          <w:rFonts w:cs="Arial"/>
          <w:sz w:val="20"/>
          <w:lang w:val="en-GB"/>
        </w:rPr>
        <w:t xml:space="preserve">the </w:t>
      </w:r>
      <w:r w:rsidR="000867C9" w:rsidRPr="00FB41EA">
        <w:rPr>
          <w:rFonts w:cs="Arial"/>
          <w:sz w:val="20"/>
          <w:lang w:val="en-GB"/>
        </w:rPr>
        <w:t xml:space="preserve">decreasing </w:t>
      </w:r>
      <w:r w:rsidR="00E52243" w:rsidRPr="00FB41EA">
        <w:rPr>
          <w:rFonts w:cs="Arial"/>
          <w:sz w:val="20"/>
          <w:lang w:val="en-GB"/>
        </w:rPr>
        <w:t xml:space="preserve">number of </w:t>
      </w:r>
      <w:r w:rsidR="000867C9" w:rsidRPr="00FB41EA">
        <w:rPr>
          <w:rFonts w:cs="Arial"/>
          <w:sz w:val="20"/>
          <w:lang w:val="en-GB"/>
        </w:rPr>
        <w:t xml:space="preserve">residents </w:t>
      </w:r>
      <w:r w:rsidR="00E52243" w:rsidRPr="00FB41EA">
        <w:rPr>
          <w:rFonts w:cs="Arial"/>
          <w:sz w:val="20"/>
          <w:lang w:val="en-GB"/>
        </w:rPr>
        <w:t>and</w:t>
      </w:r>
      <w:r w:rsidR="000867C9" w:rsidRPr="00FB41EA">
        <w:rPr>
          <w:rFonts w:cs="Arial"/>
          <w:sz w:val="20"/>
          <w:lang w:val="en-GB"/>
        </w:rPr>
        <w:t xml:space="preserve"> working-age population.</w:t>
      </w:r>
      <w:r w:rsidR="00FD2644" w:rsidRPr="00FB41EA">
        <w:rPr>
          <w:rFonts w:cs="Arial"/>
          <w:sz w:val="20"/>
          <w:lang w:val="en-GB"/>
        </w:rPr>
        <w:t xml:space="preserve"> </w:t>
      </w:r>
      <w:r w:rsidR="00E52243" w:rsidRPr="00FB41EA">
        <w:rPr>
          <w:rFonts w:cs="Arial"/>
          <w:sz w:val="20"/>
          <w:lang w:val="en-GB"/>
        </w:rPr>
        <w:t xml:space="preserve">In conclusion, among all problem territories one good practice case can be distinguished – </w:t>
      </w:r>
      <w:proofErr w:type="spellStart"/>
      <w:r w:rsidR="00E52243" w:rsidRPr="00FB41EA">
        <w:rPr>
          <w:rFonts w:cs="Arial"/>
          <w:sz w:val="20"/>
          <w:lang w:val="en-GB"/>
        </w:rPr>
        <w:t>Druskininkai</w:t>
      </w:r>
      <w:proofErr w:type="spellEnd"/>
      <w:r w:rsidR="00E52243" w:rsidRPr="00FB41EA">
        <w:rPr>
          <w:rFonts w:cs="Arial"/>
          <w:sz w:val="20"/>
          <w:lang w:val="en-GB"/>
        </w:rPr>
        <w:t xml:space="preserve"> municipality, where all three sustainable development areas </w:t>
      </w:r>
      <w:r w:rsidR="00EB4327" w:rsidRPr="00FB41EA">
        <w:rPr>
          <w:rFonts w:cs="Arial"/>
          <w:sz w:val="20"/>
          <w:lang w:val="en-GB"/>
        </w:rPr>
        <w:t xml:space="preserve">were </w:t>
      </w:r>
      <w:r w:rsidR="00E52243" w:rsidRPr="00FB41EA">
        <w:rPr>
          <w:rFonts w:cs="Arial"/>
          <w:sz w:val="20"/>
          <w:lang w:val="en-GB"/>
        </w:rPr>
        <w:t xml:space="preserve">developed relatively evenly. </w:t>
      </w:r>
    </w:p>
    <w:p w14:paraId="1FD9B6EF" w14:textId="59E133DA" w:rsidR="00AC6BA6" w:rsidRPr="00FB41EA" w:rsidRDefault="00EB4327" w:rsidP="00AC6BA6">
      <w:pPr>
        <w:pStyle w:val="Caption"/>
        <w:spacing w:before="240" w:after="0"/>
        <w:jc w:val="both"/>
        <w:rPr>
          <w:b/>
          <w:i w:val="0"/>
          <w:noProof/>
          <w:color w:val="auto"/>
          <w:lang w:val="en-GB"/>
        </w:rPr>
      </w:pPr>
      <w:r w:rsidRPr="00FB41EA">
        <w:rPr>
          <w:b/>
          <w:i w:val="0"/>
          <w:noProof/>
          <w:color w:val="auto"/>
          <w:lang w:val="en-GB"/>
        </w:rPr>
        <w:t xml:space="preserve">Table </w:t>
      </w:r>
      <w:r w:rsidR="00AC6BA6" w:rsidRPr="00FB41EA">
        <w:rPr>
          <w:b/>
          <w:i w:val="0"/>
          <w:noProof/>
          <w:color w:val="auto"/>
          <w:lang w:val="en-GB"/>
        </w:rPr>
        <w:fldChar w:fldCharType="begin"/>
      </w:r>
      <w:r w:rsidR="00AC6BA6" w:rsidRPr="00FB41EA">
        <w:rPr>
          <w:b/>
          <w:i w:val="0"/>
          <w:noProof/>
          <w:color w:val="auto"/>
          <w:lang w:val="en-GB"/>
        </w:rPr>
        <w:instrText xml:space="preserve"> SEQ lentelė \* ARABIC </w:instrText>
      </w:r>
      <w:r w:rsidR="00AC6BA6" w:rsidRPr="00FB41EA">
        <w:rPr>
          <w:b/>
          <w:i w:val="0"/>
          <w:noProof/>
          <w:color w:val="auto"/>
          <w:lang w:val="en-GB"/>
        </w:rPr>
        <w:fldChar w:fldCharType="separate"/>
      </w:r>
      <w:bookmarkStart w:id="2" w:name="_Toc450595980"/>
      <w:r w:rsidR="00AC6BA6" w:rsidRPr="00FB41EA">
        <w:rPr>
          <w:b/>
          <w:i w:val="0"/>
          <w:noProof/>
          <w:color w:val="auto"/>
          <w:lang w:val="en-GB"/>
        </w:rPr>
        <w:t>2</w:t>
      </w:r>
      <w:r w:rsidR="00AC6BA6" w:rsidRPr="00FB41EA">
        <w:rPr>
          <w:b/>
          <w:i w:val="0"/>
          <w:noProof/>
          <w:color w:val="auto"/>
          <w:lang w:val="en-GB"/>
        </w:rPr>
        <w:fldChar w:fldCharType="end"/>
      </w:r>
      <w:r w:rsidR="00AC6BA6" w:rsidRPr="00FB41EA">
        <w:rPr>
          <w:b/>
          <w:i w:val="0"/>
          <w:noProof/>
          <w:color w:val="auto"/>
          <w:lang w:val="en-GB"/>
        </w:rPr>
        <w:t>. Re</w:t>
      </w:r>
      <w:r w:rsidRPr="00FB41EA">
        <w:rPr>
          <w:b/>
          <w:i w:val="0"/>
          <w:noProof/>
          <w:color w:val="auto"/>
          <w:lang w:val="en-GB"/>
        </w:rPr>
        <w:t xml:space="preserve">sults in problem territories according to environmental pollution, demographic and economic performance </w:t>
      </w:r>
      <w:bookmarkEnd w:id="2"/>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05"/>
        <w:gridCol w:w="1600"/>
        <w:gridCol w:w="1980"/>
        <w:gridCol w:w="1710"/>
      </w:tblGrid>
      <w:tr w:rsidR="00AC6BA6" w:rsidRPr="00FB41EA" w14:paraId="73662B88" w14:textId="77777777" w:rsidTr="00A013B6">
        <w:trPr>
          <w:trHeight w:val="452"/>
          <w:tblHeader/>
        </w:trPr>
        <w:tc>
          <w:tcPr>
            <w:tcW w:w="2805" w:type="dxa"/>
            <w:tcBorders>
              <w:tl2br w:val="single" w:sz="4" w:space="0" w:color="auto"/>
            </w:tcBorders>
            <w:shd w:val="clear" w:color="auto" w:fill="002776"/>
            <w:tcMar>
              <w:top w:w="72" w:type="dxa"/>
              <w:left w:w="144" w:type="dxa"/>
              <w:bottom w:w="72" w:type="dxa"/>
              <w:right w:w="144" w:type="dxa"/>
            </w:tcMar>
            <w:hideMark/>
          </w:tcPr>
          <w:p w14:paraId="7E4BBE52" w14:textId="1A436EF9" w:rsidR="00AC6BA6" w:rsidRPr="00FB41EA" w:rsidRDefault="00AC6BA6" w:rsidP="00A013B6">
            <w:pPr>
              <w:spacing w:after="0" w:line="240" w:lineRule="auto"/>
              <w:rPr>
                <w:rFonts w:eastAsia="Times New Roman" w:cs="Arial"/>
                <w:sz w:val="18"/>
                <w:szCs w:val="18"/>
                <w:lang w:val="en-GB"/>
              </w:rPr>
            </w:pPr>
            <w:r w:rsidRPr="00FB41EA">
              <w:rPr>
                <w:rFonts w:eastAsia="Times New Roman" w:cs="Arial"/>
                <w:b/>
                <w:bCs/>
                <w:color w:val="FFFFFF"/>
                <w:kern w:val="24"/>
                <w:sz w:val="18"/>
                <w:szCs w:val="18"/>
                <w:lang w:val="en-GB"/>
              </w:rPr>
              <w:t xml:space="preserve">                   </w:t>
            </w:r>
            <w:r w:rsidR="00EB4327" w:rsidRPr="00FB41EA">
              <w:rPr>
                <w:rFonts w:eastAsia="Times New Roman" w:cs="Arial"/>
                <w:b/>
                <w:bCs/>
                <w:color w:val="FFFFFF"/>
                <w:kern w:val="24"/>
                <w:sz w:val="18"/>
                <w:szCs w:val="18"/>
                <w:lang w:val="en-GB"/>
              </w:rPr>
              <w:t>Results</w:t>
            </w:r>
          </w:p>
          <w:p w14:paraId="3AD14547" w14:textId="77777777" w:rsidR="00AC6BA6" w:rsidRPr="00FB41EA" w:rsidRDefault="00AC6BA6" w:rsidP="00A013B6">
            <w:pPr>
              <w:spacing w:after="0" w:line="240" w:lineRule="auto"/>
              <w:rPr>
                <w:rFonts w:eastAsia="Times New Roman" w:cs="Arial"/>
                <w:b/>
                <w:bCs/>
                <w:color w:val="FFFFFF"/>
                <w:kern w:val="24"/>
                <w:sz w:val="18"/>
                <w:szCs w:val="18"/>
                <w:lang w:val="en-GB"/>
              </w:rPr>
            </w:pPr>
          </w:p>
          <w:p w14:paraId="095B8771" w14:textId="048A0AEB" w:rsidR="00AC6BA6" w:rsidRPr="00FB41EA" w:rsidRDefault="00EB4327" w:rsidP="00A013B6">
            <w:pPr>
              <w:spacing w:after="0" w:line="240" w:lineRule="auto"/>
              <w:rPr>
                <w:rFonts w:eastAsia="Times New Roman" w:cs="Arial"/>
                <w:sz w:val="18"/>
                <w:szCs w:val="18"/>
                <w:lang w:val="en-GB"/>
              </w:rPr>
            </w:pPr>
            <w:r w:rsidRPr="00FB41EA">
              <w:rPr>
                <w:rFonts w:eastAsia="Times New Roman" w:cs="Arial"/>
                <w:b/>
                <w:bCs/>
                <w:color w:val="FFFFFF"/>
                <w:kern w:val="24"/>
                <w:sz w:val="18"/>
                <w:szCs w:val="18"/>
                <w:lang w:val="en-GB"/>
              </w:rPr>
              <w:t xml:space="preserve">Municipality </w:t>
            </w:r>
          </w:p>
        </w:tc>
        <w:tc>
          <w:tcPr>
            <w:tcW w:w="1600" w:type="dxa"/>
            <w:shd w:val="clear" w:color="auto" w:fill="002776"/>
            <w:tcMar>
              <w:top w:w="72" w:type="dxa"/>
              <w:left w:w="144" w:type="dxa"/>
              <w:bottom w:w="72" w:type="dxa"/>
              <w:right w:w="144" w:type="dxa"/>
            </w:tcMar>
          </w:tcPr>
          <w:p w14:paraId="1767BAF1" w14:textId="46FC47D6" w:rsidR="00AC6BA6" w:rsidRPr="00FB41EA" w:rsidRDefault="00EB4327" w:rsidP="00EB4327">
            <w:pPr>
              <w:spacing w:after="0" w:line="240" w:lineRule="auto"/>
              <w:jc w:val="center"/>
              <w:rPr>
                <w:rFonts w:eastAsia="Times New Roman" w:cs="Arial"/>
                <w:b/>
                <w:sz w:val="18"/>
                <w:szCs w:val="18"/>
                <w:lang w:val="en-GB"/>
              </w:rPr>
            </w:pPr>
            <w:r w:rsidRPr="00FB41EA">
              <w:rPr>
                <w:rFonts w:eastAsia="Times New Roman" w:cs="Arial"/>
                <w:b/>
                <w:sz w:val="18"/>
                <w:szCs w:val="18"/>
                <w:lang w:val="en-GB"/>
              </w:rPr>
              <w:t>Indicators of Environmental State</w:t>
            </w:r>
            <w:r w:rsidR="00AC6BA6" w:rsidRPr="00FB41EA">
              <w:rPr>
                <w:rFonts w:eastAsia="Times New Roman" w:cs="Arial"/>
                <w:b/>
                <w:sz w:val="18"/>
                <w:szCs w:val="18"/>
                <w:lang w:val="en-GB"/>
              </w:rPr>
              <w:t>*</w:t>
            </w:r>
          </w:p>
        </w:tc>
        <w:tc>
          <w:tcPr>
            <w:tcW w:w="1980" w:type="dxa"/>
            <w:shd w:val="clear" w:color="auto" w:fill="002776"/>
            <w:tcMar>
              <w:top w:w="72" w:type="dxa"/>
              <w:left w:w="144" w:type="dxa"/>
              <w:bottom w:w="72" w:type="dxa"/>
              <w:right w:w="144" w:type="dxa"/>
            </w:tcMar>
          </w:tcPr>
          <w:p w14:paraId="017B6E92" w14:textId="26C8D990" w:rsidR="00AC6BA6" w:rsidRPr="00FB41EA" w:rsidRDefault="00627C8A" w:rsidP="00627C8A">
            <w:pPr>
              <w:spacing w:after="0" w:line="240" w:lineRule="auto"/>
              <w:jc w:val="center"/>
              <w:rPr>
                <w:rFonts w:eastAsia="Times New Roman" w:cs="Arial"/>
                <w:b/>
                <w:sz w:val="18"/>
                <w:szCs w:val="18"/>
                <w:lang w:val="en-GB"/>
              </w:rPr>
            </w:pPr>
            <w:r w:rsidRPr="00FB41EA">
              <w:rPr>
                <w:rFonts w:eastAsia="Times New Roman" w:cs="Arial"/>
                <w:b/>
                <w:sz w:val="18"/>
                <w:szCs w:val="18"/>
                <w:lang w:val="en-GB"/>
              </w:rPr>
              <w:t>Indicators of Demographic State</w:t>
            </w:r>
            <w:r w:rsidR="00AC6BA6" w:rsidRPr="00FB41EA">
              <w:rPr>
                <w:rFonts w:eastAsia="Times New Roman" w:cs="Arial"/>
                <w:b/>
                <w:sz w:val="18"/>
                <w:szCs w:val="18"/>
                <w:lang w:val="en-GB"/>
              </w:rPr>
              <w:t>*</w:t>
            </w:r>
          </w:p>
        </w:tc>
        <w:tc>
          <w:tcPr>
            <w:tcW w:w="1710" w:type="dxa"/>
            <w:shd w:val="clear" w:color="auto" w:fill="002776"/>
            <w:tcMar>
              <w:top w:w="72" w:type="dxa"/>
              <w:left w:w="144" w:type="dxa"/>
              <w:bottom w:w="72" w:type="dxa"/>
              <w:right w:w="144" w:type="dxa"/>
            </w:tcMar>
          </w:tcPr>
          <w:p w14:paraId="774D814C" w14:textId="58B2F512" w:rsidR="00AC6BA6" w:rsidRPr="00FB41EA" w:rsidRDefault="00627C8A" w:rsidP="00627C8A">
            <w:pPr>
              <w:spacing w:after="0" w:line="240" w:lineRule="auto"/>
              <w:jc w:val="center"/>
              <w:rPr>
                <w:rFonts w:eastAsia="Times New Roman" w:cs="Arial"/>
                <w:b/>
                <w:sz w:val="18"/>
                <w:szCs w:val="18"/>
                <w:lang w:val="en-GB"/>
              </w:rPr>
            </w:pPr>
            <w:r w:rsidRPr="00FB41EA">
              <w:rPr>
                <w:rFonts w:eastAsia="Times New Roman" w:cs="Arial"/>
                <w:b/>
                <w:sz w:val="18"/>
                <w:szCs w:val="18"/>
                <w:lang w:val="en-GB"/>
              </w:rPr>
              <w:t>Economic Performance State</w:t>
            </w:r>
            <w:r w:rsidR="00AC6BA6" w:rsidRPr="00FB41EA">
              <w:rPr>
                <w:rFonts w:eastAsia="Times New Roman" w:cs="Arial"/>
                <w:b/>
                <w:sz w:val="18"/>
                <w:szCs w:val="18"/>
                <w:lang w:val="en-GB"/>
              </w:rPr>
              <w:t>*</w:t>
            </w:r>
          </w:p>
        </w:tc>
      </w:tr>
      <w:tr w:rsidR="00AC6BA6" w:rsidRPr="00FB41EA" w14:paraId="5D3B3289" w14:textId="77777777" w:rsidTr="00A013B6">
        <w:trPr>
          <w:trHeight w:val="155"/>
        </w:trPr>
        <w:tc>
          <w:tcPr>
            <w:tcW w:w="2805" w:type="dxa"/>
            <w:shd w:val="clear" w:color="auto" w:fill="auto"/>
            <w:tcMar>
              <w:top w:w="72" w:type="dxa"/>
              <w:left w:w="144" w:type="dxa"/>
              <w:bottom w:w="72" w:type="dxa"/>
              <w:right w:w="144" w:type="dxa"/>
            </w:tcMar>
            <w:hideMark/>
          </w:tcPr>
          <w:p w14:paraId="31A0ED94" w14:textId="71D98378"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Skuod</w:t>
            </w:r>
            <w:r w:rsidR="00627C8A" w:rsidRPr="00FB41EA">
              <w:rPr>
                <w:rFonts w:eastAsia="Times New Roman" w:cs="Arial"/>
                <w:color w:val="000000"/>
                <w:kern w:val="24"/>
                <w:sz w:val="18"/>
                <w:szCs w:val="18"/>
                <w:lang w:val="en-GB"/>
              </w:rPr>
              <w:t>as</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72C7E7"/>
            <w:tcMar>
              <w:top w:w="72" w:type="dxa"/>
              <w:left w:w="144" w:type="dxa"/>
              <w:bottom w:w="72" w:type="dxa"/>
              <w:right w:w="144" w:type="dxa"/>
            </w:tcMar>
          </w:tcPr>
          <w:p w14:paraId="05C71345"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980" w:type="dxa"/>
            <w:shd w:val="clear" w:color="auto" w:fill="72C7E7"/>
            <w:tcMar>
              <w:top w:w="72" w:type="dxa"/>
              <w:left w:w="144" w:type="dxa"/>
              <w:bottom w:w="72" w:type="dxa"/>
              <w:right w:w="144" w:type="dxa"/>
            </w:tcMar>
          </w:tcPr>
          <w:p w14:paraId="413B0300" w14:textId="77777777" w:rsidR="00AC6BA6" w:rsidRPr="00FB41EA" w:rsidRDefault="00AC6BA6" w:rsidP="00A013B6">
            <w:pPr>
              <w:spacing w:after="0" w:line="240" w:lineRule="auto"/>
              <w:jc w:val="center"/>
              <w:rPr>
                <w:rFonts w:eastAsia="Times New Roman" w:cs="Arial"/>
                <w:b/>
                <w:bCs/>
                <w:color w:val="000000"/>
                <w:kern w:val="24"/>
                <w:sz w:val="18"/>
                <w:szCs w:val="18"/>
                <w:lang w:val="en-GB"/>
              </w:rPr>
            </w:pPr>
            <w:r w:rsidRPr="00FB41EA">
              <w:rPr>
                <w:rFonts w:eastAsia="Times New Roman" w:cs="Arial"/>
                <w:bCs/>
                <w:color w:val="000000"/>
                <w:kern w:val="24"/>
                <w:sz w:val="18"/>
                <w:szCs w:val="18"/>
                <w:lang w:val="en-GB"/>
              </w:rPr>
              <w:t>+/-</w:t>
            </w:r>
          </w:p>
        </w:tc>
        <w:tc>
          <w:tcPr>
            <w:tcW w:w="1710" w:type="dxa"/>
            <w:shd w:val="clear" w:color="auto" w:fill="72C7E7"/>
            <w:tcMar>
              <w:top w:w="72" w:type="dxa"/>
              <w:left w:w="144" w:type="dxa"/>
              <w:bottom w:w="72" w:type="dxa"/>
              <w:right w:w="144" w:type="dxa"/>
            </w:tcMar>
          </w:tcPr>
          <w:p w14:paraId="0FEEF50A"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r>
      <w:tr w:rsidR="00AC6BA6" w:rsidRPr="00FB41EA" w14:paraId="3E1445E4" w14:textId="77777777" w:rsidTr="00A013B6">
        <w:trPr>
          <w:trHeight w:val="227"/>
        </w:trPr>
        <w:tc>
          <w:tcPr>
            <w:tcW w:w="2805" w:type="dxa"/>
            <w:shd w:val="clear" w:color="auto" w:fill="auto"/>
            <w:tcMar>
              <w:top w:w="72" w:type="dxa"/>
              <w:left w:w="144" w:type="dxa"/>
              <w:bottom w:w="72" w:type="dxa"/>
              <w:right w:w="144" w:type="dxa"/>
            </w:tcMar>
            <w:hideMark/>
          </w:tcPr>
          <w:p w14:paraId="430E8A8F" w14:textId="062B909D"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Mažeiki</w:t>
            </w:r>
            <w:r w:rsidR="00627C8A" w:rsidRPr="00FB41EA">
              <w:rPr>
                <w:rFonts w:eastAsia="Times New Roman" w:cs="Arial"/>
                <w:color w:val="000000"/>
                <w:kern w:val="24"/>
                <w:sz w:val="18"/>
                <w:szCs w:val="18"/>
                <w:lang w:val="en-GB"/>
              </w:rPr>
              <w:t>ai</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81BC00"/>
            <w:tcMar>
              <w:top w:w="72" w:type="dxa"/>
              <w:left w:w="144" w:type="dxa"/>
              <w:bottom w:w="72" w:type="dxa"/>
              <w:right w:w="144" w:type="dxa"/>
            </w:tcMar>
          </w:tcPr>
          <w:p w14:paraId="1FE67328"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66DC8BE3" w14:textId="77777777" w:rsidR="00AC6BA6" w:rsidRPr="00FB41EA" w:rsidRDefault="00AC6BA6" w:rsidP="00A013B6">
            <w:pPr>
              <w:spacing w:after="0" w:line="240" w:lineRule="auto"/>
              <w:jc w:val="center"/>
              <w:rPr>
                <w:rFonts w:eastAsia="Times New Roman" w:cs="Arial"/>
                <w:b/>
                <w:bCs/>
                <w:color w:val="000000"/>
                <w:kern w:val="24"/>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35EF72CF"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09CBF132" w14:textId="77777777" w:rsidTr="00A013B6">
        <w:trPr>
          <w:trHeight w:val="155"/>
        </w:trPr>
        <w:tc>
          <w:tcPr>
            <w:tcW w:w="2805" w:type="dxa"/>
            <w:shd w:val="clear" w:color="auto" w:fill="auto"/>
            <w:tcMar>
              <w:top w:w="72" w:type="dxa"/>
              <w:left w:w="144" w:type="dxa"/>
              <w:bottom w:w="72" w:type="dxa"/>
              <w:right w:w="144" w:type="dxa"/>
            </w:tcMar>
            <w:hideMark/>
          </w:tcPr>
          <w:p w14:paraId="2ACA1BBD" w14:textId="32FE1BC1"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Akmenė</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B4B4B4"/>
            <w:tcMar>
              <w:top w:w="72" w:type="dxa"/>
              <w:left w:w="144" w:type="dxa"/>
              <w:bottom w:w="72" w:type="dxa"/>
              <w:right w:w="144" w:type="dxa"/>
            </w:tcMar>
          </w:tcPr>
          <w:p w14:paraId="2696E852"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065B5048" w14:textId="77777777" w:rsidR="00AC6BA6" w:rsidRPr="00FB41EA" w:rsidRDefault="00AC6BA6" w:rsidP="00A013B6">
            <w:pPr>
              <w:spacing w:after="0" w:line="240" w:lineRule="auto"/>
              <w:jc w:val="center"/>
              <w:rPr>
                <w:rFonts w:eastAsia="Times New Roman" w:cs="Arial"/>
                <w:bCs/>
                <w:color w:val="000000"/>
                <w:kern w:val="24"/>
                <w:sz w:val="18"/>
                <w:szCs w:val="18"/>
                <w:lang w:val="en-GB"/>
              </w:rPr>
            </w:pPr>
            <w:r w:rsidRPr="00FB41EA">
              <w:rPr>
                <w:rFonts w:eastAsia="Times New Roman" w:cs="Arial"/>
                <w:bCs/>
                <w:color w:val="000000"/>
                <w:kern w:val="24"/>
                <w:sz w:val="18"/>
                <w:szCs w:val="18"/>
                <w:lang w:val="en-GB"/>
              </w:rPr>
              <w:t>+/-</w:t>
            </w:r>
          </w:p>
        </w:tc>
        <w:tc>
          <w:tcPr>
            <w:tcW w:w="1710" w:type="dxa"/>
            <w:shd w:val="clear" w:color="auto" w:fill="81BC00"/>
            <w:tcMar>
              <w:top w:w="72" w:type="dxa"/>
              <w:left w:w="144" w:type="dxa"/>
              <w:bottom w:w="72" w:type="dxa"/>
              <w:right w:w="144" w:type="dxa"/>
            </w:tcMar>
          </w:tcPr>
          <w:p w14:paraId="7823A05C"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065A0E78" w14:textId="77777777" w:rsidTr="00A013B6">
        <w:trPr>
          <w:trHeight w:val="227"/>
        </w:trPr>
        <w:tc>
          <w:tcPr>
            <w:tcW w:w="2805" w:type="dxa"/>
            <w:shd w:val="clear" w:color="auto" w:fill="auto"/>
            <w:tcMar>
              <w:top w:w="72" w:type="dxa"/>
              <w:left w:w="144" w:type="dxa"/>
              <w:bottom w:w="72" w:type="dxa"/>
              <w:right w:w="144" w:type="dxa"/>
            </w:tcMar>
            <w:hideMark/>
          </w:tcPr>
          <w:p w14:paraId="6FF0C3BB" w14:textId="389F4931"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Joniški</w:t>
            </w:r>
            <w:r w:rsidR="00627C8A" w:rsidRPr="00FB41EA">
              <w:rPr>
                <w:rFonts w:eastAsia="Times New Roman" w:cs="Arial"/>
                <w:color w:val="000000"/>
                <w:kern w:val="24"/>
                <w:sz w:val="18"/>
                <w:szCs w:val="18"/>
                <w:lang w:val="en-GB"/>
              </w:rPr>
              <w:t>s</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81BC00"/>
            <w:tcMar>
              <w:top w:w="72" w:type="dxa"/>
              <w:left w:w="144" w:type="dxa"/>
              <w:bottom w:w="72" w:type="dxa"/>
              <w:right w:w="144" w:type="dxa"/>
            </w:tcMar>
          </w:tcPr>
          <w:p w14:paraId="0291E27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31A9705B"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4C48225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670F9113" w14:textId="77777777" w:rsidTr="00A013B6">
        <w:trPr>
          <w:trHeight w:val="263"/>
        </w:trPr>
        <w:tc>
          <w:tcPr>
            <w:tcW w:w="2805" w:type="dxa"/>
            <w:shd w:val="clear" w:color="auto" w:fill="auto"/>
            <w:tcMar>
              <w:top w:w="72" w:type="dxa"/>
              <w:left w:w="144" w:type="dxa"/>
              <w:bottom w:w="72" w:type="dxa"/>
              <w:right w:w="144" w:type="dxa"/>
            </w:tcMar>
            <w:hideMark/>
          </w:tcPr>
          <w:p w14:paraId="47E9C12C" w14:textId="3C5872FE"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Pasval</w:t>
            </w:r>
            <w:r w:rsidR="00627C8A" w:rsidRPr="00FB41EA">
              <w:rPr>
                <w:rFonts w:eastAsia="Times New Roman" w:cs="Arial"/>
                <w:color w:val="000000"/>
                <w:kern w:val="24"/>
                <w:sz w:val="18"/>
                <w:szCs w:val="18"/>
                <w:lang w:val="en-GB"/>
              </w:rPr>
              <w:t>ys</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B4B4B4"/>
            <w:tcMar>
              <w:top w:w="72" w:type="dxa"/>
              <w:left w:w="144" w:type="dxa"/>
              <w:bottom w:w="72" w:type="dxa"/>
              <w:right w:w="144" w:type="dxa"/>
            </w:tcMar>
          </w:tcPr>
          <w:p w14:paraId="6DA49BEF"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5EFF0FB1"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81BC00"/>
            <w:tcMar>
              <w:top w:w="72" w:type="dxa"/>
              <w:left w:w="144" w:type="dxa"/>
              <w:bottom w:w="72" w:type="dxa"/>
              <w:right w:w="144" w:type="dxa"/>
            </w:tcMar>
          </w:tcPr>
          <w:p w14:paraId="7A09DA7B"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11FB75E7" w14:textId="77777777" w:rsidTr="00A013B6">
        <w:trPr>
          <w:trHeight w:val="263"/>
        </w:trPr>
        <w:tc>
          <w:tcPr>
            <w:tcW w:w="2805" w:type="dxa"/>
            <w:shd w:val="clear" w:color="auto" w:fill="auto"/>
            <w:tcMar>
              <w:top w:w="72" w:type="dxa"/>
              <w:left w:w="144" w:type="dxa"/>
              <w:bottom w:w="72" w:type="dxa"/>
              <w:right w:w="144" w:type="dxa"/>
            </w:tcMar>
            <w:hideMark/>
          </w:tcPr>
          <w:p w14:paraId="5B3D716C" w14:textId="71300159"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Rokiški</w:t>
            </w:r>
            <w:r w:rsidR="00627C8A" w:rsidRPr="00FB41EA">
              <w:rPr>
                <w:rFonts w:eastAsia="Times New Roman" w:cs="Arial"/>
                <w:color w:val="000000"/>
                <w:kern w:val="24"/>
                <w:sz w:val="18"/>
                <w:szCs w:val="18"/>
                <w:lang w:val="en-GB"/>
              </w:rPr>
              <w:t>s</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B4B4B4"/>
            <w:tcMar>
              <w:top w:w="72" w:type="dxa"/>
              <w:left w:w="144" w:type="dxa"/>
              <w:bottom w:w="72" w:type="dxa"/>
              <w:right w:w="144" w:type="dxa"/>
            </w:tcMar>
          </w:tcPr>
          <w:p w14:paraId="5F352F2C"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165F9D41"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72C7E7"/>
            <w:tcMar>
              <w:top w:w="72" w:type="dxa"/>
              <w:left w:w="144" w:type="dxa"/>
              <w:bottom w:w="72" w:type="dxa"/>
              <w:right w:w="144" w:type="dxa"/>
            </w:tcMar>
          </w:tcPr>
          <w:p w14:paraId="6D207A29"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r>
      <w:tr w:rsidR="00AC6BA6" w:rsidRPr="00FB41EA" w14:paraId="57670FCC" w14:textId="77777777" w:rsidTr="00A013B6">
        <w:trPr>
          <w:trHeight w:val="263"/>
        </w:trPr>
        <w:tc>
          <w:tcPr>
            <w:tcW w:w="2805" w:type="dxa"/>
            <w:shd w:val="clear" w:color="auto" w:fill="auto"/>
            <w:tcMar>
              <w:top w:w="72" w:type="dxa"/>
              <w:left w:w="144" w:type="dxa"/>
              <w:bottom w:w="72" w:type="dxa"/>
              <w:right w:w="144" w:type="dxa"/>
            </w:tcMar>
            <w:hideMark/>
          </w:tcPr>
          <w:p w14:paraId="76E6CDE5" w14:textId="0F376FCE"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Kelmė</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81BC00"/>
            <w:tcMar>
              <w:top w:w="72" w:type="dxa"/>
              <w:left w:w="144" w:type="dxa"/>
              <w:bottom w:w="72" w:type="dxa"/>
              <w:right w:w="144" w:type="dxa"/>
            </w:tcMar>
          </w:tcPr>
          <w:p w14:paraId="0F75C620"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343E7DE3"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5C70332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4B717550" w14:textId="77777777" w:rsidTr="00A013B6">
        <w:trPr>
          <w:trHeight w:val="200"/>
        </w:trPr>
        <w:tc>
          <w:tcPr>
            <w:tcW w:w="2805" w:type="dxa"/>
            <w:shd w:val="clear" w:color="auto" w:fill="auto"/>
            <w:tcMar>
              <w:top w:w="72" w:type="dxa"/>
              <w:left w:w="144" w:type="dxa"/>
              <w:bottom w:w="72" w:type="dxa"/>
              <w:right w:w="144" w:type="dxa"/>
            </w:tcMar>
            <w:hideMark/>
          </w:tcPr>
          <w:p w14:paraId="27D5DA88" w14:textId="0E4BA05F"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Jurbark</w:t>
            </w:r>
            <w:r w:rsidR="00627C8A" w:rsidRPr="00FB41EA">
              <w:rPr>
                <w:rFonts w:eastAsia="Times New Roman" w:cs="Arial"/>
                <w:color w:val="000000"/>
                <w:kern w:val="24"/>
                <w:sz w:val="18"/>
                <w:szCs w:val="18"/>
                <w:lang w:val="en-GB"/>
              </w:rPr>
              <w:t>as</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81BC00"/>
            <w:tcMar>
              <w:top w:w="72" w:type="dxa"/>
              <w:left w:w="144" w:type="dxa"/>
              <w:bottom w:w="72" w:type="dxa"/>
              <w:right w:w="144" w:type="dxa"/>
            </w:tcMar>
          </w:tcPr>
          <w:p w14:paraId="522D4994"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2E6C991E"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173AF263"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3FF83926" w14:textId="77777777" w:rsidTr="00A013B6">
        <w:trPr>
          <w:trHeight w:val="182"/>
        </w:trPr>
        <w:tc>
          <w:tcPr>
            <w:tcW w:w="2805" w:type="dxa"/>
            <w:shd w:val="clear" w:color="auto" w:fill="auto"/>
            <w:tcMar>
              <w:top w:w="72" w:type="dxa"/>
              <w:left w:w="144" w:type="dxa"/>
              <w:bottom w:w="72" w:type="dxa"/>
              <w:right w:w="144" w:type="dxa"/>
            </w:tcMar>
            <w:hideMark/>
          </w:tcPr>
          <w:p w14:paraId="5AAE647D" w14:textId="6CF8E1A7"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Jonav</w:t>
            </w:r>
            <w:r w:rsidR="00627C8A" w:rsidRPr="00FB41EA">
              <w:rPr>
                <w:rFonts w:eastAsia="Times New Roman" w:cs="Arial"/>
                <w:color w:val="000000"/>
                <w:kern w:val="24"/>
                <w:sz w:val="18"/>
                <w:szCs w:val="18"/>
                <w:lang w:val="en-GB"/>
              </w:rPr>
              <w:t>a</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72C7E7"/>
            <w:tcMar>
              <w:top w:w="72" w:type="dxa"/>
              <w:left w:w="144" w:type="dxa"/>
              <w:bottom w:w="72" w:type="dxa"/>
              <w:right w:w="144" w:type="dxa"/>
            </w:tcMar>
          </w:tcPr>
          <w:p w14:paraId="6F51F4DC"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980" w:type="dxa"/>
            <w:shd w:val="clear" w:color="auto" w:fill="72C7E7"/>
            <w:tcMar>
              <w:top w:w="72" w:type="dxa"/>
              <w:left w:w="144" w:type="dxa"/>
              <w:bottom w:w="72" w:type="dxa"/>
              <w:right w:w="144" w:type="dxa"/>
            </w:tcMar>
          </w:tcPr>
          <w:p w14:paraId="362B99E1"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41BB0D40"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1FF0587F" w14:textId="77777777" w:rsidTr="00A013B6">
        <w:trPr>
          <w:trHeight w:val="263"/>
        </w:trPr>
        <w:tc>
          <w:tcPr>
            <w:tcW w:w="2805" w:type="dxa"/>
            <w:shd w:val="clear" w:color="auto" w:fill="auto"/>
            <w:tcMar>
              <w:top w:w="72" w:type="dxa"/>
              <w:left w:w="144" w:type="dxa"/>
              <w:bottom w:w="72" w:type="dxa"/>
              <w:right w:w="144" w:type="dxa"/>
            </w:tcMar>
            <w:hideMark/>
          </w:tcPr>
          <w:p w14:paraId="30B54C09" w14:textId="65A816ED"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Ignalin</w:t>
            </w:r>
            <w:r w:rsidR="00627C8A" w:rsidRPr="00FB41EA">
              <w:rPr>
                <w:rFonts w:eastAsia="Times New Roman" w:cs="Arial"/>
                <w:color w:val="000000"/>
                <w:kern w:val="24"/>
                <w:sz w:val="18"/>
                <w:szCs w:val="18"/>
                <w:lang w:val="en-GB"/>
              </w:rPr>
              <w:t>a</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81BC00"/>
            <w:tcMar>
              <w:top w:w="72" w:type="dxa"/>
              <w:left w:w="144" w:type="dxa"/>
              <w:bottom w:w="72" w:type="dxa"/>
              <w:right w:w="144" w:type="dxa"/>
            </w:tcMar>
          </w:tcPr>
          <w:p w14:paraId="3632B7F5"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52C7FECE"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5D8705A4"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5F594581" w14:textId="77777777" w:rsidTr="00A013B6">
        <w:trPr>
          <w:trHeight w:val="200"/>
        </w:trPr>
        <w:tc>
          <w:tcPr>
            <w:tcW w:w="2805" w:type="dxa"/>
            <w:shd w:val="clear" w:color="auto" w:fill="auto"/>
            <w:tcMar>
              <w:top w:w="72" w:type="dxa"/>
              <w:left w:w="144" w:type="dxa"/>
              <w:bottom w:w="72" w:type="dxa"/>
              <w:right w:w="144" w:type="dxa"/>
            </w:tcMar>
            <w:hideMark/>
          </w:tcPr>
          <w:p w14:paraId="627FB389" w14:textId="7EA5E9AF"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Švenčion</w:t>
            </w:r>
            <w:r w:rsidR="00627C8A" w:rsidRPr="00FB41EA">
              <w:rPr>
                <w:rFonts w:eastAsia="Times New Roman" w:cs="Arial"/>
                <w:color w:val="000000"/>
                <w:kern w:val="24"/>
                <w:sz w:val="18"/>
                <w:szCs w:val="18"/>
                <w:lang w:val="en-GB"/>
              </w:rPr>
              <w:t>ys</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B4B4B4"/>
            <w:tcMar>
              <w:top w:w="72" w:type="dxa"/>
              <w:left w:w="144" w:type="dxa"/>
              <w:bottom w:w="72" w:type="dxa"/>
              <w:right w:w="144" w:type="dxa"/>
            </w:tcMar>
          </w:tcPr>
          <w:p w14:paraId="58177FD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18901241"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81BC00"/>
            <w:tcMar>
              <w:top w:w="72" w:type="dxa"/>
              <w:left w:w="144" w:type="dxa"/>
              <w:bottom w:w="72" w:type="dxa"/>
              <w:right w:w="144" w:type="dxa"/>
            </w:tcMar>
          </w:tcPr>
          <w:p w14:paraId="6A19157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57C453CE" w14:textId="77777777" w:rsidTr="00A013B6">
        <w:trPr>
          <w:trHeight w:val="182"/>
        </w:trPr>
        <w:tc>
          <w:tcPr>
            <w:tcW w:w="2805" w:type="dxa"/>
            <w:shd w:val="clear" w:color="auto" w:fill="auto"/>
            <w:tcMar>
              <w:top w:w="72" w:type="dxa"/>
              <w:left w:w="144" w:type="dxa"/>
              <w:bottom w:w="72" w:type="dxa"/>
              <w:right w:w="144" w:type="dxa"/>
            </w:tcMar>
            <w:hideMark/>
          </w:tcPr>
          <w:p w14:paraId="7ECC4671" w14:textId="2BB97436" w:rsidR="00AC6BA6" w:rsidRPr="00FB41EA" w:rsidRDefault="00AC6BA6" w:rsidP="00627C8A">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Šalčinink</w:t>
            </w:r>
            <w:r w:rsidR="00627C8A" w:rsidRPr="00FB41EA">
              <w:rPr>
                <w:rFonts w:eastAsia="Times New Roman" w:cs="Arial"/>
                <w:color w:val="000000"/>
                <w:kern w:val="24"/>
                <w:sz w:val="18"/>
                <w:szCs w:val="18"/>
                <w:lang w:val="en-GB"/>
              </w:rPr>
              <w:t>ai</w:t>
            </w:r>
            <w:proofErr w:type="spellEnd"/>
            <w:r w:rsidR="00627C8A" w:rsidRPr="00FB41EA">
              <w:rPr>
                <w:rFonts w:eastAsia="Times New Roman" w:cs="Arial"/>
                <w:color w:val="000000"/>
                <w:kern w:val="24"/>
                <w:sz w:val="18"/>
                <w:szCs w:val="18"/>
                <w:lang w:val="en-GB"/>
              </w:rPr>
              <w:t xml:space="preserve"> region municipality</w:t>
            </w:r>
          </w:p>
        </w:tc>
        <w:tc>
          <w:tcPr>
            <w:tcW w:w="1600" w:type="dxa"/>
            <w:shd w:val="clear" w:color="auto" w:fill="B4B4B4"/>
            <w:tcMar>
              <w:top w:w="72" w:type="dxa"/>
              <w:left w:w="144" w:type="dxa"/>
              <w:bottom w:w="72" w:type="dxa"/>
              <w:right w:w="144" w:type="dxa"/>
            </w:tcMar>
          </w:tcPr>
          <w:p w14:paraId="7DB7626B"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7F47AF5C"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7C1F4C70"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5ACA0CC8" w14:textId="77777777" w:rsidTr="00A013B6">
        <w:trPr>
          <w:trHeight w:val="263"/>
        </w:trPr>
        <w:tc>
          <w:tcPr>
            <w:tcW w:w="2805" w:type="dxa"/>
            <w:shd w:val="clear" w:color="auto" w:fill="002776"/>
            <w:tcMar>
              <w:top w:w="72" w:type="dxa"/>
              <w:left w:w="144" w:type="dxa"/>
              <w:bottom w:w="72" w:type="dxa"/>
              <w:right w:w="144" w:type="dxa"/>
            </w:tcMar>
            <w:hideMark/>
          </w:tcPr>
          <w:p w14:paraId="21CFEE10" w14:textId="5FE9684B" w:rsidR="00AC6BA6" w:rsidRPr="00FB41EA" w:rsidRDefault="00AC6BA6" w:rsidP="00627C8A">
            <w:pPr>
              <w:spacing w:after="0" w:line="240" w:lineRule="auto"/>
              <w:rPr>
                <w:rFonts w:eastAsia="Times New Roman" w:cs="Arial"/>
                <w:b/>
                <w:sz w:val="18"/>
                <w:szCs w:val="18"/>
                <w:lang w:val="en-GB"/>
              </w:rPr>
            </w:pPr>
            <w:proofErr w:type="spellStart"/>
            <w:r w:rsidRPr="00FB41EA">
              <w:rPr>
                <w:rFonts w:eastAsia="Times New Roman" w:cs="Arial"/>
                <w:b/>
                <w:color w:val="FFFFFF" w:themeColor="background1"/>
                <w:kern w:val="24"/>
                <w:sz w:val="18"/>
                <w:szCs w:val="18"/>
                <w:lang w:val="en-GB"/>
              </w:rPr>
              <w:t>Druskinink</w:t>
            </w:r>
            <w:r w:rsidR="00627C8A" w:rsidRPr="00FB41EA">
              <w:rPr>
                <w:rFonts w:eastAsia="Times New Roman" w:cs="Arial"/>
                <w:b/>
                <w:color w:val="FFFFFF" w:themeColor="background1"/>
                <w:kern w:val="24"/>
                <w:sz w:val="18"/>
                <w:szCs w:val="18"/>
                <w:lang w:val="en-GB"/>
              </w:rPr>
              <w:t>ai</w:t>
            </w:r>
            <w:proofErr w:type="spellEnd"/>
            <w:r w:rsidR="00627C8A" w:rsidRPr="00FB41EA">
              <w:rPr>
                <w:rFonts w:eastAsia="Times New Roman" w:cs="Arial"/>
                <w:b/>
                <w:color w:val="FFFFFF" w:themeColor="background1"/>
                <w:kern w:val="24"/>
                <w:sz w:val="18"/>
                <w:szCs w:val="18"/>
                <w:lang w:val="en-GB"/>
              </w:rPr>
              <w:t xml:space="preserve"> municipality</w:t>
            </w:r>
          </w:p>
        </w:tc>
        <w:tc>
          <w:tcPr>
            <w:tcW w:w="1600" w:type="dxa"/>
            <w:shd w:val="clear" w:color="auto" w:fill="81BC00"/>
            <w:tcMar>
              <w:top w:w="72" w:type="dxa"/>
              <w:left w:w="144" w:type="dxa"/>
              <w:bottom w:w="72" w:type="dxa"/>
              <w:right w:w="144" w:type="dxa"/>
            </w:tcMar>
          </w:tcPr>
          <w:p w14:paraId="40ECA8B0"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52104FB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81BC00"/>
            <w:tcMar>
              <w:top w:w="72" w:type="dxa"/>
              <w:left w:w="144" w:type="dxa"/>
              <w:bottom w:w="72" w:type="dxa"/>
              <w:right w:w="144" w:type="dxa"/>
            </w:tcMar>
          </w:tcPr>
          <w:p w14:paraId="56CEE8E9"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r w:rsidR="00AC6BA6" w:rsidRPr="00FB41EA" w14:paraId="65759F6D" w14:textId="77777777" w:rsidTr="00A013B6">
        <w:trPr>
          <w:trHeight w:val="200"/>
        </w:trPr>
        <w:tc>
          <w:tcPr>
            <w:tcW w:w="2805" w:type="dxa"/>
            <w:shd w:val="clear" w:color="auto" w:fill="auto"/>
            <w:tcMar>
              <w:top w:w="72" w:type="dxa"/>
              <w:left w:w="144" w:type="dxa"/>
              <w:bottom w:w="72" w:type="dxa"/>
              <w:right w:w="144" w:type="dxa"/>
            </w:tcMar>
            <w:hideMark/>
          </w:tcPr>
          <w:p w14:paraId="14594234" w14:textId="301833E4" w:rsidR="00AC6BA6" w:rsidRPr="00FB41EA" w:rsidRDefault="00AC6BA6" w:rsidP="00BB0C25">
            <w:pPr>
              <w:spacing w:after="0" w:line="240" w:lineRule="auto"/>
              <w:rPr>
                <w:rFonts w:eastAsia="Times New Roman" w:cs="Arial"/>
                <w:sz w:val="18"/>
                <w:szCs w:val="18"/>
                <w:lang w:val="en-GB"/>
              </w:rPr>
            </w:pPr>
            <w:proofErr w:type="spellStart"/>
            <w:r w:rsidRPr="00FB41EA">
              <w:rPr>
                <w:rFonts w:eastAsia="Times New Roman" w:cs="Arial"/>
                <w:color w:val="000000"/>
                <w:kern w:val="24"/>
                <w:sz w:val="18"/>
                <w:szCs w:val="18"/>
                <w:lang w:val="en-GB"/>
              </w:rPr>
              <w:t>Lazdij</w:t>
            </w:r>
            <w:r w:rsidR="00BB0C25" w:rsidRPr="00FB41EA">
              <w:rPr>
                <w:rFonts w:eastAsia="Times New Roman" w:cs="Arial"/>
                <w:color w:val="000000"/>
                <w:kern w:val="24"/>
                <w:sz w:val="18"/>
                <w:szCs w:val="18"/>
                <w:lang w:val="en-GB"/>
              </w:rPr>
              <w:t>ai</w:t>
            </w:r>
            <w:proofErr w:type="spellEnd"/>
            <w:r w:rsidR="00BB0C25" w:rsidRPr="00FB41EA">
              <w:rPr>
                <w:rFonts w:eastAsia="Times New Roman" w:cs="Arial"/>
                <w:color w:val="000000"/>
                <w:kern w:val="24"/>
                <w:sz w:val="18"/>
                <w:szCs w:val="18"/>
                <w:lang w:val="en-GB"/>
              </w:rPr>
              <w:t xml:space="preserve"> region municipality</w:t>
            </w:r>
          </w:p>
        </w:tc>
        <w:tc>
          <w:tcPr>
            <w:tcW w:w="1600" w:type="dxa"/>
            <w:shd w:val="clear" w:color="auto" w:fill="81BC00"/>
            <w:tcMar>
              <w:top w:w="72" w:type="dxa"/>
              <w:left w:w="144" w:type="dxa"/>
              <w:bottom w:w="72" w:type="dxa"/>
              <w:right w:w="144" w:type="dxa"/>
            </w:tcMar>
          </w:tcPr>
          <w:p w14:paraId="3F4D8DCC"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c>
          <w:tcPr>
            <w:tcW w:w="1980" w:type="dxa"/>
            <w:shd w:val="clear" w:color="auto" w:fill="72C7E7"/>
            <w:tcMar>
              <w:top w:w="72" w:type="dxa"/>
              <w:left w:w="144" w:type="dxa"/>
              <w:bottom w:w="72" w:type="dxa"/>
              <w:right w:w="144" w:type="dxa"/>
            </w:tcMar>
          </w:tcPr>
          <w:p w14:paraId="1D459AD6"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bCs/>
                <w:color w:val="000000"/>
                <w:kern w:val="24"/>
                <w:sz w:val="18"/>
                <w:szCs w:val="18"/>
                <w:lang w:val="en-GB"/>
              </w:rPr>
              <w:t>+/-</w:t>
            </w:r>
          </w:p>
        </w:tc>
        <w:tc>
          <w:tcPr>
            <w:tcW w:w="1710" w:type="dxa"/>
            <w:shd w:val="clear" w:color="auto" w:fill="B4B4B4"/>
            <w:tcMar>
              <w:top w:w="72" w:type="dxa"/>
              <w:left w:w="144" w:type="dxa"/>
              <w:bottom w:w="72" w:type="dxa"/>
              <w:right w:w="144" w:type="dxa"/>
            </w:tcMar>
          </w:tcPr>
          <w:p w14:paraId="1251C169" w14:textId="77777777" w:rsidR="00AC6BA6" w:rsidRPr="00FB41EA" w:rsidRDefault="00AC6BA6" w:rsidP="00A013B6">
            <w:pPr>
              <w:spacing w:after="0" w:line="240" w:lineRule="auto"/>
              <w:jc w:val="center"/>
              <w:rPr>
                <w:rFonts w:eastAsia="Times New Roman" w:cs="Arial"/>
                <w:sz w:val="18"/>
                <w:szCs w:val="18"/>
                <w:lang w:val="en-GB"/>
              </w:rPr>
            </w:pPr>
            <w:r w:rsidRPr="00FB41EA">
              <w:rPr>
                <w:rFonts w:eastAsia="Times New Roman" w:cs="Arial"/>
                <w:sz w:val="18"/>
                <w:szCs w:val="18"/>
                <w:lang w:val="en-GB"/>
              </w:rPr>
              <w:t>-</w:t>
            </w:r>
          </w:p>
        </w:tc>
      </w:tr>
    </w:tbl>
    <w:p w14:paraId="6C7200F8" w14:textId="624197A4" w:rsidR="00AC6BA6" w:rsidRPr="00FB41EA" w:rsidRDefault="00FB41EA" w:rsidP="00441F77">
      <w:pPr>
        <w:spacing w:before="120" w:after="0"/>
        <w:jc w:val="both"/>
        <w:rPr>
          <w:rFonts w:cs="Arial"/>
          <w:sz w:val="20"/>
          <w:lang w:val="en-GB"/>
        </w:rPr>
      </w:pPr>
      <w:r w:rsidRPr="00FB41EA">
        <w:rPr>
          <w:rFonts w:cs="Arial"/>
          <w:sz w:val="20"/>
          <w:lang w:val="en-GB"/>
        </w:rPr>
        <w:t>Source</w:t>
      </w:r>
      <w:r w:rsidR="00AC6BA6" w:rsidRPr="00FB41EA">
        <w:rPr>
          <w:rFonts w:cs="Arial"/>
          <w:sz w:val="20"/>
          <w:lang w:val="en-GB"/>
        </w:rPr>
        <w:t xml:space="preserve">: </w:t>
      </w:r>
      <w:r w:rsidRPr="00FB41EA">
        <w:rPr>
          <w:rFonts w:cs="Arial"/>
          <w:sz w:val="20"/>
          <w:lang w:val="en-GB"/>
        </w:rPr>
        <w:t>case studies of problem territories</w:t>
      </w:r>
    </w:p>
    <w:p w14:paraId="6C9C2B45" w14:textId="2480ED06" w:rsidR="00AC6BA6" w:rsidRPr="00FB41EA" w:rsidRDefault="00AC6BA6" w:rsidP="00AC6BA6">
      <w:pPr>
        <w:jc w:val="both"/>
        <w:rPr>
          <w:rFonts w:cs="Arial"/>
          <w:sz w:val="20"/>
          <w:lang w:val="en-GB"/>
        </w:rPr>
      </w:pPr>
      <w:r w:rsidRPr="00FB41EA">
        <w:rPr>
          <w:rFonts w:cs="Arial"/>
          <w:sz w:val="20"/>
          <w:lang w:val="en-GB"/>
        </w:rPr>
        <w:t xml:space="preserve">* - </w:t>
      </w:r>
      <w:r w:rsidR="00FB41EA" w:rsidRPr="00FB41EA">
        <w:rPr>
          <w:rFonts w:cs="Arial"/>
          <w:sz w:val="20"/>
          <w:lang w:val="en-GB"/>
        </w:rPr>
        <w:t>where “</w:t>
      </w:r>
      <w:r w:rsidRPr="00FB41EA">
        <w:rPr>
          <w:rFonts w:cs="Arial"/>
          <w:sz w:val="20"/>
          <w:lang w:val="en-GB"/>
        </w:rPr>
        <w:t>+</w:t>
      </w:r>
      <w:r w:rsidR="00FB41EA" w:rsidRPr="00FB41EA">
        <w:rPr>
          <w:rFonts w:cs="Arial"/>
          <w:sz w:val="20"/>
          <w:lang w:val="en-GB"/>
        </w:rPr>
        <w:t>”</w:t>
      </w:r>
      <w:r w:rsidRPr="00FB41EA">
        <w:rPr>
          <w:rFonts w:cs="Arial"/>
          <w:sz w:val="20"/>
          <w:lang w:val="en-GB"/>
        </w:rPr>
        <w:t xml:space="preserve"> </w:t>
      </w:r>
      <w:r w:rsidR="00FB41EA" w:rsidRPr="00FB41EA">
        <w:rPr>
          <w:rFonts w:cs="Arial"/>
          <w:sz w:val="20"/>
          <w:lang w:val="en-GB"/>
        </w:rPr>
        <w:t>marks positive results</w:t>
      </w:r>
      <w:r w:rsidRPr="00FB41EA">
        <w:rPr>
          <w:rFonts w:cs="Arial"/>
          <w:sz w:val="20"/>
          <w:lang w:val="en-GB"/>
        </w:rPr>
        <w:t xml:space="preserve">, </w:t>
      </w:r>
      <w:r w:rsidR="00FB41EA" w:rsidRPr="00FB41EA">
        <w:rPr>
          <w:rFonts w:cs="Arial"/>
          <w:sz w:val="20"/>
          <w:lang w:val="en-GB"/>
        </w:rPr>
        <w:t>“</w:t>
      </w:r>
      <w:r w:rsidRPr="00FB41EA">
        <w:rPr>
          <w:rFonts w:cs="Arial"/>
          <w:sz w:val="20"/>
          <w:lang w:val="en-GB"/>
        </w:rPr>
        <w:t>+/-</w:t>
      </w:r>
      <w:r w:rsidR="00FB41EA" w:rsidRPr="00FB41EA">
        <w:rPr>
          <w:rFonts w:cs="Arial"/>
          <w:sz w:val="20"/>
          <w:lang w:val="en-GB"/>
        </w:rPr>
        <w:t>” marks medium results</w:t>
      </w:r>
      <w:r w:rsidRPr="00FB41EA">
        <w:rPr>
          <w:rFonts w:cs="Arial"/>
          <w:sz w:val="20"/>
          <w:lang w:val="en-GB"/>
        </w:rPr>
        <w:t xml:space="preserve">, </w:t>
      </w:r>
      <w:r w:rsidR="00FB41EA">
        <w:rPr>
          <w:rFonts w:cs="Arial"/>
          <w:sz w:val="20"/>
          <w:lang w:val="en-GB"/>
        </w:rPr>
        <w:t>“</w:t>
      </w:r>
      <w:r w:rsidRPr="00FB41EA">
        <w:rPr>
          <w:rFonts w:cs="Arial"/>
          <w:sz w:val="20"/>
          <w:lang w:val="en-GB"/>
        </w:rPr>
        <w:t>-</w:t>
      </w:r>
      <w:r w:rsidR="00FB41EA" w:rsidRPr="00FB41EA">
        <w:rPr>
          <w:rFonts w:cs="Arial"/>
          <w:sz w:val="20"/>
          <w:lang w:val="en-GB"/>
        </w:rPr>
        <w:t>”</w:t>
      </w:r>
      <w:r w:rsidR="00FB41EA">
        <w:rPr>
          <w:rFonts w:cs="Arial"/>
          <w:sz w:val="20"/>
          <w:lang w:val="en-GB"/>
        </w:rPr>
        <w:t xml:space="preserve"> </w:t>
      </w:r>
      <w:r w:rsidR="00FB41EA" w:rsidRPr="00FB41EA">
        <w:rPr>
          <w:rFonts w:cs="Arial"/>
          <w:sz w:val="20"/>
          <w:lang w:val="en-GB"/>
        </w:rPr>
        <w:t xml:space="preserve">marks </w:t>
      </w:r>
      <w:r w:rsidR="00FB41EA">
        <w:rPr>
          <w:rFonts w:cs="Arial"/>
          <w:sz w:val="20"/>
          <w:lang w:val="en-GB"/>
        </w:rPr>
        <w:t>unsatisfactory</w:t>
      </w:r>
      <w:r w:rsidR="00FB41EA" w:rsidRPr="00FB41EA">
        <w:rPr>
          <w:rFonts w:cs="Arial"/>
          <w:sz w:val="20"/>
          <w:lang w:val="en-GB"/>
        </w:rPr>
        <w:t xml:space="preserve"> results</w:t>
      </w:r>
    </w:p>
    <w:p w14:paraId="3E34D59A" w14:textId="3191222B" w:rsidR="00764900" w:rsidRPr="00FB41EA" w:rsidRDefault="00FB41EA" w:rsidP="00764900">
      <w:pPr>
        <w:autoSpaceDE w:val="0"/>
        <w:autoSpaceDN w:val="0"/>
        <w:adjustRightInd w:val="0"/>
        <w:spacing w:before="120" w:after="0" w:line="240" w:lineRule="auto"/>
        <w:jc w:val="both"/>
        <w:rPr>
          <w:b/>
          <w:color w:val="81BC00"/>
          <w:sz w:val="20"/>
          <w:lang w:val="en-GB"/>
        </w:rPr>
      </w:pPr>
      <w:r w:rsidRPr="00FB41EA">
        <w:rPr>
          <w:rFonts w:cs="Arial"/>
          <w:sz w:val="20"/>
          <w:lang w:val="en-GB"/>
        </w:rPr>
        <w:t xml:space="preserve">In summary, the </w:t>
      </w:r>
      <w:r>
        <w:rPr>
          <w:rFonts w:cs="Arial"/>
          <w:sz w:val="20"/>
          <w:lang w:val="en-GB"/>
        </w:rPr>
        <w:t>Evaluation</w:t>
      </w:r>
      <w:r w:rsidRPr="00FB41EA">
        <w:rPr>
          <w:rFonts w:cs="Arial"/>
          <w:sz w:val="20"/>
          <w:lang w:val="en-GB"/>
        </w:rPr>
        <w:t xml:space="preserve"> </w:t>
      </w:r>
      <w:r w:rsidR="00A3389F">
        <w:rPr>
          <w:rFonts w:cs="Arial"/>
          <w:sz w:val="20"/>
          <w:lang w:val="en-GB"/>
        </w:rPr>
        <w:t xml:space="preserve">supports the </w:t>
      </w:r>
      <w:r w:rsidR="00A3389F" w:rsidRPr="00FB41EA">
        <w:rPr>
          <w:rFonts w:cs="Arial"/>
          <w:sz w:val="20"/>
          <w:lang w:val="en-GB"/>
        </w:rPr>
        <w:t xml:space="preserve">insights </w:t>
      </w:r>
      <w:r w:rsidR="00A3389F">
        <w:rPr>
          <w:rFonts w:cs="Arial"/>
          <w:sz w:val="20"/>
          <w:lang w:val="en-GB"/>
        </w:rPr>
        <w:t>of earlier EU</w:t>
      </w:r>
      <w:r w:rsidR="00A3389F" w:rsidRPr="00FB41EA">
        <w:rPr>
          <w:rFonts w:cs="Arial"/>
          <w:sz w:val="20"/>
          <w:lang w:val="en-GB"/>
        </w:rPr>
        <w:t xml:space="preserve"> cohesion policy assessment</w:t>
      </w:r>
      <w:r w:rsidR="00A3389F">
        <w:rPr>
          <w:rFonts w:cs="Arial"/>
          <w:sz w:val="20"/>
          <w:lang w:val="en-GB"/>
        </w:rPr>
        <w:t>s/</w:t>
      </w:r>
      <w:r w:rsidR="00A3389F" w:rsidRPr="00FB41EA">
        <w:rPr>
          <w:rFonts w:cs="Arial"/>
          <w:sz w:val="20"/>
          <w:lang w:val="en-GB"/>
        </w:rPr>
        <w:t>stud</w:t>
      </w:r>
      <w:r w:rsidR="00A3389F">
        <w:rPr>
          <w:rFonts w:cs="Arial"/>
          <w:sz w:val="20"/>
          <w:lang w:val="en-GB"/>
        </w:rPr>
        <w:t>ies, namely</w:t>
      </w:r>
      <w:r w:rsidR="00A3389F" w:rsidRPr="00FB41EA">
        <w:rPr>
          <w:rFonts w:cs="Arial"/>
          <w:sz w:val="20"/>
          <w:lang w:val="en-GB"/>
        </w:rPr>
        <w:t xml:space="preserve"> </w:t>
      </w:r>
      <w:r w:rsidRPr="00FB41EA">
        <w:rPr>
          <w:rFonts w:cs="Arial"/>
          <w:sz w:val="20"/>
          <w:lang w:val="en-GB"/>
        </w:rPr>
        <w:t xml:space="preserve">that </w:t>
      </w:r>
      <w:r w:rsidRPr="00C236D1">
        <w:rPr>
          <w:b/>
          <w:color w:val="81BC00"/>
          <w:sz w:val="20"/>
          <w:lang w:val="en-GB"/>
        </w:rPr>
        <w:t xml:space="preserve">investments in economic development </w:t>
      </w:r>
      <w:r w:rsidR="00A3389F" w:rsidRPr="00C236D1">
        <w:rPr>
          <w:b/>
          <w:color w:val="81BC00"/>
          <w:sz w:val="20"/>
          <w:lang w:val="en-GB"/>
        </w:rPr>
        <w:t>often have</w:t>
      </w:r>
      <w:r w:rsidRPr="00C236D1">
        <w:rPr>
          <w:b/>
          <w:color w:val="81BC00"/>
          <w:sz w:val="20"/>
          <w:lang w:val="en-GB"/>
        </w:rPr>
        <w:t xml:space="preserve"> a negative impact on the </w:t>
      </w:r>
      <w:r w:rsidR="000201E5">
        <w:rPr>
          <w:b/>
          <w:color w:val="81BC00"/>
          <w:sz w:val="20"/>
          <w:lang w:val="en-GB"/>
        </w:rPr>
        <w:t>natural</w:t>
      </w:r>
      <w:r w:rsidRPr="00C236D1">
        <w:rPr>
          <w:b/>
          <w:color w:val="81BC00"/>
          <w:sz w:val="20"/>
          <w:lang w:val="en-GB"/>
        </w:rPr>
        <w:t xml:space="preserve"> capital resources (and vice versa)</w:t>
      </w:r>
      <w:r w:rsidRPr="00FB41EA">
        <w:rPr>
          <w:rFonts w:cs="Arial"/>
          <w:sz w:val="20"/>
          <w:lang w:val="en-GB"/>
        </w:rPr>
        <w:t>.</w:t>
      </w:r>
      <w:r>
        <w:rPr>
          <w:rFonts w:cs="Arial"/>
          <w:sz w:val="20"/>
          <w:lang w:val="en-GB"/>
        </w:rPr>
        <w:t xml:space="preserve"> </w:t>
      </w:r>
      <w:r w:rsidR="00C236D1">
        <w:rPr>
          <w:rFonts w:cs="Arial"/>
          <w:sz w:val="20"/>
          <w:lang w:val="en-GB"/>
        </w:rPr>
        <w:t xml:space="preserve">It </w:t>
      </w:r>
      <w:proofErr w:type="gramStart"/>
      <w:r w:rsidR="00856273">
        <w:rPr>
          <w:rFonts w:cs="Arial"/>
          <w:sz w:val="20"/>
          <w:lang w:val="en-GB"/>
        </w:rPr>
        <w:t>was</w:t>
      </w:r>
      <w:r w:rsidR="00C236D1">
        <w:rPr>
          <w:rFonts w:cs="Arial"/>
          <w:sz w:val="20"/>
          <w:lang w:val="en-GB"/>
        </w:rPr>
        <w:t xml:space="preserve"> also established</w:t>
      </w:r>
      <w:proofErr w:type="gramEnd"/>
      <w:r w:rsidR="00C236D1">
        <w:rPr>
          <w:rFonts w:cs="Arial"/>
          <w:sz w:val="20"/>
          <w:lang w:val="en-GB"/>
        </w:rPr>
        <w:t xml:space="preserve"> that the development in all problem territories (except </w:t>
      </w:r>
      <w:proofErr w:type="spellStart"/>
      <w:r w:rsidR="00C236D1">
        <w:rPr>
          <w:rFonts w:cs="Arial"/>
          <w:sz w:val="20"/>
          <w:lang w:val="en-GB"/>
        </w:rPr>
        <w:t>Druskininkai</w:t>
      </w:r>
      <w:proofErr w:type="spellEnd"/>
      <w:r w:rsidR="00C236D1">
        <w:rPr>
          <w:rFonts w:cs="Arial"/>
          <w:sz w:val="20"/>
          <w:lang w:val="en-GB"/>
        </w:rPr>
        <w:t xml:space="preserve">) during </w:t>
      </w:r>
      <w:r w:rsidR="00C236D1" w:rsidRPr="00FB41EA">
        <w:rPr>
          <w:rFonts w:cs="Arial"/>
          <w:sz w:val="20"/>
          <w:lang w:val="en-GB"/>
        </w:rPr>
        <w:t xml:space="preserve">2007–2013 </w:t>
      </w:r>
      <w:r w:rsidR="00C236D1">
        <w:rPr>
          <w:rFonts w:cs="Arial"/>
          <w:sz w:val="20"/>
          <w:lang w:val="en-GB"/>
        </w:rPr>
        <w:t>was not sustainable</w:t>
      </w:r>
      <w:r w:rsidR="00764900" w:rsidRPr="00FB41EA">
        <w:rPr>
          <w:rFonts w:cs="Arial"/>
          <w:sz w:val="20"/>
          <w:lang w:val="en-GB"/>
        </w:rPr>
        <w:t>.</w:t>
      </w:r>
      <w:r w:rsidR="00764900" w:rsidRPr="00FB41EA">
        <w:rPr>
          <w:b/>
          <w:color w:val="81BC00"/>
          <w:sz w:val="20"/>
          <w:lang w:val="en-GB"/>
        </w:rPr>
        <w:t xml:space="preserve"> </w:t>
      </w:r>
      <w:r w:rsidR="00C236D1" w:rsidRPr="00C236D1">
        <w:rPr>
          <w:b/>
          <w:color w:val="81BC00"/>
          <w:sz w:val="20"/>
          <w:lang w:val="en-GB"/>
        </w:rPr>
        <w:t xml:space="preserve">Sustainable development </w:t>
      </w:r>
      <w:r w:rsidR="0022456F">
        <w:rPr>
          <w:b/>
          <w:color w:val="81BC00"/>
          <w:sz w:val="20"/>
          <w:lang w:val="en-GB"/>
        </w:rPr>
        <w:t xml:space="preserve">of the </w:t>
      </w:r>
      <w:r w:rsidR="0022456F" w:rsidRPr="00C236D1">
        <w:rPr>
          <w:b/>
          <w:color w:val="81BC00"/>
          <w:sz w:val="20"/>
          <w:lang w:val="en-GB"/>
        </w:rPr>
        <w:t>municipal</w:t>
      </w:r>
      <w:r w:rsidR="0022456F">
        <w:rPr>
          <w:b/>
          <w:color w:val="81BC00"/>
          <w:sz w:val="20"/>
          <w:lang w:val="en-GB"/>
        </w:rPr>
        <w:t>ities</w:t>
      </w:r>
      <w:r w:rsidR="0022456F" w:rsidRPr="00C236D1">
        <w:rPr>
          <w:b/>
          <w:color w:val="81BC00"/>
          <w:sz w:val="20"/>
          <w:lang w:val="en-GB"/>
        </w:rPr>
        <w:t xml:space="preserve"> </w:t>
      </w:r>
      <w:r w:rsidR="0022456F">
        <w:rPr>
          <w:b/>
          <w:color w:val="81BC00"/>
          <w:sz w:val="20"/>
          <w:lang w:val="en-GB"/>
        </w:rPr>
        <w:t>according to</w:t>
      </w:r>
      <w:r w:rsidR="00C236D1" w:rsidRPr="00C236D1">
        <w:rPr>
          <w:b/>
          <w:color w:val="81BC00"/>
          <w:sz w:val="20"/>
          <w:lang w:val="en-GB"/>
        </w:rPr>
        <w:t xml:space="preserve"> the environment</w:t>
      </w:r>
      <w:r w:rsidR="0022456F">
        <w:rPr>
          <w:b/>
          <w:color w:val="81BC00"/>
          <w:sz w:val="20"/>
          <w:lang w:val="en-GB"/>
        </w:rPr>
        <w:t>al</w:t>
      </w:r>
      <w:r w:rsidR="00C236D1" w:rsidRPr="00C236D1">
        <w:rPr>
          <w:b/>
          <w:color w:val="81BC00"/>
          <w:sz w:val="20"/>
          <w:lang w:val="en-GB"/>
        </w:rPr>
        <w:t xml:space="preserve">, economic and social parameters </w:t>
      </w:r>
      <w:proofErr w:type="gramStart"/>
      <w:r w:rsidR="0022456F">
        <w:rPr>
          <w:b/>
          <w:color w:val="81BC00"/>
          <w:sz w:val="20"/>
          <w:lang w:val="en-GB"/>
        </w:rPr>
        <w:t xml:space="preserve">is </w:t>
      </w:r>
      <w:r w:rsidR="00C236D1" w:rsidRPr="00C236D1">
        <w:rPr>
          <w:b/>
          <w:color w:val="81BC00"/>
          <w:sz w:val="20"/>
          <w:lang w:val="en-GB"/>
        </w:rPr>
        <w:t>ensure</w:t>
      </w:r>
      <w:r w:rsidR="0022456F">
        <w:rPr>
          <w:b/>
          <w:color w:val="81BC00"/>
          <w:sz w:val="20"/>
          <w:lang w:val="en-GB"/>
        </w:rPr>
        <w:t>d</w:t>
      </w:r>
      <w:proofErr w:type="gramEnd"/>
      <w:r w:rsidR="00C236D1" w:rsidRPr="00C236D1">
        <w:rPr>
          <w:b/>
          <w:color w:val="81BC00"/>
          <w:sz w:val="20"/>
          <w:lang w:val="en-GB"/>
        </w:rPr>
        <w:t xml:space="preserve"> no</w:t>
      </w:r>
      <w:r w:rsidR="0022456F">
        <w:rPr>
          <w:b/>
          <w:color w:val="81BC00"/>
          <w:sz w:val="20"/>
          <w:lang w:val="en-GB"/>
        </w:rPr>
        <w:t>t by</w:t>
      </w:r>
      <w:r w:rsidR="00C236D1" w:rsidRPr="00C236D1">
        <w:rPr>
          <w:b/>
          <w:color w:val="81BC00"/>
          <w:sz w:val="20"/>
          <w:lang w:val="en-GB"/>
        </w:rPr>
        <w:t xml:space="preserve"> </w:t>
      </w:r>
      <w:r w:rsidR="0022456F">
        <w:rPr>
          <w:b/>
          <w:color w:val="81BC00"/>
          <w:sz w:val="20"/>
          <w:lang w:val="en-GB"/>
        </w:rPr>
        <w:t>even</w:t>
      </w:r>
      <w:r w:rsidR="00C236D1" w:rsidRPr="00C236D1">
        <w:rPr>
          <w:b/>
          <w:color w:val="81BC00"/>
          <w:sz w:val="20"/>
          <w:lang w:val="en-GB"/>
        </w:rPr>
        <w:t xml:space="preserve"> allocation of funds to different types of capital, but </w:t>
      </w:r>
      <w:r w:rsidR="00E1060D">
        <w:rPr>
          <w:b/>
          <w:color w:val="81BC00"/>
          <w:sz w:val="20"/>
          <w:lang w:val="en-GB"/>
        </w:rPr>
        <w:t xml:space="preserve">by </w:t>
      </w:r>
      <w:r w:rsidR="0022456F">
        <w:rPr>
          <w:b/>
          <w:color w:val="81BC00"/>
          <w:sz w:val="20"/>
          <w:lang w:val="en-GB"/>
        </w:rPr>
        <w:t xml:space="preserve">their </w:t>
      </w:r>
      <w:r w:rsidR="00C236D1" w:rsidRPr="00C236D1">
        <w:rPr>
          <w:b/>
          <w:color w:val="81BC00"/>
          <w:sz w:val="20"/>
          <w:lang w:val="en-GB"/>
        </w:rPr>
        <w:t>purposeful utili</w:t>
      </w:r>
      <w:r w:rsidR="0022456F">
        <w:rPr>
          <w:b/>
          <w:color w:val="81BC00"/>
          <w:sz w:val="20"/>
          <w:lang w:val="en-GB"/>
        </w:rPr>
        <w:t>s</w:t>
      </w:r>
      <w:r w:rsidR="00C236D1" w:rsidRPr="00C236D1">
        <w:rPr>
          <w:b/>
          <w:color w:val="81BC00"/>
          <w:sz w:val="20"/>
          <w:lang w:val="en-GB"/>
        </w:rPr>
        <w:t>ation.</w:t>
      </w:r>
      <w:r w:rsidR="00C236D1">
        <w:rPr>
          <w:b/>
          <w:color w:val="81BC00"/>
          <w:sz w:val="20"/>
          <w:lang w:val="en-GB"/>
        </w:rPr>
        <w:t xml:space="preserve"> </w:t>
      </w:r>
    </w:p>
    <w:p w14:paraId="0BF33F34" w14:textId="75E0D83B" w:rsidR="003A5E4F" w:rsidRPr="00FB41EA" w:rsidRDefault="00764900" w:rsidP="003A5E4F">
      <w:pPr>
        <w:autoSpaceDE w:val="0"/>
        <w:autoSpaceDN w:val="0"/>
        <w:adjustRightInd w:val="0"/>
        <w:spacing w:before="120" w:after="0" w:line="240" w:lineRule="auto"/>
        <w:jc w:val="both"/>
        <w:rPr>
          <w:b/>
          <w:color w:val="81BC00"/>
          <w:sz w:val="20"/>
          <w:lang w:val="en-GB"/>
        </w:rPr>
      </w:pPr>
      <w:r w:rsidRPr="00FB41EA">
        <w:rPr>
          <w:b/>
          <w:color w:val="81BC00"/>
          <w:sz w:val="20"/>
          <w:lang w:val="en-GB"/>
        </w:rPr>
        <w:t xml:space="preserve">9.2.2. </w:t>
      </w:r>
      <w:r w:rsidR="0022456F">
        <w:rPr>
          <w:b/>
          <w:color w:val="81BC00"/>
          <w:sz w:val="20"/>
          <w:lang w:val="en-GB"/>
        </w:rPr>
        <w:t>What is the rate of</w:t>
      </w:r>
      <w:r w:rsidRPr="00FB41EA">
        <w:rPr>
          <w:b/>
          <w:color w:val="81BC00"/>
          <w:sz w:val="20"/>
          <w:lang w:val="en-GB"/>
        </w:rPr>
        <w:t xml:space="preserve"> </w:t>
      </w:r>
      <w:r w:rsidR="0022456F">
        <w:rPr>
          <w:b/>
          <w:color w:val="81BC00"/>
          <w:sz w:val="20"/>
          <w:lang w:val="en-GB"/>
        </w:rPr>
        <w:t xml:space="preserve">strategic context indicators </w:t>
      </w:r>
      <w:r w:rsidR="009E0BDE">
        <w:rPr>
          <w:b/>
          <w:color w:val="81BC00"/>
          <w:sz w:val="20"/>
          <w:lang w:val="en-GB"/>
        </w:rPr>
        <w:t>of s</w:t>
      </w:r>
      <w:r w:rsidR="009E0BDE" w:rsidRPr="00FC2124">
        <w:rPr>
          <w:b/>
          <w:color w:val="81BC00"/>
          <w:sz w:val="20"/>
          <w:lang w:val="en-GB"/>
        </w:rPr>
        <w:t>ustainable development</w:t>
      </w:r>
      <w:r w:rsidR="009E0BDE">
        <w:rPr>
          <w:b/>
          <w:color w:val="81BC00"/>
          <w:sz w:val="20"/>
          <w:lang w:val="en-GB"/>
        </w:rPr>
        <w:t>,</w:t>
      </w:r>
      <w:r w:rsidR="009E0BDE" w:rsidRPr="00FC2124">
        <w:rPr>
          <w:b/>
          <w:color w:val="81BC00"/>
          <w:sz w:val="20"/>
          <w:lang w:val="en-GB"/>
        </w:rPr>
        <w:t xml:space="preserve"> </w:t>
      </w:r>
      <w:r w:rsidR="0022456F">
        <w:rPr>
          <w:b/>
          <w:color w:val="81BC00"/>
          <w:sz w:val="20"/>
          <w:lang w:val="en-GB"/>
        </w:rPr>
        <w:t xml:space="preserve">achieved </w:t>
      </w:r>
      <w:r w:rsidR="00FC2124">
        <w:rPr>
          <w:b/>
          <w:color w:val="81BC00"/>
          <w:sz w:val="20"/>
          <w:lang w:val="en-GB"/>
        </w:rPr>
        <w:t xml:space="preserve">during </w:t>
      </w:r>
      <w:r w:rsidRPr="00FB41EA">
        <w:rPr>
          <w:b/>
          <w:color w:val="81BC00"/>
          <w:sz w:val="20"/>
          <w:lang w:val="en-GB"/>
        </w:rPr>
        <w:t>2007–2013</w:t>
      </w:r>
      <w:r w:rsidR="00FC2124">
        <w:rPr>
          <w:b/>
          <w:color w:val="81BC00"/>
          <w:sz w:val="20"/>
          <w:lang w:val="en-GB"/>
        </w:rPr>
        <w:t>, as provided by operational programmes</w:t>
      </w:r>
      <w:r w:rsidRPr="00FB41EA">
        <w:rPr>
          <w:b/>
          <w:color w:val="81BC00"/>
          <w:sz w:val="20"/>
          <w:lang w:val="en-GB"/>
        </w:rPr>
        <w:t xml:space="preserve">? </w:t>
      </w:r>
      <w:r w:rsidR="000916A7">
        <w:rPr>
          <w:b/>
          <w:color w:val="81BC00"/>
          <w:sz w:val="20"/>
          <w:lang w:val="en-GB"/>
        </w:rPr>
        <w:t>H</w:t>
      </w:r>
      <w:r w:rsidR="000916A7" w:rsidRPr="00FC2124">
        <w:rPr>
          <w:b/>
          <w:color w:val="81BC00"/>
          <w:sz w:val="20"/>
          <w:lang w:val="en-GB"/>
        </w:rPr>
        <w:t xml:space="preserve">ow and </w:t>
      </w:r>
      <w:r w:rsidR="000916A7">
        <w:rPr>
          <w:b/>
          <w:color w:val="81BC00"/>
          <w:sz w:val="20"/>
          <w:lang w:val="en-GB"/>
        </w:rPr>
        <w:t>t</w:t>
      </w:r>
      <w:r w:rsidR="00FC2124">
        <w:rPr>
          <w:b/>
          <w:color w:val="81BC00"/>
          <w:sz w:val="20"/>
          <w:lang w:val="en-GB"/>
        </w:rPr>
        <w:t>o what extent</w:t>
      </w:r>
      <w:r w:rsidR="00FC2124" w:rsidRPr="00FC2124">
        <w:rPr>
          <w:b/>
          <w:color w:val="81BC00"/>
          <w:sz w:val="20"/>
          <w:lang w:val="en-GB"/>
        </w:rPr>
        <w:t xml:space="preserve"> </w:t>
      </w:r>
      <w:r w:rsidR="00FC2124">
        <w:rPr>
          <w:b/>
          <w:color w:val="81BC00"/>
          <w:sz w:val="20"/>
          <w:lang w:val="en-GB"/>
        </w:rPr>
        <w:t>did</w:t>
      </w:r>
      <w:r w:rsidR="000916A7">
        <w:rPr>
          <w:b/>
          <w:color w:val="81BC00"/>
          <w:sz w:val="20"/>
          <w:lang w:val="en-GB"/>
        </w:rPr>
        <w:t xml:space="preserve"> the</w:t>
      </w:r>
      <w:r w:rsidR="00FC2124">
        <w:rPr>
          <w:b/>
          <w:color w:val="81BC00"/>
          <w:sz w:val="20"/>
          <w:lang w:val="en-GB"/>
        </w:rPr>
        <w:t xml:space="preserve"> </w:t>
      </w:r>
      <w:r w:rsidR="000916A7" w:rsidRPr="00FC2124">
        <w:rPr>
          <w:b/>
          <w:color w:val="81BC00"/>
          <w:sz w:val="20"/>
          <w:lang w:val="en-GB"/>
        </w:rPr>
        <w:t>implementation of operational program</w:t>
      </w:r>
      <w:r w:rsidR="000916A7">
        <w:rPr>
          <w:b/>
          <w:color w:val="81BC00"/>
          <w:sz w:val="20"/>
          <w:lang w:val="en-GB"/>
        </w:rPr>
        <w:t>me</w:t>
      </w:r>
      <w:r w:rsidR="000916A7" w:rsidRPr="00FC2124">
        <w:rPr>
          <w:b/>
          <w:color w:val="81BC00"/>
          <w:sz w:val="20"/>
          <w:lang w:val="en-GB"/>
        </w:rPr>
        <w:t>s</w:t>
      </w:r>
      <w:r w:rsidR="000916A7">
        <w:rPr>
          <w:b/>
          <w:color w:val="81BC00"/>
          <w:sz w:val="20"/>
          <w:lang w:val="en-GB"/>
        </w:rPr>
        <w:t xml:space="preserve"> of </w:t>
      </w:r>
      <w:r w:rsidR="000916A7" w:rsidRPr="00FB41EA">
        <w:rPr>
          <w:b/>
          <w:color w:val="81BC00"/>
          <w:sz w:val="20"/>
          <w:lang w:val="en-GB"/>
        </w:rPr>
        <w:t xml:space="preserve">2007–2013 </w:t>
      </w:r>
      <w:r w:rsidR="000916A7">
        <w:rPr>
          <w:b/>
          <w:color w:val="81BC00"/>
          <w:sz w:val="20"/>
          <w:lang w:val="en-GB"/>
        </w:rPr>
        <w:t>influence</w:t>
      </w:r>
      <w:r w:rsidR="000916A7" w:rsidRPr="00FC2124">
        <w:rPr>
          <w:b/>
          <w:color w:val="81BC00"/>
          <w:sz w:val="20"/>
          <w:lang w:val="en-GB"/>
        </w:rPr>
        <w:t xml:space="preserve"> </w:t>
      </w:r>
      <w:r w:rsidR="00FC2124">
        <w:rPr>
          <w:b/>
          <w:color w:val="81BC00"/>
          <w:sz w:val="20"/>
          <w:lang w:val="en-GB"/>
        </w:rPr>
        <w:t>t</w:t>
      </w:r>
      <w:r w:rsidR="00FC2124" w:rsidRPr="00FC2124">
        <w:rPr>
          <w:b/>
          <w:color w:val="81BC00"/>
          <w:sz w:val="20"/>
          <w:lang w:val="en-GB"/>
        </w:rPr>
        <w:t>h</w:t>
      </w:r>
      <w:r w:rsidR="00FC2124">
        <w:rPr>
          <w:b/>
          <w:color w:val="81BC00"/>
          <w:sz w:val="20"/>
          <w:lang w:val="en-GB"/>
        </w:rPr>
        <w:t>ose changes</w:t>
      </w:r>
      <w:r w:rsidRPr="00FB41EA">
        <w:rPr>
          <w:b/>
          <w:color w:val="81BC00"/>
          <w:sz w:val="20"/>
          <w:lang w:val="en-GB"/>
        </w:rPr>
        <w:t>?</w:t>
      </w:r>
    </w:p>
    <w:p w14:paraId="0DCC6198" w14:textId="2ACCABEA" w:rsidR="003A5E4F" w:rsidRPr="00FB41EA" w:rsidRDefault="003A5E4F" w:rsidP="003A5E4F">
      <w:pPr>
        <w:autoSpaceDE w:val="0"/>
        <w:autoSpaceDN w:val="0"/>
        <w:adjustRightInd w:val="0"/>
        <w:spacing w:before="120" w:after="0" w:line="240" w:lineRule="auto"/>
        <w:jc w:val="both"/>
        <w:rPr>
          <w:b/>
          <w:color w:val="81BC00"/>
          <w:sz w:val="20"/>
          <w:lang w:val="en-GB"/>
        </w:rPr>
      </w:pPr>
      <w:r w:rsidRPr="00FB41EA">
        <w:rPr>
          <w:b/>
          <w:color w:val="81BC00"/>
          <w:sz w:val="20"/>
          <w:lang w:val="en-GB"/>
        </w:rPr>
        <w:lastRenderedPageBreak/>
        <w:t xml:space="preserve">9.2.3. </w:t>
      </w:r>
      <w:r w:rsidR="000916A7">
        <w:rPr>
          <w:b/>
          <w:color w:val="81BC00"/>
          <w:sz w:val="20"/>
          <w:lang w:val="en-GB"/>
        </w:rPr>
        <w:t xml:space="preserve">What are the results of eco-efficiency indicators? </w:t>
      </w:r>
      <w:r w:rsidR="000916A7" w:rsidRPr="000916A7">
        <w:rPr>
          <w:b/>
          <w:color w:val="81BC00"/>
          <w:sz w:val="20"/>
          <w:lang w:val="en-GB"/>
        </w:rPr>
        <w:t xml:space="preserve">To what extent and how did the operational programmes of 2007–2013 </w:t>
      </w:r>
      <w:proofErr w:type="gramStart"/>
      <w:r w:rsidR="009E0BDE">
        <w:rPr>
          <w:b/>
          <w:color w:val="81BC00"/>
          <w:sz w:val="20"/>
          <w:lang w:val="en-GB"/>
        </w:rPr>
        <w:t>impact</w:t>
      </w:r>
      <w:proofErr w:type="gramEnd"/>
      <w:r w:rsidR="009E0BDE">
        <w:rPr>
          <w:b/>
          <w:color w:val="81BC00"/>
          <w:sz w:val="20"/>
          <w:lang w:val="en-GB"/>
        </w:rPr>
        <w:t xml:space="preserve"> the achievement of </w:t>
      </w:r>
      <w:r w:rsidR="009E0BDE" w:rsidRPr="009E0BDE">
        <w:rPr>
          <w:b/>
          <w:color w:val="81BC00"/>
          <w:sz w:val="20"/>
          <w:lang w:val="en-GB"/>
        </w:rPr>
        <w:t>eco-efficiency indicators</w:t>
      </w:r>
      <w:r w:rsidRPr="00FB41EA">
        <w:rPr>
          <w:b/>
          <w:color w:val="81BC00"/>
          <w:sz w:val="20"/>
          <w:lang w:val="en-GB"/>
        </w:rPr>
        <w:t>?</w:t>
      </w:r>
    </w:p>
    <w:p w14:paraId="74C8C46E" w14:textId="08170B1E" w:rsidR="0049575D" w:rsidRPr="00FB41EA" w:rsidRDefault="009E0BDE" w:rsidP="0049575D">
      <w:pPr>
        <w:autoSpaceDE w:val="0"/>
        <w:autoSpaceDN w:val="0"/>
        <w:adjustRightInd w:val="0"/>
        <w:spacing w:before="120" w:after="0" w:line="240" w:lineRule="auto"/>
        <w:jc w:val="both"/>
        <w:rPr>
          <w:sz w:val="20"/>
          <w:szCs w:val="20"/>
          <w:lang w:val="en-GB"/>
        </w:rPr>
      </w:pPr>
      <w:r w:rsidRPr="009E0BDE">
        <w:rPr>
          <w:sz w:val="20"/>
          <w:szCs w:val="20"/>
          <w:lang w:val="en-GB"/>
        </w:rPr>
        <w:t xml:space="preserve">Sustainable development (including eco-efficiency) and strategic context indicators </w:t>
      </w:r>
      <w:r w:rsidR="004F1C1F">
        <w:rPr>
          <w:sz w:val="20"/>
          <w:szCs w:val="20"/>
          <w:lang w:val="en-GB"/>
        </w:rPr>
        <w:t>were</w:t>
      </w:r>
      <w:r w:rsidRPr="009E0BDE">
        <w:rPr>
          <w:sz w:val="20"/>
          <w:szCs w:val="20"/>
          <w:lang w:val="en-GB"/>
        </w:rPr>
        <w:t xml:space="preserve"> analy</w:t>
      </w:r>
      <w:r w:rsidR="00773244">
        <w:rPr>
          <w:sz w:val="20"/>
          <w:szCs w:val="20"/>
          <w:lang w:val="en-GB"/>
        </w:rPr>
        <w:t>s</w:t>
      </w:r>
      <w:r w:rsidRPr="009E0BDE">
        <w:rPr>
          <w:sz w:val="20"/>
          <w:szCs w:val="20"/>
          <w:lang w:val="en-GB"/>
        </w:rPr>
        <w:t xml:space="preserve">ed according to </w:t>
      </w:r>
      <w:r w:rsidR="004F1C1F">
        <w:rPr>
          <w:sz w:val="20"/>
          <w:szCs w:val="20"/>
          <w:lang w:val="en-GB"/>
        </w:rPr>
        <w:t xml:space="preserve">the </w:t>
      </w:r>
      <w:r w:rsidRPr="009E0BDE">
        <w:rPr>
          <w:sz w:val="20"/>
          <w:szCs w:val="20"/>
          <w:lang w:val="en-GB"/>
        </w:rPr>
        <w:t>three operational program</w:t>
      </w:r>
      <w:r w:rsidR="00773244">
        <w:rPr>
          <w:sz w:val="20"/>
          <w:szCs w:val="20"/>
          <w:lang w:val="en-GB"/>
        </w:rPr>
        <w:t>me</w:t>
      </w:r>
      <w:r w:rsidRPr="009E0BDE">
        <w:rPr>
          <w:sz w:val="20"/>
          <w:szCs w:val="20"/>
          <w:lang w:val="en-GB"/>
        </w:rPr>
        <w:t xml:space="preserve">s: </w:t>
      </w:r>
      <w:r w:rsidR="00773244" w:rsidRPr="00773244">
        <w:rPr>
          <w:sz w:val="20"/>
          <w:szCs w:val="20"/>
          <w:lang w:val="en-GB"/>
        </w:rPr>
        <w:t>OPDHR</w:t>
      </w:r>
      <w:r w:rsidRPr="009E0BDE">
        <w:rPr>
          <w:sz w:val="20"/>
          <w:szCs w:val="20"/>
          <w:lang w:val="en-GB"/>
        </w:rPr>
        <w:t xml:space="preserve">, </w:t>
      </w:r>
      <w:r w:rsidR="00773244">
        <w:rPr>
          <w:sz w:val="20"/>
          <w:szCs w:val="20"/>
          <w:lang w:val="en-GB"/>
        </w:rPr>
        <w:t>OPEG</w:t>
      </w:r>
      <w:r w:rsidRPr="009E0BDE">
        <w:rPr>
          <w:sz w:val="20"/>
          <w:szCs w:val="20"/>
          <w:lang w:val="en-GB"/>
        </w:rPr>
        <w:t xml:space="preserve"> and </w:t>
      </w:r>
      <w:r w:rsidR="00773244">
        <w:rPr>
          <w:sz w:val="20"/>
          <w:szCs w:val="20"/>
          <w:lang w:val="en-GB"/>
        </w:rPr>
        <w:t>OPPC</w:t>
      </w:r>
      <w:r w:rsidRPr="009E0BDE">
        <w:rPr>
          <w:sz w:val="20"/>
          <w:szCs w:val="20"/>
          <w:lang w:val="en-GB"/>
        </w:rPr>
        <w:t>.</w:t>
      </w:r>
      <w:r w:rsidR="00773244">
        <w:rPr>
          <w:sz w:val="20"/>
          <w:szCs w:val="20"/>
          <w:lang w:val="en-GB"/>
        </w:rPr>
        <w:t xml:space="preserve"> </w:t>
      </w:r>
    </w:p>
    <w:p w14:paraId="5524A359" w14:textId="12E85FED" w:rsidR="001A035B" w:rsidRPr="00FB41EA" w:rsidRDefault="00681CA4" w:rsidP="00AC6BA6">
      <w:pPr>
        <w:autoSpaceDE w:val="0"/>
        <w:autoSpaceDN w:val="0"/>
        <w:adjustRightInd w:val="0"/>
        <w:spacing w:before="120" w:after="0" w:line="240" w:lineRule="auto"/>
        <w:jc w:val="both"/>
        <w:rPr>
          <w:b/>
          <w:sz w:val="20"/>
          <w:szCs w:val="20"/>
          <w:lang w:val="en-GB"/>
        </w:rPr>
      </w:pPr>
      <w:r w:rsidRPr="00681CA4">
        <w:rPr>
          <w:sz w:val="20"/>
          <w:szCs w:val="20"/>
          <w:lang w:val="en-GB"/>
        </w:rPr>
        <w:t>In the case of</w:t>
      </w:r>
      <w:r w:rsidR="004F1C1F">
        <w:rPr>
          <w:sz w:val="20"/>
          <w:szCs w:val="20"/>
          <w:lang w:val="en-GB"/>
        </w:rPr>
        <w:t xml:space="preserve"> </w:t>
      </w:r>
      <w:r w:rsidRPr="00681CA4">
        <w:rPr>
          <w:b/>
          <w:sz w:val="20"/>
          <w:szCs w:val="20"/>
          <w:lang w:val="en-GB"/>
        </w:rPr>
        <w:t>OPDHR</w:t>
      </w:r>
      <w:r w:rsidRPr="00681CA4">
        <w:rPr>
          <w:sz w:val="20"/>
          <w:szCs w:val="20"/>
          <w:lang w:val="en-GB"/>
        </w:rPr>
        <w:t xml:space="preserve">, all four priorities were assessed: </w:t>
      </w:r>
      <w:proofErr w:type="gramStart"/>
      <w:r w:rsidR="0049575D" w:rsidRPr="00FB41EA">
        <w:rPr>
          <w:sz w:val="20"/>
          <w:szCs w:val="20"/>
          <w:lang w:val="en-GB"/>
        </w:rPr>
        <w:t>1</w:t>
      </w:r>
      <w:proofErr w:type="gramEnd"/>
      <w:r w:rsidR="0049575D" w:rsidRPr="00FB41EA">
        <w:rPr>
          <w:sz w:val="20"/>
          <w:szCs w:val="20"/>
          <w:lang w:val="en-GB"/>
        </w:rPr>
        <w:t xml:space="preserve"> </w:t>
      </w:r>
      <w:r>
        <w:rPr>
          <w:sz w:val="20"/>
          <w:szCs w:val="20"/>
          <w:lang w:val="en-GB"/>
        </w:rPr>
        <w:t>priority</w:t>
      </w:r>
      <w:r w:rsidR="00D8776D">
        <w:rPr>
          <w:sz w:val="20"/>
          <w:szCs w:val="20"/>
          <w:lang w:val="en-GB"/>
        </w:rPr>
        <w:t>, “</w:t>
      </w:r>
      <w:r w:rsidRPr="00681CA4">
        <w:rPr>
          <w:sz w:val="20"/>
          <w:szCs w:val="20"/>
          <w:lang w:val="en-GB"/>
        </w:rPr>
        <w:t xml:space="preserve">Quality </w:t>
      </w:r>
      <w:r>
        <w:rPr>
          <w:sz w:val="20"/>
          <w:szCs w:val="20"/>
          <w:lang w:val="en-GB"/>
        </w:rPr>
        <w:t>E</w:t>
      </w:r>
      <w:r w:rsidRPr="00681CA4">
        <w:rPr>
          <w:sz w:val="20"/>
          <w:szCs w:val="20"/>
          <w:lang w:val="en-GB"/>
        </w:rPr>
        <w:t xml:space="preserve">mployment and </w:t>
      </w:r>
      <w:r>
        <w:rPr>
          <w:sz w:val="20"/>
          <w:szCs w:val="20"/>
          <w:lang w:val="en-GB"/>
        </w:rPr>
        <w:t>S</w:t>
      </w:r>
      <w:r w:rsidRPr="00681CA4">
        <w:rPr>
          <w:sz w:val="20"/>
          <w:szCs w:val="20"/>
          <w:lang w:val="en-GB"/>
        </w:rPr>
        <w:t xml:space="preserve">ocial </w:t>
      </w:r>
      <w:r>
        <w:rPr>
          <w:sz w:val="20"/>
          <w:szCs w:val="20"/>
          <w:lang w:val="en-GB"/>
        </w:rPr>
        <w:t>I</w:t>
      </w:r>
      <w:r w:rsidRPr="00681CA4">
        <w:rPr>
          <w:sz w:val="20"/>
          <w:szCs w:val="20"/>
          <w:lang w:val="en-GB"/>
        </w:rPr>
        <w:t>nclusion</w:t>
      </w:r>
      <w:r>
        <w:rPr>
          <w:sz w:val="20"/>
          <w:szCs w:val="20"/>
          <w:lang w:val="en-GB"/>
        </w:rPr>
        <w:t>”;</w:t>
      </w:r>
      <w:r w:rsidR="0049575D" w:rsidRPr="00FB41EA">
        <w:rPr>
          <w:sz w:val="20"/>
          <w:szCs w:val="20"/>
          <w:lang w:val="en-GB"/>
        </w:rPr>
        <w:t xml:space="preserve"> 2 </w:t>
      </w:r>
      <w:r w:rsidR="00D8776D" w:rsidRPr="00D8776D">
        <w:rPr>
          <w:sz w:val="20"/>
          <w:szCs w:val="20"/>
          <w:lang w:val="en-GB"/>
        </w:rPr>
        <w:t>priority, “Lifelong Learning</w:t>
      </w:r>
      <w:r w:rsidR="00D8776D">
        <w:rPr>
          <w:sz w:val="20"/>
          <w:szCs w:val="20"/>
          <w:lang w:val="en-US"/>
        </w:rPr>
        <w:t>”</w:t>
      </w:r>
      <w:r w:rsidR="00D8776D">
        <w:rPr>
          <w:sz w:val="20"/>
          <w:szCs w:val="20"/>
          <w:lang w:val="en-GB"/>
        </w:rPr>
        <w:t>;</w:t>
      </w:r>
      <w:r w:rsidR="0049575D" w:rsidRPr="00FB41EA">
        <w:rPr>
          <w:sz w:val="20"/>
          <w:szCs w:val="20"/>
          <w:lang w:val="en-GB"/>
        </w:rPr>
        <w:t xml:space="preserve"> 3 </w:t>
      </w:r>
      <w:r w:rsidR="00D8776D" w:rsidRPr="00D8776D">
        <w:rPr>
          <w:sz w:val="20"/>
          <w:szCs w:val="20"/>
          <w:lang w:val="en-GB"/>
        </w:rPr>
        <w:t>priority, “Research Capacity Building</w:t>
      </w:r>
      <w:r w:rsidR="00D8776D">
        <w:rPr>
          <w:sz w:val="20"/>
          <w:szCs w:val="20"/>
          <w:lang w:val="en-GB"/>
        </w:rPr>
        <w:t xml:space="preserve">”; </w:t>
      </w:r>
      <w:r w:rsidR="0049575D" w:rsidRPr="00FB41EA">
        <w:rPr>
          <w:sz w:val="20"/>
          <w:szCs w:val="20"/>
          <w:lang w:val="en-GB"/>
        </w:rPr>
        <w:t xml:space="preserve">4 </w:t>
      </w:r>
      <w:r w:rsidR="00D8776D" w:rsidRPr="00D8776D">
        <w:rPr>
          <w:sz w:val="20"/>
          <w:szCs w:val="20"/>
          <w:lang w:val="en-GB"/>
        </w:rPr>
        <w:t>priority, “</w:t>
      </w:r>
      <w:r w:rsidR="00D8776D">
        <w:rPr>
          <w:sz w:val="20"/>
          <w:szCs w:val="20"/>
          <w:lang w:val="en-GB"/>
        </w:rPr>
        <w:t xml:space="preserve">Increasing </w:t>
      </w:r>
      <w:r w:rsidR="00D8776D" w:rsidRPr="00D8776D">
        <w:rPr>
          <w:sz w:val="20"/>
          <w:szCs w:val="20"/>
          <w:lang w:val="en-GB"/>
        </w:rPr>
        <w:t xml:space="preserve">Administrative </w:t>
      </w:r>
      <w:r w:rsidR="00D8776D">
        <w:rPr>
          <w:sz w:val="20"/>
          <w:szCs w:val="20"/>
          <w:lang w:val="en-GB"/>
        </w:rPr>
        <w:t>C</w:t>
      </w:r>
      <w:r w:rsidR="00D8776D" w:rsidRPr="00D8776D">
        <w:rPr>
          <w:sz w:val="20"/>
          <w:szCs w:val="20"/>
          <w:lang w:val="en-GB"/>
        </w:rPr>
        <w:t xml:space="preserve">apacity and </w:t>
      </w:r>
      <w:r w:rsidR="00DB12C5">
        <w:rPr>
          <w:sz w:val="20"/>
          <w:szCs w:val="20"/>
          <w:lang w:val="en-GB"/>
        </w:rPr>
        <w:t>E</w:t>
      </w:r>
      <w:r w:rsidR="00D8776D" w:rsidRPr="00D8776D">
        <w:rPr>
          <w:sz w:val="20"/>
          <w:szCs w:val="20"/>
          <w:lang w:val="en-GB"/>
        </w:rPr>
        <w:t xml:space="preserve">fficiency of </w:t>
      </w:r>
      <w:r w:rsidR="00DB12C5">
        <w:rPr>
          <w:sz w:val="20"/>
          <w:szCs w:val="20"/>
          <w:lang w:val="en-GB"/>
        </w:rPr>
        <w:t>P</w:t>
      </w:r>
      <w:r w:rsidR="00D8776D" w:rsidRPr="00D8776D">
        <w:rPr>
          <w:sz w:val="20"/>
          <w:szCs w:val="20"/>
          <w:lang w:val="en-GB"/>
        </w:rPr>
        <w:t xml:space="preserve">ublic </w:t>
      </w:r>
      <w:r w:rsidR="00DB12C5">
        <w:rPr>
          <w:sz w:val="20"/>
          <w:szCs w:val="20"/>
          <w:lang w:val="en-GB"/>
        </w:rPr>
        <w:t>A</w:t>
      </w:r>
      <w:r w:rsidR="00D8776D" w:rsidRPr="00D8776D">
        <w:rPr>
          <w:sz w:val="20"/>
          <w:szCs w:val="20"/>
          <w:lang w:val="en-GB"/>
        </w:rPr>
        <w:t>dministration</w:t>
      </w:r>
      <w:r w:rsidR="00DB12C5">
        <w:rPr>
          <w:sz w:val="20"/>
          <w:szCs w:val="20"/>
          <w:lang w:val="en-GB"/>
        </w:rPr>
        <w:t>.”</w:t>
      </w:r>
    </w:p>
    <w:p w14:paraId="799B830B" w14:textId="048CF151" w:rsidR="00AC6BA6" w:rsidRPr="00FB41EA" w:rsidRDefault="00DB12C5" w:rsidP="003A5E4F">
      <w:pPr>
        <w:autoSpaceDE w:val="0"/>
        <w:autoSpaceDN w:val="0"/>
        <w:adjustRightInd w:val="0"/>
        <w:spacing w:before="120" w:after="0" w:line="240" w:lineRule="auto"/>
        <w:jc w:val="both"/>
        <w:rPr>
          <w:sz w:val="20"/>
          <w:szCs w:val="20"/>
          <w:lang w:val="en-GB"/>
        </w:rPr>
      </w:pPr>
      <w:r>
        <w:rPr>
          <w:sz w:val="20"/>
          <w:szCs w:val="20"/>
          <w:lang w:val="en-GB"/>
        </w:rPr>
        <w:t xml:space="preserve">The Evaluation </w:t>
      </w:r>
      <w:r w:rsidR="00B4033D">
        <w:rPr>
          <w:sz w:val="20"/>
          <w:szCs w:val="20"/>
          <w:lang w:val="en-GB"/>
        </w:rPr>
        <w:t>confirms</w:t>
      </w:r>
      <w:r>
        <w:rPr>
          <w:sz w:val="20"/>
          <w:szCs w:val="20"/>
          <w:lang w:val="en-GB"/>
        </w:rPr>
        <w:t xml:space="preserve"> </w:t>
      </w:r>
      <w:r w:rsidR="00A15EA3">
        <w:rPr>
          <w:sz w:val="20"/>
          <w:szCs w:val="20"/>
          <w:lang w:val="en-GB"/>
        </w:rPr>
        <w:t xml:space="preserve">the conclusions of </w:t>
      </w:r>
      <w:proofErr w:type="gramStart"/>
      <w:r w:rsidRPr="00DB12C5">
        <w:rPr>
          <w:sz w:val="20"/>
          <w:szCs w:val="20"/>
          <w:lang w:val="en-GB"/>
        </w:rPr>
        <w:t>previously</w:t>
      </w:r>
      <w:r w:rsidR="00A15EA3">
        <w:rPr>
          <w:sz w:val="20"/>
          <w:szCs w:val="20"/>
          <w:lang w:val="en-GB"/>
        </w:rPr>
        <w:t>-</w:t>
      </w:r>
      <w:r w:rsidRPr="00DB12C5">
        <w:rPr>
          <w:sz w:val="20"/>
          <w:szCs w:val="20"/>
          <w:lang w:val="en-GB"/>
        </w:rPr>
        <w:t>conducted</w:t>
      </w:r>
      <w:proofErr w:type="gramEnd"/>
      <w:r w:rsidRPr="00DB12C5">
        <w:rPr>
          <w:sz w:val="20"/>
          <w:szCs w:val="20"/>
          <w:lang w:val="en-GB"/>
        </w:rPr>
        <w:t xml:space="preserve"> EU structural </w:t>
      </w:r>
      <w:r>
        <w:rPr>
          <w:sz w:val="20"/>
          <w:szCs w:val="20"/>
          <w:lang w:val="en-GB"/>
        </w:rPr>
        <w:t>assistance</w:t>
      </w:r>
      <w:r w:rsidRPr="00DB12C5">
        <w:rPr>
          <w:sz w:val="20"/>
          <w:szCs w:val="20"/>
          <w:lang w:val="en-GB"/>
        </w:rPr>
        <w:t xml:space="preserve"> impact assessment repor</w:t>
      </w:r>
      <w:r w:rsidR="00A15EA3">
        <w:rPr>
          <w:sz w:val="20"/>
          <w:szCs w:val="20"/>
          <w:lang w:val="en-GB"/>
        </w:rPr>
        <w:t>ts, which state</w:t>
      </w:r>
      <w:r w:rsidRPr="00DB12C5">
        <w:rPr>
          <w:sz w:val="20"/>
          <w:szCs w:val="20"/>
          <w:lang w:val="en-GB"/>
        </w:rPr>
        <w:t xml:space="preserve"> that the EU </w:t>
      </w:r>
      <w:r w:rsidR="00A15EA3">
        <w:rPr>
          <w:sz w:val="20"/>
          <w:szCs w:val="20"/>
          <w:lang w:val="en-GB"/>
        </w:rPr>
        <w:t>s</w:t>
      </w:r>
      <w:r w:rsidRPr="00DB12C5">
        <w:rPr>
          <w:sz w:val="20"/>
          <w:szCs w:val="20"/>
          <w:lang w:val="en-GB"/>
        </w:rPr>
        <w:t xml:space="preserve">tructural </w:t>
      </w:r>
      <w:r w:rsidR="00A15EA3">
        <w:rPr>
          <w:sz w:val="20"/>
          <w:szCs w:val="20"/>
          <w:lang w:val="en-GB"/>
        </w:rPr>
        <w:t>assistance</w:t>
      </w:r>
      <w:r w:rsidRPr="00DB12C5">
        <w:rPr>
          <w:sz w:val="20"/>
          <w:szCs w:val="20"/>
          <w:lang w:val="en-GB"/>
        </w:rPr>
        <w:t xml:space="preserve"> had a positive impact on long-term unemployment and a general decline in the unemployment rate in Lithuania.</w:t>
      </w:r>
      <w:r>
        <w:rPr>
          <w:sz w:val="20"/>
          <w:szCs w:val="20"/>
          <w:lang w:val="en-GB"/>
        </w:rPr>
        <w:t xml:space="preserve"> </w:t>
      </w:r>
      <w:r w:rsidR="00B4033D">
        <w:rPr>
          <w:sz w:val="20"/>
          <w:szCs w:val="20"/>
          <w:lang w:val="en-GB"/>
        </w:rPr>
        <w:t xml:space="preserve">Moreover, the EU structural fund investments </w:t>
      </w:r>
      <w:r w:rsidR="00A7181E">
        <w:rPr>
          <w:sz w:val="20"/>
          <w:szCs w:val="20"/>
          <w:lang w:val="en-GB"/>
        </w:rPr>
        <w:t xml:space="preserve">enabled </w:t>
      </w:r>
      <w:r w:rsidR="00025705">
        <w:rPr>
          <w:sz w:val="20"/>
          <w:szCs w:val="20"/>
          <w:lang w:val="en-GB"/>
        </w:rPr>
        <w:t>persons in the category of the long-term unemployed to take active measures of returning to the labour market.</w:t>
      </w:r>
      <w:r w:rsidR="001A035B" w:rsidRPr="00FB41EA">
        <w:rPr>
          <w:sz w:val="20"/>
          <w:szCs w:val="20"/>
          <w:lang w:val="en-GB"/>
        </w:rPr>
        <w:t xml:space="preserve"> </w:t>
      </w:r>
      <w:r w:rsidR="00977AB3">
        <w:rPr>
          <w:sz w:val="20"/>
          <w:szCs w:val="20"/>
          <w:lang w:val="en-GB"/>
        </w:rPr>
        <w:t>T</w:t>
      </w:r>
      <w:r w:rsidR="00977AB3" w:rsidRPr="00977AB3">
        <w:rPr>
          <w:sz w:val="20"/>
          <w:szCs w:val="20"/>
          <w:lang w:val="en-GB"/>
        </w:rPr>
        <w:t>he EU structural assistance had a positive</w:t>
      </w:r>
      <w:r w:rsidR="00977AB3">
        <w:rPr>
          <w:sz w:val="20"/>
          <w:szCs w:val="20"/>
          <w:lang w:val="en-GB"/>
        </w:rPr>
        <w:t xml:space="preserve"> </w:t>
      </w:r>
      <w:r w:rsidR="00977AB3" w:rsidRPr="00977AB3">
        <w:rPr>
          <w:sz w:val="20"/>
          <w:szCs w:val="20"/>
          <w:lang w:val="en-GB"/>
        </w:rPr>
        <w:t xml:space="preserve">impact on </w:t>
      </w:r>
      <w:r w:rsidR="00977AB3">
        <w:rPr>
          <w:sz w:val="20"/>
          <w:szCs w:val="20"/>
          <w:lang w:val="en-GB"/>
        </w:rPr>
        <w:t xml:space="preserve">general employment level. There were no negative impacts of </w:t>
      </w:r>
      <w:r w:rsidR="00977AB3" w:rsidRPr="00977AB3">
        <w:rPr>
          <w:sz w:val="20"/>
          <w:szCs w:val="20"/>
          <w:lang w:val="en-GB"/>
        </w:rPr>
        <w:t>the EU structural assistance</w:t>
      </w:r>
      <w:r w:rsidR="001A035B" w:rsidRPr="00FB41EA">
        <w:rPr>
          <w:sz w:val="20"/>
          <w:szCs w:val="20"/>
          <w:lang w:val="en-GB"/>
        </w:rPr>
        <w:t xml:space="preserve">. </w:t>
      </w:r>
      <w:r w:rsidR="00977AB3">
        <w:rPr>
          <w:sz w:val="20"/>
          <w:szCs w:val="20"/>
          <w:lang w:val="en-GB"/>
        </w:rPr>
        <w:t xml:space="preserve">As for the horizontal priority of sustainable development, </w:t>
      </w:r>
      <w:r w:rsidR="00B862F9">
        <w:rPr>
          <w:sz w:val="20"/>
          <w:szCs w:val="20"/>
          <w:lang w:val="en-GB"/>
        </w:rPr>
        <w:t xml:space="preserve">the support under </w:t>
      </w:r>
      <w:r w:rsidR="00977AB3" w:rsidRPr="00977AB3">
        <w:rPr>
          <w:sz w:val="20"/>
          <w:szCs w:val="20"/>
          <w:lang w:val="en-GB"/>
        </w:rPr>
        <w:t>OPDHR 1 priority, “Quality Employment and Social Inclusion”</w:t>
      </w:r>
      <w:r w:rsidR="00B862F9">
        <w:rPr>
          <w:sz w:val="20"/>
          <w:szCs w:val="20"/>
          <w:lang w:val="en-GB"/>
        </w:rPr>
        <w:t xml:space="preserve">, meets the criteria of investments in the development of human and social capital. </w:t>
      </w:r>
      <w:r w:rsidR="00815718" w:rsidRPr="00815718">
        <w:rPr>
          <w:sz w:val="20"/>
          <w:szCs w:val="20"/>
          <w:lang w:val="en-GB"/>
        </w:rPr>
        <w:t xml:space="preserve">Interpreting </w:t>
      </w:r>
      <w:r w:rsidR="00C56648">
        <w:rPr>
          <w:sz w:val="20"/>
          <w:szCs w:val="20"/>
          <w:lang w:val="en-GB"/>
        </w:rPr>
        <w:t xml:space="preserve">the </w:t>
      </w:r>
      <w:r w:rsidR="00815718" w:rsidRPr="00815718">
        <w:rPr>
          <w:sz w:val="20"/>
          <w:szCs w:val="20"/>
          <w:lang w:val="en-GB"/>
        </w:rPr>
        <w:t xml:space="preserve">data collected and </w:t>
      </w:r>
      <w:r w:rsidR="00815718">
        <w:rPr>
          <w:sz w:val="20"/>
          <w:szCs w:val="20"/>
          <w:lang w:val="en-GB"/>
        </w:rPr>
        <w:t>the results of analysis performed</w:t>
      </w:r>
      <w:r w:rsidR="00815718" w:rsidRPr="00815718">
        <w:rPr>
          <w:sz w:val="20"/>
          <w:szCs w:val="20"/>
          <w:lang w:val="en-GB"/>
        </w:rPr>
        <w:t xml:space="preserve"> </w:t>
      </w:r>
      <w:r w:rsidR="00815718">
        <w:rPr>
          <w:sz w:val="20"/>
          <w:szCs w:val="20"/>
          <w:lang w:val="en-GB"/>
        </w:rPr>
        <w:t>during the Evaluation</w:t>
      </w:r>
      <w:r w:rsidR="00815718" w:rsidRPr="00815718">
        <w:rPr>
          <w:sz w:val="20"/>
          <w:szCs w:val="20"/>
          <w:lang w:val="en-GB"/>
        </w:rPr>
        <w:t xml:space="preserve">, it </w:t>
      </w:r>
      <w:proofErr w:type="gramStart"/>
      <w:r w:rsidR="00815718" w:rsidRPr="00815718">
        <w:rPr>
          <w:sz w:val="20"/>
          <w:szCs w:val="20"/>
          <w:lang w:val="en-GB"/>
        </w:rPr>
        <w:t xml:space="preserve">can be </w:t>
      </w:r>
      <w:r w:rsidR="00815718">
        <w:rPr>
          <w:sz w:val="20"/>
          <w:szCs w:val="20"/>
          <w:lang w:val="en-GB"/>
        </w:rPr>
        <w:t>stated</w:t>
      </w:r>
      <w:proofErr w:type="gramEnd"/>
      <w:r w:rsidR="00815718" w:rsidRPr="00815718">
        <w:rPr>
          <w:sz w:val="20"/>
          <w:szCs w:val="20"/>
          <w:lang w:val="en-GB"/>
        </w:rPr>
        <w:t xml:space="preserve"> that the EU </w:t>
      </w:r>
      <w:r w:rsidR="00815718">
        <w:rPr>
          <w:sz w:val="20"/>
          <w:szCs w:val="20"/>
          <w:lang w:val="en-GB"/>
        </w:rPr>
        <w:t xml:space="preserve">structural assistance </w:t>
      </w:r>
      <w:r w:rsidR="00815718" w:rsidRPr="00815718">
        <w:rPr>
          <w:sz w:val="20"/>
          <w:szCs w:val="20"/>
          <w:lang w:val="en-GB"/>
        </w:rPr>
        <w:t xml:space="preserve">made a strong impact on employment, but it was limited by </w:t>
      </w:r>
      <w:r w:rsidR="00815718">
        <w:rPr>
          <w:sz w:val="20"/>
          <w:szCs w:val="20"/>
          <w:lang w:val="en-GB"/>
        </w:rPr>
        <w:t xml:space="preserve">the impact of </w:t>
      </w:r>
      <w:r w:rsidR="00815718" w:rsidRPr="00815718">
        <w:rPr>
          <w:sz w:val="20"/>
          <w:szCs w:val="20"/>
          <w:lang w:val="en-GB"/>
        </w:rPr>
        <w:t>external factors</w:t>
      </w:r>
      <w:r w:rsidR="001A035B" w:rsidRPr="00FB41EA">
        <w:rPr>
          <w:sz w:val="20"/>
          <w:szCs w:val="20"/>
          <w:lang w:val="en-GB"/>
        </w:rPr>
        <w:t>.</w:t>
      </w:r>
    </w:p>
    <w:p w14:paraId="5DFF248C" w14:textId="267C652C" w:rsidR="001A035B" w:rsidRPr="00FB41EA" w:rsidRDefault="004E7C07" w:rsidP="003A5E4F">
      <w:pPr>
        <w:autoSpaceDE w:val="0"/>
        <w:autoSpaceDN w:val="0"/>
        <w:adjustRightInd w:val="0"/>
        <w:spacing w:before="120" w:after="0" w:line="240" w:lineRule="auto"/>
        <w:jc w:val="both"/>
        <w:rPr>
          <w:sz w:val="20"/>
          <w:szCs w:val="20"/>
          <w:lang w:val="en-GB"/>
        </w:rPr>
      </w:pPr>
      <w:r>
        <w:rPr>
          <w:sz w:val="20"/>
          <w:szCs w:val="20"/>
          <w:lang w:val="en-GB"/>
        </w:rPr>
        <w:t xml:space="preserve">The </w:t>
      </w:r>
      <w:r w:rsidR="00815718" w:rsidRPr="00815718">
        <w:rPr>
          <w:sz w:val="20"/>
          <w:szCs w:val="20"/>
          <w:lang w:val="en-GB"/>
        </w:rPr>
        <w:t xml:space="preserve">EU </w:t>
      </w:r>
      <w:r w:rsidR="00CD0189">
        <w:rPr>
          <w:sz w:val="20"/>
          <w:szCs w:val="20"/>
          <w:lang w:val="en-GB"/>
        </w:rPr>
        <w:t>s</w:t>
      </w:r>
      <w:r w:rsidR="00815718" w:rsidRPr="00815718">
        <w:rPr>
          <w:sz w:val="20"/>
          <w:szCs w:val="20"/>
          <w:lang w:val="en-GB"/>
        </w:rPr>
        <w:t xml:space="preserve">tructural </w:t>
      </w:r>
      <w:r w:rsidR="00CD0189" w:rsidRPr="00CD0189">
        <w:rPr>
          <w:sz w:val="20"/>
          <w:szCs w:val="20"/>
          <w:lang w:val="en-GB"/>
        </w:rPr>
        <w:t xml:space="preserve">assistance </w:t>
      </w:r>
      <w:r w:rsidR="00815718" w:rsidRPr="00815718">
        <w:rPr>
          <w:sz w:val="20"/>
          <w:szCs w:val="20"/>
          <w:lang w:val="en-GB"/>
        </w:rPr>
        <w:t>increased the overall level of education Lithuania, despite the decreasing number of high school graduates</w:t>
      </w:r>
      <w:r w:rsidR="001A035B" w:rsidRPr="00FB41EA">
        <w:rPr>
          <w:sz w:val="20"/>
          <w:szCs w:val="20"/>
          <w:lang w:val="en-GB"/>
        </w:rPr>
        <w:t xml:space="preserve">. </w:t>
      </w:r>
      <w:r w:rsidR="00CD0189" w:rsidRPr="00CD0189">
        <w:rPr>
          <w:sz w:val="20"/>
          <w:szCs w:val="20"/>
          <w:lang w:val="en-GB"/>
        </w:rPr>
        <w:t xml:space="preserve">The latter trend </w:t>
      </w:r>
      <w:proofErr w:type="gramStart"/>
      <w:r w:rsidR="00CD0189" w:rsidRPr="00CD0189">
        <w:rPr>
          <w:sz w:val="20"/>
          <w:szCs w:val="20"/>
          <w:lang w:val="en-GB"/>
        </w:rPr>
        <w:t xml:space="preserve">was </w:t>
      </w:r>
      <w:r w:rsidR="00CD0189">
        <w:rPr>
          <w:sz w:val="20"/>
          <w:szCs w:val="20"/>
          <w:lang w:val="en-GB"/>
        </w:rPr>
        <w:t>pre</w:t>
      </w:r>
      <w:r w:rsidR="00CD0189" w:rsidRPr="00CD0189">
        <w:rPr>
          <w:sz w:val="20"/>
          <w:szCs w:val="20"/>
          <w:lang w:val="en-GB"/>
        </w:rPr>
        <w:t>determined</w:t>
      </w:r>
      <w:proofErr w:type="gramEnd"/>
      <w:r w:rsidR="00CD0189" w:rsidRPr="00CD0189">
        <w:rPr>
          <w:sz w:val="20"/>
          <w:szCs w:val="20"/>
          <w:lang w:val="en-GB"/>
        </w:rPr>
        <w:t xml:space="preserve"> by </w:t>
      </w:r>
      <w:r w:rsidR="00CD0189">
        <w:rPr>
          <w:sz w:val="20"/>
          <w:szCs w:val="20"/>
          <w:lang w:val="en-GB"/>
        </w:rPr>
        <w:t xml:space="preserve">the </w:t>
      </w:r>
      <w:r w:rsidR="00CD0189" w:rsidRPr="00CD0189">
        <w:rPr>
          <w:sz w:val="20"/>
          <w:szCs w:val="20"/>
          <w:lang w:val="en-GB"/>
        </w:rPr>
        <w:t xml:space="preserve">change </w:t>
      </w:r>
      <w:r w:rsidR="00CD0189">
        <w:rPr>
          <w:sz w:val="20"/>
          <w:szCs w:val="20"/>
          <w:lang w:val="en-GB"/>
        </w:rPr>
        <w:t xml:space="preserve">in </w:t>
      </w:r>
      <w:r w:rsidR="00CD0189" w:rsidRPr="00CD0189">
        <w:rPr>
          <w:sz w:val="20"/>
          <w:szCs w:val="20"/>
          <w:lang w:val="en-GB"/>
        </w:rPr>
        <w:t>birth rate and the Lit</w:t>
      </w:r>
      <w:r w:rsidR="00CD0189">
        <w:rPr>
          <w:sz w:val="20"/>
          <w:szCs w:val="20"/>
          <w:lang w:val="en-GB"/>
        </w:rPr>
        <w:t>huanian higher education system</w:t>
      </w:r>
      <w:r w:rsidR="004F1C1F">
        <w:rPr>
          <w:sz w:val="20"/>
          <w:szCs w:val="20"/>
          <w:lang w:val="en-GB"/>
        </w:rPr>
        <w:t xml:space="preserve"> becoming less and less attractive</w:t>
      </w:r>
      <w:r w:rsidR="00CD0189">
        <w:rPr>
          <w:sz w:val="20"/>
          <w:szCs w:val="20"/>
          <w:lang w:val="en-GB"/>
        </w:rPr>
        <w:t xml:space="preserve">. </w:t>
      </w:r>
      <w:r w:rsidRPr="004E7C07">
        <w:rPr>
          <w:sz w:val="20"/>
          <w:szCs w:val="20"/>
          <w:lang w:val="en-GB"/>
        </w:rPr>
        <w:t xml:space="preserve">The EU structural assistance </w:t>
      </w:r>
      <w:r>
        <w:rPr>
          <w:sz w:val="20"/>
          <w:szCs w:val="20"/>
          <w:lang w:val="en-GB"/>
        </w:rPr>
        <w:t xml:space="preserve">had no significant positive impact on the level of lifelong learning in Lithuania. No negative impact of the </w:t>
      </w:r>
      <w:r w:rsidRPr="004E7C07">
        <w:rPr>
          <w:sz w:val="20"/>
          <w:szCs w:val="20"/>
          <w:lang w:val="en-GB"/>
        </w:rPr>
        <w:t xml:space="preserve">EU structural assistance </w:t>
      </w:r>
      <w:r>
        <w:rPr>
          <w:sz w:val="20"/>
          <w:szCs w:val="20"/>
          <w:lang w:val="en-GB"/>
        </w:rPr>
        <w:t xml:space="preserve">was registered either. </w:t>
      </w:r>
      <w:r w:rsidR="00C56648" w:rsidRPr="00C56648">
        <w:rPr>
          <w:sz w:val="20"/>
          <w:szCs w:val="20"/>
          <w:lang w:val="en-GB"/>
        </w:rPr>
        <w:t xml:space="preserve">As for the horizontal priority of sustainable development, the support under OPDHR </w:t>
      </w:r>
      <w:r w:rsidR="00C56648">
        <w:rPr>
          <w:sz w:val="20"/>
          <w:szCs w:val="20"/>
          <w:lang w:val="en-GB"/>
        </w:rPr>
        <w:t>2</w:t>
      </w:r>
      <w:r w:rsidR="00C56648" w:rsidRPr="00C56648">
        <w:rPr>
          <w:sz w:val="20"/>
          <w:szCs w:val="20"/>
          <w:lang w:val="en-GB"/>
        </w:rPr>
        <w:t xml:space="preserve"> priority, “Lifelong Learning”, meets the criteria of investments in the development of human and social capital. Interpreting the data collected and the results of analysis performed during the Evaluation, it </w:t>
      </w:r>
      <w:proofErr w:type="gramStart"/>
      <w:r w:rsidR="00C56648" w:rsidRPr="00C56648">
        <w:rPr>
          <w:sz w:val="20"/>
          <w:szCs w:val="20"/>
          <w:lang w:val="en-GB"/>
        </w:rPr>
        <w:t>can be stated</w:t>
      </w:r>
      <w:proofErr w:type="gramEnd"/>
      <w:r w:rsidR="00C56648" w:rsidRPr="00C56648">
        <w:rPr>
          <w:sz w:val="20"/>
          <w:szCs w:val="20"/>
          <w:lang w:val="en-GB"/>
        </w:rPr>
        <w:t xml:space="preserve"> that the EU structural assistance made a </w:t>
      </w:r>
      <w:r w:rsidR="00C56648">
        <w:rPr>
          <w:sz w:val="20"/>
          <w:szCs w:val="20"/>
          <w:lang w:val="en-GB"/>
        </w:rPr>
        <w:t>weak</w:t>
      </w:r>
      <w:r w:rsidR="00C56648" w:rsidRPr="00C56648">
        <w:rPr>
          <w:sz w:val="20"/>
          <w:szCs w:val="20"/>
          <w:lang w:val="en-GB"/>
        </w:rPr>
        <w:t xml:space="preserve"> impact on </w:t>
      </w:r>
      <w:r w:rsidR="00C56648">
        <w:rPr>
          <w:sz w:val="20"/>
          <w:szCs w:val="20"/>
          <w:lang w:val="en-GB"/>
        </w:rPr>
        <w:t>social cohesion.</w:t>
      </w:r>
      <w:r w:rsidR="00C56648" w:rsidRPr="00C56648">
        <w:rPr>
          <w:sz w:val="20"/>
          <w:szCs w:val="20"/>
          <w:lang w:val="en-GB"/>
        </w:rPr>
        <w:t xml:space="preserve"> </w:t>
      </w:r>
    </w:p>
    <w:p w14:paraId="2029E9E6" w14:textId="12CEF389" w:rsidR="0049575D" w:rsidRPr="00FB41EA" w:rsidRDefault="00C56648" w:rsidP="0049575D">
      <w:pPr>
        <w:autoSpaceDE w:val="0"/>
        <w:autoSpaceDN w:val="0"/>
        <w:adjustRightInd w:val="0"/>
        <w:spacing w:before="120" w:after="0" w:line="240" w:lineRule="auto"/>
        <w:jc w:val="both"/>
        <w:rPr>
          <w:sz w:val="20"/>
          <w:szCs w:val="20"/>
          <w:lang w:val="en-GB"/>
        </w:rPr>
      </w:pPr>
      <w:r w:rsidRPr="00C56648">
        <w:rPr>
          <w:sz w:val="20"/>
          <w:szCs w:val="20"/>
          <w:lang w:val="en-GB"/>
        </w:rPr>
        <w:t xml:space="preserve">Regression analysis did not show statistically significant effects </w:t>
      </w:r>
      <w:r w:rsidR="00EB23DF">
        <w:rPr>
          <w:sz w:val="20"/>
          <w:szCs w:val="20"/>
          <w:lang w:val="en-GB"/>
        </w:rPr>
        <w:t xml:space="preserve">on the </w:t>
      </w:r>
      <w:r w:rsidR="00EB23DF" w:rsidRPr="00C56648">
        <w:rPr>
          <w:sz w:val="20"/>
          <w:szCs w:val="20"/>
          <w:lang w:val="en-GB"/>
        </w:rPr>
        <w:t>trends</w:t>
      </w:r>
      <w:r w:rsidR="00EB23DF">
        <w:rPr>
          <w:sz w:val="20"/>
          <w:szCs w:val="20"/>
          <w:lang w:val="en-GB"/>
        </w:rPr>
        <w:t xml:space="preserve"> related to the </w:t>
      </w:r>
      <w:r w:rsidR="00EB23DF" w:rsidRPr="00C56648">
        <w:rPr>
          <w:sz w:val="20"/>
          <w:szCs w:val="20"/>
          <w:lang w:val="en-GB"/>
        </w:rPr>
        <w:t xml:space="preserve">indicators </w:t>
      </w:r>
      <w:r w:rsidR="00EB23DF">
        <w:rPr>
          <w:sz w:val="20"/>
          <w:szCs w:val="20"/>
          <w:lang w:val="en-GB"/>
        </w:rPr>
        <w:t xml:space="preserve">of </w:t>
      </w:r>
      <w:r w:rsidR="00EB23DF" w:rsidRPr="00EB23DF">
        <w:rPr>
          <w:sz w:val="20"/>
          <w:szCs w:val="20"/>
          <w:lang w:val="en-GB"/>
        </w:rPr>
        <w:t>OPDHR</w:t>
      </w:r>
      <w:r w:rsidR="00EB23DF" w:rsidRPr="00C56648">
        <w:rPr>
          <w:sz w:val="20"/>
          <w:szCs w:val="20"/>
          <w:lang w:val="en-GB"/>
        </w:rPr>
        <w:t xml:space="preserve"> </w:t>
      </w:r>
      <w:r w:rsidRPr="00C56648">
        <w:rPr>
          <w:sz w:val="20"/>
          <w:szCs w:val="20"/>
          <w:lang w:val="en-GB"/>
        </w:rPr>
        <w:t xml:space="preserve">3 and 4 priorities of </w:t>
      </w:r>
      <w:r w:rsidR="00EB23DF">
        <w:rPr>
          <w:sz w:val="20"/>
          <w:szCs w:val="20"/>
          <w:lang w:val="en-GB"/>
        </w:rPr>
        <w:t xml:space="preserve">the </w:t>
      </w:r>
      <w:r w:rsidR="00EB23DF" w:rsidRPr="00C56648">
        <w:rPr>
          <w:sz w:val="20"/>
          <w:szCs w:val="20"/>
          <w:lang w:val="en-GB"/>
        </w:rPr>
        <w:t xml:space="preserve">horizontal priority </w:t>
      </w:r>
      <w:r w:rsidR="00EB23DF">
        <w:rPr>
          <w:sz w:val="20"/>
          <w:szCs w:val="20"/>
          <w:lang w:val="en-GB"/>
        </w:rPr>
        <w:t xml:space="preserve">of </w:t>
      </w:r>
      <w:r w:rsidRPr="00C56648">
        <w:rPr>
          <w:sz w:val="20"/>
          <w:szCs w:val="20"/>
          <w:lang w:val="en-GB"/>
        </w:rPr>
        <w:t>sustainable development</w:t>
      </w:r>
      <w:r w:rsidR="0049575D" w:rsidRPr="00FB41EA">
        <w:rPr>
          <w:sz w:val="20"/>
          <w:szCs w:val="20"/>
          <w:lang w:val="en-GB"/>
        </w:rPr>
        <w:t xml:space="preserve">. </w:t>
      </w:r>
      <w:r w:rsidR="00AF6B7E" w:rsidRPr="00AF6B7E">
        <w:rPr>
          <w:sz w:val="20"/>
          <w:szCs w:val="20"/>
          <w:lang w:val="en-GB"/>
        </w:rPr>
        <w:t xml:space="preserve">However, </w:t>
      </w:r>
      <w:proofErr w:type="gramStart"/>
      <w:r w:rsidR="007E048B">
        <w:rPr>
          <w:sz w:val="20"/>
          <w:szCs w:val="20"/>
          <w:lang w:val="en-GB"/>
        </w:rPr>
        <w:t xml:space="preserve">having supplemented </w:t>
      </w:r>
      <w:r w:rsidR="00AF6B7E" w:rsidRPr="00AF6B7E">
        <w:rPr>
          <w:sz w:val="20"/>
          <w:szCs w:val="20"/>
          <w:lang w:val="en-GB"/>
        </w:rPr>
        <w:t xml:space="preserve">the results of the regression analysis </w:t>
      </w:r>
      <w:r w:rsidR="007E048B">
        <w:rPr>
          <w:sz w:val="20"/>
          <w:szCs w:val="20"/>
          <w:lang w:val="en-GB"/>
        </w:rPr>
        <w:t>by</w:t>
      </w:r>
      <w:r w:rsidR="00AF6B7E" w:rsidRPr="00AF6B7E">
        <w:rPr>
          <w:sz w:val="20"/>
          <w:szCs w:val="20"/>
          <w:lang w:val="en-GB"/>
        </w:rPr>
        <w:t xml:space="preserve"> qualitative data analysis,</w:t>
      </w:r>
      <w:proofErr w:type="gramEnd"/>
      <w:r w:rsidR="00AF6B7E" w:rsidRPr="00AF6B7E">
        <w:rPr>
          <w:sz w:val="20"/>
          <w:szCs w:val="20"/>
          <w:lang w:val="en-GB"/>
        </w:rPr>
        <w:t xml:space="preserve"> </w:t>
      </w:r>
      <w:proofErr w:type="gramStart"/>
      <w:r w:rsidR="00AF6B7E" w:rsidRPr="00AF6B7E">
        <w:rPr>
          <w:sz w:val="20"/>
          <w:szCs w:val="20"/>
          <w:lang w:val="en-GB"/>
        </w:rPr>
        <w:t>it</w:t>
      </w:r>
      <w:proofErr w:type="gramEnd"/>
      <w:r w:rsidR="00AF6B7E" w:rsidRPr="00AF6B7E">
        <w:rPr>
          <w:sz w:val="20"/>
          <w:szCs w:val="20"/>
          <w:lang w:val="en-GB"/>
        </w:rPr>
        <w:t xml:space="preserve"> can be </w:t>
      </w:r>
      <w:r w:rsidR="007E048B">
        <w:rPr>
          <w:sz w:val="20"/>
          <w:szCs w:val="20"/>
          <w:lang w:val="en-GB"/>
        </w:rPr>
        <w:t>stated</w:t>
      </w:r>
      <w:r w:rsidR="00AF6B7E" w:rsidRPr="00AF6B7E">
        <w:rPr>
          <w:sz w:val="20"/>
          <w:szCs w:val="20"/>
          <w:lang w:val="en-GB"/>
        </w:rPr>
        <w:t xml:space="preserve"> that the EU </w:t>
      </w:r>
      <w:r w:rsidR="007E048B" w:rsidRPr="007E048B">
        <w:rPr>
          <w:sz w:val="20"/>
          <w:szCs w:val="20"/>
          <w:lang w:val="en-GB"/>
        </w:rPr>
        <w:t xml:space="preserve">structural assistance </w:t>
      </w:r>
      <w:r w:rsidR="00AF6B7E" w:rsidRPr="00AF6B7E">
        <w:rPr>
          <w:sz w:val="20"/>
          <w:szCs w:val="20"/>
          <w:lang w:val="en-GB"/>
        </w:rPr>
        <w:t xml:space="preserve">had a positive impact on the </w:t>
      </w:r>
      <w:r w:rsidR="007E048B">
        <w:rPr>
          <w:sz w:val="20"/>
          <w:szCs w:val="20"/>
          <w:lang w:val="en-GB"/>
        </w:rPr>
        <w:t>research</w:t>
      </w:r>
      <w:r w:rsidR="007E048B" w:rsidRPr="00AF6B7E">
        <w:rPr>
          <w:sz w:val="20"/>
          <w:szCs w:val="20"/>
          <w:lang w:val="en-GB"/>
        </w:rPr>
        <w:t xml:space="preserve"> </w:t>
      </w:r>
      <w:r w:rsidR="00AF6B7E" w:rsidRPr="00AF6B7E">
        <w:rPr>
          <w:sz w:val="20"/>
          <w:szCs w:val="20"/>
          <w:lang w:val="en-GB"/>
        </w:rPr>
        <w:t xml:space="preserve">capacity building </w:t>
      </w:r>
      <w:r w:rsidR="007E048B">
        <w:rPr>
          <w:sz w:val="20"/>
          <w:szCs w:val="20"/>
          <w:lang w:val="en-GB"/>
        </w:rPr>
        <w:t>and scientific and technological</w:t>
      </w:r>
      <w:r w:rsidR="00BF0D66">
        <w:rPr>
          <w:sz w:val="20"/>
          <w:szCs w:val="20"/>
          <w:lang w:val="en-GB"/>
        </w:rPr>
        <w:t xml:space="preserve"> </w:t>
      </w:r>
      <w:r w:rsidR="007E048B">
        <w:rPr>
          <w:sz w:val="20"/>
          <w:szCs w:val="20"/>
          <w:lang w:val="en-GB"/>
        </w:rPr>
        <w:t>R&amp;</w:t>
      </w:r>
      <w:r w:rsidR="00AF6B7E" w:rsidRPr="00AF6B7E">
        <w:rPr>
          <w:sz w:val="20"/>
          <w:szCs w:val="20"/>
          <w:lang w:val="en-GB"/>
        </w:rPr>
        <w:t>D in Lithuania</w:t>
      </w:r>
      <w:r w:rsidR="007E048B">
        <w:rPr>
          <w:sz w:val="20"/>
          <w:szCs w:val="20"/>
          <w:lang w:val="en-GB"/>
        </w:rPr>
        <w:t xml:space="preserve">. </w:t>
      </w:r>
      <w:r w:rsidR="009F625D">
        <w:rPr>
          <w:sz w:val="20"/>
          <w:szCs w:val="20"/>
          <w:lang w:val="en-GB"/>
        </w:rPr>
        <w:t>Moreover</w:t>
      </w:r>
      <w:r w:rsidR="009F625D" w:rsidRPr="009F625D">
        <w:rPr>
          <w:sz w:val="20"/>
          <w:szCs w:val="20"/>
          <w:lang w:val="en-GB"/>
        </w:rPr>
        <w:t xml:space="preserve">, the EU structural assistance </w:t>
      </w:r>
      <w:r w:rsidR="009F625D">
        <w:rPr>
          <w:sz w:val="20"/>
          <w:szCs w:val="20"/>
          <w:lang w:val="en-GB"/>
        </w:rPr>
        <w:t xml:space="preserve">made </w:t>
      </w:r>
      <w:r w:rsidR="009F625D" w:rsidRPr="009F625D">
        <w:rPr>
          <w:sz w:val="20"/>
          <w:szCs w:val="20"/>
          <w:lang w:val="en-GB"/>
        </w:rPr>
        <w:t xml:space="preserve">a </w:t>
      </w:r>
      <w:r w:rsidR="009F625D">
        <w:rPr>
          <w:sz w:val="20"/>
          <w:szCs w:val="20"/>
          <w:lang w:val="en-GB"/>
        </w:rPr>
        <w:t>positive</w:t>
      </w:r>
      <w:r w:rsidR="009F625D" w:rsidRPr="009F625D">
        <w:rPr>
          <w:sz w:val="20"/>
          <w:szCs w:val="20"/>
          <w:lang w:val="en-GB"/>
        </w:rPr>
        <w:t xml:space="preserve"> impact on the </w:t>
      </w:r>
      <w:r w:rsidR="009F625D">
        <w:rPr>
          <w:sz w:val="20"/>
          <w:szCs w:val="20"/>
          <w:lang w:val="en-GB"/>
        </w:rPr>
        <w:t>citizens’</w:t>
      </w:r>
      <w:r w:rsidR="009F625D" w:rsidRPr="009F625D">
        <w:rPr>
          <w:sz w:val="20"/>
          <w:szCs w:val="20"/>
          <w:lang w:val="en-GB"/>
        </w:rPr>
        <w:t xml:space="preserve"> confidence in public institutions, especially through</w:t>
      </w:r>
      <w:r w:rsidR="009F625D">
        <w:rPr>
          <w:sz w:val="20"/>
          <w:szCs w:val="20"/>
          <w:lang w:val="en-GB"/>
        </w:rPr>
        <w:t xml:space="preserve"> the</w:t>
      </w:r>
      <w:r w:rsidR="009F625D" w:rsidRPr="009F625D">
        <w:rPr>
          <w:sz w:val="20"/>
          <w:szCs w:val="20"/>
          <w:lang w:val="en-GB"/>
        </w:rPr>
        <w:t xml:space="preserve"> investment</w:t>
      </w:r>
      <w:r w:rsidR="009F625D">
        <w:rPr>
          <w:sz w:val="20"/>
          <w:szCs w:val="20"/>
          <w:lang w:val="en-GB"/>
        </w:rPr>
        <w:t>s</w:t>
      </w:r>
      <w:r w:rsidR="009F625D" w:rsidRPr="009F625D">
        <w:rPr>
          <w:sz w:val="20"/>
          <w:szCs w:val="20"/>
          <w:lang w:val="en-GB"/>
        </w:rPr>
        <w:t xml:space="preserve"> in customer service improvement and </w:t>
      </w:r>
      <w:r w:rsidR="009F625D">
        <w:rPr>
          <w:sz w:val="20"/>
          <w:szCs w:val="20"/>
          <w:lang w:val="en-GB"/>
        </w:rPr>
        <w:t>e-service</w:t>
      </w:r>
      <w:r w:rsidR="009F625D" w:rsidRPr="009F625D">
        <w:rPr>
          <w:sz w:val="20"/>
          <w:szCs w:val="20"/>
          <w:lang w:val="en-GB"/>
        </w:rPr>
        <w:t xml:space="preserve"> development</w:t>
      </w:r>
      <w:r w:rsidR="009F625D">
        <w:rPr>
          <w:sz w:val="20"/>
          <w:szCs w:val="20"/>
          <w:lang w:val="en-GB"/>
        </w:rPr>
        <w:t>.</w:t>
      </w:r>
      <w:r w:rsidR="009F625D" w:rsidRPr="009F625D">
        <w:rPr>
          <w:sz w:val="20"/>
          <w:szCs w:val="20"/>
          <w:lang w:val="en-GB"/>
        </w:rPr>
        <w:t xml:space="preserve"> As for the horizontal priority of sustainable development, the support under OPDHR </w:t>
      </w:r>
      <w:r w:rsidR="00C35720">
        <w:rPr>
          <w:sz w:val="20"/>
          <w:szCs w:val="20"/>
          <w:lang w:val="en-GB"/>
        </w:rPr>
        <w:t>3</w:t>
      </w:r>
      <w:r w:rsidR="009F625D" w:rsidRPr="009F625D">
        <w:rPr>
          <w:sz w:val="20"/>
          <w:szCs w:val="20"/>
          <w:lang w:val="en-GB"/>
        </w:rPr>
        <w:t xml:space="preserve"> priority, “</w:t>
      </w:r>
      <w:r w:rsidR="00C35720" w:rsidRPr="00C35720">
        <w:rPr>
          <w:sz w:val="20"/>
          <w:szCs w:val="20"/>
          <w:lang w:val="en-GB"/>
        </w:rPr>
        <w:t>Research Capacity Building</w:t>
      </w:r>
      <w:r w:rsidR="009F625D" w:rsidRPr="009F625D">
        <w:rPr>
          <w:sz w:val="20"/>
          <w:szCs w:val="20"/>
          <w:lang w:val="en-GB"/>
        </w:rPr>
        <w:t xml:space="preserve">”, </w:t>
      </w:r>
      <w:r w:rsidR="00C35720">
        <w:rPr>
          <w:sz w:val="20"/>
          <w:szCs w:val="20"/>
          <w:lang w:val="en-GB"/>
        </w:rPr>
        <w:t xml:space="preserve">and </w:t>
      </w:r>
      <w:proofErr w:type="gramStart"/>
      <w:r w:rsidR="00C35720">
        <w:rPr>
          <w:sz w:val="20"/>
          <w:szCs w:val="20"/>
          <w:lang w:val="en-GB"/>
        </w:rPr>
        <w:t>4</w:t>
      </w:r>
      <w:proofErr w:type="gramEnd"/>
      <w:r w:rsidR="00C35720">
        <w:rPr>
          <w:sz w:val="20"/>
          <w:szCs w:val="20"/>
          <w:lang w:val="en-GB"/>
        </w:rPr>
        <w:t xml:space="preserve"> priority, “</w:t>
      </w:r>
      <w:r w:rsidR="00C35720" w:rsidRPr="00C35720">
        <w:rPr>
          <w:sz w:val="20"/>
          <w:szCs w:val="20"/>
          <w:lang w:val="en-GB"/>
        </w:rPr>
        <w:t>Increasing Administrative Capacity and Efficiency of Public Administration</w:t>
      </w:r>
      <w:r w:rsidR="00C35720">
        <w:rPr>
          <w:sz w:val="20"/>
          <w:szCs w:val="20"/>
          <w:lang w:val="en-GB"/>
        </w:rPr>
        <w:t>”, meets</w:t>
      </w:r>
      <w:r w:rsidR="009F625D" w:rsidRPr="009F625D">
        <w:rPr>
          <w:sz w:val="20"/>
          <w:szCs w:val="20"/>
          <w:lang w:val="en-GB"/>
        </w:rPr>
        <w:t xml:space="preserve"> the criteria of investments in the development of human and social capital. Interpreting the data collected and the results of analysis performed during the Evaluation, it </w:t>
      </w:r>
      <w:proofErr w:type="gramStart"/>
      <w:r w:rsidR="009F625D" w:rsidRPr="009F625D">
        <w:rPr>
          <w:sz w:val="20"/>
          <w:szCs w:val="20"/>
          <w:lang w:val="en-GB"/>
        </w:rPr>
        <w:t>can be stated</w:t>
      </w:r>
      <w:proofErr w:type="gramEnd"/>
      <w:r w:rsidR="009F625D" w:rsidRPr="009F625D">
        <w:rPr>
          <w:sz w:val="20"/>
          <w:szCs w:val="20"/>
          <w:lang w:val="en-GB"/>
        </w:rPr>
        <w:t xml:space="preserve"> that the EU structural assistance made a weak </w:t>
      </w:r>
      <w:r w:rsidR="00C35720">
        <w:rPr>
          <w:sz w:val="20"/>
          <w:szCs w:val="20"/>
          <w:lang w:val="en-GB"/>
        </w:rPr>
        <w:t xml:space="preserve">positive </w:t>
      </w:r>
      <w:r w:rsidR="009F625D" w:rsidRPr="009F625D">
        <w:rPr>
          <w:sz w:val="20"/>
          <w:szCs w:val="20"/>
          <w:lang w:val="en-GB"/>
        </w:rPr>
        <w:t>impact</w:t>
      </w:r>
      <w:r w:rsidR="0049575D" w:rsidRPr="00FB41EA">
        <w:rPr>
          <w:sz w:val="20"/>
          <w:szCs w:val="20"/>
          <w:lang w:val="en-GB"/>
        </w:rPr>
        <w:t>.</w:t>
      </w:r>
    </w:p>
    <w:p w14:paraId="02FEEAA2" w14:textId="09A3D2F7" w:rsidR="0049575D" w:rsidRPr="00FB41EA" w:rsidRDefault="00E302C1" w:rsidP="0049575D">
      <w:pPr>
        <w:autoSpaceDE w:val="0"/>
        <w:autoSpaceDN w:val="0"/>
        <w:adjustRightInd w:val="0"/>
        <w:spacing w:before="120" w:after="0" w:line="240" w:lineRule="auto"/>
        <w:jc w:val="both"/>
        <w:rPr>
          <w:sz w:val="20"/>
          <w:szCs w:val="20"/>
          <w:lang w:val="en-GB"/>
        </w:rPr>
      </w:pPr>
      <w:r w:rsidRPr="00E302C1">
        <w:rPr>
          <w:sz w:val="20"/>
          <w:szCs w:val="20"/>
          <w:lang w:val="en-GB"/>
        </w:rPr>
        <w:t xml:space="preserve">In the case of </w:t>
      </w:r>
      <w:r w:rsidRPr="00E302C1">
        <w:rPr>
          <w:b/>
          <w:sz w:val="20"/>
          <w:szCs w:val="20"/>
          <w:lang w:val="en-GB"/>
        </w:rPr>
        <w:t>OPEG</w:t>
      </w:r>
      <w:r w:rsidRPr="00E302C1">
        <w:rPr>
          <w:sz w:val="20"/>
          <w:szCs w:val="20"/>
          <w:lang w:val="en-GB"/>
        </w:rPr>
        <w:t xml:space="preserve">, </w:t>
      </w:r>
      <w:r>
        <w:rPr>
          <w:sz w:val="20"/>
          <w:szCs w:val="20"/>
          <w:lang w:val="en-GB"/>
        </w:rPr>
        <w:t>the following</w:t>
      </w:r>
      <w:r w:rsidRPr="00E302C1">
        <w:rPr>
          <w:sz w:val="20"/>
          <w:szCs w:val="20"/>
          <w:lang w:val="en-GB"/>
        </w:rPr>
        <w:t xml:space="preserve"> four priorities were assessed: </w:t>
      </w:r>
      <w:proofErr w:type="gramStart"/>
      <w:r w:rsidRPr="00E302C1">
        <w:rPr>
          <w:sz w:val="20"/>
          <w:szCs w:val="20"/>
          <w:lang w:val="en-GB"/>
        </w:rPr>
        <w:t>1</w:t>
      </w:r>
      <w:proofErr w:type="gramEnd"/>
      <w:r w:rsidRPr="00E302C1">
        <w:rPr>
          <w:sz w:val="20"/>
          <w:szCs w:val="20"/>
          <w:lang w:val="en-GB"/>
        </w:rPr>
        <w:t xml:space="preserve"> priority, “</w:t>
      </w:r>
      <w:r>
        <w:rPr>
          <w:sz w:val="20"/>
          <w:szCs w:val="20"/>
          <w:lang w:val="en-GB"/>
        </w:rPr>
        <w:t xml:space="preserve">Scientific and Technological </w:t>
      </w:r>
      <w:r w:rsidRPr="00E302C1">
        <w:rPr>
          <w:sz w:val="20"/>
          <w:szCs w:val="20"/>
          <w:lang w:val="en-GB"/>
        </w:rPr>
        <w:t>R&amp;D for Economic Competitiveness and Growth</w:t>
      </w:r>
      <w:r w:rsidR="00D20F41">
        <w:rPr>
          <w:sz w:val="20"/>
          <w:szCs w:val="20"/>
          <w:lang w:val="en-GB"/>
        </w:rPr>
        <w:t>”;</w:t>
      </w:r>
      <w:r w:rsidRPr="00E302C1">
        <w:rPr>
          <w:sz w:val="20"/>
          <w:szCs w:val="20"/>
          <w:lang w:val="en-GB"/>
        </w:rPr>
        <w:t xml:space="preserve"> </w:t>
      </w:r>
      <w:r w:rsidR="0049575D" w:rsidRPr="00FB41EA">
        <w:rPr>
          <w:sz w:val="20"/>
          <w:szCs w:val="20"/>
          <w:lang w:val="en-GB"/>
        </w:rPr>
        <w:t xml:space="preserve">2 </w:t>
      </w:r>
      <w:r w:rsidR="000A0E03" w:rsidRPr="000A0E03">
        <w:rPr>
          <w:sz w:val="20"/>
          <w:szCs w:val="20"/>
          <w:lang w:val="en-GB"/>
        </w:rPr>
        <w:t>priority, “Increasing Business Efficiency and Improving Business Environment</w:t>
      </w:r>
      <w:r w:rsidR="000A0E03">
        <w:rPr>
          <w:sz w:val="20"/>
          <w:szCs w:val="20"/>
          <w:lang w:val="en-GB"/>
        </w:rPr>
        <w:t xml:space="preserve">”; </w:t>
      </w:r>
      <w:r w:rsidR="0049575D" w:rsidRPr="00FB41EA">
        <w:rPr>
          <w:sz w:val="20"/>
          <w:szCs w:val="20"/>
          <w:lang w:val="en-GB"/>
        </w:rPr>
        <w:t xml:space="preserve">4 </w:t>
      </w:r>
      <w:r w:rsidR="000A0E03" w:rsidRPr="000A0E03">
        <w:rPr>
          <w:sz w:val="20"/>
          <w:szCs w:val="20"/>
          <w:lang w:val="en-GB"/>
        </w:rPr>
        <w:t>priority, “Basic Economic Infrastructure”</w:t>
      </w:r>
      <w:r w:rsidR="000A0E03">
        <w:rPr>
          <w:sz w:val="20"/>
          <w:szCs w:val="20"/>
          <w:lang w:val="en-GB"/>
        </w:rPr>
        <w:t>;</w:t>
      </w:r>
      <w:r w:rsidR="000A0E03" w:rsidRPr="000A0E03">
        <w:rPr>
          <w:sz w:val="20"/>
          <w:szCs w:val="20"/>
          <w:lang w:val="en-GB"/>
        </w:rPr>
        <w:t xml:space="preserve"> </w:t>
      </w:r>
      <w:r w:rsidR="0049575D" w:rsidRPr="00FB41EA">
        <w:rPr>
          <w:sz w:val="20"/>
          <w:szCs w:val="20"/>
          <w:lang w:val="en-GB"/>
        </w:rPr>
        <w:t xml:space="preserve">5 </w:t>
      </w:r>
      <w:r w:rsidR="000A0E03" w:rsidRPr="000A0E03">
        <w:rPr>
          <w:sz w:val="20"/>
          <w:szCs w:val="20"/>
          <w:lang w:val="en-GB"/>
        </w:rPr>
        <w:t>priority</w:t>
      </w:r>
      <w:r w:rsidR="000A0E03">
        <w:rPr>
          <w:sz w:val="20"/>
          <w:szCs w:val="20"/>
          <w:lang w:val="en-GB"/>
        </w:rPr>
        <w:t>, “</w:t>
      </w:r>
      <w:r w:rsidR="000A0E03" w:rsidRPr="000A0E03">
        <w:rPr>
          <w:sz w:val="20"/>
          <w:szCs w:val="20"/>
          <w:lang w:val="en-GB"/>
        </w:rPr>
        <w:t>Trans-European Transport Network Development</w:t>
      </w:r>
      <w:r w:rsidR="000A0E03">
        <w:rPr>
          <w:sz w:val="20"/>
          <w:szCs w:val="20"/>
          <w:lang w:val="en-GB"/>
        </w:rPr>
        <w:t>.”</w:t>
      </w:r>
    </w:p>
    <w:p w14:paraId="087C06AC" w14:textId="71A6DB81" w:rsidR="00A013B6" w:rsidRPr="00FB41EA" w:rsidRDefault="002776A5" w:rsidP="001A035B">
      <w:pPr>
        <w:autoSpaceDE w:val="0"/>
        <w:autoSpaceDN w:val="0"/>
        <w:adjustRightInd w:val="0"/>
        <w:spacing w:before="120" w:after="0" w:line="240" w:lineRule="auto"/>
        <w:jc w:val="both"/>
        <w:rPr>
          <w:sz w:val="20"/>
          <w:szCs w:val="20"/>
          <w:lang w:val="en-GB"/>
        </w:rPr>
      </w:pPr>
      <w:r>
        <w:rPr>
          <w:sz w:val="20"/>
          <w:szCs w:val="20"/>
          <w:lang w:val="en-GB"/>
        </w:rPr>
        <w:t xml:space="preserve">In </w:t>
      </w:r>
      <w:r w:rsidR="0049575D" w:rsidRPr="00FB41EA">
        <w:rPr>
          <w:sz w:val="20"/>
          <w:szCs w:val="20"/>
          <w:lang w:val="en-GB"/>
        </w:rPr>
        <w:t>2007–2013</w:t>
      </w:r>
      <w:r>
        <w:rPr>
          <w:sz w:val="20"/>
          <w:szCs w:val="20"/>
          <w:lang w:val="en-GB"/>
        </w:rPr>
        <w:t xml:space="preserve">, the </w:t>
      </w:r>
      <w:r w:rsidRPr="002776A5">
        <w:rPr>
          <w:sz w:val="20"/>
          <w:szCs w:val="20"/>
          <w:lang w:val="en-GB"/>
        </w:rPr>
        <w:t xml:space="preserve">EU structural assistance </w:t>
      </w:r>
      <w:r>
        <w:rPr>
          <w:sz w:val="20"/>
          <w:szCs w:val="20"/>
          <w:lang w:val="en-GB"/>
        </w:rPr>
        <w:t xml:space="preserve">made the most significant positive impact on sustainable development indicators related to </w:t>
      </w:r>
      <w:r w:rsidR="005C1F07">
        <w:rPr>
          <w:sz w:val="20"/>
          <w:szCs w:val="20"/>
          <w:lang w:val="en-GB"/>
        </w:rPr>
        <w:t xml:space="preserve">the </w:t>
      </w:r>
      <w:r>
        <w:rPr>
          <w:sz w:val="20"/>
          <w:szCs w:val="20"/>
          <w:lang w:val="en-GB"/>
        </w:rPr>
        <w:t>GDP growth. T</w:t>
      </w:r>
      <w:r w:rsidRPr="002776A5">
        <w:rPr>
          <w:sz w:val="20"/>
          <w:szCs w:val="20"/>
          <w:lang w:val="en-GB"/>
        </w:rPr>
        <w:t xml:space="preserve">he EU structural assistance made </w:t>
      </w:r>
      <w:r>
        <w:rPr>
          <w:sz w:val="20"/>
          <w:szCs w:val="20"/>
          <w:lang w:val="en-GB"/>
        </w:rPr>
        <w:t>a</w:t>
      </w:r>
      <w:r w:rsidRPr="002776A5">
        <w:rPr>
          <w:sz w:val="20"/>
          <w:szCs w:val="20"/>
          <w:lang w:val="en-GB"/>
        </w:rPr>
        <w:t xml:space="preserve"> </w:t>
      </w:r>
      <w:r>
        <w:rPr>
          <w:sz w:val="20"/>
          <w:szCs w:val="20"/>
          <w:lang w:val="en-GB"/>
        </w:rPr>
        <w:t>weighty</w:t>
      </w:r>
      <w:r w:rsidRPr="002776A5">
        <w:rPr>
          <w:sz w:val="20"/>
          <w:szCs w:val="20"/>
          <w:lang w:val="en-GB"/>
        </w:rPr>
        <w:t xml:space="preserve"> impact </w:t>
      </w:r>
      <w:r>
        <w:rPr>
          <w:sz w:val="20"/>
          <w:szCs w:val="20"/>
          <w:lang w:val="en-GB"/>
        </w:rPr>
        <w:t xml:space="preserve">on the </w:t>
      </w:r>
      <w:r w:rsidRPr="002776A5">
        <w:rPr>
          <w:sz w:val="20"/>
          <w:szCs w:val="20"/>
          <w:lang w:val="en-GB"/>
        </w:rPr>
        <w:t>GDP growth</w:t>
      </w:r>
      <w:r w:rsidR="0049575D" w:rsidRPr="00FB41EA">
        <w:rPr>
          <w:sz w:val="20"/>
          <w:szCs w:val="20"/>
          <w:lang w:val="en-GB"/>
        </w:rPr>
        <w:t xml:space="preserve">, </w:t>
      </w:r>
      <w:r>
        <w:rPr>
          <w:sz w:val="20"/>
          <w:szCs w:val="20"/>
          <w:lang w:val="en-GB"/>
        </w:rPr>
        <w:t xml:space="preserve">especially in real estate and service sectors. </w:t>
      </w:r>
      <w:r w:rsidR="009B1C5A">
        <w:rPr>
          <w:sz w:val="20"/>
          <w:szCs w:val="20"/>
          <w:lang w:val="en-GB"/>
        </w:rPr>
        <w:t xml:space="preserve">A large positive impact on </w:t>
      </w:r>
      <w:r w:rsidR="005C1F07">
        <w:rPr>
          <w:sz w:val="20"/>
          <w:szCs w:val="20"/>
          <w:lang w:val="en-GB"/>
        </w:rPr>
        <w:t xml:space="preserve">the </w:t>
      </w:r>
      <w:r w:rsidR="009B1C5A" w:rsidRPr="009B1C5A">
        <w:rPr>
          <w:sz w:val="20"/>
          <w:szCs w:val="20"/>
          <w:lang w:val="en-GB"/>
        </w:rPr>
        <w:t xml:space="preserve">GDP growth </w:t>
      </w:r>
      <w:r w:rsidR="009B1C5A">
        <w:rPr>
          <w:sz w:val="20"/>
          <w:szCs w:val="20"/>
          <w:lang w:val="en-GB"/>
        </w:rPr>
        <w:t xml:space="preserve">on a national level made a negative impact on relative sizes of </w:t>
      </w:r>
      <w:r w:rsidR="005C1F07">
        <w:rPr>
          <w:sz w:val="20"/>
          <w:szCs w:val="20"/>
          <w:lang w:val="en-GB"/>
        </w:rPr>
        <w:t xml:space="preserve">the </w:t>
      </w:r>
      <w:r w:rsidR="009B1C5A">
        <w:rPr>
          <w:sz w:val="20"/>
          <w:szCs w:val="20"/>
          <w:lang w:val="en-GB"/>
        </w:rPr>
        <w:t xml:space="preserve">regional GDP. It can be explained by the limited pace of </w:t>
      </w:r>
      <w:r w:rsidR="005C1F07">
        <w:rPr>
          <w:sz w:val="20"/>
          <w:szCs w:val="20"/>
          <w:lang w:val="en-GB"/>
        </w:rPr>
        <w:t xml:space="preserve">the </w:t>
      </w:r>
      <w:r w:rsidR="009B1C5A">
        <w:rPr>
          <w:sz w:val="20"/>
          <w:szCs w:val="20"/>
          <w:lang w:val="en-GB"/>
        </w:rPr>
        <w:t>regional GDP growth</w:t>
      </w:r>
      <w:r w:rsidR="0049575D" w:rsidRPr="00FB41EA">
        <w:rPr>
          <w:sz w:val="20"/>
          <w:szCs w:val="20"/>
          <w:lang w:val="en-GB"/>
        </w:rPr>
        <w:t xml:space="preserve">. </w:t>
      </w:r>
      <w:r w:rsidR="009B1C5A" w:rsidRPr="009B1C5A">
        <w:rPr>
          <w:sz w:val="20"/>
          <w:szCs w:val="20"/>
          <w:lang w:val="en-GB"/>
        </w:rPr>
        <w:t xml:space="preserve">As for the horizontal priority of sustainable development, the support under </w:t>
      </w:r>
      <w:r w:rsidR="007230F0" w:rsidRPr="007230F0">
        <w:rPr>
          <w:sz w:val="20"/>
          <w:szCs w:val="20"/>
          <w:lang w:val="en-GB"/>
        </w:rPr>
        <w:t>OPEG 1 priority, “Scientific and Technological R&amp;D for Economic Competitiveness and Growth”</w:t>
      </w:r>
      <w:r w:rsidR="009B1C5A" w:rsidRPr="009B1C5A">
        <w:rPr>
          <w:sz w:val="20"/>
          <w:szCs w:val="20"/>
          <w:lang w:val="en-GB"/>
        </w:rPr>
        <w:t xml:space="preserve">, meets the criteria of investments in the development of </w:t>
      </w:r>
      <w:r w:rsidR="000201E5">
        <w:rPr>
          <w:sz w:val="20"/>
          <w:szCs w:val="20"/>
          <w:lang w:val="en-GB"/>
        </w:rPr>
        <w:t>manufactured</w:t>
      </w:r>
      <w:r w:rsidR="009B1C5A" w:rsidRPr="009B1C5A">
        <w:rPr>
          <w:sz w:val="20"/>
          <w:szCs w:val="20"/>
          <w:lang w:val="en-GB"/>
        </w:rPr>
        <w:t xml:space="preserve"> capital. Interpreting the data collected and the results of analysis performed during the Evaluation, it </w:t>
      </w:r>
      <w:proofErr w:type="gramStart"/>
      <w:r w:rsidR="009B1C5A" w:rsidRPr="009B1C5A">
        <w:rPr>
          <w:sz w:val="20"/>
          <w:szCs w:val="20"/>
          <w:lang w:val="en-GB"/>
        </w:rPr>
        <w:t>can be stated</w:t>
      </w:r>
      <w:proofErr w:type="gramEnd"/>
      <w:r w:rsidR="009B1C5A" w:rsidRPr="009B1C5A">
        <w:rPr>
          <w:sz w:val="20"/>
          <w:szCs w:val="20"/>
          <w:lang w:val="en-GB"/>
        </w:rPr>
        <w:t xml:space="preserve"> that the EU structural assistance made a </w:t>
      </w:r>
      <w:r w:rsidR="007230F0">
        <w:rPr>
          <w:sz w:val="20"/>
          <w:szCs w:val="20"/>
          <w:lang w:val="en-GB"/>
        </w:rPr>
        <w:t>strong</w:t>
      </w:r>
      <w:r w:rsidR="009B1C5A" w:rsidRPr="009B1C5A">
        <w:rPr>
          <w:sz w:val="20"/>
          <w:szCs w:val="20"/>
          <w:lang w:val="en-GB"/>
        </w:rPr>
        <w:t xml:space="preserve"> positive impact.</w:t>
      </w:r>
      <w:r w:rsidR="007230F0">
        <w:rPr>
          <w:sz w:val="20"/>
          <w:szCs w:val="20"/>
          <w:lang w:val="en-GB"/>
        </w:rPr>
        <w:t xml:space="preserve"> </w:t>
      </w:r>
    </w:p>
    <w:p w14:paraId="1918A258" w14:textId="444926D3" w:rsidR="0049575D" w:rsidRPr="00FB41EA" w:rsidRDefault="007E647D" w:rsidP="0049575D">
      <w:pPr>
        <w:autoSpaceDE w:val="0"/>
        <w:autoSpaceDN w:val="0"/>
        <w:adjustRightInd w:val="0"/>
        <w:spacing w:before="120" w:after="0" w:line="240" w:lineRule="auto"/>
        <w:jc w:val="both"/>
        <w:rPr>
          <w:sz w:val="20"/>
          <w:szCs w:val="20"/>
          <w:lang w:val="en-GB"/>
        </w:rPr>
      </w:pPr>
      <w:r>
        <w:rPr>
          <w:sz w:val="20"/>
          <w:szCs w:val="20"/>
          <w:lang w:val="en-GB"/>
        </w:rPr>
        <w:t>During</w:t>
      </w:r>
      <w:r w:rsidR="0049575D" w:rsidRPr="00FB41EA">
        <w:rPr>
          <w:sz w:val="20"/>
          <w:szCs w:val="20"/>
          <w:lang w:val="en-GB"/>
        </w:rPr>
        <w:t xml:space="preserve"> 2007–2013</w:t>
      </w:r>
      <w:r>
        <w:rPr>
          <w:sz w:val="20"/>
          <w:szCs w:val="20"/>
          <w:lang w:val="en-GB"/>
        </w:rPr>
        <w:t xml:space="preserve">, the impact of the </w:t>
      </w:r>
      <w:r w:rsidRPr="007E647D">
        <w:rPr>
          <w:sz w:val="20"/>
          <w:szCs w:val="20"/>
          <w:lang w:val="en-GB"/>
        </w:rPr>
        <w:t>EU structural assistance</w:t>
      </w:r>
      <w:r>
        <w:rPr>
          <w:sz w:val="20"/>
          <w:szCs w:val="20"/>
          <w:lang w:val="en-GB"/>
        </w:rPr>
        <w:t xml:space="preserve"> </w:t>
      </w:r>
      <w:proofErr w:type="gramStart"/>
      <w:r>
        <w:rPr>
          <w:sz w:val="20"/>
          <w:szCs w:val="20"/>
          <w:lang w:val="en-GB"/>
        </w:rPr>
        <w:t xml:space="preserve">was </w:t>
      </w:r>
      <w:r w:rsidR="00FE4114">
        <w:rPr>
          <w:sz w:val="20"/>
          <w:szCs w:val="20"/>
          <w:lang w:val="en-GB"/>
        </w:rPr>
        <w:t>limited</w:t>
      </w:r>
      <w:proofErr w:type="gramEnd"/>
      <w:r>
        <w:rPr>
          <w:sz w:val="20"/>
          <w:szCs w:val="20"/>
          <w:lang w:val="en-GB"/>
        </w:rPr>
        <w:t xml:space="preserve"> by the financial crisis.</w:t>
      </w:r>
      <w:r w:rsidR="0049575D" w:rsidRPr="00FB41EA">
        <w:rPr>
          <w:sz w:val="20"/>
          <w:szCs w:val="20"/>
          <w:lang w:val="en-GB"/>
        </w:rPr>
        <w:t xml:space="preserve"> </w:t>
      </w:r>
      <w:r w:rsidR="00420FC0" w:rsidRPr="00420FC0">
        <w:rPr>
          <w:sz w:val="20"/>
          <w:szCs w:val="20"/>
          <w:lang w:val="en-GB"/>
        </w:rPr>
        <w:t>As for the horizontal priority of sustainable devel</w:t>
      </w:r>
      <w:r w:rsidR="00420FC0">
        <w:rPr>
          <w:sz w:val="20"/>
          <w:szCs w:val="20"/>
          <w:lang w:val="en-GB"/>
        </w:rPr>
        <w:t>opment, the support under OPEG 2</w:t>
      </w:r>
      <w:r w:rsidR="00420FC0" w:rsidRPr="00420FC0">
        <w:rPr>
          <w:sz w:val="20"/>
          <w:szCs w:val="20"/>
          <w:lang w:val="en-GB"/>
        </w:rPr>
        <w:t xml:space="preserve"> priority, “</w:t>
      </w:r>
      <w:r w:rsidR="00420FC0">
        <w:rPr>
          <w:sz w:val="20"/>
          <w:szCs w:val="20"/>
          <w:lang w:val="en-GB"/>
        </w:rPr>
        <w:t>I</w:t>
      </w:r>
      <w:r w:rsidR="00420FC0" w:rsidRPr="00420FC0">
        <w:rPr>
          <w:sz w:val="20"/>
          <w:szCs w:val="20"/>
          <w:lang w:val="en-GB"/>
        </w:rPr>
        <w:t xml:space="preserve">ncreasing Business Efficiency and Improving Business Environment”, meets the criteria of investments in the development of </w:t>
      </w:r>
      <w:r w:rsidR="000201E5">
        <w:rPr>
          <w:sz w:val="20"/>
          <w:szCs w:val="20"/>
          <w:lang w:val="en-GB"/>
        </w:rPr>
        <w:lastRenderedPageBreak/>
        <w:t>manufactured</w:t>
      </w:r>
      <w:r w:rsidR="00420FC0" w:rsidRPr="00420FC0">
        <w:rPr>
          <w:sz w:val="20"/>
          <w:szCs w:val="20"/>
          <w:lang w:val="en-GB"/>
        </w:rPr>
        <w:t xml:space="preserve"> </w:t>
      </w:r>
      <w:r w:rsidR="00420FC0">
        <w:rPr>
          <w:sz w:val="20"/>
          <w:szCs w:val="20"/>
          <w:lang w:val="en-GB"/>
        </w:rPr>
        <w:t xml:space="preserve">and social </w:t>
      </w:r>
      <w:r w:rsidR="00420FC0" w:rsidRPr="00420FC0">
        <w:rPr>
          <w:sz w:val="20"/>
          <w:szCs w:val="20"/>
          <w:lang w:val="en-GB"/>
        </w:rPr>
        <w:t xml:space="preserve">capital. Interpreting the data collected and the results of analysis performed during the Evaluation, it </w:t>
      </w:r>
      <w:proofErr w:type="gramStart"/>
      <w:r w:rsidR="00420FC0" w:rsidRPr="00420FC0">
        <w:rPr>
          <w:sz w:val="20"/>
          <w:szCs w:val="20"/>
          <w:lang w:val="en-GB"/>
        </w:rPr>
        <w:t>can be stated</w:t>
      </w:r>
      <w:proofErr w:type="gramEnd"/>
      <w:r w:rsidR="00420FC0" w:rsidRPr="00420FC0">
        <w:rPr>
          <w:sz w:val="20"/>
          <w:szCs w:val="20"/>
          <w:lang w:val="en-GB"/>
        </w:rPr>
        <w:t xml:space="preserve"> that the EU structural assistance made a </w:t>
      </w:r>
      <w:r w:rsidR="00420FC0">
        <w:rPr>
          <w:sz w:val="20"/>
          <w:szCs w:val="20"/>
          <w:lang w:val="en-GB"/>
        </w:rPr>
        <w:t>weak</w:t>
      </w:r>
      <w:r w:rsidR="00420FC0" w:rsidRPr="00420FC0">
        <w:rPr>
          <w:sz w:val="20"/>
          <w:szCs w:val="20"/>
          <w:lang w:val="en-GB"/>
        </w:rPr>
        <w:t xml:space="preserve"> positive impact.</w:t>
      </w:r>
      <w:r w:rsidR="00420FC0">
        <w:rPr>
          <w:sz w:val="20"/>
          <w:szCs w:val="20"/>
          <w:lang w:val="en-GB"/>
        </w:rPr>
        <w:t xml:space="preserve"> </w:t>
      </w:r>
    </w:p>
    <w:p w14:paraId="6118DABB" w14:textId="3B0E50F6" w:rsidR="00A013B6" w:rsidRPr="00FB41EA" w:rsidRDefault="00783F6B" w:rsidP="001A035B">
      <w:pPr>
        <w:autoSpaceDE w:val="0"/>
        <w:autoSpaceDN w:val="0"/>
        <w:adjustRightInd w:val="0"/>
        <w:spacing w:before="120" w:after="0" w:line="240" w:lineRule="auto"/>
        <w:jc w:val="both"/>
        <w:rPr>
          <w:sz w:val="20"/>
          <w:szCs w:val="20"/>
          <w:lang w:val="en-GB"/>
        </w:rPr>
      </w:pPr>
      <w:r>
        <w:rPr>
          <w:sz w:val="20"/>
          <w:szCs w:val="20"/>
          <w:lang w:val="en-GB"/>
        </w:rPr>
        <w:t xml:space="preserve">In </w:t>
      </w:r>
      <w:r w:rsidR="0049575D" w:rsidRPr="00FB41EA">
        <w:rPr>
          <w:sz w:val="20"/>
          <w:szCs w:val="20"/>
          <w:lang w:val="en-GB"/>
        </w:rPr>
        <w:t>2007–2013</w:t>
      </w:r>
      <w:r>
        <w:rPr>
          <w:sz w:val="20"/>
          <w:szCs w:val="20"/>
          <w:lang w:val="en-GB"/>
        </w:rPr>
        <w:t xml:space="preserve">, </w:t>
      </w:r>
      <w:r w:rsidRPr="00783F6B">
        <w:rPr>
          <w:sz w:val="20"/>
          <w:szCs w:val="20"/>
          <w:lang w:val="en-GB"/>
        </w:rPr>
        <w:t>the EU structural assistance made the most significant positive impact on</w:t>
      </w:r>
      <w:r>
        <w:rPr>
          <w:sz w:val="20"/>
          <w:szCs w:val="20"/>
          <w:lang w:val="en-GB"/>
        </w:rPr>
        <w:t xml:space="preserve"> the strategic context indicator, “</w:t>
      </w:r>
      <w:r w:rsidR="00EB2C18">
        <w:rPr>
          <w:sz w:val="20"/>
          <w:szCs w:val="20"/>
          <w:lang w:val="en"/>
        </w:rPr>
        <w:t>Ro-Ro C</w:t>
      </w:r>
      <w:r w:rsidR="00EB2C18" w:rsidRPr="00EB2C18">
        <w:rPr>
          <w:sz w:val="20"/>
          <w:szCs w:val="20"/>
          <w:lang w:val="en"/>
        </w:rPr>
        <w:t xml:space="preserve">argo </w:t>
      </w:r>
      <w:r w:rsidR="00EB2C18">
        <w:rPr>
          <w:sz w:val="20"/>
          <w:szCs w:val="20"/>
          <w:lang w:val="en"/>
        </w:rPr>
        <w:t>F</w:t>
      </w:r>
      <w:r w:rsidR="00EB2C18" w:rsidRPr="00EB2C18">
        <w:rPr>
          <w:sz w:val="20"/>
          <w:szCs w:val="20"/>
          <w:lang w:val="en"/>
        </w:rPr>
        <w:t xml:space="preserve">low in </w:t>
      </w:r>
      <w:proofErr w:type="spellStart"/>
      <w:r w:rsidR="00EB2C18" w:rsidRPr="00EB2C18">
        <w:rPr>
          <w:sz w:val="20"/>
          <w:szCs w:val="20"/>
          <w:lang w:val="en"/>
        </w:rPr>
        <w:t>Klaip</w:t>
      </w:r>
      <w:proofErr w:type="spellEnd"/>
      <w:r w:rsidR="00EB2C18">
        <w:rPr>
          <w:sz w:val="20"/>
          <w:szCs w:val="20"/>
        </w:rPr>
        <w:t>ė</w:t>
      </w:r>
      <w:r w:rsidR="00EB2C18" w:rsidRPr="00EB2C18">
        <w:rPr>
          <w:sz w:val="20"/>
          <w:szCs w:val="20"/>
          <w:lang w:val="en"/>
        </w:rPr>
        <w:t xml:space="preserve">da </w:t>
      </w:r>
      <w:r w:rsidR="00EB2C18">
        <w:rPr>
          <w:sz w:val="20"/>
          <w:szCs w:val="20"/>
          <w:lang w:val="en"/>
        </w:rPr>
        <w:t>P</w:t>
      </w:r>
      <w:r w:rsidR="00EB2C18" w:rsidRPr="00EB2C18">
        <w:rPr>
          <w:sz w:val="20"/>
          <w:szCs w:val="20"/>
          <w:lang w:val="en"/>
        </w:rPr>
        <w:t>ort</w:t>
      </w:r>
      <w:r w:rsidR="00EB2C18" w:rsidRPr="00EB2C18">
        <w:rPr>
          <w:sz w:val="20"/>
          <w:szCs w:val="20"/>
          <w:lang w:val="en-GB"/>
        </w:rPr>
        <w:t xml:space="preserve"> </w:t>
      </w:r>
      <w:r w:rsidR="00EB2C18">
        <w:rPr>
          <w:sz w:val="20"/>
          <w:szCs w:val="20"/>
          <w:lang w:val="en-GB"/>
        </w:rPr>
        <w:t>(m</w:t>
      </w:r>
      <w:r w:rsidR="0049575D" w:rsidRPr="00FB41EA">
        <w:rPr>
          <w:sz w:val="20"/>
          <w:szCs w:val="20"/>
          <w:lang w:val="en-GB"/>
        </w:rPr>
        <w:t xml:space="preserve"> t)</w:t>
      </w:r>
      <w:r w:rsidR="00EB2C18">
        <w:rPr>
          <w:sz w:val="20"/>
          <w:szCs w:val="20"/>
          <w:lang w:val="en-GB"/>
        </w:rPr>
        <w:t>.”</w:t>
      </w:r>
      <w:r w:rsidR="0049575D" w:rsidRPr="00FB41EA">
        <w:rPr>
          <w:sz w:val="20"/>
          <w:szCs w:val="20"/>
          <w:lang w:val="en-GB"/>
        </w:rPr>
        <w:t xml:space="preserve"> </w:t>
      </w:r>
      <w:r w:rsidR="00EB2C18">
        <w:rPr>
          <w:sz w:val="20"/>
          <w:szCs w:val="20"/>
          <w:lang w:val="en-GB"/>
        </w:rPr>
        <w:t xml:space="preserve">Although </w:t>
      </w:r>
      <w:r w:rsidR="00EB2C18" w:rsidRPr="00EB2C18">
        <w:rPr>
          <w:sz w:val="20"/>
          <w:szCs w:val="20"/>
          <w:lang w:val="en-GB"/>
        </w:rPr>
        <w:t xml:space="preserve">statistically </w:t>
      </w:r>
      <w:r w:rsidR="00EB2C18">
        <w:rPr>
          <w:sz w:val="20"/>
          <w:szCs w:val="20"/>
          <w:lang w:val="en-GB"/>
        </w:rPr>
        <w:t>large</w:t>
      </w:r>
      <w:r w:rsidR="00EB2C18" w:rsidRPr="00EB2C18">
        <w:rPr>
          <w:sz w:val="20"/>
          <w:szCs w:val="20"/>
          <w:lang w:val="en-GB"/>
        </w:rPr>
        <w:t xml:space="preserve"> negative </w:t>
      </w:r>
      <w:r w:rsidR="00EB2C18">
        <w:rPr>
          <w:sz w:val="20"/>
          <w:szCs w:val="20"/>
          <w:lang w:val="en-GB"/>
        </w:rPr>
        <w:t>impact</w:t>
      </w:r>
      <w:r w:rsidR="00EB2C18" w:rsidRPr="00EB2C18">
        <w:rPr>
          <w:sz w:val="20"/>
          <w:szCs w:val="20"/>
          <w:lang w:val="en-GB"/>
        </w:rPr>
        <w:t xml:space="preserve"> on any of the strategic context or sustainable development indicators ha</w:t>
      </w:r>
      <w:r w:rsidR="00162E86">
        <w:rPr>
          <w:sz w:val="20"/>
          <w:szCs w:val="20"/>
          <w:lang w:val="en-GB"/>
        </w:rPr>
        <w:t>s</w:t>
      </w:r>
      <w:r w:rsidR="00EB2C18" w:rsidRPr="00EB2C18">
        <w:rPr>
          <w:sz w:val="20"/>
          <w:szCs w:val="20"/>
          <w:lang w:val="en-GB"/>
        </w:rPr>
        <w:t xml:space="preserve"> </w:t>
      </w:r>
      <w:r w:rsidR="00563450">
        <w:rPr>
          <w:sz w:val="20"/>
          <w:szCs w:val="20"/>
          <w:lang w:val="en-GB"/>
        </w:rPr>
        <w:t xml:space="preserve">not </w:t>
      </w:r>
      <w:proofErr w:type="gramStart"/>
      <w:r w:rsidR="00EB2C18" w:rsidRPr="00EB2C18">
        <w:rPr>
          <w:sz w:val="20"/>
          <w:szCs w:val="20"/>
          <w:lang w:val="en-GB"/>
        </w:rPr>
        <w:t xml:space="preserve">been </w:t>
      </w:r>
      <w:r w:rsidR="00162E86">
        <w:rPr>
          <w:sz w:val="20"/>
          <w:szCs w:val="20"/>
          <w:lang w:val="en-GB"/>
        </w:rPr>
        <w:t>noticed</w:t>
      </w:r>
      <w:proofErr w:type="gramEnd"/>
      <w:r w:rsidR="00EB2C18" w:rsidRPr="00EB2C18">
        <w:rPr>
          <w:sz w:val="20"/>
          <w:szCs w:val="20"/>
          <w:lang w:val="en-GB"/>
        </w:rPr>
        <w:t xml:space="preserve">, local </w:t>
      </w:r>
      <w:r w:rsidR="00162E86">
        <w:rPr>
          <w:sz w:val="20"/>
          <w:szCs w:val="20"/>
          <w:lang w:val="en-GB"/>
        </w:rPr>
        <w:t>municipal</w:t>
      </w:r>
      <w:r w:rsidR="00EB2C18" w:rsidRPr="00EB2C18">
        <w:rPr>
          <w:sz w:val="20"/>
          <w:szCs w:val="20"/>
          <w:lang w:val="en-GB"/>
        </w:rPr>
        <w:t xml:space="preserve"> case study reveals </w:t>
      </w:r>
      <w:r w:rsidR="00162E86">
        <w:rPr>
          <w:sz w:val="20"/>
          <w:szCs w:val="20"/>
          <w:lang w:val="en-GB"/>
        </w:rPr>
        <w:t>a</w:t>
      </w:r>
      <w:r w:rsidR="00EB2C18" w:rsidRPr="00EB2C18">
        <w:rPr>
          <w:sz w:val="20"/>
          <w:szCs w:val="20"/>
          <w:lang w:val="en-GB"/>
        </w:rPr>
        <w:t xml:space="preserve"> potential</w:t>
      </w:r>
      <w:r w:rsidR="00162E86">
        <w:rPr>
          <w:sz w:val="20"/>
          <w:szCs w:val="20"/>
          <w:lang w:val="en-GB"/>
        </w:rPr>
        <w:t>ly adverse impact on</w:t>
      </w:r>
      <w:r w:rsidR="00EB2C18" w:rsidRPr="00EB2C18">
        <w:rPr>
          <w:sz w:val="20"/>
          <w:szCs w:val="20"/>
          <w:lang w:val="en-GB"/>
        </w:rPr>
        <w:t xml:space="preserve"> environmental pollution indicators.</w:t>
      </w:r>
      <w:r w:rsidR="00EB2C18">
        <w:rPr>
          <w:sz w:val="20"/>
          <w:szCs w:val="20"/>
          <w:lang w:val="en-GB"/>
        </w:rPr>
        <w:t xml:space="preserve"> </w:t>
      </w:r>
      <w:r w:rsidR="00162E86" w:rsidRPr="00162E86">
        <w:rPr>
          <w:sz w:val="20"/>
          <w:szCs w:val="20"/>
          <w:lang w:val="en-GB"/>
        </w:rPr>
        <w:t xml:space="preserve">As for the horizontal priority of sustainable development, the support under OPEG </w:t>
      </w:r>
      <w:r w:rsidR="00162E86">
        <w:rPr>
          <w:sz w:val="20"/>
          <w:szCs w:val="20"/>
          <w:lang w:val="en-GB"/>
        </w:rPr>
        <w:t>4</w:t>
      </w:r>
      <w:r w:rsidR="00162E86" w:rsidRPr="00162E86">
        <w:rPr>
          <w:sz w:val="20"/>
          <w:szCs w:val="20"/>
          <w:lang w:val="en-GB"/>
        </w:rPr>
        <w:t xml:space="preserve"> priority, “Basic Economic Infrastructure”, meets the criteria of investments in the development of </w:t>
      </w:r>
      <w:r w:rsidR="000201E5">
        <w:rPr>
          <w:sz w:val="20"/>
          <w:szCs w:val="20"/>
          <w:lang w:val="en-GB"/>
        </w:rPr>
        <w:t xml:space="preserve">manufactured </w:t>
      </w:r>
      <w:r w:rsidR="00162E86" w:rsidRPr="00162E86">
        <w:rPr>
          <w:sz w:val="20"/>
          <w:szCs w:val="20"/>
          <w:lang w:val="en-GB"/>
        </w:rPr>
        <w:t xml:space="preserve">capital. Interpreting the data collected and the results of analysis performed during the Evaluation, it </w:t>
      </w:r>
      <w:proofErr w:type="gramStart"/>
      <w:r w:rsidR="00162E86" w:rsidRPr="00162E86">
        <w:rPr>
          <w:sz w:val="20"/>
          <w:szCs w:val="20"/>
          <w:lang w:val="en-GB"/>
        </w:rPr>
        <w:t>can be stated</w:t>
      </w:r>
      <w:proofErr w:type="gramEnd"/>
      <w:r w:rsidR="00162E86" w:rsidRPr="00162E86">
        <w:rPr>
          <w:sz w:val="20"/>
          <w:szCs w:val="20"/>
          <w:lang w:val="en-GB"/>
        </w:rPr>
        <w:t xml:space="preserve"> that the EU structural assistance made a </w:t>
      </w:r>
      <w:r w:rsidR="008104F6">
        <w:rPr>
          <w:sz w:val="20"/>
          <w:szCs w:val="20"/>
          <w:lang w:val="en-GB"/>
        </w:rPr>
        <w:t>double impact:</w:t>
      </w:r>
      <w:r w:rsidR="00162E86">
        <w:rPr>
          <w:sz w:val="20"/>
          <w:szCs w:val="20"/>
          <w:lang w:val="en-GB"/>
        </w:rPr>
        <w:t xml:space="preserve"> </w:t>
      </w:r>
      <w:r w:rsidR="008104F6">
        <w:rPr>
          <w:sz w:val="20"/>
          <w:szCs w:val="20"/>
          <w:lang w:val="en-GB"/>
        </w:rPr>
        <w:t xml:space="preserve">positive influence on economic operations and transport network, yet potentially negative influence on </w:t>
      </w:r>
      <w:r w:rsidR="008104F6" w:rsidRPr="008104F6">
        <w:rPr>
          <w:sz w:val="20"/>
          <w:szCs w:val="20"/>
          <w:lang w:val="en-GB"/>
        </w:rPr>
        <w:t>environmental pollution indicators</w:t>
      </w:r>
      <w:r w:rsidR="0049575D" w:rsidRPr="00FB41EA">
        <w:rPr>
          <w:sz w:val="20"/>
          <w:szCs w:val="20"/>
          <w:lang w:val="en-GB"/>
        </w:rPr>
        <w:t>.</w:t>
      </w:r>
    </w:p>
    <w:p w14:paraId="118C218C" w14:textId="51531A5D" w:rsidR="0049575D" w:rsidRPr="00FB41EA" w:rsidRDefault="008104F6" w:rsidP="0049575D">
      <w:pPr>
        <w:autoSpaceDE w:val="0"/>
        <w:autoSpaceDN w:val="0"/>
        <w:adjustRightInd w:val="0"/>
        <w:spacing w:before="120" w:after="0" w:line="240" w:lineRule="auto"/>
        <w:jc w:val="both"/>
        <w:rPr>
          <w:sz w:val="20"/>
          <w:szCs w:val="20"/>
          <w:lang w:val="en-GB"/>
        </w:rPr>
      </w:pPr>
      <w:r>
        <w:rPr>
          <w:sz w:val="20"/>
          <w:szCs w:val="20"/>
          <w:lang w:val="en-GB"/>
        </w:rPr>
        <w:t xml:space="preserve">In the context of </w:t>
      </w:r>
      <w:r w:rsidRPr="008104F6">
        <w:rPr>
          <w:sz w:val="20"/>
          <w:szCs w:val="20"/>
          <w:lang w:val="en-GB"/>
        </w:rPr>
        <w:t>OPEG 5 priority, “Trans-European</w:t>
      </w:r>
      <w:r w:rsidR="008C0BF1">
        <w:rPr>
          <w:sz w:val="20"/>
          <w:szCs w:val="20"/>
          <w:lang w:val="en-GB"/>
        </w:rPr>
        <w:t xml:space="preserve"> Transport Network Development”, </w:t>
      </w:r>
      <w:r w:rsidR="008C0BF1" w:rsidRPr="008C0BF1">
        <w:rPr>
          <w:sz w:val="20"/>
          <w:szCs w:val="20"/>
          <w:lang w:val="en-GB"/>
        </w:rPr>
        <w:t xml:space="preserve">the EU structural assistance made a </w:t>
      </w:r>
      <w:r w:rsidR="008C0BF1">
        <w:rPr>
          <w:sz w:val="20"/>
          <w:szCs w:val="20"/>
          <w:lang w:val="en-GB"/>
        </w:rPr>
        <w:t>significant</w:t>
      </w:r>
      <w:r w:rsidR="008C0BF1" w:rsidRPr="008C0BF1">
        <w:rPr>
          <w:sz w:val="20"/>
          <w:szCs w:val="20"/>
          <w:lang w:val="en-GB"/>
        </w:rPr>
        <w:t xml:space="preserve"> impact </w:t>
      </w:r>
      <w:r w:rsidR="008C0BF1">
        <w:rPr>
          <w:sz w:val="20"/>
          <w:szCs w:val="20"/>
          <w:lang w:val="en-GB"/>
        </w:rPr>
        <w:t>on the changes of road and airport network/infrastructure. L</w:t>
      </w:r>
      <w:r w:rsidR="008C0BF1" w:rsidRPr="008C0BF1">
        <w:rPr>
          <w:sz w:val="20"/>
          <w:szCs w:val="20"/>
          <w:lang w:val="en-GB"/>
        </w:rPr>
        <w:t>ocal municipal case stud</w:t>
      </w:r>
      <w:r w:rsidR="008C0BF1">
        <w:rPr>
          <w:sz w:val="20"/>
          <w:szCs w:val="20"/>
          <w:lang w:val="en-GB"/>
        </w:rPr>
        <w:t>ies reveal</w:t>
      </w:r>
      <w:r w:rsidR="008C0BF1" w:rsidRPr="008C0BF1">
        <w:rPr>
          <w:sz w:val="20"/>
          <w:szCs w:val="20"/>
          <w:lang w:val="en-GB"/>
        </w:rPr>
        <w:t xml:space="preserve"> a potentially adverse impact on environmental pollution indicators. </w:t>
      </w:r>
      <w:r w:rsidR="00BF344A" w:rsidRPr="00BF344A">
        <w:rPr>
          <w:sz w:val="20"/>
          <w:szCs w:val="20"/>
          <w:lang w:val="en-GB"/>
        </w:rPr>
        <w:t xml:space="preserve">As for the horizontal priority of sustainable development, the support under OPEG </w:t>
      </w:r>
      <w:r w:rsidR="00BF344A">
        <w:rPr>
          <w:sz w:val="20"/>
          <w:szCs w:val="20"/>
          <w:lang w:val="en-GB"/>
        </w:rPr>
        <w:t>5</w:t>
      </w:r>
      <w:r w:rsidR="00BF344A" w:rsidRPr="00BF344A">
        <w:rPr>
          <w:sz w:val="20"/>
          <w:szCs w:val="20"/>
          <w:lang w:val="en-GB"/>
        </w:rPr>
        <w:t xml:space="preserve"> priority, “Trans-European Transport Network Development”, meets the criteria of investments in the development of </w:t>
      </w:r>
      <w:r w:rsidR="000201E5">
        <w:rPr>
          <w:sz w:val="20"/>
          <w:szCs w:val="20"/>
          <w:lang w:val="en-GB"/>
        </w:rPr>
        <w:t>manufactured</w:t>
      </w:r>
      <w:r w:rsidR="00BF344A" w:rsidRPr="00BF344A">
        <w:rPr>
          <w:sz w:val="20"/>
          <w:szCs w:val="20"/>
          <w:lang w:val="en-GB"/>
        </w:rPr>
        <w:t xml:space="preserve"> capital. Interpreting the data collected and the results of analysis performed during the Evaluation, it </w:t>
      </w:r>
      <w:proofErr w:type="gramStart"/>
      <w:r w:rsidR="00BF344A" w:rsidRPr="00BF344A">
        <w:rPr>
          <w:sz w:val="20"/>
          <w:szCs w:val="20"/>
          <w:lang w:val="en-GB"/>
        </w:rPr>
        <w:t>can be stated</w:t>
      </w:r>
      <w:proofErr w:type="gramEnd"/>
      <w:r w:rsidR="00BF344A" w:rsidRPr="00BF344A">
        <w:rPr>
          <w:sz w:val="20"/>
          <w:szCs w:val="20"/>
          <w:lang w:val="en-GB"/>
        </w:rPr>
        <w:t xml:space="preserve"> that the EU structural assistance made a double impact: positive influence on economic operations and transport network, yet potentially negative influence on environmental pollution indicators.</w:t>
      </w:r>
      <w:r w:rsidR="00BF344A">
        <w:rPr>
          <w:sz w:val="20"/>
          <w:szCs w:val="20"/>
          <w:lang w:val="en-GB"/>
        </w:rPr>
        <w:t xml:space="preserve"> </w:t>
      </w:r>
    </w:p>
    <w:p w14:paraId="47EFBF57" w14:textId="312D3A8B" w:rsidR="0049575D" w:rsidRPr="00FB41EA" w:rsidRDefault="00C572F1" w:rsidP="0049575D">
      <w:pPr>
        <w:autoSpaceDE w:val="0"/>
        <w:autoSpaceDN w:val="0"/>
        <w:adjustRightInd w:val="0"/>
        <w:spacing w:before="120" w:after="0" w:line="240" w:lineRule="auto"/>
        <w:jc w:val="both"/>
        <w:rPr>
          <w:sz w:val="20"/>
          <w:szCs w:val="20"/>
          <w:lang w:val="en-GB"/>
        </w:rPr>
      </w:pPr>
      <w:r w:rsidRPr="00C572F1">
        <w:rPr>
          <w:sz w:val="20"/>
          <w:szCs w:val="20"/>
          <w:lang w:val="en-GB"/>
        </w:rPr>
        <w:t xml:space="preserve">In the case of </w:t>
      </w:r>
      <w:r w:rsidR="00DF12AB">
        <w:rPr>
          <w:b/>
          <w:sz w:val="20"/>
          <w:szCs w:val="20"/>
          <w:lang w:val="en-GB"/>
        </w:rPr>
        <w:t>OPPC</w:t>
      </w:r>
      <w:r w:rsidRPr="00C572F1">
        <w:rPr>
          <w:sz w:val="20"/>
          <w:szCs w:val="20"/>
          <w:lang w:val="en-GB"/>
        </w:rPr>
        <w:t xml:space="preserve">, the following four priorities were assessed: </w:t>
      </w:r>
      <w:proofErr w:type="gramStart"/>
      <w:r w:rsidRPr="00C572F1">
        <w:rPr>
          <w:sz w:val="20"/>
          <w:szCs w:val="20"/>
          <w:lang w:val="en-GB"/>
        </w:rPr>
        <w:t>1</w:t>
      </w:r>
      <w:proofErr w:type="gramEnd"/>
      <w:r w:rsidRPr="00C572F1">
        <w:rPr>
          <w:sz w:val="20"/>
          <w:szCs w:val="20"/>
          <w:lang w:val="en-GB"/>
        </w:rPr>
        <w:t xml:space="preserve"> priority, “Local and Urban Development; Preservation of Cultural Heritage and Environment as well as Adaptation for Tourism Development</w:t>
      </w:r>
      <w:r>
        <w:rPr>
          <w:sz w:val="20"/>
          <w:szCs w:val="20"/>
          <w:lang w:val="en-GB"/>
        </w:rPr>
        <w:t xml:space="preserve">”; </w:t>
      </w:r>
      <w:r w:rsidR="0049575D" w:rsidRPr="00FB41EA">
        <w:rPr>
          <w:sz w:val="20"/>
          <w:szCs w:val="20"/>
          <w:lang w:val="en-GB"/>
        </w:rPr>
        <w:t xml:space="preserve">2 </w:t>
      </w:r>
      <w:r w:rsidR="00DF12AB" w:rsidRPr="00DF12AB">
        <w:rPr>
          <w:sz w:val="20"/>
          <w:szCs w:val="20"/>
          <w:lang w:val="en-GB"/>
        </w:rPr>
        <w:t>priority, “Quality and Accessibility of Public Services: Health, Education and Social Infrastructure</w:t>
      </w:r>
      <w:r w:rsidR="00DF12AB">
        <w:rPr>
          <w:sz w:val="20"/>
          <w:szCs w:val="20"/>
          <w:lang w:val="en-GB"/>
        </w:rPr>
        <w:t xml:space="preserve">”; </w:t>
      </w:r>
      <w:r w:rsidR="0049575D" w:rsidRPr="00FB41EA">
        <w:rPr>
          <w:sz w:val="20"/>
          <w:szCs w:val="20"/>
          <w:lang w:val="en-GB"/>
        </w:rPr>
        <w:t xml:space="preserve">3 </w:t>
      </w:r>
      <w:r w:rsidR="00DF12AB" w:rsidRPr="00DF12AB">
        <w:rPr>
          <w:sz w:val="20"/>
          <w:szCs w:val="20"/>
          <w:lang w:val="en-GB"/>
        </w:rPr>
        <w:t>priority, “Environment and Sustainable Development</w:t>
      </w:r>
      <w:r w:rsidR="00DF12AB">
        <w:rPr>
          <w:sz w:val="20"/>
          <w:szCs w:val="20"/>
          <w:lang w:val="en-GB"/>
        </w:rPr>
        <w:t>.”</w:t>
      </w:r>
    </w:p>
    <w:p w14:paraId="538C5162" w14:textId="0938B15A" w:rsidR="00A013B6" w:rsidRPr="00FB41EA" w:rsidRDefault="000953AC" w:rsidP="00A013B6">
      <w:pPr>
        <w:autoSpaceDE w:val="0"/>
        <w:autoSpaceDN w:val="0"/>
        <w:adjustRightInd w:val="0"/>
        <w:spacing w:before="120" w:after="0" w:line="240" w:lineRule="auto"/>
        <w:jc w:val="both"/>
        <w:rPr>
          <w:sz w:val="20"/>
          <w:szCs w:val="20"/>
          <w:lang w:val="en-GB"/>
        </w:rPr>
      </w:pPr>
      <w:r>
        <w:rPr>
          <w:sz w:val="20"/>
          <w:szCs w:val="20"/>
          <w:lang w:val="en-GB"/>
        </w:rPr>
        <w:t>T</w:t>
      </w:r>
      <w:r w:rsidRPr="000953AC">
        <w:rPr>
          <w:sz w:val="20"/>
          <w:szCs w:val="20"/>
          <w:lang w:val="en-GB"/>
        </w:rPr>
        <w:t xml:space="preserve">he EU structural assistance made </w:t>
      </w:r>
      <w:r>
        <w:rPr>
          <w:sz w:val="20"/>
          <w:szCs w:val="20"/>
          <w:lang w:val="en-GB"/>
        </w:rPr>
        <w:t>a</w:t>
      </w:r>
      <w:r w:rsidRPr="000953AC">
        <w:rPr>
          <w:sz w:val="20"/>
          <w:szCs w:val="20"/>
          <w:lang w:val="en-GB"/>
        </w:rPr>
        <w:t xml:space="preserve"> positive impact on </w:t>
      </w:r>
      <w:r>
        <w:rPr>
          <w:sz w:val="20"/>
          <w:szCs w:val="20"/>
          <w:lang w:val="en-GB"/>
        </w:rPr>
        <w:t>regional and tourism development</w:t>
      </w:r>
      <w:r w:rsidR="0049575D" w:rsidRPr="00FB41EA">
        <w:rPr>
          <w:sz w:val="20"/>
          <w:szCs w:val="20"/>
          <w:lang w:val="en-GB"/>
        </w:rPr>
        <w:t xml:space="preserve">. </w:t>
      </w:r>
      <w:r w:rsidR="00242C0A">
        <w:rPr>
          <w:sz w:val="20"/>
          <w:szCs w:val="20"/>
          <w:lang w:val="en-GB"/>
        </w:rPr>
        <w:t xml:space="preserve">However, the </w:t>
      </w:r>
      <w:r w:rsidR="00242C0A" w:rsidRPr="00242C0A">
        <w:rPr>
          <w:sz w:val="20"/>
          <w:szCs w:val="20"/>
          <w:lang w:val="en-GB"/>
        </w:rPr>
        <w:t xml:space="preserve">impact on </w:t>
      </w:r>
      <w:r w:rsidR="000201E5">
        <w:rPr>
          <w:sz w:val="20"/>
          <w:szCs w:val="20"/>
          <w:lang w:val="en-GB"/>
        </w:rPr>
        <w:t>natural</w:t>
      </w:r>
      <w:r w:rsidR="00242C0A">
        <w:rPr>
          <w:sz w:val="20"/>
          <w:szCs w:val="20"/>
          <w:lang w:val="en-GB"/>
        </w:rPr>
        <w:t xml:space="preserve"> capital was not positive</w:t>
      </w:r>
      <w:r w:rsidR="0049575D" w:rsidRPr="00FB41EA">
        <w:rPr>
          <w:sz w:val="20"/>
          <w:szCs w:val="20"/>
          <w:lang w:val="en-GB"/>
        </w:rPr>
        <w:t xml:space="preserve">: </w:t>
      </w:r>
      <w:r w:rsidR="00242C0A">
        <w:rPr>
          <w:sz w:val="20"/>
          <w:szCs w:val="20"/>
          <w:lang w:val="en-GB"/>
        </w:rPr>
        <w:t xml:space="preserve">in separate cases, </w:t>
      </w:r>
      <w:proofErr w:type="gramStart"/>
      <w:r w:rsidR="00242C0A">
        <w:rPr>
          <w:sz w:val="20"/>
          <w:szCs w:val="20"/>
          <w:lang w:val="en-GB"/>
        </w:rPr>
        <w:t>more active economic activity</w:t>
      </w:r>
      <w:proofErr w:type="gramEnd"/>
      <w:r w:rsidR="00242C0A">
        <w:rPr>
          <w:sz w:val="20"/>
          <w:szCs w:val="20"/>
          <w:lang w:val="en-GB"/>
        </w:rPr>
        <w:t xml:space="preserve"> determined the trends of increased environmental pollution indicators. </w:t>
      </w:r>
      <w:r w:rsidR="00242C0A" w:rsidRPr="00242C0A">
        <w:rPr>
          <w:sz w:val="20"/>
          <w:szCs w:val="20"/>
          <w:lang w:val="en-GB"/>
        </w:rPr>
        <w:t xml:space="preserve">As for the horizontal priority of sustainable development, the support under </w:t>
      </w:r>
      <w:r w:rsidR="00446C8A">
        <w:rPr>
          <w:sz w:val="20"/>
          <w:szCs w:val="20"/>
          <w:lang w:val="en-GB"/>
        </w:rPr>
        <w:t>OPPC</w:t>
      </w:r>
      <w:r w:rsidR="00242C0A" w:rsidRPr="00242C0A">
        <w:rPr>
          <w:sz w:val="20"/>
          <w:szCs w:val="20"/>
          <w:lang w:val="en-GB"/>
        </w:rPr>
        <w:t xml:space="preserve"> 1 priority, “</w:t>
      </w:r>
      <w:r w:rsidR="00446C8A" w:rsidRPr="00446C8A">
        <w:rPr>
          <w:sz w:val="20"/>
          <w:szCs w:val="20"/>
          <w:lang w:val="en-GB"/>
        </w:rPr>
        <w:t>Local and Urban Development; Preservation of Cultural Heritage and Environment as well as Adaptation for Tourism Development</w:t>
      </w:r>
      <w:r w:rsidR="00242C0A" w:rsidRPr="00242C0A">
        <w:rPr>
          <w:sz w:val="20"/>
          <w:szCs w:val="20"/>
          <w:lang w:val="en-GB"/>
        </w:rPr>
        <w:t xml:space="preserve">”, meets the criteria of investments in the development of </w:t>
      </w:r>
      <w:r w:rsidR="000201E5">
        <w:rPr>
          <w:sz w:val="20"/>
          <w:szCs w:val="20"/>
          <w:lang w:val="en-GB"/>
        </w:rPr>
        <w:t>manufactured</w:t>
      </w:r>
      <w:r w:rsidR="00242C0A" w:rsidRPr="00242C0A">
        <w:rPr>
          <w:sz w:val="20"/>
          <w:szCs w:val="20"/>
          <w:lang w:val="en-GB"/>
        </w:rPr>
        <w:t xml:space="preserve"> </w:t>
      </w:r>
      <w:r w:rsidR="00446C8A">
        <w:rPr>
          <w:sz w:val="20"/>
          <w:szCs w:val="20"/>
          <w:lang w:val="en-GB"/>
        </w:rPr>
        <w:t xml:space="preserve">and </w:t>
      </w:r>
      <w:r w:rsidR="000201E5">
        <w:rPr>
          <w:sz w:val="20"/>
          <w:szCs w:val="20"/>
          <w:lang w:val="en-GB"/>
        </w:rPr>
        <w:t>natural</w:t>
      </w:r>
      <w:r w:rsidR="00446C8A">
        <w:rPr>
          <w:sz w:val="20"/>
          <w:szCs w:val="20"/>
          <w:lang w:val="en-GB"/>
        </w:rPr>
        <w:t xml:space="preserve"> </w:t>
      </w:r>
      <w:r w:rsidR="00242C0A" w:rsidRPr="00242C0A">
        <w:rPr>
          <w:sz w:val="20"/>
          <w:szCs w:val="20"/>
          <w:lang w:val="en-GB"/>
        </w:rPr>
        <w:t xml:space="preserve">capital. Interpreting the data collected and the results of analysis performed during the Evaluation, it </w:t>
      </w:r>
      <w:proofErr w:type="gramStart"/>
      <w:r w:rsidR="00242C0A" w:rsidRPr="00242C0A">
        <w:rPr>
          <w:sz w:val="20"/>
          <w:szCs w:val="20"/>
          <w:lang w:val="en-GB"/>
        </w:rPr>
        <w:t>can be stated</w:t>
      </w:r>
      <w:proofErr w:type="gramEnd"/>
      <w:r w:rsidR="00242C0A" w:rsidRPr="00242C0A">
        <w:rPr>
          <w:sz w:val="20"/>
          <w:szCs w:val="20"/>
          <w:lang w:val="en-GB"/>
        </w:rPr>
        <w:t xml:space="preserve"> that the EU structural assistance made a positive impact</w:t>
      </w:r>
      <w:r w:rsidR="00446C8A">
        <w:rPr>
          <w:sz w:val="20"/>
          <w:szCs w:val="20"/>
          <w:lang w:val="en-GB"/>
        </w:rPr>
        <w:t xml:space="preserve"> on economic operations</w:t>
      </w:r>
      <w:r w:rsidR="00242C0A" w:rsidRPr="00242C0A">
        <w:rPr>
          <w:sz w:val="20"/>
          <w:szCs w:val="20"/>
          <w:lang w:val="en-GB"/>
        </w:rPr>
        <w:t>.</w:t>
      </w:r>
      <w:r w:rsidR="00446C8A">
        <w:rPr>
          <w:sz w:val="20"/>
          <w:szCs w:val="20"/>
          <w:lang w:val="en-GB"/>
        </w:rPr>
        <w:t xml:space="preserve"> </w:t>
      </w:r>
    </w:p>
    <w:p w14:paraId="491B0234" w14:textId="1ACEF91A" w:rsidR="0049575D" w:rsidRPr="00FB41EA" w:rsidRDefault="00B43C82" w:rsidP="0049575D">
      <w:pPr>
        <w:autoSpaceDE w:val="0"/>
        <w:autoSpaceDN w:val="0"/>
        <w:adjustRightInd w:val="0"/>
        <w:spacing w:before="120" w:after="0" w:line="240" w:lineRule="auto"/>
        <w:jc w:val="both"/>
        <w:rPr>
          <w:sz w:val="20"/>
          <w:szCs w:val="20"/>
          <w:lang w:val="en-GB"/>
        </w:rPr>
      </w:pPr>
      <w:r>
        <w:rPr>
          <w:sz w:val="20"/>
          <w:szCs w:val="20"/>
          <w:lang w:val="en-GB"/>
        </w:rPr>
        <w:t>The Evaluation confirms that t</w:t>
      </w:r>
      <w:r w:rsidRPr="00B43C82">
        <w:rPr>
          <w:sz w:val="20"/>
          <w:szCs w:val="20"/>
          <w:lang w:val="en-GB"/>
        </w:rPr>
        <w:t xml:space="preserve">he EU structural assistance made a positive impact on </w:t>
      </w:r>
      <w:r>
        <w:rPr>
          <w:sz w:val="20"/>
          <w:szCs w:val="20"/>
          <w:lang w:val="en-GB"/>
        </w:rPr>
        <w:t xml:space="preserve">all three areas of investments in infrastructure </w:t>
      </w:r>
      <w:r w:rsidR="0049575D" w:rsidRPr="00FB41EA">
        <w:rPr>
          <w:sz w:val="20"/>
          <w:szCs w:val="20"/>
          <w:lang w:val="en-GB"/>
        </w:rPr>
        <w:t xml:space="preserve">– </w:t>
      </w:r>
      <w:r>
        <w:rPr>
          <w:sz w:val="20"/>
          <w:szCs w:val="20"/>
          <w:lang w:val="en-GB"/>
        </w:rPr>
        <w:t>health, education and social inclusion</w:t>
      </w:r>
      <w:r w:rsidR="0049575D" w:rsidRPr="00FB41EA">
        <w:rPr>
          <w:sz w:val="20"/>
          <w:szCs w:val="20"/>
          <w:lang w:val="en-GB"/>
        </w:rPr>
        <w:t xml:space="preserve">. </w:t>
      </w:r>
      <w:r w:rsidRPr="00B43C82">
        <w:rPr>
          <w:sz w:val="20"/>
          <w:szCs w:val="20"/>
          <w:lang w:val="en-GB"/>
        </w:rPr>
        <w:t xml:space="preserve">As for the horizontal priority of sustainable development, the support under OPPC </w:t>
      </w:r>
      <w:r>
        <w:rPr>
          <w:sz w:val="20"/>
          <w:szCs w:val="20"/>
          <w:lang w:val="en-GB"/>
        </w:rPr>
        <w:t>2</w:t>
      </w:r>
      <w:r w:rsidRPr="00B43C82">
        <w:rPr>
          <w:sz w:val="20"/>
          <w:szCs w:val="20"/>
          <w:lang w:val="en-GB"/>
        </w:rPr>
        <w:t xml:space="preserve"> priority, “Quality and Accessibility of Public Services: Health, Education and Social Infrastructure”, meets the criteria of investments in the development of </w:t>
      </w:r>
      <w:r w:rsidR="000201E5">
        <w:rPr>
          <w:sz w:val="20"/>
          <w:szCs w:val="20"/>
          <w:lang w:val="en-GB"/>
        </w:rPr>
        <w:t>manufactured</w:t>
      </w:r>
      <w:r w:rsidRPr="00B43C82">
        <w:rPr>
          <w:sz w:val="20"/>
          <w:szCs w:val="20"/>
          <w:lang w:val="en-GB"/>
        </w:rPr>
        <w:t xml:space="preserve"> and </w:t>
      </w:r>
      <w:r w:rsidR="00D97B2C">
        <w:rPr>
          <w:sz w:val="20"/>
          <w:szCs w:val="20"/>
          <w:lang w:val="en-GB"/>
        </w:rPr>
        <w:t>human</w:t>
      </w:r>
      <w:r w:rsidRPr="00B43C82">
        <w:rPr>
          <w:sz w:val="20"/>
          <w:szCs w:val="20"/>
          <w:lang w:val="en-GB"/>
        </w:rPr>
        <w:t xml:space="preserve"> capital. Interpreting the data collected and the results of analysis performed during the Evaluation, it </w:t>
      </w:r>
      <w:proofErr w:type="gramStart"/>
      <w:r w:rsidRPr="00B43C82">
        <w:rPr>
          <w:sz w:val="20"/>
          <w:szCs w:val="20"/>
          <w:lang w:val="en-GB"/>
        </w:rPr>
        <w:t>can be stated</w:t>
      </w:r>
      <w:proofErr w:type="gramEnd"/>
      <w:r w:rsidRPr="00B43C82">
        <w:rPr>
          <w:sz w:val="20"/>
          <w:szCs w:val="20"/>
          <w:lang w:val="en-GB"/>
        </w:rPr>
        <w:t xml:space="preserve"> that the EU structural assistance made a </w:t>
      </w:r>
      <w:r w:rsidR="00726ABD">
        <w:rPr>
          <w:sz w:val="20"/>
          <w:szCs w:val="20"/>
          <w:lang w:val="en-GB"/>
        </w:rPr>
        <w:t xml:space="preserve">strong </w:t>
      </w:r>
      <w:r w:rsidRPr="00B43C82">
        <w:rPr>
          <w:sz w:val="20"/>
          <w:szCs w:val="20"/>
          <w:lang w:val="en-GB"/>
        </w:rPr>
        <w:t xml:space="preserve">positive impact on </w:t>
      </w:r>
      <w:r w:rsidR="00726ABD">
        <w:rPr>
          <w:sz w:val="20"/>
          <w:szCs w:val="20"/>
          <w:lang w:val="en-GB"/>
        </w:rPr>
        <w:t>the resources of both types of capital</w:t>
      </w:r>
      <w:r w:rsidRPr="00B43C82">
        <w:rPr>
          <w:sz w:val="20"/>
          <w:szCs w:val="20"/>
          <w:lang w:val="en-GB"/>
        </w:rPr>
        <w:t>.</w:t>
      </w:r>
      <w:r>
        <w:rPr>
          <w:sz w:val="20"/>
          <w:szCs w:val="20"/>
          <w:lang w:val="en-GB"/>
        </w:rPr>
        <w:t xml:space="preserve"> </w:t>
      </w:r>
    </w:p>
    <w:p w14:paraId="2C306A6C" w14:textId="1C12E89C" w:rsidR="0049575D" w:rsidRPr="00FB41EA" w:rsidRDefault="003108A4" w:rsidP="0049575D">
      <w:pPr>
        <w:autoSpaceDE w:val="0"/>
        <w:autoSpaceDN w:val="0"/>
        <w:adjustRightInd w:val="0"/>
        <w:spacing w:before="120" w:after="0" w:line="240" w:lineRule="auto"/>
        <w:jc w:val="both"/>
        <w:rPr>
          <w:sz w:val="20"/>
          <w:szCs w:val="20"/>
          <w:lang w:val="en-GB"/>
        </w:rPr>
      </w:pPr>
      <w:r w:rsidRPr="003108A4">
        <w:rPr>
          <w:sz w:val="20"/>
          <w:szCs w:val="20"/>
          <w:lang w:val="en-GB"/>
        </w:rPr>
        <w:t xml:space="preserve">In summary, the </w:t>
      </w:r>
      <w:r>
        <w:rPr>
          <w:sz w:val="20"/>
          <w:szCs w:val="20"/>
          <w:lang w:val="en-GB"/>
        </w:rPr>
        <w:t xml:space="preserve">impact of the </w:t>
      </w:r>
      <w:r w:rsidRPr="003108A4">
        <w:rPr>
          <w:sz w:val="20"/>
          <w:szCs w:val="20"/>
          <w:lang w:val="en-GB"/>
        </w:rPr>
        <w:t xml:space="preserve">EU structural </w:t>
      </w:r>
      <w:r>
        <w:rPr>
          <w:sz w:val="20"/>
          <w:szCs w:val="20"/>
          <w:lang w:val="en-GB"/>
        </w:rPr>
        <w:t>assistance was</w:t>
      </w:r>
      <w:r w:rsidRPr="003108A4">
        <w:rPr>
          <w:sz w:val="20"/>
          <w:szCs w:val="20"/>
          <w:lang w:val="en-GB"/>
        </w:rPr>
        <w:t xml:space="preserve"> insufficient to achieve long-term positive trend</w:t>
      </w:r>
      <w:r>
        <w:rPr>
          <w:sz w:val="20"/>
          <w:szCs w:val="20"/>
          <w:lang w:val="en-GB"/>
        </w:rPr>
        <w:t>s</w:t>
      </w:r>
      <w:r w:rsidRPr="003108A4">
        <w:rPr>
          <w:sz w:val="20"/>
          <w:szCs w:val="20"/>
          <w:lang w:val="en-GB"/>
        </w:rPr>
        <w:t xml:space="preserve"> </w:t>
      </w:r>
      <w:r>
        <w:rPr>
          <w:sz w:val="20"/>
          <w:szCs w:val="20"/>
          <w:lang w:val="en-GB"/>
        </w:rPr>
        <w:t>in the area of</w:t>
      </w:r>
      <w:r w:rsidRPr="003108A4">
        <w:rPr>
          <w:sz w:val="20"/>
          <w:szCs w:val="20"/>
          <w:lang w:val="en-GB"/>
        </w:rPr>
        <w:t xml:space="preserve"> sustainable development</w:t>
      </w:r>
      <w:r w:rsidR="0049575D" w:rsidRPr="00FB41EA">
        <w:rPr>
          <w:sz w:val="20"/>
          <w:szCs w:val="20"/>
          <w:lang w:val="en-GB"/>
        </w:rPr>
        <w:t xml:space="preserve">. </w:t>
      </w:r>
      <w:r>
        <w:rPr>
          <w:sz w:val="20"/>
          <w:szCs w:val="20"/>
          <w:lang w:val="en-GB"/>
        </w:rPr>
        <w:t>The Evaluation determine</w:t>
      </w:r>
      <w:r w:rsidR="001D3E05">
        <w:rPr>
          <w:sz w:val="20"/>
          <w:szCs w:val="20"/>
          <w:lang w:val="en-GB"/>
        </w:rPr>
        <w:t>d</w:t>
      </w:r>
      <w:r>
        <w:rPr>
          <w:sz w:val="20"/>
          <w:szCs w:val="20"/>
          <w:lang w:val="en-GB"/>
        </w:rPr>
        <w:t xml:space="preserve"> that </w:t>
      </w:r>
      <w:r w:rsidRPr="003108A4">
        <w:rPr>
          <w:sz w:val="20"/>
          <w:szCs w:val="20"/>
          <w:lang w:val="en-GB"/>
        </w:rPr>
        <w:t xml:space="preserve">the EU structural </w:t>
      </w:r>
      <w:r>
        <w:rPr>
          <w:sz w:val="20"/>
          <w:szCs w:val="20"/>
          <w:lang w:val="en-GB"/>
        </w:rPr>
        <w:t xml:space="preserve">investments in economic operations and the management of the outcomes of the financial crisis could negatively </w:t>
      </w:r>
      <w:proofErr w:type="gramStart"/>
      <w:r>
        <w:rPr>
          <w:sz w:val="20"/>
          <w:szCs w:val="20"/>
          <w:lang w:val="en-GB"/>
        </w:rPr>
        <w:t>impact</w:t>
      </w:r>
      <w:proofErr w:type="gramEnd"/>
      <w:r>
        <w:rPr>
          <w:sz w:val="20"/>
          <w:szCs w:val="20"/>
          <w:lang w:val="en-GB"/>
        </w:rPr>
        <w:t xml:space="preserve"> environmental pollution indicators.</w:t>
      </w:r>
      <w:r w:rsidR="0049575D" w:rsidRPr="00FB41EA">
        <w:rPr>
          <w:sz w:val="20"/>
          <w:szCs w:val="20"/>
          <w:lang w:val="en-GB"/>
        </w:rPr>
        <w:t xml:space="preserve"> </w:t>
      </w:r>
    </w:p>
    <w:p w14:paraId="586F696E" w14:textId="3919F912" w:rsidR="0049575D" w:rsidRPr="00FB41EA" w:rsidRDefault="00281BAC" w:rsidP="0049575D">
      <w:pPr>
        <w:spacing w:before="120" w:after="0" w:line="240" w:lineRule="auto"/>
        <w:jc w:val="both"/>
        <w:rPr>
          <w:rFonts w:eastAsia="Times New Roman"/>
          <w:color w:val="000000"/>
          <w:sz w:val="20"/>
          <w:szCs w:val="48"/>
          <w:lang w:val="en-GB"/>
        </w:rPr>
      </w:pPr>
      <w:r>
        <w:rPr>
          <w:b/>
          <w:color w:val="81BC00"/>
          <w:sz w:val="20"/>
          <w:lang w:val="en-GB"/>
        </w:rPr>
        <w:t xml:space="preserve">9.2.6. Will the achieved results and impact in the area of </w:t>
      </w:r>
      <w:r w:rsidR="00293136" w:rsidRPr="00293136">
        <w:rPr>
          <w:b/>
          <w:color w:val="81BC00"/>
          <w:sz w:val="20"/>
          <w:lang w:val="en-GB"/>
        </w:rPr>
        <w:t xml:space="preserve">sustainable development </w:t>
      </w:r>
      <w:r w:rsidR="00293136">
        <w:rPr>
          <w:b/>
          <w:color w:val="81BC00"/>
          <w:sz w:val="20"/>
          <w:lang w:val="en-GB"/>
        </w:rPr>
        <w:t xml:space="preserve">last for a longer </w:t>
      </w:r>
      <w:proofErr w:type="gramStart"/>
      <w:r w:rsidR="00293136">
        <w:rPr>
          <w:b/>
          <w:color w:val="81BC00"/>
          <w:sz w:val="20"/>
          <w:lang w:val="en-GB"/>
        </w:rPr>
        <w:t>period of time</w:t>
      </w:r>
      <w:proofErr w:type="gramEnd"/>
      <w:r w:rsidR="00293136">
        <w:rPr>
          <w:b/>
          <w:color w:val="81BC00"/>
          <w:sz w:val="20"/>
          <w:lang w:val="en-GB"/>
        </w:rPr>
        <w:t xml:space="preserve">? Why? </w:t>
      </w:r>
    </w:p>
    <w:p w14:paraId="452C83A4" w14:textId="52202ED9" w:rsidR="0049575D" w:rsidRPr="00FB41EA" w:rsidRDefault="00293136" w:rsidP="0049575D">
      <w:pPr>
        <w:jc w:val="both"/>
        <w:rPr>
          <w:rFonts w:eastAsia="Times New Roman" w:cs="Arial"/>
          <w:sz w:val="20"/>
          <w:szCs w:val="20"/>
          <w:lang w:val="en-GB"/>
        </w:rPr>
      </w:pPr>
      <w:r>
        <w:rPr>
          <w:rFonts w:eastAsia="Times New Roman" w:cs="Arial"/>
          <w:sz w:val="20"/>
          <w:szCs w:val="20"/>
          <w:lang w:val="en-GB"/>
        </w:rPr>
        <w:t xml:space="preserve">During the period of </w:t>
      </w:r>
      <w:r w:rsidR="0049575D" w:rsidRPr="00FB41EA">
        <w:rPr>
          <w:rFonts w:eastAsia="Times New Roman" w:cs="Arial"/>
          <w:sz w:val="20"/>
          <w:szCs w:val="20"/>
          <w:lang w:val="en-GB"/>
        </w:rPr>
        <w:t>2007–2013</w:t>
      </w:r>
      <w:r>
        <w:rPr>
          <w:rFonts w:eastAsia="Times New Roman" w:cs="Arial"/>
          <w:sz w:val="20"/>
          <w:szCs w:val="20"/>
          <w:lang w:val="en-GB"/>
        </w:rPr>
        <w:t xml:space="preserve">, the </w:t>
      </w:r>
      <w:r w:rsidRPr="00293136">
        <w:rPr>
          <w:rFonts w:eastAsia="Times New Roman" w:cs="Arial"/>
          <w:sz w:val="20"/>
          <w:szCs w:val="20"/>
          <w:lang w:val="en-GB"/>
        </w:rPr>
        <w:t>EU structural assistance</w:t>
      </w:r>
      <w:r w:rsidR="0049575D" w:rsidRPr="00FB41EA">
        <w:rPr>
          <w:rFonts w:eastAsia="Times New Roman" w:cs="Arial"/>
          <w:sz w:val="20"/>
          <w:szCs w:val="20"/>
          <w:lang w:val="en-GB"/>
        </w:rPr>
        <w:t xml:space="preserve"> </w:t>
      </w:r>
      <w:proofErr w:type="gramStart"/>
      <w:r>
        <w:rPr>
          <w:rFonts w:eastAsia="Times New Roman" w:cs="Arial"/>
          <w:sz w:val="20"/>
          <w:szCs w:val="20"/>
          <w:lang w:val="en-GB"/>
        </w:rPr>
        <w:t>impacted</w:t>
      </w:r>
      <w:proofErr w:type="gramEnd"/>
      <w:r>
        <w:rPr>
          <w:rFonts w:eastAsia="Times New Roman" w:cs="Arial"/>
          <w:sz w:val="20"/>
          <w:szCs w:val="20"/>
          <w:lang w:val="en-GB"/>
        </w:rPr>
        <w:t xml:space="preserve"> all areas of </w:t>
      </w:r>
      <w:r w:rsidRPr="00293136">
        <w:rPr>
          <w:rFonts w:eastAsia="Times New Roman" w:cs="Arial"/>
          <w:sz w:val="20"/>
          <w:szCs w:val="20"/>
          <w:lang w:val="en-GB"/>
        </w:rPr>
        <w:t>sustainable development</w:t>
      </w:r>
      <w:r w:rsidR="0049575D" w:rsidRPr="00FB41EA">
        <w:rPr>
          <w:rFonts w:eastAsia="Times New Roman" w:cs="Arial"/>
          <w:sz w:val="20"/>
          <w:szCs w:val="20"/>
          <w:lang w:val="en-GB"/>
        </w:rPr>
        <w:t xml:space="preserve"> </w:t>
      </w:r>
      <w:r>
        <w:rPr>
          <w:rFonts w:eastAsia="Times New Roman" w:cs="Arial"/>
          <w:sz w:val="20"/>
          <w:szCs w:val="20"/>
          <w:lang w:val="en-GB"/>
        </w:rPr>
        <w:t>and influenced all four types of capital in one way or another</w:t>
      </w:r>
      <w:r w:rsidR="0049575D" w:rsidRPr="00FB41EA">
        <w:rPr>
          <w:rFonts w:eastAsia="Times New Roman" w:cs="Arial"/>
          <w:sz w:val="20"/>
          <w:szCs w:val="20"/>
          <w:lang w:val="en-GB"/>
        </w:rPr>
        <w:t xml:space="preserve">. </w:t>
      </w:r>
      <w:r w:rsidR="002C698F">
        <w:rPr>
          <w:rFonts w:eastAsia="Times New Roman" w:cs="Arial"/>
          <w:sz w:val="20"/>
          <w:szCs w:val="20"/>
          <w:lang w:val="en-GB"/>
        </w:rPr>
        <w:t xml:space="preserve">To conclude the analysis of the impact of </w:t>
      </w:r>
      <w:r w:rsidR="002C698F" w:rsidRPr="002C698F">
        <w:rPr>
          <w:rFonts w:eastAsia="Times New Roman" w:cs="Arial"/>
          <w:sz w:val="20"/>
          <w:szCs w:val="20"/>
          <w:lang w:val="en-GB"/>
        </w:rPr>
        <w:t xml:space="preserve">OPDHR, OPEG and OPPC </w:t>
      </w:r>
      <w:r w:rsidR="002C698F">
        <w:rPr>
          <w:rFonts w:eastAsia="Times New Roman" w:cs="Arial"/>
          <w:sz w:val="20"/>
          <w:szCs w:val="20"/>
          <w:lang w:val="en-GB"/>
        </w:rPr>
        <w:t xml:space="preserve">on the objectives of </w:t>
      </w:r>
      <w:r w:rsidR="002C698F" w:rsidRPr="002C698F">
        <w:rPr>
          <w:rFonts w:eastAsia="Times New Roman" w:cs="Arial"/>
          <w:sz w:val="20"/>
          <w:szCs w:val="20"/>
          <w:lang w:val="en-GB"/>
        </w:rPr>
        <w:t>sustainable development</w:t>
      </w:r>
      <w:r w:rsidR="002C698F">
        <w:rPr>
          <w:rFonts w:eastAsia="Times New Roman" w:cs="Arial"/>
          <w:sz w:val="20"/>
          <w:szCs w:val="20"/>
          <w:lang w:val="en-GB"/>
        </w:rPr>
        <w:t xml:space="preserve">, the following trends </w:t>
      </w:r>
      <w:proofErr w:type="gramStart"/>
      <w:r w:rsidR="002C698F">
        <w:rPr>
          <w:rFonts w:eastAsia="Times New Roman" w:cs="Arial"/>
          <w:sz w:val="20"/>
          <w:szCs w:val="20"/>
          <w:lang w:val="en-GB"/>
        </w:rPr>
        <w:t>can be distinguished</w:t>
      </w:r>
      <w:proofErr w:type="gramEnd"/>
      <w:r w:rsidR="0049575D" w:rsidRPr="00FB41EA">
        <w:rPr>
          <w:rFonts w:eastAsia="Times New Roman" w:cs="Arial"/>
          <w:sz w:val="20"/>
          <w:szCs w:val="20"/>
          <w:lang w:val="en-GB"/>
        </w:rPr>
        <w:t>:</w:t>
      </w:r>
    </w:p>
    <w:p w14:paraId="57C30CE2" w14:textId="58A045E2" w:rsidR="0049575D" w:rsidRPr="00FB41EA" w:rsidRDefault="00155F66" w:rsidP="00256535">
      <w:pPr>
        <w:pStyle w:val="ListParagraph"/>
        <w:numPr>
          <w:ilvl w:val="0"/>
          <w:numId w:val="7"/>
        </w:numPr>
        <w:spacing w:after="160" w:line="259" w:lineRule="auto"/>
        <w:jc w:val="both"/>
        <w:rPr>
          <w:rFonts w:eastAsia="Times New Roman" w:cs="Arial"/>
          <w:sz w:val="20"/>
          <w:szCs w:val="20"/>
          <w:lang w:val="en-GB"/>
        </w:rPr>
      </w:pPr>
      <w:r>
        <w:rPr>
          <w:rFonts w:eastAsia="Times New Roman" w:cs="Arial"/>
          <w:sz w:val="20"/>
          <w:szCs w:val="20"/>
          <w:lang w:val="en-GB"/>
        </w:rPr>
        <w:t xml:space="preserve">The </w:t>
      </w:r>
      <w:r w:rsidRPr="00155F66">
        <w:rPr>
          <w:rFonts w:eastAsia="Times New Roman" w:cs="Arial"/>
          <w:sz w:val="20"/>
          <w:szCs w:val="20"/>
          <w:lang w:val="en-GB"/>
        </w:rPr>
        <w:t>EU structural assistance ha</w:t>
      </w:r>
      <w:r>
        <w:rPr>
          <w:rFonts w:eastAsia="Times New Roman" w:cs="Arial"/>
          <w:sz w:val="20"/>
          <w:szCs w:val="20"/>
          <w:lang w:val="en-GB"/>
        </w:rPr>
        <w:t>d</w:t>
      </w:r>
      <w:r w:rsidRPr="00155F66">
        <w:rPr>
          <w:rFonts w:eastAsia="Times New Roman" w:cs="Arial"/>
          <w:sz w:val="20"/>
          <w:szCs w:val="20"/>
          <w:lang w:val="en-GB"/>
        </w:rPr>
        <w:t xml:space="preserve"> a positive impact on the hum</w:t>
      </w:r>
      <w:r w:rsidR="00256535">
        <w:rPr>
          <w:rFonts w:eastAsia="Times New Roman" w:cs="Arial"/>
          <w:sz w:val="20"/>
          <w:szCs w:val="20"/>
          <w:lang w:val="en-GB"/>
        </w:rPr>
        <w:t>an and social capital resources</w:t>
      </w:r>
      <w:r w:rsidRPr="00155F66">
        <w:rPr>
          <w:rFonts w:eastAsia="Times New Roman" w:cs="Arial"/>
          <w:sz w:val="20"/>
          <w:szCs w:val="20"/>
          <w:lang w:val="en-GB"/>
        </w:rPr>
        <w:t xml:space="preserve"> not only implement</w:t>
      </w:r>
      <w:r w:rsidR="00256535">
        <w:rPr>
          <w:rFonts w:eastAsia="Times New Roman" w:cs="Arial"/>
          <w:sz w:val="20"/>
          <w:szCs w:val="20"/>
          <w:lang w:val="en-GB"/>
        </w:rPr>
        <w:t>ing the soft,</w:t>
      </w:r>
      <w:r w:rsidRPr="00155F66">
        <w:rPr>
          <w:rFonts w:eastAsia="Times New Roman" w:cs="Arial"/>
          <w:sz w:val="20"/>
          <w:szCs w:val="20"/>
          <w:lang w:val="en-GB"/>
        </w:rPr>
        <w:t xml:space="preserve"> but also large-scale infrastructure investments</w:t>
      </w:r>
      <w:r w:rsidR="0049575D" w:rsidRPr="00FB41EA">
        <w:rPr>
          <w:rFonts w:eastAsia="Times New Roman" w:cs="Arial"/>
          <w:sz w:val="20"/>
          <w:szCs w:val="20"/>
          <w:lang w:val="en-GB"/>
        </w:rPr>
        <w:t xml:space="preserve">. </w:t>
      </w:r>
      <w:r w:rsidR="00256535">
        <w:rPr>
          <w:rFonts w:eastAsia="Times New Roman" w:cs="Arial"/>
          <w:sz w:val="20"/>
          <w:szCs w:val="20"/>
          <w:lang w:val="en-GB"/>
        </w:rPr>
        <w:t xml:space="preserve">However, the impact </w:t>
      </w:r>
      <w:r w:rsidR="00256535">
        <w:rPr>
          <w:rFonts w:eastAsia="Times New Roman" w:cs="Arial"/>
          <w:sz w:val="20"/>
          <w:szCs w:val="20"/>
          <w:lang w:val="en-GB"/>
        </w:rPr>
        <w:lastRenderedPageBreak/>
        <w:t xml:space="preserve">scope of </w:t>
      </w:r>
      <w:r w:rsidR="00256535" w:rsidRPr="00256535">
        <w:rPr>
          <w:rFonts w:eastAsia="Times New Roman" w:cs="Arial"/>
          <w:sz w:val="20"/>
          <w:szCs w:val="20"/>
          <w:lang w:val="en-GB"/>
        </w:rPr>
        <w:t>the EU structural assistance</w:t>
      </w:r>
      <w:r w:rsidR="00256535">
        <w:rPr>
          <w:rFonts w:eastAsia="Times New Roman" w:cs="Arial"/>
          <w:sz w:val="20"/>
          <w:szCs w:val="20"/>
          <w:lang w:val="en-GB"/>
        </w:rPr>
        <w:t xml:space="preserve"> </w:t>
      </w:r>
      <w:proofErr w:type="gramStart"/>
      <w:r w:rsidR="00256535" w:rsidRPr="00256535">
        <w:rPr>
          <w:rFonts w:eastAsia="Times New Roman" w:cs="Arial"/>
          <w:sz w:val="20"/>
          <w:szCs w:val="20"/>
          <w:lang w:val="en-GB"/>
        </w:rPr>
        <w:t>was significantly affected</w:t>
      </w:r>
      <w:proofErr w:type="gramEnd"/>
      <w:r w:rsidR="00256535" w:rsidRPr="00256535">
        <w:rPr>
          <w:rFonts w:eastAsia="Times New Roman" w:cs="Arial"/>
          <w:sz w:val="20"/>
          <w:szCs w:val="20"/>
          <w:lang w:val="en-GB"/>
        </w:rPr>
        <w:t xml:space="preserve"> by the social and economic consequences </w:t>
      </w:r>
      <w:r w:rsidR="00256535">
        <w:rPr>
          <w:rFonts w:eastAsia="Times New Roman" w:cs="Arial"/>
          <w:sz w:val="20"/>
          <w:szCs w:val="20"/>
          <w:lang w:val="en-GB"/>
        </w:rPr>
        <w:t>of the financial crisis</w:t>
      </w:r>
      <w:r w:rsidR="00126EAA">
        <w:rPr>
          <w:rFonts w:eastAsia="Times New Roman" w:cs="Arial"/>
          <w:sz w:val="20"/>
          <w:szCs w:val="20"/>
          <w:lang w:val="en-GB"/>
        </w:rPr>
        <w:t>.</w:t>
      </w:r>
    </w:p>
    <w:p w14:paraId="70D21FED" w14:textId="2D2C45F6" w:rsidR="0049575D" w:rsidRPr="00FB41EA" w:rsidRDefault="00256535" w:rsidP="00A93FDC">
      <w:pPr>
        <w:pStyle w:val="ListParagraph"/>
        <w:numPr>
          <w:ilvl w:val="0"/>
          <w:numId w:val="7"/>
        </w:numPr>
        <w:spacing w:after="160" w:line="259" w:lineRule="auto"/>
        <w:jc w:val="both"/>
        <w:rPr>
          <w:rFonts w:eastAsia="Times New Roman" w:cs="Arial"/>
          <w:sz w:val="20"/>
          <w:szCs w:val="20"/>
          <w:lang w:val="en-GB"/>
        </w:rPr>
      </w:pPr>
      <w:r>
        <w:rPr>
          <w:rFonts w:eastAsia="Times New Roman" w:cs="Arial"/>
          <w:sz w:val="20"/>
          <w:szCs w:val="20"/>
          <w:lang w:val="en-GB"/>
        </w:rPr>
        <w:t>T</w:t>
      </w:r>
      <w:r w:rsidRPr="00256535">
        <w:rPr>
          <w:rFonts w:eastAsia="Times New Roman" w:cs="Arial"/>
          <w:sz w:val="20"/>
          <w:szCs w:val="20"/>
          <w:lang w:val="en-GB"/>
        </w:rPr>
        <w:t xml:space="preserve">he EU structural assistance had a </w:t>
      </w:r>
      <w:r>
        <w:rPr>
          <w:rFonts w:eastAsia="Times New Roman" w:cs="Arial"/>
          <w:sz w:val="20"/>
          <w:szCs w:val="20"/>
          <w:lang w:val="en-GB"/>
        </w:rPr>
        <w:t xml:space="preserve">strong </w:t>
      </w:r>
      <w:r w:rsidRPr="00256535">
        <w:rPr>
          <w:rFonts w:eastAsia="Times New Roman" w:cs="Arial"/>
          <w:sz w:val="20"/>
          <w:szCs w:val="20"/>
          <w:lang w:val="en-GB"/>
        </w:rPr>
        <w:t xml:space="preserve">positive impact on the </w:t>
      </w:r>
      <w:r w:rsidR="000201E5">
        <w:rPr>
          <w:rFonts w:eastAsia="Times New Roman" w:cs="Arial"/>
          <w:sz w:val="20"/>
          <w:szCs w:val="20"/>
          <w:lang w:val="en-GB"/>
        </w:rPr>
        <w:t>manufactured</w:t>
      </w:r>
      <w:r>
        <w:rPr>
          <w:rFonts w:eastAsia="Times New Roman" w:cs="Arial"/>
          <w:sz w:val="20"/>
          <w:szCs w:val="20"/>
          <w:lang w:val="en-GB"/>
        </w:rPr>
        <w:t xml:space="preserve"> capital resources</w:t>
      </w:r>
      <w:r w:rsidR="0049575D" w:rsidRPr="00FB41EA">
        <w:rPr>
          <w:rFonts w:eastAsia="Times New Roman" w:cs="Arial"/>
          <w:sz w:val="20"/>
          <w:szCs w:val="20"/>
          <w:lang w:val="en-GB"/>
        </w:rPr>
        <w:t xml:space="preserve">, </w:t>
      </w:r>
      <w:r w:rsidR="00A93FDC" w:rsidRPr="00A93FDC">
        <w:rPr>
          <w:rFonts w:eastAsia="Times New Roman" w:cs="Arial"/>
          <w:sz w:val="20"/>
          <w:szCs w:val="20"/>
          <w:lang w:val="en-GB"/>
        </w:rPr>
        <w:t>especially in transport and energy sectors</w:t>
      </w:r>
      <w:r w:rsidR="0049575D" w:rsidRPr="00FB41EA">
        <w:rPr>
          <w:rFonts w:eastAsia="Times New Roman" w:cs="Arial"/>
          <w:sz w:val="20"/>
          <w:szCs w:val="20"/>
          <w:lang w:val="en-GB"/>
        </w:rPr>
        <w:t xml:space="preserve">. </w:t>
      </w:r>
      <w:r w:rsidR="00A93FDC">
        <w:rPr>
          <w:rFonts w:eastAsia="Times New Roman" w:cs="Arial"/>
          <w:sz w:val="20"/>
          <w:szCs w:val="20"/>
          <w:lang w:val="en-GB"/>
        </w:rPr>
        <w:t>It is important to notice that this impact was direct and observed on</w:t>
      </w:r>
      <w:r w:rsidR="00CC6437">
        <w:rPr>
          <w:rFonts w:eastAsia="Times New Roman" w:cs="Arial"/>
          <w:sz w:val="20"/>
          <w:szCs w:val="20"/>
          <w:lang w:val="en-GB"/>
        </w:rPr>
        <w:t xml:space="preserve"> both national and local level</w:t>
      </w:r>
      <w:r w:rsidR="00126EAA">
        <w:rPr>
          <w:rFonts w:eastAsia="Times New Roman" w:cs="Arial"/>
          <w:sz w:val="20"/>
          <w:szCs w:val="20"/>
          <w:lang w:val="en-GB"/>
        </w:rPr>
        <w:t>.</w:t>
      </w:r>
    </w:p>
    <w:p w14:paraId="481FC188" w14:textId="6F56C4D4" w:rsidR="00A013B6" w:rsidRPr="00FB41EA" w:rsidRDefault="00A93FDC" w:rsidP="00A93FDC">
      <w:pPr>
        <w:pStyle w:val="ListParagraph"/>
        <w:numPr>
          <w:ilvl w:val="0"/>
          <w:numId w:val="7"/>
        </w:numPr>
        <w:spacing w:after="160" w:line="259" w:lineRule="auto"/>
        <w:jc w:val="both"/>
        <w:rPr>
          <w:rFonts w:eastAsia="Times New Roman" w:cs="Arial"/>
          <w:sz w:val="20"/>
          <w:szCs w:val="20"/>
          <w:lang w:val="en-GB"/>
        </w:rPr>
      </w:pPr>
      <w:r w:rsidRPr="00A93FDC">
        <w:rPr>
          <w:rFonts w:eastAsia="Times New Roman" w:cs="Arial"/>
          <w:sz w:val="20"/>
          <w:szCs w:val="20"/>
          <w:lang w:val="en-GB"/>
        </w:rPr>
        <w:t xml:space="preserve">The </w:t>
      </w:r>
      <w:r>
        <w:rPr>
          <w:rFonts w:eastAsia="Times New Roman" w:cs="Arial"/>
          <w:sz w:val="20"/>
          <w:szCs w:val="20"/>
          <w:lang w:val="en-GB"/>
        </w:rPr>
        <w:t xml:space="preserve">scope of the </w:t>
      </w:r>
      <w:r w:rsidRPr="00A93FDC">
        <w:rPr>
          <w:rFonts w:eastAsia="Times New Roman" w:cs="Arial"/>
          <w:sz w:val="20"/>
          <w:szCs w:val="20"/>
          <w:lang w:val="en-GB"/>
        </w:rPr>
        <w:t xml:space="preserve">EU structural assistance </w:t>
      </w:r>
      <w:r>
        <w:rPr>
          <w:rFonts w:eastAsia="Times New Roman" w:cs="Arial"/>
          <w:sz w:val="20"/>
          <w:szCs w:val="20"/>
          <w:lang w:val="en-GB"/>
        </w:rPr>
        <w:t xml:space="preserve">in the area of </w:t>
      </w:r>
      <w:r w:rsidRPr="00A93FDC">
        <w:rPr>
          <w:rFonts w:eastAsia="Times New Roman" w:cs="Arial"/>
          <w:sz w:val="20"/>
          <w:szCs w:val="20"/>
          <w:lang w:val="en-GB"/>
        </w:rPr>
        <w:t xml:space="preserve">the </w:t>
      </w:r>
      <w:r w:rsidR="000201E5">
        <w:rPr>
          <w:rFonts w:eastAsia="Times New Roman" w:cs="Arial"/>
          <w:sz w:val="20"/>
          <w:szCs w:val="20"/>
          <w:lang w:val="en-GB"/>
        </w:rPr>
        <w:t>natural</w:t>
      </w:r>
      <w:r w:rsidRPr="00A93FDC">
        <w:rPr>
          <w:rFonts w:eastAsia="Times New Roman" w:cs="Arial"/>
          <w:sz w:val="20"/>
          <w:szCs w:val="20"/>
          <w:lang w:val="en-GB"/>
        </w:rPr>
        <w:t xml:space="preserve"> capital resources </w:t>
      </w:r>
      <w:r>
        <w:rPr>
          <w:rFonts w:eastAsia="Times New Roman" w:cs="Arial"/>
          <w:sz w:val="20"/>
          <w:szCs w:val="20"/>
          <w:lang w:val="en-GB"/>
        </w:rPr>
        <w:t xml:space="preserve">was insufficient to outweigh the consequences of economic development and </w:t>
      </w:r>
      <w:r w:rsidR="00126EAA">
        <w:rPr>
          <w:rFonts w:eastAsia="Times New Roman" w:cs="Arial"/>
          <w:sz w:val="20"/>
          <w:szCs w:val="20"/>
          <w:lang w:val="en-GB"/>
        </w:rPr>
        <w:t xml:space="preserve">for the environmental pollution indicators to reflect positive trends. </w:t>
      </w:r>
    </w:p>
    <w:p w14:paraId="055050C2" w14:textId="05DE9DD4" w:rsidR="00A013B6" w:rsidRPr="00FB41EA" w:rsidRDefault="00126EAA" w:rsidP="00A013B6">
      <w:pPr>
        <w:pStyle w:val="Caption"/>
        <w:spacing w:after="120"/>
        <w:rPr>
          <w:b/>
          <w:i w:val="0"/>
          <w:noProof/>
          <w:color w:val="auto"/>
          <w:lang w:val="en-GB"/>
        </w:rPr>
      </w:pPr>
      <w:r>
        <w:rPr>
          <w:b/>
          <w:i w:val="0"/>
          <w:noProof/>
          <w:color w:val="auto"/>
          <w:lang w:val="en-GB"/>
        </w:rPr>
        <w:t xml:space="preserve">Table </w:t>
      </w:r>
      <w:r w:rsidR="00A013B6" w:rsidRPr="00FB41EA">
        <w:rPr>
          <w:b/>
          <w:i w:val="0"/>
          <w:noProof/>
          <w:color w:val="auto"/>
          <w:lang w:val="en-GB"/>
        </w:rPr>
        <w:fldChar w:fldCharType="begin"/>
      </w:r>
      <w:r w:rsidR="00A013B6" w:rsidRPr="00FB41EA">
        <w:rPr>
          <w:b/>
          <w:i w:val="0"/>
          <w:noProof/>
          <w:color w:val="auto"/>
          <w:lang w:val="en-GB"/>
        </w:rPr>
        <w:instrText xml:space="preserve"> SEQ lentelė \* ARABIC </w:instrText>
      </w:r>
      <w:r w:rsidR="00A013B6" w:rsidRPr="00FB41EA">
        <w:rPr>
          <w:b/>
          <w:i w:val="0"/>
          <w:noProof/>
          <w:color w:val="auto"/>
          <w:lang w:val="en-GB"/>
        </w:rPr>
        <w:fldChar w:fldCharType="separate"/>
      </w:r>
      <w:bookmarkStart w:id="3" w:name="_Toc450595981"/>
      <w:r w:rsidR="00DB648A" w:rsidRPr="00FB41EA">
        <w:rPr>
          <w:b/>
          <w:i w:val="0"/>
          <w:noProof/>
          <w:color w:val="auto"/>
          <w:lang w:val="en-GB"/>
        </w:rPr>
        <w:t>3</w:t>
      </w:r>
      <w:r w:rsidR="00A013B6" w:rsidRPr="00FB41EA">
        <w:rPr>
          <w:b/>
          <w:i w:val="0"/>
          <w:noProof/>
          <w:color w:val="auto"/>
          <w:lang w:val="en-GB"/>
        </w:rPr>
        <w:fldChar w:fldCharType="end"/>
      </w:r>
      <w:r w:rsidR="00A013B6" w:rsidRPr="00FB41EA">
        <w:rPr>
          <w:b/>
          <w:i w:val="0"/>
          <w:noProof/>
          <w:color w:val="auto"/>
          <w:lang w:val="en-GB"/>
        </w:rPr>
        <w:t xml:space="preserve">. </w:t>
      </w:r>
      <w:r w:rsidR="00376BBD" w:rsidRPr="00376BBD">
        <w:rPr>
          <w:b/>
          <w:i w:val="0"/>
          <w:noProof/>
          <w:color w:val="auto"/>
          <w:lang w:val="en-GB"/>
        </w:rPr>
        <w:t xml:space="preserve">EU structural assistance </w:t>
      </w:r>
      <w:r w:rsidR="00376BBD">
        <w:rPr>
          <w:b/>
          <w:i w:val="0"/>
          <w:noProof/>
          <w:color w:val="auto"/>
          <w:lang w:val="en-GB"/>
        </w:rPr>
        <w:t xml:space="preserve">impact on sustainable development in Lithuania during </w:t>
      </w:r>
      <w:r w:rsidR="0049575D" w:rsidRPr="00FB41EA">
        <w:rPr>
          <w:b/>
          <w:i w:val="0"/>
          <w:noProof/>
          <w:color w:val="auto"/>
          <w:lang w:val="en-GB"/>
        </w:rPr>
        <w:t xml:space="preserve">2007–2013 </w:t>
      </w:r>
      <w:bookmarkEnd w:id="3"/>
    </w:p>
    <w:tbl>
      <w:tblPr>
        <w:tblStyle w:val="CV12"/>
        <w:tblW w:w="9271" w:type="dxa"/>
        <w:tblInd w:w="108" w:type="dxa"/>
        <w:tblLook w:val="04A0" w:firstRow="1" w:lastRow="0" w:firstColumn="1" w:lastColumn="0" w:noHBand="0" w:noVBand="1"/>
      </w:tblPr>
      <w:tblGrid>
        <w:gridCol w:w="1106"/>
        <w:gridCol w:w="1058"/>
        <w:gridCol w:w="1530"/>
        <w:gridCol w:w="3040"/>
        <w:gridCol w:w="1263"/>
        <w:gridCol w:w="1274"/>
      </w:tblGrid>
      <w:tr w:rsidR="00D278A5" w:rsidRPr="00FB41EA" w14:paraId="7FC426A1" w14:textId="77777777" w:rsidTr="00140048">
        <w:trPr>
          <w:tblHeader/>
        </w:trPr>
        <w:tc>
          <w:tcPr>
            <w:tcW w:w="1106" w:type="dxa"/>
            <w:shd w:val="clear" w:color="auto" w:fill="002776"/>
            <w:vAlign w:val="center"/>
          </w:tcPr>
          <w:p w14:paraId="7536C77D" w14:textId="488AF2F1" w:rsidR="00D278A5" w:rsidRPr="00FB41EA" w:rsidRDefault="00376BBD" w:rsidP="00CF43E5">
            <w:pPr>
              <w:spacing w:after="0"/>
              <w:jc w:val="center"/>
              <w:rPr>
                <w:rFonts w:eastAsia="Times New Roman" w:cs="Arial"/>
                <w:b/>
                <w:sz w:val="16"/>
                <w:szCs w:val="16"/>
                <w:lang w:val="en-GB"/>
              </w:rPr>
            </w:pPr>
            <w:r>
              <w:rPr>
                <w:rFonts w:eastAsia="Times New Roman" w:cs="Arial"/>
                <w:b/>
                <w:sz w:val="16"/>
                <w:szCs w:val="16"/>
                <w:lang w:val="en-GB"/>
              </w:rPr>
              <w:t>Operational Programme</w:t>
            </w:r>
          </w:p>
        </w:tc>
        <w:tc>
          <w:tcPr>
            <w:tcW w:w="1058" w:type="dxa"/>
            <w:shd w:val="clear" w:color="auto" w:fill="002776"/>
            <w:vAlign w:val="center"/>
          </w:tcPr>
          <w:p w14:paraId="518FFC46" w14:textId="56044583" w:rsidR="00D278A5" w:rsidRPr="00FB41EA" w:rsidRDefault="00D278A5" w:rsidP="00376BBD">
            <w:pPr>
              <w:spacing w:after="0"/>
              <w:jc w:val="center"/>
              <w:rPr>
                <w:rFonts w:eastAsia="Times New Roman" w:cs="Arial"/>
                <w:b/>
                <w:sz w:val="16"/>
                <w:szCs w:val="16"/>
                <w:lang w:val="en-GB"/>
              </w:rPr>
            </w:pPr>
            <w:r w:rsidRPr="00FB41EA">
              <w:rPr>
                <w:rFonts w:eastAsia="Times New Roman" w:cs="Arial"/>
                <w:b/>
                <w:sz w:val="16"/>
                <w:szCs w:val="16"/>
                <w:lang w:val="en-GB"/>
              </w:rPr>
              <w:t>Priorit</w:t>
            </w:r>
            <w:r w:rsidR="00376BBD">
              <w:rPr>
                <w:rFonts w:eastAsia="Times New Roman" w:cs="Arial"/>
                <w:b/>
                <w:sz w:val="16"/>
                <w:szCs w:val="16"/>
                <w:lang w:val="en-GB"/>
              </w:rPr>
              <w:t>y</w:t>
            </w:r>
          </w:p>
        </w:tc>
        <w:tc>
          <w:tcPr>
            <w:tcW w:w="1530" w:type="dxa"/>
            <w:shd w:val="clear" w:color="auto" w:fill="002776"/>
            <w:vAlign w:val="center"/>
          </w:tcPr>
          <w:p w14:paraId="1BCDD8A2" w14:textId="3AE3C778" w:rsidR="00D278A5" w:rsidRPr="00FB41EA" w:rsidRDefault="00376BBD" w:rsidP="00CF43E5">
            <w:pPr>
              <w:spacing w:after="0"/>
              <w:jc w:val="center"/>
              <w:rPr>
                <w:rFonts w:eastAsia="Times New Roman" w:cs="Arial"/>
                <w:b/>
                <w:sz w:val="16"/>
                <w:szCs w:val="16"/>
                <w:lang w:val="en-GB"/>
              </w:rPr>
            </w:pPr>
            <w:r>
              <w:rPr>
                <w:rFonts w:eastAsia="Times New Roman" w:cs="Arial"/>
                <w:b/>
                <w:sz w:val="16"/>
                <w:szCs w:val="16"/>
                <w:lang w:val="en-GB"/>
              </w:rPr>
              <w:t>Type of Capital</w:t>
            </w:r>
          </w:p>
        </w:tc>
        <w:tc>
          <w:tcPr>
            <w:tcW w:w="3040" w:type="dxa"/>
            <w:shd w:val="clear" w:color="auto" w:fill="002776"/>
            <w:vAlign w:val="center"/>
          </w:tcPr>
          <w:p w14:paraId="42FC721A" w14:textId="68EBE3D3" w:rsidR="00D278A5" w:rsidRPr="00FB41EA" w:rsidRDefault="003474B3" w:rsidP="003474B3">
            <w:pPr>
              <w:spacing w:after="0"/>
              <w:jc w:val="center"/>
              <w:rPr>
                <w:rFonts w:eastAsia="Times New Roman" w:cs="Arial"/>
                <w:b/>
                <w:sz w:val="16"/>
                <w:szCs w:val="16"/>
                <w:lang w:val="en-GB"/>
              </w:rPr>
            </w:pPr>
            <w:r>
              <w:rPr>
                <w:rFonts w:eastAsia="Times New Roman" w:cs="Arial"/>
                <w:b/>
                <w:sz w:val="16"/>
                <w:szCs w:val="16"/>
                <w:lang w:val="en-GB"/>
              </w:rPr>
              <w:t>S</w:t>
            </w:r>
            <w:r w:rsidRPr="003474B3">
              <w:rPr>
                <w:rFonts w:eastAsia="Times New Roman" w:cs="Arial"/>
                <w:b/>
                <w:sz w:val="16"/>
                <w:szCs w:val="16"/>
                <w:lang w:val="en-GB"/>
              </w:rPr>
              <w:t xml:space="preserve">ustainable </w:t>
            </w:r>
            <w:r>
              <w:rPr>
                <w:rFonts w:eastAsia="Times New Roman" w:cs="Arial"/>
                <w:b/>
                <w:sz w:val="16"/>
                <w:szCs w:val="16"/>
                <w:lang w:val="en-GB"/>
              </w:rPr>
              <w:t>D</w:t>
            </w:r>
            <w:r w:rsidRPr="003474B3">
              <w:rPr>
                <w:rFonts w:eastAsia="Times New Roman" w:cs="Arial"/>
                <w:b/>
                <w:sz w:val="16"/>
                <w:szCs w:val="16"/>
                <w:lang w:val="en-GB"/>
              </w:rPr>
              <w:t>evelopment</w:t>
            </w:r>
            <w:r>
              <w:rPr>
                <w:rFonts w:eastAsia="Times New Roman" w:cs="Arial"/>
                <w:b/>
                <w:sz w:val="16"/>
                <w:szCs w:val="16"/>
                <w:lang w:val="en-GB"/>
              </w:rPr>
              <w:t xml:space="preserve"> Objective</w:t>
            </w:r>
          </w:p>
        </w:tc>
        <w:tc>
          <w:tcPr>
            <w:tcW w:w="1263" w:type="dxa"/>
            <w:shd w:val="clear" w:color="auto" w:fill="002776"/>
            <w:vAlign w:val="center"/>
          </w:tcPr>
          <w:p w14:paraId="69B23293" w14:textId="1C8C2003" w:rsidR="00D278A5" w:rsidRPr="00FB41EA" w:rsidRDefault="003474B3" w:rsidP="00CF43E5">
            <w:pPr>
              <w:spacing w:after="0"/>
              <w:jc w:val="center"/>
              <w:rPr>
                <w:rFonts w:eastAsia="Times New Roman" w:cs="Arial"/>
                <w:b/>
                <w:sz w:val="16"/>
                <w:szCs w:val="16"/>
                <w:lang w:val="en-GB"/>
              </w:rPr>
            </w:pPr>
            <w:r>
              <w:rPr>
                <w:rFonts w:eastAsia="Times New Roman" w:cs="Arial"/>
                <w:b/>
                <w:sz w:val="16"/>
                <w:szCs w:val="16"/>
                <w:lang w:val="en-GB"/>
              </w:rPr>
              <w:t>Type of Impact</w:t>
            </w:r>
          </w:p>
        </w:tc>
        <w:tc>
          <w:tcPr>
            <w:tcW w:w="1274" w:type="dxa"/>
            <w:shd w:val="clear" w:color="auto" w:fill="002776"/>
            <w:vAlign w:val="center"/>
          </w:tcPr>
          <w:p w14:paraId="744B1727" w14:textId="7E7508A9" w:rsidR="00D278A5" w:rsidRPr="00FB41EA" w:rsidRDefault="003474B3" w:rsidP="00CF43E5">
            <w:pPr>
              <w:spacing w:after="0"/>
              <w:jc w:val="center"/>
              <w:rPr>
                <w:rFonts w:eastAsia="Times New Roman" w:cs="Arial"/>
                <w:b/>
                <w:sz w:val="16"/>
                <w:szCs w:val="16"/>
                <w:lang w:val="en-GB"/>
              </w:rPr>
            </w:pPr>
            <w:r>
              <w:rPr>
                <w:rFonts w:eastAsia="Times New Roman" w:cs="Arial"/>
                <w:b/>
                <w:sz w:val="16"/>
                <w:szCs w:val="16"/>
                <w:lang w:val="en-GB"/>
              </w:rPr>
              <w:t>Scale of Impact</w:t>
            </w:r>
          </w:p>
        </w:tc>
      </w:tr>
      <w:tr w:rsidR="00140048" w:rsidRPr="00FB41EA" w14:paraId="327AA313" w14:textId="77777777" w:rsidTr="00140048">
        <w:trPr>
          <w:trHeight w:val="515"/>
        </w:trPr>
        <w:tc>
          <w:tcPr>
            <w:tcW w:w="1106" w:type="dxa"/>
            <w:vMerge w:val="restart"/>
            <w:vAlign w:val="center"/>
          </w:tcPr>
          <w:p w14:paraId="230AEB3F" w14:textId="5BA163C8" w:rsidR="00D278A5" w:rsidRPr="00FB41EA" w:rsidRDefault="003474B3" w:rsidP="00CF43E5">
            <w:pPr>
              <w:spacing w:after="0"/>
              <w:jc w:val="center"/>
              <w:rPr>
                <w:rFonts w:eastAsia="Times New Roman" w:cs="Arial"/>
                <w:b/>
                <w:sz w:val="16"/>
                <w:szCs w:val="16"/>
                <w:lang w:val="en-GB"/>
              </w:rPr>
            </w:pPr>
            <w:r w:rsidRPr="003474B3">
              <w:rPr>
                <w:rFonts w:eastAsia="Times New Roman" w:cs="Arial"/>
                <w:b/>
                <w:sz w:val="16"/>
                <w:szCs w:val="16"/>
                <w:lang w:val="en-GB"/>
              </w:rPr>
              <w:t>OPDHR</w:t>
            </w:r>
          </w:p>
        </w:tc>
        <w:tc>
          <w:tcPr>
            <w:tcW w:w="1058" w:type="dxa"/>
            <w:vMerge w:val="restart"/>
            <w:vAlign w:val="center"/>
          </w:tcPr>
          <w:p w14:paraId="74EF93FE"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1</w:t>
            </w:r>
          </w:p>
        </w:tc>
        <w:tc>
          <w:tcPr>
            <w:tcW w:w="1530" w:type="dxa"/>
          </w:tcPr>
          <w:p w14:paraId="260D7BC0" w14:textId="3190DABD" w:rsidR="00D278A5" w:rsidRPr="00FB41EA" w:rsidRDefault="003474B3" w:rsidP="00CF43E5">
            <w:pPr>
              <w:spacing w:after="0"/>
              <w:jc w:val="both"/>
              <w:rPr>
                <w:rFonts w:eastAsia="Times New Roman" w:cs="Arial"/>
                <w:sz w:val="16"/>
                <w:szCs w:val="16"/>
                <w:lang w:val="en-GB"/>
              </w:rPr>
            </w:pPr>
            <w:r>
              <w:rPr>
                <w:rFonts w:eastAsia="Times New Roman" w:cs="Arial"/>
                <w:sz w:val="16"/>
                <w:szCs w:val="16"/>
                <w:lang w:val="en-GB"/>
              </w:rPr>
              <w:t>Human capital</w:t>
            </w:r>
          </w:p>
        </w:tc>
        <w:tc>
          <w:tcPr>
            <w:tcW w:w="3040" w:type="dxa"/>
          </w:tcPr>
          <w:p w14:paraId="6E512D9E" w14:textId="7EFA8980"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Tackling demographic and emigration problems</w:t>
            </w:r>
          </w:p>
        </w:tc>
        <w:tc>
          <w:tcPr>
            <w:tcW w:w="1263" w:type="dxa"/>
            <w:vAlign w:val="center"/>
          </w:tcPr>
          <w:p w14:paraId="3B50016E" w14:textId="7B6A0FA7" w:rsidR="00D278A5" w:rsidRPr="00FB41EA" w:rsidRDefault="00715480" w:rsidP="00CF43E5">
            <w:pPr>
              <w:spacing w:after="0"/>
              <w:jc w:val="center"/>
              <w:rPr>
                <w:rFonts w:eastAsia="Times New Roman" w:cs="Arial"/>
                <w:sz w:val="16"/>
                <w:szCs w:val="16"/>
                <w:lang w:val="en-GB"/>
              </w:rPr>
            </w:pPr>
            <w:r>
              <w:rPr>
                <w:rFonts w:eastAsia="Times New Roman" w:cs="Arial"/>
                <w:sz w:val="16"/>
                <w:szCs w:val="16"/>
                <w:lang w:val="en-GB"/>
              </w:rPr>
              <w:t>Positive</w:t>
            </w:r>
          </w:p>
        </w:tc>
        <w:tc>
          <w:tcPr>
            <w:tcW w:w="1274" w:type="dxa"/>
            <w:vAlign w:val="center"/>
          </w:tcPr>
          <w:p w14:paraId="0753BCB2" w14:textId="1D85A8B3" w:rsidR="00D278A5" w:rsidRPr="00FB41EA" w:rsidRDefault="00D278A5" w:rsidP="00715480">
            <w:pPr>
              <w:spacing w:after="0"/>
              <w:jc w:val="center"/>
              <w:rPr>
                <w:rFonts w:eastAsia="Times New Roman" w:cs="Arial"/>
                <w:sz w:val="16"/>
                <w:szCs w:val="16"/>
                <w:lang w:val="en-GB"/>
              </w:rPr>
            </w:pPr>
            <w:r w:rsidRPr="00FB41EA">
              <w:rPr>
                <w:rFonts w:eastAsia="Times New Roman" w:cs="Arial"/>
                <w:sz w:val="16"/>
                <w:szCs w:val="16"/>
                <w:lang w:val="en-GB"/>
              </w:rPr>
              <w:t>St</w:t>
            </w:r>
            <w:r w:rsidR="00715480">
              <w:rPr>
                <w:rFonts w:eastAsia="Times New Roman" w:cs="Arial"/>
                <w:sz w:val="16"/>
                <w:szCs w:val="16"/>
                <w:lang w:val="en-GB"/>
              </w:rPr>
              <w:t>rong</w:t>
            </w:r>
          </w:p>
        </w:tc>
      </w:tr>
      <w:tr w:rsidR="00D278A5" w:rsidRPr="00FB41EA" w14:paraId="34B6ACAA" w14:textId="77777777" w:rsidTr="00140048">
        <w:trPr>
          <w:trHeight w:val="527"/>
        </w:trPr>
        <w:tc>
          <w:tcPr>
            <w:tcW w:w="1106" w:type="dxa"/>
            <w:vMerge/>
            <w:vAlign w:val="center"/>
          </w:tcPr>
          <w:p w14:paraId="25CEE266" w14:textId="77777777" w:rsidR="00D278A5" w:rsidRPr="00FB41EA" w:rsidRDefault="00D278A5" w:rsidP="00CF43E5">
            <w:pPr>
              <w:spacing w:after="0"/>
              <w:jc w:val="center"/>
              <w:rPr>
                <w:rFonts w:eastAsia="Times New Roman" w:cs="Arial"/>
                <w:b/>
                <w:sz w:val="16"/>
                <w:szCs w:val="16"/>
                <w:lang w:val="en-GB"/>
              </w:rPr>
            </w:pPr>
          </w:p>
        </w:tc>
        <w:tc>
          <w:tcPr>
            <w:tcW w:w="1058" w:type="dxa"/>
            <w:vMerge/>
            <w:vAlign w:val="center"/>
          </w:tcPr>
          <w:p w14:paraId="0CD03C5F" w14:textId="77777777" w:rsidR="00D278A5" w:rsidRPr="00FB41EA" w:rsidRDefault="00D278A5" w:rsidP="00CF43E5">
            <w:pPr>
              <w:spacing w:after="0"/>
              <w:jc w:val="center"/>
              <w:rPr>
                <w:rFonts w:eastAsia="Times New Roman" w:cs="Arial"/>
                <w:sz w:val="16"/>
                <w:szCs w:val="16"/>
                <w:lang w:val="en-GB"/>
              </w:rPr>
            </w:pPr>
          </w:p>
        </w:tc>
        <w:tc>
          <w:tcPr>
            <w:tcW w:w="1530" w:type="dxa"/>
          </w:tcPr>
          <w:p w14:paraId="2BA8CFC5" w14:textId="423386AA" w:rsidR="00D278A5" w:rsidRPr="00FB41EA" w:rsidRDefault="00D278A5" w:rsidP="003474B3">
            <w:pPr>
              <w:spacing w:after="0"/>
              <w:jc w:val="both"/>
              <w:rPr>
                <w:rFonts w:eastAsia="Times New Roman" w:cs="Arial"/>
                <w:sz w:val="16"/>
                <w:szCs w:val="16"/>
                <w:lang w:val="en-GB"/>
              </w:rPr>
            </w:pPr>
            <w:r w:rsidRPr="00FB41EA">
              <w:rPr>
                <w:rFonts w:eastAsia="Times New Roman" w:cs="Arial"/>
                <w:sz w:val="16"/>
                <w:szCs w:val="16"/>
                <w:lang w:val="en-GB"/>
              </w:rPr>
              <w:t>Social</w:t>
            </w:r>
            <w:r w:rsidR="003474B3">
              <w:rPr>
                <w:rFonts w:eastAsia="Times New Roman" w:cs="Arial"/>
                <w:sz w:val="16"/>
                <w:szCs w:val="16"/>
                <w:lang w:val="en-GB"/>
              </w:rPr>
              <w:t xml:space="preserve"> </w:t>
            </w:r>
            <w:r w:rsidR="003474B3" w:rsidRPr="003474B3">
              <w:rPr>
                <w:rFonts w:eastAsia="Times New Roman" w:cs="Arial"/>
                <w:sz w:val="16"/>
                <w:szCs w:val="16"/>
                <w:lang w:val="en-GB"/>
              </w:rPr>
              <w:t>capital</w:t>
            </w:r>
          </w:p>
        </w:tc>
        <w:tc>
          <w:tcPr>
            <w:tcW w:w="3040" w:type="dxa"/>
          </w:tcPr>
          <w:p w14:paraId="06378872" w14:textId="29CF6B18"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Mitigating poverty and social exclusion</w:t>
            </w:r>
          </w:p>
        </w:tc>
        <w:tc>
          <w:tcPr>
            <w:tcW w:w="1263" w:type="dxa"/>
            <w:vAlign w:val="center"/>
          </w:tcPr>
          <w:p w14:paraId="1B7A22A8" w14:textId="3137FBD5"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37904513" w14:textId="65269E94"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D278A5" w:rsidRPr="00FB41EA" w14:paraId="7FC03B90" w14:textId="77777777" w:rsidTr="00140048">
        <w:trPr>
          <w:trHeight w:val="180"/>
        </w:trPr>
        <w:tc>
          <w:tcPr>
            <w:tcW w:w="1106" w:type="dxa"/>
            <w:vMerge/>
            <w:vAlign w:val="center"/>
          </w:tcPr>
          <w:p w14:paraId="5F0AC987" w14:textId="77777777" w:rsidR="00D278A5" w:rsidRPr="00FB41EA" w:rsidRDefault="00D278A5" w:rsidP="00CF43E5">
            <w:pPr>
              <w:spacing w:after="0"/>
              <w:jc w:val="center"/>
              <w:rPr>
                <w:rFonts w:eastAsia="Times New Roman" w:cs="Arial"/>
                <w:b/>
                <w:sz w:val="16"/>
                <w:szCs w:val="16"/>
                <w:lang w:val="en-GB"/>
              </w:rPr>
            </w:pPr>
          </w:p>
        </w:tc>
        <w:tc>
          <w:tcPr>
            <w:tcW w:w="1058" w:type="dxa"/>
            <w:vMerge w:val="restart"/>
            <w:vAlign w:val="center"/>
          </w:tcPr>
          <w:p w14:paraId="3BE21CBB"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2</w:t>
            </w:r>
          </w:p>
        </w:tc>
        <w:tc>
          <w:tcPr>
            <w:tcW w:w="1530" w:type="dxa"/>
          </w:tcPr>
          <w:p w14:paraId="6C74FFDB" w14:textId="56512D00" w:rsidR="00D278A5" w:rsidRPr="00FB41EA" w:rsidRDefault="003474B3" w:rsidP="00CF43E5">
            <w:pPr>
              <w:spacing w:after="0"/>
              <w:jc w:val="both"/>
              <w:rPr>
                <w:rFonts w:eastAsia="Times New Roman" w:cs="Arial"/>
                <w:sz w:val="16"/>
                <w:szCs w:val="16"/>
                <w:lang w:val="en-GB"/>
              </w:rPr>
            </w:pPr>
            <w:r w:rsidRPr="003474B3">
              <w:rPr>
                <w:rFonts w:eastAsia="Times New Roman" w:cs="Arial"/>
                <w:sz w:val="16"/>
                <w:szCs w:val="16"/>
                <w:lang w:val="en-GB"/>
              </w:rPr>
              <w:t>Human capital</w:t>
            </w:r>
          </w:p>
        </w:tc>
        <w:tc>
          <w:tcPr>
            <w:tcW w:w="3040" w:type="dxa"/>
          </w:tcPr>
          <w:p w14:paraId="5F88712A" w14:textId="2F88D852"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Tackling demographic and emigration problems</w:t>
            </w:r>
          </w:p>
        </w:tc>
        <w:tc>
          <w:tcPr>
            <w:tcW w:w="1263" w:type="dxa"/>
            <w:vAlign w:val="center"/>
          </w:tcPr>
          <w:p w14:paraId="106A34CC" w14:textId="09E97E34"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55783619" w14:textId="7D000B52" w:rsidR="00D278A5" w:rsidRPr="00FB41EA" w:rsidRDefault="00715480" w:rsidP="00CF43E5">
            <w:pPr>
              <w:spacing w:after="0"/>
              <w:jc w:val="center"/>
              <w:rPr>
                <w:rFonts w:eastAsia="Times New Roman" w:cs="Arial"/>
                <w:sz w:val="16"/>
                <w:szCs w:val="16"/>
                <w:lang w:val="en-GB"/>
              </w:rPr>
            </w:pPr>
            <w:r>
              <w:rPr>
                <w:rFonts w:eastAsia="Times New Roman" w:cs="Arial"/>
                <w:sz w:val="16"/>
                <w:szCs w:val="16"/>
                <w:lang w:val="en-GB"/>
              </w:rPr>
              <w:t xml:space="preserve">Medium </w:t>
            </w:r>
          </w:p>
        </w:tc>
      </w:tr>
      <w:tr w:rsidR="00D278A5" w:rsidRPr="00FB41EA" w14:paraId="15736400" w14:textId="77777777" w:rsidTr="00140048">
        <w:trPr>
          <w:trHeight w:val="180"/>
        </w:trPr>
        <w:tc>
          <w:tcPr>
            <w:tcW w:w="1106" w:type="dxa"/>
            <w:vMerge/>
            <w:vAlign w:val="center"/>
          </w:tcPr>
          <w:p w14:paraId="0CBA0564" w14:textId="77777777" w:rsidR="00D278A5" w:rsidRPr="00FB41EA" w:rsidRDefault="00D278A5" w:rsidP="00CF43E5">
            <w:pPr>
              <w:spacing w:after="0"/>
              <w:jc w:val="center"/>
              <w:rPr>
                <w:rFonts w:eastAsia="Times New Roman" w:cs="Arial"/>
                <w:b/>
                <w:sz w:val="16"/>
                <w:szCs w:val="16"/>
                <w:lang w:val="en-GB"/>
              </w:rPr>
            </w:pPr>
          </w:p>
        </w:tc>
        <w:tc>
          <w:tcPr>
            <w:tcW w:w="1058" w:type="dxa"/>
            <w:vMerge/>
            <w:vAlign w:val="center"/>
          </w:tcPr>
          <w:p w14:paraId="576D8D64" w14:textId="77777777" w:rsidR="00D278A5" w:rsidRPr="00FB41EA" w:rsidRDefault="00D278A5" w:rsidP="00CF43E5">
            <w:pPr>
              <w:spacing w:after="0"/>
              <w:jc w:val="center"/>
              <w:rPr>
                <w:rFonts w:eastAsia="Times New Roman" w:cs="Arial"/>
                <w:sz w:val="16"/>
                <w:szCs w:val="16"/>
                <w:lang w:val="en-GB"/>
              </w:rPr>
            </w:pPr>
          </w:p>
        </w:tc>
        <w:tc>
          <w:tcPr>
            <w:tcW w:w="1530" w:type="dxa"/>
          </w:tcPr>
          <w:p w14:paraId="20D61AC9" w14:textId="16C9C0DA" w:rsidR="00D278A5" w:rsidRPr="00FB41EA" w:rsidRDefault="003474B3" w:rsidP="00CF43E5">
            <w:pPr>
              <w:spacing w:after="0"/>
              <w:jc w:val="both"/>
              <w:rPr>
                <w:rFonts w:eastAsia="Times New Roman" w:cs="Arial"/>
                <w:sz w:val="16"/>
                <w:szCs w:val="16"/>
                <w:lang w:val="en-GB"/>
              </w:rPr>
            </w:pPr>
            <w:r w:rsidRPr="003474B3">
              <w:rPr>
                <w:rFonts w:eastAsia="Times New Roman" w:cs="Arial"/>
                <w:sz w:val="16"/>
                <w:szCs w:val="16"/>
                <w:lang w:val="en-GB"/>
              </w:rPr>
              <w:t>Social capital</w:t>
            </w:r>
          </w:p>
        </w:tc>
        <w:tc>
          <w:tcPr>
            <w:tcW w:w="3040" w:type="dxa"/>
          </w:tcPr>
          <w:p w14:paraId="50CE423F" w14:textId="69AC9390"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Mitigating poverty and social exclusion</w:t>
            </w:r>
          </w:p>
        </w:tc>
        <w:tc>
          <w:tcPr>
            <w:tcW w:w="1263" w:type="dxa"/>
            <w:vAlign w:val="center"/>
          </w:tcPr>
          <w:p w14:paraId="13D051B1" w14:textId="67A4E423"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39DAAEDF" w14:textId="0C559375"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Medium</w:t>
            </w:r>
          </w:p>
        </w:tc>
      </w:tr>
      <w:tr w:rsidR="00D278A5" w:rsidRPr="00FB41EA" w14:paraId="2BF791B0" w14:textId="77777777" w:rsidTr="00140048">
        <w:tc>
          <w:tcPr>
            <w:tcW w:w="1106" w:type="dxa"/>
            <w:vMerge/>
            <w:vAlign w:val="center"/>
          </w:tcPr>
          <w:p w14:paraId="06D01651" w14:textId="77777777" w:rsidR="00D278A5" w:rsidRPr="00FB41EA" w:rsidRDefault="00D278A5" w:rsidP="00CF43E5">
            <w:pPr>
              <w:spacing w:after="0"/>
              <w:jc w:val="center"/>
              <w:rPr>
                <w:rFonts w:eastAsia="Times New Roman" w:cs="Arial"/>
                <w:b/>
                <w:sz w:val="16"/>
                <w:szCs w:val="16"/>
                <w:lang w:val="en-GB"/>
              </w:rPr>
            </w:pPr>
          </w:p>
        </w:tc>
        <w:tc>
          <w:tcPr>
            <w:tcW w:w="1058" w:type="dxa"/>
            <w:vAlign w:val="center"/>
          </w:tcPr>
          <w:p w14:paraId="77F4CB62"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3</w:t>
            </w:r>
          </w:p>
        </w:tc>
        <w:tc>
          <w:tcPr>
            <w:tcW w:w="1530" w:type="dxa"/>
          </w:tcPr>
          <w:p w14:paraId="052B6405" w14:textId="29CC13EC" w:rsidR="00D278A5" w:rsidRPr="00FB41EA" w:rsidRDefault="003474B3" w:rsidP="00CF43E5">
            <w:pPr>
              <w:spacing w:after="0"/>
              <w:jc w:val="both"/>
              <w:rPr>
                <w:rFonts w:eastAsia="Times New Roman" w:cs="Arial"/>
                <w:sz w:val="16"/>
                <w:szCs w:val="16"/>
                <w:lang w:val="en-GB"/>
              </w:rPr>
            </w:pPr>
            <w:r>
              <w:rPr>
                <w:rFonts w:eastAsia="Times New Roman" w:cs="Arial"/>
                <w:sz w:val="16"/>
                <w:szCs w:val="16"/>
                <w:lang w:val="en-GB"/>
              </w:rPr>
              <w:t>Human and s</w:t>
            </w:r>
            <w:r w:rsidRPr="003474B3">
              <w:rPr>
                <w:rFonts w:eastAsia="Times New Roman" w:cs="Arial"/>
                <w:sz w:val="16"/>
                <w:szCs w:val="16"/>
                <w:lang w:val="en-GB"/>
              </w:rPr>
              <w:t>ocial capital</w:t>
            </w:r>
          </w:p>
        </w:tc>
        <w:tc>
          <w:tcPr>
            <w:tcW w:w="3040" w:type="dxa"/>
          </w:tcPr>
          <w:p w14:paraId="6CA8B934" w14:textId="622CE511"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Promotion of sustainable production and consumption</w:t>
            </w:r>
          </w:p>
        </w:tc>
        <w:tc>
          <w:tcPr>
            <w:tcW w:w="1263" w:type="dxa"/>
            <w:vAlign w:val="center"/>
          </w:tcPr>
          <w:p w14:paraId="1FD5F23C" w14:textId="24A4B1EA"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6DBAA277" w14:textId="5D36A30B"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Medium</w:t>
            </w:r>
          </w:p>
        </w:tc>
      </w:tr>
      <w:tr w:rsidR="00D278A5" w:rsidRPr="00FB41EA" w14:paraId="71C20837" w14:textId="77777777" w:rsidTr="00140048">
        <w:tc>
          <w:tcPr>
            <w:tcW w:w="1106" w:type="dxa"/>
            <w:vMerge/>
            <w:vAlign w:val="center"/>
          </w:tcPr>
          <w:p w14:paraId="539CDA7D" w14:textId="77777777" w:rsidR="00D278A5" w:rsidRPr="00FB41EA" w:rsidRDefault="00D278A5" w:rsidP="00CF43E5">
            <w:pPr>
              <w:spacing w:after="0"/>
              <w:jc w:val="center"/>
              <w:rPr>
                <w:rFonts w:eastAsia="Times New Roman" w:cs="Arial"/>
                <w:b/>
                <w:sz w:val="16"/>
                <w:szCs w:val="16"/>
                <w:lang w:val="en-GB"/>
              </w:rPr>
            </w:pPr>
          </w:p>
        </w:tc>
        <w:tc>
          <w:tcPr>
            <w:tcW w:w="1058" w:type="dxa"/>
            <w:vAlign w:val="center"/>
          </w:tcPr>
          <w:p w14:paraId="4376C72D"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4</w:t>
            </w:r>
          </w:p>
        </w:tc>
        <w:tc>
          <w:tcPr>
            <w:tcW w:w="1530" w:type="dxa"/>
          </w:tcPr>
          <w:p w14:paraId="3EC3D40D" w14:textId="34B536F6" w:rsidR="00D278A5" w:rsidRPr="00FB41EA" w:rsidRDefault="003474B3" w:rsidP="00CF43E5">
            <w:pPr>
              <w:spacing w:after="0"/>
              <w:jc w:val="both"/>
              <w:rPr>
                <w:rFonts w:eastAsia="Times New Roman" w:cs="Arial"/>
                <w:sz w:val="16"/>
                <w:szCs w:val="16"/>
                <w:lang w:val="en-GB"/>
              </w:rPr>
            </w:pPr>
            <w:r w:rsidRPr="003474B3">
              <w:rPr>
                <w:rFonts w:eastAsia="Times New Roman" w:cs="Arial"/>
                <w:sz w:val="16"/>
                <w:szCs w:val="16"/>
                <w:lang w:val="en-GB"/>
              </w:rPr>
              <w:t>Social capital</w:t>
            </w:r>
          </w:p>
        </w:tc>
        <w:tc>
          <w:tcPr>
            <w:tcW w:w="3040" w:type="dxa"/>
          </w:tcPr>
          <w:p w14:paraId="79AAD43B" w14:textId="17FA52BC"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Improved management of environmental resources</w:t>
            </w:r>
          </w:p>
        </w:tc>
        <w:tc>
          <w:tcPr>
            <w:tcW w:w="1263" w:type="dxa"/>
            <w:vAlign w:val="center"/>
          </w:tcPr>
          <w:p w14:paraId="299CCFA6" w14:textId="34B9D31C" w:rsidR="00D278A5" w:rsidRPr="00FB41EA" w:rsidRDefault="00715480" w:rsidP="00CF43E5">
            <w:pPr>
              <w:spacing w:after="0"/>
              <w:jc w:val="center"/>
              <w:rPr>
                <w:rFonts w:eastAsia="Times New Roman" w:cs="Arial"/>
                <w:sz w:val="16"/>
                <w:szCs w:val="16"/>
                <w:lang w:val="en-GB"/>
              </w:rPr>
            </w:pPr>
            <w:r>
              <w:rPr>
                <w:rFonts w:eastAsia="Times New Roman" w:cs="Arial"/>
                <w:sz w:val="16"/>
                <w:szCs w:val="16"/>
                <w:lang w:val="en-GB"/>
              </w:rPr>
              <w:t>Neutral</w:t>
            </w:r>
          </w:p>
        </w:tc>
        <w:tc>
          <w:tcPr>
            <w:tcW w:w="1274" w:type="dxa"/>
            <w:vAlign w:val="center"/>
          </w:tcPr>
          <w:p w14:paraId="7FD6E2A6"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w:t>
            </w:r>
          </w:p>
        </w:tc>
      </w:tr>
      <w:tr w:rsidR="00D278A5" w:rsidRPr="00FB41EA" w14:paraId="04EC3838" w14:textId="77777777" w:rsidTr="00140048">
        <w:tc>
          <w:tcPr>
            <w:tcW w:w="1106" w:type="dxa"/>
            <w:vMerge w:val="restart"/>
            <w:vAlign w:val="center"/>
          </w:tcPr>
          <w:p w14:paraId="3BC22762" w14:textId="6D9EFE7B" w:rsidR="00D278A5" w:rsidRPr="00FB41EA" w:rsidRDefault="003474B3" w:rsidP="00CF43E5">
            <w:pPr>
              <w:spacing w:after="0"/>
              <w:jc w:val="center"/>
              <w:rPr>
                <w:rFonts w:eastAsia="Times New Roman" w:cs="Arial"/>
                <w:b/>
                <w:sz w:val="16"/>
                <w:szCs w:val="16"/>
                <w:lang w:val="en-GB"/>
              </w:rPr>
            </w:pPr>
            <w:r w:rsidRPr="003474B3">
              <w:rPr>
                <w:rFonts w:eastAsia="Times New Roman" w:cs="Arial"/>
                <w:b/>
                <w:sz w:val="16"/>
                <w:szCs w:val="16"/>
                <w:lang w:val="en-GB"/>
              </w:rPr>
              <w:t>OPEG</w:t>
            </w:r>
          </w:p>
        </w:tc>
        <w:tc>
          <w:tcPr>
            <w:tcW w:w="1058" w:type="dxa"/>
            <w:vAlign w:val="center"/>
          </w:tcPr>
          <w:p w14:paraId="226DA8C1"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1</w:t>
            </w:r>
          </w:p>
        </w:tc>
        <w:tc>
          <w:tcPr>
            <w:tcW w:w="1530" w:type="dxa"/>
          </w:tcPr>
          <w:p w14:paraId="63EFB8E5" w14:textId="4D61EF87" w:rsidR="00D278A5" w:rsidRPr="00FB41EA" w:rsidRDefault="000201E5" w:rsidP="00CF43E5">
            <w:pPr>
              <w:spacing w:after="0"/>
              <w:jc w:val="both"/>
              <w:rPr>
                <w:rFonts w:eastAsia="Times New Roman" w:cs="Arial"/>
                <w:sz w:val="16"/>
                <w:szCs w:val="16"/>
                <w:lang w:val="en-GB"/>
              </w:rPr>
            </w:pPr>
            <w:r>
              <w:rPr>
                <w:rFonts w:eastAsia="Times New Roman" w:cs="Arial"/>
                <w:sz w:val="16"/>
                <w:szCs w:val="16"/>
                <w:lang w:val="en-GB"/>
              </w:rPr>
              <w:t>Manufactured</w:t>
            </w:r>
            <w:r w:rsidR="003474B3">
              <w:rPr>
                <w:rFonts w:eastAsia="Times New Roman" w:cs="Arial"/>
                <w:sz w:val="16"/>
                <w:szCs w:val="16"/>
                <w:lang w:val="en-GB"/>
              </w:rPr>
              <w:t xml:space="preserve"> capital</w:t>
            </w:r>
          </w:p>
        </w:tc>
        <w:tc>
          <w:tcPr>
            <w:tcW w:w="3040" w:type="dxa"/>
          </w:tcPr>
          <w:p w14:paraId="7E951FA6" w14:textId="25D56101"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Promotion of sustainable production and consumption</w:t>
            </w:r>
          </w:p>
        </w:tc>
        <w:tc>
          <w:tcPr>
            <w:tcW w:w="1263" w:type="dxa"/>
            <w:vAlign w:val="center"/>
          </w:tcPr>
          <w:p w14:paraId="39EC2A2D" w14:textId="5296C5D4"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341AD864" w14:textId="31463B49"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0201E5" w:rsidRPr="00FB41EA" w14:paraId="3D00F177" w14:textId="77777777" w:rsidTr="00140048">
        <w:tc>
          <w:tcPr>
            <w:tcW w:w="1106" w:type="dxa"/>
            <w:vMerge/>
            <w:vAlign w:val="center"/>
          </w:tcPr>
          <w:p w14:paraId="75355F2F" w14:textId="77777777" w:rsidR="000201E5" w:rsidRPr="00FB41EA" w:rsidRDefault="000201E5" w:rsidP="000201E5">
            <w:pPr>
              <w:spacing w:after="0"/>
              <w:jc w:val="center"/>
              <w:rPr>
                <w:rFonts w:eastAsia="Times New Roman" w:cs="Arial"/>
                <w:b/>
                <w:sz w:val="16"/>
                <w:szCs w:val="16"/>
                <w:lang w:val="en-GB"/>
              </w:rPr>
            </w:pPr>
          </w:p>
        </w:tc>
        <w:tc>
          <w:tcPr>
            <w:tcW w:w="1058" w:type="dxa"/>
            <w:vAlign w:val="center"/>
          </w:tcPr>
          <w:p w14:paraId="1B9179AC" w14:textId="77777777" w:rsidR="000201E5" w:rsidRPr="00FB41EA" w:rsidRDefault="000201E5" w:rsidP="000201E5">
            <w:pPr>
              <w:spacing w:after="0"/>
              <w:jc w:val="center"/>
              <w:rPr>
                <w:rFonts w:eastAsia="Times New Roman" w:cs="Arial"/>
                <w:sz w:val="16"/>
                <w:szCs w:val="16"/>
                <w:lang w:val="en-GB"/>
              </w:rPr>
            </w:pPr>
            <w:r w:rsidRPr="00FB41EA">
              <w:rPr>
                <w:rFonts w:eastAsia="Times New Roman" w:cs="Arial"/>
                <w:sz w:val="16"/>
                <w:szCs w:val="16"/>
                <w:lang w:val="en-GB"/>
              </w:rPr>
              <w:t>2</w:t>
            </w:r>
          </w:p>
        </w:tc>
        <w:tc>
          <w:tcPr>
            <w:tcW w:w="1530" w:type="dxa"/>
          </w:tcPr>
          <w:p w14:paraId="36F58F08" w14:textId="21F04703" w:rsidR="000201E5" w:rsidRPr="00FB41EA" w:rsidRDefault="000201E5" w:rsidP="000201E5">
            <w:pPr>
              <w:spacing w:after="0"/>
              <w:jc w:val="both"/>
              <w:rPr>
                <w:rFonts w:eastAsia="Times New Roman" w:cs="Arial"/>
                <w:sz w:val="16"/>
                <w:szCs w:val="16"/>
                <w:lang w:val="en-GB"/>
              </w:rPr>
            </w:pPr>
            <w:r w:rsidRPr="001C5B3C">
              <w:rPr>
                <w:rFonts w:eastAsia="Times New Roman" w:cs="Arial"/>
                <w:sz w:val="16"/>
                <w:szCs w:val="16"/>
                <w:lang w:val="en-GB"/>
              </w:rPr>
              <w:t>Manufactured capital</w:t>
            </w:r>
          </w:p>
        </w:tc>
        <w:tc>
          <w:tcPr>
            <w:tcW w:w="3040" w:type="dxa"/>
          </w:tcPr>
          <w:p w14:paraId="057CEDB1" w14:textId="650F6AB5" w:rsidR="000201E5" w:rsidRPr="00FB41EA" w:rsidRDefault="000201E5" w:rsidP="000201E5">
            <w:pPr>
              <w:spacing w:after="0"/>
              <w:jc w:val="both"/>
              <w:rPr>
                <w:rFonts w:eastAsia="Times New Roman" w:cs="Arial"/>
                <w:sz w:val="16"/>
                <w:szCs w:val="16"/>
                <w:lang w:val="en-GB"/>
              </w:rPr>
            </w:pPr>
            <w:r w:rsidRPr="006931AE">
              <w:rPr>
                <w:rFonts w:eastAsia="Times New Roman" w:cs="Arial"/>
                <w:sz w:val="16"/>
                <w:szCs w:val="16"/>
                <w:lang w:val="en-GB"/>
              </w:rPr>
              <w:t>Promotion of sustainable production and consumption</w:t>
            </w:r>
          </w:p>
        </w:tc>
        <w:tc>
          <w:tcPr>
            <w:tcW w:w="1263" w:type="dxa"/>
            <w:vAlign w:val="center"/>
          </w:tcPr>
          <w:p w14:paraId="24B7533A" w14:textId="793BE836" w:rsidR="000201E5" w:rsidRPr="00FB41EA" w:rsidRDefault="000201E5" w:rsidP="000201E5">
            <w:pPr>
              <w:spacing w:after="0"/>
              <w:jc w:val="center"/>
              <w:rPr>
                <w:rFonts w:eastAsia="Times New Roman" w:cs="Arial"/>
                <w:sz w:val="16"/>
                <w:szCs w:val="16"/>
                <w:lang w:val="en-GB"/>
              </w:rPr>
            </w:pPr>
            <w:r>
              <w:rPr>
                <w:rFonts w:eastAsia="Times New Roman" w:cs="Arial"/>
                <w:sz w:val="16"/>
                <w:szCs w:val="16"/>
                <w:lang w:val="en-GB"/>
              </w:rPr>
              <w:t>Neutral</w:t>
            </w:r>
          </w:p>
        </w:tc>
        <w:tc>
          <w:tcPr>
            <w:tcW w:w="1274" w:type="dxa"/>
            <w:vAlign w:val="center"/>
          </w:tcPr>
          <w:p w14:paraId="2800AD31" w14:textId="77777777" w:rsidR="000201E5" w:rsidRPr="00FB41EA" w:rsidRDefault="000201E5" w:rsidP="000201E5">
            <w:pPr>
              <w:spacing w:after="0"/>
              <w:jc w:val="center"/>
              <w:rPr>
                <w:rFonts w:eastAsia="Times New Roman" w:cs="Arial"/>
                <w:sz w:val="16"/>
                <w:szCs w:val="16"/>
                <w:lang w:val="en-GB"/>
              </w:rPr>
            </w:pPr>
            <w:r w:rsidRPr="00FB41EA">
              <w:rPr>
                <w:rFonts w:eastAsia="Times New Roman" w:cs="Arial"/>
                <w:sz w:val="16"/>
                <w:szCs w:val="16"/>
                <w:lang w:val="en-GB"/>
              </w:rPr>
              <w:t>-</w:t>
            </w:r>
          </w:p>
        </w:tc>
      </w:tr>
      <w:tr w:rsidR="000201E5" w:rsidRPr="00FB41EA" w14:paraId="2D021CBD" w14:textId="77777777" w:rsidTr="00140048">
        <w:tc>
          <w:tcPr>
            <w:tcW w:w="1106" w:type="dxa"/>
            <w:vMerge/>
            <w:vAlign w:val="center"/>
          </w:tcPr>
          <w:p w14:paraId="683C32B4" w14:textId="77777777" w:rsidR="000201E5" w:rsidRPr="00FB41EA" w:rsidRDefault="000201E5" w:rsidP="000201E5">
            <w:pPr>
              <w:spacing w:after="0"/>
              <w:jc w:val="center"/>
              <w:rPr>
                <w:rFonts w:eastAsia="Times New Roman" w:cs="Arial"/>
                <w:b/>
                <w:sz w:val="16"/>
                <w:szCs w:val="16"/>
                <w:lang w:val="en-GB"/>
              </w:rPr>
            </w:pPr>
          </w:p>
        </w:tc>
        <w:tc>
          <w:tcPr>
            <w:tcW w:w="1058" w:type="dxa"/>
            <w:vAlign w:val="center"/>
          </w:tcPr>
          <w:p w14:paraId="68720060" w14:textId="77777777" w:rsidR="000201E5" w:rsidRPr="00FB41EA" w:rsidRDefault="000201E5" w:rsidP="000201E5">
            <w:pPr>
              <w:spacing w:after="0"/>
              <w:jc w:val="center"/>
              <w:rPr>
                <w:rFonts w:eastAsia="Times New Roman" w:cs="Arial"/>
                <w:sz w:val="16"/>
                <w:szCs w:val="16"/>
                <w:lang w:val="en-GB"/>
              </w:rPr>
            </w:pPr>
            <w:r w:rsidRPr="00FB41EA">
              <w:rPr>
                <w:rFonts w:eastAsia="Times New Roman" w:cs="Arial"/>
                <w:sz w:val="16"/>
                <w:szCs w:val="16"/>
                <w:lang w:val="en-GB"/>
              </w:rPr>
              <w:t>4</w:t>
            </w:r>
          </w:p>
        </w:tc>
        <w:tc>
          <w:tcPr>
            <w:tcW w:w="1530" w:type="dxa"/>
          </w:tcPr>
          <w:p w14:paraId="78854CAC" w14:textId="6909F208" w:rsidR="000201E5" w:rsidRPr="00FB41EA" w:rsidRDefault="000201E5" w:rsidP="000201E5">
            <w:pPr>
              <w:spacing w:after="0"/>
              <w:jc w:val="both"/>
              <w:rPr>
                <w:rFonts w:eastAsia="Times New Roman" w:cs="Arial"/>
                <w:sz w:val="16"/>
                <w:szCs w:val="16"/>
                <w:lang w:val="en-GB"/>
              </w:rPr>
            </w:pPr>
            <w:r w:rsidRPr="001C5B3C">
              <w:rPr>
                <w:rFonts w:eastAsia="Times New Roman" w:cs="Arial"/>
                <w:sz w:val="16"/>
                <w:szCs w:val="16"/>
                <w:lang w:val="en-GB"/>
              </w:rPr>
              <w:t>Manufactured capital</w:t>
            </w:r>
          </w:p>
        </w:tc>
        <w:tc>
          <w:tcPr>
            <w:tcW w:w="3040" w:type="dxa"/>
          </w:tcPr>
          <w:p w14:paraId="2CDB4E9B" w14:textId="18AB91A2" w:rsidR="000201E5" w:rsidRPr="00FB41EA" w:rsidRDefault="000201E5" w:rsidP="000201E5">
            <w:pPr>
              <w:spacing w:after="0"/>
              <w:jc w:val="both"/>
              <w:rPr>
                <w:rFonts w:eastAsia="Times New Roman" w:cs="Arial"/>
                <w:sz w:val="16"/>
                <w:szCs w:val="16"/>
                <w:lang w:val="en-GB"/>
              </w:rPr>
            </w:pPr>
            <w:r w:rsidRPr="002C7E2B">
              <w:rPr>
                <w:rFonts w:eastAsia="Times New Roman" w:cs="Arial"/>
                <w:sz w:val="16"/>
                <w:szCs w:val="16"/>
                <w:lang w:val="en-GB"/>
              </w:rPr>
              <w:t>Transport development and reducing negative environmental impact</w:t>
            </w:r>
          </w:p>
        </w:tc>
        <w:tc>
          <w:tcPr>
            <w:tcW w:w="1263" w:type="dxa"/>
            <w:vAlign w:val="center"/>
          </w:tcPr>
          <w:p w14:paraId="74636E57" w14:textId="28455B3C" w:rsidR="000201E5" w:rsidRPr="00FB41EA" w:rsidRDefault="000201E5" w:rsidP="000201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258CFE3C" w14:textId="79CA3727" w:rsidR="000201E5" w:rsidRPr="00FB41EA" w:rsidRDefault="000201E5" w:rsidP="000201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0201E5" w:rsidRPr="00FB41EA" w14:paraId="1A05CDB4" w14:textId="77777777" w:rsidTr="00140048">
        <w:tc>
          <w:tcPr>
            <w:tcW w:w="1106" w:type="dxa"/>
            <w:vMerge/>
            <w:vAlign w:val="center"/>
          </w:tcPr>
          <w:p w14:paraId="45154970" w14:textId="77777777" w:rsidR="000201E5" w:rsidRPr="00FB41EA" w:rsidRDefault="000201E5" w:rsidP="000201E5">
            <w:pPr>
              <w:spacing w:after="0"/>
              <w:jc w:val="center"/>
              <w:rPr>
                <w:rFonts w:eastAsia="Times New Roman" w:cs="Arial"/>
                <w:b/>
                <w:sz w:val="16"/>
                <w:szCs w:val="16"/>
                <w:lang w:val="en-GB"/>
              </w:rPr>
            </w:pPr>
          </w:p>
        </w:tc>
        <w:tc>
          <w:tcPr>
            <w:tcW w:w="1058" w:type="dxa"/>
            <w:vAlign w:val="center"/>
          </w:tcPr>
          <w:p w14:paraId="5CAF322A" w14:textId="77777777" w:rsidR="000201E5" w:rsidRPr="00FB41EA" w:rsidRDefault="000201E5" w:rsidP="000201E5">
            <w:pPr>
              <w:spacing w:after="0"/>
              <w:jc w:val="center"/>
              <w:rPr>
                <w:rFonts w:eastAsia="Times New Roman" w:cs="Arial"/>
                <w:sz w:val="16"/>
                <w:szCs w:val="16"/>
                <w:lang w:val="en-GB"/>
              </w:rPr>
            </w:pPr>
            <w:r w:rsidRPr="00FB41EA">
              <w:rPr>
                <w:rFonts w:eastAsia="Times New Roman" w:cs="Arial"/>
                <w:sz w:val="16"/>
                <w:szCs w:val="16"/>
                <w:lang w:val="en-GB"/>
              </w:rPr>
              <w:t>5</w:t>
            </w:r>
          </w:p>
        </w:tc>
        <w:tc>
          <w:tcPr>
            <w:tcW w:w="1530" w:type="dxa"/>
          </w:tcPr>
          <w:p w14:paraId="4824655A" w14:textId="656D7912" w:rsidR="000201E5" w:rsidRPr="00FB41EA" w:rsidRDefault="000201E5" w:rsidP="000201E5">
            <w:pPr>
              <w:spacing w:after="0"/>
              <w:jc w:val="both"/>
              <w:rPr>
                <w:rFonts w:eastAsia="Times New Roman" w:cs="Arial"/>
                <w:sz w:val="16"/>
                <w:szCs w:val="16"/>
                <w:lang w:val="en-GB"/>
              </w:rPr>
            </w:pPr>
            <w:r w:rsidRPr="001C5B3C">
              <w:rPr>
                <w:rFonts w:eastAsia="Times New Roman" w:cs="Arial"/>
                <w:sz w:val="16"/>
                <w:szCs w:val="16"/>
                <w:lang w:val="en-GB"/>
              </w:rPr>
              <w:t>Manufactured capital</w:t>
            </w:r>
          </w:p>
        </w:tc>
        <w:tc>
          <w:tcPr>
            <w:tcW w:w="3040" w:type="dxa"/>
          </w:tcPr>
          <w:p w14:paraId="3750FD58" w14:textId="35446E70" w:rsidR="000201E5" w:rsidRPr="00FB41EA" w:rsidRDefault="000201E5" w:rsidP="000201E5">
            <w:pPr>
              <w:spacing w:after="0"/>
              <w:jc w:val="both"/>
              <w:rPr>
                <w:rFonts w:eastAsia="Times New Roman" w:cs="Arial"/>
                <w:sz w:val="16"/>
                <w:szCs w:val="16"/>
                <w:lang w:val="en-GB"/>
              </w:rPr>
            </w:pPr>
            <w:r w:rsidRPr="002C7E2B">
              <w:rPr>
                <w:rFonts w:eastAsia="Times New Roman" w:cs="Arial"/>
                <w:sz w:val="16"/>
                <w:szCs w:val="16"/>
                <w:lang w:val="en-GB"/>
              </w:rPr>
              <w:t>Transport development and reducing negative environmental impact</w:t>
            </w:r>
          </w:p>
        </w:tc>
        <w:tc>
          <w:tcPr>
            <w:tcW w:w="1263" w:type="dxa"/>
            <w:vAlign w:val="center"/>
          </w:tcPr>
          <w:p w14:paraId="3913F608" w14:textId="7BB5540F" w:rsidR="000201E5" w:rsidRPr="00FB41EA" w:rsidRDefault="000201E5" w:rsidP="000201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4DD25B4F" w14:textId="361029BE" w:rsidR="000201E5" w:rsidRPr="00FB41EA" w:rsidRDefault="000201E5" w:rsidP="000201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0201E5" w:rsidRPr="00FB41EA" w14:paraId="1958D2EF" w14:textId="77777777" w:rsidTr="00140048">
        <w:trPr>
          <w:trHeight w:val="315"/>
        </w:trPr>
        <w:tc>
          <w:tcPr>
            <w:tcW w:w="1106" w:type="dxa"/>
            <w:vMerge w:val="restart"/>
            <w:vAlign w:val="center"/>
          </w:tcPr>
          <w:p w14:paraId="6BB12A5C" w14:textId="375D418E" w:rsidR="000201E5" w:rsidRPr="00FB41EA" w:rsidRDefault="000201E5" w:rsidP="000201E5">
            <w:pPr>
              <w:spacing w:after="0"/>
              <w:jc w:val="center"/>
              <w:rPr>
                <w:rFonts w:eastAsia="Times New Roman" w:cs="Arial"/>
                <w:b/>
                <w:sz w:val="16"/>
                <w:szCs w:val="16"/>
                <w:lang w:val="en-GB"/>
              </w:rPr>
            </w:pPr>
            <w:r w:rsidRPr="003474B3">
              <w:rPr>
                <w:rFonts w:eastAsia="Times New Roman" w:cs="Arial"/>
                <w:b/>
                <w:sz w:val="16"/>
                <w:szCs w:val="16"/>
                <w:lang w:val="en-GB"/>
              </w:rPr>
              <w:t>OPPC</w:t>
            </w:r>
          </w:p>
        </w:tc>
        <w:tc>
          <w:tcPr>
            <w:tcW w:w="1058" w:type="dxa"/>
            <w:vMerge w:val="restart"/>
            <w:vAlign w:val="center"/>
          </w:tcPr>
          <w:p w14:paraId="06B2FF91" w14:textId="77777777" w:rsidR="000201E5" w:rsidRPr="00FB41EA" w:rsidRDefault="000201E5" w:rsidP="000201E5">
            <w:pPr>
              <w:spacing w:after="0"/>
              <w:jc w:val="center"/>
              <w:rPr>
                <w:rFonts w:eastAsia="Times New Roman" w:cs="Arial"/>
                <w:sz w:val="16"/>
                <w:szCs w:val="16"/>
                <w:lang w:val="en-GB"/>
              </w:rPr>
            </w:pPr>
            <w:r w:rsidRPr="00FB41EA">
              <w:rPr>
                <w:rFonts w:eastAsia="Times New Roman" w:cs="Arial"/>
                <w:sz w:val="16"/>
                <w:szCs w:val="16"/>
                <w:lang w:val="en-GB"/>
              </w:rPr>
              <w:t>1</w:t>
            </w:r>
          </w:p>
        </w:tc>
        <w:tc>
          <w:tcPr>
            <w:tcW w:w="1530" w:type="dxa"/>
          </w:tcPr>
          <w:p w14:paraId="1C02FFC5" w14:textId="7EFF87CC" w:rsidR="000201E5" w:rsidRPr="00FB41EA" w:rsidRDefault="000201E5" w:rsidP="000201E5">
            <w:pPr>
              <w:spacing w:after="0"/>
              <w:jc w:val="both"/>
              <w:rPr>
                <w:rFonts w:eastAsia="Times New Roman" w:cs="Arial"/>
                <w:sz w:val="16"/>
                <w:szCs w:val="16"/>
                <w:lang w:val="en-GB"/>
              </w:rPr>
            </w:pPr>
            <w:r w:rsidRPr="001C5B3C">
              <w:rPr>
                <w:rFonts w:eastAsia="Times New Roman" w:cs="Arial"/>
                <w:sz w:val="16"/>
                <w:szCs w:val="16"/>
                <w:lang w:val="en-GB"/>
              </w:rPr>
              <w:t>Manufactured capital</w:t>
            </w:r>
          </w:p>
        </w:tc>
        <w:tc>
          <w:tcPr>
            <w:tcW w:w="3040" w:type="dxa"/>
          </w:tcPr>
          <w:p w14:paraId="3A1AF4D8" w14:textId="0D2C3744" w:rsidR="000201E5" w:rsidRPr="00FB41EA" w:rsidRDefault="000201E5" w:rsidP="000201E5">
            <w:pPr>
              <w:spacing w:after="0"/>
              <w:jc w:val="both"/>
              <w:rPr>
                <w:rFonts w:eastAsia="Times New Roman" w:cs="Arial"/>
                <w:sz w:val="16"/>
                <w:szCs w:val="16"/>
                <w:lang w:val="en-GB"/>
              </w:rPr>
            </w:pPr>
            <w:r w:rsidRPr="006931AE">
              <w:rPr>
                <w:rFonts w:eastAsia="Times New Roman" w:cs="Arial"/>
                <w:sz w:val="16"/>
                <w:szCs w:val="16"/>
                <w:lang w:val="en-GB"/>
              </w:rPr>
              <w:t>Tackling demographic and emigration problems</w:t>
            </w:r>
          </w:p>
        </w:tc>
        <w:tc>
          <w:tcPr>
            <w:tcW w:w="1263" w:type="dxa"/>
            <w:vAlign w:val="center"/>
          </w:tcPr>
          <w:p w14:paraId="372FD8DD" w14:textId="6C2FC6F2" w:rsidR="000201E5" w:rsidRPr="00FB41EA" w:rsidRDefault="000201E5" w:rsidP="000201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419F5A52" w14:textId="6D8337C1" w:rsidR="000201E5" w:rsidRPr="00FB41EA" w:rsidRDefault="000201E5" w:rsidP="000201E5">
            <w:pPr>
              <w:spacing w:after="0"/>
              <w:jc w:val="center"/>
              <w:rPr>
                <w:rFonts w:eastAsia="Times New Roman" w:cs="Arial"/>
                <w:sz w:val="16"/>
                <w:szCs w:val="16"/>
                <w:lang w:val="en-GB"/>
              </w:rPr>
            </w:pPr>
            <w:r w:rsidRPr="00715480">
              <w:rPr>
                <w:rFonts w:eastAsia="Times New Roman" w:cs="Arial"/>
                <w:sz w:val="16"/>
                <w:szCs w:val="16"/>
                <w:lang w:val="en-GB"/>
              </w:rPr>
              <w:t>Medium</w:t>
            </w:r>
          </w:p>
        </w:tc>
      </w:tr>
      <w:tr w:rsidR="00D278A5" w:rsidRPr="00FB41EA" w14:paraId="6A12E8BF" w14:textId="77777777" w:rsidTr="00140048">
        <w:trPr>
          <w:trHeight w:val="251"/>
        </w:trPr>
        <w:tc>
          <w:tcPr>
            <w:tcW w:w="1106" w:type="dxa"/>
            <w:vMerge/>
            <w:vAlign w:val="center"/>
          </w:tcPr>
          <w:p w14:paraId="7FA0D7D0" w14:textId="77777777" w:rsidR="00D278A5" w:rsidRPr="00FB41EA" w:rsidRDefault="00D278A5" w:rsidP="00CF43E5">
            <w:pPr>
              <w:spacing w:after="0"/>
              <w:jc w:val="center"/>
              <w:rPr>
                <w:rFonts w:eastAsia="Times New Roman" w:cs="Arial"/>
                <w:b/>
                <w:sz w:val="16"/>
                <w:szCs w:val="16"/>
                <w:lang w:val="en-GB"/>
              </w:rPr>
            </w:pPr>
          </w:p>
        </w:tc>
        <w:tc>
          <w:tcPr>
            <w:tcW w:w="1058" w:type="dxa"/>
            <w:vMerge/>
            <w:vAlign w:val="center"/>
          </w:tcPr>
          <w:p w14:paraId="58844138" w14:textId="77777777" w:rsidR="00D278A5" w:rsidRPr="00FB41EA" w:rsidRDefault="00D278A5" w:rsidP="00CF43E5">
            <w:pPr>
              <w:spacing w:after="0"/>
              <w:jc w:val="center"/>
              <w:rPr>
                <w:rFonts w:eastAsia="Times New Roman" w:cs="Arial"/>
                <w:sz w:val="16"/>
                <w:szCs w:val="16"/>
                <w:lang w:val="en-GB"/>
              </w:rPr>
            </w:pPr>
          </w:p>
        </w:tc>
        <w:tc>
          <w:tcPr>
            <w:tcW w:w="1530" w:type="dxa"/>
          </w:tcPr>
          <w:p w14:paraId="64C6E885" w14:textId="24910475" w:rsidR="00D278A5" w:rsidRPr="00FB41EA" w:rsidRDefault="000201E5" w:rsidP="00CF43E5">
            <w:pPr>
              <w:spacing w:after="0"/>
              <w:jc w:val="both"/>
              <w:rPr>
                <w:rFonts w:eastAsia="Times New Roman" w:cs="Arial"/>
                <w:sz w:val="16"/>
                <w:szCs w:val="16"/>
                <w:lang w:val="en-GB"/>
              </w:rPr>
            </w:pPr>
            <w:r>
              <w:rPr>
                <w:rFonts w:eastAsia="Times New Roman" w:cs="Arial"/>
                <w:sz w:val="16"/>
                <w:szCs w:val="16"/>
                <w:lang w:val="en-GB"/>
              </w:rPr>
              <w:t xml:space="preserve">Natural </w:t>
            </w:r>
            <w:r w:rsidR="006931AE" w:rsidRPr="006931AE">
              <w:rPr>
                <w:rFonts w:eastAsia="Times New Roman" w:cs="Arial"/>
                <w:sz w:val="16"/>
                <w:szCs w:val="16"/>
                <w:lang w:val="en-GB"/>
              </w:rPr>
              <w:t>capital</w:t>
            </w:r>
          </w:p>
        </w:tc>
        <w:tc>
          <w:tcPr>
            <w:tcW w:w="3040" w:type="dxa"/>
          </w:tcPr>
          <w:p w14:paraId="3DD314BA" w14:textId="6BE473A1"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Improved management of environmental resources</w:t>
            </w:r>
          </w:p>
        </w:tc>
        <w:tc>
          <w:tcPr>
            <w:tcW w:w="1263" w:type="dxa"/>
            <w:vAlign w:val="center"/>
          </w:tcPr>
          <w:p w14:paraId="65CEF850" w14:textId="66C989BE"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5018FF9C" w14:textId="653049F8"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D278A5" w:rsidRPr="00FB41EA" w14:paraId="2179FFEF" w14:textId="77777777" w:rsidTr="00140048">
        <w:trPr>
          <w:trHeight w:val="315"/>
        </w:trPr>
        <w:tc>
          <w:tcPr>
            <w:tcW w:w="1106" w:type="dxa"/>
            <w:vMerge/>
            <w:vAlign w:val="center"/>
          </w:tcPr>
          <w:p w14:paraId="7277E8DC" w14:textId="77777777" w:rsidR="00D278A5" w:rsidRPr="00FB41EA" w:rsidRDefault="00D278A5" w:rsidP="00CF43E5">
            <w:pPr>
              <w:spacing w:after="0"/>
              <w:jc w:val="center"/>
              <w:rPr>
                <w:rFonts w:eastAsia="Times New Roman" w:cs="Arial"/>
                <w:b/>
                <w:sz w:val="16"/>
                <w:szCs w:val="16"/>
                <w:lang w:val="en-GB"/>
              </w:rPr>
            </w:pPr>
          </w:p>
        </w:tc>
        <w:tc>
          <w:tcPr>
            <w:tcW w:w="1058" w:type="dxa"/>
            <w:vMerge/>
            <w:vAlign w:val="center"/>
          </w:tcPr>
          <w:p w14:paraId="7D2D3B53" w14:textId="77777777" w:rsidR="00D278A5" w:rsidRPr="00FB41EA" w:rsidRDefault="00D278A5" w:rsidP="00CF43E5">
            <w:pPr>
              <w:spacing w:after="0"/>
              <w:jc w:val="center"/>
              <w:rPr>
                <w:rFonts w:eastAsia="Times New Roman" w:cs="Arial"/>
                <w:sz w:val="16"/>
                <w:szCs w:val="16"/>
                <w:lang w:val="en-GB"/>
              </w:rPr>
            </w:pPr>
          </w:p>
        </w:tc>
        <w:tc>
          <w:tcPr>
            <w:tcW w:w="1530" w:type="dxa"/>
          </w:tcPr>
          <w:p w14:paraId="4B49E5A6" w14:textId="44674933" w:rsidR="00D278A5" w:rsidRPr="00FB41EA" w:rsidRDefault="000201E5" w:rsidP="00CF43E5">
            <w:pPr>
              <w:spacing w:after="0"/>
              <w:jc w:val="both"/>
              <w:rPr>
                <w:rFonts w:eastAsia="Times New Roman" w:cs="Arial"/>
                <w:sz w:val="16"/>
                <w:szCs w:val="16"/>
                <w:lang w:val="en-GB"/>
              </w:rPr>
            </w:pPr>
            <w:r>
              <w:rPr>
                <w:rFonts w:eastAsia="Times New Roman" w:cs="Arial"/>
                <w:sz w:val="16"/>
                <w:szCs w:val="16"/>
                <w:lang w:val="en-GB"/>
              </w:rPr>
              <w:t xml:space="preserve">Natural </w:t>
            </w:r>
            <w:r w:rsidRPr="006931AE">
              <w:rPr>
                <w:rFonts w:eastAsia="Times New Roman" w:cs="Arial"/>
                <w:sz w:val="16"/>
                <w:szCs w:val="16"/>
                <w:lang w:val="en-GB"/>
              </w:rPr>
              <w:t>capital</w:t>
            </w:r>
          </w:p>
        </w:tc>
        <w:tc>
          <w:tcPr>
            <w:tcW w:w="3040" w:type="dxa"/>
          </w:tcPr>
          <w:p w14:paraId="6CFBECF1" w14:textId="459A1B09" w:rsidR="00D278A5" w:rsidRPr="00FB41EA" w:rsidRDefault="002C7E2B" w:rsidP="00CF43E5">
            <w:pPr>
              <w:spacing w:after="0"/>
              <w:jc w:val="both"/>
              <w:rPr>
                <w:rFonts w:eastAsia="Times New Roman" w:cs="Arial"/>
                <w:sz w:val="16"/>
                <w:szCs w:val="16"/>
                <w:lang w:val="en-GB"/>
              </w:rPr>
            </w:pPr>
            <w:r w:rsidRPr="002C7E2B">
              <w:rPr>
                <w:rFonts w:eastAsia="Times New Roman" w:cs="Arial"/>
                <w:sz w:val="16"/>
                <w:szCs w:val="16"/>
                <w:lang w:val="en-GB"/>
              </w:rPr>
              <w:t>Mitigating climate change and adapting to it</w:t>
            </w:r>
          </w:p>
        </w:tc>
        <w:tc>
          <w:tcPr>
            <w:tcW w:w="1263" w:type="dxa"/>
            <w:vAlign w:val="center"/>
          </w:tcPr>
          <w:p w14:paraId="17BDB903" w14:textId="13632621" w:rsidR="00D278A5" w:rsidRPr="00FB41EA" w:rsidRDefault="00715480" w:rsidP="00CF43E5">
            <w:pPr>
              <w:spacing w:after="0"/>
              <w:jc w:val="center"/>
              <w:rPr>
                <w:rFonts w:eastAsia="Times New Roman" w:cs="Arial"/>
                <w:sz w:val="16"/>
                <w:szCs w:val="16"/>
                <w:lang w:val="en-GB"/>
              </w:rPr>
            </w:pPr>
            <w:r>
              <w:rPr>
                <w:rFonts w:eastAsia="Times New Roman" w:cs="Arial"/>
                <w:sz w:val="16"/>
                <w:szCs w:val="16"/>
                <w:lang w:val="en-GB"/>
              </w:rPr>
              <w:t>Neutral</w:t>
            </w:r>
          </w:p>
        </w:tc>
        <w:tc>
          <w:tcPr>
            <w:tcW w:w="1274" w:type="dxa"/>
            <w:vAlign w:val="center"/>
          </w:tcPr>
          <w:p w14:paraId="646F6B73"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w:t>
            </w:r>
          </w:p>
        </w:tc>
      </w:tr>
      <w:tr w:rsidR="00D278A5" w:rsidRPr="00FB41EA" w14:paraId="1EACFFC2" w14:textId="77777777" w:rsidTr="00140048">
        <w:trPr>
          <w:trHeight w:val="180"/>
        </w:trPr>
        <w:tc>
          <w:tcPr>
            <w:tcW w:w="1106" w:type="dxa"/>
            <w:vMerge/>
            <w:vAlign w:val="center"/>
          </w:tcPr>
          <w:p w14:paraId="605C2F8A" w14:textId="77777777" w:rsidR="00D278A5" w:rsidRPr="00FB41EA" w:rsidRDefault="00D278A5" w:rsidP="00CF43E5">
            <w:pPr>
              <w:spacing w:after="0"/>
              <w:jc w:val="center"/>
              <w:rPr>
                <w:rFonts w:eastAsia="Times New Roman" w:cs="Arial"/>
                <w:b/>
                <w:sz w:val="16"/>
                <w:szCs w:val="16"/>
                <w:lang w:val="en-GB"/>
              </w:rPr>
            </w:pPr>
          </w:p>
        </w:tc>
        <w:tc>
          <w:tcPr>
            <w:tcW w:w="1058" w:type="dxa"/>
            <w:vMerge w:val="restart"/>
            <w:vAlign w:val="center"/>
          </w:tcPr>
          <w:p w14:paraId="4B98B86B"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2</w:t>
            </w:r>
          </w:p>
        </w:tc>
        <w:tc>
          <w:tcPr>
            <w:tcW w:w="1530" w:type="dxa"/>
          </w:tcPr>
          <w:p w14:paraId="3CE7C14E" w14:textId="080D1601" w:rsidR="00D278A5" w:rsidRPr="00FB41EA" w:rsidRDefault="000201E5" w:rsidP="00CF43E5">
            <w:pPr>
              <w:spacing w:after="0"/>
              <w:jc w:val="both"/>
              <w:rPr>
                <w:rFonts w:eastAsia="Times New Roman" w:cs="Arial"/>
                <w:sz w:val="16"/>
                <w:szCs w:val="16"/>
                <w:lang w:val="en-GB"/>
              </w:rPr>
            </w:pPr>
            <w:r>
              <w:rPr>
                <w:rFonts w:eastAsia="Times New Roman" w:cs="Arial"/>
                <w:sz w:val="16"/>
                <w:szCs w:val="16"/>
                <w:lang w:val="en-GB"/>
              </w:rPr>
              <w:t>Manufactured capital</w:t>
            </w:r>
          </w:p>
        </w:tc>
        <w:tc>
          <w:tcPr>
            <w:tcW w:w="3040" w:type="dxa"/>
          </w:tcPr>
          <w:p w14:paraId="21EF9E69" w14:textId="653E357C" w:rsidR="00D278A5" w:rsidRPr="00FB41EA" w:rsidRDefault="006931AE" w:rsidP="00CF43E5">
            <w:pPr>
              <w:spacing w:after="0"/>
              <w:jc w:val="both"/>
              <w:rPr>
                <w:rFonts w:eastAsia="Times New Roman" w:cs="Arial"/>
                <w:sz w:val="16"/>
                <w:szCs w:val="16"/>
                <w:lang w:val="en-GB"/>
              </w:rPr>
            </w:pPr>
            <w:r w:rsidRPr="006931AE">
              <w:rPr>
                <w:rFonts w:eastAsia="Times New Roman" w:cs="Arial"/>
                <w:sz w:val="16"/>
                <w:szCs w:val="16"/>
                <w:lang w:val="en-GB"/>
              </w:rPr>
              <w:t>Promotion of sustainable production and consumption</w:t>
            </w:r>
          </w:p>
        </w:tc>
        <w:tc>
          <w:tcPr>
            <w:tcW w:w="1263" w:type="dxa"/>
            <w:vAlign w:val="center"/>
          </w:tcPr>
          <w:p w14:paraId="009CEA28" w14:textId="2EDF7205"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1ECFA300" w14:textId="1605241A"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D278A5" w:rsidRPr="00FB41EA" w14:paraId="1DC16057" w14:textId="77777777" w:rsidTr="00140048">
        <w:trPr>
          <w:trHeight w:val="180"/>
        </w:trPr>
        <w:tc>
          <w:tcPr>
            <w:tcW w:w="1106" w:type="dxa"/>
            <w:vMerge/>
            <w:vAlign w:val="center"/>
          </w:tcPr>
          <w:p w14:paraId="6DDC82C3" w14:textId="77777777" w:rsidR="00D278A5" w:rsidRPr="00FB41EA" w:rsidRDefault="00D278A5" w:rsidP="00CF43E5">
            <w:pPr>
              <w:spacing w:after="0"/>
              <w:jc w:val="center"/>
              <w:rPr>
                <w:rFonts w:eastAsia="Times New Roman" w:cs="Arial"/>
                <w:b/>
                <w:sz w:val="16"/>
                <w:szCs w:val="16"/>
                <w:lang w:val="en-GB"/>
              </w:rPr>
            </w:pPr>
          </w:p>
        </w:tc>
        <w:tc>
          <w:tcPr>
            <w:tcW w:w="1058" w:type="dxa"/>
            <w:vMerge/>
            <w:vAlign w:val="center"/>
          </w:tcPr>
          <w:p w14:paraId="3F916DC3" w14:textId="77777777" w:rsidR="00D278A5" w:rsidRPr="00FB41EA" w:rsidRDefault="00D278A5" w:rsidP="00CF43E5">
            <w:pPr>
              <w:spacing w:after="0"/>
              <w:jc w:val="center"/>
              <w:rPr>
                <w:rFonts w:eastAsia="Times New Roman" w:cs="Arial"/>
                <w:sz w:val="16"/>
                <w:szCs w:val="16"/>
                <w:lang w:val="en-GB"/>
              </w:rPr>
            </w:pPr>
          </w:p>
        </w:tc>
        <w:tc>
          <w:tcPr>
            <w:tcW w:w="1530" w:type="dxa"/>
          </w:tcPr>
          <w:p w14:paraId="492C97E6" w14:textId="4D12154E" w:rsidR="00D278A5" w:rsidRPr="00FB41EA" w:rsidRDefault="003474B3" w:rsidP="00CF43E5">
            <w:pPr>
              <w:spacing w:after="0"/>
              <w:jc w:val="both"/>
              <w:rPr>
                <w:rFonts w:eastAsia="Times New Roman" w:cs="Arial"/>
                <w:sz w:val="16"/>
                <w:szCs w:val="16"/>
                <w:lang w:val="en-GB"/>
              </w:rPr>
            </w:pPr>
            <w:r w:rsidRPr="003474B3">
              <w:rPr>
                <w:rFonts w:eastAsia="Times New Roman" w:cs="Arial"/>
                <w:sz w:val="16"/>
                <w:szCs w:val="16"/>
                <w:lang w:val="en-GB"/>
              </w:rPr>
              <w:t>Human capital</w:t>
            </w:r>
          </w:p>
        </w:tc>
        <w:tc>
          <w:tcPr>
            <w:tcW w:w="3040" w:type="dxa"/>
          </w:tcPr>
          <w:p w14:paraId="4ECC2606" w14:textId="5E23A97F" w:rsidR="00D278A5" w:rsidRPr="00FB41EA" w:rsidRDefault="002C7E2B" w:rsidP="00CF43E5">
            <w:pPr>
              <w:spacing w:after="0"/>
              <w:jc w:val="both"/>
              <w:rPr>
                <w:rFonts w:eastAsia="Times New Roman" w:cs="Arial"/>
                <w:sz w:val="16"/>
                <w:szCs w:val="16"/>
                <w:lang w:val="en-GB"/>
              </w:rPr>
            </w:pPr>
            <w:r w:rsidRPr="002C7E2B">
              <w:rPr>
                <w:rFonts w:eastAsia="Times New Roman" w:cs="Arial"/>
                <w:sz w:val="16"/>
                <w:szCs w:val="16"/>
                <w:lang w:val="en-GB"/>
              </w:rPr>
              <w:t>Reducing public health threats</w:t>
            </w:r>
          </w:p>
        </w:tc>
        <w:tc>
          <w:tcPr>
            <w:tcW w:w="1263" w:type="dxa"/>
            <w:vAlign w:val="center"/>
          </w:tcPr>
          <w:p w14:paraId="08DB9B5C" w14:textId="338B09E0"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Positive</w:t>
            </w:r>
          </w:p>
        </w:tc>
        <w:tc>
          <w:tcPr>
            <w:tcW w:w="1274" w:type="dxa"/>
            <w:vAlign w:val="center"/>
          </w:tcPr>
          <w:p w14:paraId="6BE3D077" w14:textId="1F6151EA" w:rsidR="00D278A5" w:rsidRPr="00FB41EA" w:rsidRDefault="00715480" w:rsidP="00CF43E5">
            <w:pPr>
              <w:spacing w:after="0"/>
              <w:jc w:val="center"/>
              <w:rPr>
                <w:rFonts w:eastAsia="Times New Roman" w:cs="Arial"/>
                <w:sz w:val="16"/>
                <w:szCs w:val="16"/>
                <w:lang w:val="en-GB"/>
              </w:rPr>
            </w:pPr>
            <w:r w:rsidRPr="00715480">
              <w:rPr>
                <w:rFonts w:eastAsia="Times New Roman" w:cs="Arial"/>
                <w:sz w:val="16"/>
                <w:szCs w:val="16"/>
                <w:lang w:val="en-GB"/>
              </w:rPr>
              <w:t>Strong</w:t>
            </w:r>
          </w:p>
        </w:tc>
      </w:tr>
      <w:tr w:rsidR="00D278A5" w:rsidRPr="00FB41EA" w14:paraId="028591E6" w14:textId="77777777" w:rsidTr="00140048">
        <w:tc>
          <w:tcPr>
            <w:tcW w:w="1106" w:type="dxa"/>
            <w:vMerge/>
            <w:vAlign w:val="center"/>
          </w:tcPr>
          <w:p w14:paraId="1E99ADDE" w14:textId="77777777" w:rsidR="00D278A5" w:rsidRPr="00FB41EA" w:rsidRDefault="00D278A5" w:rsidP="00CF43E5">
            <w:pPr>
              <w:spacing w:after="0"/>
              <w:jc w:val="center"/>
              <w:rPr>
                <w:rFonts w:eastAsia="Times New Roman" w:cs="Arial"/>
                <w:b/>
                <w:sz w:val="16"/>
                <w:szCs w:val="16"/>
                <w:lang w:val="en-GB"/>
              </w:rPr>
            </w:pPr>
          </w:p>
        </w:tc>
        <w:tc>
          <w:tcPr>
            <w:tcW w:w="1058" w:type="dxa"/>
            <w:vAlign w:val="center"/>
          </w:tcPr>
          <w:p w14:paraId="08AFE356"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3</w:t>
            </w:r>
          </w:p>
        </w:tc>
        <w:tc>
          <w:tcPr>
            <w:tcW w:w="1530" w:type="dxa"/>
          </w:tcPr>
          <w:p w14:paraId="5EB10ADE" w14:textId="682A0B3C" w:rsidR="00D278A5" w:rsidRPr="00FB41EA" w:rsidRDefault="000201E5" w:rsidP="00CF43E5">
            <w:pPr>
              <w:spacing w:after="0"/>
              <w:jc w:val="both"/>
              <w:rPr>
                <w:rFonts w:eastAsia="Times New Roman" w:cs="Arial"/>
                <w:sz w:val="16"/>
                <w:szCs w:val="16"/>
                <w:lang w:val="en-GB"/>
              </w:rPr>
            </w:pPr>
            <w:r>
              <w:rPr>
                <w:rFonts w:eastAsia="Times New Roman" w:cs="Arial"/>
                <w:sz w:val="16"/>
                <w:szCs w:val="16"/>
                <w:lang w:val="en-GB"/>
              </w:rPr>
              <w:t xml:space="preserve">Natural </w:t>
            </w:r>
            <w:r w:rsidRPr="006931AE">
              <w:rPr>
                <w:rFonts w:eastAsia="Times New Roman" w:cs="Arial"/>
                <w:sz w:val="16"/>
                <w:szCs w:val="16"/>
                <w:lang w:val="en-GB"/>
              </w:rPr>
              <w:t>capital</w:t>
            </w:r>
          </w:p>
        </w:tc>
        <w:tc>
          <w:tcPr>
            <w:tcW w:w="3040" w:type="dxa"/>
          </w:tcPr>
          <w:p w14:paraId="48FAE26E" w14:textId="2470DEFF" w:rsidR="00D278A5" w:rsidRPr="00FB41EA" w:rsidRDefault="002C7E2B" w:rsidP="00CF43E5">
            <w:pPr>
              <w:spacing w:after="0"/>
              <w:jc w:val="both"/>
              <w:rPr>
                <w:rFonts w:eastAsia="Times New Roman" w:cs="Arial"/>
                <w:sz w:val="16"/>
                <w:szCs w:val="16"/>
                <w:lang w:val="en-GB"/>
              </w:rPr>
            </w:pPr>
            <w:r w:rsidRPr="002C7E2B">
              <w:rPr>
                <w:rFonts w:eastAsia="Times New Roman" w:cs="Arial"/>
                <w:sz w:val="16"/>
                <w:szCs w:val="16"/>
                <w:lang w:val="en-GB"/>
              </w:rPr>
              <w:t>Mitigating climate change and adapting to it</w:t>
            </w:r>
          </w:p>
        </w:tc>
        <w:tc>
          <w:tcPr>
            <w:tcW w:w="1263" w:type="dxa"/>
            <w:vAlign w:val="center"/>
          </w:tcPr>
          <w:p w14:paraId="5BCD727F" w14:textId="54FACD41" w:rsidR="00D278A5" w:rsidRPr="00FB41EA" w:rsidRDefault="00715480" w:rsidP="00CF43E5">
            <w:pPr>
              <w:spacing w:after="0"/>
              <w:jc w:val="center"/>
              <w:rPr>
                <w:rFonts w:eastAsia="Times New Roman" w:cs="Arial"/>
                <w:sz w:val="16"/>
                <w:szCs w:val="16"/>
                <w:lang w:val="en-GB"/>
              </w:rPr>
            </w:pPr>
            <w:r>
              <w:rPr>
                <w:rFonts w:eastAsia="Times New Roman" w:cs="Arial"/>
                <w:sz w:val="16"/>
                <w:szCs w:val="16"/>
                <w:lang w:val="en-GB"/>
              </w:rPr>
              <w:t>Neutral</w:t>
            </w:r>
          </w:p>
        </w:tc>
        <w:tc>
          <w:tcPr>
            <w:tcW w:w="1274" w:type="dxa"/>
            <w:vAlign w:val="center"/>
          </w:tcPr>
          <w:p w14:paraId="73AE587C" w14:textId="77777777" w:rsidR="00D278A5" w:rsidRPr="00FB41EA" w:rsidRDefault="00D278A5" w:rsidP="00CF43E5">
            <w:pPr>
              <w:spacing w:after="0"/>
              <w:jc w:val="center"/>
              <w:rPr>
                <w:rFonts w:eastAsia="Times New Roman" w:cs="Arial"/>
                <w:sz w:val="16"/>
                <w:szCs w:val="16"/>
                <w:lang w:val="en-GB"/>
              </w:rPr>
            </w:pPr>
            <w:r w:rsidRPr="00FB41EA">
              <w:rPr>
                <w:rFonts w:eastAsia="Times New Roman" w:cs="Arial"/>
                <w:sz w:val="16"/>
                <w:szCs w:val="16"/>
                <w:lang w:val="en-GB"/>
              </w:rPr>
              <w:t>-</w:t>
            </w:r>
          </w:p>
        </w:tc>
      </w:tr>
    </w:tbl>
    <w:p w14:paraId="652BF5AD" w14:textId="77777777" w:rsidR="00140048" w:rsidRDefault="00140048" w:rsidP="00441F77">
      <w:pPr>
        <w:autoSpaceDE w:val="0"/>
        <w:autoSpaceDN w:val="0"/>
        <w:adjustRightInd w:val="0"/>
        <w:spacing w:before="120" w:after="0" w:line="240" w:lineRule="auto"/>
        <w:jc w:val="both"/>
        <w:rPr>
          <w:rFonts w:cs="Arial"/>
          <w:sz w:val="20"/>
          <w:szCs w:val="20"/>
          <w:lang w:val="en-GB" w:eastAsia="en-GB"/>
        </w:rPr>
      </w:pPr>
      <w:r w:rsidRPr="00FB41EA">
        <w:rPr>
          <w:sz w:val="18"/>
          <w:szCs w:val="20"/>
          <w:lang w:val="en-GB"/>
        </w:rPr>
        <w:t>Source: concluded by Evaluators</w:t>
      </w:r>
      <w:r w:rsidRPr="00FB41EA">
        <w:rPr>
          <w:rFonts w:cs="Arial"/>
          <w:sz w:val="20"/>
          <w:szCs w:val="20"/>
          <w:lang w:val="en-GB" w:eastAsia="en-GB"/>
        </w:rPr>
        <w:t xml:space="preserve"> </w:t>
      </w:r>
    </w:p>
    <w:p w14:paraId="41C93938" w14:textId="07C553EA" w:rsidR="00441F77" w:rsidRPr="00FB41EA" w:rsidRDefault="00E951D4" w:rsidP="00441F77">
      <w:pPr>
        <w:autoSpaceDE w:val="0"/>
        <w:autoSpaceDN w:val="0"/>
        <w:adjustRightInd w:val="0"/>
        <w:spacing w:before="120" w:after="0" w:line="240" w:lineRule="auto"/>
        <w:jc w:val="both"/>
        <w:rPr>
          <w:sz w:val="20"/>
          <w:szCs w:val="20"/>
          <w:lang w:val="en-GB"/>
        </w:rPr>
      </w:pPr>
      <w:proofErr w:type="gramStart"/>
      <w:r>
        <w:rPr>
          <w:rFonts w:cs="Arial"/>
          <w:sz w:val="20"/>
          <w:szCs w:val="20"/>
          <w:lang w:val="en-GB" w:eastAsia="en-GB"/>
        </w:rPr>
        <w:t>Assessing the sustainability of the EU structural funding,</w:t>
      </w:r>
      <w:proofErr w:type="gramEnd"/>
      <w:r>
        <w:rPr>
          <w:rFonts w:cs="Arial"/>
          <w:sz w:val="20"/>
          <w:szCs w:val="20"/>
          <w:lang w:val="en-GB" w:eastAsia="en-GB"/>
        </w:rPr>
        <w:t xml:space="preserve"> </w:t>
      </w:r>
      <w:proofErr w:type="gramStart"/>
      <w:r>
        <w:rPr>
          <w:rFonts w:cs="Arial"/>
          <w:sz w:val="20"/>
          <w:szCs w:val="20"/>
          <w:lang w:val="en-GB" w:eastAsia="en-GB"/>
        </w:rPr>
        <w:t>it</w:t>
      </w:r>
      <w:proofErr w:type="gramEnd"/>
      <w:r>
        <w:rPr>
          <w:rFonts w:cs="Arial"/>
          <w:sz w:val="20"/>
          <w:szCs w:val="20"/>
          <w:lang w:val="en-GB" w:eastAsia="en-GB"/>
        </w:rPr>
        <w:t xml:space="preserve"> can be concluded that the impact of </w:t>
      </w:r>
      <w:r w:rsidRPr="00E951D4">
        <w:rPr>
          <w:rFonts w:cs="Arial"/>
          <w:sz w:val="20"/>
          <w:szCs w:val="20"/>
          <w:lang w:val="en-GB" w:eastAsia="en-GB"/>
        </w:rPr>
        <w:t>the EU structural funding</w:t>
      </w:r>
      <w:r>
        <w:rPr>
          <w:rFonts w:cs="Arial"/>
          <w:sz w:val="20"/>
          <w:szCs w:val="20"/>
          <w:lang w:val="en-GB" w:eastAsia="en-GB"/>
        </w:rPr>
        <w:t xml:space="preserve"> will be sustained </w:t>
      </w:r>
      <w:r w:rsidR="00D57D68">
        <w:rPr>
          <w:rFonts w:cs="Arial"/>
          <w:sz w:val="20"/>
          <w:szCs w:val="20"/>
          <w:lang w:val="en-GB" w:eastAsia="en-GB"/>
        </w:rPr>
        <w:t xml:space="preserve">either in most areas </w:t>
      </w:r>
      <w:r>
        <w:rPr>
          <w:rFonts w:cs="Arial"/>
          <w:sz w:val="20"/>
          <w:szCs w:val="20"/>
          <w:lang w:val="en-GB" w:eastAsia="en-GB"/>
        </w:rPr>
        <w:t xml:space="preserve">or </w:t>
      </w:r>
      <w:r w:rsidR="00D57D68">
        <w:rPr>
          <w:rFonts w:cs="Arial"/>
          <w:sz w:val="20"/>
          <w:szCs w:val="20"/>
          <w:lang w:val="en-GB" w:eastAsia="en-GB"/>
        </w:rPr>
        <w:t>in all areas, assuming that no drastic fluctuations of economic cycles will be faced in the future.</w:t>
      </w:r>
      <w:r w:rsidR="00441F77" w:rsidRPr="00FB41EA">
        <w:rPr>
          <w:rFonts w:cs="Arial"/>
          <w:sz w:val="20"/>
          <w:szCs w:val="20"/>
          <w:lang w:val="en-GB" w:eastAsia="en-GB"/>
        </w:rPr>
        <w:t xml:space="preserve"> </w:t>
      </w:r>
      <w:r w:rsidR="00D57D68">
        <w:rPr>
          <w:rFonts w:cs="Arial"/>
          <w:sz w:val="20"/>
          <w:szCs w:val="20"/>
          <w:lang w:val="en-GB" w:eastAsia="en-GB"/>
        </w:rPr>
        <w:t xml:space="preserve">However, to ensure the continuity of </w:t>
      </w:r>
      <w:r w:rsidR="00D57D68" w:rsidRPr="00D57D68">
        <w:rPr>
          <w:rFonts w:cs="Arial"/>
          <w:sz w:val="20"/>
          <w:szCs w:val="20"/>
          <w:lang w:val="en-GB" w:eastAsia="en-GB"/>
        </w:rPr>
        <w:t xml:space="preserve">the EU structural funding </w:t>
      </w:r>
      <w:r w:rsidR="00D57D68">
        <w:rPr>
          <w:rFonts w:cs="Arial"/>
          <w:sz w:val="20"/>
          <w:szCs w:val="20"/>
          <w:lang w:val="en-GB" w:eastAsia="en-GB"/>
        </w:rPr>
        <w:t xml:space="preserve">impact on sustainable development </w:t>
      </w:r>
      <w:r w:rsidR="006B1B38">
        <w:rPr>
          <w:rFonts w:cs="Arial"/>
          <w:sz w:val="20"/>
          <w:szCs w:val="20"/>
          <w:lang w:val="en-GB" w:eastAsia="en-GB"/>
        </w:rPr>
        <w:t>it is essential to not only enable the results achieved by investing in infrastructure, but also to assure targeted investments in the area of environmental pollution reduction</w:t>
      </w:r>
      <w:r w:rsidR="00441F77" w:rsidRPr="00FB41EA">
        <w:rPr>
          <w:rFonts w:cs="Arial"/>
          <w:sz w:val="20"/>
          <w:szCs w:val="20"/>
          <w:lang w:val="en-GB" w:eastAsia="en-GB"/>
        </w:rPr>
        <w:t xml:space="preserve">. </w:t>
      </w:r>
      <w:r w:rsidR="006B1B38">
        <w:rPr>
          <w:rFonts w:cs="Arial"/>
          <w:sz w:val="20"/>
          <w:szCs w:val="20"/>
          <w:lang w:val="en-GB" w:eastAsia="en-GB"/>
        </w:rPr>
        <w:t>Earlier</w:t>
      </w:r>
      <w:r w:rsidR="006B1B38" w:rsidRPr="006B1B38">
        <w:rPr>
          <w:rFonts w:cs="Arial"/>
          <w:sz w:val="20"/>
          <w:szCs w:val="20"/>
          <w:lang w:val="en-GB" w:eastAsia="en-GB"/>
        </w:rPr>
        <w:t xml:space="preserve"> research</w:t>
      </w:r>
      <w:r w:rsidR="006B1B38">
        <w:rPr>
          <w:rFonts w:cs="Arial"/>
          <w:sz w:val="20"/>
          <w:szCs w:val="20"/>
          <w:lang w:val="en-GB" w:eastAsia="en-GB"/>
        </w:rPr>
        <w:t>es</w:t>
      </w:r>
      <w:r w:rsidR="006B1B38" w:rsidRPr="006B1B38">
        <w:rPr>
          <w:rFonts w:cs="Arial"/>
          <w:sz w:val="20"/>
          <w:szCs w:val="20"/>
          <w:lang w:val="en-GB" w:eastAsia="en-GB"/>
        </w:rPr>
        <w:t xml:space="preserve"> draw attention to the fact that in the long term, in order to achieve and maintain stability, it is necessary to intensify efforts and initiatives leading towards this goal</w:t>
      </w:r>
      <w:r w:rsidR="00441F77" w:rsidRPr="00FB41EA">
        <w:rPr>
          <w:sz w:val="20"/>
          <w:szCs w:val="20"/>
          <w:lang w:val="en-GB"/>
        </w:rPr>
        <w:t xml:space="preserve">. </w:t>
      </w:r>
      <w:r w:rsidR="002142DD">
        <w:rPr>
          <w:sz w:val="20"/>
          <w:szCs w:val="20"/>
          <w:lang w:val="en-GB"/>
        </w:rPr>
        <w:t>Currently</w:t>
      </w:r>
      <w:r w:rsidR="00AB3E6D">
        <w:rPr>
          <w:sz w:val="20"/>
          <w:szCs w:val="20"/>
          <w:lang w:val="en-GB"/>
        </w:rPr>
        <w:t>,</w:t>
      </w:r>
      <w:r w:rsidR="002142DD">
        <w:rPr>
          <w:sz w:val="20"/>
          <w:szCs w:val="20"/>
          <w:lang w:val="en-GB"/>
        </w:rPr>
        <w:t xml:space="preserve"> there is still a </w:t>
      </w:r>
      <w:proofErr w:type="gramStart"/>
      <w:r w:rsidR="002142DD">
        <w:rPr>
          <w:sz w:val="20"/>
          <w:szCs w:val="20"/>
          <w:lang w:val="en-GB"/>
        </w:rPr>
        <w:t>trend which</w:t>
      </w:r>
      <w:proofErr w:type="gramEnd"/>
      <w:r w:rsidR="002142DD">
        <w:rPr>
          <w:sz w:val="20"/>
          <w:szCs w:val="20"/>
          <w:lang w:val="en-GB"/>
        </w:rPr>
        <w:t xml:space="preserve"> prevents entrenching the achieved results. </w:t>
      </w:r>
      <w:r w:rsidR="00B80A5F">
        <w:rPr>
          <w:sz w:val="20"/>
          <w:szCs w:val="20"/>
          <w:lang w:val="en-GB"/>
        </w:rPr>
        <w:t xml:space="preserve">Studies related to climate change </w:t>
      </w:r>
      <w:r w:rsidR="00B80A5F" w:rsidRPr="00B80A5F">
        <w:rPr>
          <w:sz w:val="20"/>
          <w:szCs w:val="20"/>
          <w:lang w:val="en-GB"/>
        </w:rPr>
        <w:t xml:space="preserve">suggest that </w:t>
      </w:r>
      <w:r w:rsidR="00AB3E6D">
        <w:rPr>
          <w:sz w:val="20"/>
          <w:szCs w:val="20"/>
          <w:lang w:val="en-GB"/>
        </w:rPr>
        <w:t xml:space="preserve">when </w:t>
      </w:r>
      <w:r w:rsidR="00B80A5F" w:rsidRPr="00B80A5F">
        <w:rPr>
          <w:sz w:val="20"/>
          <w:szCs w:val="20"/>
          <w:lang w:val="en-GB"/>
        </w:rPr>
        <w:t>action</w:t>
      </w:r>
      <w:r w:rsidR="00AB3E6D">
        <w:rPr>
          <w:sz w:val="20"/>
          <w:szCs w:val="20"/>
          <w:lang w:val="en-GB"/>
        </w:rPr>
        <w:t>s are</w:t>
      </w:r>
      <w:r w:rsidR="00B80A5F" w:rsidRPr="00B80A5F">
        <w:rPr>
          <w:sz w:val="20"/>
          <w:szCs w:val="20"/>
          <w:lang w:val="en-GB"/>
        </w:rPr>
        <w:t xml:space="preserve"> </w:t>
      </w:r>
      <w:r w:rsidR="00AB3E6D" w:rsidRPr="00B80A5F">
        <w:rPr>
          <w:sz w:val="20"/>
          <w:szCs w:val="20"/>
          <w:lang w:val="en-GB"/>
        </w:rPr>
        <w:t>tak</w:t>
      </w:r>
      <w:r w:rsidR="00AB3E6D">
        <w:rPr>
          <w:sz w:val="20"/>
          <w:szCs w:val="20"/>
          <w:lang w:val="en-GB"/>
        </w:rPr>
        <w:t>en</w:t>
      </w:r>
      <w:r w:rsidR="00AB3E6D" w:rsidRPr="00B80A5F">
        <w:rPr>
          <w:sz w:val="20"/>
          <w:szCs w:val="20"/>
          <w:lang w:val="en-GB"/>
        </w:rPr>
        <w:t xml:space="preserve"> </w:t>
      </w:r>
      <w:r w:rsidR="00B80A5F" w:rsidRPr="00B80A5F">
        <w:rPr>
          <w:sz w:val="20"/>
          <w:szCs w:val="20"/>
          <w:lang w:val="en-GB"/>
        </w:rPr>
        <w:t>at an early stage, the investment</w:t>
      </w:r>
      <w:r w:rsidR="003D581B">
        <w:rPr>
          <w:sz w:val="20"/>
          <w:szCs w:val="20"/>
          <w:lang w:val="en-GB"/>
        </w:rPr>
        <w:t>s</w:t>
      </w:r>
      <w:r w:rsidR="00B80A5F" w:rsidRPr="00B80A5F">
        <w:rPr>
          <w:sz w:val="20"/>
          <w:szCs w:val="20"/>
          <w:lang w:val="en-GB"/>
        </w:rPr>
        <w:t xml:space="preserve"> bring </w:t>
      </w:r>
      <w:proofErr w:type="gramStart"/>
      <w:r w:rsidR="00B80A5F" w:rsidRPr="00B80A5F">
        <w:rPr>
          <w:sz w:val="20"/>
          <w:szCs w:val="20"/>
          <w:lang w:val="en-GB"/>
        </w:rPr>
        <w:t>more tangible benefits</w:t>
      </w:r>
      <w:proofErr w:type="gramEnd"/>
      <w:r w:rsidR="00B80A5F" w:rsidRPr="00B80A5F">
        <w:rPr>
          <w:sz w:val="20"/>
          <w:szCs w:val="20"/>
          <w:lang w:val="en-GB"/>
        </w:rPr>
        <w:t xml:space="preserve"> at a lower cost than </w:t>
      </w:r>
      <w:r w:rsidR="00AB3E6D">
        <w:rPr>
          <w:sz w:val="20"/>
          <w:szCs w:val="20"/>
          <w:lang w:val="en-GB"/>
        </w:rPr>
        <w:t xml:space="preserve">having </w:t>
      </w:r>
      <w:r w:rsidR="00AB3E6D">
        <w:rPr>
          <w:sz w:val="20"/>
          <w:szCs w:val="20"/>
          <w:lang w:val="en-GB"/>
        </w:rPr>
        <w:lastRenderedPageBreak/>
        <w:t>taken</w:t>
      </w:r>
      <w:r w:rsidR="00B80A5F" w:rsidRPr="00B80A5F">
        <w:rPr>
          <w:sz w:val="20"/>
          <w:szCs w:val="20"/>
          <w:lang w:val="en-GB"/>
        </w:rPr>
        <w:t xml:space="preserve"> appropriate action</w:t>
      </w:r>
      <w:r w:rsidR="003D581B">
        <w:rPr>
          <w:sz w:val="20"/>
          <w:szCs w:val="20"/>
          <w:lang w:val="en-GB"/>
        </w:rPr>
        <w:t>s</w:t>
      </w:r>
      <w:r w:rsidR="00B80A5F" w:rsidRPr="00B80A5F">
        <w:rPr>
          <w:sz w:val="20"/>
          <w:szCs w:val="20"/>
          <w:lang w:val="en-GB"/>
        </w:rPr>
        <w:t xml:space="preserve"> in later stages</w:t>
      </w:r>
      <w:r w:rsidR="00441F77" w:rsidRPr="00FB41EA">
        <w:rPr>
          <w:sz w:val="20"/>
          <w:szCs w:val="20"/>
          <w:lang w:val="en-GB"/>
        </w:rPr>
        <w:t xml:space="preserve">. </w:t>
      </w:r>
      <w:r w:rsidR="00B4780C">
        <w:rPr>
          <w:sz w:val="20"/>
          <w:szCs w:val="20"/>
          <w:lang w:val="en-GB"/>
        </w:rPr>
        <w:t xml:space="preserve">A </w:t>
      </w:r>
      <w:r w:rsidR="00B4780C" w:rsidRPr="00B4780C">
        <w:rPr>
          <w:sz w:val="20"/>
          <w:szCs w:val="20"/>
          <w:lang w:val="en-GB"/>
        </w:rPr>
        <w:t xml:space="preserve">study </w:t>
      </w:r>
      <w:r w:rsidR="00B4780C">
        <w:rPr>
          <w:sz w:val="20"/>
          <w:szCs w:val="20"/>
          <w:lang w:val="en-GB"/>
        </w:rPr>
        <w:t xml:space="preserve">surveying green jobs </w:t>
      </w:r>
      <w:r w:rsidR="00B4780C" w:rsidRPr="00B4780C">
        <w:rPr>
          <w:sz w:val="20"/>
          <w:szCs w:val="20"/>
          <w:lang w:val="en-GB"/>
        </w:rPr>
        <w:t>reveals that investment</w:t>
      </w:r>
      <w:r w:rsidR="00B4780C">
        <w:rPr>
          <w:sz w:val="20"/>
          <w:szCs w:val="20"/>
          <w:lang w:val="en-GB"/>
        </w:rPr>
        <w:t>s</w:t>
      </w:r>
      <w:r w:rsidR="00B4780C" w:rsidRPr="00B4780C">
        <w:rPr>
          <w:sz w:val="20"/>
          <w:szCs w:val="20"/>
          <w:lang w:val="en-GB"/>
        </w:rPr>
        <w:t xml:space="preserve"> in nature </w:t>
      </w:r>
      <w:r w:rsidR="00B4780C">
        <w:rPr>
          <w:sz w:val="20"/>
          <w:szCs w:val="20"/>
          <w:lang w:val="en-GB"/>
        </w:rPr>
        <w:t>preservation</w:t>
      </w:r>
      <w:r w:rsidR="00B4780C" w:rsidRPr="00B4780C">
        <w:rPr>
          <w:sz w:val="20"/>
          <w:szCs w:val="20"/>
          <w:lang w:val="en-GB"/>
        </w:rPr>
        <w:t xml:space="preserve"> ha</w:t>
      </w:r>
      <w:r w:rsidR="00B4780C">
        <w:rPr>
          <w:sz w:val="20"/>
          <w:szCs w:val="20"/>
          <w:lang w:val="en-GB"/>
        </w:rPr>
        <w:t>ve</w:t>
      </w:r>
      <w:r w:rsidR="00B4780C" w:rsidRPr="00B4780C">
        <w:rPr>
          <w:sz w:val="20"/>
          <w:szCs w:val="20"/>
          <w:lang w:val="en-GB"/>
        </w:rPr>
        <w:t xml:space="preserve"> </w:t>
      </w:r>
      <w:r w:rsidR="00145E8E">
        <w:rPr>
          <w:sz w:val="20"/>
          <w:szCs w:val="20"/>
          <w:lang w:val="en-GB"/>
        </w:rPr>
        <w:t xml:space="preserve">a </w:t>
      </w:r>
      <w:r w:rsidR="00B4780C" w:rsidRPr="00B4780C">
        <w:rPr>
          <w:sz w:val="20"/>
          <w:szCs w:val="20"/>
          <w:lang w:val="en-GB"/>
        </w:rPr>
        <w:t xml:space="preserve">positive </w:t>
      </w:r>
      <w:r w:rsidR="00145E8E">
        <w:rPr>
          <w:sz w:val="20"/>
          <w:szCs w:val="20"/>
          <w:lang w:val="en-GB"/>
        </w:rPr>
        <w:t>correlation</w:t>
      </w:r>
      <w:r w:rsidR="00B4780C" w:rsidRPr="00B4780C">
        <w:rPr>
          <w:sz w:val="20"/>
          <w:szCs w:val="20"/>
          <w:lang w:val="en-GB"/>
        </w:rPr>
        <w:t xml:space="preserve"> with </w:t>
      </w:r>
      <w:r w:rsidR="00145E8E">
        <w:rPr>
          <w:sz w:val="20"/>
          <w:szCs w:val="20"/>
          <w:lang w:val="en-GB"/>
        </w:rPr>
        <w:t xml:space="preserve">the employment of </w:t>
      </w:r>
      <w:r w:rsidR="00B4780C" w:rsidRPr="00B4780C">
        <w:rPr>
          <w:sz w:val="20"/>
          <w:szCs w:val="20"/>
          <w:lang w:val="en-GB"/>
        </w:rPr>
        <w:t>people</w:t>
      </w:r>
      <w:r w:rsidR="00441F77" w:rsidRPr="00FB41EA">
        <w:rPr>
          <w:sz w:val="20"/>
          <w:szCs w:val="20"/>
          <w:lang w:val="en-GB"/>
        </w:rPr>
        <w:t xml:space="preserve">. </w:t>
      </w:r>
      <w:r w:rsidR="00145E8E" w:rsidRPr="00145E8E">
        <w:rPr>
          <w:sz w:val="20"/>
          <w:szCs w:val="20"/>
          <w:lang w:val="en-GB"/>
        </w:rPr>
        <w:t xml:space="preserve">This </w:t>
      </w:r>
      <w:r w:rsidR="00145E8E">
        <w:rPr>
          <w:sz w:val="20"/>
          <w:szCs w:val="20"/>
          <w:lang w:val="en-GB"/>
        </w:rPr>
        <w:t>correlation</w:t>
      </w:r>
      <w:r w:rsidR="00145E8E" w:rsidRPr="00145E8E">
        <w:rPr>
          <w:sz w:val="20"/>
          <w:szCs w:val="20"/>
          <w:lang w:val="en-GB"/>
        </w:rPr>
        <w:t xml:space="preserve"> </w:t>
      </w:r>
      <w:r w:rsidR="00145E8E">
        <w:rPr>
          <w:sz w:val="20"/>
          <w:szCs w:val="20"/>
          <w:lang w:val="en-GB"/>
        </w:rPr>
        <w:t>gets</w:t>
      </w:r>
      <w:r w:rsidR="00145E8E" w:rsidRPr="00145E8E">
        <w:rPr>
          <w:sz w:val="20"/>
          <w:szCs w:val="20"/>
          <w:lang w:val="en-GB"/>
        </w:rPr>
        <w:t xml:space="preserve"> particularly strong in the long term, improving the sustainability of economic activity</w:t>
      </w:r>
      <w:r w:rsidR="00441F77" w:rsidRPr="00FB41EA">
        <w:rPr>
          <w:sz w:val="20"/>
          <w:szCs w:val="20"/>
          <w:lang w:val="en-GB"/>
        </w:rPr>
        <w:t xml:space="preserve">. </w:t>
      </w:r>
      <w:r w:rsidR="00145E8E" w:rsidRPr="00145E8E">
        <w:rPr>
          <w:sz w:val="20"/>
          <w:szCs w:val="20"/>
          <w:lang w:val="en-GB"/>
        </w:rPr>
        <w:t xml:space="preserve">In addition to increasing employment, </w:t>
      </w:r>
      <w:r w:rsidR="00145E8E">
        <w:rPr>
          <w:sz w:val="20"/>
          <w:szCs w:val="20"/>
          <w:lang w:val="en-GB"/>
        </w:rPr>
        <w:t>an</w:t>
      </w:r>
      <w:r w:rsidR="00145E8E" w:rsidRPr="00145E8E">
        <w:rPr>
          <w:sz w:val="20"/>
          <w:szCs w:val="20"/>
          <w:lang w:val="en-GB"/>
        </w:rPr>
        <w:t xml:space="preserve">other important </w:t>
      </w:r>
      <w:r w:rsidR="00145E8E">
        <w:rPr>
          <w:sz w:val="20"/>
          <w:szCs w:val="20"/>
          <w:lang w:val="en-GB"/>
        </w:rPr>
        <w:t>benefit of</w:t>
      </w:r>
      <w:r w:rsidR="00145E8E" w:rsidRPr="00145E8E">
        <w:rPr>
          <w:sz w:val="20"/>
          <w:szCs w:val="20"/>
          <w:lang w:val="en-GB"/>
        </w:rPr>
        <w:t xml:space="preserve"> investments </w:t>
      </w:r>
      <w:proofErr w:type="gramStart"/>
      <w:r w:rsidR="00AB3E6D">
        <w:rPr>
          <w:sz w:val="20"/>
          <w:szCs w:val="20"/>
          <w:lang w:val="en-GB"/>
        </w:rPr>
        <w:t>was</w:t>
      </w:r>
      <w:r w:rsidR="00145E8E">
        <w:rPr>
          <w:sz w:val="20"/>
          <w:szCs w:val="20"/>
          <w:lang w:val="en-GB"/>
        </w:rPr>
        <w:t xml:space="preserve"> distinguished</w:t>
      </w:r>
      <w:proofErr w:type="gramEnd"/>
      <w:r w:rsidR="00145E8E" w:rsidRPr="00145E8E">
        <w:rPr>
          <w:sz w:val="20"/>
          <w:szCs w:val="20"/>
          <w:lang w:val="en-GB"/>
        </w:rPr>
        <w:t xml:space="preserve">: </w:t>
      </w:r>
      <w:r w:rsidR="00145E8E">
        <w:rPr>
          <w:sz w:val="20"/>
          <w:szCs w:val="20"/>
          <w:lang w:val="en-GB"/>
        </w:rPr>
        <w:t xml:space="preserve">an </w:t>
      </w:r>
      <w:r w:rsidR="00145E8E" w:rsidRPr="00145E8E">
        <w:rPr>
          <w:sz w:val="20"/>
          <w:szCs w:val="20"/>
          <w:lang w:val="en-GB"/>
        </w:rPr>
        <w:t>improving quality of life</w:t>
      </w:r>
      <w:r w:rsidR="00145E8E">
        <w:rPr>
          <w:sz w:val="20"/>
          <w:szCs w:val="20"/>
          <w:lang w:val="en-GB"/>
        </w:rPr>
        <w:t xml:space="preserve"> of European citizens.</w:t>
      </w:r>
      <w:r w:rsidR="00145E8E" w:rsidRPr="00145E8E">
        <w:rPr>
          <w:sz w:val="20"/>
          <w:szCs w:val="20"/>
          <w:lang w:val="en-GB"/>
        </w:rPr>
        <w:t xml:space="preserve"> </w:t>
      </w:r>
      <w:r w:rsidR="0053346B" w:rsidRPr="0053346B">
        <w:rPr>
          <w:sz w:val="20"/>
          <w:szCs w:val="20"/>
          <w:lang w:val="en-GB"/>
        </w:rPr>
        <w:t>Therefore, to ensure long-term benefits of th</w:t>
      </w:r>
      <w:r w:rsidR="0053346B">
        <w:rPr>
          <w:sz w:val="20"/>
          <w:szCs w:val="20"/>
          <w:lang w:val="en-GB"/>
        </w:rPr>
        <w:t>e</w:t>
      </w:r>
      <w:r w:rsidR="0053346B" w:rsidRPr="0053346B">
        <w:rPr>
          <w:sz w:val="20"/>
          <w:szCs w:val="20"/>
          <w:lang w:val="en-GB"/>
        </w:rPr>
        <w:t>s</w:t>
      </w:r>
      <w:r w:rsidR="0053346B">
        <w:rPr>
          <w:sz w:val="20"/>
          <w:szCs w:val="20"/>
          <w:lang w:val="en-GB"/>
        </w:rPr>
        <w:t>e</w:t>
      </w:r>
      <w:r w:rsidR="0053346B" w:rsidRPr="0053346B">
        <w:rPr>
          <w:sz w:val="20"/>
          <w:szCs w:val="20"/>
          <w:lang w:val="en-GB"/>
        </w:rPr>
        <w:t xml:space="preserve"> investment</w:t>
      </w:r>
      <w:r w:rsidR="0053346B">
        <w:rPr>
          <w:sz w:val="20"/>
          <w:szCs w:val="20"/>
          <w:lang w:val="en-GB"/>
        </w:rPr>
        <w:t>s it</w:t>
      </w:r>
      <w:r w:rsidR="0053346B" w:rsidRPr="0053346B">
        <w:rPr>
          <w:sz w:val="20"/>
          <w:szCs w:val="20"/>
          <w:lang w:val="en-GB"/>
        </w:rPr>
        <w:t xml:space="preserve"> is necessary to ensure that people </w:t>
      </w:r>
      <w:proofErr w:type="gramStart"/>
      <w:r w:rsidR="0053346B" w:rsidRPr="0053346B">
        <w:rPr>
          <w:sz w:val="20"/>
          <w:szCs w:val="20"/>
          <w:lang w:val="en-GB"/>
        </w:rPr>
        <w:t>are given</w:t>
      </w:r>
      <w:proofErr w:type="gramEnd"/>
      <w:r w:rsidR="0053346B" w:rsidRPr="0053346B">
        <w:rPr>
          <w:sz w:val="20"/>
          <w:szCs w:val="20"/>
          <w:lang w:val="en-GB"/>
        </w:rPr>
        <w:t xml:space="preserve"> the</w:t>
      </w:r>
      <w:r w:rsidR="0053346B">
        <w:rPr>
          <w:sz w:val="20"/>
          <w:szCs w:val="20"/>
          <w:lang w:val="en-GB"/>
        </w:rPr>
        <w:t xml:space="preserve"> necessary skills to use the opportunities provided by</w:t>
      </w:r>
      <w:r w:rsidR="0053346B" w:rsidRPr="0053346B">
        <w:rPr>
          <w:sz w:val="20"/>
          <w:szCs w:val="20"/>
          <w:lang w:val="en-GB"/>
        </w:rPr>
        <w:t xml:space="preserve"> new technology</w:t>
      </w:r>
      <w:r w:rsidR="00441F77" w:rsidRPr="00FB41EA">
        <w:rPr>
          <w:sz w:val="20"/>
          <w:szCs w:val="20"/>
          <w:lang w:val="en-GB"/>
        </w:rPr>
        <w:t>.</w:t>
      </w:r>
    </w:p>
    <w:p w14:paraId="5FA4EB50" w14:textId="14911D05" w:rsidR="00BC6473" w:rsidRPr="00FB41EA" w:rsidRDefault="0053346B" w:rsidP="00441F77">
      <w:pPr>
        <w:autoSpaceDE w:val="0"/>
        <w:autoSpaceDN w:val="0"/>
        <w:adjustRightInd w:val="0"/>
        <w:spacing w:before="120" w:after="0" w:line="240" w:lineRule="auto"/>
        <w:jc w:val="both"/>
        <w:rPr>
          <w:rFonts w:eastAsia="Times New Roman"/>
          <w:color w:val="000000"/>
          <w:sz w:val="20"/>
          <w:szCs w:val="48"/>
          <w:lang w:val="en-GB"/>
        </w:rPr>
      </w:pPr>
      <w:r>
        <w:rPr>
          <w:sz w:val="20"/>
          <w:szCs w:val="20"/>
          <w:lang w:val="en-GB"/>
        </w:rPr>
        <w:t xml:space="preserve">In conclusion, </w:t>
      </w:r>
      <w:r w:rsidR="006958E4">
        <w:rPr>
          <w:sz w:val="20"/>
          <w:szCs w:val="20"/>
          <w:lang w:val="en-GB"/>
        </w:rPr>
        <w:t xml:space="preserve">the </w:t>
      </w:r>
      <w:r w:rsidRPr="0053346B">
        <w:rPr>
          <w:sz w:val="20"/>
          <w:szCs w:val="20"/>
          <w:lang w:val="en-GB"/>
        </w:rPr>
        <w:t xml:space="preserve">impact </w:t>
      </w:r>
      <w:r w:rsidR="006958E4">
        <w:rPr>
          <w:sz w:val="20"/>
          <w:szCs w:val="20"/>
          <w:lang w:val="en-GB"/>
        </w:rPr>
        <w:t xml:space="preserve">of </w:t>
      </w:r>
      <w:r w:rsidR="006958E4" w:rsidRPr="006958E4">
        <w:rPr>
          <w:sz w:val="20"/>
          <w:szCs w:val="20"/>
          <w:lang w:val="en-GB"/>
        </w:rPr>
        <w:t xml:space="preserve">the EU structural funding </w:t>
      </w:r>
      <w:r w:rsidRPr="0053346B">
        <w:rPr>
          <w:sz w:val="20"/>
          <w:szCs w:val="20"/>
          <w:lang w:val="en-GB"/>
        </w:rPr>
        <w:t xml:space="preserve">on sustainable development in Lithuania has been limited, as </w:t>
      </w:r>
      <w:r w:rsidR="006958E4">
        <w:rPr>
          <w:sz w:val="20"/>
          <w:szCs w:val="20"/>
          <w:lang w:val="en-GB"/>
        </w:rPr>
        <w:t xml:space="preserve">the </w:t>
      </w:r>
      <w:r w:rsidRPr="0053346B">
        <w:rPr>
          <w:sz w:val="20"/>
          <w:szCs w:val="20"/>
          <w:lang w:val="en-GB"/>
        </w:rPr>
        <w:t xml:space="preserve">investments in human, social and </w:t>
      </w:r>
      <w:r w:rsidR="000201E5">
        <w:rPr>
          <w:sz w:val="20"/>
          <w:szCs w:val="20"/>
          <w:lang w:val="en-GB"/>
        </w:rPr>
        <w:t>manufactured</w:t>
      </w:r>
      <w:r w:rsidRPr="0053346B">
        <w:rPr>
          <w:sz w:val="20"/>
          <w:szCs w:val="20"/>
          <w:lang w:val="en-GB"/>
        </w:rPr>
        <w:t xml:space="preserve"> </w:t>
      </w:r>
      <w:bookmarkStart w:id="4" w:name="_GoBack"/>
      <w:r w:rsidRPr="0053346B">
        <w:rPr>
          <w:sz w:val="20"/>
          <w:szCs w:val="20"/>
          <w:lang w:val="en-GB"/>
        </w:rPr>
        <w:t>capital</w:t>
      </w:r>
      <w:bookmarkEnd w:id="4"/>
      <w:r w:rsidRPr="0053346B">
        <w:rPr>
          <w:sz w:val="20"/>
          <w:szCs w:val="20"/>
          <w:lang w:val="en-GB"/>
        </w:rPr>
        <w:t xml:space="preserve"> reduced natural capital resources</w:t>
      </w:r>
      <w:r w:rsidR="00441F77" w:rsidRPr="00FB41EA">
        <w:rPr>
          <w:rFonts w:eastAsia="Times New Roman" w:cs="Arial"/>
          <w:sz w:val="20"/>
          <w:szCs w:val="20"/>
          <w:lang w:val="en-GB"/>
        </w:rPr>
        <w:t xml:space="preserve">. </w:t>
      </w:r>
      <w:r w:rsidR="00BC58D5">
        <w:rPr>
          <w:rFonts w:eastAsia="Times New Roman" w:cs="Arial"/>
          <w:sz w:val="20"/>
          <w:szCs w:val="20"/>
          <w:lang w:val="en-GB"/>
        </w:rPr>
        <w:t xml:space="preserve">Taking into consideration </w:t>
      </w:r>
      <w:r w:rsidR="00184566">
        <w:rPr>
          <w:rFonts w:eastAsia="Times New Roman" w:cs="Arial"/>
          <w:sz w:val="20"/>
          <w:szCs w:val="20"/>
          <w:lang w:val="en-GB"/>
        </w:rPr>
        <w:t>the negative social – economic situation and the global financial crisis</w:t>
      </w:r>
      <w:r w:rsidR="00AB3E6D">
        <w:rPr>
          <w:rFonts w:eastAsia="Times New Roman" w:cs="Arial"/>
          <w:sz w:val="20"/>
          <w:szCs w:val="20"/>
          <w:lang w:val="en-GB"/>
        </w:rPr>
        <w:t xml:space="preserve"> in 2008</w:t>
      </w:r>
      <w:r w:rsidR="00184566">
        <w:rPr>
          <w:rFonts w:eastAsia="Times New Roman" w:cs="Arial"/>
          <w:sz w:val="20"/>
          <w:szCs w:val="20"/>
          <w:lang w:val="en-GB"/>
        </w:rPr>
        <w:t>, t</w:t>
      </w:r>
      <w:r w:rsidR="00184566" w:rsidRPr="00184566">
        <w:rPr>
          <w:rFonts w:eastAsia="Times New Roman" w:cs="Arial"/>
          <w:sz w:val="20"/>
          <w:szCs w:val="20"/>
          <w:lang w:val="en-GB"/>
        </w:rPr>
        <w:t>he</w:t>
      </w:r>
      <w:r w:rsidR="00184566">
        <w:rPr>
          <w:rFonts w:eastAsia="Times New Roman" w:cs="Arial"/>
          <w:sz w:val="20"/>
          <w:szCs w:val="20"/>
          <w:lang w:val="en-GB"/>
        </w:rPr>
        <w:t xml:space="preserve"> majority of public government</w:t>
      </w:r>
      <w:r w:rsidR="00184566" w:rsidRPr="00184566">
        <w:rPr>
          <w:rFonts w:eastAsia="Times New Roman" w:cs="Arial"/>
          <w:sz w:val="20"/>
          <w:szCs w:val="20"/>
          <w:lang w:val="en-GB"/>
        </w:rPr>
        <w:t xml:space="preserve"> solutions </w:t>
      </w:r>
      <w:r w:rsidR="00184566">
        <w:rPr>
          <w:rFonts w:eastAsia="Times New Roman" w:cs="Arial"/>
          <w:sz w:val="20"/>
          <w:szCs w:val="20"/>
          <w:lang w:val="en-GB"/>
        </w:rPr>
        <w:t xml:space="preserve">(including </w:t>
      </w:r>
      <w:r w:rsidR="00BE2888" w:rsidRPr="00BE2888">
        <w:rPr>
          <w:rFonts w:eastAsia="Times New Roman" w:cs="Arial"/>
          <w:sz w:val="20"/>
          <w:szCs w:val="20"/>
          <w:lang w:val="en-GB"/>
        </w:rPr>
        <w:t xml:space="preserve">the EU structural funding </w:t>
      </w:r>
      <w:r w:rsidR="00BE2888">
        <w:rPr>
          <w:rFonts w:eastAsia="Times New Roman" w:cs="Arial"/>
          <w:sz w:val="20"/>
          <w:szCs w:val="20"/>
          <w:lang w:val="en-GB"/>
        </w:rPr>
        <w:t xml:space="preserve">reallocation) </w:t>
      </w:r>
      <w:proofErr w:type="gramStart"/>
      <w:r w:rsidR="00184566" w:rsidRPr="00184566">
        <w:rPr>
          <w:rFonts w:eastAsia="Times New Roman" w:cs="Arial"/>
          <w:sz w:val="20"/>
          <w:szCs w:val="20"/>
          <w:lang w:val="en-GB"/>
        </w:rPr>
        <w:t>were often directed</w:t>
      </w:r>
      <w:proofErr w:type="gramEnd"/>
      <w:r w:rsidR="00184566" w:rsidRPr="00184566">
        <w:rPr>
          <w:rFonts w:eastAsia="Times New Roman" w:cs="Arial"/>
          <w:sz w:val="20"/>
          <w:szCs w:val="20"/>
          <w:lang w:val="en-GB"/>
        </w:rPr>
        <w:t xml:space="preserve"> towards </w:t>
      </w:r>
      <w:r w:rsidR="00BE2888">
        <w:rPr>
          <w:rFonts w:eastAsia="Times New Roman" w:cs="Arial"/>
          <w:sz w:val="20"/>
          <w:szCs w:val="20"/>
          <w:lang w:val="en-GB"/>
        </w:rPr>
        <w:t xml:space="preserve">short-term </w:t>
      </w:r>
      <w:r w:rsidR="00184566" w:rsidRPr="00184566">
        <w:rPr>
          <w:rFonts w:eastAsia="Times New Roman" w:cs="Arial"/>
          <w:sz w:val="20"/>
          <w:szCs w:val="20"/>
          <w:lang w:val="en-GB"/>
        </w:rPr>
        <w:t>manag</w:t>
      </w:r>
      <w:r w:rsidR="00BE2888">
        <w:rPr>
          <w:rFonts w:eastAsia="Times New Roman" w:cs="Arial"/>
          <w:sz w:val="20"/>
          <w:szCs w:val="20"/>
          <w:lang w:val="en-GB"/>
        </w:rPr>
        <w:t>ement</w:t>
      </w:r>
      <w:r w:rsidR="00184566" w:rsidRPr="00184566">
        <w:rPr>
          <w:rFonts w:eastAsia="Times New Roman" w:cs="Arial"/>
          <w:sz w:val="20"/>
          <w:szCs w:val="20"/>
          <w:lang w:val="en-GB"/>
        </w:rPr>
        <w:t xml:space="preserve"> </w:t>
      </w:r>
      <w:r w:rsidR="00BE2888">
        <w:rPr>
          <w:rFonts w:eastAsia="Times New Roman" w:cs="Arial"/>
          <w:sz w:val="20"/>
          <w:szCs w:val="20"/>
          <w:lang w:val="en-GB"/>
        </w:rPr>
        <w:t xml:space="preserve">of </w:t>
      </w:r>
      <w:r w:rsidR="00184566" w:rsidRPr="00184566">
        <w:rPr>
          <w:rFonts w:eastAsia="Times New Roman" w:cs="Arial"/>
          <w:sz w:val="20"/>
          <w:szCs w:val="20"/>
          <w:lang w:val="en-GB"/>
        </w:rPr>
        <w:t xml:space="preserve">the </w:t>
      </w:r>
      <w:r w:rsidR="00BE2888" w:rsidRPr="00184566">
        <w:rPr>
          <w:rFonts w:eastAsia="Times New Roman" w:cs="Arial"/>
          <w:sz w:val="20"/>
          <w:szCs w:val="20"/>
          <w:lang w:val="en-GB"/>
        </w:rPr>
        <w:t xml:space="preserve">crisis </w:t>
      </w:r>
      <w:r w:rsidR="00184566" w:rsidRPr="00184566">
        <w:rPr>
          <w:rFonts w:eastAsia="Times New Roman" w:cs="Arial"/>
          <w:sz w:val="20"/>
          <w:szCs w:val="20"/>
          <w:lang w:val="en-GB"/>
        </w:rPr>
        <w:t>outcomes, and not towards the long-term outlook.</w:t>
      </w:r>
      <w:r w:rsidR="00184566">
        <w:rPr>
          <w:rFonts w:eastAsia="Times New Roman" w:cs="Arial"/>
          <w:sz w:val="20"/>
          <w:szCs w:val="20"/>
          <w:lang w:val="en-GB"/>
        </w:rPr>
        <w:t xml:space="preserve"> </w:t>
      </w:r>
      <w:r w:rsidR="00BE2888">
        <w:rPr>
          <w:rFonts w:eastAsia="Times New Roman" w:cs="Arial"/>
          <w:sz w:val="20"/>
          <w:szCs w:val="20"/>
          <w:lang w:val="en-GB"/>
        </w:rPr>
        <w:t xml:space="preserve">The performed evaluation </w:t>
      </w:r>
      <w:r w:rsidR="00697DF2">
        <w:rPr>
          <w:rFonts w:eastAsia="Times New Roman" w:cs="Arial"/>
          <w:sz w:val="20"/>
          <w:szCs w:val="20"/>
          <w:lang w:val="en-GB"/>
        </w:rPr>
        <w:t>identifie</w:t>
      </w:r>
      <w:r w:rsidR="00AB3E6D">
        <w:rPr>
          <w:rFonts w:eastAsia="Times New Roman" w:cs="Arial"/>
          <w:sz w:val="20"/>
          <w:szCs w:val="20"/>
          <w:lang w:val="en-GB"/>
        </w:rPr>
        <w:t>d</w:t>
      </w:r>
      <w:r w:rsidR="00697DF2">
        <w:rPr>
          <w:rFonts w:eastAsia="Times New Roman" w:cs="Arial"/>
          <w:sz w:val="20"/>
          <w:szCs w:val="20"/>
          <w:lang w:val="en-GB"/>
        </w:rPr>
        <w:t xml:space="preserve"> that </w:t>
      </w:r>
      <w:r w:rsidR="00697DF2" w:rsidRPr="00697DF2">
        <w:rPr>
          <w:rFonts w:eastAsia="Times New Roman" w:cs="Arial"/>
          <w:sz w:val="20"/>
          <w:szCs w:val="20"/>
          <w:lang w:val="en-GB"/>
        </w:rPr>
        <w:t xml:space="preserve">for the </w:t>
      </w:r>
      <w:proofErr w:type="gramStart"/>
      <w:r w:rsidR="00697DF2" w:rsidRPr="00697DF2">
        <w:rPr>
          <w:rFonts w:eastAsia="Times New Roman" w:cs="Arial"/>
          <w:sz w:val="20"/>
          <w:szCs w:val="20"/>
          <w:lang w:val="en-GB"/>
        </w:rPr>
        <w:t>2007–</w:t>
      </w:r>
      <w:r w:rsidR="00697DF2">
        <w:rPr>
          <w:rFonts w:eastAsia="Times New Roman" w:cs="Arial"/>
          <w:sz w:val="20"/>
          <w:szCs w:val="20"/>
          <w:lang w:val="en-GB"/>
        </w:rPr>
        <w:t>2013</w:t>
      </w:r>
      <w:proofErr w:type="gramEnd"/>
      <w:r w:rsidR="00697DF2" w:rsidRPr="00697DF2">
        <w:rPr>
          <w:rFonts w:eastAsia="Times New Roman" w:cs="Arial"/>
          <w:sz w:val="20"/>
          <w:szCs w:val="20"/>
          <w:lang w:val="en-GB"/>
        </w:rPr>
        <w:t xml:space="preserve"> programming period </w:t>
      </w:r>
      <w:r w:rsidR="00697DF2">
        <w:rPr>
          <w:rFonts w:eastAsia="Times New Roman" w:cs="Arial"/>
          <w:sz w:val="20"/>
          <w:szCs w:val="20"/>
          <w:lang w:val="en-GB"/>
        </w:rPr>
        <w:t>an</w:t>
      </w:r>
      <w:r w:rsidR="00697DF2" w:rsidRPr="00697DF2">
        <w:rPr>
          <w:rFonts w:eastAsia="Times New Roman" w:cs="Arial"/>
          <w:sz w:val="20"/>
          <w:szCs w:val="20"/>
          <w:lang w:val="en-GB"/>
        </w:rPr>
        <w:t xml:space="preserve"> objective to not undermine the sustainable development priorities ha</w:t>
      </w:r>
      <w:r w:rsidR="00697DF2">
        <w:rPr>
          <w:rFonts w:eastAsia="Times New Roman" w:cs="Arial"/>
          <w:sz w:val="20"/>
          <w:szCs w:val="20"/>
          <w:lang w:val="en-GB"/>
        </w:rPr>
        <w:t>s</w:t>
      </w:r>
      <w:r w:rsidR="00697DF2" w:rsidRPr="00697DF2">
        <w:rPr>
          <w:rFonts w:eastAsia="Times New Roman" w:cs="Arial"/>
          <w:sz w:val="20"/>
          <w:szCs w:val="20"/>
          <w:lang w:val="en-GB"/>
        </w:rPr>
        <w:t xml:space="preserve"> been achieved</w:t>
      </w:r>
      <w:r w:rsidR="00697DF2">
        <w:rPr>
          <w:rFonts w:eastAsia="Times New Roman" w:cs="Arial"/>
          <w:sz w:val="20"/>
          <w:szCs w:val="20"/>
          <w:lang w:val="en-GB"/>
        </w:rPr>
        <w:t xml:space="preserve"> to a greater extent</w:t>
      </w:r>
      <w:r w:rsidR="00697DF2" w:rsidRPr="00697DF2">
        <w:rPr>
          <w:rFonts w:eastAsia="Times New Roman" w:cs="Arial"/>
          <w:sz w:val="20"/>
          <w:szCs w:val="20"/>
          <w:lang w:val="en-GB"/>
        </w:rPr>
        <w:t xml:space="preserve">, and in many cases the impact </w:t>
      </w:r>
      <w:r w:rsidR="00697DF2">
        <w:rPr>
          <w:rFonts w:eastAsia="Times New Roman" w:cs="Arial"/>
          <w:sz w:val="20"/>
          <w:szCs w:val="20"/>
          <w:lang w:val="en-GB"/>
        </w:rPr>
        <w:t xml:space="preserve">of the </w:t>
      </w:r>
      <w:r w:rsidR="00697DF2" w:rsidRPr="00697DF2">
        <w:rPr>
          <w:rFonts w:eastAsia="Times New Roman" w:cs="Arial"/>
          <w:sz w:val="20"/>
          <w:szCs w:val="20"/>
          <w:lang w:val="en-GB"/>
        </w:rPr>
        <w:t>EU structural funding interventions was positive and sustainable</w:t>
      </w:r>
      <w:r w:rsidR="00DB648A" w:rsidRPr="00FB41EA">
        <w:rPr>
          <w:rFonts w:eastAsia="Times New Roman" w:cs="Arial"/>
          <w:sz w:val="20"/>
          <w:szCs w:val="20"/>
          <w:lang w:val="en-GB"/>
        </w:rPr>
        <w:t>.</w:t>
      </w:r>
    </w:p>
    <w:sectPr w:rsidR="00BC6473" w:rsidRPr="00FB41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4F988" w14:textId="77777777" w:rsidR="00242C0A" w:rsidRDefault="00242C0A" w:rsidP="00B27960">
      <w:pPr>
        <w:spacing w:after="0" w:line="240" w:lineRule="auto"/>
      </w:pPr>
      <w:r>
        <w:separator/>
      </w:r>
    </w:p>
  </w:endnote>
  <w:endnote w:type="continuationSeparator" w:id="0">
    <w:p w14:paraId="6A16358C" w14:textId="77777777" w:rsidR="00242C0A" w:rsidRDefault="00242C0A" w:rsidP="00B2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53247"/>
      <w:docPartObj>
        <w:docPartGallery w:val="Page Numbers (Bottom of Page)"/>
        <w:docPartUnique/>
      </w:docPartObj>
    </w:sdtPr>
    <w:sdtEndPr>
      <w:rPr>
        <w:noProof/>
      </w:rPr>
    </w:sdtEndPr>
    <w:sdtContent>
      <w:p w14:paraId="68C97E06" w14:textId="060245C2" w:rsidR="00E67093" w:rsidRDefault="00E67093">
        <w:pPr>
          <w:pStyle w:val="Footer"/>
          <w:jc w:val="right"/>
        </w:pPr>
        <w:r>
          <w:fldChar w:fldCharType="begin"/>
        </w:r>
        <w:r>
          <w:instrText xml:space="preserve"> PAGE   \* MERGEFORMAT </w:instrText>
        </w:r>
        <w:r>
          <w:fldChar w:fldCharType="separate"/>
        </w:r>
        <w:r w:rsidR="000201E5">
          <w:rPr>
            <w:noProof/>
          </w:rPr>
          <w:t>12</w:t>
        </w:r>
        <w:r>
          <w:rPr>
            <w:noProof/>
          </w:rPr>
          <w:fldChar w:fldCharType="end"/>
        </w:r>
      </w:p>
    </w:sdtContent>
  </w:sdt>
  <w:p w14:paraId="35070F3E" w14:textId="77777777" w:rsidR="00E67093" w:rsidRDefault="00E67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8F248" w14:textId="77777777" w:rsidR="00242C0A" w:rsidRDefault="00242C0A" w:rsidP="00B27960">
      <w:pPr>
        <w:spacing w:after="0" w:line="240" w:lineRule="auto"/>
      </w:pPr>
      <w:r>
        <w:separator/>
      </w:r>
    </w:p>
  </w:footnote>
  <w:footnote w:type="continuationSeparator" w:id="0">
    <w:p w14:paraId="01D1FFF7" w14:textId="77777777" w:rsidR="00242C0A" w:rsidRDefault="00242C0A" w:rsidP="00B27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80B"/>
    <w:multiLevelType w:val="hybridMultilevel"/>
    <w:tmpl w:val="518E34A8"/>
    <w:lvl w:ilvl="0" w:tplc="A6C663C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38F"/>
    <w:multiLevelType w:val="hybridMultilevel"/>
    <w:tmpl w:val="EC1C966C"/>
    <w:lvl w:ilvl="0" w:tplc="053C0B94">
      <w:start w:val="1"/>
      <w:numFmt w:val="bullet"/>
      <w:lvlText w:val=""/>
      <w:lvlJc w:val="left"/>
      <w:pPr>
        <w:ind w:left="720" w:hanging="360"/>
      </w:pPr>
      <w:rPr>
        <w:rFonts w:ascii="Symbol" w:hAnsi="Symbol"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50E5"/>
    <w:multiLevelType w:val="hybridMultilevel"/>
    <w:tmpl w:val="60EA670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9940545"/>
    <w:multiLevelType w:val="hybridMultilevel"/>
    <w:tmpl w:val="CCB8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86C24"/>
    <w:multiLevelType w:val="hybridMultilevel"/>
    <w:tmpl w:val="FDF4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D02AB"/>
    <w:multiLevelType w:val="hybridMultilevel"/>
    <w:tmpl w:val="C21AF826"/>
    <w:lvl w:ilvl="0" w:tplc="F4DA15AE">
      <w:start w:val="1"/>
      <w:numFmt w:val="decimal"/>
      <w:lvlText w:val="%1."/>
      <w:lvlJc w:val="left"/>
      <w:pPr>
        <w:ind w:left="720" w:hanging="360"/>
      </w:pPr>
      <w:rPr>
        <w:rFonts w:ascii="Arial"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65D7F"/>
    <w:multiLevelType w:val="hybridMultilevel"/>
    <w:tmpl w:val="7ED0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F1B22"/>
    <w:multiLevelType w:val="hybridMultilevel"/>
    <w:tmpl w:val="36548AF2"/>
    <w:lvl w:ilvl="0" w:tplc="053C0B94">
      <w:start w:val="1"/>
      <w:numFmt w:val="bullet"/>
      <w:lvlText w:val=""/>
      <w:lvlJc w:val="left"/>
      <w:pPr>
        <w:ind w:left="720" w:hanging="360"/>
      </w:pPr>
      <w:rPr>
        <w:rFonts w:ascii="Symbol" w:hAnsi="Symbol"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5406B"/>
    <w:multiLevelType w:val="hybridMultilevel"/>
    <w:tmpl w:val="EDC66EA2"/>
    <w:lvl w:ilvl="0" w:tplc="43DA6C30">
      <w:numFmt w:val="bullet"/>
      <w:lvlText w:val="•"/>
      <w:lvlJc w:val="left"/>
      <w:pPr>
        <w:ind w:left="1080" w:hanging="72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649"/>
    <w:multiLevelType w:val="hybridMultilevel"/>
    <w:tmpl w:val="78F0FA40"/>
    <w:lvl w:ilvl="0" w:tplc="F4DA15AE">
      <w:start w:val="1"/>
      <w:numFmt w:val="decimal"/>
      <w:lvlText w:val="%1."/>
      <w:lvlJc w:val="left"/>
      <w:pPr>
        <w:ind w:left="720" w:hanging="360"/>
      </w:pPr>
      <w:rPr>
        <w:rFonts w:ascii="Arial"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70821"/>
    <w:multiLevelType w:val="hybridMultilevel"/>
    <w:tmpl w:val="1BAE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8"/>
  </w:num>
  <w:num w:numId="6">
    <w:abstractNumId w:val="9"/>
  </w:num>
  <w:num w:numId="7">
    <w:abstractNumId w:val="7"/>
  </w:num>
  <w:num w:numId="8">
    <w:abstractNumId w:val="0"/>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DF"/>
    <w:rsid w:val="00000BF5"/>
    <w:rsid w:val="000033DF"/>
    <w:rsid w:val="000078B6"/>
    <w:rsid w:val="00015658"/>
    <w:rsid w:val="000201E5"/>
    <w:rsid w:val="00024848"/>
    <w:rsid w:val="00025705"/>
    <w:rsid w:val="00026BBB"/>
    <w:rsid w:val="000302CE"/>
    <w:rsid w:val="00043634"/>
    <w:rsid w:val="00047C07"/>
    <w:rsid w:val="000527A7"/>
    <w:rsid w:val="00052848"/>
    <w:rsid w:val="00074F19"/>
    <w:rsid w:val="00080131"/>
    <w:rsid w:val="000867C9"/>
    <w:rsid w:val="000916A7"/>
    <w:rsid w:val="00092AA1"/>
    <w:rsid w:val="000953AC"/>
    <w:rsid w:val="0009658B"/>
    <w:rsid w:val="000968D4"/>
    <w:rsid w:val="0009715F"/>
    <w:rsid w:val="000A0E03"/>
    <w:rsid w:val="000A2542"/>
    <w:rsid w:val="000B39B6"/>
    <w:rsid w:val="000C7076"/>
    <w:rsid w:val="000D0649"/>
    <w:rsid w:val="000D607A"/>
    <w:rsid w:val="000E39FD"/>
    <w:rsid w:val="00100BB6"/>
    <w:rsid w:val="00122860"/>
    <w:rsid w:val="001237AD"/>
    <w:rsid w:val="00124933"/>
    <w:rsid w:val="00126256"/>
    <w:rsid w:val="00126EAA"/>
    <w:rsid w:val="00133B31"/>
    <w:rsid w:val="00140048"/>
    <w:rsid w:val="001406E6"/>
    <w:rsid w:val="00142005"/>
    <w:rsid w:val="001457AE"/>
    <w:rsid w:val="00145E8E"/>
    <w:rsid w:val="0015247C"/>
    <w:rsid w:val="00155F66"/>
    <w:rsid w:val="00162E86"/>
    <w:rsid w:val="001840DB"/>
    <w:rsid w:val="00184566"/>
    <w:rsid w:val="001905B0"/>
    <w:rsid w:val="00190FC9"/>
    <w:rsid w:val="001A035B"/>
    <w:rsid w:val="001A5BB1"/>
    <w:rsid w:val="001B14DD"/>
    <w:rsid w:val="001B6C7B"/>
    <w:rsid w:val="001C49F4"/>
    <w:rsid w:val="001D3E05"/>
    <w:rsid w:val="001E0385"/>
    <w:rsid w:val="001E225A"/>
    <w:rsid w:val="001E3800"/>
    <w:rsid w:val="001E5F1B"/>
    <w:rsid w:val="00200597"/>
    <w:rsid w:val="00211C6B"/>
    <w:rsid w:val="002142DD"/>
    <w:rsid w:val="0022201E"/>
    <w:rsid w:val="0022456F"/>
    <w:rsid w:val="00227089"/>
    <w:rsid w:val="00240365"/>
    <w:rsid w:val="00241725"/>
    <w:rsid w:val="00242C0A"/>
    <w:rsid w:val="00244484"/>
    <w:rsid w:val="00251CCD"/>
    <w:rsid w:val="00256535"/>
    <w:rsid w:val="00270356"/>
    <w:rsid w:val="00271005"/>
    <w:rsid w:val="0027582C"/>
    <w:rsid w:val="00277672"/>
    <w:rsid w:val="002776A5"/>
    <w:rsid w:val="0028185D"/>
    <w:rsid w:val="00281BAC"/>
    <w:rsid w:val="00282312"/>
    <w:rsid w:val="00282842"/>
    <w:rsid w:val="00285EC2"/>
    <w:rsid w:val="002900C2"/>
    <w:rsid w:val="00291140"/>
    <w:rsid w:val="00291FA5"/>
    <w:rsid w:val="00293136"/>
    <w:rsid w:val="002963D8"/>
    <w:rsid w:val="00297B30"/>
    <w:rsid w:val="002A216B"/>
    <w:rsid w:val="002A296D"/>
    <w:rsid w:val="002B1265"/>
    <w:rsid w:val="002B2C59"/>
    <w:rsid w:val="002B2DE3"/>
    <w:rsid w:val="002C2CF7"/>
    <w:rsid w:val="002C698F"/>
    <w:rsid w:val="002C6F6B"/>
    <w:rsid w:val="002C7E2B"/>
    <w:rsid w:val="002D3EA0"/>
    <w:rsid w:val="002F0180"/>
    <w:rsid w:val="002F01C5"/>
    <w:rsid w:val="002F071F"/>
    <w:rsid w:val="002F13E3"/>
    <w:rsid w:val="002F274F"/>
    <w:rsid w:val="002F799D"/>
    <w:rsid w:val="002F7E25"/>
    <w:rsid w:val="00302BBA"/>
    <w:rsid w:val="0030416C"/>
    <w:rsid w:val="003047BA"/>
    <w:rsid w:val="00306F0B"/>
    <w:rsid w:val="003108A4"/>
    <w:rsid w:val="003132DF"/>
    <w:rsid w:val="00330A77"/>
    <w:rsid w:val="00333279"/>
    <w:rsid w:val="0033436B"/>
    <w:rsid w:val="00336027"/>
    <w:rsid w:val="00342841"/>
    <w:rsid w:val="00343866"/>
    <w:rsid w:val="00346543"/>
    <w:rsid w:val="003474B3"/>
    <w:rsid w:val="00353F6C"/>
    <w:rsid w:val="00375E7B"/>
    <w:rsid w:val="00376BBD"/>
    <w:rsid w:val="00384E53"/>
    <w:rsid w:val="00390287"/>
    <w:rsid w:val="00390BEE"/>
    <w:rsid w:val="003A5E4F"/>
    <w:rsid w:val="003B21CA"/>
    <w:rsid w:val="003B47EF"/>
    <w:rsid w:val="003C61FA"/>
    <w:rsid w:val="003D2759"/>
    <w:rsid w:val="003D54FE"/>
    <w:rsid w:val="003D581B"/>
    <w:rsid w:val="003D76BE"/>
    <w:rsid w:val="003E6FB9"/>
    <w:rsid w:val="003F1664"/>
    <w:rsid w:val="003F5C91"/>
    <w:rsid w:val="003F6168"/>
    <w:rsid w:val="00402713"/>
    <w:rsid w:val="004030F3"/>
    <w:rsid w:val="00420632"/>
    <w:rsid w:val="00420FC0"/>
    <w:rsid w:val="00421414"/>
    <w:rsid w:val="00423533"/>
    <w:rsid w:val="00424F21"/>
    <w:rsid w:val="00435989"/>
    <w:rsid w:val="00435BCC"/>
    <w:rsid w:val="00441F77"/>
    <w:rsid w:val="0044307F"/>
    <w:rsid w:val="00443681"/>
    <w:rsid w:val="0044413A"/>
    <w:rsid w:val="004455C1"/>
    <w:rsid w:val="00446C8A"/>
    <w:rsid w:val="004510EC"/>
    <w:rsid w:val="00465FEE"/>
    <w:rsid w:val="00467319"/>
    <w:rsid w:val="00467744"/>
    <w:rsid w:val="0047079F"/>
    <w:rsid w:val="00483001"/>
    <w:rsid w:val="0049575D"/>
    <w:rsid w:val="00496169"/>
    <w:rsid w:val="004A0313"/>
    <w:rsid w:val="004A1F8F"/>
    <w:rsid w:val="004B0C0B"/>
    <w:rsid w:val="004B580F"/>
    <w:rsid w:val="004B6127"/>
    <w:rsid w:val="004C0603"/>
    <w:rsid w:val="004C5B8D"/>
    <w:rsid w:val="004C7EB1"/>
    <w:rsid w:val="004D37AF"/>
    <w:rsid w:val="004D64A1"/>
    <w:rsid w:val="004E391E"/>
    <w:rsid w:val="004E5405"/>
    <w:rsid w:val="004E7C07"/>
    <w:rsid w:val="004F1C1F"/>
    <w:rsid w:val="004F5C83"/>
    <w:rsid w:val="004F7EFB"/>
    <w:rsid w:val="00502388"/>
    <w:rsid w:val="00502B26"/>
    <w:rsid w:val="005078C6"/>
    <w:rsid w:val="00514366"/>
    <w:rsid w:val="00521CD4"/>
    <w:rsid w:val="00524C68"/>
    <w:rsid w:val="00527346"/>
    <w:rsid w:val="0053346B"/>
    <w:rsid w:val="00533EF0"/>
    <w:rsid w:val="00543782"/>
    <w:rsid w:val="005460BE"/>
    <w:rsid w:val="00552915"/>
    <w:rsid w:val="00553921"/>
    <w:rsid w:val="005605D7"/>
    <w:rsid w:val="00560DFA"/>
    <w:rsid w:val="00561CF0"/>
    <w:rsid w:val="00563450"/>
    <w:rsid w:val="00564550"/>
    <w:rsid w:val="00564C9B"/>
    <w:rsid w:val="0056744D"/>
    <w:rsid w:val="005759FD"/>
    <w:rsid w:val="005830C8"/>
    <w:rsid w:val="00586EA7"/>
    <w:rsid w:val="00593D68"/>
    <w:rsid w:val="00594637"/>
    <w:rsid w:val="005A36B0"/>
    <w:rsid w:val="005B0098"/>
    <w:rsid w:val="005B24EA"/>
    <w:rsid w:val="005B5DF4"/>
    <w:rsid w:val="005B6FD8"/>
    <w:rsid w:val="005C1F07"/>
    <w:rsid w:val="005C5C59"/>
    <w:rsid w:val="005C6165"/>
    <w:rsid w:val="005C6201"/>
    <w:rsid w:val="005D0192"/>
    <w:rsid w:val="005E2864"/>
    <w:rsid w:val="005E44AB"/>
    <w:rsid w:val="005F0F73"/>
    <w:rsid w:val="006116C3"/>
    <w:rsid w:val="00624111"/>
    <w:rsid w:val="00627C8A"/>
    <w:rsid w:val="006332B3"/>
    <w:rsid w:val="00646D5B"/>
    <w:rsid w:val="006516EA"/>
    <w:rsid w:val="006525DB"/>
    <w:rsid w:val="00657DFE"/>
    <w:rsid w:val="006612D5"/>
    <w:rsid w:val="00664799"/>
    <w:rsid w:val="006660E2"/>
    <w:rsid w:val="0067133D"/>
    <w:rsid w:val="00681CA4"/>
    <w:rsid w:val="00685C46"/>
    <w:rsid w:val="006867E9"/>
    <w:rsid w:val="006931AE"/>
    <w:rsid w:val="006958E4"/>
    <w:rsid w:val="006964F9"/>
    <w:rsid w:val="00697DF2"/>
    <w:rsid w:val="006A1A5C"/>
    <w:rsid w:val="006A618E"/>
    <w:rsid w:val="006B1B38"/>
    <w:rsid w:val="006C46DF"/>
    <w:rsid w:val="006D504A"/>
    <w:rsid w:val="006D5AB7"/>
    <w:rsid w:val="006F77D8"/>
    <w:rsid w:val="00701F22"/>
    <w:rsid w:val="0070320C"/>
    <w:rsid w:val="00706B39"/>
    <w:rsid w:val="00715480"/>
    <w:rsid w:val="00721EFF"/>
    <w:rsid w:val="007230F0"/>
    <w:rsid w:val="00726ABD"/>
    <w:rsid w:val="00740620"/>
    <w:rsid w:val="00741549"/>
    <w:rsid w:val="0074575F"/>
    <w:rsid w:val="00753F25"/>
    <w:rsid w:val="00757C1C"/>
    <w:rsid w:val="00764900"/>
    <w:rsid w:val="00771145"/>
    <w:rsid w:val="00773244"/>
    <w:rsid w:val="00775CD5"/>
    <w:rsid w:val="00781AC2"/>
    <w:rsid w:val="00783249"/>
    <w:rsid w:val="00783E58"/>
    <w:rsid w:val="00783F6B"/>
    <w:rsid w:val="00791EFF"/>
    <w:rsid w:val="007928B8"/>
    <w:rsid w:val="007979A0"/>
    <w:rsid w:val="00797AB7"/>
    <w:rsid w:val="007A18C4"/>
    <w:rsid w:val="007A4D99"/>
    <w:rsid w:val="007B613D"/>
    <w:rsid w:val="007C3BD8"/>
    <w:rsid w:val="007C7C9A"/>
    <w:rsid w:val="007D181D"/>
    <w:rsid w:val="007D3F14"/>
    <w:rsid w:val="007D4D0F"/>
    <w:rsid w:val="007E048B"/>
    <w:rsid w:val="007E647D"/>
    <w:rsid w:val="00804E5C"/>
    <w:rsid w:val="008104F6"/>
    <w:rsid w:val="00812783"/>
    <w:rsid w:val="00815718"/>
    <w:rsid w:val="008212CD"/>
    <w:rsid w:val="00821723"/>
    <w:rsid w:val="00823B77"/>
    <w:rsid w:val="008336DF"/>
    <w:rsid w:val="00850CCF"/>
    <w:rsid w:val="008534F2"/>
    <w:rsid w:val="00856273"/>
    <w:rsid w:val="0088266E"/>
    <w:rsid w:val="00885FE6"/>
    <w:rsid w:val="0088732F"/>
    <w:rsid w:val="00893F9A"/>
    <w:rsid w:val="008A4F28"/>
    <w:rsid w:val="008A62EE"/>
    <w:rsid w:val="008B50D4"/>
    <w:rsid w:val="008C0110"/>
    <w:rsid w:val="008C0B22"/>
    <w:rsid w:val="008C0BF1"/>
    <w:rsid w:val="008C53F5"/>
    <w:rsid w:val="008C5EE0"/>
    <w:rsid w:val="008E039A"/>
    <w:rsid w:val="008E31FA"/>
    <w:rsid w:val="008F7A1D"/>
    <w:rsid w:val="00900028"/>
    <w:rsid w:val="00905DC7"/>
    <w:rsid w:val="009077ED"/>
    <w:rsid w:val="00916C17"/>
    <w:rsid w:val="00941DF4"/>
    <w:rsid w:val="00942A83"/>
    <w:rsid w:val="00944E0B"/>
    <w:rsid w:val="009469DA"/>
    <w:rsid w:val="00951470"/>
    <w:rsid w:val="00951914"/>
    <w:rsid w:val="0095227D"/>
    <w:rsid w:val="009546A7"/>
    <w:rsid w:val="009546C1"/>
    <w:rsid w:val="00954C3C"/>
    <w:rsid w:val="0096081D"/>
    <w:rsid w:val="009625BD"/>
    <w:rsid w:val="009716E9"/>
    <w:rsid w:val="00977AB3"/>
    <w:rsid w:val="009842D6"/>
    <w:rsid w:val="009924DC"/>
    <w:rsid w:val="00994749"/>
    <w:rsid w:val="009A1438"/>
    <w:rsid w:val="009A530C"/>
    <w:rsid w:val="009B1C5A"/>
    <w:rsid w:val="009B3EA2"/>
    <w:rsid w:val="009B4826"/>
    <w:rsid w:val="009B6E2E"/>
    <w:rsid w:val="009C167E"/>
    <w:rsid w:val="009C2FEF"/>
    <w:rsid w:val="009C6963"/>
    <w:rsid w:val="009D1F59"/>
    <w:rsid w:val="009D4532"/>
    <w:rsid w:val="009D7827"/>
    <w:rsid w:val="009E0BDE"/>
    <w:rsid w:val="009E18BA"/>
    <w:rsid w:val="009E459B"/>
    <w:rsid w:val="009F367B"/>
    <w:rsid w:val="009F625D"/>
    <w:rsid w:val="009F7D38"/>
    <w:rsid w:val="00A013B6"/>
    <w:rsid w:val="00A0556D"/>
    <w:rsid w:val="00A12CEC"/>
    <w:rsid w:val="00A15EA3"/>
    <w:rsid w:val="00A22EBB"/>
    <w:rsid w:val="00A3389F"/>
    <w:rsid w:val="00A40D2E"/>
    <w:rsid w:val="00A41F7B"/>
    <w:rsid w:val="00A420F2"/>
    <w:rsid w:val="00A51130"/>
    <w:rsid w:val="00A53DFB"/>
    <w:rsid w:val="00A662A1"/>
    <w:rsid w:val="00A70A67"/>
    <w:rsid w:val="00A7181E"/>
    <w:rsid w:val="00A854DE"/>
    <w:rsid w:val="00A87EA4"/>
    <w:rsid w:val="00A92EAC"/>
    <w:rsid w:val="00A93FDC"/>
    <w:rsid w:val="00AB3E6D"/>
    <w:rsid w:val="00AB64B6"/>
    <w:rsid w:val="00AB6B55"/>
    <w:rsid w:val="00AC5374"/>
    <w:rsid w:val="00AC6BA6"/>
    <w:rsid w:val="00AD218D"/>
    <w:rsid w:val="00AD431C"/>
    <w:rsid w:val="00AE1F66"/>
    <w:rsid w:val="00AE2FC2"/>
    <w:rsid w:val="00AE3A21"/>
    <w:rsid w:val="00AF6B7E"/>
    <w:rsid w:val="00B04001"/>
    <w:rsid w:val="00B06418"/>
    <w:rsid w:val="00B10ACC"/>
    <w:rsid w:val="00B10E19"/>
    <w:rsid w:val="00B13C89"/>
    <w:rsid w:val="00B13CDB"/>
    <w:rsid w:val="00B142BC"/>
    <w:rsid w:val="00B21BB3"/>
    <w:rsid w:val="00B245D2"/>
    <w:rsid w:val="00B25BDD"/>
    <w:rsid w:val="00B27960"/>
    <w:rsid w:val="00B30955"/>
    <w:rsid w:val="00B4033D"/>
    <w:rsid w:val="00B415AD"/>
    <w:rsid w:val="00B41B3E"/>
    <w:rsid w:val="00B43C82"/>
    <w:rsid w:val="00B4734B"/>
    <w:rsid w:val="00B4780C"/>
    <w:rsid w:val="00B51300"/>
    <w:rsid w:val="00B51DB4"/>
    <w:rsid w:val="00B6192A"/>
    <w:rsid w:val="00B62045"/>
    <w:rsid w:val="00B657A0"/>
    <w:rsid w:val="00B65F5A"/>
    <w:rsid w:val="00B73C2E"/>
    <w:rsid w:val="00B7499C"/>
    <w:rsid w:val="00B80A5F"/>
    <w:rsid w:val="00B818E5"/>
    <w:rsid w:val="00B85F35"/>
    <w:rsid w:val="00B862F9"/>
    <w:rsid w:val="00B92359"/>
    <w:rsid w:val="00B92489"/>
    <w:rsid w:val="00B95143"/>
    <w:rsid w:val="00B97261"/>
    <w:rsid w:val="00BA590C"/>
    <w:rsid w:val="00BB0049"/>
    <w:rsid w:val="00BB0C25"/>
    <w:rsid w:val="00BB2398"/>
    <w:rsid w:val="00BB5613"/>
    <w:rsid w:val="00BC58D5"/>
    <w:rsid w:val="00BC6473"/>
    <w:rsid w:val="00BD40C5"/>
    <w:rsid w:val="00BD6E59"/>
    <w:rsid w:val="00BD7ECD"/>
    <w:rsid w:val="00BE2888"/>
    <w:rsid w:val="00BE3909"/>
    <w:rsid w:val="00BF0D66"/>
    <w:rsid w:val="00BF2085"/>
    <w:rsid w:val="00BF344A"/>
    <w:rsid w:val="00BF48FD"/>
    <w:rsid w:val="00C07FEB"/>
    <w:rsid w:val="00C12232"/>
    <w:rsid w:val="00C15C0A"/>
    <w:rsid w:val="00C16284"/>
    <w:rsid w:val="00C236D1"/>
    <w:rsid w:val="00C27189"/>
    <w:rsid w:val="00C30BF3"/>
    <w:rsid w:val="00C32AED"/>
    <w:rsid w:val="00C33F0F"/>
    <w:rsid w:val="00C35720"/>
    <w:rsid w:val="00C44FC9"/>
    <w:rsid w:val="00C45FCA"/>
    <w:rsid w:val="00C462D9"/>
    <w:rsid w:val="00C56648"/>
    <w:rsid w:val="00C572F1"/>
    <w:rsid w:val="00C67806"/>
    <w:rsid w:val="00C732AC"/>
    <w:rsid w:val="00C77FAD"/>
    <w:rsid w:val="00C80525"/>
    <w:rsid w:val="00CB407A"/>
    <w:rsid w:val="00CC31D7"/>
    <w:rsid w:val="00CC627A"/>
    <w:rsid w:val="00CC6437"/>
    <w:rsid w:val="00CC7BBA"/>
    <w:rsid w:val="00CD0189"/>
    <w:rsid w:val="00CD0CAA"/>
    <w:rsid w:val="00CD6385"/>
    <w:rsid w:val="00CE2936"/>
    <w:rsid w:val="00CF0D85"/>
    <w:rsid w:val="00CF43A5"/>
    <w:rsid w:val="00CF43E5"/>
    <w:rsid w:val="00CF62B7"/>
    <w:rsid w:val="00CF6DC4"/>
    <w:rsid w:val="00D15523"/>
    <w:rsid w:val="00D15D5B"/>
    <w:rsid w:val="00D20F41"/>
    <w:rsid w:val="00D23F3B"/>
    <w:rsid w:val="00D278A5"/>
    <w:rsid w:val="00D37F85"/>
    <w:rsid w:val="00D4599D"/>
    <w:rsid w:val="00D4778E"/>
    <w:rsid w:val="00D51686"/>
    <w:rsid w:val="00D57D68"/>
    <w:rsid w:val="00D678E2"/>
    <w:rsid w:val="00D70678"/>
    <w:rsid w:val="00D71109"/>
    <w:rsid w:val="00D8776D"/>
    <w:rsid w:val="00D94908"/>
    <w:rsid w:val="00D94C49"/>
    <w:rsid w:val="00D97B2C"/>
    <w:rsid w:val="00DA097B"/>
    <w:rsid w:val="00DA31AE"/>
    <w:rsid w:val="00DB12C5"/>
    <w:rsid w:val="00DB61DC"/>
    <w:rsid w:val="00DB648A"/>
    <w:rsid w:val="00DC7F5E"/>
    <w:rsid w:val="00DD06BE"/>
    <w:rsid w:val="00DD5519"/>
    <w:rsid w:val="00DE78B9"/>
    <w:rsid w:val="00DF12AB"/>
    <w:rsid w:val="00DF230E"/>
    <w:rsid w:val="00DF3A09"/>
    <w:rsid w:val="00E00217"/>
    <w:rsid w:val="00E03C2D"/>
    <w:rsid w:val="00E04A16"/>
    <w:rsid w:val="00E04EBD"/>
    <w:rsid w:val="00E07FC8"/>
    <w:rsid w:val="00E1060D"/>
    <w:rsid w:val="00E10941"/>
    <w:rsid w:val="00E10ABA"/>
    <w:rsid w:val="00E12D57"/>
    <w:rsid w:val="00E174A3"/>
    <w:rsid w:val="00E27C27"/>
    <w:rsid w:val="00E302C1"/>
    <w:rsid w:val="00E315C9"/>
    <w:rsid w:val="00E32F4C"/>
    <w:rsid w:val="00E35FAB"/>
    <w:rsid w:val="00E37543"/>
    <w:rsid w:val="00E40BEF"/>
    <w:rsid w:val="00E4608B"/>
    <w:rsid w:val="00E4695F"/>
    <w:rsid w:val="00E52243"/>
    <w:rsid w:val="00E54C72"/>
    <w:rsid w:val="00E67093"/>
    <w:rsid w:val="00E729B6"/>
    <w:rsid w:val="00E7575A"/>
    <w:rsid w:val="00E75C00"/>
    <w:rsid w:val="00E77DA6"/>
    <w:rsid w:val="00E8649A"/>
    <w:rsid w:val="00E86BAC"/>
    <w:rsid w:val="00E86D80"/>
    <w:rsid w:val="00E90AD1"/>
    <w:rsid w:val="00E92B6F"/>
    <w:rsid w:val="00E951D4"/>
    <w:rsid w:val="00EA3AE8"/>
    <w:rsid w:val="00EB23DF"/>
    <w:rsid w:val="00EB2C18"/>
    <w:rsid w:val="00EB4327"/>
    <w:rsid w:val="00EC12FB"/>
    <w:rsid w:val="00EC52AD"/>
    <w:rsid w:val="00ED0B68"/>
    <w:rsid w:val="00ED5715"/>
    <w:rsid w:val="00EE3AFA"/>
    <w:rsid w:val="00EE715D"/>
    <w:rsid w:val="00F00FFB"/>
    <w:rsid w:val="00F02315"/>
    <w:rsid w:val="00F02B29"/>
    <w:rsid w:val="00F2575C"/>
    <w:rsid w:val="00F25D38"/>
    <w:rsid w:val="00F30607"/>
    <w:rsid w:val="00F31769"/>
    <w:rsid w:val="00F32765"/>
    <w:rsid w:val="00F34319"/>
    <w:rsid w:val="00F36E0F"/>
    <w:rsid w:val="00F42744"/>
    <w:rsid w:val="00F463CE"/>
    <w:rsid w:val="00F63BC6"/>
    <w:rsid w:val="00F67CAF"/>
    <w:rsid w:val="00F70ACA"/>
    <w:rsid w:val="00F74FB5"/>
    <w:rsid w:val="00F8017C"/>
    <w:rsid w:val="00F878C6"/>
    <w:rsid w:val="00F94FB4"/>
    <w:rsid w:val="00FB36DA"/>
    <w:rsid w:val="00FB41EA"/>
    <w:rsid w:val="00FB4D7A"/>
    <w:rsid w:val="00FC2124"/>
    <w:rsid w:val="00FC43A0"/>
    <w:rsid w:val="00FC4B59"/>
    <w:rsid w:val="00FC62CC"/>
    <w:rsid w:val="00FD0B00"/>
    <w:rsid w:val="00FD2644"/>
    <w:rsid w:val="00FE30EF"/>
    <w:rsid w:val="00FE40BA"/>
    <w:rsid w:val="00FE4114"/>
    <w:rsid w:val="00FE4FFA"/>
    <w:rsid w:val="00FF073A"/>
    <w:rsid w:val="00FF08A7"/>
    <w:rsid w:val="00FF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C188"/>
  <w15:chartTrackingRefBased/>
  <w15:docId w15:val="{878D29EC-0EAA-444A-A440-82CD07CD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3D"/>
    <w:pPr>
      <w:spacing w:after="113" w:line="240" w:lineRule="exact"/>
    </w:pPr>
    <w:rPr>
      <w:rFonts w:ascii="Arial" w:eastAsia="MS PGothic" w:hAnsi="Arial" w:cs="Times New Roman"/>
      <w:sz w:val="17"/>
      <w:szCs w:val="24"/>
      <w:lang w:val="lt-LT"/>
    </w:rPr>
  </w:style>
  <w:style w:type="paragraph" w:styleId="Heading1">
    <w:name w:val="heading 1"/>
    <w:basedOn w:val="Normal"/>
    <w:next w:val="Normal"/>
    <w:link w:val="Heading1Char"/>
    <w:uiPriority w:val="9"/>
    <w:qFormat/>
    <w:rsid w:val="005143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qFormat/>
    <w:rsid w:val="003A5E4F"/>
    <w:pPr>
      <w:keepNext/>
      <w:keepLines/>
      <w:suppressAutoHyphens/>
      <w:spacing w:before="320" w:after="120" w:line="240" w:lineRule="auto"/>
      <w:outlineLvl w:val="2"/>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73"/>
    <w:pPr>
      <w:ind w:left="720"/>
      <w:contextualSpacing/>
    </w:pPr>
  </w:style>
  <w:style w:type="character" w:customStyle="1" w:styleId="Heading3Char">
    <w:name w:val="Heading 3 Char"/>
    <w:basedOn w:val="DefaultParagraphFont"/>
    <w:link w:val="Heading3"/>
    <w:rsid w:val="003A5E4F"/>
    <w:rPr>
      <w:rFonts w:ascii="Arial" w:eastAsia="Times" w:hAnsi="Arial" w:cs="Times New Roman"/>
      <w:b/>
      <w:szCs w:val="20"/>
    </w:rPr>
  </w:style>
  <w:style w:type="paragraph" w:styleId="Caption">
    <w:name w:val="caption"/>
    <w:basedOn w:val="Normal"/>
    <w:next w:val="Normal"/>
    <w:uiPriority w:val="35"/>
    <w:unhideWhenUsed/>
    <w:qFormat/>
    <w:rsid w:val="00AE3A21"/>
    <w:pPr>
      <w:spacing w:after="200" w:line="240" w:lineRule="auto"/>
    </w:pPr>
    <w:rPr>
      <w:i/>
      <w:iCs/>
      <w:color w:val="44546A" w:themeColor="text2"/>
      <w:sz w:val="18"/>
      <w:szCs w:val="18"/>
    </w:rPr>
  </w:style>
  <w:style w:type="table" w:styleId="PlainTable2">
    <w:name w:val="Plain Table 2"/>
    <w:basedOn w:val="TableNormal"/>
    <w:uiPriority w:val="42"/>
    <w:rsid w:val="00AE3A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aliases w:val="Table Grid Deloitte.,CV table,CV1"/>
    <w:basedOn w:val="TableNormal"/>
    <w:uiPriority w:val="39"/>
    <w:rsid w:val="00AE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27960"/>
    <w:rPr>
      <w:rFonts w:ascii="Arial" w:hAnsi="Arial"/>
      <w:b/>
      <w:color w:val="002776"/>
      <w:u w:val="none"/>
    </w:rPr>
  </w:style>
  <w:style w:type="paragraph" w:styleId="CommentText">
    <w:name w:val="annotation text"/>
    <w:basedOn w:val="Normal"/>
    <w:link w:val="CommentTextChar"/>
    <w:uiPriority w:val="99"/>
    <w:unhideWhenUsed/>
    <w:rsid w:val="00B27960"/>
    <w:pPr>
      <w:spacing w:line="240" w:lineRule="auto"/>
    </w:pPr>
    <w:rPr>
      <w:sz w:val="20"/>
      <w:szCs w:val="20"/>
    </w:rPr>
  </w:style>
  <w:style w:type="character" w:customStyle="1" w:styleId="CommentTextChar">
    <w:name w:val="Comment Text Char"/>
    <w:basedOn w:val="DefaultParagraphFont"/>
    <w:link w:val="CommentText"/>
    <w:uiPriority w:val="99"/>
    <w:rsid w:val="00B27960"/>
    <w:rPr>
      <w:rFonts w:ascii="Arial" w:eastAsia="MS PGothic" w:hAnsi="Arial" w:cs="Times New Roman"/>
      <w:sz w:val="20"/>
      <w:szCs w:val="20"/>
      <w:lang w:val="lt-LT"/>
    </w:rPr>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
    <w:basedOn w:val="Normal"/>
    <w:link w:val="FootnoteTextChar"/>
    <w:uiPriority w:val="99"/>
    <w:rsid w:val="00B27960"/>
    <w:pPr>
      <w:spacing w:after="0" w:line="240" w:lineRule="auto"/>
    </w:pPr>
    <w:rPr>
      <w:rFonts w:eastAsia="Times New Roman"/>
      <w:sz w:val="20"/>
      <w:szCs w:val="20"/>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
    <w:basedOn w:val="DefaultParagraphFont"/>
    <w:link w:val="FootnoteText"/>
    <w:uiPriority w:val="99"/>
    <w:rsid w:val="00B27960"/>
    <w:rPr>
      <w:rFonts w:ascii="Arial" w:eastAsia="Times New Roman" w:hAnsi="Arial" w:cs="Times New Roman"/>
      <w:sz w:val="20"/>
      <w:szCs w:val="20"/>
      <w:lang w:val="lt-LT"/>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B27960"/>
    <w:rPr>
      <w:vertAlign w:val="superscript"/>
    </w:rPr>
  </w:style>
  <w:style w:type="paragraph" w:customStyle="1" w:styleId="Deloittebodytext">
    <w:name w:val="Deloitte body text"/>
    <w:qFormat/>
    <w:rsid w:val="00F878C6"/>
    <w:pPr>
      <w:spacing w:after="240" w:line="280" w:lineRule="exact"/>
    </w:pPr>
    <w:rPr>
      <w:rFonts w:ascii="Arial" w:eastAsia="Times New Roman" w:hAnsi="Arial" w:cs="Times New Roman"/>
      <w:color w:val="000000"/>
      <w:sz w:val="20"/>
      <w:szCs w:val="48"/>
      <w:lang w:val="cs-CZ"/>
    </w:rPr>
  </w:style>
  <w:style w:type="paragraph" w:customStyle="1" w:styleId="001-lineSectionheading">
    <w:name w:val="00. 1-line Section heading"/>
    <w:basedOn w:val="Normal"/>
    <w:qFormat/>
    <w:rsid w:val="00DB648A"/>
    <w:pPr>
      <w:shd w:val="clear" w:color="auto" w:fill="FFFFFF"/>
      <w:spacing w:after="1440" w:line="720" w:lineRule="exact"/>
    </w:pPr>
    <w:rPr>
      <w:rFonts w:ascii="Times New Roman" w:eastAsia="Times" w:hAnsi="Times New Roman"/>
      <w:noProof/>
      <w:color w:val="002776"/>
      <w:kern w:val="28"/>
      <w:sz w:val="64"/>
      <w:szCs w:val="70"/>
      <w:lang w:val="en-US"/>
    </w:rPr>
  </w:style>
  <w:style w:type="character" w:customStyle="1" w:styleId="Heading1Char">
    <w:name w:val="Heading 1 Char"/>
    <w:basedOn w:val="DefaultParagraphFont"/>
    <w:link w:val="Heading1"/>
    <w:rsid w:val="00514366"/>
    <w:rPr>
      <w:rFonts w:asciiTheme="majorHAnsi" w:eastAsiaTheme="majorEastAsia" w:hAnsiTheme="majorHAnsi" w:cstheme="majorBidi"/>
      <w:color w:val="2E74B5" w:themeColor="accent1" w:themeShade="BF"/>
      <w:sz w:val="32"/>
      <w:szCs w:val="32"/>
      <w:lang w:val="lt-LT"/>
    </w:rPr>
  </w:style>
  <w:style w:type="table" w:customStyle="1" w:styleId="CV11">
    <w:name w:val="CV11"/>
    <w:basedOn w:val="TableNormal"/>
    <w:next w:val="TableGrid"/>
    <w:uiPriority w:val="39"/>
    <w:rsid w:val="001840DB"/>
    <w:pPr>
      <w:spacing w:after="0" w:line="240" w:lineRule="auto"/>
    </w:pPr>
    <w:rPr>
      <w:rFonts w:ascii="Times New Roman" w:eastAsia="MS P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D278A5"/>
    <w:pPr>
      <w:spacing w:after="0" w:line="240" w:lineRule="auto"/>
    </w:pPr>
    <w:rPr>
      <w:rFonts w:ascii="Times New Roman" w:eastAsia="MS P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4F2"/>
    <w:rPr>
      <w:sz w:val="16"/>
      <w:szCs w:val="16"/>
    </w:rPr>
  </w:style>
  <w:style w:type="paragraph" w:styleId="CommentSubject">
    <w:name w:val="annotation subject"/>
    <w:basedOn w:val="CommentText"/>
    <w:next w:val="CommentText"/>
    <w:link w:val="CommentSubjectChar"/>
    <w:uiPriority w:val="99"/>
    <w:semiHidden/>
    <w:unhideWhenUsed/>
    <w:rsid w:val="008534F2"/>
    <w:rPr>
      <w:b/>
      <w:bCs/>
    </w:rPr>
  </w:style>
  <w:style w:type="character" w:customStyle="1" w:styleId="CommentSubjectChar">
    <w:name w:val="Comment Subject Char"/>
    <w:basedOn w:val="CommentTextChar"/>
    <w:link w:val="CommentSubject"/>
    <w:uiPriority w:val="99"/>
    <w:semiHidden/>
    <w:rsid w:val="008534F2"/>
    <w:rPr>
      <w:rFonts w:ascii="Arial" w:eastAsia="MS PGothic" w:hAnsi="Arial" w:cs="Times New Roman"/>
      <w:b/>
      <w:bCs/>
      <w:sz w:val="20"/>
      <w:szCs w:val="20"/>
      <w:lang w:val="lt-LT"/>
    </w:rPr>
  </w:style>
  <w:style w:type="paragraph" w:styleId="BalloonText">
    <w:name w:val="Balloon Text"/>
    <w:basedOn w:val="Normal"/>
    <w:link w:val="BalloonTextChar"/>
    <w:uiPriority w:val="99"/>
    <w:semiHidden/>
    <w:unhideWhenUsed/>
    <w:rsid w:val="00853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4F2"/>
    <w:rPr>
      <w:rFonts w:ascii="Segoe UI" w:eastAsia="MS PGothic" w:hAnsi="Segoe UI" w:cs="Segoe UI"/>
      <w:sz w:val="18"/>
      <w:szCs w:val="18"/>
      <w:lang w:val="lt-LT"/>
    </w:rPr>
  </w:style>
  <w:style w:type="paragraph" w:styleId="Header">
    <w:name w:val="header"/>
    <w:basedOn w:val="Normal"/>
    <w:link w:val="HeaderChar"/>
    <w:uiPriority w:val="99"/>
    <w:unhideWhenUsed/>
    <w:rsid w:val="00E67093"/>
    <w:pPr>
      <w:tabs>
        <w:tab w:val="center" w:pos="4986"/>
        <w:tab w:val="right" w:pos="9972"/>
      </w:tabs>
      <w:spacing w:after="0" w:line="240" w:lineRule="auto"/>
    </w:pPr>
  </w:style>
  <w:style w:type="character" w:customStyle="1" w:styleId="HeaderChar">
    <w:name w:val="Header Char"/>
    <w:basedOn w:val="DefaultParagraphFont"/>
    <w:link w:val="Header"/>
    <w:uiPriority w:val="99"/>
    <w:rsid w:val="00E67093"/>
    <w:rPr>
      <w:rFonts w:ascii="Arial" w:eastAsia="MS PGothic" w:hAnsi="Arial" w:cs="Times New Roman"/>
      <w:sz w:val="17"/>
      <w:szCs w:val="24"/>
      <w:lang w:val="lt-LT"/>
    </w:rPr>
  </w:style>
  <w:style w:type="paragraph" w:styleId="Footer">
    <w:name w:val="footer"/>
    <w:basedOn w:val="Normal"/>
    <w:link w:val="FooterChar"/>
    <w:uiPriority w:val="99"/>
    <w:unhideWhenUsed/>
    <w:rsid w:val="00E67093"/>
    <w:pPr>
      <w:tabs>
        <w:tab w:val="center" w:pos="4986"/>
        <w:tab w:val="right" w:pos="9972"/>
      </w:tabs>
      <w:spacing w:after="0" w:line="240" w:lineRule="auto"/>
    </w:pPr>
  </w:style>
  <w:style w:type="character" w:customStyle="1" w:styleId="FooterChar">
    <w:name w:val="Footer Char"/>
    <w:basedOn w:val="DefaultParagraphFont"/>
    <w:link w:val="Footer"/>
    <w:uiPriority w:val="99"/>
    <w:rsid w:val="00E67093"/>
    <w:rPr>
      <w:rFonts w:ascii="Arial" w:eastAsia="MS PGothic" w:hAnsi="Arial" w:cs="Times New Roman"/>
      <w:sz w:val="17"/>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8505">
      <w:bodyDiv w:val="1"/>
      <w:marLeft w:val="0"/>
      <w:marRight w:val="0"/>
      <w:marTop w:val="0"/>
      <w:marBottom w:val="0"/>
      <w:divBdr>
        <w:top w:val="none" w:sz="0" w:space="0" w:color="auto"/>
        <w:left w:val="none" w:sz="0" w:space="0" w:color="auto"/>
        <w:bottom w:val="none" w:sz="0" w:space="0" w:color="auto"/>
        <w:right w:val="none" w:sz="0" w:space="0" w:color="auto"/>
      </w:divBdr>
      <w:divsChild>
        <w:div w:id="1196960668">
          <w:marLeft w:val="0"/>
          <w:marRight w:val="0"/>
          <w:marTop w:val="0"/>
          <w:marBottom w:val="0"/>
          <w:divBdr>
            <w:top w:val="none" w:sz="0" w:space="0" w:color="auto"/>
            <w:left w:val="none" w:sz="0" w:space="0" w:color="auto"/>
            <w:bottom w:val="none" w:sz="0" w:space="0" w:color="auto"/>
            <w:right w:val="none" w:sz="0" w:space="0" w:color="auto"/>
          </w:divBdr>
          <w:divsChild>
            <w:div w:id="1230923712">
              <w:marLeft w:val="0"/>
              <w:marRight w:val="0"/>
              <w:marTop w:val="0"/>
              <w:marBottom w:val="0"/>
              <w:divBdr>
                <w:top w:val="none" w:sz="0" w:space="0" w:color="auto"/>
                <w:left w:val="none" w:sz="0" w:space="0" w:color="auto"/>
                <w:bottom w:val="none" w:sz="0" w:space="0" w:color="auto"/>
                <w:right w:val="none" w:sz="0" w:space="0" w:color="auto"/>
              </w:divBdr>
              <w:divsChild>
                <w:div w:id="602230124">
                  <w:marLeft w:val="0"/>
                  <w:marRight w:val="0"/>
                  <w:marTop w:val="0"/>
                  <w:marBottom w:val="0"/>
                  <w:divBdr>
                    <w:top w:val="none" w:sz="0" w:space="0" w:color="auto"/>
                    <w:left w:val="none" w:sz="0" w:space="0" w:color="auto"/>
                    <w:bottom w:val="none" w:sz="0" w:space="0" w:color="auto"/>
                    <w:right w:val="none" w:sz="0" w:space="0" w:color="auto"/>
                  </w:divBdr>
                  <w:divsChild>
                    <w:div w:id="1516379696">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710610512">
                              <w:marLeft w:val="0"/>
                              <w:marRight w:val="0"/>
                              <w:marTop w:val="0"/>
                              <w:marBottom w:val="0"/>
                              <w:divBdr>
                                <w:top w:val="none" w:sz="0" w:space="0" w:color="auto"/>
                                <w:left w:val="none" w:sz="0" w:space="0" w:color="auto"/>
                                <w:bottom w:val="none" w:sz="0" w:space="0" w:color="auto"/>
                                <w:right w:val="none" w:sz="0" w:space="0" w:color="auto"/>
                              </w:divBdr>
                              <w:divsChild>
                                <w:div w:id="1468279158">
                                  <w:marLeft w:val="0"/>
                                  <w:marRight w:val="0"/>
                                  <w:marTop w:val="0"/>
                                  <w:marBottom w:val="0"/>
                                  <w:divBdr>
                                    <w:top w:val="none" w:sz="0" w:space="0" w:color="auto"/>
                                    <w:left w:val="none" w:sz="0" w:space="0" w:color="auto"/>
                                    <w:bottom w:val="none" w:sz="0" w:space="0" w:color="auto"/>
                                    <w:right w:val="none" w:sz="0" w:space="0" w:color="auto"/>
                                  </w:divBdr>
                                  <w:divsChild>
                                    <w:div w:id="1148785514">
                                      <w:marLeft w:val="60"/>
                                      <w:marRight w:val="0"/>
                                      <w:marTop w:val="0"/>
                                      <w:marBottom w:val="0"/>
                                      <w:divBdr>
                                        <w:top w:val="none" w:sz="0" w:space="0" w:color="auto"/>
                                        <w:left w:val="none" w:sz="0" w:space="0" w:color="auto"/>
                                        <w:bottom w:val="none" w:sz="0" w:space="0" w:color="auto"/>
                                        <w:right w:val="none" w:sz="0" w:space="0" w:color="auto"/>
                                      </w:divBdr>
                                      <w:divsChild>
                                        <w:div w:id="1405838134">
                                          <w:marLeft w:val="0"/>
                                          <w:marRight w:val="0"/>
                                          <w:marTop w:val="0"/>
                                          <w:marBottom w:val="0"/>
                                          <w:divBdr>
                                            <w:top w:val="none" w:sz="0" w:space="0" w:color="auto"/>
                                            <w:left w:val="none" w:sz="0" w:space="0" w:color="auto"/>
                                            <w:bottom w:val="none" w:sz="0" w:space="0" w:color="auto"/>
                                            <w:right w:val="none" w:sz="0" w:space="0" w:color="auto"/>
                                          </w:divBdr>
                                          <w:divsChild>
                                            <w:div w:id="526868522">
                                              <w:marLeft w:val="0"/>
                                              <w:marRight w:val="0"/>
                                              <w:marTop w:val="0"/>
                                              <w:marBottom w:val="120"/>
                                              <w:divBdr>
                                                <w:top w:val="single" w:sz="6" w:space="0" w:color="F5F5F5"/>
                                                <w:left w:val="single" w:sz="6" w:space="0" w:color="F5F5F5"/>
                                                <w:bottom w:val="single" w:sz="6" w:space="0" w:color="F5F5F5"/>
                                                <w:right w:val="single" w:sz="6" w:space="0" w:color="F5F5F5"/>
                                              </w:divBdr>
                                              <w:divsChild>
                                                <w:div w:id="689453170">
                                                  <w:marLeft w:val="0"/>
                                                  <w:marRight w:val="0"/>
                                                  <w:marTop w:val="0"/>
                                                  <w:marBottom w:val="0"/>
                                                  <w:divBdr>
                                                    <w:top w:val="none" w:sz="0" w:space="0" w:color="auto"/>
                                                    <w:left w:val="none" w:sz="0" w:space="0" w:color="auto"/>
                                                    <w:bottom w:val="none" w:sz="0" w:space="0" w:color="auto"/>
                                                    <w:right w:val="none" w:sz="0" w:space="0" w:color="auto"/>
                                                  </w:divBdr>
                                                  <w:divsChild>
                                                    <w:div w:id="1775898099">
                                                      <w:marLeft w:val="0"/>
                                                      <w:marRight w:val="0"/>
                                                      <w:marTop w:val="0"/>
                                                      <w:marBottom w:val="0"/>
                                                      <w:divBdr>
                                                        <w:top w:val="none" w:sz="0" w:space="0" w:color="auto"/>
                                                        <w:left w:val="none" w:sz="0" w:space="0" w:color="auto"/>
                                                        <w:bottom w:val="none" w:sz="0" w:space="0" w:color="auto"/>
                                                        <w:right w:val="none" w:sz="0" w:space="0" w:color="auto"/>
                                                      </w:divBdr>
                                                    </w:div>
                                                  </w:divsChild>
                                                </w:div>
                                                <w:div w:id="1172988268">
                                                  <w:marLeft w:val="0"/>
                                                  <w:marRight w:val="0"/>
                                                  <w:marTop w:val="0"/>
                                                  <w:marBottom w:val="0"/>
                                                  <w:divBdr>
                                                    <w:top w:val="none" w:sz="0" w:space="0" w:color="auto"/>
                                                    <w:left w:val="none" w:sz="0" w:space="0" w:color="auto"/>
                                                    <w:bottom w:val="none" w:sz="0" w:space="0" w:color="auto"/>
                                                    <w:right w:val="none" w:sz="0" w:space="0" w:color="auto"/>
                                                  </w:divBdr>
                                                  <w:divsChild>
                                                    <w:div w:id="3500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373849">
      <w:bodyDiv w:val="1"/>
      <w:marLeft w:val="0"/>
      <w:marRight w:val="0"/>
      <w:marTop w:val="0"/>
      <w:marBottom w:val="0"/>
      <w:divBdr>
        <w:top w:val="none" w:sz="0" w:space="0" w:color="auto"/>
        <w:left w:val="none" w:sz="0" w:space="0" w:color="auto"/>
        <w:bottom w:val="none" w:sz="0" w:space="0" w:color="auto"/>
        <w:right w:val="none" w:sz="0" w:space="0" w:color="auto"/>
      </w:divBdr>
    </w:div>
    <w:div w:id="662968922">
      <w:bodyDiv w:val="1"/>
      <w:marLeft w:val="0"/>
      <w:marRight w:val="0"/>
      <w:marTop w:val="0"/>
      <w:marBottom w:val="0"/>
      <w:divBdr>
        <w:top w:val="none" w:sz="0" w:space="0" w:color="auto"/>
        <w:left w:val="none" w:sz="0" w:space="0" w:color="auto"/>
        <w:bottom w:val="none" w:sz="0" w:space="0" w:color="auto"/>
        <w:right w:val="none" w:sz="0" w:space="0" w:color="auto"/>
      </w:divBdr>
    </w:div>
    <w:div w:id="1844390504">
      <w:bodyDiv w:val="1"/>
      <w:marLeft w:val="0"/>
      <w:marRight w:val="0"/>
      <w:marTop w:val="0"/>
      <w:marBottom w:val="0"/>
      <w:divBdr>
        <w:top w:val="none" w:sz="0" w:space="0" w:color="auto"/>
        <w:left w:val="none" w:sz="0" w:space="0" w:color="auto"/>
        <w:bottom w:val="none" w:sz="0" w:space="0" w:color="auto"/>
        <w:right w:val="none" w:sz="0" w:space="0" w:color="auto"/>
      </w:divBdr>
      <w:divsChild>
        <w:div w:id="1989244802">
          <w:marLeft w:val="0"/>
          <w:marRight w:val="0"/>
          <w:marTop w:val="0"/>
          <w:marBottom w:val="0"/>
          <w:divBdr>
            <w:top w:val="none" w:sz="0" w:space="0" w:color="auto"/>
            <w:left w:val="none" w:sz="0" w:space="0" w:color="auto"/>
            <w:bottom w:val="none" w:sz="0" w:space="0" w:color="auto"/>
            <w:right w:val="none" w:sz="0" w:space="0" w:color="auto"/>
          </w:divBdr>
          <w:divsChild>
            <w:div w:id="447748641">
              <w:marLeft w:val="0"/>
              <w:marRight w:val="0"/>
              <w:marTop w:val="0"/>
              <w:marBottom w:val="0"/>
              <w:divBdr>
                <w:top w:val="none" w:sz="0" w:space="0" w:color="auto"/>
                <w:left w:val="none" w:sz="0" w:space="0" w:color="auto"/>
                <w:bottom w:val="none" w:sz="0" w:space="0" w:color="auto"/>
                <w:right w:val="none" w:sz="0" w:space="0" w:color="auto"/>
              </w:divBdr>
              <w:divsChild>
                <w:div w:id="1478643975">
                  <w:marLeft w:val="0"/>
                  <w:marRight w:val="0"/>
                  <w:marTop w:val="0"/>
                  <w:marBottom w:val="0"/>
                  <w:divBdr>
                    <w:top w:val="none" w:sz="0" w:space="0" w:color="auto"/>
                    <w:left w:val="none" w:sz="0" w:space="0" w:color="auto"/>
                    <w:bottom w:val="none" w:sz="0" w:space="0" w:color="auto"/>
                    <w:right w:val="none" w:sz="0" w:space="0" w:color="auto"/>
                  </w:divBdr>
                  <w:divsChild>
                    <w:div w:id="929122204">
                      <w:marLeft w:val="0"/>
                      <w:marRight w:val="0"/>
                      <w:marTop w:val="0"/>
                      <w:marBottom w:val="0"/>
                      <w:divBdr>
                        <w:top w:val="none" w:sz="0" w:space="0" w:color="auto"/>
                        <w:left w:val="none" w:sz="0" w:space="0" w:color="auto"/>
                        <w:bottom w:val="none" w:sz="0" w:space="0" w:color="auto"/>
                        <w:right w:val="none" w:sz="0" w:space="0" w:color="auto"/>
                      </w:divBdr>
                      <w:divsChild>
                        <w:div w:id="1081484512">
                          <w:marLeft w:val="0"/>
                          <w:marRight w:val="0"/>
                          <w:marTop w:val="0"/>
                          <w:marBottom w:val="0"/>
                          <w:divBdr>
                            <w:top w:val="none" w:sz="0" w:space="0" w:color="auto"/>
                            <w:left w:val="none" w:sz="0" w:space="0" w:color="auto"/>
                            <w:bottom w:val="none" w:sz="0" w:space="0" w:color="auto"/>
                            <w:right w:val="none" w:sz="0" w:space="0" w:color="auto"/>
                          </w:divBdr>
                          <w:divsChild>
                            <w:div w:id="731120739">
                              <w:marLeft w:val="0"/>
                              <w:marRight w:val="0"/>
                              <w:marTop w:val="0"/>
                              <w:marBottom w:val="0"/>
                              <w:divBdr>
                                <w:top w:val="none" w:sz="0" w:space="0" w:color="auto"/>
                                <w:left w:val="none" w:sz="0" w:space="0" w:color="auto"/>
                                <w:bottom w:val="none" w:sz="0" w:space="0" w:color="auto"/>
                                <w:right w:val="none" w:sz="0" w:space="0" w:color="auto"/>
                              </w:divBdr>
                              <w:divsChild>
                                <w:div w:id="61030319">
                                  <w:marLeft w:val="0"/>
                                  <w:marRight w:val="0"/>
                                  <w:marTop w:val="0"/>
                                  <w:marBottom w:val="0"/>
                                  <w:divBdr>
                                    <w:top w:val="none" w:sz="0" w:space="0" w:color="auto"/>
                                    <w:left w:val="none" w:sz="0" w:space="0" w:color="auto"/>
                                    <w:bottom w:val="none" w:sz="0" w:space="0" w:color="auto"/>
                                    <w:right w:val="none" w:sz="0" w:space="0" w:color="auto"/>
                                  </w:divBdr>
                                  <w:divsChild>
                                    <w:div w:id="1977754343">
                                      <w:marLeft w:val="60"/>
                                      <w:marRight w:val="0"/>
                                      <w:marTop w:val="0"/>
                                      <w:marBottom w:val="0"/>
                                      <w:divBdr>
                                        <w:top w:val="none" w:sz="0" w:space="0" w:color="auto"/>
                                        <w:left w:val="none" w:sz="0" w:space="0" w:color="auto"/>
                                        <w:bottom w:val="none" w:sz="0" w:space="0" w:color="auto"/>
                                        <w:right w:val="none" w:sz="0" w:space="0" w:color="auto"/>
                                      </w:divBdr>
                                      <w:divsChild>
                                        <w:div w:id="2141799462">
                                          <w:marLeft w:val="0"/>
                                          <w:marRight w:val="0"/>
                                          <w:marTop w:val="0"/>
                                          <w:marBottom w:val="0"/>
                                          <w:divBdr>
                                            <w:top w:val="none" w:sz="0" w:space="0" w:color="auto"/>
                                            <w:left w:val="none" w:sz="0" w:space="0" w:color="auto"/>
                                            <w:bottom w:val="none" w:sz="0" w:space="0" w:color="auto"/>
                                            <w:right w:val="none" w:sz="0" w:space="0" w:color="auto"/>
                                          </w:divBdr>
                                          <w:divsChild>
                                            <w:div w:id="336349329">
                                              <w:marLeft w:val="0"/>
                                              <w:marRight w:val="0"/>
                                              <w:marTop w:val="0"/>
                                              <w:marBottom w:val="120"/>
                                              <w:divBdr>
                                                <w:top w:val="single" w:sz="6" w:space="0" w:color="F5F5F5"/>
                                                <w:left w:val="single" w:sz="6" w:space="0" w:color="F5F5F5"/>
                                                <w:bottom w:val="single" w:sz="6" w:space="0" w:color="F5F5F5"/>
                                                <w:right w:val="single" w:sz="6" w:space="0" w:color="F5F5F5"/>
                                              </w:divBdr>
                                              <w:divsChild>
                                                <w:div w:id="2046519014">
                                                  <w:marLeft w:val="0"/>
                                                  <w:marRight w:val="0"/>
                                                  <w:marTop w:val="0"/>
                                                  <w:marBottom w:val="0"/>
                                                  <w:divBdr>
                                                    <w:top w:val="none" w:sz="0" w:space="0" w:color="auto"/>
                                                    <w:left w:val="none" w:sz="0" w:space="0" w:color="auto"/>
                                                    <w:bottom w:val="none" w:sz="0" w:space="0" w:color="auto"/>
                                                    <w:right w:val="none" w:sz="0" w:space="0" w:color="auto"/>
                                                  </w:divBdr>
                                                  <w:divsChild>
                                                    <w:div w:id="1661151345">
                                                      <w:marLeft w:val="0"/>
                                                      <w:marRight w:val="0"/>
                                                      <w:marTop w:val="0"/>
                                                      <w:marBottom w:val="0"/>
                                                      <w:divBdr>
                                                        <w:top w:val="none" w:sz="0" w:space="0" w:color="auto"/>
                                                        <w:left w:val="none" w:sz="0" w:space="0" w:color="auto"/>
                                                        <w:bottom w:val="none" w:sz="0" w:space="0" w:color="auto"/>
                                                        <w:right w:val="none" w:sz="0" w:space="0" w:color="auto"/>
                                                      </w:divBdr>
                                                    </w:div>
                                                  </w:divsChild>
                                                </w:div>
                                                <w:div w:id="153495735">
                                                  <w:marLeft w:val="0"/>
                                                  <w:marRight w:val="0"/>
                                                  <w:marTop w:val="0"/>
                                                  <w:marBottom w:val="0"/>
                                                  <w:divBdr>
                                                    <w:top w:val="none" w:sz="0" w:space="0" w:color="auto"/>
                                                    <w:left w:val="none" w:sz="0" w:space="0" w:color="auto"/>
                                                    <w:bottom w:val="none" w:sz="0" w:space="0" w:color="auto"/>
                                                    <w:right w:val="none" w:sz="0" w:space="0" w:color="auto"/>
                                                  </w:divBdr>
                                                  <w:divsChild>
                                                    <w:div w:id="10550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9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parama.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2007–2013 EU structural assistance</c:v>
                </c:pt>
              </c:strCache>
            </c:strRef>
          </c:tx>
          <c:dPt>
            <c:idx val="0"/>
            <c:bubble3D val="0"/>
            <c:spPr>
              <a:solidFill>
                <a:srgbClr val="002776"/>
              </a:solidFill>
              <a:ln>
                <a:noFill/>
              </a:ln>
              <a:effectLst>
                <a:outerShdw blurRad="57150" dist="19050" dir="5400000" algn="ctr" rotWithShape="0">
                  <a:srgbClr val="000000">
                    <a:alpha val="63000"/>
                  </a:srgbClr>
                </a:outerShdw>
              </a:effectLst>
            </c:spPr>
          </c:dPt>
          <c:dPt>
            <c:idx val="1"/>
            <c:bubble3D val="0"/>
            <c:spPr>
              <a:solidFill>
                <a:srgbClr val="8C8C8C"/>
              </a:solidFill>
              <a:ln>
                <a:noFill/>
              </a:ln>
              <a:effectLst>
                <a:outerShdw blurRad="57150" dist="19050" dir="5400000" algn="ctr" rotWithShape="0">
                  <a:srgbClr val="000000">
                    <a:alpha val="63000"/>
                  </a:srgbClr>
                </a:outerShdw>
              </a:effectLst>
            </c:spPr>
          </c:dPt>
          <c:dPt>
            <c:idx val="2"/>
            <c:bubble3D val="0"/>
            <c:spPr>
              <a:solidFill>
                <a:srgbClr val="00A1DE"/>
              </a:solidFill>
              <a:ln>
                <a:noFill/>
              </a:ln>
              <a:effectLst>
                <a:outerShdw blurRad="57150" dist="19050" dir="5400000" algn="ctr" rotWithShape="0">
                  <a:srgbClr val="000000">
                    <a:alpha val="63000"/>
                  </a:srgbClr>
                </a:outerShdw>
              </a:effectLst>
            </c:spPr>
          </c:dPt>
          <c:dPt>
            <c:idx val="3"/>
            <c:bubble3D val="0"/>
            <c:spPr>
              <a:solidFill>
                <a:srgbClr val="81BC00"/>
              </a:solidFill>
              <a:ln>
                <a:noFill/>
              </a:ln>
              <a:effectLst>
                <a:outerShdw blurRad="57150" dist="19050" dir="5400000" algn="ctr" rotWithShape="0">
                  <a:srgbClr val="000000">
                    <a:alpha val="63000"/>
                  </a:srgbClr>
                </a:outerShdw>
              </a:effectLst>
            </c:spPr>
          </c:dPt>
          <c:dLbls>
            <c:dLbl>
              <c:idx val="0"/>
              <c:layout>
                <c:manualLayout>
                  <c:x val="-0.12056794983960338"/>
                  <c:y val="-8.233845769278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5567038495188097E-2"/>
                  <c:y val="-5.0299962504686914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0937408865558516E-2"/>
                  <c:y val="7.5690538682664663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2547025371828524E-2"/>
                  <c:y val="0.114673790776152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Manufactured capital</c:v>
                </c:pt>
                <c:pt idx="1">
                  <c:v>Natural capital</c:v>
                </c:pt>
                <c:pt idx="2">
                  <c:v>Human capital</c:v>
                </c:pt>
                <c:pt idx="3">
                  <c:v>Social capital</c:v>
                </c:pt>
              </c:strCache>
            </c:strRef>
          </c:cat>
          <c:val>
            <c:numRef>
              <c:f>Sheet1!$B$2:$B$5</c:f>
              <c:numCache>
                <c:formatCode>0%</c:formatCode>
                <c:ptCount val="4"/>
                <c:pt idx="0">
                  <c:v>0.6</c:v>
                </c:pt>
                <c:pt idx="1">
                  <c:v>0.15</c:v>
                </c:pt>
                <c:pt idx="2">
                  <c:v>0.15</c:v>
                </c:pt>
                <c:pt idx="3">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C745E-D7B7-4A84-9E7A-CF378271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13</Pages>
  <Words>7597</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50805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Deloitte Lietuva</dc:creator>
  <cp:keywords/>
  <dc:description/>
  <cp:lastModifiedBy>Deloitte Lietuva</cp:lastModifiedBy>
  <cp:revision>133</cp:revision>
  <dcterms:created xsi:type="dcterms:W3CDTF">2016-06-28T22:07:00Z</dcterms:created>
  <dcterms:modified xsi:type="dcterms:W3CDTF">2016-07-07T11:24:00Z</dcterms:modified>
</cp:coreProperties>
</file>