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7BB" w:rsidRPr="00245FC3" w:rsidRDefault="00255C61" w:rsidP="0080175F">
      <w:pPr>
        <w:pStyle w:val="001-lineSectionheading"/>
        <w:spacing w:after="240"/>
        <w:outlineLvl w:val="0"/>
        <w:rPr>
          <w:noProof w:val="0"/>
          <w:sz w:val="52"/>
        </w:rPr>
      </w:pPr>
      <w:r>
        <w:rPr>
          <w:noProof w:val="0"/>
          <w:sz w:val="52"/>
        </w:rPr>
        <w:t>Ignalinos rajono</w:t>
      </w:r>
      <w:r w:rsidR="005577BB" w:rsidRPr="00245FC3">
        <w:rPr>
          <w:noProof w:val="0"/>
          <w:sz w:val="52"/>
        </w:rPr>
        <w:t xml:space="preserve"> savivaldybės analizė</w:t>
      </w:r>
    </w:p>
    <w:p w:rsidR="00C849C4" w:rsidRPr="00932D14" w:rsidRDefault="00C849C4" w:rsidP="002B4036">
      <w:pPr>
        <w:pStyle w:val="Deloittebodytext"/>
        <w:spacing w:line="240" w:lineRule="auto"/>
        <w:jc w:val="both"/>
        <w:rPr>
          <w:lang w:val="lt-LT"/>
        </w:rPr>
      </w:pPr>
      <w:r w:rsidRPr="00245FC3">
        <w:rPr>
          <w:lang w:val="lt-LT"/>
        </w:rPr>
        <w:t xml:space="preserve">Toliau pateikiama vienos iš probleminių teritorijų – </w:t>
      </w:r>
      <w:r w:rsidR="00255C61">
        <w:rPr>
          <w:lang w:val="lt-LT"/>
        </w:rPr>
        <w:t>Ignalinos rajono</w:t>
      </w:r>
      <w:r w:rsidRPr="00245FC3">
        <w:rPr>
          <w:lang w:val="lt-LT"/>
        </w:rPr>
        <w:t xml:space="preserve"> savivaldybės – atvejo stud</w:t>
      </w:r>
      <w:r w:rsidR="001F2140" w:rsidRPr="00245FC3">
        <w:rPr>
          <w:lang w:val="lt-LT"/>
        </w:rPr>
        <w:t>ija. Pirma, yra pristatoma ES struktūrinių fondų</w:t>
      </w:r>
      <w:r w:rsidRPr="00245FC3">
        <w:rPr>
          <w:lang w:val="lt-LT"/>
        </w:rPr>
        <w:t xml:space="preserve"> finansavimo apžvalga, aptariamos pagrindinės i</w:t>
      </w:r>
      <w:r w:rsidR="002E30F9" w:rsidRPr="00245FC3">
        <w:rPr>
          <w:lang w:val="lt-LT"/>
        </w:rPr>
        <w:t xml:space="preserve">nvesticinės kryptys. Vėliau </w:t>
      </w:r>
      <w:r w:rsidR="002B4036" w:rsidRPr="00245FC3">
        <w:rPr>
          <w:lang w:val="lt-LT"/>
        </w:rPr>
        <w:t>pristatoma socio-ekonominių ir aplinkos rodiklių kaita</w:t>
      </w:r>
      <w:r w:rsidR="00BC4ECE" w:rsidRPr="00245FC3">
        <w:rPr>
          <w:lang w:val="lt-LT"/>
        </w:rPr>
        <w:t xml:space="preserve"> 2007 – 2013 m. laikotarpiu</w:t>
      </w:r>
      <w:r w:rsidR="002B4036" w:rsidRPr="00245FC3">
        <w:rPr>
          <w:lang w:val="lt-LT"/>
        </w:rPr>
        <w:t xml:space="preserve">. Atvejo </w:t>
      </w:r>
      <w:r w:rsidR="002E30F9" w:rsidRPr="00245FC3">
        <w:rPr>
          <w:lang w:val="lt-LT"/>
        </w:rPr>
        <w:t>studiją apibendrina</w:t>
      </w:r>
      <w:r w:rsidR="00932D14">
        <w:rPr>
          <w:lang w:val="lt-LT"/>
        </w:rPr>
        <w:t xml:space="preserve"> 2007 – 2013 m.</w:t>
      </w:r>
      <w:r w:rsidR="002E30F9" w:rsidRPr="00245FC3">
        <w:rPr>
          <w:lang w:val="lt-LT"/>
        </w:rPr>
        <w:t xml:space="preserve"> ES</w:t>
      </w:r>
      <w:r w:rsidR="00932D14">
        <w:rPr>
          <w:lang w:val="lt-LT"/>
        </w:rPr>
        <w:t xml:space="preserve"> struktūrinės</w:t>
      </w:r>
      <w:r w:rsidR="002E30F9" w:rsidRPr="00245FC3">
        <w:rPr>
          <w:lang w:val="lt-LT"/>
        </w:rPr>
        <w:t xml:space="preserve"> paramos poveikio darniam vystymuisi vertinimas</w:t>
      </w:r>
      <w:r w:rsidR="00932D14">
        <w:rPr>
          <w:lang w:val="lt-LT"/>
        </w:rPr>
        <w:t xml:space="preserve">; </w:t>
      </w:r>
      <w:r w:rsidR="00932D14">
        <w:rPr>
          <w:lang w:val="en-US"/>
        </w:rPr>
        <w:t>1.3.</w:t>
      </w:r>
      <w:r w:rsidR="00932D14">
        <w:rPr>
          <w:lang w:val="lt-LT"/>
        </w:rPr>
        <w:t xml:space="preserve"> dalyje yra pateikiami gerosios praktikos projektų pavyzdžiai.</w:t>
      </w:r>
    </w:p>
    <w:p w:rsidR="005577BB" w:rsidRPr="00245FC3" w:rsidRDefault="0080175F" w:rsidP="0080175F">
      <w:pPr>
        <w:pStyle w:val="Heading1"/>
        <w:numPr>
          <w:ilvl w:val="1"/>
          <w:numId w:val="1"/>
        </w:numPr>
        <w:spacing w:before="360"/>
        <w:ind w:left="630" w:hanging="630"/>
        <w:rPr>
          <w:rFonts w:ascii="Arial" w:hAnsi="Arial" w:cs="Arial"/>
          <w:b w:val="0"/>
          <w:sz w:val="28"/>
          <w:szCs w:val="28"/>
        </w:rPr>
      </w:pPr>
      <w:r w:rsidRPr="00245FC3">
        <w:rPr>
          <w:rFonts w:ascii="Arial" w:hAnsi="Arial" w:cs="Arial"/>
          <w:b w:val="0"/>
          <w:noProof/>
          <w:sz w:val="28"/>
          <w:szCs w:val="28"/>
          <w:lang w:val="en-US"/>
        </w:rPr>
        <mc:AlternateContent>
          <mc:Choice Requires="wpg">
            <w:drawing>
              <wp:anchor distT="0" distB="0" distL="114300" distR="114300" simplePos="0" relativeHeight="251670528" behindDoc="0" locked="0" layoutInCell="1" allowOverlap="1" wp14:anchorId="4BB10F47" wp14:editId="62A404F0">
                <wp:simplePos x="0" y="0"/>
                <wp:positionH relativeFrom="margin">
                  <wp:posOffset>3761105</wp:posOffset>
                </wp:positionH>
                <wp:positionV relativeFrom="paragraph">
                  <wp:posOffset>222885</wp:posOffset>
                </wp:positionV>
                <wp:extent cx="1371600" cy="1290320"/>
                <wp:effectExtent l="0" t="0" r="0" b="5080"/>
                <wp:wrapSquare wrapText="bothSides"/>
                <wp:docPr id="14" name="Group 14"/>
                <wp:cNvGraphicFramePr/>
                <a:graphic xmlns:a="http://schemas.openxmlformats.org/drawingml/2006/main">
                  <a:graphicData uri="http://schemas.microsoft.com/office/word/2010/wordprocessingGroup">
                    <wpg:wgp>
                      <wpg:cNvGrpSpPr/>
                      <wpg:grpSpPr>
                        <a:xfrm>
                          <a:off x="0" y="0"/>
                          <a:ext cx="1371600" cy="1290320"/>
                          <a:chOff x="0" y="47361"/>
                          <a:chExt cx="923925" cy="995045"/>
                        </a:xfrm>
                      </wpg:grpSpPr>
                      <wpg:graphicFrame>
                        <wpg:cNvPr id="8" name="Chart 8"/>
                        <wpg:cNvFrPr/>
                        <wpg:xfrm>
                          <a:off x="0" y="47361"/>
                          <a:ext cx="923925" cy="995045"/>
                        </wpg:xfrm>
                        <a:graphic>
                          <a:graphicData uri="http://schemas.openxmlformats.org/drawingml/2006/chart">
                            <c:chart xmlns:c="http://schemas.openxmlformats.org/drawingml/2006/chart" xmlns:r="http://schemas.openxmlformats.org/officeDocument/2006/relationships" r:id="rId9"/>
                          </a:graphicData>
                        </a:graphic>
                      </wpg:graphicFrame>
                      <wps:wsp>
                        <wps:cNvPr id="30" name="TextBox 29"/>
                        <wps:cNvSpPr txBox="1"/>
                        <wps:spPr>
                          <a:xfrm>
                            <a:off x="95657" y="526457"/>
                            <a:ext cx="795020" cy="344170"/>
                          </a:xfrm>
                          <a:prstGeom prst="rect">
                            <a:avLst/>
                          </a:prstGeom>
                          <a:noFill/>
                        </wps:spPr>
                        <wps:txbx>
                          <w:txbxContent>
                            <w:p w:rsidR="00F73ED6" w:rsidRPr="00932D14" w:rsidRDefault="00255C61" w:rsidP="00F73ED6">
                              <w:pPr>
                                <w:pStyle w:val="NormalWeb"/>
                                <w:spacing w:before="0" w:beforeAutospacing="0" w:after="0" w:afterAutospacing="0"/>
                                <w:jc w:val="center"/>
                                <w:rPr>
                                  <w:rFonts w:ascii="Arial" w:hAnsi="Arial" w:cs="Arial"/>
                                  <w:sz w:val="6"/>
                                </w:rPr>
                              </w:pPr>
                              <w:r w:rsidRPr="00932D14">
                                <w:rPr>
                                  <w:rFonts w:ascii="Arial" w:hAnsi="Arial" w:cs="Arial"/>
                                  <w:color w:val="FFFFFF"/>
                                  <w:kern w:val="24"/>
                                  <w:sz w:val="32"/>
                                  <w:szCs w:val="144"/>
                                  <w:lang w:val="nl-NL"/>
                                </w:rPr>
                                <w:t>7.44</w:t>
                              </w:r>
                              <w:r w:rsidR="0080175F" w:rsidRPr="00932D14">
                                <w:rPr>
                                  <w:rFonts w:ascii="Arial" w:hAnsi="Arial" w:cs="Arial"/>
                                  <w:color w:val="FFFFFF"/>
                                  <w:kern w:val="24"/>
                                  <w:sz w:val="32"/>
                                  <w:szCs w:val="144"/>
                                  <w:lang w:val="nl-NL"/>
                                </w:rPr>
                                <w:t xml:space="preserve"> %</w:t>
                              </w:r>
                            </w:p>
                          </w:txbxContent>
                        </wps:txbx>
                        <wps:bodyPr wrap="square" lIns="35999" tIns="35999" rIns="35999" bIns="35999" rtlCol="0">
                          <a:noAutofit/>
                        </wps:bodyPr>
                      </wps:wsp>
                    </wpg:wgp>
                  </a:graphicData>
                </a:graphic>
                <wp14:sizeRelH relativeFrom="margin">
                  <wp14:pctWidth>0</wp14:pctWidth>
                </wp14:sizeRelH>
                <wp14:sizeRelV relativeFrom="margin">
                  <wp14:pctHeight>0</wp14:pctHeight>
                </wp14:sizeRelV>
              </wp:anchor>
            </w:drawing>
          </mc:Choice>
          <mc:Fallback>
            <w:pict>
              <v:group id="Group 14" o:spid="_x0000_s1026" style="position:absolute;left:0;text-align:left;margin-left:296.15pt;margin-top:17.55pt;width:108pt;height:101.6pt;z-index:251670528;mso-position-horizontal-relative:margin;mso-width-relative:margin;mso-height-relative:margin" coordorigin=",473" coordsize="9239,9950" o:gfxdata="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8" o:spid="_x0000_s1027" type="#_x0000_t75" style="position:absolute;top:473;width:9239;height:996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">
                  <v:imagedata r:id="rId10" o:title=""/>
                  <o:lock v:ext="edit" aspectratio="f"/>
                </v:shape>
                <v:shapetype id="_x0000_t202" coordsize="21600,21600" o:spt="202" path="m,l,21600r21600,l21600,xe">
                  <v:stroke joinstyle="miter"/>
                  <v:path gradientshapeok="t" o:connecttype="rect"/>
                </v:shapetype>
                <v:shape id="TextBox 29" o:spid="_x0000_s1028" type="#_x0000_t202" style="position:absolute;left:956;top:5264;width:7950;height:3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avCMEA&#10;AADbAAAADwAAAGRycy9kb3ducmV2LnhtbERPXWvCMBR9H/gfwhV8m4kKY3TG0gmiCG7MCfp4ae7a&#10;YnNTkqjVX788DPZ4ON/zvLetuJIPjWMNk7ECQVw603Cl4fC9en4FESKywdYxabhTgHwxeJpjZtyN&#10;v+i6j5VIIRwy1FDH2GVShrImi2HsOuLE/ThvMSboK2k83lK4beVUqRdpseHUUGNHy5rK8/5iNZw+&#10;du/OF+qw/rxztTXHhzpvHlqPhn3xBiJSH//Ff+6N0TBL69OX9AP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mrwjBAAAA2wAAAA8AAAAAAAAAAAAAAAAAmAIAAGRycy9kb3du&#10;cmV2LnhtbFBLBQYAAAAABAAEAPUAAACGAwAAAAA=&#10;" filled="f" stroked="f">
                  <v:textbox inset=".99997mm,.99997mm,.99997mm,.99997mm">
                    <w:txbxContent>
                      <w:p w:rsidR="00F73ED6" w:rsidRPr="00932D14" w:rsidRDefault="00255C61" w:rsidP="00F73ED6">
                        <w:pPr>
                          <w:pStyle w:val="NormalWeb"/>
                          <w:spacing w:before="0" w:beforeAutospacing="0" w:after="0" w:afterAutospacing="0"/>
                          <w:jc w:val="center"/>
                          <w:rPr>
                            <w:rFonts w:ascii="Arial" w:hAnsi="Arial" w:cs="Arial"/>
                            <w:sz w:val="6"/>
                          </w:rPr>
                        </w:pPr>
                        <w:r w:rsidRPr="00932D14">
                          <w:rPr>
                            <w:rFonts w:ascii="Arial" w:hAnsi="Arial" w:cs="Arial"/>
                            <w:color w:val="FFFFFF"/>
                            <w:kern w:val="24"/>
                            <w:sz w:val="32"/>
                            <w:szCs w:val="144"/>
                            <w:lang w:val="nl-NL"/>
                          </w:rPr>
                          <w:t>7.44</w:t>
                        </w:r>
                        <w:r w:rsidR="0080175F" w:rsidRPr="00932D14">
                          <w:rPr>
                            <w:rFonts w:ascii="Arial" w:hAnsi="Arial" w:cs="Arial"/>
                            <w:color w:val="FFFFFF"/>
                            <w:kern w:val="24"/>
                            <w:sz w:val="32"/>
                            <w:szCs w:val="144"/>
                            <w:lang w:val="nl-NL"/>
                          </w:rPr>
                          <w:t xml:space="preserve"> %</w:t>
                        </w:r>
                      </w:p>
                    </w:txbxContent>
                  </v:textbox>
                </v:shape>
                <w10:wrap type="square" anchorx="margin"/>
              </v:group>
              <o:OLEObject Type="Embed" ProgID="Excel.Chart.8" ShapeID="Chart 8" DrawAspect="Content" ObjectID="_1524597926" r:id="rId11">
                <o:FieldCodes>\s</o:FieldCodes>
              </o:OLEObject>
            </w:pict>
          </mc:Fallback>
        </mc:AlternateContent>
      </w:r>
      <w:r w:rsidR="005577BB" w:rsidRPr="00245FC3">
        <w:rPr>
          <w:rFonts w:ascii="Arial" w:hAnsi="Arial" w:cs="Arial"/>
          <w:b w:val="0"/>
          <w:sz w:val="28"/>
          <w:szCs w:val="28"/>
        </w:rPr>
        <w:t>Finansavimo apžvalga</w:t>
      </w:r>
    </w:p>
    <w:p w:rsidR="005577BB" w:rsidRPr="00245FC3" w:rsidRDefault="00F73ED6" w:rsidP="00F73ED6">
      <w:pPr>
        <w:jc w:val="both"/>
        <w:rPr>
          <w:rFonts w:ascii="Arial" w:eastAsia="MS PGothic" w:hAnsi="Arial" w:cs="Times New Roman"/>
          <w:color w:val="000000"/>
          <w:sz w:val="20"/>
          <w:szCs w:val="48"/>
        </w:rPr>
      </w:pPr>
      <w:r w:rsidRPr="00245FC3">
        <w:rPr>
          <w:rFonts w:ascii="Arial" w:eastAsia="MS PGothic" w:hAnsi="Arial" w:cs="Times New Roman"/>
          <w:color w:val="000000"/>
          <w:sz w:val="20"/>
          <w:szCs w:val="48"/>
        </w:rPr>
        <w:t xml:space="preserve">2007 – 2013 </w:t>
      </w:r>
      <w:r w:rsidR="009A35E9" w:rsidRPr="00245FC3">
        <w:rPr>
          <w:rFonts w:ascii="Arial" w:eastAsia="MS PGothic" w:hAnsi="Arial" w:cs="Times New Roman"/>
          <w:color w:val="000000"/>
          <w:sz w:val="20"/>
          <w:szCs w:val="48"/>
        </w:rPr>
        <w:t>m</w:t>
      </w:r>
      <w:r w:rsidR="0080175F" w:rsidRPr="00245FC3">
        <w:rPr>
          <w:rFonts w:ascii="Arial" w:eastAsia="MS PGothic" w:hAnsi="Arial" w:cs="Times New Roman"/>
          <w:color w:val="000000"/>
          <w:sz w:val="20"/>
          <w:szCs w:val="48"/>
        </w:rPr>
        <w:t>. ES struktūrinių fondų</w:t>
      </w:r>
      <w:r w:rsidR="001F2140" w:rsidRPr="00245FC3">
        <w:rPr>
          <w:rFonts w:ascii="Arial" w:eastAsia="MS PGothic" w:hAnsi="Arial" w:cs="Times New Roman"/>
          <w:color w:val="000000"/>
          <w:sz w:val="20"/>
          <w:szCs w:val="48"/>
        </w:rPr>
        <w:t xml:space="preserve"> (ES SF)</w:t>
      </w:r>
      <w:r w:rsidR="0080175F" w:rsidRPr="00245FC3">
        <w:rPr>
          <w:rFonts w:ascii="Arial" w:eastAsia="MS PGothic" w:hAnsi="Arial" w:cs="Times New Roman"/>
          <w:color w:val="000000"/>
          <w:sz w:val="20"/>
          <w:szCs w:val="48"/>
        </w:rPr>
        <w:t xml:space="preserve"> programavimo</w:t>
      </w:r>
      <w:r w:rsidR="005D34E4" w:rsidRPr="00245FC3">
        <w:rPr>
          <w:rFonts w:ascii="Arial" w:eastAsia="MS PGothic" w:hAnsi="Arial" w:cs="Times New Roman"/>
          <w:color w:val="000000"/>
          <w:sz w:val="20"/>
          <w:szCs w:val="48"/>
        </w:rPr>
        <w:t xml:space="preserve"> laikotarpiu, </w:t>
      </w:r>
      <w:r w:rsidR="00255C61">
        <w:rPr>
          <w:rFonts w:ascii="Arial" w:eastAsia="MS PGothic" w:hAnsi="Arial" w:cs="Times New Roman"/>
          <w:color w:val="000000"/>
          <w:sz w:val="20"/>
          <w:szCs w:val="48"/>
        </w:rPr>
        <w:t>Ignalinos rajono</w:t>
      </w:r>
      <w:r w:rsidR="009A35E9" w:rsidRPr="00245FC3">
        <w:rPr>
          <w:rFonts w:ascii="Arial" w:eastAsia="MS PGothic" w:hAnsi="Arial" w:cs="Times New Roman"/>
          <w:color w:val="000000"/>
          <w:sz w:val="20"/>
          <w:szCs w:val="48"/>
        </w:rPr>
        <w:t xml:space="preserve"> savivaldybėje, </w:t>
      </w:r>
      <w:r w:rsidR="00CF47D0" w:rsidRPr="00245FC3">
        <w:rPr>
          <w:rFonts w:ascii="Arial" w:eastAsia="MS PGothic" w:hAnsi="Arial" w:cs="Times New Roman"/>
          <w:color w:val="000000"/>
          <w:sz w:val="20"/>
          <w:szCs w:val="48"/>
        </w:rPr>
        <w:t xml:space="preserve">buvo finansuoti </w:t>
      </w:r>
      <w:r w:rsidR="00255C61">
        <w:rPr>
          <w:rFonts w:ascii="Arial" w:eastAsia="MS PGothic" w:hAnsi="Arial" w:cs="Times New Roman"/>
          <w:color w:val="000000"/>
          <w:sz w:val="20"/>
          <w:szCs w:val="48"/>
        </w:rPr>
        <w:t>95</w:t>
      </w:r>
      <w:r w:rsidRPr="00245FC3">
        <w:rPr>
          <w:rFonts w:ascii="Arial" w:eastAsia="MS PGothic" w:hAnsi="Arial" w:cs="Times New Roman"/>
          <w:color w:val="000000"/>
          <w:sz w:val="20"/>
          <w:szCs w:val="48"/>
        </w:rPr>
        <w:t xml:space="preserve"> projektai. </w:t>
      </w:r>
      <w:r w:rsidR="009A35E9" w:rsidRPr="00245FC3">
        <w:rPr>
          <w:rFonts w:ascii="Arial" w:eastAsia="MS PGothic" w:hAnsi="Arial" w:cs="Times New Roman"/>
          <w:color w:val="000000"/>
          <w:sz w:val="20"/>
          <w:szCs w:val="48"/>
        </w:rPr>
        <w:t xml:space="preserve">Bendra </w:t>
      </w:r>
      <w:r w:rsidR="0080175F" w:rsidRPr="00245FC3">
        <w:rPr>
          <w:rFonts w:ascii="Arial" w:eastAsia="MS PGothic" w:hAnsi="Arial" w:cs="Times New Roman"/>
          <w:color w:val="000000"/>
          <w:sz w:val="20"/>
          <w:szCs w:val="48"/>
        </w:rPr>
        <w:t>projektų vertė</w:t>
      </w:r>
      <w:r w:rsidR="009A35E9" w:rsidRPr="00245FC3">
        <w:rPr>
          <w:rFonts w:ascii="Arial" w:eastAsia="MS PGothic" w:hAnsi="Arial" w:cs="Times New Roman"/>
          <w:color w:val="000000"/>
          <w:sz w:val="20"/>
          <w:szCs w:val="48"/>
        </w:rPr>
        <w:t xml:space="preserve"> siekė</w:t>
      </w:r>
      <w:r w:rsidR="0080175F" w:rsidRPr="00245FC3">
        <w:rPr>
          <w:rFonts w:ascii="Arial" w:eastAsia="MS PGothic" w:hAnsi="Arial" w:cs="Times New Roman"/>
          <w:color w:val="000000"/>
          <w:sz w:val="20"/>
          <w:szCs w:val="48"/>
        </w:rPr>
        <w:t xml:space="preserve"> </w:t>
      </w:r>
      <w:r w:rsidR="00255C61" w:rsidRPr="00255C61">
        <w:rPr>
          <w:rFonts w:ascii="Arial" w:eastAsia="MS PGothic" w:hAnsi="Arial" w:cs="Times New Roman"/>
          <w:color w:val="000000"/>
          <w:sz w:val="20"/>
          <w:szCs w:val="48"/>
        </w:rPr>
        <w:t>63</w:t>
      </w:r>
      <w:r w:rsidR="00932D14">
        <w:rPr>
          <w:rFonts w:ascii="Arial" w:eastAsia="MS PGothic" w:hAnsi="Arial" w:cs="Times New Roman"/>
          <w:color w:val="000000"/>
          <w:sz w:val="20"/>
          <w:szCs w:val="48"/>
        </w:rPr>
        <w:t>.</w:t>
      </w:r>
      <w:r w:rsidR="00255C61" w:rsidRPr="00255C61">
        <w:rPr>
          <w:rFonts w:ascii="Arial" w:eastAsia="MS PGothic" w:hAnsi="Arial" w:cs="Times New Roman"/>
          <w:color w:val="000000"/>
          <w:sz w:val="20"/>
          <w:szCs w:val="48"/>
        </w:rPr>
        <w:t>979</w:t>
      </w:r>
      <w:r w:rsidR="00932D14">
        <w:rPr>
          <w:rFonts w:ascii="Arial" w:eastAsia="MS PGothic" w:hAnsi="Arial" w:cs="Times New Roman"/>
          <w:color w:val="000000"/>
          <w:sz w:val="20"/>
          <w:szCs w:val="48"/>
        </w:rPr>
        <w:t xml:space="preserve"> mln.</w:t>
      </w:r>
      <w:r w:rsidR="00255C61">
        <w:rPr>
          <w:rFonts w:ascii="Arial" w:eastAsia="MS PGothic" w:hAnsi="Arial" w:cs="Times New Roman"/>
          <w:color w:val="000000"/>
          <w:sz w:val="20"/>
          <w:szCs w:val="48"/>
        </w:rPr>
        <w:t xml:space="preserve"> EUR; tai sudarė 7.44</w:t>
      </w:r>
      <w:r w:rsidR="0080175F" w:rsidRPr="00245FC3">
        <w:rPr>
          <w:rFonts w:ascii="Arial" w:eastAsia="MS PGothic" w:hAnsi="Arial" w:cs="Times New Roman"/>
          <w:color w:val="000000"/>
          <w:sz w:val="20"/>
          <w:szCs w:val="48"/>
        </w:rPr>
        <w:t xml:space="preserve"> proc. visų probleminėse teritorijose įgyvendintų</w:t>
      </w:r>
      <w:r w:rsidR="001F2140" w:rsidRPr="00245FC3">
        <w:rPr>
          <w:rFonts w:ascii="Arial" w:eastAsia="MS PGothic" w:hAnsi="Arial" w:cs="Times New Roman"/>
          <w:color w:val="000000"/>
          <w:sz w:val="20"/>
          <w:szCs w:val="48"/>
        </w:rPr>
        <w:t xml:space="preserve"> ES SF</w:t>
      </w:r>
      <w:r w:rsidR="0080175F" w:rsidRPr="00245FC3">
        <w:rPr>
          <w:rFonts w:ascii="Arial" w:eastAsia="MS PGothic" w:hAnsi="Arial" w:cs="Times New Roman"/>
          <w:color w:val="000000"/>
          <w:sz w:val="20"/>
          <w:szCs w:val="48"/>
        </w:rPr>
        <w:t xml:space="preserve"> projektų vertės.</w:t>
      </w:r>
      <w:r w:rsidR="00255C61">
        <w:rPr>
          <w:rFonts w:ascii="Arial" w:eastAsia="MS PGothic" w:hAnsi="Arial" w:cs="Times New Roman"/>
          <w:color w:val="000000"/>
          <w:sz w:val="20"/>
          <w:szCs w:val="48"/>
        </w:rPr>
        <w:t xml:space="preserve"> </w:t>
      </w:r>
    </w:p>
    <w:p w:rsidR="000D5BA5" w:rsidRPr="00245FC3" w:rsidRDefault="00255C61" w:rsidP="00F73ED6">
      <w:pPr>
        <w:jc w:val="both"/>
        <w:rPr>
          <w:rFonts w:ascii="Arial" w:eastAsia="MS PGothic" w:hAnsi="Arial" w:cs="Times New Roman"/>
          <w:color w:val="000000"/>
          <w:sz w:val="20"/>
          <w:szCs w:val="48"/>
        </w:rPr>
      </w:pPr>
      <w:r>
        <w:rPr>
          <w:rFonts w:ascii="Arial" w:eastAsia="MS PGothic" w:hAnsi="Arial" w:cs="Times New Roman"/>
          <w:color w:val="000000"/>
          <w:sz w:val="20"/>
          <w:szCs w:val="48"/>
        </w:rPr>
        <w:t>P</w:t>
      </w:r>
      <w:r w:rsidRPr="00245FC3">
        <w:rPr>
          <w:rFonts w:ascii="Arial" w:eastAsia="MS PGothic" w:hAnsi="Arial" w:cs="Times New Roman"/>
          <w:color w:val="000000"/>
          <w:sz w:val="20"/>
          <w:szCs w:val="48"/>
        </w:rPr>
        <w:t>agal Sanglaudos skatinimo veiksmų programą (SSVP)</w:t>
      </w:r>
      <w:r>
        <w:rPr>
          <w:rFonts w:ascii="Arial" w:eastAsia="MS PGothic" w:hAnsi="Arial" w:cs="Times New Roman"/>
          <w:color w:val="000000"/>
          <w:sz w:val="20"/>
          <w:szCs w:val="48"/>
        </w:rPr>
        <w:t xml:space="preserve"> ir </w:t>
      </w:r>
      <w:r w:rsidRPr="00245FC3">
        <w:rPr>
          <w:rFonts w:ascii="Arial" w:eastAsia="MS PGothic" w:hAnsi="Arial" w:cs="Times New Roman"/>
          <w:color w:val="000000"/>
          <w:sz w:val="20"/>
          <w:szCs w:val="48"/>
        </w:rPr>
        <w:t xml:space="preserve">Ekonomikos augimo veiksmų programos (EAVP) </w:t>
      </w:r>
      <w:r>
        <w:rPr>
          <w:rFonts w:ascii="Arial" w:eastAsia="MS PGothic" w:hAnsi="Arial" w:cs="Times New Roman"/>
          <w:color w:val="000000"/>
          <w:sz w:val="20"/>
          <w:szCs w:val="48"/>
        </w:rPr>
        <w:t>buvo skirtas panašus kiekis ES SF lėšų  (atitinkamai 49</w:t>
      </w:r>
      <w:r w:rsidR="00D65C3C" w:rsidRPr="00245FC3">
        <w:rPr>
          <w:rFonts w:ascii="Arial" w:eastAsia="MS PGothic" w:hAnsi="Arial" w:cs="Times New Roman"/>
          <w:color w:val="000000"/>
          <w:sz w:val="20"/>
          <w:szCs w:val="48"/>
        </w:rPr>
        <w:t xml:space="preserve"> proc.</w:t>
      </w:r>
      <w:r>
        <w:rPr>
          <w:rFonts w:ascii="Arial" w:eastAsia="MS PGothic" w:hAnsi="Arial" w:cs="Times New Roman"/>
          <w:color w:val="000000"/>
          <w:sz w:val="20"/>
          <w:szCs w:val="48"/>
        </w:rPr>
        <w:t xml:space="preserve"> ir </w:t>
      </w:r>
      <w:r w:rsidR="00D31B3A">
        <w:rPr>
          <w:rFonts w:ascii="Arial" w:eastAsia="MS PGothic" w:hAnsi="Arial" w:cs="Times New Roman"/>
          <w:color w:val="000000"/>
          <w:sz w:val="20"/>
          <w:szCs w:val="48"/>
          <w:lang w:val="en-US"/>
        </w:rPr>
        <w:t>47</w:t>
      </w:r>
      <w:r>
        <w:rPr>
          <w:rFonts w:ascii="Arial" w:eastAsia="MS PGothic" w:hAnsi="Arial" w:cs="Times New Roman"/>
          <w:color w:val="000000"/>
          <w:sz w:val="20"/>
          <w:szCs w:val="48"/>
          <w:lang w:val="en-US"/>
        </w:rPr>
        <w:t xml:space="preserve"> proc.</w:t>
      </w:r>
      <w:r w:rsidR="00D65C3C" w:rsidRPr="00245FC3">
        <w:rPr>
          <w:rFonts w:ascii="Arial" w:eastAsia="MS PGothic" w:hAnsi="Arial" w:cs="Times New Roman"/>
          <w:color w:val="000000"/>
          <w:sz w:val="20"/>
          <w:szCs w:val="48"/>
        </w:rPr>
        <w:t xml:space="preserve"> visų savivaldybės teritorijoje įgyvendintų projektų vertės</w:t>
      </w:r>
      <w:r>
        <w:rPr>
          <w:rFonts w:ascii="Arial" w:eastAsia="MS PGothic" w:hAnsi="Arial" w:cs="Times New Roman"/>
          <w:color w:val="000000"/>
          <w:sz w:val="20"/>
          <w:szCs w:val="48"/>
        </w:rPr>
        <w:t>)</w:t>
      </w:r>
      <w:r w:rsidR="00D65C3C" w:rsidRPr="00245FC3">
        <w:rPr>
          <w:rFonts w:ascii="Arial" w:eastAsia="MS PGothic" w:hAnsi="Arial" w:cs="Times New Roman"/>
          <w:color w:val="000000"/>
          <w:sz w:val="20"/>
          <w:szCs w:val="48"/>
        </w:rPr>
        <w:t>. Tuo tarpu Žmogiškųjų išt</w:t>
      </w:r>
      <w:r w:rsidR="000D5BA5" w:rsidRPr="00245FC3">
        <w:rPr>
          <w:rFonts w:ascii="Arial" w:eastAsia="MS PGothic" w:hAnsi="Arial" w:cs="Times New Roman"/>
          <w:color w:val="000000"/>
          <w:sz w:val="20"/>
          <w:szCs w:val="48"/>
        </w:rPr>
        <w:t>eklių veiksmų programos</w:t>
      </w:r>
      <w:r w:rsidR="00D65C3C" w:rsidRPr="00245FC3">
        <w:rPr>
          <w:rFonts w:ascii="Arial" w:eastAsia="MS PGothic" w:hAnsi="Arial" w:cs="Times New Roman"/>
          <w:color w:val="000000"/>
          <w:sz w:val="20"/>
          <w:szCs w:val="48"/>
        </w:rPr>
        <w:t xml:space="preserve"> (ŽIPVP) </w:t>
      </w:r>
      <w:r w:rsidR="000D5BA5" w:rsidRPr="00245FC3">
        <w:rPr>
          <w:rFonts w:ascii="Arial" w:eastAsia="MS PGothic" w:hAnsi="Arial" w:cs="Times New Roman"/>
          <w:color w:val="000000"/>
          <w:sz w:val="20"/>
          <w:szCs w:val="48"/>
        </w:rPr>
        <w:t>lėšos</w:t>
      </w:r>
      <w:r w:rsidR="00D65C3C" w:rsidRPr="00245FC3">
        <w:rPr>
          <w:rFonts w:ascii="Arial" w:eastAsia="MS PGothic" w:hAnsi="Arial" w:cs="Times New Roman"/>
          <w:color w:val="000000"/>
          <w:sz w:val="20"/>
          <w:szCs w:val="48"/>
        </w:rPr>
        <w:t xml:space="preserve"> </w:t>
      </w:r>
      <w:r>
        <w:rPr>
          <w:rFonts w:ascii="Arial" w:eastAsia="MS PGothic" w:hAnsi="Arial" w:cs="Times New Roman"/>
          <w:color w:val="000000"/>
          <w:sz w:val="20"/>
          <w:szCs w:val="48"/>
        </w:rPr>
        <w:t>sudarė vos 4 proc.</w:t>
      </w:r>
      <w:r w:rsidR="009D7299" w:rsidRPr="00245FC3">
        <w:rPr>
          <w:rFonts w:ascii="Arial" w:eastAsia="MS PGothic" w:hAnsi="Arial" w:cs="Times New Roman"/>
          <w:color w:val="000000"/>
          <w:sz w:val="20"/>
          <w:szCs w:val="48"/>
        </w:rPr>
        <w:t xml:space="preserve"> </w:t>
      </w:r>
      <w:r w:rsidR="001B09C3" w:rsidRPr="00245FC3">
        <w:rPr>
          <w:rFonts w:ascii="Arial" w:eastAsia="MS PGothic" w:hAnsi="Arial" w:cs="Times New Roman"/>
          <w:color w:val="000000"/>
          <w:sz w:val="20"/>
          <w:szCs w:val="48"/>
        </w:rPr>
        <w:t>Projektų skaičius</w:t>
      </w:r>
      <w:r>
        <w:rPr>
          <w:rFonts w:ascii="Arial" w:eastAsia="MS PGothic" w:hAnsi="Arial" w:cs="Times New Roman"/>
          <w:color w:val="000000"/>
          <w:sz w:val="20"/>
          <w:szCs w:val="48"/>
        </w:rPr>
        <w:t>, kitaip nei kitose savivaldybėse,</w:t>
      </w:r>
      <w:r w:rsidR="001B09C3" w:rsidRPr="00245FC3">
        <w:rPr>
          <w:rFonts w:ascii="Arial" w:eastAsia="MS PGothic" w:hAnsi="Arial" w:cs="Times New Roman"/>
          <w:color w:val="000000"/>
          <w:sz w:val="20"/>
          <w:szCs w:val="48"/>
        </w:rPr>
        <w:t xml:space="preserve"> </w:t>
      </w:r>
      <w:r>
        <w:rPr>
          <w:rFonts w:ascii="Arial" w:eastAsia="MS PGothic" w:hAnsi="Arial" w:cs="Times New Roman"/>
          <w:color w:val="000000"/>
          <w:sz w:val="20"/>
          <w:szCs w:val="48"/>
        </w:rPr>
        <w:t>ne</w:t>
      </w:r>
      <w:r w:rsidR="001B09C3" w:rsidRPr="00245FC3">
        <w:rPr>
          <w:rFonts w:ascii="Arial" w:eastAsia="MS PGothic" w:hAnsi="Arial" w:cs="Times New Roman"/>
          <w:color w:val="000000"/>
          <w:sz w:val="20"/>
          <w:szCs w:val="48"/>
        </w:rPr>
        <w:t xml:space="preserve">atitinka finansavimo </w:t>
      </w:r>
      <w:r w:rsidR="009D7299" w:rsidRPr="00245FC3">
        <w:rPr>
          <w:rFonts w:ascii="Arial" w:eastAsia="MS PGothic" w:hAnsi="Arial" w:cs="Times New Roman"/>
          <w:color w:val="000000"/>
          <w:sz w:val="20"/>
          <w:szCs w:val="48"/>
        </w:rPr>
        <w:t>lėšų pasiskirstym</w:t>
      </w:r>
      <w:r>
        <w:rPr>
          <w:rFonts w:ascii="Arial" w:eastAsia="MS PGothic" w:hAnsi="Arial" w:cs="Times New Roman"/>
          <w:color w:val="000000"/>
          <w:sz w:val="20"/>
          <w:szCs w:val="48"/>
        </w:rPr>
        <w:t>o</w:t>
      </w:r>
      <w:r w:rsidR="009D7299" w:rsidRPr="00245FC3">
        <w:rPr>
          <w:rFonts w:ascii="Arial" w:eastAsia="MS PGothic" w:hAnsi="Arial" w:cs="Times New Roman"/>
          <w:color w:val="000000"/>
          <w:sz w:val="20"/>
          <w:szCs w:val="48"/>
        </w:rPr>
        <w:t>:</w:t>
      </w:r>
      <w:r w:rsidR="000D5BA5" w:rsidRPr="00245FC3">
        <w:rPr>
          <w:rFonts w:ascii="Arial" w:eastAsia="MS PGothic" w:hAnsi="Arial" w:cs="Times New Roman"/>
          <w:color w:val="000000"/>
          <w:sz w:val="20"/>
          <w:szCs w:val="48"/>
        </w:rPr>
        <w:t xml:space="preserve"> </w:t>
      </w:r>
      <w:r>
        <w:rPr>
          <w:rFonts w:ascii="Arial" w:eastAsia="MS PGothic" w:hAnsi="Arial" w:cs="Times New Roman"/>
          <w:color w:val="000000"/>
          <w:sz w:val="20"/>
          <w:szCs w:val="48"/>
        </w:rPr>
        <w:t>Ignalinos rajono</w:t>
      </w:r>
      <w:r w:rsidR="000D5BA5" w:rsidRPr="00245FC3">
        <w:rPr>
          <w:rFonts w:ascii="Arial" w:eastAsia="MS PGothic" w:hAnsi="Arial" w:cs="Times New Roman"/>
          <w:color w:val="000000"/>
          <w:sz w:val="20"/>
          <w:szCs w:val="48"/>
        </w:rPr>
        <w:t xml:space="preserve"> savivaldybėje </w:t>
      </w:r>
      <w:r w:rsidR="005D34E4" w:rsidRPr="00245FC3">
        <w:rPr>
          <w:rFonts w:ascii="Arial" w:eastAsia="MS PGothic" w:hAnsi="Arial" w:cs="Times New Roman"/>
          <w:color w:val="000000"/>
          <w:sz w:val="20"/>
          <w:szCs w:val="48"/>
        </w:rPr>
        <w:t xml:space="preserve">buvo </w:t>
      </w:r>
      <w:r>
        <w:rPr>
          <w:rFonts w:ascii="Arial" w:eastAsia="MS PGothic" w:hAnsi="Arial" w:cs="Times New Roman"/>
          <w:color w:val="000000"/>
          <w:sz w:val="20"/>
          <w:szCs w:val="48"/>
        </w:rPr>
        <w:t>įgyvendinta 16-ka ŽIPVP, 12</w:t>
      </w:r>
      <w:r w:rsidR="00D31B3A">
        <w:rPr>
          <w:rFonts w:ascii="Arial" w:eastAsia="MS PGothic" w:hAnsi="Arial" w:cs="Times New Roman"/>
          <w:color w:val="000000"/>
          <w:sz w:val="20"/>
          <w:szCs w:val="48"/>
        </w:rPr>
        <w:t>-ka</w:t>
      </w:r>
      <w:r>
        <w:rPr>
          <w:rFonts w:ascii="Arial" w:eastAsia="MS PGothic" w:hAnsi="Arial" w:cs="Times New Roman"/>
          <w:color w:val="000000"/>
          <w:sz w:val="20"/>
          <w:szCs w:val="48"/>
        </w:rPr>
        <w:t xml:space="preserve"> EAVP ir 67</w:t>
      </w:r>
      <w:r w:rsidR="005D34E4" w:rsidRPr="00245FC3">
        <w:rPr>
          <w:rFonts w:ascii="Arial" w:eastAsia="MS PGothic" w:hAnsi="Arial" w:cs="Times New Roman"/>
          <w:color w:val="000000"/>
          <w:sz w:val="20"/>
          <w:szCs w:val="48"/>
        </w:rPr>
        <w:t xml:space="preserve"> SSVP projekt</w:t>
      </w:r>
      <w:r w:rsidR="00D31B3A">
        <w:rPr>
          <w:rFonts w:ascii="Arial" w:eastAsia="MS PGothic" w:hAnsi="Arial" w:cs="Times New Roman"/>
          <w:color w:val="000000"/>
          <w:sz w:val="20"/>
          <w:szCs w:val="48"/>
        </w:rPr>
        <w:t>ai</w:t>
      </w:r>
      <w:r w:rsidR="001B09C3" w:rsidRPr="00245FC3">
        <w:rPr>
          <w:rFonts w:ascii="Arial" w:eastAsia="MS PGothic" w:hAnsi="Arial" w:cs="Times New Roman"/>
          <w:color w:val="000000"/>
          <w:sz w:val="20"/>
          <w:szCs w:val="48"/>
        </w:rPr>
        <w:t xml:space="preserve">. </w:t>
      </w:r>
      <w:r w:rsidR="00D31B3A">
        <w:rPr>
          <w:rFonts w:ascii="Arial" w:eastAsia="MS PGothic" w:hAnsi="Arial" w:cs="Times New Roman"/>
          <w:color w:val="000000"/>
          <w:sz w:val="20"/>
          <w:szCs w:val="48"/>
        </w:rPr>
        <w:t>Taigi Ignalinos rajono savivaldybėje buvo įgyvendinta daug palyginti smulkių infrastruktūrinių ir gamtosauginių projektų.</w:t>
      </w:r>
    </w:p>
    <w:p w:rsidR="0020781B" w:rsidRPr="00245FC3" w:rsidRDefault="0047176E" w:rsidP="0020781B">
      <w:pPr>
        <w:pStyle w:val="Caption"/>
        <w:keepNext/>
      </w:pPr>
      <w:r w:rsidRPr="00245FC3">
        <w:rPr>
          <w:noProof/>
          <w:lang w:val="en-US"/>
        </w:rPr>
        <w:drawing>
          <wp:anchor distT="0" distB="0" distL="114300" distR="114300" simplePos="0" relativeHeight="251679744" behindDoc="1" locked="0" layoutInCell="1" allowOverlap="1" wp14:anchorId="68C10B18" wp14:editId="50D37E4B">
            <wp:simplePos x="0" y="0"/>
            <wp:positionH relativeFrom="column">
              <wp:posOffset>1270</wp:posOffset>
            </wp:positionH>
            <wp:positionV relativeFrom="paragraph">
              <wp:posOffset>240030</wp:posOffset>
            </wp:positionV>
            <wp:extent cx="2971800" cy="2143125"/>
            <wp:effectExtent l="0" t="0" r="0" b="0"/>
            <wp:wrapTight wrapText="bothSides">
              <wp:wrapPolygon edited="0">
                <wp:start x="18138" y="3648"/>
                <wp:lineTo x="10938" y="7104"/>
                <wp:lineTo x="10800" y="13248"/>
                <wp:lineTo x="18138" y="14784"/>
                <wp:lineTo x="20492" y="14784"/>
                <wp:lineTo x="21046" y="13632"/>
                <wp:lineTo x="10662" y="13248"/>
                <wp:lineTo x="10800" y="10176"/>
                <wp:lineTo x="20631" y="9792"/>
                <wp:lineTo x="20631" y="9024"/>
                <wp:lineTo x="10800" y="7104"/>
                <wp:lineTo x="20492" y="4992"/>
                <wp:lineTo x="21046" y="4032"/>
                <wp:lineTo x="18969" y="3648"/>
                <wp:lineTo x="18138" y="3648"/>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20781B" w:rsidRPr="00245FC3">
        <w:fldChar w:fldCharType="begin"/>
      </w:r>
      <w:r w:rsidR="0020781B" w:rsidRPr="00245FC3">
        <w:instrText xml:space="preserve"> SEQ paveikslas \* ARABIC </w:instrText>
      </w:r>
      <w:r w:rsidR="0020781B" w:rsidRPr="00245FC3">
        <w:fldChar w:fldCharType="separate"/>
      </w:r>
      <w:r w:rsidR="008A1509" w:rsidRPr="00245FC3">
        <w:t>1</w:t>
      </w:r>
      <w:r w:rsidR="0020781B" w:rsidRPr="00245FC3">
        <w:fldChar w:fldCharType="end"/>
      </w:r>
      <w:r w:rsidR="0020781B" w:rsidRPr="00245FC3">
        <w:t xml:space="preserve"> paveikslas. Veiksmų</w:t>
      </w:r>
      <w:r w:rsidR="000D5BA5" w:rsidRPr="00245FC3">
        <w:t xml:space="preserve"> programų finansavimas (dalis bendros projektų vertės</w:t>
      </w:r>
      <w:r w:rsidR="00326A1B" w:rsidRPr="00245FC3">
        <w:t>)</w:t>
      </w:r>
      <w:r w:rsidR="0020781B" w:rsidRPr="00245FC3">
        <w:t xml:space="preserve"> </w:t>
      </w:r>
    </w:p>
    <w:p w:rsidR="00D65C3C" w:rsidRPr="00245FC3" w:rsidRDefault="00D65C3C" w:rsidP="00A552B8">
      <w:pPr>
        <w:pStyle w:val="Caption"/>
        <w:spacing w:before="240"/>
        <w:rPr>
          <w:b w:val="0"/>
        </w:rPr>
      </w:pPr>
    </w:p>
    <w:p w:rsidR="00D65C3C" w:rsidRPr="00245FC3" w:rsidRDefault="00D65C3C" w:rsidP="00A552B8">
      <w:pPr>
        <w:pStyle w:val="Caption"/>
        <w:spacing w:before="240"/>
        <w:rPr>
          <w:b w:val="0"/>
        </w:rPr>
      </w:pPr>
    </w:p>
    <w:p w:rsidR="00D65C3C" w:rsidRPr="00245FC3" w:rsidRDefault="00D65C3C" w:rsidP="00A552B8">
      <w:pPr>
        <w:pStyle w:val="Caption"/>
        <w:spacing w:before="240"/>
        <w:rPr>
          <w:b w:val="0"/>
        </w:rPr>
      </w:pPr>
    </w:p>
    <w:p w:rsidR="00D65C3C" w:rsidRPr="00245FC3" w:rsidRDefault="00D65C3C" w:rsidP="00A552B8">
      <w:pPr>
        <w:pStyle w:val="Caption"/>
        <w:spacing w:before="240"/>
        <w:rPr>
          <w:b w:val="0"/>
        </w:rPr>
      </w:pPr>
    </w:p>
    <w:p w:rsidR="00D65C3C" w:rsidRPr="00245FC3" w:rsidRDefault="00D65C3C" w:rsidP="00A552B8">
      <w:pPr>
        <w:pStyle w:val="Caption"/>
        <w:spacing w:before="240"/>
        <w:rPr>
          <w:b w:val="0"/>
        </w:rPr>
      </w:pPr>
    </w:p>
    <w:p w:rsidR="00D65C3C" w:rsidRPr="00245FC3" w:rsidRDefault="00D65C3C" w:rsidP="00A552B8">
      <w:pPr>
        <w:pStyle w:val="Caption"/>
        <w:spacing w:before="240"/>
        <w:rPr>
          <w:b w:val="0"/>
        </w:rPr>
      </w:pPr>
    </w:p>
    <w:p w:rsidR="00D65C3C" w:rsidRPr="00245FC3" w:rsidRDefault="00D65C3C" w:rsidP="00A552B8">
      <w:pPr>
        <w:pStyle w:val="Caption"/>
        <w:spacing w:before="240"/>
        <w:rPr>
          <w:b w:val="0"/>
        </w:rPr>
      </w:pPr>
    </w:p>
    <w:p w:rsidR="00D65C3C" w:rsidRPr="00245FC3" w:rsidRDefault="00D65C3C" w:rsidP="00D65C3C">
      <w:pPr>
        <w:pStyle w:val="Caption"/>
        <w:spacing w:after="0"/>
        <w:rPr>
          <w:b w:val="0"/>
        </w:rPr>
      </w:pPr>
    </w:p>
    <w:p w:rsidR="005577BB" w:rsidRPr="00245FC3" w:rsidRDefault="005577BB" w:rsidP="00D65C3C">
      <w:pPr>
        <w:pStyle w:val="Caption"/>
        <w:spacing w:before="120"/>
        <w:rPr>
          <w:b w:val="0"/>
        </w:rPr>
      </w:pPr>
      <w:r w:rsidRPr="00245FC3">
        <w:rPr>
          <w:b w:val="0"/>
        </w:rPr>
        <w:t xml:space="preserve">Šaltinis: </w:t>
      </w:r>
      <w:hyperlink r:id="rId13" w:history="1">
        <w:r w:rsidR="009D7299" w:rsidRPr="00245FC3">
          <w:rPr>
            <w:rStyle w:val="Hyperlink"/>
            <w:b w:val="0"/>
          </w:rPr>
          <w:t>www.esparama.lt</w:t>
        </w:r>
      </w:hyperlink>
    </w:p>
    <w:p w:rsidR="00C83C6E" w:rsidRPr="00245FC3" w:rsidRDefault="002677E8" w:rsidP="000C024B">
      <w:pPr>
        <w:jc w:val="both"/>
        <w:rPr>
          <w:rFonts w:ascii="Arial" w:hAnsi="Arial" w:cs="Arial"/>
          <w:sz w:val="20"/>
        </w:rPr>
      </w:pPr>
      <w:r w:rsidRPr="00245FC3">
        <w:rPr>
          <w:rFonts w:ascii="Arial" w:hAnsi="Arial" w:cs="Arial"/>
          <w:sz w:val="20"/>
        </w:rPr>
        <w:t xml:space="preserve">Analizuojant veiksmų </w:t>
      </w:r>
      <w:r w:rsidR="000534F9" w:rsidRPr="00245FC3">
        <w:rPr>
          <w:rFonts w:ascii="Arial" w:hAnsi="Arial" w:cs="Arial"/>
          <w:sz w:val="20"/>
        </w:rPr>
        <w:t>programų prioritetų</w:t>
      </w:r>
      <w:r w:rsidRPr="00245FC3">
        <w:rPr>
          <w:rFonts w:ascii="Arial" w:hAnsi="Arial" w:cs="Arial"/>
          <w:sz w:val="20"/>
        </w:rPr>
        <w:t xml:space="preserve"> finansavimą</w:t>
      </w:r>
      <w:r w:rsidR="003D195A" w:rsidRPr="00245FC3">
        <w:rPr>
          <w:rFonts w:ascii="Arial" w:hAnsi="Arial" w:cs="Arial"/>
          <w:sz w:val="20"/>
        </w:rPr>
        <w:t>,</w:t>
      </w:r>
      <w:r w:rsidR="00C83C6E" w:rsidRPr="00245FC3">
        <w:rPr>
          <w:rFonts w:ascii="Arial" w:hAnsi="Arial" w:cs="Arial"/>
          <w:sz w:val="20"/>
        </w:rPr>
        <w:t xml:space="preserve"> ŽIPVP apimtyje ES </w:t>
      </w:r>
      <w:r w:rsidR="0047176E">
        <w:rPr>
          <w:rFonts w:ascii="Arial" w:hAnsi="Arial" w:cs="Arial"/>
          <w:sz w:val="20"/>
        </w:rPr>
        <w:t>parama buvo skirta</w:t>
      </w:r>
      <w:r w:rsidR="00C83C6E" w:rsidRPr="00245FC3">
        <w:rPr>
          <w:rFonts w:ascii="Arial" w:hAnsi="Arial" w:cs="Arial"/>
          <w:sz w:val="20"/>
        </w:rPr>
        <w:t xml:space="preserve"> prioritetų „1 Prioritetas. Kokybiškas užimtumas ir socialinė aprėptis“</w:t>
      </w:r>
      <w:r w:rsidR="005D34E4" w:rsidRPr="00245FC3">
        <w:rPr>
          <w:rFonts w:ascii="Arial" w:hAnsi="Arial" w:cs="Arial"/>
          <w:sz w:val="20"/>
        </w:rPr>
        <w:t xml:space="preserve"> </w:t>
      </w:r>
      <w:r w:rsidR="00C83C6E" w:rsidRPr="00245FC3">
        <w:rPr>
          <w:rFonts w:ascii="Arial" w:hAnsi="Arial" w:cs="Arial"/>
          <w:sz w:val="20"/>
        </w:rPr>
        <w:t>ir „4 Prioritetas. Administracinių gebėjimų stiprinimas ir viešojo administravimo</w:t>
      </w:r>
      <w:r w:rsidR="0047176E">
        <w:rPr>
          <w:rFonts w:ascii="Arial" w:hAnsi="Arial" w:cs="Arial"/>
          <w:sz w:val="20"/>
        </w:rPr>
        <w:t xml:space="preserve"> efektyvumo didinimas“ projektams</w:t>
      </w:r>
      <w:r w:rsidR="00C83C6E" w:rsidRPr="00245FC3">
        <w:rPr>
          <w:rFonts w:ascii="Arial" w:hAnsi="Arial" w:cs="Arial"/>
          <w:sz w:val="20"/>
        </w:rPr>
        <w:t xml:space="preserve">. </w:t>
      </w:r>
      <w:r w:rsidR="005D34E4" w:rsidRPr="00245FC3">
        <w:rPr>
          <w:rFonts w:ascii="Arial" w:hAnsi="Arial" w:cs="Arial"/>
          <w:sz w:val="20"/>
        </w:rPr>
        <w:t>EAVP apimtyje –</w:t>
      </w:r>
      <w:r w:rsidR="00D31B3A">
        <w:rPr>
          <w:rFonts w:ascii="Arial" w:hAnsi="Arial" w:cs="Arial"/>
          <w:sz w:val="20"/>
        </w:rPr>
        <w:t xml:space="preserve"> tik </w:t>
      </w:r>
      <w:r w:rsidR="005D34E4" w:rsidRPr="00245FC3">
        <w:rPr>
          <w:rFonts w:ascii="Arial" w:hAnsi="Arial" w:cs="Arial"/>
          <w:sz w:val="20"/>
        </w:rPr>
        <w:t>„4 Prioriteto. Esminė eko</w:t>
      </w:r>
      <w:r w:rsidR="0047176E">
        <w:rPr>
          <w:rFonts w:ascii="Arial" w:hAnsi="Arial" w:cs="Arial"/>
          <w:sz w:val="20"/>
        </w:rPr>
        <w:t>nominė infrastruktūra“ projektams</w:t>
      </w:r>
      <w:r w:rsidR="005D34E4" w:rsidRPr="00245FC3">
        <w:rPr>
          <w:rFonts w:ascii="Arial" w:hAnsi="Arial" w:cs="Arial"/>
          <w:sz w:val="20"/>
        </w:rPr>
        <w:t xml:space="preserve">. </w:t>
      </w:r>
      <w:r w:rsidR="00C83C6E" w:rsidRPr="00245FC3">
        <w:rPr>
          <w:rFonts w:ascii="Arial" w:hAnsi="Arial" w:cs="Arial"/>
          <w:sz w:val="20"/>
        </w:rPr>
        <w:t xml:space="preserve"> SSVP apimtyje – „1 Prioriteto. Vietinė ir urbanistinė plėtra, kultūros paveldo ir gamtos išsaugojimas bei pritaikymas turizmo plėtrai“, „2 Prioriteto. Viešųjų paslaugų kokybė ir prieinamumas: sveikatos, švietimo ir socialinė infrastruktūra“ ir „3 Prioriteto. Aplinka</w:t>
      </w:r>
      <w:r w:rsidR="0047176E">
        <w:rPr>
          <w:rFonts w:ascii="Arial" w:hAnsi="Arial" w:cs="Arial"/>
          <w:sz w:val="20"/>
        </w:rPr>
        <w:t xml:space="preserve"> ir darnus vystymasis“ projektams</w:t>
      </w:r>
      <w:r w:rsidR="00C83C6E" w:rsidRPr="00245FC3">
        <w:rPr>
          <w:rFonts w:ascii="Arial" w:hAnsi="Arial" w:cs="Arial"/>
          <w:sz w:val="20"/>
        </w:rPr>
        <w:t>. Taigi invest</w:t>
      </w:r>
      <w:r w:rsidR="00D31B3A">
        <w:rPr>
          <w:rFonts w:ascii="Arial" w:hAnsi="Arial" w:cs="Arial"/>
          <w:sz w:val="20"/>
        </w:rPr>
        <w:t xml:space="preserve">uojama buvo į užimtumo didinimą ir </w:t>
      </w:r>
      <w:r w:rsidR="00C83C6E" w:rsidRPr="00245FC3">
        <w:rPr>
          <w:rFonts w:ascii="Arial" w:hAnsi="Arial" w:cs="Arial"/>
          <w:sz w:val="20"/>
        </w:rPr>
        <w:t>viešojo valdymo tobulinimą,</w:t>
      </w:r>
      <w:r w:rsidR="00D31B3A">
        <w:rPr>
          <w:rFonts w:ascii="Arial" w:hAnsi="Arial" w:cs="Arial"/>
          <w:sz w:val="20"/>
        </w:rPr>
        <w:t xml:space="preserve"> ekonominę infrastruktūrą,</w:t>
      </w:r>
      <w:r w:rsidR="00180338" w:rsidRPr="00245FC3">
        <w:rPr>
          <w:rFonts w:ascii="Arial" w:hAnsi="Arial" w:cs="Arial"/>
          <w:sz w:val="20"/>
        </w:rPr>
        <w:t xml:space="preserve"> </w:t>
      </w:r>
      <w:r w:rsidR="00C83C6E" w:rsidRPr="00245FC3">
        <w:rPr>
          <w:rFonts w:ascii="Arial" w:hAnsi="Arial" w:cs="Arial"/>
          <w:sz w:val="20"/>
        </w:rPr>
        <w:t xml:space="preserve">miestų plėtrą ir paveldo išsaugojimo, viešųjų paslaugų kokybę ir aplinkosaugą. Daugiausiai buvo investuojama į </w:t>
      </w:r>
      <w:r w:rsidR="00C83C6E" w:rsidRPr="00245FC3">
        <w:rPr>
          <w:rFonts w:ascii="Arial" w:hAnsi="Arial" w:cs="Arial"/>
          <w:sz w:val="20"/>
        </w:rPr>
        <w:lastRenderedPageBreak/>
        <w:t xml:space="preserve">gamybinį kapitalą; didžioji dalis investicijų įgyvendintos pasitelkiant vertikaliai darnaus vystymosi horizontalų prioritetą integruojančias priemones. </w:t>
      </w:r>
    </w:p>
    <w:p w:rsidR="003B6A9C" w:rsidRPr="00245FC3" w:rsidRDefault="003B6A9C" w:rsidP="003B6A9C">
      <w:pPr>
        <w:pStyle w:val="Caption"/>
        <w:keepNext/>
      </w:pPr>
      <w:r w:rsidRPr="00245FC3">
        <w:fldChar w:fldCharType="begin"/>
      </w:r>
      <w:r w:rsidRPr="00245FC3">
        <w:instrText xml:space="preserve"> SEQ paveikslas \* ARABIC </w:instrText>
      </w:r>
      <w:r w:rsidRPr="00245FC3">
        <w:fldChar w:fldCharType="separate"/>
      </w:r>
      <w:r w:rsidR="00E41636" w:rsidRPr="00245FC3">
        <w:t>2</w:t>
      </w:r>
      <w:r w:rsidRPr="00245FC3">
        <w:fldChar w:fldCharType="end"/>
      </w:r>
      <w:r w:rsidRPr="00245FC3">
        <w:t xml:space="preserve"> paveikslas. Veiksmų programų prioritetų finansavimas (</w:t>
      </w:r>
      <w:r w:rsidR="00C849C4" w:rsidRPr="00245FC3">
        <w:t>dalis nuo visos VP)</w:t>
      </w:r>
    </w:p>
    <w:p w:rsidR="00A2570C" w:rsidRPr="00245FC3" w:rsidRDefault="0047176E" w:rsidP="0047176E">
      <w:pPr>
        <w:jc w:val="both"/>
        <w:rPr>
          <w:b/>
        </w:rPr>
      </w:pPr>
      <w:r w:rsidRPr="00245FC3">
        <w:rPr>
          <w:rFonts w:ascii="Arial" w:hAnsi="Arial" w:cs="Arial"/>
          <w:noProof/>
          <w:sz w:val="20"/>
          <w:lang w:val="en-US"/>
        </w:rPr>
        <w:drawing>
          <wp:anchor distT="0" distB="0" distL="114300" distR="114300" simplePos="0" relativeHeight="251672576" behindDoc="0" locked="0" layoutInCell="1" allowOverlap="1" wp14:anchorId="1DEFECC1" wp14:editId="185A79F0">
            <wp:simplePos x="0" y="0"/>
            <wp:positionH relativeFrom="margin">
              <wp:posOffset>13335</wp:posOffset>
            </wp:positionH>
            <wp:positionV relativeFrom="paragraph">
              <wp:posOffset>40640</wp:posOffset>
            </wp:positionV>
            <wp:extent cx="4676775" cy="1724025"/>
            <wp:effectExtent l="0" t="0" r="9525" b="952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761250" w:rsidRPr="00245FC3">
        <w:t xml:space="preserve">Šaltinis: </w:t>
      </w:r>
      <w:hyperlink r:id="rId15" w:history="1">
        <w:r w:rsidR="00FF20FA" w:rsidRPr="00245FC3">
          <w:rPr>
            <w:rStyle w:val="Hyperlink"/>
          </w:rPr>
          <w:t>www.esparama.lt</w:t>
        </w:r>
      </w:hyperlink>
    </w:p>
    <w:p w:rsidR="00FF20FA" w:rsidRPr="00245FC3" w:rsidRDefault="00FF20FA" w:rsidP="00FF20FA">
      <w:pPr>
        <w:jc w:val="both"/>
        <w:rPr>
          <w:rFonts w:ascii="Arial" w:eastAsia="MS PGothic" w:hAnsi="Arial" w:cs="Times New Roman"/>
          <w:sz w:val="20"/>
          <w:szCs w:val="24"/>
        </w:rPr>
      </w:pPr>
      <w:r w:rsidRPr="00245FC3">
        <w:rPr>
          <w:rFonts w:ascii="Arial" w:eastAsia="MS PGothic" w:hAnsi="Arial" w:cs="Times New Roman"/>
          <w:sz w:val="20"/>
          <w:szCs w:val="24"/>
        </w:rPr>
        <w:t xml:space="preserve">Atlikus įgyvendintų projektų analizę, nustatyta, kad ŽIPVP 1 prioriteto apimtyje daugiausiai finansuoti su </w:t>
      </w:r>
      <w:r w:rsidR="00AF7F8C">
        <w:rPr>
          <w:rFonts w:ascii="Arial" w:eastAsia="MS PGothic" w:hAnsi="Arial" w:cs="Times New Roman"/>
          <w:sz w:val="20"/>
          <w:szCs w:val="24"/>
        </w:rPr>
        <w:t>pažeidžiamų tikslinių grupių ir asmenų, sergančių priklausomybės ligomis, integracija susiję</w:t>
      </w:r>
      <w:r w:rsidR="00245FC3" w:rsidRPr="00245FC3">
        <w:rPr>
          <w:rFonts w:ascii="Arial" w:eastAsia="MS PGothic" w:hAnsi="Arial" w:cs="Times New Roman"/>
          <w:sz w:val="20"/>
          <w:szCs w:val="24"/>
        </w:rPr>
        <w:t xml:space="preserve"> projektai;</w:t>
      </w:r>
      <w:r w:rsidRPr="00245FC3">
        <w:rPr>
          <w:rFonts w:ascii="Arial" w:eastAsia="MS PGothic" w:hAnsi="Arial" w:cs="Times New Roman"/>
          <w:sz w:val="20"/>
          <w:szCs w:val="24"/>
        </w:rPr>
        <w:t xml:space="preserve"> </w:t>
      </w:r>
      <w:r w:rsidR="00245FC3" w:rsidRPr="00245FC3">
        <w:rPr>
          <w:rFonts w:ascii="Arial" w:eastAsia="MS PGothic" w:hAnsi="Arial" w:cs="Times New Roman"/>
          <w:sz w:val="20"/>
          <w:szCs w:val="24"/>
        </w:rPr>
        <w:t>taigi</w:t>
      </w:r>
      <w:r w:rsidRPr="00245FC3">
        <w:rPr>
          <w:rFonts w:ascii="Arial" w:eastAsia="MS PGothic" w:hAnsi="Arial" w:cs="Times New Roman"/>
          <w:sz w:val="20"/>
          <w:szCs w:val="24"/>
        </w:rPr>
        <w:t xml:space="preserve"> aktyvioms užimtumo skatinimo/ nedarbo priemonėms </w:t>
      </w:r>
      <w:r w:rsidR="00AF7F8C">
        <w:rPr>
          <w:rFonts w:ascii="Arial" w:eastAsia="MS PGothic" w:hAnsi="Arial" w:cs="Times New Roman"/>
          <w:sz w:val="20"/>
          <w:szCs w:val="24"/>
        </w:rPr>
        <w:t>skirtas dėmesys buvo ribotas</w:t>
      </w:r>
      <w:r w:rsidRPr="00245FC3">
        <w:rPr>
          <w:rFonts w:ascii="Arial" w:eastAsia="MS PGothic" w:hAnsi="Arial" w:cs="Times New Roman"/>
          <w:sz w:val="20"/>
          <w:szCs w:val="24"/>
        </w:rPr>
        <w:t>.</w:t>
      </w:r>
      <w:r w:rsidR="00AF7F8C">
        <w:rPr>
          <w:rFonts w:ascii="Arial" w:eastAsia="MS PGothic" w:hAnsi="Arial" w:cs="Times New Roman"/>
          <w:sz w:val="20"/>
          <w:szCs w:val="24"/>
        </w:rPr>
        <w:t xml:space="preserve"> </w:t>
      </w:r>
      <w:r w:rsidR="00D62EB8" w:rsidRPr="00245FC3">
        <w:rPr>
          <w:rFonts w:ascii="Arial" w:eastAsia="MS PGothic" w:hAnsi="Arial" w:cs="Times New Roman"/>
          <w:sz w:val="20"/>
          <w:szCs w:val="24"/>
        </w:rPr>
        <w:t xml:space="preserve">ŽIPVP 4 prioriteto projektai iš esmės atitiko ir kitose probleminėse teritorijose įgyvendintas viešojo valdymo tobulinimo priemones: viešojo administravimo įstaigų darbuotojų kvalifikacijos kėlimas, strateginio ir teritorijų planavimo dokumentų rengimas. EAVP </w:t>
      </w:r>
      <w:r w:rsidR="00AF7F8C">
        <w:rPr>
          <w:rFonts w:ascii="Arial" w:eastAsia="MS PGothic" w:hAnsi="Arial" w:cs="Times New Roman"/>
          <w:sz w:val="20"/>
          <w:szCs w:val="24"/>
        </w:rPr>
        <w:t xml:space="preserve">projektai buvo įgyvendinami tik </w:t>
      </w:r>
      <w:r w:rsidR="00AF7F8C">
        <w:rPr>
          <w:rFonts w:ascii="Arial" w:eastAsia="MS PGothic" w:hAnsi="Arial" w:cs="Times New Roman"/>
          <w:sz w:val="20"/>
          <w:szCs w:val="24"/>
          <w:lang w:val="en-US"/>
        </w:rPr>
        <w:t>4</w:t>
      </w:r>
      <w:r w:rsidR="00AF7F8C">
        <w:rPr>
          <w:rFonts w:ascii="Arial" w:eastAsia="MS PGothic" w:hAnsi="Arial" w:cs="Times New Roman"/>
          <w:sz w:val="20"/>
          <w:szCs w:val="24"/>
        </w:rPr>
        <w:t xml:space="preserve"> prioriteto priemonių apimtyje, o savo turiniu dažniausiai buvo orientuoti į gatvių tiesimą ir rekonstravimą arba centralizuotų šilumos tiekimo tinklų renovaciją</w:t>
      </w:r>
      <w:r w:rsidR="00D62EB8" w:rsidRPr="00245FC3">
        <w:rPr>
          <w:rFonts w:ascii="Arial" w:eastAsia="MS PGothic" w:hAnsi="Arial" w:cs="Times New Roman"/>
          <w:sz w:val="20"/>
          <w:szCs w:val="24"/>
        </w:rPr>
        <w:t>. SSVP</w:t>
      </w:r>
      <w:r w:rsidR="00242947" w:rsidRPr="00245FC3">
        <w:rPr>
          <w:rFonts w:ascii="Arial" w:eastAsia="MS PGothic" w:hAnsi="Arial" w:cs="Times New Roman"/>
          <w:sz w:val="20"/>
          <w:szCs w:val="24"/>
        </w:rPr>
        <w:t xml:space="preserve"> 1 prioriteto</w:t>
      </w:r>
      <w:r w:rsidR="00D62EB8" w:rsidRPr="00245FC3">
        <w:rPr>
          <w:rFonts w:ascii="Arial" w:eastAsia="MS PGothic" w:hAnsi="Arial" w:cs="Times New Roman"/>
          <w:sz w:val="20"/>
          <w:szCs w:val="24"/>
        </w:rPr>
        <w:t xml:space="preserve"> </w:t>
      </w:r>
      <w:r w:rsidR="000252B1">
        <w:rPr>
          <w:rFonts w:ascii="Arial" w:eastAsia="MS PGothic" w:hAnsi="Arial" w:cs="Times New Roman"/>
          <w:sz w:val="20"/>
          <w:szCs w:val="24"/>
        </w:rPr>
        <w:t xml:space="preserve">priemonių apimtyje įgyvendinti </w:t>
      </w:r>
      <w:r w:rsidR="00D62EB8" w:rsidRPr="00245FC3">
        <w:rPr>
          <w:rFonts w:ascii="Arial" w:eastAsia="MS PGothic" w:hAnsi="Arial" w:cs="Times New Roman"/>
          <w:sz w:val="20"/>
          <w:szCs w:val="24"/>
        </w:rPr>
        <w:t>kompl</w:t>
      </w:r>
      <w:r w:rsidR="000252B1">
        <w:rPr>
          <w:rFonts w:ascii="Arial" w:eastAsia="MS PGothic" w:hAnsi="Arial" w:cs="Times New Roman"/>
          <w:sz w:val="20"/>
          <w:szCs w:val="24"/>
        </w:rPr>
        <w:t xml:space="preserve">eksinio gyvenamosios aplinkos </w:t>
      </w:r>
      <w:r w:rsidR="00D62EB8" w:rsidRPr="00245FC3">
        <w:rPr>
          <w:rFonts w:ascii="Arial" w:eastAsia="MS PGothic" w:hAnsi="Arial" w:cs="Times New Roman"/>
          <w:sz w:val="20"/>
          <w:szCs w:val="24"/>
        </w:rPr>
        <w:t>tvarkymo</w:t>
      </w:r>
      <w:r w:rsidR="00AF7F8C">
        <w:rPr>
          <w:rFonts w:ascii="Arial" w:eastAsia="MS PGothic" w:hAnsi="Arial" w:cs="Times New Roman"/>
          <w:sz w:val="20"/>
          <w:szCs w:val="24"/>
        </w:rPr>
        <w:t>, socialinio būsto plėtros ir renovacijos bei</w:t>
      </w:r>
      <w:r w:rsidR="000252B1">
        <w:rPr>
          <w:rFonts w:ascii="Arial" w:eastAsia="MS PGothic" w:hAnsi="Arial" w:cs="Times New Roman"/>
          <w:sz w:val="20"/>
          <w:szCs w:val="24"/>
        </w:rPr>
        <w:t xml:space="preserve"> </w:t>
      </w:r>
      <w:r w:rsidR="00AF7F8C">
        <w:rPr>
          <w:rFonts w:ascii="Arial" w:eastAsia="MS PGothic" w:hAnsi="Arial" w:cs="Times New Roman"/>
          <w:sz w:val="20"/>
          <w:szCs w:val="24"/>
        </w:rPr>
        <w:t>turizm</w:t>
      </w:r>
      <w:r w:rsidR="000252B1">
        <w:rPr>
          <w:rFonts w:ascii="Arial" w:eastAsia="MS PGothic" w:hAnsi="Arial" w:cs="Times New Roman"/>
          <w:sz w:val="20"/>
          <w:szCs w:val="24"/>
        </w:rPr>
        <w:t>o infrastruktūros plėtros, tobulinimo, renovacijos</w:t>
      </w:r>
      <w:r w:rsidR="00D62EB8" w:rsidRPr="00245FC3">
        <w:rPr>
          <w:rFonts w:ascii="Arial" w:eastAsia="MS PGothic" w:hAnsi="Arial" w:cs="Times New Roman"/>
          <w:sz w:val="20"/>
          <w:szCs w:val="24"/>
        </w:rPr>
        <w:t xml:space="preserve"> projektai. </w:t>
      </w:r>
      <w:r w:rsidR="00242947" w:rsidRPr="00245FC3">
        <w:rPr>
          <w:rFonts w:ascii="Arial" w:eastAsia="MS PGothic" w:hAnsi="Arial" w:cs="Times New Roman"/>
          <w:sz w:val="20"/>
          <w:szCs w:val="24"/>
        </w:rPr>
        <w:t>2 prioriteto projektai orientuoti į socialinių</w:t>
      </w:r>
      <w:r w:rsidR="00AF7F8C">
        <w:rPr>
          <w:rFonts w:ascii="Arial" w:eastAsia="MS PGothic" w:hAnsi="Arial" w:cs="Times New Roman"/>
          <w:sz w:val="20"/>
          <w:szCs w:val="24"/>
        </w:rPr>
        <w:t>, švietimo</w:t>
      </w:r>
      <w:r w:rsidR="00242947" w:rsidRPr="00245FC3">
        <w:rPr>
          <w:rFonts w:ascii="Arial" w:eastAsia="MS PGothic" w:hAnsi="Arial" w:cs="Times New Roman"/>
          <w:sz w:val="20"/>
          <w:szCs w:val="24"/>
        </w:rPr>
        <w:t xml:space="preserve"> paslaugų ir </w:t>
      </w:r>
      <w:r w:rsidR="000252B1">
        <w:rPr>
          <w:rFonts w:ascii="Arial" w:eastAsia="MS PGothic" w:hAnsi="Arial" w:cs="Times New Roman"/>
          <w:sz w:val="20"/>
          <w:szCs w:val="24"/>
        </w:rPr>
        <w:t>sveik</w:t>
      </w:r>
      <w:r w:rsidR="00AF7F8C">
        <w:rPr>
          <w:rFonts w:ascii="Arial" w:eastAsia="MS PGothic" w:hAnsi="Arial" w:cs="Times New Roman"/>
          <w:sz w:val="20"/>
          <w:szCs w:val="24"/>
        </w:rPr>
        <w:t>atos apsaugos</w:t>
      </w:r>
      <w:r w:rsidR="00242947" w:rsidRPr="00245FC3">
        <w:rPr>
          <w:rFonts w:ascii="Arial" w:eastAsia="MS PGothic" w:hAnsi="Arial" w:cs="Times New Roman"/>
          <w:sz w:val="20"/>
          <w:szCs w:val="24"/>
        </w:rPr>
        <w:t xml:space="preserve"> infrastruktūros tobulinimą, tuo tarpu 3 prioriteto apimtyje įgyvendinti</w:t>
      </w:r>
      <w:r w:rsidR="000252B1">
        <w:rPr>
          <w:rFonts w:ascii="Arial" w:eastAsia="MS PGothic" w:hAnsi="Arial" w:cs="Times New Roman"/>
          <w:sz w:val="20"/>
          <w:szCs w:val="24"/>
        </w:rPr>
        <w:t xml:space="preserve"> </w:t>
      </w:r>
      <w:r w:rsidR="00AF7F8C">
        <w:rPr>
          <w:rFonts w:ascii="Arial" w:eastAsia="MS PGothic" w:hAnsi="Arial" w:cs="Times New Roman"/>
          <w:sz w:val="20"/>
          <w:szCs w:val="24"/>
        </w:rPr>
        <w:t xml:space="preserve">viešosios paskirties </w:t>
      </w:r>
      <w:r w:rsidR="000252B1">
        <w:rPr>
          <w:rFonts w:ascii="Arial" w:eastAsia="MS PGothic" w:hAnsi="Arial" w:cs="Times New Roman"/>
          <w:sz w:val="20"/>
          <w:szCs w:val="24"/>
        </w:rPr>
        <w:t>pastatų renovacijos,</w:t>
      </w:r>
      <w:r w:rsidR="00242947" w:rsidRPr="00245FC3">
        <w:rPr>
          <w:rFonts w:ascii="Arial" w:eastAsia="MS PGothic" w:hAnsi="Arial" w:cs="Times New Roman"/>
          <w:sz w:val="20"/>
          <w:szCs w:val="24"/>
        </w:rPr>
        <w:t xml:space="preserve"> </w:t>
      </w:r>
      <w:r w:rsidR="00AF7F8C">
        <w:rPr>
          <w:rFonts w:ascii="Arial" w:eastAsia="MS PGothic" w:hAnsi="Arial" w:cs="Times New Roman"/>
          <w:sz w:val="20"/>
          <w:szCs w:val="24"/>
        </w:rPr>
        <w:t>vandens tiekimo ir nuotekų tvarkymo</w:t>
      </w:r>
      <w:r w:rsidR="001E3402">
        <w:rPr>
          <w:rFonts w:ascii="Arial" w:eastAsia="MS PGothic" w:hAnsi="Arial" w:cs="Times New Roman"/>
          <w:sz w:val="20"/>
          <w:szCs w:val="24"/>
        </w:rPr>
        <w:t xml:space="preserve"> </w:t>
      </w:r>
      <w:r w:rsidR="00242947" w:rsidRPr="00245FC3">
        <w:rPr>
          <w:rFonts w:ascii="Arial" w:eastAsia="MS PGothic" w:hAnsi="Arial" w:cs="Times New Roman"/>
          <w:sz w:val="20"/>
          <w:szCs w:val="24"/>
        </w:rPr>
        <w:t xml:space="preserve">projektai. </w:t>
      </w:r>
      <w:r w:rsidR="00C849C4" w:rsidRPr="00245FC3">
        <w:rPr>
          <w:rFonts w:ascii="Arial" w:eastAsia="MS PGothic" w:hAnsi="Arial" w:cs="Times New Roman"/>
          <w:sz w:val="20"/>
          <w:szCs w:val="24"/>
        </w:rPr>
        <w:t>Pastebėtina tendencija, kad daugiausiai</w:t>
      </w:r>
      <w:r w:rsidR="000252B1">
        <w:rPr>
          <w:rFonts w:ascii="Arial" w:eastAsia="MS PGothic" w:hAnsi="Arial" w:cs="Times New Roman"/>
          <w:sz w:val="20"/>
          <w:szCs w:val="24"/>
        </w:rPr>
        <w:t>, kaip ir kitose probleminių teritorijų savivaldybėse,</w:t>
      </w:r>
      <w:r w:rsidR="00C849C4" w:rsidRPr="00245FC3">
        <w:rPr>
          <w:rFonts w:ascii="Arial" w:eastAsia="MS PGothic" w:hAnsi="Arial" w:cs="Times New Roman"/>
          <w:sz w:val="20"/>
          <w:szCs w:val="24"/>
        </w:rPr>
        <w:t xml:space="preserve"> investuota srityse, kur vyravo</w:t>
      </w:r>
      <w:r w:rsidR="004535C0">
        <w:rPr>
          <w:rFonts w:ascii="Arial" w:eastAsia="MS PGothic" w:hAnsi="Arial" w:cs="Times New Roman"/>
          <w:sz w:val="20"/>
          <w:szCs w:val="24"/>
        </w:rPr>
        <w:t xml:space="preserve"> valstybės ir regionų projektų</w:t>
      </w:r>
      <w:r w:rsidR="000252B1">
        <w:rPr>
          <w:rFonts w:ascii="Arial" w:eastAsia="MS PGothic" w:hAnsi="Arial" w:cs="Times New Roman"/>
          <w:sz w:val="20"/>
          <w:szCs w:val="24"/>
        </w:rPr>
        <w:t xml:space="preserve"> planavimo priemonės</w:t>
      </w:r>
      <w:r w:rsidR="00AF7F8C">
        <w:rPr>
          <w:rFonts w:ascii="Arial" w:eastAsia="MS PGothic" w:hAnsi="Arial" w:cs="Times New Roman"/>
          <w:sz w:val="20"/>
          <w:szCs w:val="24"/>
        </w:rPr>
        <w:t>.</w:t>
      </w:r>
    </w:p>
    <w:p w:rsidR="00A2570C" w:rsidRPr="00245FC3" w:rsidRDefault="00A2570C" w:rsidP="00C849C4">
      <w:pPr>
        <w:pStyle w:val="Heading1"/>
        <w:numPr>
          <w:ilvl w:val="1"/>
          <w:numId w:val="1"/>
        </w:numPr>
        <w:spacing w:before="360"/>
        <w:rPr>
          <w:rFonts w:ascii="Arial" w:hAnsi="Arial" w:cs="Arial"/>
          <w:b w:val="0"/>
          <w:sz w:val="28"/>
          <w:szCs w:val="28"/>
        </w:rPr>
      </w:pPr>
      <w:r w:rsidRPr="00245FC3">
        <w:rPr>
          <w:rFonts w:ascii="Arial" w:hAnsi="Arial" w:cs="Arial"/>
          <w:b w:val="0"/>
          <w:sz w:val="28"/>
          <w:szCs w:val="28"/>
        </w:rPr>
        <w:t>Rodiklių analizė</w:t>
      </w:r>
    </w:p>
    <w:p w:rsidR="002B4036" w:rsidRPr="00245FC3" w:rsidRDefault="002B4036" w:rsidP="002B4036">
      <w:pPr>
        <w:jc w:val="both"/>
        <w:rPr>
          <w:rFonts w:ascii="Arial" w:eastAsia="MS PGothic" w:hAnsi="Arial" w:cs="Times New Roman"/>
          <w:sz w:val="20"/>
          <w:szCs w:val="24"/>
        </w:rPr>
      </w:pPr>
      <w:r w:rsidRPr="00245FC3">
        <w:rPr>
          <w:rFonts w:ascii="Arial" w:eastAsia="MS PGothic" w:hAnsi="Arial" w:cs="Times New Roman"/>
          <w:sz w:val="20"/>
          <w:szCs w:val="24"/>
        </w:rPr>
        <w:t>Atliekant atvejo studiją buvo vertinti trijų rūšių – aplinkos taršos, demografiniai ir ekonominės veiklos – rodikliai. Aplinkos taršos rodikliai apėmė išvalytų iki normos nuotekų kiekius, išmetamų teršalų kiekius, sieros dioksido (SO</w:t>
      </w:r>
      <w:r w:rsidRPr="00245FC3">
        <w:rPr>
          <w:rFonts w:ascii="Arial" w:eastAsia="MS PGothic" w:hAnsi="Arial" w:cs="Times New Roman"/>
          <w:sz w:val="20"/>
          <w:szCs w:val="24"/>
          <w:vertAlign w:val="subscript"/>
        </w:rPr>
        <w:t>2</w:t>
      </w:r>
      <w:r w:rsidRPr="00245FC3">
        <w:rPr>
          <w:rFonts w:ascii="Arial" w:eastAsia="MS PGothic" w:hAnsi="Arial" w:cs="Times New Roman"/>
          <w:sz w:val="20"/>
          <w:szCs w:val="24"/>
        </w:rPr>
        <w:t>)</w:t>
      </w:r>
      <w:r w:rsidRPr="00245FC3">
        <w:rPr>
          <w:rFonts w:ascii="Arial" w:eastAsia="MS PGothic" w:hAnsi="Arial" w:cs="Times New Roman"/>
          <w:sz w:val="20"/>
          <w:szCs w:val="24"/>
          <w:vertAlign w:val="subscript"/>
        </w:rPr>
        <w:t>,</w:t>
      </w:r>
      <w:r w:rsidRPr="00245FC3">
        <w:rPr>
          <w:rFonts w:ascii="Arial" w:eastAsia="MS PGothic" w:hAnsi="Arial" w:cs="Times New Roman"/>
          <w:sz w:val="20"/>
          <w:szCs w:val="24"/>
        </w:rPr>
        <w:t xml:space="preserve"> anglies monoksido (CO) rodiklius. Demografiniai rodikliai apėmė nuolatinių gyventojų skaičių, pensinio amžiaus ir darbingo amžiaus gyventojų dalį, bei </w:t>
      </w:r>
      <w:r w:rsidR="00594D44" w:rsidRPr="00245FC3">
        <w:rPr>
          <w:rFonts w:ascii="Arial" w:eastAsia="MS PGothic" w:hAnsi="Arial" w:cs="Times New Roman"/>
          <w:sz w:val="20"/>
          <w:szCs w:val="24"/>
        </w:rPr>
        <w:t xml:space="preserve">darbingo amžiaus </w:t>
      </w:r>
      <w:r w:rsidRPr="00245FC3">
        <w:rPr>
          <w:rFonts w:ascii="Arial" w:eastAsia="MS PGothic" w:hAnsi="Arial" w:cs="Times New Roman"/>
          <w:sz w:val="20"/>
          <w:szCs w:val="24"/>
        </w:rPr>
        <w:t xml:space="preserve">gyventojų skaičiaus ir registruotų bedarbių santykį. Ekonominės veiklos rodikliai </w:t>
      </w:r>
      <w:r w:rsidR="007F0777" w:rsidRPr="00245FC3">
        <w:rPr>
          <w:rFonts w:ascii="Arial" w:eastAsia="MS PGothic" w:hAnsi="Arial" w:cs="Times New Roman"/>
          <w:sz w:val="20"/>
          <w:szCs w:val="24"/>
        </w:rPr>
        <w:t>– pridėtinė vertė gamybos kainomis, materialinės investicijos to meto kainomis ir tiesioginės užsienio investicijos.</w:t>
      </w:r>
    </w:p>
    <w:p w:rsidR="00B76AF6" w:rsidRPr="00245FC3" w:rsidRDefault="007F0777" w:rsidP="00B76AF6">
      <w:pPr>
        <w:jc w:val="both"/>
        <w:rPr>
          <w:rFonts w:ascii="Arial" w:eastAsia="MS PGothic" w:hAnsi="Arial" w:cs="Times New Roman"/>
          <w:sz w:val="20"/>
          <w:szCs w:val="24"/>
        </w:rPr>
      </w:pPr>
      <w:r w:rsidRPr="00245FC3">
        <w:rPr>
          <w:rFonts w:ascii="Arial" w:eastAsia="MS PGothic" w:hAnsi="Arial" w:cs="Times New Roman"/>
          <w:sz w:val="20"/>
          <w:szCs w:val="24"/>
        </w:rPr>
        <w:t>Aplinkos</w:t>
      </w:r>
      <w:r w:rsidR="007349E9">
        <w:rPr>
          <w:rFonts w:ascii="Arial" w:eastAsia="MS PGothic" w:hAnsi="Arial" w:cs="Times New Roman"/>
          <w:sz w:val="20"/>
          <w:szCs w:val="24"/>
        </w:rPr>
        <w:t xml:space="preserve"> taršos rodiklių atveju stebimos ryškios bendro teršalų kiekio mažėjimo ir bendros aplinkos būklės gerėjimo tendencijos. </w:t>
      </w:r>
      <w:r w:rsidR="00AF7F8C">
        <w:rPr>
          <w:rFonts w:ascii="Arial" w:eastAsia="MS PGothic" w:hAnsi="Arial" w:cs="Times New Roman"/>
          <w:sz w:val="20"/>
          <w:szCs w:val="24"/>
        </w:rPr>
        <w:t xml:space="preserve">Nuo 2008 m. yra stebimas visų teršalų rūšių rodiklių mažėjimas. </w:t>
      </w:r>
      <w:r w:rsidR="00AF7F8C" w:rsidRPr="0017210B">
        <w:rPr>
          <w:rFonts w:ascii="Arial" w:eastAsia="MS PGothic" w:hAnsi="Arial" w:cs="Times New Roman"/>
          <w:sz w:val="20"/>
          <w:szCs w:val="24"/>
        </w:rPr>
        <w:t>Efektyviausiai savivaldybei pavyko susidoroti su anglies monoksido kiekio išm</w:t>
      </w:r>
      <w:r w:rsidR="00C6486A">
        <w:rPr>
          <w:rFonts w:ascii="Arial" w:eastAsia="MS PGothic" w:hAnsi="Arial" w:cs="Times New Roman"/>
          <w:sz w:val="20"/>
          <w:szCs w:val="24"/>
        </w:rPr>
        <w:t>etimo į orą mažinimu: rodiklio įvertis 200</w:t>
      </w:r>
      <w:r w:rsidR="00C6486A">
        <w:rPr>
          <w:rFonts w:ascii="Arial" w:eastAsia="MS PGothic" w:hAnsi="Arial" w:cs="Times New Roman"/>
          <w:sz w:val="20"/>
          <w:szCs w:val="24"/>
          <w:lang w:val="en-US"/>
        </w:rPr>
        <w:t>7</w:t>
      </w:r>
      <w:r w:rsidR="00C6486A">
        <w:rPr>
          <w:rFonts w:ascii="Arial" w:eastAsia="MS PGothic" w:hAnsi="Arial" w:cs="Times New Roman"/>
          <w:sz w:val="20"/>
          <w:szCs w:val="24"/>
        </w:rPr>
        <w:t xml:space="preserve"> – 2013</w:t>
      </w:r>
      <w:r w:rsidR="00AF7F8C" w:rsidRPr="0017210B">
        <w:rPr>
          <w:rFonts w:ascii="Arial" w:eastAsia="MS PGothic" w:hAnsi="Arial" w:cs="Times New Roman"/>
          <w:sz w:val="20"/>
          <w:szCs w:val="24"/>
        </w:rPr>
        <w:t xml:space="preserve"> m</w:t>
      </w:r>
      <w:r w:rsidR="00C6486A">
        <w:rPr>
          <w:rFonts w:ascii="Arial" w:eastAsia="MS PGothic" w:hAnsi="Arial" w:cs="Times New Roman"/>
          <w:sz w:val="20"/>
          <w:szCs w:val="24"/>
        </w:rPr>
        <w:t>. laikotarpiu</w:t>
      </w:r>
      <w:r w:rsidR="00AF7F8C" w:rsidRPr="0017210B">
        <w:rPr>
          <w:rFonts w:ascii="Arial" w:eastAsia="MS PGothic" w:hAnsi="Arial" w:cs="Times New Roman"/>
          <w:sz w:val="20"/>
          <w:szCs w:val="24"/>
        </w:rPr>
        <w:t xml:space="preserve"> </w:t>
      </w:r>
      <w:r w:rsidR="00C6486A">
        <w:rPr>
          <w:rFonts w:ascii="Arial" w:eastAsia="MS PGothic" w:hAnsi="Arial" w:cs="Times New Roman"/>
          <w:sz w:val="20"/>
          <w:szCs w:val="24"/>
        </w:rPr>
        <w:t>sumažėjo 84.02%</w:t>
      </w:r>
      <w:r w:rsidR="00AF7F8C" w:rsidRPr="0017210B">
        <w:rPr>
          <w:rFonts w:ascii="Arial" w:eastAsia="MS PGothic" w:hAnsi="Arial" w:cs="Times New Roman"/>
          <w:sz w:val="20"/>
          <w:szCs w:val="24"/>
        </w:rPr>
        <w:t>. Ne tokia pal</w:t>
      </w:r>
      <w:r w:rsidR="0048233F">
        <w:rPr>
          <w:rFonts w:ascii="Arial" w:eastAsia="MS PGothic" w:hAnsi="Arial" w:cs="Times New Roman"/>
          <w:sz w:val="20"/>
          <w:szCs w:val="24"/>
        </w:rPr>
        <w:t>anki situacija yra fiksuojama</w:t>
      </w:r>
      <w:r w:rsidR="00AF7F8C" w:rsidRPr="0017210B">
        <w:rPr>
          <w:rFonts w:ascii="Arial" w:eastAsia="MS PGothic" w:hAnsi="Arial" w:cs="Times New Roman"/>
          <w:sz w:val="20"/>
          <w:szCs w:val="24"/>
        </w:rPr>
        <w:t xml:space="preserve"> </w:t>
      </w:r>
      <w:r w:rsidR="0048233F">
        <w:rPr>
          <w:rFonts w:ascii="Arial" w:eastAsia="MS PGothic" w:hAnsi="Arial" w:cs="Times New Roman"/>
          <w:sz w:val="20"/>
          <w:szCs w:val="24"/>
        </w:rPr>
        <w:t>kietųjų medžiagų kiekio mažinimo srityje</w:t>
      </w:r>
      <w:r w:rsidR="00AF7F8C" w:rsidRPr="0017210B">
        <w:rPr>
          <w:rFonts w:ascii="Arial" w:eastAsia="MS PGothic" w:hAnsi="Arial" w:cs="Times New Roman"/>
          <w:sz w:val="20"/>
          <w:szCs w:val="24"/>
        </w:rPr>
        <w:t>. Nors per pirmuosius penkis metus buvo stebimas mažėjimas, 2011 m situacija radikaliai pasikeitė.</w:t>
      </w:r>
      <w:r w:rsidR="00932D14">
        <w:rPr>
          <w:rFonts w:ascii="Arial" w:eastAsia="MS PGothic" w:hAnsi="Arial" w:cs="Times New Roman"/>
          <w:sz w:val="20"/>
          <w:szCs w:val="24"/>
        </w:rPr>
        <w:t xml:space="preserve"> Dėl suaktyvėjusiuos ekonominės veiklos, p</w:t>
      </w:r>
      <w:r w:rsidR="00AF7F8C" w:rsidRPr="0017210B">
        <w:rPr>
          <w:rFonts w:ascii="Arial" w:eastAsia="MS PGothic" w:hAnsi="Arial" w:cs="Times New Roman"/>
          <w:sz w:val="20"/>
          <w:szCs w:val="24"/>
        </w:rPr>
        <w:t>er vienerius metus išmetamų kietųjų dalelių kiekis išaugo daugiau nei 4 kartus. Vis dėlto įvertinus tokį neigiamą pokytį, vėl imta</w:t>
      </w:r>
      <w:r w:rsidR="00C6486A">
        <w:rPr>
          <w:rFonts w:ascii="Arial" w:eastAsia="MS PGothic" w:hAnsi="Arial" w:cs="Times New Roman"/>
          <w:sz w:val="20"/>
          <w:szCs w:val="24"/>
        </w:rPr>
        <w:t>si priemonių</w:t>
      </w:r>
      <w:r w:rsidR="00AF7F8C" w:rsidRPr="0017210B">
        <w:rPr>
          <w:rFonts w:ascii="Arial" w:eastAsia="MS PGothic" w:hAnsi="Arial" w:cs="Times New Roman"/>
          <w:sz w:val="20"/>
          <w:szCs w:val="24"/>
        </w:rPr>
        <w:t xml:space="preserve"> mažinti k</w:t>
      </w:r>
      <w:r w:rsidR="00C6486A">
        <w:rPr>
          <w:rFonts w:ascii="Arial" w:eastAsia="MS PGothic" w:hAnsi="Arial" w:cs="Times New Roman"/>
          <w:sz w:val="20"/>
          <w:szCs w:val="24"/>
        </w:rPr>
        <w:t xml:space="preserve">ietųjų dalelių kiekį. </w:t>
      </w:r>
      <w:r w:rsidR="00AF7F8C" w:rsidRPr="0017210B">
        <w:rPr>
          <w:rFonts w:ascii="Arial" w:eastAsia="MS PGothic" w:hAnsi="Arial" w:cs="Times New Roman"/>
          <w:sz w:val="20"/>
          <w:szCs w:val="24"/>
        </w:rPr>
        <w:t xml:space="preserve">Verta paminėti tai, kad lyginant </w:t>
      </w:r>
      <w:r w:rsidR="00AF7F8C">
        <w:rPr>
          <w:rFonts w:ascii="Arial" w:eastAsia="MS PGothic" w:hAnsi="Arial" w:cs="Times New Roman"/>
          <w:sz w:val="20"/>
          <w:szCs w:val="24"/>
        </w:rPr>
        <w:t xml:space="preserve">su </w:t>
      </w:r>
      <w:r w:rsidR="00AF7F8C" w:rsidRPr="0017210B">
        <w:rPr>
          <w:rFonts w:ascii="Arial" w:eastAsia="MS PGothic" w:hAnsi="Arial" w:cs="Times New Roman"/>
          <w:sz w:val="20"/>
          <w:szCs w:val="24"/>
        </w:rPr>
        <w:t>bendru teršalų kiekiu</w:t>
      </w:r>
      <w:r w:rsidR="00C6486A">
        <w:rPr>
          <w:rFonts w:ascii="Arial" w:eastAsia="MS PGothic" w:hAnsi="Arial" w:cs="Times New Roman"/>
          <w:sz w:val="20"/>
          <w:szCs w:val="24"/>
        </w:rPr>
        <w:t>,</w:t>
      </w:r>
      <w:r w:rsidR="00AF7F8C" w:rsidRPr="0017210B">
        <w:rPr>
          <w:rFonts w:ascii="Arial" w:eastAsia="MS PGothic" w:hAnsi="Arial" w:cs="Times New Roman"/>
          <w:sz w:val="20"/>
          <w:szCs w:val="24"/>
        </w:rPr>
        <w:t xml:space="preserve"> išskir</w:t>
      </w:r>
      <w:r w:rsidR="00C6486A">
        <w:rPr>
          <w:rFonts w:ascii="Arial" w:eastAsia="MS PGothic" w:hAnsi="Arial" w:cs="Times New Roman"/>
          <w:sz w:val="20"/>
          <w:szCs w:val="24"/>
        </w:rPr>
        <w:t>iamu Lietuvos Respublikoje 201</w:t>
      </w:r>
      <w:r w:rsidR="00C6486A">
        <w:rPr>
          <w:rFonts w:ascii="Arial" w:eastAsia="MS PGothic" w:hAnsi="Arial" w:cs="Times New Roman"/>
          <w:sz w:val="20"/>
          <w:szCs w:val="24"/>
          <w:lang w:val="en-US"/>
        </w:rPr>
        <w:t xml:space="preserve">4 </w:t>
      </w:r>
      <w:r w:rsidR="00C6486A">
        <w:rPr>
          <w:rFonts w:ascii="Arial" w:eastAsia="MS PGothic" w:hAnsi="Arial" w:cs="Times New Roman"/>
          <w:sz w:val="20"/>
          <w:szCs w:val="24"/>
        </w:rPr>
        <w:t xml:space="preserve"> m.</w:t>
      </w:r>
      <w:r w:rsidR="00AF7F8C" w:rsidRPr="0017210B">
        <w:rPr>
          <w:rFonts w:ascii="Arial" w:eastAsia="MS PGothic" w:hAnsi="Arial" w:cs="Times New Roman"/>
          <w:sz w:val="20"/>
          <w:szCs w:val="24"/>
        </w:rPr>
        <w:t xml:space="preserve">, Ignalinos </w:t>
      </w:r>
      <w:r w:rsidR="00AF7F8C" w:rsidRPr="0017210B">
        <w:rPr>
          <w:rFonts w:ascii="Arial" w:eastAsia="MS PGothic" w:hAnsi="Arial" w:cs="Times New Roman"/>
          <w:sz w:val="20"/>
          <w:szCs w:val="24"/>
        </w:rPr>
        <w:lastRenderedPageBreak/>
        <w:t>savivaldybėje išmetamas teršalų kiekis sudarė 0.11%,</w:t>
      </w:r>
      <w:r w:rsidR="00C6486A">
        <w:rPr>
          <w:rFonts w:ascii="Arial" w:eastAsia="MS PGothic" w:hAnsi="Arial" w:cs="Times New Roman"/>
          <w:sz w:val="20"/>
          <w:szCs w:val="24"/>
        </w:rPr>
        <w:t xml:space="preserve"> o</w:t>
      </w:r>
      <w:r w:rsidR="00AF7F8C" w:rsidRPr="0017210B">
        <w:rPr>
          <w:rFonts w:ascii="Arial" w:eastAsia="MS PGothic" w:hAnsi="Arial" w:cs="Times New Roman"/>
          <w:sz w:val="20"/>
          <w:szCs w:val="24"/>
        </w:rPr>
        <w:t xml:space="preserve"> tai yra dvigubai geresnis rezultatas palyginti su 2006 m, kuomet šis santykis siekė 0.22%.</w:t>
      </w:r>
      <w:r w:rsidR="00C6486A">
        <w:rPr>
          <w:rFonts w:ascii="Arial" w:eastAsia="MS PGothic" w:hAnsi="Arial" w:cs="Times New Roman"/>
          <w:sz w:val="20"/>
          <w:szCs w:val="24"/>
        </w:rPr>
        <w:t xml:space="preserve"> </w:t>
      </w:r>
      <w:r w:rsidR="000D77A0" w:rsidRPr="00245FC3">
        <w:rPr>
          <w:rFonts w:ascii="Arial" w:eastAsia="MS PGothic" w:hAnsi="Arial" w:cs="Times New Roman"/>
          <w:sz w:val="20"/>
          <w:szCs w:val="24"/>
        </w:rPr>
        <w:t xml:space="preserve">Apibendrinant, bendra aplinkos tarša 2007 – 2013 m. laikotarpiu buvo linkusi </w:t>
      </w:r>
      <w:r w:rsidR="0021741F">
        <w:rPr>
          <w:rFonts w:ascii="Arial" w:eastAsia="MS PGothic" w:hAnsi="Arial" w:cs="Times New Roman"/>
          <w:sz w:val="20"/>
          <w:szCs w:val="24"/>
        </w:rPr>
        <w:t>mažėti.</w:t>
      </w:r>
    </w:p>
    <w:p w:rsidR="00A2570C" w:rsidRPr="00245FC3" w:rsidRDefault="00A2570C" w:rsidP="00A2570C">
      <w:pPr>
        <w:pStyle w:val="Caption"/>
        <w:keepNext/>
        <w:jc w:val="both"/>
      </w:pPr>
      <w:r w:rsidRPr="00245FC3">
        <w:fldChar w:fldCharType="begin"/>
      </w:r>
      <w:r w:rsidRPr="00245FC3">
        <w:instrText xml:space="preserve"> SEQ paveikslas \* ARABIC </w:instrText>
      </w:r>
      <w:r w:rsidRPr="00245FC3">
        <w:fldChar w:fldCharType="separate"/>
      </w:r>
      <w:r w:rsidR="00594D44" w:rsidRPr="00245FC3">
        <w:t>3</w:t>
      </w:r>
      <w:r w:rsidRPr="00245FC3">
        <w:fldChar w:fldCharType="end"/>
      </w:r>
      <w:r w:rsidRPr="00245FC3">
        <w:t xml:space="preserve"> paveikslas. Aplinkos taršos rodikliai</w:t>
      </w:r>
      <w:r w:rsidR="005D7178">
        <w:t>*</w:t>
      </w:r>
    </w:p>
    <w:p w:rsidR="00B76AF6" w:rsidRPr="00245FC3" w:rsidRDefault="0047176E" w:rsidP="000252B1">
      <w:pPr>
        <w:pStyle w:val="Caption"/>
        <w:spacing w:before="240"/>
        <w:rPr>
          <w:b w:val="0"/>
        </w:rPr>
      </w:pPr>
      <w:r>
        <w:rPr>
          <w:noProof/>
          <w:lang w:val="en-US"/>
        </w:rPr>
        <w:drawing>
          <wp:anchor distT="0" distB="0" distL="114300" distR="114300" simplePos="0" relativeHeight="251676672" behindDoc="0" locked="0" layoutInCell="1" allowOverlap="1" wp14:anchorId="0CAFD1F7" wp14:editId="50169884">
            <wp:simplePos x="0" y="0"/>
            <wp:positionH relativeFrom="margin">
              <wp:posOffset>13335</wp:posOffset>
            </wp:positionH>
            <wp:positionV relativeFrom="paragraph">
              <wp:posOffset>87630</wp:posOffset>
            </wp:positionV>
            <wp:extent cx="4607560" cy="2688590"/>
            <wp:effectExtent l="0" t="0" r="21590" b="16510"/>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rsidR="0047176E" w:rsidRDefault="0047176E" w:rsidP="00B72614">
      <w:pPr>
        <w:pStyle w:val="Caption"/>
        <w:spacing w:after="120"/>
        <w:rPr>
          <w:b w:val="0"/>
        </w:rPr>
      </w:pPr>
    </w:p>
    <w:p w:rsidR="0047176E" w:rsidRDefault="0047176E" w:rsidP="00B72614">
      <w:pPr>
        <w:pStyle w:val="Caption"/>
        <w:spacing w:after="120"/>
        <w:rPr>
          <w:b w:val="0"/>
        </w:rPr>
      </w:pPr>
    </w:p>
    <w:p w:rsidR="0047176E" w:rsidRDefault="0047176E" w:rsidP="00B72614">
      <w:pPr>
        <w:pStyle w:val="Caption"/>
        <w:spacing w:after="120"/>
        <w:rPr>
          <w:b w:val="0"/>
        </w:rPr>
      </w:pPr>
    </w:p>
    <w:p w:rsidR="0047176E" w:rsidRDefault="0047176E" w:rsidP="00B72614">
      <w:pPr>
        <w:pStyle w:val="Caption"/>
        <w:spacing w:after="120"/>
        <w:rPr>
          <w:b w:val="0"/>
        </w:rPr>
      </w:pPr>
    </w:p>
    <w:p w:rsidR="0047176E" w:rsidRDefault="0047176E" w:rsidP="00B72614">
      <w:pPr>
        <w:pStyle w:val="Caption"/>
        <w:spacing w:after="120"/>
        <w:rPr>
          <w:b w:val="0"/>
        </w:rPr>
      </w:pPr>
    </w:p>
    <w:p w:rsidR="0047176E" w:rsidRDefault="0047176E" w:rsidP="00B72614">
      <w:pPr>
        <w:pStyle w:val="Caption"/>
        <w:spacing w:after="120"/>
        <w:rPr>
          <w:b w:val="0"/>
        </w:rPr>
      </w:pPr>
    </w:p>
    <w:p w:rsidR="0047176E" w:rsidRDefault="0047176E" w:rsidP="00B72614">
      <w:pPr>
        <w:pStyle w:val="Caption"/>
        <w:spacing w:after="120"/>
        <w:rPr>
          <w:b w:val="0"/>
        </w:rPr>
      </w:pPr>
    </w:p>
    <w:p w:rsidR="0047176E" w:rsidRDefault="0047176E" w:rsidP="00B72614">
      <w:pPr>
        <w:pStyle w:val="Caption"/>
        <w:spacing w:after="120"/>
        <w:rPr>
          <w:b w:val="0"/>
        </w:rPr>
      </w:pPr>
    </w:p>
    <w:p w:rsidR="0047176E" w:rsidRDefault="0047176E" w:rsidP="00B72614">
      <w:pPr>
        <w:pStyle w:val="Caption"/>
        <w:spacing w:after="120"/>
        <w:rPr>
          <w:b w:val="0"/>
        </w:rPr>
      </w:pPr>
    </w:p>
    <w:p w:rsidR="0047176E" w:rsidRDefault="0047176E" w:rsidP="00B72614">
      <w:pPr>
        <w:pStyle w:val="Caption"/>
        <w:spacing w:after="120"/>
        <w:rPr>
          <w:b w:val="0"/>
        </w:rPr>
      </w:pPr>
    </w:p>
    <w:p w:rsidR="0047176E" w:rsidRDefault="0047176E" w:rsidP="00B72614">
      <w:pPr>
        <w:pStyle w:val="Caption"/>
        <w:spacing w:after="120"/>
        <w:rPr>
          <w:b w:val="0"/>
        </w:rPr>
      </w:pPr>
    </w:p>
    <w:p w:rsidR="0047176E" w:rsidRDefault="0047176E" w:rsidP="00B72614">
      <w:pPr>
        <w:pStyle w:val="Caption"/>
        <w:spacing w:after="120"/>
        <w:rPr>
          <w:b w:val="0"/>
        </w:rPr>
      </w:pPr>
    </w:p>
    <w:p w:rsidR="0047176E" w:rsidRDefault="0047176E" w:rsidP="00B72614">
      <w:pPr>
        <w:pStyle w:val="Caption"/>
        <w:spacing w:after="120"/>
        <w:rPr>
          <w:b w:val="0"/>
        </w:rPr>
      </w:pPr>
    </w:p>
    <w:p w:rsidR="00A2570C" w:rsidRDefault="00A2570C" w:rsidP="005D7178">
      <w:pPr>
        <w:pStyle w:val="Caption"/>
        <w:spacing w:after="0"/>
        <w:rPr>
          <w:b w:val="0"/>
        </w:rPr>
      </w:pPr>
      <w:r w:rsidRPr="00245FC3">
        <w:rPr>
          <w:b w:val="0"/>
        </w:rPr>
        <w:t>Šaltinis: Statistiko</w:t>
      </w:r>
      <w:r w:rsidR="007F0777" w:rsidRPr="00245FC3">
        <w:rPr>
          <w:b w:val="0"/>
        </w:rPr>
        <w:t>s</w:t>
      </w:r>
      <w:r w:rsidRPr="00245FC3">
        <w:rPr>
          <w:b w:val="0"/>
        </w:rPr>
        <w:t xml:space="preserve"> departamentas</w:t>
      </w:r>
      <w:r w:rsidR="005D7178">
        <w:rPr>
          <w:b w:val="0"/>
        </w:rPr>
        <w:t>.</w:t>
      </w:r>
    </w:p>
    <w:p w:rsidR="005D7178" w:rsidRPr="005D7178" w:rsidRDefault="005D7178" w:rsidP="005D7178">
      <w:pPr>
        <w:rPr>
          <w:rFonts w:ascii="Arial" w:eastAsia="Times" w:hAnsi="Arial" w:cs="Times New Roman"/>
          <w:bCs/>
          <w:sz w:val="18"/>
          <w:szCs w:val="18"/>
        </w:rPr>
      </w:pPr>
      <w:r w:rsidRPr="005D7178">
        <w:rPr>
          <w:rFonts w:ascii="Arial" w:eastAsia="Times" w:hAnsi="Arial" w:cs="Times New Roman"/>
          <w:bCs/>
          <w:sz w:val="18"/>
          <w:szCs w:val="18"/>
        </w:rPr>
        <w:t>* - visi rodikliai, išskyrus „Išleista išvalytų iki normos nuotekų, tūkst. m</w:t>
      </w:r>
      <w:r w:rsidRPr="005D7178">
        <w:rPr>
          <w:rFonts w:ascii="Arial" w:eastAsia="Times" w:hAnsi="Arial" w:cs="Times New Roman"/>
          <w:bCs/>
          <w:sz w:val="18"/>
          <w:szCs w:val="18"/>
          <w:vertAlign w:val="superscript"/>
        </w:rPr>
        <w:t>3</w:t>
      </w:r>
      <w:r w:rsidRPr="005D7178">
        <w:rPr>
          <w:rFonts w:ascii="Arial" w:eastAsia="Times" w:hAnsi="Arial" w:cs="Times New Roman"/>
          <w:bCs/>
          <w:sz w:val="18"/>
          <w:szCs w:val="18"/>
        </w:rPr>
        <w:t>“ yra matuojami tonomis.</w:t>
      </w:r>
    </w:p>
    <w:p w:rsidR="00C6486A" w:rsidRPr="00A2570C" w:rsidRDefault="00B76AF6" w:rsidP="00E21622">
      <w:pPr>
        <w:tabs>
          <w:tab w:val="left" w:pos="4140"/>
        </w:tabs>
        <w:jc w:val="both"/>
        <w:rPr>
          <w:rFonts w:ascii="Arial" w:eastAsia="MS PGothic" w:hAnsi="Arial" w:cs="Times New Roman"/>
          <w:sz w:val="20"/>
          <w:szCs w:val="24"/>
        </w:rPr>
      </w:pPr>
      <w:r w:rsidRPr="00245FC3">
        <w:rPr>
          <w:rFonts w:ascii="Arial" w:eastAsia="MS PGothic" w:hAnsi="Arial" w:cs="Times New Roman"/>
          <w:sz w:val="20"/>
          <w:szCs w:val="24"/>
        </w:rPr>
        <w:t>Vertinant demografinius rodiklius</w:t>
      </w:r>
      <w:r w:rsidR="00594D44" w:rsidRPr="00245FC3">
        <w:rPr>
          <w:rFonts w:ascii="Arial" w:eastAsia="MS PGothic" w:hAnsi="Arial" w:cs="Times New Roman"/>
          <w:sz w:val="20"/>
          <w:szCs w:val="24"/>
        </w:rPr>
        <w:t>, 2007 - 2013 m. stebimos tendencijos atitinka nacion</w:t>
      </w:r>
      <w:r w:rsidR="00462CCD" w:rsidRPr="00245FC3">
        <w:rPr>
          <w:rFonts w:ascii="Arial" w:eastAsia="MS PGothic" w:hAnsi="Arial" w:cs="Times New Roman"/>
          <w:sz w:val="20"/>
          <w:szCs w:val="24"/>
        </w:rPr>
        <w:t xml:space="preserve">aliniu mastu vykusius pokyčius. </w:t>
      </w:r>
      <w:r w:rsidR="00E21622">
        <w:rPr>
          <w:rFonts w:ascii="Arial" w:eastAsia="MS PGothic" w:hAnsi="Arial" w:cs="Times New Roman"/>
          <w:sz w:val="20"/>
          <w:szCs w:val="24"/>
        </w:rPr>
        <w:t xml:space="preserve">Neigiama tendencija vyrauja visų rodiklių įverčiuose. </w:t>
      </w:r>
      <w:r w:rsidR="00C6486A" w:rsidRPr="00A2570C">
        <w:rPr>
          <w:rFonts w:ascii="Arial" w:eastAsia="MS PGothic" w:hAnsi="Arial" w:cs="Times New Roman"/>
          <w:sz w:val="20"/>
          <w:szCs w:val="24"/>
        </w:rPr>
        <w:t>Ataskaitiniu laikotarpiu mažėjo nuolatinių gyventojų, darbingo amžiaus bei pensinio amžiaus žmonių. Didžiausia mažėjimo tendencija pastebima rodiklyje atspindinčiame nuolatinių Ignalinos savivaldybėje gyv</w:t>
      </w:r>
      <w:r w:rsidR="00E21622">
        <w:rPr>
          <w:rFonts w:ascii="Arial" w:eastAsia="MS PGothic" w:hAnsi="Arial" w:cs="Times New Roman"/>
          <w:sz w:val="20"/>
          <w:szCs w:val="24"/>
        </w:rPr>
        <w:t>enančių žmonių skaičių. Nuo 200</w:t>
      </w:r>
      <w:r w:rsidR="00E21622">
        <w:rPr>
          <w:rFonts w:ascii="Arial" w:eastAsia="MS PGothic" w:hAnsi="Arial" w:cs="Times New Roman"/>
          <w:sz w:val="20"/>
          <w:szCs w:val="24"/>
          <w:lang w:val="en-US"/>
        </w:rPr>
        <w:t>7</w:t>
      </w:r>
      <w:r w:rsidR="00E21622">
        <w:rPr>
          <w:rFonts w:ascii="Arial" w:eastAsia="MS PGothic" w:hAnsi="Arial" w:cs="Times New Roman"/>
          <w:sz w:val="20"/>
          <w:szCs w:val="24"/>
        </w:rPr>
        <w:t xml:space="preserve"> iki 2013 m šis rodiklis sumažėjo 17 proc</w:t>
      </w:r>
      <w:r w:rsidR="00C6486A" w:rsidRPr="00A2570C">
        <w:rPr>
          <w:rFonts w:ascii="Arial" w:eastAsia="MS PGothic" w:hAnsi="Arial" w:cs="Times New Roman"/>
          <w:sz w:val="20"/>
          <w:szCs w:val="24"/>
        </w:rPr>
        <w:t>. Tuo tarpu darbingo amžiaus žm</w:t>
      </w:r>
      <w:r w:rsidR="00E21622">
        <w:rPr>
          <w:rFonts w:ascii="Arial" w:eastAsia="MS PGothic" w:hAnsi="Arial" w:cs="Times New Roman"/>
          <w:sz w:val="20"/>
          <w:szCs w:val="24"/>
        </w:rPr>
        <w:t>onių skaičius per tą patį laikotarpį sumažėjo 1</w:t>
      </w:r>
      <w:r w:rsidR="00E21622">
        <w:rPr>
          <w:rFonts w:ascii="Arial" w:eastAsia="MS PGothic" w:hAnsi="Arial" w:cs="Times New Roman"/>
          <w:sz w:val="20"/>
          <w:szCs w:val="24"/>
          <w:lang w:val="en-US"/>
        </w:rPr>
        <w:t>2 proc</w:t>
      </w:r>
      <w:r w:rsidR="00C6486A" w:rsidRPr="00A2570C">
        <w:rPr>
          <w:rFonts w:ascii="Arial" w:eastAsia="MS PGothic" w:hAnsi="Arial" w:cs="Times New Roman"/>
          <w:sz w:val="20"/>
          <w:szCs w:val="24"/>
        </w:rPr>
        <w:t xml:space="preserve">. Nepalankią </w:t>
      </w:r>
      <w:r w:rsidR="00E21622">
        <w:rPr>
          <w:rFonts w:ascii="Arial" w:eastAsia="MS PGothic" w:hAnsi="Arial" w:cs="Times New Roman"/>
          <w:sz w:val="20"/>
          <w:szCs w:val="24"/>
        </w:rPr>
        <w:t xml:space="preserve">socialinę </w:t>
      </w:r>
      <w:r w:rsidR="00C6486A" w:rsidRPr="00A2570C">
        <w:rPr>
          <w:rFonts w:ascii="Arial" w:eastAsia="MS PGothic" w:hAnsi="Arial" w:cs="Times New Roman"/>
          <w:sz w:val="20"/>
          <w:szCs w:val="24"/>
        </w:rPr>
        <w:t xml:space="preserve">situaciją taip pat </w:t>
      </w:r>
      <w:r w:rsidR="00E21622">
        <w:rPr>
          <w:rFonts w:ascii="Arial" w:eastAsia="MS PGothic" w:hAnsi="Arial" w:cs="Times New Roman"/>
          <w:sz w:val="20"/>
          <w:szCs w:val="24"/>
        </w:rPr>
        <w:t xml:space="preserve">rodo </w:t>
      </w:r>
      <w:r w:rsidR="00C6486A" w:rsidRPr="00A2570C">
        <w:rPr>
          <w:rFonts w:ascii="Arial" w:eastAsia="MS PGothic" w:hAnsi="Arial" w:cs="Times New Roman"/>
          <w:sz w:val="20"/>
          <w:szCs w:val="24"/>
        </w:rPr>
        <w:t>padidėjęs registruotų bedarbių ir darbingo a</w:t>
      </w:r>
      <w:r w:rsidR="00A57626">
        <w:rPr>
          <w:rFonts w:ascii="Arial" w:eastAsia="MS PGothic" w:hAnsi="Arial" w:cs="Times New Roman"/>
          <w:sz w:val="20"/>
          <w:szCs w:val="24"/>
        </w:rPr>
        <w:t>mžiaus gyventojų santykis, kuris</w:t>
      </w:r>
      <w:r w:rsidR="00C6486A" w:rsidRPr="00A2570C">
        <w:rPr>
          <w:rFonts w:ascii="Arial" w:eastAsia="MS PGothic" w:hAnsi="Arial" w:cs="Times New Roman"/>
          <w:sz w:val="20"/>
          <w:szCs w:val="24"/>
        </w:rPr>
        <w:t xml:space="preserve"> 2010 m</w:t>
      </w:r>
      <w:r w:rsidR="00E21622">
        <w:rPr>
          <w:rFonts w:ascii="Arial" w:eastAsia="MS PGothic" w:hAnsi="Arial" w:cs="Times New Roman"/>
          <w:sz w:val="20"/>
          <w:szCs w:val="24"/>
        </w:rPr>
        <w:t>.</w:t>
      </w:r>
      <w:r w:rsidR="00C6486A" w:rsidRPr="00A2570C">
        <w:rPr>
          <w:rFonts w:ascii="Arial" w:eastAsia="MS PGothic" w:hAnsi="Arial" w:cs="Times New Roman"/>
          <w:sz w:val="20"/>
          <w:szCs w:val="24"/>
        </w:rPr>
        <w:t xml:space="preserve"> pasiekęs aukščiausią tašką – 21.2%, </w:t>
      </w:r>
      <w:r w:rsidR="00E21622">
        <w:rPr>
          <w:rFonts w:ascii="Arial" w:eastAsia="MS PGothic" w:hAnsi="Arial" w:cs="Times New Roman"/>
          <w:sz w:val="20"/>
          <w:szCs w:val="24"/>
        </w:rPr>
        <w:t>likusiais metais nuosekliai</w:t>
      </w:r>
      <w:r w:rsidR="00C6486A" w:rsidRPr="00A2570C">
        <w:rPr>
          <w:rFonts w:ascii="Arial" w:eastAsia="MS PGothic" w:hAnsi="Arial" w:cs="Times New Roman"/>
          <w:sz w:val="20"/>
          <w:szCs w:val="24"/>
        </w:rPr>
        <w:t xml:space="preserve"> mažėjo. Vienin</w:t>
      </w:r>
      <w:r w:rsidR="00A57626">
        <w:rPr>
          <w:rFonts w:ascii="Arial" w:eastAsia="MS PGothic" w:hAnsi="Arial" w:cs="Times New Roman"/>
          <w:sz w:val="20"/>
          <w:szCs w:val="24"/>
        </w:rPr>
        <w:t xml:space="preserve">telis rodiklis, </w:t>
      </w:r>
      <w:r w:rsidR="00C6486A" w:rsidRPr="00A2570C">
        <w:rPr>
          <w:rFonts w:ascii="Arial" w:eastAsia="MS PGothic" w:hAnsi="Arial" w:cs="Times New Roman"/>
          <w:sz w:val="20"/>
          <w:szCs w:val="24"/>
        </w:rPr>
        <w:t>visu</w:t>
      </w:r>
      <w:r w:rsidR="00A57626">
        <w:rPr>
          <w:rFonts w:ascii="Arial" w:eastAsia="MS PGothic" w:hAnsi="Arial" w:cs="Times New Roman"/>
          <w:sz w:val="20"/>
          <w:szCs w:val="24"/>
        </w:rPr>
        <w:t xml:space="preserve"> nagrinėjamu laikotarpiu išlaikęs tendencingą augimą,</w:t>
      </w:r>
      <w:r w:rsidR="00D87904">
        <w:rPr>
          <w:rFonts w:ascii="Arial" w:eastAsia="MS PGothic" w:hAnsi="Arial" w:cs="Times New Roman"/>
          <w:sz w:val="20"/>
          <w:szCs w:val="24"/>
        </w:rPr>
        <w:t xml:space="preserve"> vidutinis</w:t>
      </w:r>
      <w:r w:rsidR="00C6486A" w:rsidRPr="00A2570C">
        <w:rPr>
          <w:rFonts w:ascii="Arial" w:eastAsia="MS PGothic" w:hAnsi="Arial" w:cs="Times New Roman"/>
          <w:sz w:val="20"/>
          <w:szCs w:val="24"/>
        </w:rPr>
        <w:t xml:space="preserve"> mėnesinis (bruto) darbo užmokestis. </w:t>
      </w:r>
      <w:r w:rsidR="00A57626">
        <w:rPr>
          <w:rFonts w:ascii="Arial" w:eastAsia="MS PGothic" w:hAnsi="Arial" w:cs="Times New Roman"/>
          <w:sz w:val="20"/>
          <w:szCs w:val="24"/>
        </w:rPr>
        <w:t>ES SF programavimo l</w:t>
      </w:r>
      <w:r w:rsidR="00C6486A" w:rsidRPr="00A2570C">
        <w:rPr>
          <w:rFonts w:ascii="Arial" w:eastAsia="MS PGothic" w:hAnsi="Arial" w:cs="Times New Roman"/>
          <w:sz w:val="20"/>
          <w:szCs w:val="24"/>
        </w:rPr>
        <w:t>aikotarpio pradžioje siekęs 329.9 EUR ir nuo Lietuvos Respublikos vidur</w:t>
      </w:r>
      <w:r w:rsidR="00A57626">
        <w:rPr>
          <w:rFonts w:ascii="Arial" w:eastAsia="MS PGothic" w:hAnsi="Arial" w:cs="Times New Roman"/>
          <w:sz w:val="20"/>
          <w:szCs w:val="24"/>
        </w:rPr>
        <w:t>kio atsilikdamas 103.3 EUR,</w:t>
      </w:r>
      <w:r w:rsidR="00C6486A" w:rsidRPr="00A2570C">
        <w:rPr>
          <w:rFonts w:ascii="Arial" w:eastAsia="MS PGothic" w:hAnsi="Arial" w:cs="Times New Roman"/>
          <w:sz w:val="20"/>
          <w:szCs w:val="24"/>
        </w:rPr>
        <w:t xml:space="preserve"> 2014 m</w:t>
      </w:r>
      <w:r w:rsidR="00A57626">
        <w:rPr>
          <w:rFonts w:ascii="Arial" w:eastAsia="MS PGothic" w:hAnsi="Arial" w:cs="Times New Roman"/>
          <w:sz w:val="20"/>
          <w:szCs w:val="24"/>
        </w:rPr>
        <w:t>. jis pakilo 195.1 EUR;</w:t>
      </w:r>
      <w:r w:rsidR="00C6486A" w:rsidRPr="00A2570C">
        <w:rPr>
          <w:rFonts w:ascii="Arial" w:eastAsia="MS PGothic" w:hAnsi="Arial" w:cs="Times New Roman"/>
          <w:sz w:val="20"/>
          <w:szCs w:val="24"/>
        </w:rPr>
        <w:t xml:space="preserve"> šis santykinai didelis postūmis savivaldybės lygmenyje pranyksta palyginant su visos šalies vidurkiu, kadangi 2014 m atsilikimas išaugo iki 152.4 EUR.</w:t>
      </w:r>
    </w:p>
    <w:p w:rsidR="00C6486A" w:rsidRPr="00A2570C" w:rsidRDefault="00C6486A" w:rsidP="00C6486A">
      <w:pPr>
        <w:jc w:val="both"/>
        <w:rPr>
          <w:rFonts w:ascii="Arial" w:eastAsia="MS PGothic" w:hAnsi="Arial" w:cs="Times New Roman"/>
          <w:sz w:val="20"/>
          <w:szCs w:val="24"/>
        </w:rPr>
      </w:pPr>
      <w:r w:rsidRPr="00A2570C">
        <w:rPr>
          <w:rFonts w:ascii="Arial" w:eastAsia="MS PGothic" w:hAnsi="Arial" w:cs="Times New Roman"/>
          <w:sz w:val="20"/>
          <w:szCs w:val="24"/>
        </w:rPr>
        <w:t xml:space="preserve">Rodiklis </w:t>
      </w:r>
      <w:r w:rsidR="00A57626">
        <w:rPr>
          <w:rFonts w:ascii="Arial" w:eastAsia="MS PGothic" w:hAnsi="Arial" w:cs="Times New Roman"/>
          <w:sz w:val="20"/>
          <w:szCs w:val="24"/>
        </w:rPr>
        <w:t>atspindintis mokyklinio amžiaus vaikų</w:t>
      </w:r>
      <w:r w:rsidRPr="00A2570C">
        <w:rPr>
          <w:rFonts w:ascii="Arial" w:eastAsia="MS PGothic" w:hAnsi="Arial" w:cs="Times New Roman"/>
          <w:sz w:val="20"/>
          <w:szCs w:val="24"/>
        </w:rPr>
        <w:t>, kurie nesimoko mokykloje</w:t>
      </w:r>
      <w:r w:rsidR="00A57626">
        <w:rPr>
          <w:rFonts w:ascii="Arial" w:eastAsia="MS PGothic" w:hAnsi="Arial" w:cs="Times New Roman"/>
          <w:sz w:val="20"/>
          <w:szCs w:val="24"/>
        </w:rPr>
        <w:t>, skaičių tendencingai mažėjo</w:t>
      </w:r>
      <w:r w:rsidRPr="00A2570C">
        <w:rPr>
          <w:rFonts w:ascii="Arial" w:eastAsia="MS PGothic" w:hAnsi="Arial" w:cs="Times New Roman"/>
          <w:sz w:val="20"/>
          <w:szCs w:val="24"/>
        </w:rPr>
        <w:t>. 2008 m</w:t>
      </w:r>
      <w:r w:rsidR="00031E4B">
        <w:rPr>
          <w:rFonts w:ascii="Arial" w:eastAsia="MS PGothic" w:hAnsi="Arial" w:cs="Times New Roman"/>
          <w:sz w:val="20"/>
          <w:szCs w:val="24"/>
        </w:rPr>
        <w:t>.</w:t>
      </w:r>
      <w:r w:rsidR="00932D14">
        <w:rPr>
          <w:rFonts w:ascii="Arial" w:eastAsia="MS PGothic" w:hAnsi="Arial" w:cs="Times New Roman"/>
          <w:sz w:val="20"/>
          <w:szCs w:val="24"/>
        </w:rPr>
        <w:t>,</w:t>
      </w:r>
      <w:r w:rsidRPr="00A2570C">
        <w:rPr>
          <w:rFonts w:ascii="Arial" w:eastAsia="MS PGothic" w:hAnsi="Arial" w:cs="Times New Roman"/>
          <w:sz w:val="20"/>
          <w:szCs w:val="24"/>
        </w:rPr>
        <w:t xml:space="preserve"> siekęs 42 mokykloje nesimokančius jaunuolius, </w:t>
      </w:r>
      <w:r w:rsidR="00A57626">
        <w:rPr>
          <w:rFonts w:ascii="Arial" w:eastAsia="MS PGothic" w:hAnsi="Arial" w:cs="Times New Roman"/>
          <w:sz w:val="20"/>
          <w:szCs w:val="24"/>
        </w:rPr>
        <w:t>laikotarpio pabaigoje tesudarė</w:t>
      </w:r>
      <w:r w:rsidRPr="00A2570C">
        <w:rPr>
          <w:rFonts w:ascii="Arial" w:eastAsia="MS PGothic" w:hAnsi="Arial" w:cs="Times New Roman"/>
          <w:sz w:val="20"/>
          <w:szCs w:val="24"/>
        </w:rPr>
        <w:t xml:space="preserve"> 26</w:t>
      </w:r>
      <w:r w:rsidR="00A57626">
        <w:rPr>
          <w:rFonts w:ascii="Arial" w:eastAsia="MS PGothic" w:hAnsi="Arial" w:cs="Times New Roman"/>
          <w:sz w:val="20"/>
          <w:szCs w:val="24"/>
        </w:rPr>
        <w:t xml:space="preserve"> asmenis</w:t>
      </w:r>
      <w:r w:rsidRPr="00A2570C">
        <w:rPr>
          <w:rFonts w:ascii="Arial" w:eastAsia="MS PGothic" w:hAnsi="Arial" w:cs="Times New Roman"/>
          <w:sz w:val="20"/>
          <w:szCs w:val="24"/>
        </w:rPr>
        <w:t xml:space="preserve">. </w:t>
      </w:r>
      <w:r w:rsidR="00A57626">
        <w:rPr>
          <w:rFonts w:ascii="Arial" w:eastAsia="MS PGothic" w:hAnsi="Arial" w:cs="Times New Roman"/>
          <w:sz w:val="20"/>
          <w:szCs w:val="24"/>
        </w:rPr>
        <w:t>Vis dėlto negalima vienareikšmiškai teigti, kad</w:t>
      </w:r>
      <w:r w:rsidRPr="00A2570C">
        <w:rPr>
          <w:rFonts w:ascii="Arial" w:eastAsia="MS PGothic" w:hAnsi="Arial" w:cs="Times New Roman"/>
          <w:sz w:val="20"/>
          <w:szCs w:val="24"/>
        </w:rPr>
        <w:t xml:space="preserve"> savivaldybės įgyvendintos priemonės padėjo pagerinti </w:t>
      </w:r>
      <w:r w:rsidR="00A57626">
        <w:rPr>
          <w:rFonts w:ascii="Arial" w:eastAsia="MS PGothic" w:hAnsi="Arial" w:cs="Times New Roman"/>
          <w:sz w:val="20"/>
          <w:szCs w:val="24"/>
        </w:rPr>
        <w:t>mokyklos lankomumą, kadangi nagrinėjamu laikotarpiu didelę įtaką demografinei situacijai darė migracijos saldo.</w:t>
      </w:r>
      <w:r w:rsidR="00932D14">
        <w:rPr>
          <w:rFonts w:ascii="Arial" w:eastAsia="MS PGothic" w:hAnsi="Arial" w:cs="Times New Roman"/>
          <w:sz w:val="20"/>
          <w:szCs w:val="24"/>
        </w:rPr>
        <w:t xml:space="preserve"> Taigi mokykloje nesimokančių moksleivių skaičius galėjo sumažėti šeimų migracijos į kitus miestus ar užsienio šalis.</w:t>
      </w:r>
    </w:p>
    <w:p w:rsidR="0021741F" w:rsidRPr="00CB383E" w:rsidRDefault="0021741F" w:rsidP="0021741F">
      <w:pPr>
        <w:tabs>
          <w:tab w:val="left" w:pos="4140"/>
        </w:tabs>
        <w:jc w:val="both"/>
        <w:rPr>
          <w:rFonts w:ascii="Arial" w:hAnsi="Arial" w:cs="Arial"/>
          <w:sz w:val="20"/>
        </w:rPr>
      </w:pPr>
      <w:r>
        <w:rPr>
          <w:rFonts w:ascii="Arial" w:hAnsi="Arial" w:cs="Arial"/>
          <w:sz w:val="20"/>
        </w:rPr>
        <w:t xml:space="preserve">Apibendrinant, demografinė situacija </w:t>
      </w:r>
      <w:r w:rsidR="00A57626">
        <w:rPr>
          <w:rFonts w:ascii="Arial" w:hAnsi="Arial" w:cs="Arial"/>
          <w:sz w:val="20"/>
        </w:rPr>
        <w:t>Ignalinos</w:t>
      </w:r>
      <w:r>
        <w:rPr>
          <w:rFonts w:ascii="Arial" w:hAnsi="Arial" w:cs="Arial"/>
          <w:sz w:val="20"/>
        </w:rPr>
        <w:t xml:space="preserve"> savivaldybėje buvo stipriai veikiama finansų kri</w:t>
      </w:r>
      <w:r w:rsidR="00031E4B">
        <w:rPr>
          <w:rFonts w:ascii="Arial" w:hAnsi="Arial" w:cs="Arial"/>
          <w:sz w:val="20"/>
        </w:rPr>
        <w:t>zės ir augančių migracijos mastų</w:t>
      </w:r>
      <w:r>
        <w:rPr>
          <w:rFonts w:ascii="Arial" w:hAnsi="Arial" w:cs="Arial"/>
          <w:sz w:val="20"/>
        </w:rPr>
        <w:t>. Taip pat pastebimo</w:t>
      </w:r>
      <w:r w:rsidR="00A57626">
        <w:rPr>
          <w:rFonts w:ascii="Arial" w:hAnsi="Arial" w:cs="Arial"/>
          <w:sz w:val="20"/>
        </w:rPr>
        <w:t>s</w:t>
      </w:r>
      <w:r w:rsidR="00031E4B">
        <w:rPr>
          <w:rFonts w:ascii="Arial" w:hAnsi="Arial" w:cs="Arial"/>
          <w:sz w:val="20"/>
        </w:rPr>
        <w:t xml:space="preserve"> bendros tendencijo</w:t>
      </w:r>
      <w:r>
        <w:rPr>
          <w:rFonts w:ascii="Arial" w:hAnsi="Arial" w:cs="Arial"/>
          <w:sz w:val="20"/>
        </w:rPr>
        <w:t>s visoms probleminių teritorijų savivaldybėms: mažėjantis gimstamum</w:t>
      </w:r>
      <w:r w:rsidR="00A57626">
        <w:rPr>
          <w:rFonts w:ascii="Arial" w:hAnsi="Arial" w:cs="Arial"/>
          <w:sz w:val="20"/>
        </w:rPr>
        <w:t>as sąlygoja visuomenės senėjimą.</w:t>
      </w:r>
    </w:p>
    <w:p w:rsidR="005166EC" w:rsidRDefault="005166EC" w:rsidP="0021741F">
      <w:pPr>
        <w:jc w:val="both"/>
        <w:rPr>
          <w:rFonts w:ascii="Arial" w:hAnsi="Arial" w:cs="Arial"/>
          <w:b/>
          <w:sz w:val="18"/>
        </w:rPr>
      </w:pPr>
    </w:p>
    <w:p w:rsidR="0047176E" w:rsidRDefault="0047176E" w:rsidP="0021741F">
      <w:pPr>
        <w:jc w:val="both"/>
        <w:rPr>
          <w:rFonts w:ascii="Arial" w:hAnsi="Arial" w:cs="Arial"/>
          <w:b/>
          <w:sz w:val="18"/>
        </w:rPr>
      </w:pPr>
    </w:p>
    <w:p w:rsidR="00020455" w:rsidRPr="0021741F" w:rsidRDefault="00A2570C" w:rsidP="0021741F">
      <w:pPr>
        <w:jc w:val="both"/>
        <w:rPr>
          <w:rFonts w:ascii="Arial" w:hAnsi="Arial" w:cs="Arial"/>
          <w:b/>
          <w:sz w:val="18"/>
        </w:rPr>
      </w:pPr>
      <w:r w:rsidRPr="0021741F">
        <w:rPr>
          <w:rFonts w:ascii="Arial" w:hAnsi="Arial" w:cs="Arial"/>
          <w:b/>
          <w:sz w:val="18"/>
        </w:rPr>
        <w:fldChar w:fldCharType="begin"/>
      </w:r>
      <w:r w:rsidRPr="0021741F">
        <w:rPr>
          <w:rFonts w:ascii="Arial" w:hAnsi="Arial" w:cs="Arial"/>
          <w:b/>
          <w:sz w:val="18"/>
        </w:rPr>
        <w:instrText xml:space="preserve"> SEQ paveikslas \* ARABIC </w:instrText>
      </w:r>
      <w:r w:rsidRPr="0021741F">
        <w:rPr>
          <w:rFonts w:ascii="Arial" w:hAnsi="Arial" w:cs="Arial"/>
          <w:b/>
          <w:sz w:val="18"/>
        </w:rPr>
        <w:fldChar w:fldCharType="separate"/>
      </w:r>
      <w:r w:rsidR="008A1509" w:rsidRPr="0021741F">
        <w:rPr>
          <w:rFonts w:ascii="Arial" w:hAnsi="Arial" w:cs="Arial"/>
          <w:b/>
          <w:sz w:val="18"/>
        </w:rPr>
        <w:t>5</w:t>
      </w:r>
      <w:r w:rsidRPr="0021741F">
        <w:rPr>
          <w:rFonts w:ascii="Arial" w:hAnsi="Arial" w:cs="Arial"/>
          <w:b/>
          <w:sz w:val="18"/>
        </w:rPr>
        <w:fldChar w:fldCharType="end"/>
      </w:r>
      <w:r w:rsidRPr="0021741F">
        <w:rPr>
          <w:rFonts w:ascii="Arial" w:hAnsi="Arial" w:cs="Arial"/>
          <w:b/>
          <w:sz w:val="18"/>
        </w:rPr>
        <w:t xml:space="preserve"> paveikslas. Demografiniai rodikliai</w:t>
      </w:r>
    </w:p>
    <w:p w:rsidR="008A1509" w:rsidRPr="00245FC3" w:rsidRDefault="0047176E" w:rsidP="008A1509">
      <w:pPr>
        <w:pStyle w:val="Caption"/>
        <w:spacing w:before="240"/>
        <w:rPr>
          <w:b w:val="0"/>
        </w:rPr>
      </w:pPr>
      <w:r>
        <w:rPr>
          <w:noProof/>
          <w:lang w:val="en-US"/>
        </w:rPr>
        <w:drawing>
          <wp:anchor distT="0" distB="0" distL="114300" distR="114300" simplePos="0" relativeHeight="251678720" behindDoc="0" locked="0" layoutInCell="1" allowOverlap="1" wp14:anchorId="137A1E88" wp14:editId="4EF2128F">
            <wp:simplePos x="0" y="0"/>
            <wp:positionH relativeFrom="margin">
              <wp:posOffset>-635</wp:posOffset>
            </wp:positionH>
            <wp:positionV relativeFrom="paragraph">
              <wp:posOffset>43815</wp:posOffset>
            </wp:positionV>
            <wp:extent cx="5036820" cy="2772410"/>
            <wp:effectExtent l="0" t="0" r="11430" b="27940"/>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8A1509" w:rsidRPr="00245FC3">
        <w:rPr>
          <w:b w:val="0"/>
        </w:rPr>
        <w:t>Šaltinis: Statistiko</w:t>
      </w:r>
      <w:r w:rsidR="00594D44" w:rsidRPr="00245FC3">
        <w:rPr>
          <w:b w:val="0"/>
        </w:rPr>
        <w:t>s</w:t>
      </w:r>
      <w:r w:rsidR="008A1509" w:rsidRPr="00245FC3">
        <w:rPr>
          <w:b w:val="0"/>
        </w:rPr>
        <w:t xml:space="preserve"> departamentas</w:t>
      </w:r>
    </w:p>
    <w:p w:rsidR="00B76AF6" w:rsidRPr="00006BDE" w:rsidRDefault="00B76AF6" w:rsidP="00B76AF6">
      <w:pPr>
        <w:jc w:val="both"/>
        <w:rPr>
          <w:rFonts w:ascii="Arial" w:eastAsia="MS PGothic" w:hAnsi="Arial" w:cs="Times New Roman"/>
          <w:sz w:val="20"/>
          <w:szCs w:val="24"/>
          <w:lang w:val="en-US"/>
        </w:rPr>
      </w:pPr>
      <w:r w:rsidRPr="00245FC3">
        <w:rPr>
          <w:rFonts w:ascii="Arial" w:eastAsia="MS PGothic" w:hAnsi="Arial" w:cs="Times New Roman"/>
          <w:sz w:val="20"/>
          <w:szCs w:val="24"/>
        </w:rPr>
        <w:t>Vertinant ūkio ir finansini</w:t>
      </w:r>
      <w:r w:rsidR="004E0E71" w:rsidRPr="00245FC3">
        <w:rPr>
          <w:rFonts w:ascii="Arial" w:eastAsia="MS PGothic" w:hAnsi="Arial" w:cs="Times New Roman"/>
          <w:sz w:val="20"/>
          <w:szCs w:val="24"/>
        </w:rPr>
        <w:t xml:space="preserve">us rodiklius </w:t>
      </w:r>
      <w:r w:rsidRPr="00245FC3">
        <w:rPr>
          <w:rFonts w:ascii="Arial" w:eastAsia="MS PGothic" w:hAnsi="Arial" w:cs="Times New Roman"/>
          <w:sz w:val="20"/>
          <w:szCs w:val="24"/>
        </w:rPr>
        <w:t>pastebima,</w:t>
      </w:r>
      <w:r w:rsidR="00424FB7" w:rsidRPr="00245FC3">
        <w:rPr>
          <w:rFonts w:ascii="Arial" w:eastAsia="MS PGothic" w:hAnsi="Arial" w:cs="Times New Roman"/>
          <w:sz w:val="20"/>
          <w:szCs w:val="24"/>
        </w:rPr>
        <w:t xml:space="preserve"> kad</w:t>
      </w:r>
      <w:r w:rsidR="0062159A" w:rsidRPr="00245FC3">
        <w:rPr>
          <w:rFonts w:ascii="Arial" w:eastAsia="MS PGothic" w:hAnsi="Arial" w:cs="Times New Roman"/>
          <w:sz w:val="20"/>
          <w:szCs w:val="24"/>
        </w:rPr>
        <w:t xml:space="preserve"> 2007 – 2013</w:t>
      </w:r>
      <w:r w:rsidR="00BC4ECE" w:rsidRPr="00245FC3">
        <w:rPr>
          <w:rFonts w:ascii="Arial" w:eastAsia="MS PGothic" w:hAnsi="Arial" w:cs="Times New Roman"/>
          <w:sz w:val="20"/>
          <w:szCs w:val="24"/>
        </w:rPr>
        <w:t xml:space="preserve"> m. </w:t>
      </w:r>
      <w:r w:rsidR="0062159A" w:rsidRPr="00245FC3">
        <w:rPr>
          <w:rFonts w:ascii="Arial" w:eastAsia="MS PGothic" w:hAnsi="Arial" w:cs="Times New Roman"/>
          <w:sz w:val="20"/>
          <w:szCs w:val="24"/>
        </w:rPr>
        <w:t>pridėtinė</w:t>
      </w:r>
      <w:r w:rsidR="00BC4ECE" w:rsidRPr="00245FC3">
        <w:rPr>
          <w:rFonts w:ascii="Arial" w:eastAsia="MS PGothic" w:hAnsi="Arial" w:cs="Times New Roman"/>
          <w:sz w:val="20"/>
          <w:szCs w:val="24"/>
        </w:rPr>
        <w:t>s</w:t>
      </w:r>
      <w:r w:rsidR="0062159A" w:rsidRPr="00245FC3">
        <w:rPr>
          <w:rFonts w:ascii="Arial" w:eastAsia="MS PGothic" w:hAnsi="Arial" w:cs="Times New Roman"/>
          <w:sz w:val="20"/>
          <w:szCs w:val="24"/>
        </w:rPr>
        <w:t xml:space="preserve"> vertė</w:t>
      </w:r>
      <w:r w:rsidR="00BC4ECE" w:rsidRPr="00245FC3">
        <w:rPr>
          <w:rFonts w:ascii="Arial" w:eastAsia="MS PGothic" w:hAnsi="Arial" w:cs="Times New Roman"/>
          <w:sz w:val="20"/>
          <w:szCs w:val="24"/>
        </w:rPr>
        <w:t>s gamybos kainomis ir m</w:t>
      </w:r>
      <w:r w:rsidR="0062159A" w:rsidRPr="00245FC3">
        <w:rPr>
          <w:rFonts w:ascii="Arial" w:eastAsia="MS PGothic" w:hAnsi="Arial" w:cs="Times New Roman"/>
          <w:sz w:val="20"/>
          <w:szCs w:val="24"/>
        </w:rPr>
        <w:t>aterialin</w:t>
      </w:r>
      <w:r w:rsidR="00BC4ECE" w:rsidRPr="00245FC3">
        <w:rPr>
          <w:rFonts w:ascii="Arial" w:eastAsia="MS PGothic" w:hAnsi="Arial" w:cs="Times New Roman"/>
          <w:sz w:val="20"/>
          <w:szCs w:val="24"/>
        </w:rPr>
        <w:t xml:space="preserve">ių investicijų rodikliai </w:t>
      </w:r>
      <w:r w:rsidR="0062159A" w:rsidRPr="00245FC3">
        <w:rPr>
          <w:rFonts w:ascii="Arial" w:eastAsia="MS PGothic" w:hAnsi="Arial" w:cs="Times New Roman"/>
          <w:sz w:val="20"/>
          <w:szCs w:val="24"/>
        </w:rPr>
        <w:t xml:space="preserve">neturėjo </w:t>
      </w:r>
      <w:r w:rsidR="00BC4ECE" w:rsidRPr="00245FC3">
        <w:rPr>
          <w:rFonts w:ascii="Arial" w:eastAsia="MS PGothic" w:hAnsi="Arial" w:cs="Times New Roman"/>
          <w:sz w:val="20"/>
          <w:szCs w:val="24"/>
        </w:rPr>
        <w:t xml:space="preserve">nuoseklių kitimo tendencijų. Dėl finansų krizės kuriama pridėtinė </w:t>
      </w:r>
      <w:r w:rsidR="00182A6D">
        <w:rPr>
          <w:rFonts w:ascii="Arial" w:eastAsia="MS PGothic" w:hAnsi="Arial" w:cs="Times New Roman"/>
          <w:sz w:val="20"/>
          <w:szCs w:val="24"/>
        </w:rPr>
        <w:t>vertė nuo 2008 m. mažėjo ir 20</w:t>
      </w:r>
      <w:r w:rsidR="00182A6D">
        <w:rPr>
          <w:rFonts w:ascii="Arial" w:eastAsia="MS PGothic" w:hAnsi="Arial" w:cs="Times New Roman"/>
          <w:sz w:val="20"/>
          <w:szCs w:val="24"/>
          <w:lang w:val="en-US"/>
        </w:rPr>
        <w:t>09</w:t>
      </w:r>
      <w:r w:rsidR="00BC4ECE" w:rsidRPr="00245FC3">
        <w:rPr>
          <w:rFonts w:ascii="Arial" w:eastAsia="MS PGothic" w:hAnsi="Arial" w:cs="Times New Roman"/>
          <w:sz w:val="20"/>
          <w:szCs w:val="24"/>
        </w:rPr>
        <w:t xml:space="preserve"> m. pasiekė žemiausią savo įvertį nagrinėjamu laikotarpiu. Kaip ir nacionaliniu mastu – nuo 201</w:t>
      </w:r>
      <w:r w:rsidR="00182A6D">
        <w:rPr>
          <w:rFonts w:ascii="Arial" w:eastAsia="MS PGothic" w:hAnsi="Arial" w:cs="Times New Roman"/>
          <w:sz w:val="20"/>
          <w:szCs w:val="24"/>
        </w:rPr>
        <w:t>0m. / 2011</w:t>
      </w:r>
      <w:r w:rsidR="00BC4ECE" w:rsidRPr="00245FC3">
        <w:rPr>
          <w:rFonts w:ascii="Arial" w:eastAsia="MS PGothic" w:hAnsi="Arial" w:cs="Times New Roman"/>
          <w:sz w:val="20"/>
          <w:szCs w:val="24"/>
        </w:rPr>
        <w:t xml:space="preserve"> m. rodiklio įverčiai pradeda augti su nežymiais svyravimais. Analogiškos tendencijos stebimos ir materialinių investicijų rodiklio atveju.</w:t>
      </w:r>
      <w:r w:rsidR="00006BDE">
        <w:rPr>
          <w:rFonts w:ascii="Arial" w:eastAsia="MS PGothic" w:hAnsi="Arial" w:cs="Times New Roman"/>
          <w:sz w:val="20"/>
          <w:szCs w:val="24"/>
        </w:rPr>
        <w:t xml:space="preserve"> Vis dėlto, baigiantis ES SF programavimo laikotarpiui, materialinės investicijos vienam gyventojui sumažėjo ir nesiekė net </w:t>
      </w:r>
      <w:r w:rsidR="00006BDE">
        <w:rPr>
          <w:rFonts w:ascii="Arial" w:eastAsia="MS PGothic" w:hAnsi="Arial" w:cs="Times New Roman"/>
          <w:sz w:val="20"/>
          <w:szCs w:val="24"/>
          <w:lang w:val="en-US"/>
        </w:rPr>
        <w:t>2007</w:t>
      </w:r>
      <w:r w:rsidR="00006BDE">
        <w:rPr>
          <w:rFonts w:ascii="Arial" w:eastAsia="MS PGothic" w:hAnsi="Arial" w:cs="Times New Roman"/>
          <w:sz w:val="20"/>
          <w:szCs w:val="24"/>
        </w:rPr>
        <w:t xml:space="preserve"> m. fiksuoto lygio. </w:t>
      </w:r>
      <w:r w:rsidR="00BC4ECE" w:rsidRPr="00245FC3">
        <w:rPr>
          <w:rFonts w:ascii="Arial" w:eastAsia="MS PGothic" w:hAnsi="Arial" w:cs="Times New Roman"/>
          <w:sz w:val="20"/>
          <w:szCs w:val="24"/>
        </w:rPr>
        <w:t>T</w:t>
      </w:r>
      <w:r w:rsidRPr="00245FC3">
        <w:rPr>
          <w:rFonts w:ascii="Arial" w:eastAsia="MS PGothic" w:hAnsi="Arial" w:cs="Times New Roman"/>
          <w:sz w:val="20"/>
          <w:szCs w:val="24"/>
        </w:rPr>
        <w:t>iesioginės užsienio inve</w:t>
      </w:r>
      <w:r w:rsidR="00F63FF4" w:rsidRPr="00245FC3">
        <w:rPr>
          <w:rFonts w:ascii="Arial" w:eastAsia="MS PGothic" w:hAnsi="Arial" w:cs="Times New Roman"/>
          <w:sz w:val="20"/>
          <w:szCs w:val="24"/>
        </w:rPr>
        <w:t xml:space="preserve">sticijos viso laikotarpio metu </w:t>
      </w:r>
      <w:r w:rsidRPr="00245FC3">
        <w:rPr>
          <w:rFonts w:ascii="Arial" w:eastAsia="MS PGothic" w:hAnsi="Arial" w:cs="Times New Roman"/>
          <w:sz w:val="20"/>
          <w:szCs w:val="24"/>
        </w:rPr>
        <w:t>augo,</w:t>
      </w:r>
      <w:r w:rsidR="00BC4ECE" w:rsidRPr="00245FC3">
        <w:rPr>
          <w:rFonts w:ascii="Arial" w:eastAsia="MS PGothic" w:hAnsi="Arial" w:cs="Times New Roman"/>
          <w:sz w:val="20"/>
          <w:szCs w:val="24"/>
        </w:rPr>
        <w:t xml:space="preserve"> o</w:t>
      </w:r>
      <w:r w:rsidRPr="00245FC3">
        <w:rPr>
          <w:rFonts w:ascii="Arial" w:eastAsia="MS PGothic" w:hAnsi="Arial" w:cs="Times New Roman"/>
          <w:sz w:val="20"/>
          <w:szCs w:val="24"/>
        </w:rPr>
        <w:t xml:space="preserve"> tai identifikuoja didelį užsienio </w:t>
      </w:r>
      <w:r w:rsidR="00ED2FB0" w:rsidRPr="00245FC3">
        <w:rPr>
          <w:rFonts w:ascii="Arial" w:eastAsia="MS PGothic" w:hAnsi="Arial" w:cs="Times New Roman"/>
          <w:sz w:val="20"/>
          <w:szCs w:val="24"/>
        </w:rPr>
        <w:t>investuotojų</w:t>
      </w:r>
      <w:r w:rsidRPr="00245FC3">
        <w:rPr>
          <w:rFonts w:ascii="Arial" w:eastAsia="MS PGothic" w:hAnsi="Arial" w:cs="Times New Roman"/>
          <w:sz w:val="20"/>
          <w:szCs w:val="24"/>
        </w:rPr>
        <w:t xml:space="preserve"> susidomėjimą bei reikiamų sąlygų verslo plėtrai egzistavimą. </w:t>
      </w:r>
      <w:r w:rsidR="00123257" w:rsidRPr="00245FC3">
        <w:rPr>
          <w:rFonts w:ascii="Arial" w:eastAsia="MS PGothic" w:hAnsi="Arial" w:cs="Times New Roman"/>
          <w:sz w:val="20"/>
          <w:szCs w:val="24"/>
        </w:rPr>
        <w:t xml:space="preserve">Apibendrinant, </w:t>
      </w:r>
      <w:r w:rsidR="00182A6D">
        <w:rPr>
          <w:rFonts w:ascii="Arial" w:eastAsia="MS PGothic" w:hAnsi="Arial" w:cs="Times New Roman"/>
          <w:sz w:val="20"/>
          <w:szCs w:val="24"/>
        </w:rPr>
        <w:t xml:space="preserve">Ignalinos rajono </w:t>
      </w:r>
      <w:r w:rsidR="00123257" w:rsidRPr="00245FC3">
        <w:rPr>
          <w:rFonts w:ascii="Arial" w:eastAsia="MS PGothic" w:hAnsi="Arial" w:cs="Times New Roman"/>
          <w:sz w:val="20"/>
          <w:szCs w:val="24"/>
        </w:rPr>
        <w:t>ekonominės veiklos rodikliai</w:t>
      </w:r>
      <w:r w:rsidR="0030541F">
        <w:rPr>
          <w:rFonts w:ascii="Arial" w:eastAsia="MS PGothic" w:hAnsi="Arial" w:cs="Times New Roman"/>
          <w:sz w:val="20"/>
          <w:szCs w:val="24"/>
        </w:rPr>
        <w:t xml:space="preserve"> svyravo viso laikotarpio metu.</w:t>
      </w:r>
    </w:p>
    <w:p w:rsidR="008A1509" w:rsidRDefault="008A1509" w:rsidP="008A1509">
      <w:pPr>
        <w:pStyle w:val="Caption"/>
        <w:keepNext/>
      </w:pPr>
      <w:r w:rsidRPr="00245FC3">
        <w:fldChar w:fldCharType="begin"/>
      </w:r>
      <w:r w:rsidRPr="00245FC3">
        <w:instrText xml:space="preserve"> SEQ paveikslas \* ARABIC </w:instrText>
      </w:r>
      <w:r w:rsidRPr="00245FC3">
        <w:fldChar w:fldCharType="separate"/>
      </w:r>
      <w:r w:rsidRPr="00245FC3">
        <w:t>6</w:t>
      </w:r>
      <w:r w:rsidRPr="00245FC3">
        <w:fldChar w:fldCharType="end"/>
      </w:r>
      <w:r w:rsidRPr="00245FC3">
        <w:t xml:space="preserve"> paveikslas. Ekonominės veiklos rodikliai</w:t>
      </w:r>
    </w:p>
    <w:p w:rsidR="004E0E71" w:rsidRPr="00245FC3" w:rsidRDefault="00932D14" w:rsidP="00805F6F">
      <w:pPr>
        <w:pStyle w:val="Caption"/>
        <w:spacing w:before="240" w:after="240"/>
        <w:rPr>
          <w:b w:val="0"/>
        </w:rPr>
      </w:pPr>
      <w:r>
        <w:rPr>
          <w:noProof/>
          <w:lang w:val="en-US"/>
        </w:rPr>
        <w:drawing>
          <wp:inline distT="0" distB="0" distL="0" distR="0" wp14:anchorId="67C2D575" wp14:editId="3883DEEB">
            <wp:extent cx="5036820" cy="2647315"/>
            <wp:effectExtent l="0" t="0" r="11430" b="1968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4E0E71" w:rsidRPr="00245FC3">
        <w:rPr>
          <w:b w:val="0"/>
        </w:rPr>
        <w:t>Šaltinis: Statistiko</w:t>
      </w:r>
      <w:r w:rsidR="0062159A" w:rsidRPr="00245FC3">
        <w:rPr>
          <w:b w:val="0"/>
        </w:rPr>
        <w:t>s</w:t>
      </w:r>
      <w:r w:rsidR="004E0E71" w:rsidRPr="00245FC3">
        <w:rPr>
          <w:b w:val="0"/>
        </w:rPr>
        <w:t xml:space="preserve"> departamentas</w:t>
      </w:r>
    </w:p>
    <w:p w:rsidR="00942138" w:rsidRPr="00245FC3" w:rsidRDefault="006C4D28" w:rsidP="005166EC">
      <w:pPr>
        <w:pStyle w:val="Heading1"/>
        <w:numPr>
          <w:ilvl w:val="1"/>
          <w:numId w:val="1"/>
        </w:numPr>
        <w:spacing w:before="1200" w:after="240"/>
        <w:rPr>
          <w:rFonts w:ascii="Arial" w:hAnsi="Arial" w:cs="Arial"/>
          <w:b w:val="0"/>
          <w:sz w:val="28"/>
        </w:rPr>
      </w:pPr>
      <w:r w:rsidRPr="00245FC3">
        <w:rPr>
          <w:rFonts w:ascii="Arial" w:hAnsi="Arial" w:cs="Arial"/>
          <w:b w:val="0"/>
          <w:sz w:val="28"/>
        </w:rPr>
        <w:t>ES struktūrinės paramos poveikis</w:t>
      </w:r>
    </w:p>
    <w:p w:rsidR="008E4F54" w:rsidRDefault="006C4D28" w:rsidP="005166EC">
      <w:pPr>
        <w:jc w:val="both"/>
        <w:rPr>
          <w:rFonts w:ascii="Arial" w:eastAsia="MS PGothic" w:hAnsi="Arial" w:cs="Times New Roman"/>
          <w:sz w:val="20"/>
          <w:szCs w:val="24"/>
        </w:rPr>
      </w:pPr>
      <w:r w:rsidRPr="00245FC3">
        <w:rPr>
          <w:rFonts w:ascii="Arial" w:eastAsia="MS PGothic" w:hAnsi="Arial" w:cs="Times New Roman"/>
          <w:sz w:val="20"/>
          <w:szCs w:val="24"/>
        </w:rPr>
        <w:t xml:space="preserve">Investicijos probleminėms teritorijoms priskirtoms savivaldybėms buvo skiriamos pagal LRV nutarimu patvirtintas probleminių </w:t>
      </w:r>
      <w:r w:rsidR="002D1DCE" w:rsidRPr="00245FC3">
        <w:rPr>
          <w:rFonts w:ascii="Arial" w:eastAsia="MS PGothic" w:hAnsi="Arial" w:cs="Times New Roman"/>
          <w:sz w:val="20"/>
          <w:szCs w:val="24"/>
        </w:rPr>
        <w:t xml:space="preserve">teritorijų gaivinimo programas. </w:t>
      </w:r>
      <w:r w:rsidR="00BF63D3" w:rsidRPr="00245FC3">
        <w:rPr>
          <w:rFonts w:ascii="Arial" w:eastAsia="MS PGothic" w:hAnsi="Arial" w:cs="Times New Roman"/>
          <w:sz w:val="20"/>
          <w:szCs w:val="24"/>
        </w:rPr>
        <w:t xml:space="preserve">Pagrindiniai </w:t>
      </w:r>
      <w:r w:rsidR="00006BDE">
        <w:rPr>
          <w:rFonts w:ascii="Arial" w:eastAsia="MS PGothic" w:hAnsi="Arial" w:cs="Times New Roman"/>
          <w:sz w:val="20"/>
          <w:szCs w:val="24"/>
        </w:rPr>
        <w:t>Ignalinos rajono</w:t>
      </w:r>
      <w:r w:rsidR="00BF63D3" w:rsidRPr="00245FC3">
        <w:rPr>
          <w:rFonts w:ascii="Arial" w:eastAsia="MS PGothic" w:hAnsi="Arial" w:cs="Times New Roman"/>
          <w:sz w:val="20"/>
          <w:szCs w:val="24"/>
        </w:rPr>
        <w:t xml:space="preserve"> savivaldybės programos tikslai buvo mažinti nedarbo rodiklius ir socialinės pašalpos gavėjų skaičių. Tuo tarpu uždaviniai ir veiklos telkėsi į infrastruktūros tobulinimą, daugiabučių atnaujinimą ir </w:t>
      </w:r>
      <w:r w:rsidR="005166EC">
        <w:rPr>
          <w:rFonts w:ascii="Arial" w:eastAsia="MS PGothic" w:hAnsi="Arial" w:cs="Times New Roman"/>
          <w:sz w:val="20"/>
          <w:szCs w:val="24"/>
        </w:rPr>
        <w:t>kompleksinės urbanistinės plėtros projektų įgyvendinimą</w:t>
      </w:r>
      <w:r w:rsidR="00BF63D3" w:rsidRPr="00245FC3">
        <w:rPr>
          <w:rFonts w:ascii="Arial" w:eastAsia="MS PGothic" w:hAnsi="Arial" w:cs="Times New Roman"/>
          <w:sz w:val="20"/>
          <w:szCs w:val="24"/>
        </w:rPr>
        <w:t>.</w:t>
      </w:r>
      <w:r w:rsidR="00D66F8E" w:rsidRPr="00245FC3">
        <w:rPr>
          <w:rStyle w:val="FootnoteReference"/>
          <w:rFonts w:ascii="Arial" w:eastAsia="MS PGothic" w:hAnsi="Arial" w:cs="Times New Roman"/>
          <w:sz w:val="20"/>
          <w:szCs w:val="24"/>
        </w:rPr>
        <w:footnoteReference w:id="1"/>
      </w:r>
      <w:r w:rsidR="002D1DCE" w:rsidRPr="00245FC3">
        <w:rPr>
          <w:rFonts w:ascii="Arial" w:eastAsia="MS PGothic" w:hAnsi="Arial" w:cs="Times New Roman"/>
          <w:sz w:val="20"/>
          <w:szCs w:val="24"/>
        </w:rPr>
        <w:t xml:space="preserve"> Taigi ir ES SF lėšos daugiausia buvo investuotos</w:t>
      </w:r>
      <w:r w:rsidR="00006BDE">
        <w:rPr>
          <w:rFonts w:ascii="Arial" w:eastAsia="MS PGothic" w:hAnsi="Arial" w:cs="Times New Roman"/>
          <w:sz w:val="20"/>
          <w:szCs w:val="24"/>
        </w:rPr>
        <w:t xml:space="preserve"> į fizinės aplinkos gerinimą, kelių </w:t>
      </w:r>
      <w:r w:rsidR="00D66F8E" w:rsidRPr="00245FC3">
        <w:rPr>
          <w:rFonts w:ascii="Arial" w:eastAsia="MS PGothic" w:hAnsi="Arial" w:cs="Times New Roman"/>
          <w:sz w:val="20"/>
          <w:szCs w:val="24"/>
        </w:rPr>
        <w:t xml:space="preserve">infrastruktūros atnaujinimą, </w:t>
      </w:r>
      <w:r w:rsidR="005166EC">
        <w:rPr>
          <w:rFonts w:ascii="Arial" w:eastAsia="MS PGothic" w:hAnsi="Arial" w:cs="Times New Roman"/>
          <w:sz w:val="20"/>
          <w:szCs w:val="24"/>
        </w:rPr>
        <w:t>viešosios paskirties pastatų</w:t>
      </w:r>
      <w:r w:rsidR="00D66F8E" w:rsidRPr="00245FC3">
        <w:rPr>
          <w:rFonts w:ascii="Arial" w:eastAsia="MS PGothic" w:hAnsi="Arial" w:cs="Times New Roman"/>
          <w:sz w:val="20"/>
          <w:szCs w:val="24"/>
        </w:rPr>
        <w:t xml:space="preserve"> renovavimą. </w:t>
      </w:r>
      <w:r w:rsidR="00006BDE">
        <w:rPr>
          <w:rFonts w:ascii="Arial" w:eastAsia="MS PGothic" w:hAnsi="Arial" w:cs="Times New Roman"/>
          <w:sz w:val="20"/>
          <w:szCs w:val="24"/>
        </w:rPr>
        <w:t xml:space="preserve">Pavyzdžiui, atnaujintas gatvių apšvietimas prisidėjo ne tik prie socialinės gerovės, bet taip pat leido savivaldybei sutaupyti iki 30% </w:t>
      </w:r>
      <w:r w:rsidR="00031E4B">
        <w:rPr>
          <w:rFonts w:ascii="Arial" w:eastAsia="MS PGothic" w:hAnsi="Arial" w:cs="Times New Roman"/>
          <w:sz w:val="20"/>
          <w:szCs w:val="24"/>
        </w:rPr>
        <w:t xml:space="preserve">skiriamų </w:t>
      </w:r>
      <w:r w:rsidR="00006BDE">
        <w:rPr>
          <w:rFonts w:ascii="Arial" w:eastAsia="MS PGothic" w:hAnsi="Arial" w:cs="Times New Roman"/>
          <w:sz w:val="20"/>
          <w:szCs w:val="24"/>
        </w:rPr>
        <w:t xml:space="preserve">lėšų. </w:t>
      </w:r>
      <w:r w:rsidR="001E3402">
        <w:rPr>
          <w:rFonts w:ascii="Arial" w:eastAsia="MS PGothic" w:hAnsi="Arial" w:cs="Times New Roman"/>
          <w:sz w:val="20"/>
          <w:szCs w:val="24"/>
        </w:rPr>
        <w:t>Vis dėlto, v</w:t>
      </w:r>
      <w:r w:rsidR="005166EC">
        <w:rPr>
          <w:rFonts w:ascii="Arial" w:eastAsia="MS PGothic" w:hAnsi="Arial" w:cs="Times New Roman"/>
          <w:sz w:val="20"/>
          <w:szCs w:val="24"/>
        </w:rPr>
        <w:t>ertinant probleminių teritorijų lygmeniu gautą finansavimą buvo pastebėta, kad skirtos lėšos</w:t>
      </w:r>
      <w:r w:rsidR="001E3402">
        <w:rPr>
          <w:rFonts w:ascii="Arial" w:eastAsia="MS PGothic" w:hAnsi="Arial" w:cs="Times New Roman"/>
          <w:sz w:val="20"/>
          <w:szCs w:val="24"/>
        </w:rPr>
        <w:t xml:space="preserve"> (kaip ir kitų </w:t>
      </w:r>
      <w:r w:rsidR="00031E4B">
        <w:rPr>
          <w:rFonts w:ascii="Arial" w:eastAsia="MS PGothic" w:hAnsi="Arial" w:cs="Times New Roman"/>
          <w:sz w:val="20"/>
          <w:szCs w:val="24"/>
        </w:rPr>
        <w:t>savivaldybių</w:t>
      </w:r>
      <w:r w:rsidR="001E3402">
        <w:rPr>
          <w:rFonts w:ascii="Arial" w:eastAsia="MS PGothic" w:hAnsi="Arial" w:cs="Times New Roman"/>
          <w:sz w:val="20"/>
          <w:szCs w:val="24"/>
        </w:rPr>
        <w:t xml:space="preserve"> atveju)</w:t>
      </w:r>
      <w:r w:rsidR="005166EC">
        <w:rPr>
          <w:rFonts w:ascii="Arial" w:eastAsia="MS PGothic" w:hAnsi="Arial" w:cs="Times New Roman"/>
          <w:sz w:val="20"/>
          <w:szCs w:val="24"/>
        </w:rPr>
        <w:t xml:space="preserve"> nebuvo pakankamos siekiant įgyvendinti programoje numatytus tikslus.</w:t>
      </w:r>
    </w:p>
    <w:p w:rsidR="00006BDE" w:rsidRDefault="008E4F54" w:rsidP="00006BDE">
      <w:pPr>
        <w:jc w:val="both"/>
        <w:rPr>
          <w:rFonts w:ascii="Arial" w:eastAsia="MS PGothic" w:hAnsi="Arial" w:cs="Times New Roman"/>
          <w:sz w:val="20"/>
          <w:szCs w:val="24"/>
        </w:rPr>
      </w:pPr>
      <w:r>
        <w:rPr>
          <w:rFonts w:ascii="Arial" w:eastAsia="MS PGothic" w:hAnsi="Arial" w:cs="Times New Roman"/>
          <w:sz w:val="20"/>
          <w:szCs w:val="24"/>
        </w:rPr>
        <w:t>D</w:t>
      </w:r>
      <w:r w:rsidR="00006BDE">
        <w:rPr>
          <w:rFonts w:ascii="Arial" w:eastAsia="MS PGothic" w:hAnsi="Arial" w:cs="Times New Roman"/>
          <w:sz w:val="20"/>
          <w:szCs w:val="24"/>
        </w:rPr>
        <w:t xml:space="preserve">idžiausią naudą atnešė parama skirta daugiabučių namų renovacijai. </w:t>
      </w:r>
      <w:r>
        <w:rPr>
          <w:rFonts w:ascii="Arial" w:eastAsia="MS PGothic" w:hAnsi="Arial" w:cs="Times New Roman"/>
          <w:sz w:val="20"/>
          <w:szCs w:val="24"/>
        </w:rPr>
        <w:t xml:space="preserve">Iki </w:t>
      </w:r>
      <w:r>
        <w:rPr>
          <w:rFonts w:ascii="Arial" w:eastAsia="MS PGothic" w:hAnsi="Arial" w:cs="Times New Roman"/>
          <w:sz w:val="20"/>
          <w:szCs w:val="24"/>
          <w:lang w:val="en-US"/>
        </w:rPr>
        <w:t xml:space="preserve">2015 m. </w:t>
      </w:r>
      <w:r>
        <w:rPr>
          <w:rFonts w:ascii="Arial" w:eastAsia="MS PGothic" w:hAnsi="Arial" w:cs="Times New Roman"/>
          <w:sz w:val="20"/>
          <w:szCs w:val="24"/>
        </w:rPr>
        <w:t>buvo atnaujinta 40</w:t>
      </w:r>
      <w:r w:rsidR="00006BDE">
        <w:rPr>
          <w:rFonts w:ascii="Arial" w:eastAsia="MS PGothic" w:hAnsi="Arial" w:cs="Times New Roman"/>
          <w:sz w:val="20"/>
          <w:szCs w:val="24"/>
        </w:rPr>
        <w:t xml:space="preserve"> daugiabučių namų. Pastebima, kad renovacijos vyko labai vangiai iki tol, kol Aplinkos ministerijos iniciatyva Vyriausybė nepakeitė atitinkamų norminių aktų</w:t>
      </w:r>
      <w:r w:rsidR="00031E4B">
        <w:rPr>
          <w:rFonts w:ascii="Arial" w:eastAsia="MS PGothic" w:hAnsi="Arial" w:cs="Times New Roman"/>
          <w:sz w:val="20"/>
          <w:szCs w:val="24"/>
        </w:rPr>
        <w:t>,</w:t>
      </w:r>
      <w:r w:rsidR="00006BDE">
        <w:rPr>
          <w:rFonts w:ascii="Arial" w:eastAsia="MS PGothic" w:hAnsi="Arial" w:cs="Times New Roman"/>
          <w:sz w:val="20"/>
          <w:szCs w:val="24"/>
        </w:rPr>
        <w:t xml:space="preserve"> leidžiančių savivaldybėms tapti projektų iniciatoriais. Apibendrinant, Ignalinos mieste buvo renovuota apie 90% daugiabučių namų </w:t>
      </w:r>
      <w:r w:rsidR="002D76C1">
        <w:rPr>
          <w:rFonts w:ascii="Arial" w:eastAsia="MS PGothic" w:hAnsi="Arial" w:cs="Times New Roman"/>
          <w:sz w:val="20"/>
          <w:szCs w:val="24"/>
        </w:rPr>
        <w:t>–</w:t>
      </w:r>
      <w:r w:rsidR="00006BDE">
        <w:rPr>
          <w:rFonts w:ascii="Arial" w:eastAsia="MS PGothic" w:hAnsi="Arial" w:cs="Times New Roman"/>
          <w:sz w:val="20"/>
          <w:szCs w:val="24"/>
        </w:rPr>
        <w:t xml:space="preserve"> šis rezultatas yra vienas geriausių Lietuvos Respublikos mastu.</w:t>
      </w:r>
    </w:p>
    <w:p w:rsidR="00D87904" w:rsidRDefault="002D1DCE" w:rsidP="002D1DCE">
      <w:pPr>
        <w:jc w:val="both"/>
        <w:rPr>
          <w:rFonts w:ascii="Arial" w:eastAsia="MS PGothic" w:hAnsi="Arial" w:cs="Times New Roman"/>
          <w:sz w:val="20"/>
          <w:szCs w:val="24"/>
        </w:rPr>
      </w:pPr>
      <w:r w:rsidRPr="00245FC3">
        <w:rPr>
          <w:rFonts w:ascii="Arial" w:eastAsia="MS PGothic" w:hAnsi="Arial" w:cs="Times New Roman"/>
          <w:sz w:val="20"/>
          <w:szCs w:val="24"/>
        </w:rPr>
        <w:t>ES struktūrinių fondų lėšos didžiausią įtaką darė fizinės aplinkos gerinimo ir ekonominės veiklos skatinimo srityse, kuriant ir plėtojant gyvenamosios aplinkos</w:t>
      </w:r>
      <w:r w:rsidR="00006BDE">
        <w:rPr>
          <w:rFonts w:ascii="Arial" w:eastAsia="MS PGothic" w:hAnsi="Arial" w:cs="Times New Roman"/>
          <w:sz w:val="20"/>
          <w:szCs w:val="24"/>
        </w:rPr>
        <w:t>, transporto tinklo</w:t>
      </w:r>
      <w:r w:rsidRPr="00245FC3">
        <w:rPr>
          <w:rFonts w:ascii="Arial" w:eastAsia="MS PGothic" w:hAnsi="Arial" w:cs="Times New Roman"/>
          <w:sz w:val="20"/>
          <w:szCs w:val="24"/>
        </w:rPr>
        <w:t xml:space="preserve"> infrastruktūrą.</w:t>
      </w:r>
      <w:r w:rsidR="00006BDE">
        <w:rPr>
          <w:rFonts w:ascii="Arial" w:eastAsia="MS PGothic" w:hAnsi="Arial" w:cs="Times New Roman"/>
          <w:sz w:val="20"/>
          <w:szCs w:val="24"/>
        </w:rPr>
        <w:t xml:space="preserve"> </w:t>
      </w:r>
    </w:p>
    <w:p w:rsidR="00D87904" w:rsidRDefault="00D87904" w:rsidP="002D1DCE">
      <w:pPr>
        <w:jc w:val="both"/>
        <w:rPr>
          <w:rFonts w:ascii="Arial" w:eastAsia="MS PGothic" w:hAnsi="Arial" w:cs="Times New Roman"/>
          <w:sz w:val="20"/>
          <w:szCs w:val="24"/>
        </w:rPr>
      </w:pPr>
      <w:r w:rsidRPr="008E4F54">
        <w:rPr>
          <w:rFonts w:ascii="Arial" w:eastAsia="MS PGothic" w:hAnsi="Arial" w:cs="Times New Roman"/>
          <w:noProof/>
          <w:sz w:val="20"/>
          <w:szCs w:val="24"/>
          <w:lang w:val="en-US"/>
        </w:rPr>
        <mc:AlternateContent>
          <mc:Choice Requires="wps">
            <w:drawing>
              <wp:anchor distT="0" distB="0" distL="114300" distR="114300" simplePos="0" relativeHeight="251681792" behindDoc="1" locked="0" layoutInCell="1" allowOverlap="1" wp14:anchorId="0331AAAD" wp14:editId="236D7069">
                <wp:simplePos x="0" y="0"/>
                <wp:positionH relativeFrom="column">
                  <wp:posOffset>-5715</wp:posOffset>
                </wp:positionH>
                <wp:positionV relativeFrom="paragraph">
                  <wp:posOffset>1730375</wp:posOffset>
                </wp:positionV>
                <wp:extent cx="5035550" cy="1403985"/>
                <wp:effectExtent l="0" t="0" r="12700" b="24130"/>
                <wp:wrapTight wrapText="bothSides">
                  <wp:wrapPolygon edited="0">
                    <wp:start x="0" y="0"/>
                    <wp:lineTo x="0" y="21665"/>
                    <wp:lineTo x="21573" y="21665"/>
                    <wp:lineTo x="21573"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0" cy="1403985"/>
                        </a:xfrm>
                        <a:prstGeom prst="rect">
                          <a:avLst/>
                        </a:prstGeom>
                        <a:solidFill>
                          <a:srgbClr val="FFFFFF"/>
                        </a:solidFill>
                        <a:ln w="9525">
                          <a:solidFill>
                            <a:srgbClr val="000000"/>
                          </a:solidFill>
                          <a:miter lim="800000"/>
                          <a:headEnd/>
                          <a:tailEnd/>
                        </a:ln>
                      </wps:spPr>
                      <wps:txbx>
                        <w:txbxContent>
                          <w:p w:rsidR="008E4F54" w:rsidRPr="008E4F54" w:rsidRDefault="008E4F54" w:rsidP="008E4F54">
                            <w:pPr>
                              <w:jc w:val="both"/>
                              <w:rPr>
                                <w:rFonts w:ascii="Arial" w:hAnsi="Arial" w:cs="Arial"/>
                                <w:b/>
                                <w:sz w:val="16"/>
                                <w:szCs w:val="16"/>
                              </w:rPr>
                            </w:pPr>
                            <w:r w:rsidRPr="008E4F54">
                              <w:rPr>
                                <w:rFonts w:ascii="Arial" w:hAnsi="Arial" w:cs="Arial"/>
                                <w:b/>
                                <w:sz w:val="16"/>
                                <w:szCs w:val="16"/>
                              </w:rPr>
                              <w:t>Bendro naudojimo teritorijų ir statinių Ignalinoje pagerinimas, VP3-1.1-VRM-02-R-92-003</w:t>
                            </w:r>
                          </w:p>
                          <w:p w:rsidR="008E4F54" w:rsidRPr="008E4F54" w:rsidRDefault="008E4F54" w:rsidP="008E4F54">
                            <w:pPr>
                              <w:jc w:val="both"/>
                              <w:rPr>
                                <w:rFonts w:ascii="Arial" w:hAnsi="Arial" w:cs="Arial"/>
                                <w:sz w:val="16"/>
                                <w:szCs w:val="16"/>
                              </w:rPr>
                            </w:pPr>
                            <w:r w:rsidRPr="008E4F54">
                              <w:rPr>
                                <w:rFonts w:ascii="Arial" w:hAnsi="Arial" w:cs="Arial"/>
                                <w:sz w:val="16"/>
                                <w:szCs w:val="16"/>
                              </w:rPr>
                              <w:t xml:space="preserve">Atlikus projekto darbus, mieste pagerintos laisvalaikio ir užimtumo galimybes, pagyvintos jau anksčiau sutvarkytas  teritorijas, kurios tapo dar  patrauklesnės gyventojams, svečiams bei poilsiautojams. Įgyvendinant projektą padaryta išties daug: mieste atsirado lauko treniruoklių aikštelės. Dabar sportuoti gryname ore galima paplūdimiuose prie Gavio ir Ilgio ežerų, sporto aikštelėse Mokyklos ir Aukštaičių gatvėse. Keletas koncertų jau vyko atnaujintoje miesto vasaros estradoje. Išasfaltuotas į ją vedantis takas. Paplovinio ežere įrengta pantoninė aikštelė. Aukštaičių gatvėje  - nauja krepšinio aikštelė, sutvarkyta P. Cvirkos gatvės dalis, pakloti  šaligatviai. Vėlesniame darbų etape ši gatvės dalis išasfaltuota. Prie lauko scenos Mokyklos gatvėje pastatyti suolai žiūrovams. </w:t>
                            </w:r>
                            <w:r w:rsidRPr="008E4F54">
                              <w:rPr>
                                <w:rFonts w:ascii="Arial" w:hAnsi="Arial" w:cs="Arial"/>
                                <w:sz w:val="16"/>
                                <w:szCs w:val="16"/>
                              </w:rPr>
                              <w:t xml:space="preserve">Šią vasarą ignaliniečiai ir miesto svečiai jau džiaugėsi pagražėjusiu  paplūdimiu, išbandė įvairių akmenėlių sveikatingumo taką, jaunimas </w:t>
                            </w:r>
                            <w:r w:rsidRPr="008E4F54">
                              <w:rPr>
                                <w:rFonts w:ascii="Arial" w:hAnsi="Arial" w:cs="Arial"/>
                                <w:sz w:val="16"/>
                                <w:szCs w:val="16"/>
                              </w:rPr>
                              <w:t>žaidė naujoje tinklinio aikštelėje.</w:t>
                            </w:r>
                            <w:r w:rsidR="00D87904" w:rsidRPr="00D87904">
                              <w:rPr>
                                <w:rFonts w:ascii="Arial" w:hAnsi="Arial" w:cs="Arial"/>
                                <w:sz w:val="16"/>
                                <w:szCs w:val="16"/>
                              </w:rPr>
                              <w:t xml:space="preserve"> </w:t>
                            </w:r>
                            <w:r w:rsidR="00D87904">
                              <w:rPr>
                                <w:rFonts w:ascii="Arial" w:hAnsi="Arial" w:cs="Arial"/>
                                <w:sz w:val="16"/>
                                <w:szCs w:val="16"/>
                              </w:rPr>
                              <w:t>Investicijos į socialinės situacijos gerinimą prisidėjo prie darnaus vystymosi principo įgyveninimo.</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left:0;text-align:left;margin-left:-.45pt;margin-top:136.25pt;width:396.5pt;height:110.55pt;z-index:-2516346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">
                <v:textbox style="mso-fit-shape-to-text:t">
                  <w:txbxContent>
                    <w:p w:rsidR="008E4F54" w:rsidRPr="008E4F54" w:rsidRDefault="008E4F54" w:rsidP="008E4F54">
                      <w:pPr>
                        <w:jc w:val="both"/>
                        <w:rPr>
                          <w:rFonts w:ascii="Arial" w:hAnsi="Arial" w:cs="Arial"/>
                          <w:b/>
                          <w:sz w:val="16"/>
                          <w:szCs w:val="16"/>
                        </w:rPr>
                      </w:pPr>
                      <w:r w:rsidRPr="008E4F54">
                        <w:rPr>
                          <w:rFonts w:ascii="Arial" w:hAnsi="Arial" w:cs="Arial"/>
                          <w:b/>
                          <w:sz w:val="16"/>
                          <w:szCs w:val="16"/>
                        </w:rPr>
                        <w:t>Bendro naudojimo teritorijų ir statinių Ignalinoje pagerinimas, VP3-1.1-VRM-02-R-92-003</w:t>
                      </w:r>
                    </w:p>
                    <w:p w:rsidR="008E4F54" w:rsidRPr="008E4F54" w:rsidRDefault="008E4F54" w:rsidP="008E4F54">
                      <w:pPr>
                        <w:jc w:val="both"/>
                        <w:rPr>
                          <w:rFonts w:ascii="Arial" w:hAnsi="Arial" w:cs="Arial"/>
                          <w:sz w:val="16"/>
                          <w:szCs w:val="16"/>
                        </w:rPr>
                      </w:pPr>
                      <w:r w:rsidRPr="008E4F54">
                        <w:rPr>
                          <w:rFonts w:ascii="Arial" w:hAnsi="Arial" w:cs="Arial"/>
                          <w:sz w:val="16"/>
                          <w:szCs w:val="16"/>
                        </w:rPr>
                        <w:t xml:space="preserve">Atlikus projekto darbus, mieste pagerintos laisvalaikio ir užimtumo galimybes, pagyvintos jau anksčiau sutvarkytas  teritorijas, kurios tapo dar  patrauklesnės gyventojams, svečiams bei poilsiautojams. Įgyvendinant projektą padaryta išties daug: mieste atsirado lauko treniruoklių aikštelės. Dabar sportuoti gryname ore galima paplūdimiuose prie Gavio ir Ilgio ežerų, sporto aikštelėse Mokyklos ir Aukštaičių gatvėse. Keletas koncertų jau vyko atnaujintoje miesto vasaros estradoje. Išasfaltuotas į ją vedantis takas. Paplovinio ežere įrengta pantoninė aikštelė. Aukštaičių gatvėje  - nauja krepšinio aikštelė, sutvarkyta P. Cvirkos gatvės dalis, pakloti  šaligatviai. Vėlesniame darbų etape ši gatvės dalis išasfaltuota. Prie lauko scenos Mokyklos gatvėje pastatyti suolai žiūrovams. </w:t>
                      </w:r>
                      <w:r w:rsidRPr="008E4F54">
                        <w:rPr>
                          <w:rFonts w:ascii="Arial" w:hAnsi="Arial" w:cs="Arial"/>
                          <w:sz w:val="16"/>
                          <w:szCs w:val="16"/>
                        </w:rPr>
                        <w:t xml:space="preserve">Šią vasarą ignaliniečiai ir miesto svečiai jau džiaugėsi pagražėjusiu  paplūdimiu, išbandė įvairių akmenėlių sveikatingumo taką, jaunimas </w:t>
                      </w:r>
                      <w:r w:rsidRPr="008E4F54">
                        <w:rPr>
                          <w:rFonts w:ascii="Arial" w:hAnsi="Arial" w:cs="Arial"/>
                          <w:sz w:val="16"/>
                          <w:szCs w:val="16"/>
                        </w:rPr>
                        <w:t>žaidė naujoje tinklinio aikštelėje.</w:t>
                      </w:r>
                      <w:r w:rsidR="00D87904" w:rsidRPr="00D87904">
                        <w:rPr>
                          <w:rFonts w:ascii="Arial" w:hAnsi="Arial" w:cs="Arial"/>
                          <w:sz w:val="16"/>
                          <w:szCs w:val="16"/>
                        </w:rPr>
                        <w:t xml:space="preserve"> </w:t>
                      </w:r>
                      <w:r w:rsidR="00D87904">
                        <w:rPr>
                          <w:rFonts w:ascii="Arial" w:hAnsi="Arial" w:cs="Arial"/>
                          <w:sz w:val="16"/>
                          <w:szCs w:val="16"/>
                        </w:rPr>
                        <w:t>Investicijos į socialinės situacijos gerinimą prisidėjo prie darnaus vystymosi principo įgyveninimo.</w:t>
                      </w:r>
                      <w:bookmarkStart w:id="1" w:name="_GoBack"/>
                      <w:bookmarkEnd w:id="1"/>
                    </w:p>
                  </w:txbxContent>
                </v:textbox>
                <w10:wrap type="tight"/>
              </v:shape>
            </w:pict>
          </mc:Fallback>
        </mc:AlternateContent>
      </w:r>
      <w:r w:rsidRPr="008E4F54">
        <w:rPr>
          <w:rFonts w:ascii="Arial" w:eastAsia="MS PGothic" w:hAnsi="Arial" w:cs="Times New Roman"/>
          <w:noProof/>
          <w:sz w:val="20"/>
          <w:szCs w:val="24"/>
          <w:lang w:val="en-US"/>
        </w:rPr>
        <mc:AlternateContent>
          <mc:Choice Requires="wps">
            <w:drawing>
              <wp:anchor distT="0" distB="0" distL="114300" distR="114300" simplePos="0" relativeHeight="251683840" behindDoc="1" locked="0" layoutInCell="1" allowOverlap="1" wp14:anchorId="4EA27FCD" wp14:editId="4B0DCB1E">
                <wp:simplePos x="0" y="0"/>
                <wp:positionH relativeFrom="column">
                  <wp:posOffset>-3810</wp:posOffset>
                </wp:positionH>
                <wp:positionV relativeFrom="paragraph">
                  <wp:posOffset>34925</wp:posOffset>
                </wp:positionV>
                <wp:extent cx="5035550" cy="1403985"/>
                <wp:effectExtent l="0" t="0" r="12700" b="21590"/>
                <wp:wrapTight wrapText="bothSides">
                  <wp:wrapPolygon edited="0">
                    <wp:start x="0" y="0"/>
                    <wp:lineTo x="0" y="21642"/>
                    <wp:lineTo x="21573" y="21642"/>
                    <wp:lineTo x="21573"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0" cy="1403985"/>
                        </a:xfrm>
                        <a:prstGeom prst="rect">
                          <a:avLst/>
                        </a:prstGeom>
                        <a:solidFill>
                          <a:srgbClr val="FFFFFF"/>
                        </a:solidFill>
                        <a:ln w="9525">
                          <a:solidFill>
                            <a:srgbClr val="000000"/>
                          </a:solidFill>
                          <a:miter lim="800000"/>
                          <a:headEnd/>
                          <a:tailEnd/>
                        </a:ln>
                      </wps:spPr>
                      <wps:txbx>
                        <w:txbxContent>
                          <w:p w:rsidR="008E4F54" w:rsidRDefault="008E4F54" w:rsidP="008E4F54">
                            <w:pPr>
                              <w:jc w:val="both"/>
                              <w:rPr>
                                <w:rFonts w:ascii="Arial" w:hAnsi="Arial" w:cs="Arial"/>
                                <w:b/>
                                <w:sz w:val="16"/>
                                <w:szCs w:val="16"/>
                              </w:rPr>
                            </w:pPr>
                            <w:r w:rsidRPr="008E4F54">
                              <w:rPr>
                                <w:rFonts w:ascii="Arial" w:hAnsi="Arial" w:cs="Arial"/>
                                <w:b/>
                                <w:sz w:val="16"/>
                                <w:szCs w:val="16"/>
                              </w:rPr>
                              <w:t>Ignalinos miesto centrinės dalies gatvių (Aukštaičių, Laisvės, Atgimimo ir Bažnyčios) sutvarkymas ir viešosi</w:t>
                            </w:r>
                            <w:r>
                              <w:rPr>
                                <w:rFonts w:ascii="Arial" w:hAnsi="Arial" w:cs="Arial"/>
                                <w:b/>
                                <w:sz w:val="16"/>
                                <w:szCs w:val="16"/>
                              </w:rPr>
                              <w:t>os infrastruktūros atnaujinimas</w:t>
                            </w:r>
                            <w:r w:rsidRPr="008E4F54">
                              <w:rPr>
                                <w:rFonts w:ascii="Arial" w:hAnsi="Arial" w:cs="Arial"/>
                                <w:b/>
                                <w:sz w:val="16"/>
                                <w:szCs w:val="16"/>
                              </w:rPr>
                              <w:t xml:space="preserve">, </w:t>
                            </w:r>
                            <w:r>
                              <w:rPr>
                                <w:rFonts w:ascii="Arial" w:hAnsi="Arial" w:cs="Arial"/>
                                <w:b/>
                                <w:sz w:val="16"/>
                                <w:szCs w:val="16"/>
                              </w:rPr>
                              <w:t>VP3-1.1-VRM-02-R-92-001</w:t>
                            </w:r>
                          </w:p>
                          <w:p w:rsidR="008E4F54" w:rsidRPr="008E4F54" w:rsidRDefault="0030541F" w:rsidP="0030541F">
                            <w:pPr>
                              <w:jc w:val="both"/>
                              <w:rPr>
                                <w:rFonts w:ascii="Arial" w:hAnsi="Arial" w:cs="Arial"/>
                                <w:sz w:val="16"/>
                                <w:szCs w:val="16"/>
                              </w:rPr>
                            </w:pPr>
                            <w:r>
                              <w:rPr>
                                <w:rFonts w:ascii="Arial" w:hAnsi="Arial" w:cs="Arial"/>
                                <w:sz w:val="16"/>
                                <w:szCs w:val="16"/>
                              </w:rPr>
                              <w:t>Į</w:t>
                            </w:r>
                            <w:r w:rsidRPr="0030541F">
                              <w:rPr>
                                <w:rFonts w:ascii="Arial" w:hAnsi="Arial" w:cs="Arial"/>
                                <w:sz w:val="16"/>
                                <w:szCs w:val="16"/>
                              </w:rPr>
                              <w:t>gyvendinant minėtą projektą atlikti Aukštaičių, Laisvės, Atgimimo ir Bažnyčios gatvių atnaujinimo, rekonstravimo, tvarkymo darbai. Taip pat Geležinkelio gatvėje esančioje tremties atminimo vietoje bei skvere prie Vasario 16-osios ir Laisvės gatvių sankryžos paklota spalvotų trinkelių danga, pastatyti suoliukai.</w:t>
                            </w:r>
                            <w:r w:rsidRPr="0030541F">
                              <w:t xml:space="preserve"> </w:t>
                            </w:r>
                            <w:r w:rsidRPr="0030541F">
                              <w:rPr>
                                <w:rFonts w:ascii="Arial" w:hAnsi="Arial" w:cs="Arial"/>
                                <w:sz w:val="16"/>
                                <w:szCs w:val="16"/>
                              </w:rPr>
                              <w:t xml:space="preserve">Statybos darbų rangos sutartyje 2012-04-16 numatyta statybos darbų kaina – 842 507,88 Lt. </w:t>
                            </w:r>
                            <w:r w:rsidRPr="0030541F">
                              <w:rPr>
                                <w:rFonts w:ascii="Arial" w:hAnsi="Arial" w:cs="Arial"/>
                                <w:sz w:val="16"/>
                                <w:szCs w:val="16"/>
                              </w:rPr>
                              <w:t xml:space="preserve">Atlikus minėtus darbus pagerėjo miesto centrinės dalies gyvenamoji aplinka ir gyvenimo kokybė, investicinis </w:t>
                            </w:r>
                            <w:r w:rsidRPr="0030541F">
                              <w:rPr>
                                <w:rFonts w:ascii="Arial" w:hAnsi="Arial" w:cs="Arial"/>
                                <w:sz w:val="16"/>
                                <w:szCs w:val="16"/>
                              </w:rPr>
                              <w:t>ir gyvenamosios aplinkos patrauklumas.</w:t>
                            </w:r>
                            <w:r w:rsidR="00D87904">
                              <w:rPr>
                                <w:rFonts w:ascii="Arial" w:hAnsi="Arial" w:cs="Arial"/>
                                <w:sz w:val="16"/>
                                <w:szCs w:val="16"/>
                              </w:rPr>
                              <w:t xml:space="preserve"> Investicijos į socialinės situacijos gerinimą prisidėjo prie darnaus vystymosi principo įgyveninimo.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3pt;margin-top:2.75pt;width:396.5pt;height:110.55pt;z-index:-2516326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">
                <v:textbox style="mso-fit-shape-to-text:t">
                  <w:txbxContent>
                    <w:p w:rsidR="008E4F54" w:rsidRDefault="008E4F54" w:rsidP="008E4F54">
                      <w:pPr>
                        <w:jc w:val="both"/>
                        <w:rPr>
                          <w:rFonts w:ascii="Arial" w:hAnsi="Arial" w:cs="Arial"/>
                          <w:b/>
                          <w:sz w:val="16"/>
                          <w:szCs w:val="16"/>
                        </w:rPr>
                      </w:pPr>
                      <w:r w:rsidRPr="008E4F54">
                        <w:rPr>
                          <w:rFonts w:ascii="Arial" w:hAnsi="Arial" w:cs="Arial"/>
                          <w:b/>
                          <w:sz w:val="16"/>
                          <w:szCs w:val="16"/>
                        </w:rPr>
                        <w:t>Ignalinos miesto centrinės dalies gatvių (Aukštaičių, Laisvės, Atgimimo ir Bažnyčios) sutvarkymas ir viešosi</w:t>
                      </w:r>
                      <w:r>
                        <w:rPr>
                          <w:rFonts w:ascii="Arial" w:hAnsi="Arial" w:cs="Arial"/>
                          <w:b/>
                          <w:sz w:val="16"/>
                          <w:szCs w:val="16"/>
                        </w:rPr>
                        <w:t>os infrastruktūros atnaujinimas</w:t>
                      </w:r>
                      <w:r w:rsidRPr="008E4F54">
                        <w:rPr>
                          <w:rFonts w:ascii="Arial" w:hAnsi="Arial" w:cs="Arial"/>
                          <w:b/>
                          <w:sz w:val="16"/>
                          <w:szCs w:val="16"/>
                        </w:rPr>
                        <w:t xml:space="preserve">, </w:t>
                      </w:r>
                      <w:r>
                        <w:rPr>
                          <w:rFonts w:ascii="Arial" w:hAnsi="Arial" w:cs="Arial"/>
                          <w:b/>
                          <w:sz w:val="16"/>
                          <w:szCs w:val="16"/>
                        </w:rPr>
                        <w:t>VP3-1.1-VRM-02-R-92-001</w:t>
                      </w:r>
                    </w:p>
                    <w:p w:rsidR="008E4F54" w:rsidRPr="008E4F54" w:rsidRDefault="0030541F" w:rsidP="0030541F">
                      <w:pPr>
                        <w:jc w:val="both"/>
                        <w:rPr>
                          <w:rFonts w:ascii="Arial" w:hAnsi="Arial" w:cs="Arial"/>
                          <w:sz w:val="16"/>
                          <w:szCs w:val="16"/>
                        </w:rPr>
                      </w:pPr>
                      <w:r>
                        <w:rPr>
                          <w:rFonts w:ascii="Arial" w:hAnsi="Arial" w:cs="Arial"/>
                          <w:sz w:val="16"/>
                          <w:szCs w:val="16"/>
                        </w:rPr>
                        <w:t>Į</w:t>
                      </w:r>
                      <w:r w:rsidRPr="0030541F">
                        <w:rPr>
                          <w:rFonts w:ascii="Arial" w:hAnsi="Arial" w:cs="Arial"/>
                          <w:sz w:val="16"/>
                          <w:szCs w:val="16"/>
                        </w:rPr>
                        <w:t>gyvendinant minėtą projektą atlikti Aukštaičių, Laisvės, Atgimimo ir Bažnyčios gatvių atnaujinimo, rekonstravimo, tvarkymo darbai. Taip pat Geležinkelio gatvėje esančioje tremties atminimo vietoje bei skvere prie Vasario 16-osios ir Laisvės gatvių sankryžos paklota spalvotų trinkelių danga, pastatyti suoliukai.</w:t>
                      </w:r>
                      <w:r w:rsidRPr="0030541F">
                        <w:t xml:space="preserve"> </w:t>
                      </w:r>
                      <w:r w:rsidRPr="0030541F">
                        <w:rPr>
                          <w:rFonts w:ascii="Arial" w:hAnsi="Arial" w:cs="Arial"/>
                          <w:sz w:val="16"/>
                          <w:szCs w:val="16"/>
                        </w:rPr>
                        <w:t xml:space="preserve">Statybos darbų rangos sutartyje 2012-04-16 numatyta statybos darbų kaina – 842 507,88 Lt. </w:t>
                      </w:r>
                      <w:r w:rsidRPr="0030541F">
                        <w:rPr>
                          <w:rFonts w:ascii="Arial" w:hAnsi="Arial" w:cs="Arial"/>
                          <w:sz w:val="16"/>
                          <w:szCs w:val="16"/>
                        </w:rPr>
                        <w:t xml:space="preserve">Atlikus minėtus darbus pagerėjo miesto centrinės dalies gyvenamoji aplinka ir gyvenimo kokybė, investicinis </w:t>
                      </w:r>
                      <w:r w:rsidRPr="0030541F">
                        <w:rPr>
                          <w:rFonts w:ascii="Arial" w:hAnsi="Arial" w:cs="Arial"/>
                          <w:sz w:val="16"/>
                          <w:szCs w:val="16"/>
                        </w:rPr>
                        <w:t>ir gyvenamosios aplinkos patrauklumas.</w:t>
                      </w:r>
                      <w:r w:rsidR="00D87904">
                        <w:rPr>
                          <w:rFonts w:ascii="Arial" w:hAnsi="Arial" w:cs="Arial"/>
                          <w:sz w:val="16"/>
                          <w:szCs w:val="16"/>
                        </w:rPr>
                        <w:t xml:space="preserve"> Investicijos į socialinės situacijos gerinimą prisidėjo prie darnaus vystymosi principo įgyveninimo.</w:t>
                      </w:r>
                    </w:p>
                  </w:txbxContent>
                </v:textbox>
                <w10:wrap type="tight"/>
              </v:shape>
            </w:pict>
          </mc:Fallback>
        </mc:AlternateContent>
      </w:r>
    </w:p>
    <w:p w:rsidR="00D87904" w:rsidRDefault="00D87904" w:rsidP="002D1DCE">
      <w:pPr>
        <w:jc w:val="both"/>
        <w:rPr>
          <w:rFonts w:ascii="Arial" w:eastAsia="MS PGothic" w:hAnsi="Arial" w:cs="Times New Roman"/>
          <w:sz w:val="20"/>
          <w:szCs w:val="24"/>
        </w:rPr>
      </w:pPr>
    </w:p>
    <w:p w:rsidR="00D87904" w:rsidRDefault="00D87904" w:rsidP="002D1DCE">
      <w:pPr>
        <w:jc w:val="both"/>
        <w:rPr>
          <w:rFonts w:ascii="Arial" w:eastAsia="MS PGothic" w:hAnsi="Arial" w:cs="Times New Roman"/>
          <w:sz w:val="20"/>
          <w:szCs w:val="24"/>
        </w:rPr>
      </w:pPr>
    </w:p>
    <w:p w:rsidR="002D1DCE" w:rsidRPr="00245FC3" w:rsidRDefault="00D87904" w:rsidP="002D1DCE">
      <w:pPr>
        <w:jc w:val="both"/>
        <w:rPr>
          <w:rFonts w:ascii="Arial" w:eastAsia="MS PGothic" w:hAnsi="Arial" w:cs="Times New Roman"/>
          <w:sz w:val="20"/>
          <w:szCs w:val="24"/>
        </w:rPr>
      </w:pPr>
      <w:r>
        <w:rPr>
          <w:rFonts w:ascii="Arial" w:eastAsia="MS PGothic" w:hAnsi="Arial" w:cs="Times New Roman"/>
          <w:sz w:val="20"/>
          <w:szCs w:val="24"/>
        </w:rPr>
        <w:t>V</w:t>
      </w:r>
      <w:r w:rsidR="00006BDE">
        <w:rPr>
          <w:rFonts w:ascii="Arial" w:eastAsia="MS PGothic" w:hAnsi="Arial" w:cs="Times New Roman"/>
          <w:sz w:val="20"/>
          <w:szCs w:val="24"/>
        </w:rPr>
        <w:t>erslo aplinkos gerinimo ir įmonių konkurencingumo</w:t>
      </w:r>
      <w:r w:rsidR="001E3402">
        <w:rPr>
          <w:rFonts w:ascii="Arial" w:eastAsia="MS PGothic" w:hAnsi="Arial" w:cs="Times New Roman"/>
          <w:sz w:val="20"/>
          <w:szCs w:val="24"/>
        </w:rPr>
        <w:t xml:space="preserve"> </w:t>
      </w:r>
      <w:r w:rsidR="00006BDE">
        <w:rPr>
          <w:rFonts w:ascii="Arial" w:eastAsia="MS PGothic" w:hAnsi="Arial" w:cs="Times New Roman"/>
          <w:sz w:val="20"/>
          <w:szCs w:val="24"/>
        </w:rPr>
        <w:t>srityje nebuvo įgyvendintas nei vienas projektas, tokiu būdu didelę lėšų dalį skiriant infrastruktūriniams projektams. Į</w:t>
      </w:r>
      <w:r w:rsidR="002D1DCE" w:rsidRPr="00245FC3">
        <w:rPr>
          <w:rFonts w:ascii="Arial" w:eastAsia="MS PGothic" w:hAnsi="Arial" w:cs="Times New Roman"/>
          <w:sz w:val="20"/>
          <w:szCs w:val="24"/>
        </w:rPr>
        <w:t xml:space="preserve">vertinus ES struktūrinių fondų investavimo kryptis ir stebimus socio-ekonominius bei aplinkos taršos rodiklių pokyčius, galima teigti, kad </w:t>
      </w:r>
      <w:r w:rsidR="00006BDE">
        <w:rPr>
          <w:rFonts w:ascii="Arial" w:eastAsia="MS PGothic" w:hAnsi="Arial" w:cs="Times New Roman"/>
          <w:sz w:val="20"/>
          <w:szCs w:val="24"/>
        </w:rPr>
        <w:t xml:space="preserve">Ignalinos rajono savivaldybėje ES SF didesnio poveikio socio-ekonominių ir aplinkos taršos rodiklių kaitai nepadarė. </w:t>
      </w:r>
    </w:p>
    <w:p w:rsidR="00897144" w:rsidRPr="00245FC3" w:rsidRDefault="00897144">
      <w:pPr>
        <w:jc w:val="both"/>
        <w:rPr>
          <w:rFonts w:ascii="Arial" w:eastAsia="MS PGothic" w:hAnsi="Arial" w:cs="Times New Roman"/>
          <w:sz w:val="20"/>
          <w:szCs w:val="24"/>
        </w:rPr>
      </w:pPr>
    </w:p>
    <w:sectPr w:rsidR="00897144" w:rsidRPr="00245FC3" w:rsidSect="00252B4A">
      <w:footerReference w:type="default" r:id="rId19"/>
      <w:footerReference w:type="first" r:id="rId20"/>
      <w:pgSz w:w="11901" w:h="16840"/>
      <w:pgMar w:top="1418" w:right="1134" w:bottom="1701" w:left="2835"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6F0" w:rsidRDefault="00DE16F0">
      <w:pPr>
        <w:spacing w:after="0" w:line="240" w:lineRule="auto"/>
      </w:pPr>
      <w:r>
        <w:separator/>
      </w:r>
    </w:p>
  </w:endnote>
  <w:endnote w:type="continuationSeparator" w:id="0">
    <w:p w:rsidR="00DE16F0" w:rsidRDefault="00DE1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PGothic">
    <w:panose1 w:val="020B0600070205080204"/>
    <w:charset w:val="80"/>
    <w:family w:val="swiss"/>
    <w:pitch w:val="variable"/>
    <w:sig w:usb0="E00002FF" w:usb1="6AC7FDFB" w:usb2="00000012" w:usb3="00000000" w:csb0="0002009F" w:csb1="00000000"/>
  </w:font>
  <w:font w:name="Times">
    <w:panose1 w:val="02020603050405020304"/>
    <w:charset w:val="BA"/>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319519"/>
      <w:docPartObj>
        <w:docPartGallery w:val="Page Numbers (Bottom of Page)"/>
        <w:docPartUnique/>
      </w:docPartObj>
    </w:sdtPr>
    <w:sdtEndPr>
      <w:rPr>
        <w:noProof/>
      </w:rPr>
    </w:sdtEndPr>
    <w:sdtContent>
      <w:p w:rsidR="00DC7F6C" w:rsidRDefault="00DC7F6C">
        <w:pPr>
          <w:pStyle w:val="Footer"/>
          <w:jc w:val="right"/>
        </w:pPr>
        <w:r>
          <w:fldChar w:fldCharType="begin"/>
        </w:r>
        <w:r>
          <w:instrText xml:space="preserve"> PAGE   \* MERGEFORMAT </w:instrText>
        </w:r>
        <w:r>
          <w:fldChar w:fldCharType="separate"/>
        </w:r>
        <w:r w:rsidR="00D87904">
          <w:rPr>
            <w:noProof/>
          </w:rPr>
          <w:t>6</w:t>
        </w:r>
        <w:r>
          <w:rPr>
            <w:noProof/>
          </w:rPr>
          <w:fldChar w:fldCharType="end"/>
        </w:r>
      </w:p>
    </w:sdtContent>
  </w:sdt>
  <w:p w:rsidR="008F6941" w:rsidRDefault="008F69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2416536"/>
      <w:docPartObj>
        <w:docPartGallery w:val="Page Numbers (Bottom of Page)"/>
        <w:docPartUnique/>
      </w:docPartObj>
    </w:sdtPr>
    <w:sdtEndPr>
      <w:rPr>
        <w:noProof/>
        <w:szCs w:val="17"/>
      </w:rPr>
    </w:sdtEndPr>
    <w:sdtContent>
      <w:p w:rsidR="008F6941" w:rsidRPr="00DC7F6C" w:rsidRDefault="008F6941">
        <w:pPr>
          <w:pStyle w:val="Footer"/>
          <w:jc w:val="right"/>
          <w:rPr>
            <w:szCs w:val="17"/>
          </w:rPr>
        </w:pPr>
        <w:r w:rsidRPr="00DC7F6C">
          <w:rPr>
            <w:szCs w:val="17"/>
          </w:rPr>
          <w:fldChar w:fldCharType="begin"/>
        </w:r>
        <w:r w:rsidRPr="00DC7F6C">
          <w:rPr>
            <w:szCs w:val="17"/>
          </w:rPr>
          <w:instrText xml:space="preserve"> PAGE   \* MERGEFORMAT </w:instrText>
        </w:r>
        <w:r w:rsidRPr="00DC7F6C">
          <w:rPr>
            <w:szCs w:val="17"/>
          </w:rPr>
          <w:fldChar w:fldCharType="separate"/>
        </w:r>
        <w:r w:rsidR="005D7178">
          <w:rPr>
            <w:noProof/>
            <w:szCs w:val="17"/>
          </w:rPr>
          <w:t>1</w:t>
        </w:r>
        <w:r w:rsidRPr="00DC7F6C">
          <w:rPr>
            <w:noProof/>
            <w:szCs w:val="17"/>
          </w:rPr>
          <w:fldChar w:fldCharType="end"/>
        </w:r>
      </w:p>
    </w:sdtContent>
  </w:sdt>
  <w:p w:rsidR="00C45115" w:rsidRPr="00BE0549" w:rsidRDefault="00D87904" w:rsidP="00BE05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6F0" w:rsidRDefault="00DE16F0">
      <w:pPr>
        <w:spacing w:after="0" w:line="240" w:lineRule="auto"/>
      </w:pPr>
      <w:r>
        <w:separator/>
      </w:r>
    </w:p>
  </w:footnote>
  <w:footnote w:type="continuationSeparator" w:id="0">
    <w:p w:rsidR="00DE16F0" w:rsidRDefault="00DE16F0">
      <w:pPr>
        <w:spacing w:after="0" w:line="240" w:lineRule="auto"/>
      </w:pPr>
      <w:r>
        <w:continuationSeparator/>
      </w:r>
    </w:p>
  </w:footnote>
  <w:footnote w:id="1">
    <w:p w:rsidR="00D66F8E" w:rsidRPr="00FC1F97" w:rsidRDefault="00D66F8E">
      <w:pPr>
        <w:pStyle w:val="FootnoteText"/>
        <w:rPr>
          <w:rFonts w:ascii="Arial" w:hAnsi="Arial" w:cs="Arial"/>
          <w:sz w:val="18"/>
          <w:lang w:val="en-US"/>
        </w:rPr>
      </w:pPr>
      <w:r w:rsidRPr="00FC1F97">
        <w:rPr>
          <w:rStyle w:val="FootnoteReference"/>
          <w:rFonts w:ascii="Arial" w:hAnsi="Arial" w:cs="Arial"/>
          <w:sz w:val="18"/>
        </w:rPr>
        <w:footnoteRef/>
      </w:r>
      <w:r w:rsidRPr="00FC1F97">
        <w:rPr>
          <w:rFonts w:ascii="Arial" w:hAnsi="Arial" w:cs="Arial"/>
          <w:sz w:val="18"/>
        </w:rPr>
        <w:t xml:space="preserve"> 2011 m. gegužės 18 d. </w:t>
      </w:r>
      <w:proofErr w:type="spellStart"/>
      <w:r w:rsidRPr="00FC1F97">
        <w:rPr>
          <w:rFonts w:ascii="Arial" w:hAnsi="Arial" w:cs="Arial"/>
          <w:sz w:val="18"/>
          <w:lang w:val="en-US"/>
        </w:rPr>
        <w:t>Lietuvos</w:t>
      </w:r>
      <w:proofErr w:type="spellEnd"/>
      <w:r w:rsidRPr="00FC1F97">
        <w:rPr>
          <w:rFonts w:ascii="Arial" w:hAnsi="Arial" w:cs="Arial"/>
          <w:sz w:val="18"/>
          <w:lang w:val="en-US"/>
        </w:rPr>
        <w:t xml:space="preserve"> </w:t>
      </w:r>
      <w:proofErr w:type="spellStart"/>
      <w:r w:rsidRPr="00FC1F97">
        <w:rPr>
          <w:rFonts w:ascii="Arial" w:hAnsi="Arial" w:cs="Arial"/>
          <w:sz w:val="18"/>
          <w:lang w:val="en-US"/>
        </w:rPr>
        <w:t>Respublikos</w:t>
      </w:r>
      <w:proofErr w:type="spellEnd"/>
      <w:r w:rsidRPr="00FC1F97">
        <w:rPr>
          <w:rFonts w:ascii="Arial" w:hAnsi="Arial" w:cs="Arial"/>
          <w:sz w:val="18"/>
          <w:lang w:val="en-US"/>
        </w:rPr>
        <w:t xml:space="preserve"> </w:t>
      </w:r>
      <w:proofErr w:type="spellStart"/>
      <w:r w:rsidRPr="00FC1F97">
        <w:rPr>
          <w:rFonts w:ascii="Arial" w:hAnsi="Arial" w:cs="Arial"/>
          <w:sz w:val="18"/>
          <w:lang w:val="en-US"/>
        </w:rPr>
        <w:t>Vyriausyb</w:t>
      </w:r>
      <w:proofErr w:type="spellEnd"/>
      <w:r w:rsidRPr="00FC1F97">
        <w:rPr>
          <w:rFonts w:ascii="Arial" w:hAnsi="Arial" w:cs="Arial"/>
          <w:sz w:val="18"/>
        </w:rPr>
        <w:t xml:space="preserve">ės nutarimas Nr. 588 „Dėl probleminių teritorijų plėtros programų patvirtinimo“ &lt; </w:t>
      </w:r>
      <w:hyperlink r:id="rId1" w:history="1">
        <w:r w:rsidRPr="00FC1F97">
          <w:rPr>
            <w:rStyle w:val="Hyperlink"/>
            <w:rFonts w:ascii="Arial" w:hAnsi="Arial" w:cs="Arial"/>
            <w:sz w:val="18"/>
          </w:rPr>
          <w:t>https://e-tar.lt/portal/lt/legalAct/TAR.FA6D2B23F867</w:t>
        </w:r>
      </w:hyperlink>
      <w:r w:rsidRPr="00FC1F97">
        <w:rPr>
          <w:rFonts w:ascii="Arial" w:hAnsi="Arial" w:cs="Arial"/>
          <w:sz w:val="18"/>
        </w:rPr>
        <w:t xml:space="preserve"> &gt;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74A"/>
    <w:multiLevelType w:val="multilevel"/>
    <w:tmpl w:val="E03E5E5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ascii="Arial" w:hAnsi="Arial" w:cs="Arial" w:hint="default"/>
        <w:b w:val="0"/>
        <w:sz w:val="28"/>
        <w:szCs w:val="28"/>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nsid w:val="08D503ED"/>
    <w:multiLevelType w:val="multilevel"/>
    <w:tmpl w:val="3EF0123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nsid w:val="1AB36E7E"/>
    <w:multiLevelType w:val="multilevel"/>
    <w:tmpl w:val="3EF0123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nsid w:val="58922398"/>
    <w:multiLevelType w:val="hybridMultilevel"/>
    <w:tmpl w:val="6924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86592C"/>
    <w:multiLevelType w:val="multilevel"/>
    <w:tmpl w:val="3EF0123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7BB"/>
    <w:rsid w:val="00006BDE"/>
    <w:rsid w:val="0001054F"/>
    <w:rsid w:val="0001131C"/>
    <w:rsid w:val="00020455"/>
    <w:rsid w:val="000252B1"/>
    <w:rsid w:val="00031E4B"/>
    <w:rsid w:val="000534F9"/>
    <w:rsid w:val="0006433C"/>
    <w:rsid w:val="000C024B"/>
    <w:rsid w:val="000C341E"/>
    <w:rsid w:val="000D5BA5"/>
    <w:rsid w:val="000D77A0"/>
    <w:rsid w:val="000F56AE"/>
    <w:rsid w:val="00101E5E"/>
    <w:rsid w:val="00123257"/>
    <w:rsid w:val="001253F5"/>
    <w:rsid w:val="00136152"/>
    <w:rsid w:val="00180338"/>
    <w:rsid w:val="00182A6D"/>
    <w:rsid w:val="001A72A7"/>
    <w:rsid w:val="001B09C3"/>
    <w:rsid w:val="001E095D"/>
    <w:rsid w:val="001E3402"/>
    <w:rsid w:val="001F2140"/>
    <w:rsid w:val="0020507E"/>
    <w:rsid w:val="0020781B"/>
    <w:rsid w:val="0021741F"/>
    <w:rsid w:val="00231F9C"/>
    <w:rsid w:val="0023534D"/>
    <w:rsid w:val="00242947"/>
    <w:rsid w:val="00245A8A"/>
    <w:rsid w:val="00245FC3"/>
    <w:rsid w:val="00253066"/>
    <w:rsid w:val="00255C61"/>
    <w:rsid w:val="002677E8"/>
    <w:rsid w:val="00284741"/>
    <w:rsid w:val="00295323"/>
    <w:rsid w:val="002A3F19"/>
    <w:rsid w:val="002B4036"/>
    <w:rsid w:val="002D1DCE"/>
    <w:rsid w:val="002D76C1"/>
    <w:rsid w:val="002E30F9"/>
    <w:rsid w:val="002F2E98"/>
    <w:rsid w:val="002F53F5"/>
    <w:rsid w:val="0030541F"/>
    <w:rsid w:val="003102D0"/>
    <w:rsid w:val="00316283"/>
    <w:rsid w:val="00326A1B"/>
    <w:rsid w:val="00356065"/>
    <w:rsid w:val="0035623C"/>
    <w:rsid w:val="0037112C"/>
    <w:rsid w:val="003851F2"/>
    <w:rsid w:val="00397FF3"/>
    <w:rsid w:val="003B6A9C"/>
    <w:rsid w:val="003B70D8"/>
    <w:rsid w:val="003D195A"/>
    <w:rsid w:val="003E5F95"/>
    <w:rsid w:val="00412185"/>
    <w:rsid w:val="00424FB7"/>
    <w:rsid w:val="0044118D"/>
    <w:rsid w:val="004535C0"/>
    <w:rsid w:val="00462CCD"/>
    <w:rsid w:val="0047176E"/>
    <w:rsid w:val="004722C7"/>
    <w:rsid w:val="004743DF"/>
    <w:rsid w:val="0048233F"/>
    <w:rsid w:val="004A5F6F"/>
    <w:rsid w:val="004B45DE"/>
    <w:rsid w:val="004C6B41"/>
    <w:rsid w:val="004E0E71"/>
    <w:rsid w:val="00501B52"/>
    <w:rsid w:val="005166EC"/>
    <w:rsid w:val="00540ADA"/>
    <w:rsid w:val="005411B7"/>
    <w:rsid w:val="00554B62"/>
    <w:rsid w:val="005577BB"/>
    <w:rsid w:val="00560E0D"/>
    <w:rsid w:val="00591462"/>
    <w:rsid w:val="00594D44"/>
    <w:rsid w:val="005D34E4"/>
    <w:rsid w:val="005D7178"/>
    <w:rsid w:val="005D7C5E"/>
    <w:rsid w:val="00604D62"/>
    <w:rsid w:val="0061421F"/>
    <w:rsid w:val="0062033D"/>
    <w:rsid w:val="0062159A"/>
    <w:rsid w:val="00621899"/>
    <w:rsid w:val="00631113"/>
    <w:rsid w:val="00634F47"/>
    <w:rsid w:val="00645918"/>
    <w:rsid w:val="00660951"/>
    <w:rsid w:val="00666001"/>
    <w:rsid w:val="00687A46"/>
    <w:rsid w:val="006B7576"/>
    <w:rsid w:val="006C16C9"/>
    <w:rsid w:val="006C4D28"/>
    <w:rsid w:val="006E0752"/>
    <w:rsid w:val="0070345E"/>
    <w:rsid w:val="007349E9"/>
    <w:rsid w:val="00742C97"/>
    <w:rsid w:val="00745B48"/>
    <w:rsid w:val="00761250"/>
    <w:rsid w:val="00771A85"/>
    <w:rsid w:val="007B1E88"/>
    <w:rsid w:val="007B57EE"/>
    <w:rsid w:val="007D0C4A"/>
    <w:rsid w:val="007F0777"/>
    <w:rsid w:val="00800911"/>
    <w:rsid w:val="0080175F"/>
    <w:rsid w:val="00805F6F"/>
    <w:rsid w:val="008701B2"/>
    <w:rsid w:val="008856B5"/>
    <w:rsid w:val="00897144"/>
    <w:rsid w:val="008A1509"/>
    <w:rsid w:val="008B1202"/>
    <w:rsid w:val="008C718B"/>
    <w:rsid w:val="008E4F54"/>
    <w:rsid w:val="008F6941"/>
    <w:rsid w:val="00917C1E"/>
    <w:rsid w:val="00923DC7"/>
    <w:rsid w:val="00932D14"/>
    <w:rsid w:val="00942138"/>
    <w:rsid w:val="009A35E9"/>
    <w:rsid w:val="009A43BA"/>
    <w:rsid w:val="009D1D9B"/>
    <w:rsid w:val="009D7299"/>
    <w:rsid w:val="009F1A90"/>
    <w:rsid w:val="00A2570C"/>
    <w:rsid w:val="00A552B8"/>
    <w:rsid w:val="00A57626"/>
    <w:rsid w:val="00A650FA"/>
    <w:rsid w:val="00A70602"/>
    <w:rsid w:val="00A90A5D"/>
    <w:rsid w:val="00AA3395"/>
    <w:rsid w:val="00AA546F"/>
    <w:rsid w:val="00AE6D59"/>
    <w:rsid w:val="00AF0119"/>
    <w:rsid w:val="00AF7F8C"/>
    <w:rsid w:val="00B13875"/>
    <w:rsid w:val="00B24FE5"/>
    <w:rsid w:val="00B320FB"/>
    <w:rsid w:val="00B35CC8"/>
    <w:rsid w:val="00B47E2E"/>
    <w:rsid w:val="00B72614"/>
    <w:rsid w:val="00B76AF6"/>
    <w:rsid w:val="00BA0105"/>
    <w:rsid w:val="00BC4ECE"/>
    <w:rsid w:val="00BF63D3"/>
    <w:rsid w:val="00C01E16"/>
    <w:rsid w:val="00C24D75"/>
    <w:rsid w:val="00C266D6"/>
    <w:rsid w:val="00C363C5"/>
    <w:rsid w:val="00C369A0"/>
    <w:rsid w:val="00C6486A"/>
    <w:rsid w:val="00C83C6E"/>
    <w:rsid w:val="00C849C4"/>
    <w:rsid w:val="00C979EF"/>
    <w:rsid w:val="00C97DE2"/>
    <w:rsid w:val="00CB7E91"/>
    <w:rsid w:val="00CD0222"/>
    <w:rsid w:val="00CF47D0"/>
    <w:rsid w:val="00D01CEF"/>
    <w:rsid w:val="00D31B3A"/>
    <w:rsid w:val="00D3459A"/>
    <w:rsid w:val="00D41C73"/>
    <w:rsid w:val="00D62EB8"/>
    <w:rsid w:val="00D65C3C"/>
    <w:rsid w:val="00D66F8E"/>
    <w:rsid w:val="00D81B36"/>
    <w:rsid w:val="00D87904"/>
    <w:rsid w:val="00DC3E9D"/>
    <w:rsid w:val="00DC7F6C"/>
    <w:rsid w:val="00DE16F0"/>
    <w:rsid w:val="00DF75BE"/>
    <w:rsid w:val="00E21622"/>
    <w:rsid w:val="00E41636"/>
    <w:rsid w:val="00E5283B"/>
    <w:rsid w:val="00E55606"/>
    <w:rsid w:val="00E56004"/>
    <w:rsid w:val="00E561C3"/>
    <w:rsid w:val="00EC1E09"/>
    <w:rsid w:val="00ED2FB0"/>
    <w:rsid w:val="00F02104"/>
    <w:rsid w:val="00F35F84"/>
    <w:rsid w:val="00F43E9F"/>
    <w:rsid w:val="00F47E08"/>
    <w:rsid w:val="00F543B3"/>
    <w:rsid w:val="00F606F0"/>
    <w:rsid w:val="00F607CD"/>
    <w:rsid w:val="00F63FF4"/>
    <w:rsid w:val="00F73ED6"/>
    <w:rsid w:val="00F86DB2"/>
    <w:rsid w:val="00FA6284"/>
    <w:rsid w:val="00FB52BA"/>
    <w:rsid w:val="00FC1F97"/>
    <w:rsid w:val="00FC34DA"/>
    <w:rsid w:val="00FF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t-LT"/>
    </w:rPr>
  </w:style>
  <w:style w:type="paragraph" w:styleId="Heading1">
    <w:name w:val="heading 1"/>
    <w:basedOn w:val="Normal"/>
    <w:next w:val="Normal"/>
    <w:link w:val="Heading1Char"/>
    <w:qFormat/>
    <w:rsid w:val="005577BB"/>
    <w:pPr>
      <w:keepNext/>
      <w:keepLines/>
      <w:spacing w:before="480" w:after="113" w:line="240" w:lineRule="exact"/>
      <w:outlineLvl w:val="0"/>
    </w:pPr>
    <w:rPr>
      <w:rFonts w:ascii="Calibri" w:eastAsia="MS PGothic" w:hAnsi="Calibri" w:cs="Times New Roman"/>
      <w:b/>
      <w:bCs/>
      <w:color w:val="6796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1-lineSectionheading">
    <w:name w:val="00. 1-line Section heading"/>
    <w:basedOn w:val="Normal"/>
    <w:qFormat/>
    <w:rsid w:val="005577BB"/>
    <w:pPr>
      <w:shd w:val="clear" w:color="auto" w:fill="FFFFFF"/>
      <w:spacing w:after="1440" w:line="720" w:lineRule="exact"/>
    </w:pPr>
    <w:rPr>
      <w:rFonts w:ascii="Times New Roman" w:eastAsia="Times" w:hAnsi="Times New Roman" w:cs="Times New Roman"/>
      <w:noProof/>
      <w:color w:val="002776"/>
      <w:kern w:val="28"/>
      <w:sz w:val="64"/>
      <w:szCs w:val="70"/>
    </w:rPr>
  </w:style>
  <w:style w:type="character" w:customStyle="1" w:styleId="Heading1Char">
    <w:name w:val="Heading 1 Char"/>
    <w:basedOn w:val="DefaultParagraphFont"/>
    <w:link w:val="Heading1"/>
    <w:rsid w:val="005577BB"/>
    <w:rPr>
      <w:rFonts w:ascii="Calibri" w:eastAsia="MS PGothic" w:hAnsi="Calibri" w:cs="Times New Roman"/>
      <w:b/>
      <w:bCs/>
      <w:color w:val="679600"/>
      <w:sz w:val="32"/>
      <w:szCs w:val="32"/>
      <w:lang w:val="lt-LT"/>
    </w:rPr>
  </w:style>
  <w:style w:type="paragraph" w:styleId="Footer">
    <w:name w:val="footer"/>
    <w:basedOn w:val="Normal"/>
    <w:link w:val="FooterChar"/>
    <w:uiPriority w:val="99"/>
    <w:rsid w:val="005577BB"/>
    <w:pPr>
      <w:tabs>
        <w:tab w:val="center" w:pos="4320"/>
        <w:tab w:val="right" w:pos="8640"/>
      </w:tabs>
      <w:spacing w:after="0" w:line="240" w:lineRule="auto"/>
    </w:pPr>
    <w:rPr>
      <w:rFonts w:ascii="Arial" w:eastAsia="MS PGothic" w:hAnsi="Arial" w:cs="Times New Roman"/>
      <w:sz w:val="17"/>
      <w:szCs w:val="24"/>
    </w:rPr>
  </w:style>
  <w:style w:type="character" w:customStyle="1" w:styleId="FooterChar">
    <w:name w:val="Footer Char"/>
    <w:basedOn w:val="DefaultParagraphFont"/>
    <w:link w:val="Footer"/>
    <w:uiPriority w:val="99"/>
    <w:rsid w:val="005577BB"/>
    <w:rPr>
      <w:rFonts w:ascii="Arial" w:eastAsia="MS PGothic" w:hAnsi="Arial" w:cs="Times New Roman"/>
      <w:sz w:val="17"/>
      <w:szCs w:val="24"/>
      <w:lang w:val="lt-LT"/>
    </w:rPr>
  </w:style>
  <w:style w:type="paragraph" w:styleId="Caption">
    <w:name w:val="caption"/>
    <w:basedOn w:val="Normal"/>
    <w:next w:val="Normal"/>
    <w:qFormat/>
    <w:rsid w:val="005577BB"/>
    <w:pPr>
      <w:spacing w:after="200" w:line="240" w:lineRule="auto"/>
    </w:pPr>
    <w:rPr>
      <w:rFonts w:ascii="Arial" w:eastAsia="Times" w:hAnsi="Arial" w:cs="Times New Roman"/>
      <w:b/>
      <w:bCs/>
      <w:sz w:val="18"/>
      <w:szCs w:val="18"/>
    </w:rPr>
  </w:style>
  <w:style w:type="paragraph" w:customStyle="1" w:styleId="Deloittebodytext">
    <w:name w:val="Deloitte body text"/>
    <w:qFormat/>
    <w:rsid w:val="005577BB"/>
    <w:pPr>
      <w:spacing w:after="240" w:line="280" w:lineRule="exact"/>
    </w:pPr>
    <w:rPr>
      <w:rFonts w:ascii="Arial" w:eastAsia="Times New Roman" w:hAnsi="Arial" w:cs="Times New Roman"/>
      <w:color w:val="000000"/>
      <w:sz w:val="20"/>
      <w:szCs w:val="48"/>
      <w:lang w:val="cs-CZ"/>
    </w:rPr>
  </w:style>
  <w:style w:type="paragraph" w:styleId="NormalWeb">
    <w:name w:val="Normal (Web)"/>
    <w:basedOn w:val="Normal"/>
    <w:uiPriority w:val="99"/>
    <w:semiHidden/>
    <w:unhideWhenUsed/>
    <w:rsid w:val="00F73ED6"/>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EC1E09"/>
    <w:pPr>
      <w:ind w:left="720"/>
      <w:contextualSpacing/>
    </w:pPr>
  </w:style>
  <w:style w:type="paragraph" w:styleId="BalloonText">
    <w:name w:val="Balloon Text"/>
    <w:basedOn w:val="Normal"/>
    <w:link w:val="BalloonTextChar"/>
    <w:uiPriority w:val="99"/>
    <w:semiHidden/>
    <w:unhideWhenUsed/>
    <w:rsid w:val="00C363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3C5"/>
    <w:rPr>
      <w:rFonts w:ascii="Segoe UI" w:hAnsi="Segoe UI" w:cs="Segoe UI"/>
      <w:sz w:val="18"/>
      <w:szCs w:val="18"/>
    </w:rPr>
  </w:style>
  <w:style w:type="character" w:styleId="Hyperlink">
    <w:name w:val="Hyperlink"/>
    <w:basedOn w:val="DefaultParagraphFont"/>
    <w:uiPriority w:val="99"/>
    <w:unhideWhenUsed/>
    <w:rsid w:val="009D7299"/>
    <w:rPr>
      <w:color w:val="0563C1" w:themeColor="hyperlink"/>
      <w:u w:val="single"/>
    </w:rPr>
  </w:style>
  <w:style w:type="paragraph" w:styleId="Header">
    <w:name w:val="header"/>
    <w:basedOn w:val="Normal"/>
    <w:link w:val="HeaderChar"/>
    <w:uiPriority w:val="99"/>
    <w:unhideWhenUsed/>
    <w:rsid w:val="008F6941"/>
    <w:pPr>
      <w:tabs>
        <w:tab w:val="center" w:pos="4986"/>
        <w:tab w:val="right" w:pos="9972"/>
      </w:tabs>
      <w:spacing w:after="0" w:line="240" w:lineRule="auto"/>
    </w:pPr>
  </w:style>
  <w:style w:type="character" w:customStyle="1" w:styleId="HeaderChar">
    <w:name w:val="Header Char"/>
    <w:basedOn w:val="DefaultParagraphFont"/>
    <w:link w:val="Header"/>
    <w:uiPriority w:val="99"/>
    <w:rsid w:val="008F6941"/>
    <w:rPr>
      <w:lang w:val="lt-LT"/>
    </w:rPr>
  </w:style>
  <w:style w:type="paragraph" w:styleId="FootnoteText">
    <w:name w:val="footnote text"/>
    <w:basedOn w:val="Normal"/>
    <w:link w:val="FootnoteTextChar"/>
    <w:uiPriority w:val="99"/>
    <w:semiHidden/>
    <w:unhideWhenUsed/>
    <w:rsid w:val="00D66F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6F8E"/>
    <w:rPr>
      <w:sz w:val="20"/>
      <w:szCs w:val="20"/>
      <w:lang w:val="lt-LT"/>
    </w:rPr>
  </w:style>
  <w:style w:type="character" w:styleId="FootnoteReference">
    <w:name w:val="footnote reference"/>
    <w:basedOn w:val="DefaultParagraphFont"/>
    <w:uiPriority w:val="99"/>
    <w:semiHidden/>
    <w:unhideWhenUsed/>
    <w:rsid w:val="00D66F8E"/>
    <w:rPr>
      <w:vertAlign w:val="superscript"/>
    </w:rPr>
  </w:style>
  <w:style w:type="character" w:styleId="FollowedHyperlink">
    <w:name w:val="FollowedHyperlink"/>
    <w:basedOn w:val="DefaultParagraphFont"/>
    <w:uiPriority w:val="99"/>
    <w:semiHidden/>
    <w:unhideWhenUsed/>
    <w:rsid w:val="005166E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t-LT"/>
    </w:rPr>
  </w:style>
  <w:style w:type="paragraph" w:styleId="Heading1">
    <w:name w:val="heading 1"/>
    <w:basedOn w:val="Normal"/>
    <w:next w:val="Normal"/>
    <w:link w:val="Heading1Char"/>
    <w:qFormat/>
    <w:rsid w:val="005577BB"/>
    <w:pPr>
      <w:keepNext/>
      <w:keepLines/>
      <w:spacing w:before="480" w:after="113" w:line="240" w:lineRule="exact"/>
      <w:outlineLvl w:val="0"/>
    </w:pPr>
    <w:rPr>
      <w:rFonts w:ascii="Calibri" w:eastAsia="MS PGothic" w:hAnsi="Calibri" w:cs="Times New Roman"/>
      <w:b/>
      <w:bCs/>
      <w:color w:val="6796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1-lineSectionheading">
    <w:name w:val="00. 1-line Section heading"/>
    <w:basedOn w:val="Normal"/>
    <w:qFormat/>
    <w:rsid w:val="005577BB"/>
    <w:pPr>
      <w:shd w:val="clear" w:color="auto" w:fill="FFFFFF"/>
      <w:spacing w:after="1440" w:line="720" w:lineRule="exact"/>
    </w:pPr>
    <w:rPr>
      <w:rFonts w:ascii="Times New Roman" w:eastAsia="Times" w:hAnsi="Times New Roman" w:cs="Times New Roman"/>
      <w:noProof/>
      <w:color w:val="002776"/>
      <w:kern w:val="28"/>
      <w:sz w:val="64"/>
      <w:szCs w:val="70"/>
    </w:rPr>
  </w:style>
  <w:style w:type="character" w:customStyle="1" w:styleId="Heading1Char">
    <w:name w:val="Heading 1 Char"/>
    <w:basedOn w:val="DefaultParagraphFont"/>
    <w:link w:val="Heading1"/>
    <w:rsid w:val="005577BB"/>
    <w:rPr>
      <w:rFonts w:ascii="Calibri" w:eastAsia="MS PGothic" w:hAnsi="Calibri" w:cs="Times New Roman"/>
      <w:b/>
      <w:bCs/>
      <w:color w:val="679600"/>
      <w:sz w:val="32"/>
      <w:szCs w:val="32"/>
      <w:lang w:val="lt-LT"/>
    </w:rPr>
  </w:style>
  <w:style w:type="paragraph" w:styleId="Footer">
    <w:name w:val="footer"/>
    <w:basedOn w:val="Normal"/>
    <w:link w:val="FooterChar"/>
    <w:uiPriority w:val="99"/>
    <w:rsid w:val="005577BB"/>
    <w:pPr>
      <w:tabs>
        <w:tab w:val="center" w:pos="4320"/>
        <w:tab w:val="right" w:pos="8640"/>
      </w:tabs>
      <w:spacing w:after="0" w:line="240" w:lineRule="auto"/>
    </w:pPr>
    <w:rPr>
      <w:rFonts w:ascii="Arial" w:eastAsia="MS PGothic" w:hAnsi="Arial" w:cs="Times New Roman"/>
      <w:sz w:val="17"/>
      <w:szCs w:val="24"/>
    </w:rPr>
  </w:style>
  <w:style w:type="character" w:customStyle="1" w:styleId="FooterChar">
    <w:name w:val="Footer Char"/>
    <w:basedOn w:val="DefaultParagraphFont"/>
    <w:link w:val="Footer"/>
    <w:uiPriority w:val="99"/>
    <w:rsid w:val="005577BB"/>
    <w:rPr>
      <w:rFonts w:ascii="Arial" w:eastAsia="MS PGothic" w:hAnsi="Arial" w:cs="Times New Roman"/>
      <w:sz w:val="17"/>
      <w:szCs w:val="24"/>
      <w:lang w:val="lt-LT"/>
    </w:rPr>
  </w:style>
  <w:style w:type="paragraph" w:styleId="Caption">
    <w:name w:val="caption"/>
    <w:basedOn w:val="Normal"/>
    <w:next w:val="Normal"/>
    <w:qFormat/>
    <w:rsid w:val="005577BB"/>
    <w:pPr>
      <w:spacing w:after="200" w:line="240" w:lineRule="auto"/>
    </w:pPr>
    <w:rPr>
      <w:rFonts w:ascii="Arial" w:eastAsia="Times" w:hAnsi="Arial" w:cs="Times New Roman"/>
      <w:b/>
      <w:bCs/>
      <w:sz w:val="18"/>
      <w:szCs w:val="18"/>
    </w:rPr>
  </w:style>
  <w:style w:type="paragraph" w:customStyle="1" w:styleId="Deloittebodytext">
    <w:name w:val="Deloitte body text"/>
    <w:qFormat/>
    <w:rsid w:val="005577BB"/>
    <w:pPr>
      <w:spacing w:after="240" w:line="280" w:lineRule="exact"/>
    </w:pPr>
    <w:rPr>
      <w:rFonts w:ascii="Arial" w:eastAsia="Times New Roman" w:hAnsi="Arial" w:cs="Times New Roman"/>
      <w:color w:val="000000"/>
      <w:sz w:val="20"/>
      <w:szCs w:val="48"/>
      <w:lang w:val="cs-CZ"/>
    </w:rPr>
  </w:style>
  <w:style w:type="paragraph" w:styleId="NormalWeb">
    <w:name w:val="Normal (Web)"/>
    <w:basedOn w:val="Normal"/>
    <w:uiPriority w:val="99"/>
    <w:semiHidden/>
    <w:unhideWhenUsed/>
    <w:rsid w:val="00F73ED6"/>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EC1E09"/>
    <w:pPr>
      <w:ind w:left="720"/>
      <w:contextualSpacing/>
    </w:pPr>
  </w:style>
  <w:style w:type="paragraph" w:styleId="BalloonText">
    <w:name w:val="Balloon Text"/>
    <w:basedOn w:val="Normal"/>
    <w:link w:val="BalloonTextChar"/>
    <w:uiPriority w:val="99"/>
    <w:semiHidden/>
    <w:unhideWhenUsed/>
    <w:rsid w:val="00C363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3C5"/>
    <w:rPr>
      <w:rFonts w:ascii="Segoe UI" w:hAnsi="Segoe UI" w:cs="Segoe UI"/>
      <w:sz w:val="18"/>
      <w:szCs w:val="18"/>
    </w:rPr>
  </w:style>
  <w:style w:type="character" w:styleId="Hyperlink">
    <w:name w:val="Hyperlink"/>
    <w:basedOn w:val="DefaultParagraphFont"/>
    <w:uiPriority w:val="99"/>
    <w:unhideWhenUsed/>
    <w:rsid w:val="009D7299"/>
    <w:rPr>
      <w:color w:val="0563C1" w:themeColor="hyperlink"/>
      <w:u w:val="single"/>
    </w:rPr>
  </w:style>
  <w:style w:type="paragraph" w:styleId="Header">
    <w:name w:val="header"/>
    <w:basedOn w:val="Normal"/>
    <w:link w:val="HeaderChar"/>
    <w:uiPriority w:val="99"/>
    <w:unhideWhenUsed/>
    <w:rsid w:val="008F6941"/>
    <w:pPr>
      <w:tabs>
        <w:tab w:val="center" w:pos="4986"/>
        <w:tab w:val="right" w:pos="9972"/>
      </w:tabs>
      <w:spacing w:after="0" w:line="240" w:lineRule="auto"/>
    </w:pPr>
  </w:style>
  <w:style w:type="character" w:customStyle="1" w:styleId="HeaderChar">
    <w:name w:val="Header Char"/>
    <w:basedOn w:val="DefaultParagraphFont"/>
    <w:link w:val="Header"/>
    <w:uiPriority w:val="99"/>
    <w:rsid w:val="008F6941"/>
    <w:rPr>
      <w:lang w:val="lt-LT"/>
    </w:rPr>
  </w:style>
  <w:style w:type="paragraph" w:styleId="FootnoteText">
    <w:name w:val="footnote text"/>
    <w:basedOn w:val="Normal"/>
    <w:link w:val="FootnoteTextChar"/>
    <w:uiPriority w:val="99"/>
    <w:semiHidden/>
    <w:unhideWhenUsed/>
    <w:rsid w:val="00D66F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6F8E"/>
    <w:rPr>
      <w:sz w:val="20"/>
      <w:szCs w:val="20"/>
      <w:lang w:val="lt-LT"/>
    </w:rPr>
  </w:style>
  <w:style w:type="character" w:styleId="FootnoteReference">
    <w:name w:val="footnote reference"/>
    <w:basedOn w:val="DefaultParagraphFont"/>
    <w:uiPriority w:val="99"/>
    <w:semiHidden/>
    <w:unhideWhenUsed/>
    <w:rsid w:val="00D66F8E"/>
    <w:rPr>
      <w:vertAlign w:val="superscript"/>
    </w:rPr>
  </w:style>
  <w:style w:type="character" w:styleId="FollowedHyperlink">
    <w:name w:val="FollowedHyperlink"/>
    <w:basedOn w:val="DefaultParagraphFont"/>
    <w:uiPriority w:val="99"/>
    <w:semiHidden/>
    <w:unhideWhenUsed/>
    <w:rsid w:val="005166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175393">
      <w:bodyDiv w:val="1"/>
      <w:marLeft w:val="0"/>
      <w:marRight w:val="0"/>
      <w:marTop w:val="0"/>
      <w:marBottom w:val="0"/>
      <w:divBdr>
        <w:top w:val="none" w:sz="0" w:space="0" w:color="auto"/>
        <w:left w:val="none" w:sz="0" w:space="0" w:color="auto"/>
        <w:bottom w:val="none" w:sz="0" w:space="0" w:color="auto"/>
        <w:right w:val="none" w:sz="0" w:space="0" w:color="auto"/>
      </w:divBdr>
    </w:div>
    <w:div w:id="162346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parama.lt" TargetMode="Externa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Excel_Chart1.xls"/><Relationship Id="rId5" Type="http://schemas.openxmlformats.org/officeDocument/2006/relationships/settings" Target="settings.xml"/><Relationship Id="rId15" Type="http://schemas.openxmlformats.org/officeDocument/2006/relationships/hyperlink" Target="http://www.esparama.lt" TargetMode="External"/><Relationship Id="rId10" Type="http://schemas.openxmlformats.org/officeDocument/2006/relationships/image" Target="media/image1.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TAR.FA6D2B23F867"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2007_Workbook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2007_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2007_Workbook3.xlsx"/></Relationships>
</file>

<file path=word/charts/_rels/chart4.xml.rels><?xml version="1.0" encoding="UTF-8" standalone="yes"?>
<Relationships xmlns="http://schemas.openxmlformats.org/package/2006/relationships"><Relationship Id="rId2" Type="http://schemas.openxmlformats.org/officeDocument/2006/relationships/oleObject" Target="file:///C:\Users\sgrigaliuniene\Desktop\Copy%20of%20Probleminiu%20statistika.xlsx" TargetMode="External"/><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1" Type="http://schemas.openxmlformats.org/officeDocument/2006/relationships/oleObject" Target="file:///C:\Users\sgrigaliuniene\Desktop\Copy%20of%20Probleminiu%20statistika.xlsx" TargetMode="External"/></Relationships>
</file>

<file path=word/charts/_rels/chart6.xml.rels><?xml version="1.0" encoding="UTF-8" standalone="yes"?>
<Relationships xmlns="http://schemas.openxmlformats.org/package/2006/relationships"><Relationship Id="rId2" Type="http://schemas.openxmlformats.org/officeDocument/2006/relationships/oleObject" Target="file:///C:\Users\sgrigaliuniene\Desktop\Copy%20of%20Probleminiu%20statistika.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spPr>
            <a:pattFill prst="wdUpDiag">
              <a:fgClr>
                <a:schemeClr val="accent1"/>
              </a:fgClr>
              <a:bgClr>
                <a:schemeClr val="bg1"/>
              </a:bgClr>
            </a:pattFill>
            <a:ln>
              <a:noFill/>
            </a:ln>
          </c:spPr>
          <c:dPt>
            <c:idx val="0"/>
            <c:bubble3D val="0"/>
            <c:spPr>
              <a:pattFill prst="wdUpDiag">
                <a:fgClr>
                  <a:srgbClr val="FFFFFF"/>
                </a:fgClr>
                <a:bgClr>
                  <a:srgbClr val="00A1DE"/>
                </a:bgClr>
              </a:pattFill>
              <a:ln w="50800">
                <a:noFill/>
              </a:ln>
            </c:spPr>
          </c:dPt>
          <c:dPt>
            <c:idx val="1"/>
            <c:bubble3D val="0"/>
            <c:spPr>
              <a:solidFill>
                <a:srgbClr val="00A1DE"/>
              </a:solidFill>
              <a:ln w="50800">
                <a:noFill/>
              </a:ln>
            </c:spPr>
          </c:dPt>
          <c:dPt>
            <c:idx val="2"/>
            <c:bubble3D val="0"/>
            <c:spPr>
              <a:solidFill>
                <a:schemeClr val="accent3"/>
              </a:solidFill>
              <a:ln w="50800">
                <a:noFill/>
              </a:ln>
            </c:spPr>
          </c:dPt>
          <c:dPt>
            <c:idx val="3"/>
            <c:bubble3D val="0"/>
            <c:spPr>
              <a:solidFill>
                <a:schemeClr val="bg1">
                  <a:lumMod val="85000"/>
                </a:schemeClr>
              </a:solidFill>
              <a:ln w="50800">
                <a:noFill/>
              </a:ln>
            </c:spPr>
          </c:dPt>
          <c:cat>
            <c:numRef>
              <c:f>Sheet1!$A$2:$A$3</c:f>
              <c:numCache>
                <c:formatCode>General</c:formatCode>
                <c:ptCount val="2"/>
              </c:numCache>
            </c:numRef>
          </c:cat>
          <c:val>
            <c:numRef>
              <c:f>Sheet1!$B$2:$B$3</c:f>
              <c:numCache>
                <c:formatCode>General</c:formatCode>
                <c:ptCount val="2"/>
                <c:pt idx="0">
                  <c:v>11</c:v>
                </c:pt>
                <c:pt idx="1">
                  <c:v>89</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txPr>
    <a:bodyPr/>
    <a:lstStyle/>
    <a:p>
      <a:pPr>
        <a:defRPr sz="1800"/>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Skirtas finansavimas</c:v>
                </c:pt>
              </c:strCache>
            </c:strRef>
          </c:tx>
          <c:spPr>
            <a:solidFill>
              <a:srgbClr val="002776"/>
            </a:solidFill>
          </c:spPr>
          <c:dPt>
            <c:idx val="0"/>
            <c:bubble3D val="0"/>
            <c:spPr>
              <a:solidFill>
                <a:srgbClr val="002776"/>
              </a:solidFill>
              <a:ln w="19050">
                <a:solidFill>
                  <a:schemeClr val="lt1"/>
                </a:solidFill>
              </a:ln>
              <a:effectLst/>
            </c:spPr>
          </c:dPt>
          <c:dPt>
            <c:idx val="1"/>
            <c:bubble3D val="0"/>
            <c:spPr>
              <a:solidFill>
                <a:srgbClr val="00A1DE"/>
              </a:solidFill>
              <a:ln w="19050">
                <a:solidFill>
                  <a:schemeClr val="lt1"/>
                </a:solidFill>
              </a:ln>
              <a:effectLst/>
            </c:spPr>
          </c:dPt>
          <c:dPt>
            <c:idx val="2"/>
            <c:bubble3D val="0"/>
            <c:spPr>
              <a:solidFill>
                <a:srgbClr val="81BC00"/>
              </a:solidFill>
              <a:ln w="19050">
                <a:solidFill>
                  <a:schemeClr val="lt1"/>
                </a:solidFill>
              </a:ln>
              <a:effectLst/>
            </c:spPr>
          </c:dPt>
          <c:cat>
            <c:strRef>
              <c:f>Sheet1!$A$2:$A$4</c:f>
              <c:strCache>
                <c:ptCount val="3"/>
                <c:pt idx="0">
                  <c:v>ŽIPVP</c:v>
                </c:pt>
                <c:pt idx="1">
                  <c:v>EAVP</c:v>
                </c:pt>
                <c:pt idx="2">
                  <c:v>SSVP</c:v>
                </c:pt>
              </c:strCache>
            </c:strRef>
          </c:cat>
          <c:val>
            <c:numRef>
              <c:f>Sheet1!$B$2:$B$4</c:f>
              <c:numCache>
                <c:formatCode>General</c:formatCode>
                <c:ptCount val="3"/>
                <c:pt idx="0">
                  <c:v>4</c:v>
                </c:pt>
                <c:pt idx="1">
                  <c:v>47</c:v>
                </c:pt>
                <c:pt idx="2">
                  <c:v>49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79441113130089513"/>
          <c:y val="0.10148031496062994"/>
          <c:w val="0.17461572111178408"/>
          <c:h val="0.6711120443277923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Sheet1!$B$1</c:f>
              <c:strCache>
                <c:ptCount val="1"/>
                <c:pt idx="0">
                  <c:v>1 prioritetas</c:v>
                </c:pt>
              </c:strCache>
            </c:strRef>
          </c:tx>
          <c:spPr>
            <a:solidFill>
              <a:srgbClr val="002776"/>
            </a:solidFill>
            <a:ln>
              <a:noFill/>
            </a:ln>
            <a:effectLst/>
          </c:spPr>
          <c:invertIfNegative val="0"/>
          <c:cat>
            <c:strRef>
              <c:f>Sheet1!$A$2:$A$4</c:f>
              <c:strCache>
                <c:ptCount val="3"/>
                <c:pt idx="0">
                  <c:v>ŽIPVP</c:v>
                </c:pt>
                <c:pt idx="1">
                  <c:v>EAVP</c:v>
                </c:pt>
                <c:pt idx="2">
                  <c:v>SSVP</c:v>
                </c:pt>
              </c:strCache>
            </c:strRef>
          </c:cat>
          <c:val>
            <c:numRef>
              <c:f>Sheet1!$B$2:$B$4</c:f>
              <c:numCache>
                <c:formatCode>0%</c:formatCode>
                <c:ptCount val="3"/>
                <c:pt idx="0">
                  <c:v>0.86228299453323942</c:v>
                </c:pt>
                <c:pt idx="1">
                  <c:v>0</c:v>
                </c:pt>
                <c:pt idx="2">
                  <c:v>0.55328934698199406</c:v>
                </c:pt>
              </c:numCache>
            </c:numRef>
          </c:val>
        </c:ser>
        <c:ser>
          <c:idx val="1"/>
          <c:order val="1"/>
          <c:tx>
            <c:strRef>
              <c:f>Sheet1!$C$1</c:f>
              <c:strCache>
                <c:ptCount val="1"/>
                <c:pt idx="0">
                  <c:v>2 prioritetas</c:v>
                </c:pt>
              </c:strCache>
            </c:strRef>
          </c:tx>
          <c:spPr>
            <a:solidFill>
              <a:srgbClr val="81BC00"/>
            </a:solidFill>
            <a:ln>
              <a:noFill/>
            </a:ln>
            <a:effectLst/>
          </c:spPr>
          <c:invertIfNegative val="0"/>
          <c:cat>
            <c:strRef>
              <c:f>Sheet1!$A$2:$A$4</c:f>
              <c:strCache>
                <c:ptCount val="3"/>
                <c:pt idx="0">
                  <c:v>ŽIPVP</c:v>
                </c:pt>
                <c:pt idx="1">
                  <c:v>EAVP</c:v>
                </c:pt>
                <c:pt idx="2">
                  <c:v>SSVP</c:v>
                </c:pt>
              </c:strCache>
            </c:strRef>
          </c:cat>
          <c:val>
            <c:numRef>
              <c:f>Sheet1!$C$2:$C$4</c:f>
              <c:numCache>
                <c:formatCode>0%</c:formatCode>
                <c:ptCount val="3"/>
                <c:pt idx="0">
                  <c:v>0</c:v>
                </c:pt>
                <c:pt idx="1">
                  <c:v>0</c:v>
                </c:pt>
                <c:pt idx="2">
                  <c:v>0.11595088369733972</c:v>
                </c:pt>
              </c:numCache>
            </c:numRef>
          </c:val>
        </c:ser>
        <c:ser>
          <c:idx val="2"/>
          <c:order val="2"/>
          <c:tx>
            <c:strRef>
              <c:f>Sheet1!$D$1</c:f>
              <c:strCache>
                <c:ptCount val="1"/>
                <c:pt idx="0">
                  <c:v>3 prioritetas</c:v>
                </c:pt>
              </c:strCache>
            </c:strRef>
          </c:tx>
          <c:spPr>
            <a:solidFill>
              <a:srgbClr val="00A1DE"/>
            </a:solidFill>
            <a:ln>
              <a:noFill/>
            </a:ln>
            <a:effectLst/>
          </c:spPr>
          <c:invertIfNegative val="0"/>
          <c:cat>
            <c:strRef>
              <c:f>Sheet1!$A$2:$A$4</c:f>
              <c:strCache>
                <c:ptCount val="3"/>
                <c:pt idx="0">
                  <c:v>ŽIPVP</c:v>
                </c:pt>
                <c:pt idx="1">
                  <c:v>EAVP</c:v>
                </c:pt>
                <c:pt idx="2">
                  <c:v>SSVP</c:v>
                </c:pt>
              </c:strCache>
            </c:strRef>
          </c:cat>
          <c:val>
            <c:numRef>
              <c:f>Sheet1!$D$2:$D$4</c:f>
              <c:numCache>
                <c:formatCode>0%</c:formatCode>
                <c:ptCount val="3"/>
                <c:pt idx="0">
                  <c:v>0</c:v>
                </c:pt>
                <c:pt idx="1">
                  <c:v>0</c:v>
                </c:pt>
                <c:pt idx="2">
                  <c:v>0.33075976932066625</c:v>
                </c:pt>
              </c:numCache>
            </c:numRef>
          </c:val>
        </c:ser>
        <c:ser>
          <c:idx val="3"/>
          <c:order val="3"/>
          <c:tx>
            <c:strRef>
              <c:f>Sheet1!$E$1</c:f>
              <c:strCache>
                <c:ptCount val="1"/>
                <c:pt idx="0">
                  <c:v>4 prioritetas</c:v>
                </c:pt>
              </c:strCache>
            </c:strRef>
          </c:tx>
          <c:spPr>
            <a:solidFill>
              <a:srgbClr val="8C8C8C"/>
            </a:solidFill>
            <a:ln>
              <a:noFill/>
            </a:ln>
            <a:effectLst/>
          </c:spPr>
          <c:invertIfNegative val="0"/>
          <c:cat>
            <c:strRef>
              <c:f>Sheet1!$A$2:$A$4</c:f>
              <c:strCache>
                <c:ptCount val="3"/>
                <c:pt idx="0">
                  <c:v>ŽIPVP</c:v>
                </c:pt>
                <c:pt idx="1">
                  <c:v>EAVP</c:v>
                </c:pt>
                <c:pt idx="2">
                  <c:v>SSVP</c:v>
                </c:pt>
              </c:strCache>
            </c:strRef>
          </c:cat>
          <c:val>
            <c:numRef>
              <c:f>Sheet1!$E$2:$E$4</c:f>
              <c:numCache>
                <c:formatCode>0%</c:formatCode>
                <c:ptCount val="3"/>
                <c:pt idx="0">
                  <c:v>0.13771700546676061</c:v>
                </c:pt>
                <c:pt idx="1">
                  <c:v>1</c:v>
                </c:pt>
                <c:pt idx="2">
                  <c:v>0</c:v>
                </c:pt>
              </c:numCache>
            </c:numRef>
          </c:val>
        </c:ser>
        <c:dLbls>
          <c:showLegendKey val="0"/>
          <c:showVal val="0"/>
          <c:showCatName val="0"/>
          <c:showSerName val="0"/>
          <c:showPercent val="0"/>
          <c:showBubbleSize val="0"/>
        </c:dLbls>
        <c:gapWidth val="150"/>
        <c:overlap val="100"/>
        <c:axId val="64935040"/>
        <c:axId val="64936576"/>
      </c:barChart>
      <c:catAx>
        <c:axId val="649350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4936576"/>
        <c:crosses val="autoZero"/>
        <c:auto val="1"/>
        <c:lblAlgn val="ctr"/>
        <c:lblOffset val="100"/>
        <c:noMultiLvlLbl val="0"/>
      </c:catAx>
      <c:valAx>
        <c:axId val="6493657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49350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1105955887543396E-2"/>
          <c:y val="6.1693774537296693E-2"/>
          <c:w val="0.8695239011993916"/>
          <c:h val="0.69345701529316683"/>
        </c:manualLayout>
      </c:layout>
      <c:barChart>
        <c:barDir val="col"/>
        <c:grouping val="clustered"/>
        <c:varyColors val="0"/>
        <c:ser>
          <c:idx val="0"/>
          <c:order val="0"/>
          <c:tx>
            <c:strRef>
              <c:f>Ignalinos!$O$6</c:f>
              <c:strCache>
                <c:ptCount val="1"/>
                <c:pt idx="0">
                  <c:v>Kietosios medžiagos</c:v>
                </c:pt>
              </c:strCache>
            </c:strRef>
          </c:tx>
          <c:spPr>
            <a:solidFill>
              <a:srgbClr val="8C8C8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Ignalinos!$P$5:$X$5</c:f>
              <c:numCache>
                <c:formatCode>General</c:formatCode>
                <c:ptCount val="7"/>
                <c:pt idx="0">
                  <c:v>2007</c:v>
                </c:pt>
                <c:pt idx="1">
                  <c:v>2008</c:v>
                </c:pt>
                <c:pt idx="2">
                  <c:v>2009</c:v>
                </c:pt>
                <c:pt idx="3">
                  <c:v>2010</c:v>
                </c:pt>
                <c:pt idx="4">
                  <c:v>2011</c:v>
                </c:pt>
                <c:pt idx="5">
                  <c:v>2012</c:v>
                </c:pt>
                <c:pt idx="6">
                  <c:v>2013</c:v>
                </c:pt>
              </c:numCache>
            </c:numRef>
          </c:cat>
          <c:val>
            <c:numRef>
              <c:f>Ignalinos!$P$6:$X$6</c:f>
              <c:numCache>
                <c:formatCode>General</c:formatCode>
                <c:ptCount val="7"/>
                <c:pt idx="0">
                  <c:v>12.7</c:v>
                </c:pt>
                <c:pt idx="1">
                  <c:v>14.6</c:v>
                </c:pt>
                <c:pt idx="2">
                  <c:v>8.8000000000000007</c:v>
                </c:pt>
                <c:pt idx="3">
                  <c:v>8.1</c:v>
                </c:pt>
                <c:pt idx="4">
                  <c:v>35.700000000000003</c:v>
                </c:pt>
                <c:pt idx="5">
                  <c:v>27.1</c:v>
                </c:pt>
                <c:pt idx="6">
                  <c:v>23.5</c:v>
                </c:pt>
              </c:numCache>
            </c:numRef>
          </c:val>
        </c:ser>
        <c:ser>
          <c:idx val="1"/>
          <c:order val="1"/>
          <c:tx>
            <c:strRef>
              <c:f>Ignalinos!$O$7</c:f>
              <c:strCache>
                <c:ptCount val="1"/>
                <c:pt idx="0">
                  <c:v>Sieros dioksidas, tonos</c:v>
                </c:pt>
              </c:strCache>
            </c:strRef>
          </c:tx>
          <c:spPr>
            <a:solidFill>
              <a:srgbClr val="81BC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Ignalinos!$P$5:$X$5</c:f>
              <c:numCache>
                <c:formatCode>General</c:formatCode>
                <c:ptCount val="7"/>
                <c:pt idx="0">
                  <c:v>2007</c:v>
                </c:pt>
                <c:pt idx="1">
                  <c:v>2008</c:v>
                </c:pt>
                <c:pt idx="2">
                  <c:v>2009</c:v>
                </c:pt>
                <c:pt idx="3">
                  <c:v>2010</c:v>
                </c:pt>
                <c:pt idx="4">
                  <c:v>2011</c:v>
                </c:pt>
                <c:pt idx="5">
                  <c:v>2012</c:v>
                </c:pt>
                <c:pt idx="6">
                  <c:v>2013</c:v>
                </c:pt>
              </c:numCache>
            </c:numRef>
          </c:cat>
          <c:val>
            <c:numRef>
              <c:f>Ignalinos!$P$7:$X$7</c:f>
              <c:numCache>
                <c:formatCode>General</c:formatCode>
                <c:ptCount val="7"/>
                <c:pt idx="0">
                  <c:v>2</c:v>
                </c:pt>
                <c:pt idx="4">
                  <c:v>0.4</c:v>
                </c:pt>
                <c:pt idx="5">
                  <c:v>0.1</c:v>
                </c:pt>
                <c:pt idx="6">
                  <c:v>0.1</c:v>
                </c:pt>
              </c:numCache>
            </c:numRef>
          </c:val>
        </c:ser>
        <c:ser>
          <c:idx val="2"/>
          <c:order val="2"/>
          <c:tx>
            <c:strRef>
              <c:f>Ignalinos!$O$8</c:f>
              <c:strCache>
                <c:ptCount val="1"/>
                <c:pt idx="0">
                  <c:v>Azoto oksidai, tonos</c:v>
                </c:pt>
              </c:strCache>
            </c:strRef>
          </c:tx>
          <c:spPr>
            <a:solidFill>
              <a:srgbClr val="B4B4B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Ignalinos!$P$5:$X$5</c:f>
              <c:numCache>
                <c:formatCode>General</c:formatCode>
                <c:ptCount val="7"/>
                <c:pt idx="0">
                  <c:v>2007</c:v>
                </c:pt>
                <c:pt idx="1">
                  <c:v>2008</c:v>
                </c:pt>
                <c:pt idx="2">
                  <c:v>2009</c:v>
                </c:pt>
                <c:pt idx="3">
                  <c:v>2010</c:v>
                </c:pt>
                <c:pt idx="4">
                  <c:v>2011</c:v>
                </c:pt>
                <c:pt idx="5">
                  <c:v>2012</c:v>
                </c:pt>
                <c:pt idx="6">
                  <c:v>2013</c:v>
                </c:pt>
              </c:numCache>
            </c:numRef>
          </c:cat>
          <c:val>
            <c:numRef>
              <c:f>Ignalinos!$P$8:$X$8</c:f>
              <c:numCache>
                <c:formatCode>General</c:formatCode>
                <c:ptCount val="7"/>
                <c:pt idx="0">
                  <c:v>14.8</c:v>
                </c:pt>
                <c:pt idx="1">
                  <c:v>16.899999999999999</c:v>
                </c:pt>
                <c:pt idx="2">
                  <c:v>14.8</c:v>
                </c:pt>
                <c:pt idx="3">
                  <c:v>11.9</c:v>
                </c:pt>
                <c:pt idx="4">
                  <c:v>11.8</c:v>
                </c:pt>
                <c:pt idx="5">
                  <c:v>10.199999999999999</c:v>
                </c:pt>
                <c:pt idx="6">
                  <c:v>2.5</c:v>
                </c:pt>
              </c:numCache>
            </c:numRef>
          </c:val>
        </c:ser>
        <c:ser>
          <c:idx val="3"/>
          <c:order val="3"/>
          <c:tx>
            <c:strRef>
              <c:f>Ignalinos!$O$9</c:f>
              <c:strCache>
                <c:ptCount val="1"/>
                <c:pt idx="0">
                  <c:v>Anglies monoksidas, tonos</c:v>
                </c:pt>
              </c:strCache>
            </c:strRef>
          </c:tx>
          <c:spPr>
            <a:solidFill>
              <a:srgbClr val="BDD20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Ignalinos!$P$5:$X$5</c:f>
              <c:numCache>
                <c:formatCode>General</c:formatCode>
                <c:ptCount val="7"/>
                <c:pt idx="0">
                  <c:v>2007</c:v>
                </c:pt>
                <c:pt idx="1">
                  <c:v>2008</c:v>
                </c:pt>
                <c:pt idx="2">
                  <c:v>2009</c:v>
                </c:pt>
                <c:pt idx="3">
                  <c:v>2010</c:v>
                </c:pt>
                <c:pt idx="4">
                  <c:v>2011</c:v>
                </c:pt>
                <c:pt idx="5">
                  <c:v>2012</c:v>
                </c:pt>
                <c:pt idx="6">
                  <c:v>2013</c:v>
                </c:pt>
              </c:numCache>
            </c:numRef>
          </c:cat>
          <c:val>
            <c:numRef>
              <c:f>Ignalinos!$P$9:$X$9</c:f>
              <c:numCache>
                <c:formatCode>General</c:formatCode>
                <c:ptCount val="7"/>
                <c:pt idx="0">
                  <c:v>133.5</c:v>
                </c:pt>
                <c:pt idx="1">
                  <c:v>139.9</c:v>
                </c:pt>
                <c:pt idx="2">
                  <c:v>121.1</c:v>
                </c:pt>
                <c:pt idx="3">
                  <c:v>106.8</c:v>
                </c:pt>
                <c:pt idx="4">
                  <c:v>95.9</c:v>
                </c:pt>
                <c:pt idx="5">
                  <c:v>83.9</c:v>
                </c:pt>
                <c:pt idx="6">
                  <c:v>16.600000000000001</c:v>
                </c:pt>
              </c:numCache>
            </c:numRef>
          </c:val>
        </c:ser>
        <c:dLbls>
          <c:showLegendKey val="0"/>
          <c:showVal val="1"/>
          <c:showCatName val="0"/>
          <c:showSerName val="0"/>
          <c:showPercent val="0"/>
          <c:showBubbleSize val="0"/>
        </c:dLbls>
        <c:gapWidth val="75"/>
        <c:axId val="74650752"/>
        <c:axId val="74665984"/>
      </c:barChart>
      <c:lineChart>
        <c:grouping val="standard"/>
        <c:varyColors val="0"/>
        <c:ser>
          <c:idx val="4"/>
          <c:order val="4"/>
          <c:tx>
            <c:strRef>
              <c:f>Ignalinos!$O$10</c:f>
              <c:strCache>
                <c:ptCount val="1"/>
                <c:pt idx="0">
                  <c:v>Visi teršalai</c:v>
                </c:pt>
              </c:strCache>
            </c:strRef>
          </c:tx>
          <c:spPr>
            <a:ln w="28575" cap="rnd">
              <a:solidFill>
                <a:srgbClr val="3C8A2E"/>
              </a:solidFill>
              <a:round/>
            </a:ln>
            <a:effectLst/>
          </c:spPr>
          <c:marker>
            <c:symbol val="none"/>
          </c:marker>
          <c:dLbls>
            <c:delete val="1"/>
          </c:dLbls>
          <c:cat>
            <c:numRef>
              <c:f>Ignalinos!$P$5:$X$5</c:f>
              <c:numCache>
                <c:formatCode>General</c:formatCode>
                <c:ptCount val="7"/>
                <c:pt idx="0">
                  <c:v>2007</c:v>
                </c:pt>
                <c:pt idx="1">
                  <c:v>2008</c:v>
                </c:pt>
                <c:pt idx="2">
                  <c:v>2009</c:v>
                </c:pt>
                <c:pt idx="3">
                  <c:v>2010</c:v>
                </c:pt>
                <c:pt idx="4">
                  <c:v>2011</c:v>
                </c:pt>
                <c:pt idx="5">
                  <c:v>2012</c:v>
                </c:pt>
                <c:pt idx="6">
                  <c:v>2013</c:v>
                </c:pt>
              </c:numCache>
            </c:numRef>
          </c:cat>
          <c:val>
            <c:numRef>
              <c:f>Ignalinos!$P$10:$X$10</c:f>
              <c:numCache>
                <c:formatCode>General</c:formatCode>
                <c:ptCount val="7"/>
                <c:pt idx="0">
                  <c:v>168.2</c:v>
                </c:pt>
                <c:pt idx="1">
                  <c:v>175.1</c:v>
                </c:pt>
                <c:pt idx="2">
                  <c:v>145.19999999999999</c:v>
                </c:pt>
                <c:pt idx="3">
                  <c:v>128.9</c:v>
                </c:pt>
                <c:pt idx="4">
                  <c:v>221.7</c:v>
                </c:pt>
                <c:pt idx="5">
                  <c:v>193</c:v>
                </c:pt>
                <c:pt idx="6">
                  <c:v>93.9</c:v>
                </c:pt>
              </c:numCache>
            </c:numRef>
          </c:val>
          <c:smooth val="0"/>
        </c:ser>
        <c:dLbls>
          <c:showLegendKey val="0"/>
          <c:showVal val="1"/>
          <c:showCatName val="0"/>
          <c:showSerName val="0"/>
          <c:showPercent val="0"/>
          <c:showBubbleSize val="0"/>
        </c:dLbls>
        <c:marker val="1"/>
        <c:smooth val="0"/>
        <c:axId val="74650752"/>
        <c:axId val="74665984"/>
      </c:lineChart>
      <c:lineChart>
        <c:grouping val="standard"/>
        <c:varyColors val="0"/>
        <c:ser>
          <c:idx val="5"/>
          <c:order val="5"/>
          <c:tx>
            <c:strRef>
              <c:f>Ignalinos!$O$11</c:f>
              <c:strCache>
                <c:ptCount val="1"/>
                <c:pt idx="0">
                  <c:v>Išleista išvalytų iki normos nuotekų</c:v>
                </c:pt>
              </c:strCache>
            </c:strRef>
          </c:tx>
          <c:spPr>
            <a:ln w="28575" cap="rnd">
              <a:solidFill>
                <a:srgbClr val="00A1DE"/>
              </a:solidFill>
              <a:round/>
            </a:ln>
            <a:effectLst/>
          </c:spPr>
          <c:marker>
            <c:symbol val="none"/>
          </c:marker>
          <c:dLbls>
            <c:dLbl>
              <c:idx val="0"/>
              <c:layout>
                <c:manualLayout>
                  <c:x val="-2.9882838708310986E-17"/>
                  <c:y val="-2.174208734283987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3.2728172018318263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6.5199674001630587E-3"/>
                  <c:y val="1.075557945684323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5.9765677416621972E-17"/>
                  <c:y val="-2.1972610967095182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1953135483324394E-16"/>
                  <c:y val="-2.1972610967095168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0"/>
                  <c:y val="-3.8336696976254303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1.9559902200488997E-2"/>
                  <c:y val="-2.6889160366113149E-2"/>
                </c:manualLayout>
              </c:layout>
              <c:showLegendKey val="0"/>
              <c:showVal val="1"/>
              <c:showCatName val="0"/>
              <c:showSerName val="0"/>
              <c:showPercent val="0"/>
              <c:showBubbleSize val="0"/>
              <c:extLst>
                <c:ext xmlns:c15="http://schemas.microsoft.com/office/drawing/2012/chart" uri="{CE6537A1-D6FC-4f65-9D91-7224C49458BB}">
                  <c15:layout>
                    <c:manualLayout>
                      <c:w val="6.4987646715309738E-2"/>
                      <c:h val="4.8964987201283887E-2"/>
                    </c:manualLayout>
                  </c15:layout>
                </c:ext>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Ignalinos!$P$5:$X$5</c:f>
              <c:numCache>
                <c:formatCode>General</c:formatCode>
                <c:ptCount val="7"/>
                <c:pt idx="0">
                  <c:v>2007</c:v>
                </c:pt>
                <c:pt idx="1">
                  <c:v>2008</c:v>
                </c:pt>
                <c:pt idx="2">
                  <c:v>2009</c:v>
                </c:pt>
                <c:pt idx="3">
                  <c:v>2010</c:v>
                </c:pt>
                <c:pt idx="4">
                  <c:v>2011</c:v>
                </c:pt>
                <c:pt idx="5">
                  <c:v>2012</c:v>
                </c:pt>
                <c:pt idx="6">
                  <c:v>2013</c:v>
                </c:pt>
              </c:numCache>
            </c:numRef>
          </c:cat>
          <c:val>
            <c:numRef>
              <c:f>Ignalinos!$P$11:$X$11</c:f>
              <c:numCache>
                <c:formatCode>General</c:formatCode>
                <c:ptCount val="7"/>
                <c:pt idx="0">
                  <c:v>270.3</c:v>
                </c:pt>
                <c:pt idx="1">
                  <c:v>320.5</c:v>
                </c:pt>
                <c:pt idx="2">
                  <c:v>396.1</c:v>
                </c:pt>
                <c:pt idx="3">
                  <c:v>332.3</c:v>
                </c:pt>
                <c:pt idx="4">
                  <c:v>465.6</c:v>
                </c:pt>
                <c:pt idx="5">
                  <c:v>466.1</c:v>
                </c:pt>
                <c:pt idx="6">
                  <c:v>419.1</c:v>
                </c:pt>
              </c:numCache>
            </c:numRef>
          </c:val>
          <c:smooth val="0"/>
          <c:extLst/>
        </c:ser>
        <c:dLbls>
          <c:showLegendKey val="0"/>
          <c:showVal val="1"/>
          <c:showCatName val="0"/>
          <c:showSerName val="0"/>
          <c:showPercent val="0"/>
          <c:showBubbleSize val="0"/>
        </c:dLbls>
        <c:marker val="1"/>
        <c:smooth val="0"/>
        <c:axId val="74674176"/>
        <c:axId val="74667904"/>
      </c:lineChart>
      <c:catAx>
        <c:axId val="74650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4665984"/>
        <c:crosses val="autoZero"/>
        <c:auto val="1"/>
        <c:lblAlgn val="ctr"/>
        <c:lblOffset val="100"/>
        <c:noMultiLvlLbl val="0"/>
      </c:catAx>
      <c:valAx>
        <c:axId val="7466598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lt-LT"/>
                  <a:t>Tonos</a:t>
                </a:r>
                <a:endParaRPr lang="en-US"/>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4650752"/>
        <c:crosses val="autoZero"/>
        <c:crossBetween val="between"/>
      </c:valAx>
      <c:valAx>
        <c:axId val="74667904"/>
        <c:scaling>
          <c:orientation val="minMax"/>
        </c:scaling>
        <c:delete val="0"/>
        <c:axPos val="r"/>
        <c:title>
          <c:tx>
            <c:rich>
              <a:bodyPr rot="-54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lt-LT"/>
                  <a:t>Tūkst. m</a:t>
                </a:r>
                <a:r>
                  <a:rPr lang="en-US"/>
                  <a:t>3</a:t>
                </a:r>
              </a:p>
            </c:rich>
          </c:tx>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4674176"/>
        <c:crosses val="max"/>
        <c:crossBetween val="between"/>
      </c:valAx>
      <c:catAx>
        <c:axId val="74674176"/>
        <c:scaling>
          <c:orientation val="minMax"/>
        </c:scaling>
        <c:delete val="1"/>
        <c:axPos val="b"/>
        <c:numFmt formatCode="General" sourceLinked="1"/>
        <c:majorTickMark val="out"/>
        <c:minorTickMark val="none"/>
        <c:tickLblPos val="nextTo"/>
        <c:crossAx val="74667904"/>
        <c:crosses val="autoZero"/>
        <c:auto val="1"/>
        <c:lblAlgn val="ctr"/>
        <c:lblOffset val="100"/>
        <c:noMultiLvlLbl val="0"/>
      </c:catAx>
      <c:spPr>
        <a:noFill/>
        <a:ln>
          <a:noFill/>
        </a:ln>
        <a:effectLst/>
      </c:spPr>
    </c:plotArea>
    <c:legend>
      <c:legendPos val="b"/>
      <c:layout>
        <c:manualLayout>
          <c:xMode val="edge"/>
          <c:yMode val="edge"/>
          <c:x val="3.7880136124109072E-2"/>
          <c:y val="0.80398350064531987"/>
          <c:w val="0.92975197171258228"/>
          <c:h val="0.19294620304755536"/>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a:latin typeface="Arial" panose="020B0604020202020204" pitchFamily="34" charset="0"/>
          <a:cs typeface="Arial" panose="020B0604020202020204" pitchFamily="34"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Ignalinos!$O$35</c:f>
              <c:strCache>
                <c:ptCount val="1"/>
                <c:pt idx="0">
                  <c:v>Nuolatinių gyventojų skaičius metų pradžioje</c:v>
                </c:pt>
              </c:strCache>
            </c:strRef>
          </c:tx>
          <c:spPr>
            <a:solidFill>
              <a:srgbClr val="3C8A2E"/>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Ignalinos!$P$34:$V$34</c:f>
              <c:numCache>
                <c:formatCode>General</c:formatCode>
                <c:ptCount val="7"/>
                <c:pt idx="0">
                  <c:v>2007</c:v>
                </c:pt>
                <c:pt idx="1">
                  <c:v>2008</c:v>
                </c:pt>
                <c:pt idx="2">
                  <c:v>2009</c:v>
                </c:pt>
                <c:pt idx="3">
                  <c:v>2010</c:v>
                </c:pt>
                <c:pt idx="4">
                  <c:v>2011</c:v>
                </c:pt>
                <c:pt idx="5">
                  <c:v>2012</c:v>
                </c:pt>
                <c:pt idx="6">
                  <c:v>2013</c:v>
                </c:pt>
              </c:numCache>
            </c:numRef>
          </c:cat>
          <c:val>
            <c:numRef>
              <c:f>Ignalinos!$P$35:$V$35</c:f>
              <c:numCache>
                <c:formatCode>General</c:formatCode>
                <c:ptCount val="7"/>
                <c:pt idx="0">
                  <c:v>20368</c:v>
                </c:pt>
                <c:pt idx="1">
                  <c:v>19838</c:v>
                </c:pt>
                <c:pt idx="2">
                  <c:v>19415</c:v>
                </c:pt>
                <c:pt idx="3">
                  <c:v>18961</c:v>
                </c:pt>
                <c:pt idx="4">
                  <c:v>18468</c:v>
                </c:pt>
                <c:pt idx="5">
                  <c:v>18030</c:v>
                </c:pt>
                <c:pt idx="6">
                  <c:v>17568</c:v>
                </c:pt>
              </c:numCache>
            </c:numRef>
          </c:val>
        </c:ser>
        <c:ser>
          <c:idx val="1"/>
          <c:order val="1"/>
          <c:tx>
            <c:strRef>
              <c:f>Ignalinos!$O$36</c:f>
              <c:strCache>
                <c:ptCount val="1"/>
                <c:pt idx="0">
                  <c:v>Darbingo amžiaus gyventojai</c:v>
                </c:pt>
              </c:strCache>
            </c:strRef>
          </c:tx>
          <c:spPr>
            <a:solidFill>
              <a:srgbClr val="BDD20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Ignalinos!$P$34:$V$34</c:f>
              <c:numCache>
                <c:formatCode>General</c:formatCode>
                <c:ptCount val="7"/>
                <c:pt idx="0">
                  <c:v>2007</c:v>
                </c:pt>
                <c:pt idx="1">
                  <c:v>2008</c:v>
                </c:pt>
                <c:pt idx="2">
                  <c:v>2009</c:v>
                </c:pt>
                <c:pt idx="3">
                  <c:v>2010</c:v>
                </c:pt>
                <c:pt idx="4">
                  <c:v>2011</c:v>
                </c:pt>
                <c:pt idx="5">
                  <c:v>2012</c:v>
                </c:pt>
                <c:pt idx="6">
                  <c:v>2013</c:v>
                </c:pt>
              </c:numCache>
            </c:numRef>
          </c:cat>
          <c:val>
            <c:numRef>
              <c:f>Ignalinos!$P$36:$V$36</c:f>
              <c:numCache>
                <c:formatCode>General</c:formatCode>
                <c:ptCount val="7"/>
                <c:pt idx="0">
                  <c:v>11052</c:v>
                </c:pt>
                <c:pt idx="1">
                  <c:v>10842</c:v>
                </c:pt>
                <c:pt idx="2">
                  <c:v>10667</c:v>
                </c:pt>
                <c:pt idx="3">
                  <c:v>10437</c:v>
                </c:pt>
                <c:pt idx="4">
                  <c:v>10447</c:v>
                </c:pt>
                <c:pt idx="5">
                  <c:v>10207</c:v>
                </c:pt>
                <c:pt idx="6">
                  <c:v>9939</c:v>
                </c:pt>
              </c:numCache>
            </c:numRef>
          </c:val>
        </c:ser>
        <c:ser>
          <c:idx val="2"/>
          <c:order val="2"/>
          <c:tx>
            <c:strRef>
              <c:f>Ignalinos!$O$37</c:f>
              <c:strCache>
                <c:ptCount val="1"/>
                <c:pt idx="0">
                  <c:v>Pensinio amžiaus gyventojai</c:v>
                </c:pt>
              </c:strCache>
            </c:strRef>
          </c:tx>
          <c:spPr>
            <a:solidFill>
              <a:srgbClr val="81BC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Ignalinos!$P$34:$V$34</c:f>
              <c:numCache>
                <c:formatCode>General</c:formatCode>
                <c:ptCount val="7"/>
                <c:pt idx="0">
                  <c:v>2007</c:v>
                </c:pt>
                <c:pt idx="1">
                  <c:v>2008</c:v>
                </c:pt>
                <c:pt idx="2">
                  <c:v>2009</c:v>
                </c:pt>
                <c:pt idx="3">
                  <c:v>2010</c:v>
                </c:pt>
                <c:pt idx="4">
                  <c:v>2011</c:v>
                </c:pt>
                <c:pt idx="5">
                  <c:v>2012</c:v>
                </c:pt>
                <c:pt idx="6">
                  <c:v>2013</c:v>
                </c:pt>
              </c:numCache>
            </c:numRef>
          </c:cat>
          <c:val>
            <c:numRef>
              <c:f>Ignalinos!$P$37:$V$37</c:f>
              <c:numCache>
                <c:formatCode>General</c:formatCode>
                <c:ptCount val="7"/>
                <c:pt idx="0">
                  <c:v>6112</c:v>
                </c:pt>
                <c:pt idx="1">
                  <c:v>5977</c:v>
                </c:pt>
                <c:pt idx="2">
                  <c:v>5864</c:v>
                </c:pt>
                <c:pt idx="3">
                  <c:v>5798</c:v>
                </c:pt>
                <c:pt idx="4">
                  <c:v>5631</c:v>
                </c:pt>
                <c:pt idx="5">
                  <c:v>5547</c:v>
                </c:pt>
                <c:pt idx="6">
                  <c:v>5433</c:v>
                </c:pt>
              </c:numCache>
            </c:numRef>
          </c:val>
        </c:ser>
        <c:dLbls>
          <c:showLegendKey val="0"/>
          <c:showVal val="1"/>
          <c:showCatName val="0"/>
          <c:showSerName val="0"/>
          <c:showPercent val="0"/>
          <c:showBubbleSize val="0"/>
        </c:dLbls>
        <c:gapWidth val="150"/>
        <c:axId val="74698112"/>
        <c:axId val="74987776"/>
      </c:barChart>
      <c:lineChart>
        <c:grouping val="standard"/>
        <c:varyColors val="0"/>
        <c:ser>
          <c:idx val="3"/>
          <c:order val="3"/>
          <c:tx>
            <c:strRef>
              <c:f>Ignalinos!$O$38</c:f>
              <c:strCache>
                <c:ptCount val="1"/>
                <c:pt idx="0">
                  <c:v>Registruotų bedarbių ir darbingo amžiaus gyventojų santykis | proc.</c:v>
                </c:pt>
              </c:strCache>
            </c:strRef>
          </c:tx>
          <c:spPr>
            <a:ln w="28575" cap="rnd">
              <a:solidFill>
                <a:srgbClr val="B4B4B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Ignalinos!$P$34:$V$34</c:f>
              <c:numCache>
                <c:formatCode>General</c:formatCode>
                <c:ptCount val="7"/>
                <c:pt idx="0">
                  <c:v>2007</c:v>
                </c:pt>
                <c:pt idx="1">
                  <c:v>2008</c:v>
                </c:pt>
                <c:pt idx="2">
                  <c:v>2009</c:v>
                </c:pt>
                <c:pt idx="3">
                  <c:v>2010</c:v>
                </c:pt>
                <c:pt idx="4">
                  <c:v>2011</c:v>
                </c:pt>
                <c:pt idx="5">
                  <c:v>2012</c:v>
                </c:pt>
                <c:pt idx="6">
                  <c:v>2013</c:v>
                </c:pt>
              </c:numCache>
            </c:numRef>
          </c:cat>
          <c:val>
            <c:numRef>
              <c:f>Ignalinos!$P$38:$V$38</c:f>
              <c:numCache>
                <c:formatCode>General</c:formatCode>
                <c:ptCount val="7"/>
                <c:pt idx="0">
                  <c:v>7.3</c:v>
                </c:pt>
                <c:pt idx="1">
                  <c:v>7.1</c:v>
                </c:pt>
                <c:pt idx="2">
                  <c:v>14.1</c:v>
                </c:pt>
                <c:pt idx="3">
                  <c:v>21.2</c:v>
                </c:pt>
                <c:pt idx="4">
                  <c:v>20</c:v>
                </c:pt>
                <c:pt idx="5">
                  <c:v>18</c:v>
                </c:pt>
                <c:pt idx="6">
                  <c:v>18.5</c:v>
                </c:pt>
              </c:numCache>
            </c:numRef>
          </c:val>
          <c:smooth val="0"/>
        </c:ser>
        <c:dLbls>
          <c:showLegendKey val="0"/>
          <c:showVal val="1"/>
          <c:showCatName val="0"/>
          <c:showSerName val="0"/>
          <c:showPercent val="0"/>
          <c:showBubbleSize val="0"/>
        </c:dLbls>
        <c:marker val="1"/>
        <c:smooth val="0"/>
        <c:axId val="75003392"/>
        <c:axId val="75001856"/>
      </c:lineChart>
      <c:catAx>
        <c:axId val="74698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4987776"/>
        <c:crosses val="autoZero"/>
        <c:auto val="1"/>
        <c:lblAlgn val="ctr"/>
        <c:lblOffset val="100"/>
        <c:noMultiLvlLbl val="0"/>
      </c:catAx>
      <c:valAx>
        <c:axId val="74987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4698112"/>
        <c:crosses val="autoZero"/>
        <c:crossBetween val="between"/>
      </c:valAx>
      <c:valAx>
        <c:axId val="75001856"/>
        <c:scaling>
          <c:orientation val="minMax"/>
        </c:scaling>
        <c:delete val="0"/>
        <c:axPos val="r"/>
        <c:numFmt formatCode="General\ \%" sourceLinked="0"/>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5003392"/>
        <c:crosses val="max"/>
        <c:crossBetween val="between"/>
      </c:valAx>
      <c:catAx>
        <c:axId val="75003392"/>
        <c:scaling>
          <c:orientation val="minMax"/>
        </c:scaling>
        <c:delete val="1"/>
        <c:axPos val="b"/>
        <c:numFmt formatCode="General" sourceLinked="1"/>
        <c:majorTickMark val="out"/>
        <c:minorTickMark val="none"/>
        <c:tickLblPos val="nextTo"/>
        <c:crossAx val="75001856"/>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latin typeface="Arial" panose="020B0604020202020204" pitchFamily="34" charset="0"/>
          <a:cs typeface="Arial" panose="020B0604020202020204" pitchFamily="34"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61509186351706E-2"/>
          <c:y val="5.0925925925925923E-2"/>
          <c:w val="0.88882349081364831"/>
          <c:h val="0.6800182268883056"/>
        </c:manualLayout>
      </c:layout>
      <c:barChart>
        <c:barDir val="col"/>
        <c:grouping val="clustered"/>
        <c:varyColors val="0"/>
        <c:ser>
          <c:idx val="1"/>
          <c:order val="1"/>
          <c:tx>
            <c:strRef>
              <c:f>Ignalinos!$M$44</c:f>
              <c:strCache>
                <c:ptCount val="1"/>
                <c:pt idx="0">
                  <c:v>Pridėtinė vertė gamybos kainomis pagal veiklos vykdymo vietą</c:v>
                </c:pt>
              </c:strCache>
            </c:strRef>
          </c:tx>
          <c:spPr>
            <a:solidFill>
              <a:srgbClr val="B4B4B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Ignalinos!$N$42:$V$42</c:f>
              <c:numCache>
                <c:formatCode>General</c:formatCode>
                <c:ptCount val="7"/>
                <c:pt idx="0">
                  <c:v>2007</c:v>
                </c:pt>
                <c:pt idx="1">
                  <c:v>2008</c:v>
                </c:pt>
                <c:pt idx="2">
                  <c:v>2009</c:v>
                </c:pt>
                <c:pt idx="3">
                  <c:v>2010</c:v>
                </c:pt>
                <c:pt idx="4">
                  <c:v>2011</c:v>
                </c:pt>
                <c:pt idx="5">
                  <c:v>2012</c:v>
                </c:pt>
                <c:pt idx="6">
                  <c:v>2013</c:v>
                </c:pt>
              </c:numCache>
            </c:numRef>
          </c:cat>
          <c:val>
            <c:numRef>
              <c:f>Ignalinos!$N$44:$V$44</c:f>
              <c:numCache>
                <c:formatCode>General</c:formatCode>
                <c:ptCount val="7"/>
                <c:pt idx="0">
                  <c:v>19075</c:v>
                </c:pt>
                <c:pt idx="1">
                  <c:v>22329</c:v>
                </c:pt>
                <c:pt idx="2">
                  <c:v>15656</c:v>
                </c:pt>
                <c:pt idx="3">
                  <c:v>16109</c:v>
                </c:pt>
                <c:pt idx="4">
                  <c:v>17895</c:v>
                </c:pt>
                <c:pt idx="5">
                  <c:v>16853</c:v>
                </c:pt>
                <c:pt idx="6">
                  <c:v>19526</c:v>
                </c:pt>
              </c:numCache>
            </c:numRef>
          </c:val>
        </c:ser>
        <c:ser>
          <c:idx val="2"/>
          <c:order val="2"/>
          <c:tx>
            <c:strRef>
              <c:f>Ignalinos!$M$45</c:f>
              <c:strCache>
                <c:ptCount val="1"/>
                <c:pt idx="0">
                  <c:v>Materialinės investicijos to meto kainomis</c:v>
                </c:pt>
              </c:strCache>
            </c:strRef>
          </c:tx>
          <c:spPr>
            <a:solidFill>
              <a:srgbClr val="BDD20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Ignalinos!$N$42:$V$42</c:f>
              <c:numCache>
                <c:formatCode>General</c:formatCode>
                <c:ptCount val="7"/>
                <c:pt idx="0">
                  <c:v>2007</c:v>
                </c:pt>
                <c:pt idx="1">
                  <c:v>2008</c:v>
                </c:pt>
                <c:pt idx="2">
                  <c:v>2009</c:v>
                </c:pt>
                <c:pt idx="3">
                  <c:v>2010</c:v>
                </c:pt>
                <c:pt idx="4">
                  <c:v>2011</c:v>
                </c:pt>
                <c:pt idx="5">
                  <c:v>2012</c:v>
                </c:pt>
                <c:pt idx="6">
                  <c:v>2013</c:v>
                </c:pt>
              </c:numCache>
            </c:numRef>
          </c:cat>
          <c:val>
            <c:numRef>
              <c:f>Ignalinos!$N$45:$V$45</c:f>
              <c:numCache>
                <c:formatCode>General</c:formatCode>
                <c:ptCount val="7"/>
                <c:pt idx="0">
                  <c:v>14497</c:v>
                </c:pt>
                <c:pt idx="1">
                  <c:v>14366</c:v>
                </c:pt>
                <c:pt idx="2">
                  <c:v>8046</c:v>
                </c:pt>
                <c:pt idx="3">
                  <c:v>8455</c:v>
                </c:pt>
                <c:pt idx="4">
                  <c:v>15519</c:v>
                </c:pt>
                <c:pt idx="5">
                  <c:v>16844</c:v>
                </c:pt>
                <c:pt idx="6">
                  <c:v>11908</c:v>
                </c:pt>
              </c:numCache>
            </c:numRef>
          </c:val>
        </c:ser>
        <c:dLbls>
          <c:showLegendKey val="0"/>
          <c:showVal val="0"/>
          <c:showCatName val="0"/>
          <c:showSerName val="0"/>
          <c:showPercent val="0"/>
          <c:showBubbleSize val="0"/>
        </c:dLbls>
        <c:gapWidth val="219"/>
        <c:overlap val="-27"/>
        <c:axId val="75056256"/>
        <c:axId val="75057792"/>
      </c:barChart>
      <c:lineChart>
        <c:grouping val="standard"/>
        <c:varyColors val="0"/>
        <c:ser>
          <c:idx val="0"/>
          <c:order val="0"/>
          <c:tx>
            <c:strRef>
              <c:f>Ignalinos!$M$43</c:f>
              <c:strCache>
                <c:ptCount val="1"/>
                <c:pt idx="0">
                  <c:v>Tiesioginės užsienio investicijos, tenkančios vienam gyventojui, metų pabaigoje</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Ignalinos!$N$42:$V$42</c:f>
              <c:numCache>
                <c:formatCode>General</c:formatCode>
                <c:ptCount val="7"/>
                <c:pt idx="0">
                  <c:v>2007</c:v>
                </c:pt>
                <c:pt idx="1">
                  <c:v>2008</c:v>
                </c:pt>
                <c:pt idx="2">
                  <c:v>2009</c:v>
                </c:pt>
                <c:pt idx="3">
                  <c:v>2010</c:v>
                </c:pt>
                <c:pt idx="4">
                  <c:v>2011</c:v>
                </c:pt>
                <c:pt idx="5">
                  <c:v>2012</c:v>
                </c:pt>
                <c:pt idx="6">
                  <c:v>2013</c:v>
                </c:pt>
              </c:numCache>
            </c:numRef>
          </c:cat>
          <c:val>
            <c:numRef>
              <c:f>Ignalinos!$N$43:$V$43</c:f>
              <c:numCache>
                <c:formatCode>General</c:formatCode>
                <c:ptCount val="7"/>
                <c:pt idx="0">
                  <c:v>83</c:v>
                </c:pt>
                <c:pt idx="1">
                  <c:v>115</c:v>
                </c:pt>
                <c:pt idx="2">
                  <c:v>86</c:v>
                </c:pt>
                <c:pt idx="3">
                  <c:v>140</c:v>
                </c:pt>
                <c:pt idx="4">
                  <c:v>166</c:v>
                </c:pt>
                <c:pt idx="5">
                  <c:v>171</c:v>
                </c:pt>
                <c:pt idx="6">
                  <c:v>188</c:v>
                </c:pt>
              </c:numCache>
            </c:numRef>
          </c:val>
          <c:smooth val="0"/>
        </c:ser>
        <c:dLbls>
          <c:showLegendKey val="0"/>
          <c:showVal val="0"/>
          <c:showCatName val="0"/>
          <c:showSerName val="0"/>
          <c:showPercent val="0"/>
          <c:showBubbleSize val="0"/>
        </c:dLbls>
        <c:marker val="1"/>
        <c:smooth val="0"/>
        <c:axId val="75065984"/>
        <c:axId val="75064064"/>
      </c:lineChart>
      <c:catAx>
        <c:axId val="75056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5057792"/>
        <c:crosses val="autoZero"/>
        <c:auto val="1"/>
        <c:lblAlgn val="ctr"/>
        <c:lblOffset val="100"/>
        <c:noMultiLvlLbl val="0"/>
      </c:catAx>
      <c:valAx>
        <c:axId val="75057792"/>
        <c:scaling>
          <c:orientation val="minMax"/>
          <c:max val="26000"/>
          <c:min val="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lt-LT"/>
                  <a:t>Tūkst. EUR</a:t>
                </a:r>
                <a:endParaRPr lang="en-US"/>
              </a:p>
            </c:rich>
          </c:tx>
          <c:layout>
            <c:manualLayout>
              <c:xMode val="edge"/>
              <c:yMode val="edge"/>
              <c:x val="0"/>
              <c:y val="0.62519949458224644"/>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5056256"/>
        <c:crosses val="autoZero"/>
        <c:crossBetween val="between"/>
      </c:valAx>
      <c:valAx>
        <c:axId val="75064064"/>
        <c:scaling>
          <c:orientation val="minMax"/>
        </c:scaling>
        <c:delete val="0"/>
        <c:axPos val="r"/>
        <c:title>
          <c:tx>
            <c:rich>
              <a:bodyPr rot="-54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lt-LT"/>
                  <a:t>EUR</a:t>
                </a:r>
                <a:endParaRPr lang="en-US"/>
              </a:p>
            </c:rich>
          </c:tx>
          <c:layout>
            <c:manualLayout>
              <c:xMode val="edge"/>
              <c:yMode val="edge"/>
              <c:x val="0.97505032937448632"/>
              <c:y val="0.67796994313105907"/>
            </c:manualLayout>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5065984"/>
        <c:crosses val="max"/>
        <c:crossBetween val="between"/>
      </c:valAx>
      <c:catAx>
        <c:axId val="75065984"/>
        <c:scaling>
          <c:orientation val="minMax"/>
        </c:scaling>
        <c:delete val="1"/>
        <c:axPos val="b"/>
        <c:numFmt formatCode="General" sourceLinked="1"/>
        <c:majorTickMark val="out"/>
        <c:minorTickMark val="none"/>
        <c:tickLblPos val="nextTo"/>
        <c:crossAx val="75064064"/>
        <c:crosses val="autoZero"/>
        <c:auto val="1"/>
        <c:lblAlgn val="ctr"/>
        <c:lblOffset val="100"/>
        <c:noMultiLvlLbl val="0"/>
      </c:catAx>
      <c:spPr>
        <a:noFill/>
        <a:ln>
          <a:noFill/>
        </a:ln>
        <a:effectLst/>
      </c:spPr>
    </c:plotArea>
    <c:legend>
      <c:legendPos val="b"/>
      <c:layout>
        <c:manualLayout>
          <c:xMode val="edge"/>
          <c:yMode val="edge"/>
          <c:x val="1.8124332416087928E-2"/>
          <c:y val="0.80038265185669255"/>
          <c:w val="0.97973972003499565"/>
          <c:h val="0.1867490522018081"/>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Custom 1">
    <a:dk1>
      <a:srgbClr val="002776"/>
    </a:dk1>
    <a:lt1>
      <a:srgbClr val="FFFFFF"/>
    </a:lt1>
    <a:dk2>
      <a:srgbClr val="002776"/>
    </a:dk2>
    <a:lt2>
      <a:srgbClr val="FFFFFF"/>
    </a:lt2>
    <a:accent1>
      <a:srgbClr val="00A1DE"/>
    </a:accent1>
    <a:accent2>
      <a:srgbClr val="92D400"/>
    </a:accent2>
    <a:accent3>
      <a:srgbClr val="72C7E7"/>
    </a:accent3>
    <a:accent4>
      <a:srgbClr val="3C8A2E"/>
    </a:accent4>
    <a:accent5>
      <a:srgbClr val="002776"/>
    </a:accent5>
    <a:accent6>
      <a:srgbClr val="C9DD03"/>
    </a:accent6>
    <a:hlink>
      <a:srgbClr val="00A1DE"/>
    </a:hlink>
    <a:folHlink>
      <a:srgbClr val="72C7E7"/>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EE6C7-6043-4865-A4A3-8F10DEBFD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1509</TotalTime>
  <Pages>6</Pages>
  <Words>1682</Words>
  <Characters>9591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11251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Gytis Jakstonis</dc:creator>
  <cp:keywords/>
  <dc:description/>
  <cp:lastModifiedBy>Sabina</cp:lastModifiedBy>
  <cp:revision>79</cp:revision>
  <cp:lastPrinted>2016-03-02T08:05:00Z</cp:lastPrinted>
  <dcterms:created xsi:type="dcterms:W3CDTF">2016-03-01T20:52:00Z</dcterms:created>
  <dcterms:modified xsi:type="dcterms:W3CDTF">2016-06-02T20:04:00Z</dcterms:modified>
</cp:coreProperties>
</file>